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left"/>
        <w:rPr>
          <w:rFonts w:ascii="宋体" w:hAnsi="宋体"/>
          <w:b/>
          <w:bCs/>
          <w:color w:val="auto"/>
          <w:sz w:val="36"/>
          <w:szCs w:val="36"/>
          <w:highlight w:val="none"/>
        </w:rPr>
      </w:pPr>
    </w:p>
    <w:p>
      <w:pPr>
        <w:spacing w:line="360" w:lineRule="auto"/>
        <w:jc w:val="center"/>
        <w:rPr>
          <w:rFonts w:hint="eastAsia" w:ascii="宋体" w:hAnsi="宋体" w:eastAsia="宋体"/>
          <w:b/>
          <w:bCs/>
          <w:color w:val="auto"/>
          <w:sz w:val="36"/>
          <w:szCs w:val="36"/>
          <w:highlight w:val="none"/>
          <w:lang w:eastAsia="zh-CN"/>
        </w:rPr>
      </w:pPr>
      <w:r>
        <w:rPr>
          <w:rFonts w:hint="eastAsia" w:ascii="宋体" w:hAnsi="宋体"/>
          <w:b/>
          <w:bCs/>
          <w:color w:val="auto"/>
          <w:sz w:val="36"/>
          <w:szCs w:val="36"/>
          <w:highlight w:val="none"/>
          <w:lang w:eastAsia="zh-CN"/>
        </w:rPr>
        <w:t>嘉兴海关综合技术服务中心食堂食材采购项目</w:t>
      </w:r>
    </w:p>
    <w:p>
      <w:pPr>
        <w:spacing w:line="360" w:lineRule="auto"/>
        <w:jc w:val="center"/>
        <w:rPr>
          <w:rFonts w:ascii="宋体" w:hAnsi="宋体"/>
          <w:color w:val="auto"/>
          <w:sz w:val="36"/>
          <w:szCs w:val="36"/>
          <w:highlight w:val="none"/>
        </w:rPr>
      </w:pPr>
    </w:p>
    <w:p>
      <w:pPr>
        <w:pStyle w:val="59"/>
        <w:spacing w:line="360" w:lineRule="auto"/>
        <w:rPr>
          <w:color w:val="auto"/>
          <w:highlight w:val="none"/>
        </w:rPr>
      </w:pPr>
    </w:p>
    <w:p>
      <w:pPr>
        <w:spacing w:line="360" w:lineRule="auto"/>
        <w:jc w:val="center"/>
        <w:rPr>
          <w:rFonts w:ascii="宋体" w:hAnsi="宋体"/>
          <w:b/>
          <w:color w:val="auto"/>
          <w:sz w:val="52"/>
          <w:szCs w:val="52"/>
          <w:highlight w:val="none"/>
        </w:rPr>
      </w:pPr>
      <w:r>
        <w:rPr>
          <w:rFonts w:hint="eastAsia" w:ascii="宋体" w:hAnsi="宋体"/>
          <w:b/>
          <w:color w:val="auto"/>
          <w:sz w:val="52"/>
          <w:szCs w:val="52"/>
          <w:highlight w:val="none"/>
        </w:rPr>
        <w:t>公</w:t>
      </w:r>
    </w:p>
    <w:p>
      <w:pPr>
        <w:spacing w:line="360" w:lineRule="auto"/>
        <w:jc w:val="center"/>
        <w:rPr>
          <w:rFonts w:ascii="宋体" w:hAnsi="宋体"/>
          <w:b/>
          <w:color w:val="auto"/>
          <w:sz w:val="52"/>
          <w:szCs w:val="52"/>
          <w:highlight w:val="none"/>
        </w:rPr>
      </w:pPr>
      <w:r>
        <w:rPr>
          <w:rFonts w:hint="eastAsia" w:ascii="宋体" w:hAnsi="宋体"/>
          <w:b/>
          <w:color w:val="auto"/>
          <w:sz w:val="52"/>
          <w:szCs w:val="52"/>
          <w:highlight w:val="none"/>
        </w:rPr>
        <w:t>开</w:t>
      </w:r>
    </w:p>
    <w:p>
      <w:pPr>
        <w:spacing w:line="360" w:lineRule="auto"/>
        <w:jc w:val="center"/>
        <w:rPr>
          <w:rFonts w:ascii="宋体" w:hAnsi="宋体"/>
          <w:b/>
          <w:color w:val="auto"/>
          <w:sz w:val="52"/>
          <w:szCs w:val="52"/>
          <w:highlight w:val="none"/>
        </w:rPr>
      </w:pPr>
      <w:r>
        <w:rPr>
          <w:rFonts w:hint="eastAsia" w:ascii="宋体" w:hAnsi="宋体"/>
          <w:b/>
          <w:color w:val="auto"/>
          <w:sz w:val="52"/>
          <w:szCs w:val="52"/>
          <w:highlight w:val="none"/>
        </w:rPr>
        <w:t>招</w:t>
      </w:r>
    </w:p>
    <w:p>
      <w:pPr>
        <w:spacing w:line="360" w:lineRule="auto"/>
        <w:jc w:val="center"/>
        <w:rPr>
          <w:rFonts w:ascii="宋体" w:hAnsi="宋体"/>
          <w:b/>
          <w:color w:val="auto"/>
          <w:sz w:val="52"/>
          <w:szCs w:val="52"/>
          <w:highlight w:val="none"/>
        </w:rPr>
      </w:pPr>
      <w:r>
        <w:rPr>
          <w:rFonts w:hint="eastAsia" w:ascii="宋体" w:hAnsi="宋体"/>
          <w:b/>
          <w:color w:val="auto"/>
          <w:sz w:val="52"/>
          <w:szCs w:val="52"/>
          <w:highlight w:val="none"/>
        </w:rPr>
        <w:t>标</w:t>
      </w:r>
    </w:p>
    <w:p>
      <w:pPr>
        <w:spacing w:line="360" w:lineRule="auto"/>
        <w:jc w:val="center"/>
        <w:rPr>
          <w:rFonts w:ascii="宋体" w:hAnsi="宋体"/>
          <w:b/>
          <w:color w:val="auto"/>
          <w:sz w:val="52"/>
          <w:szCs w:val="52"/>
          <w:highlight w:val="none"/>
        </w:rPr>
      </w:pPr>
      <w:r>
        <w:rPr>
          <w:rFonts w:hint="eastAsia" w:ascii="宋体" w:hAnsi="宋体"/>
          <w:b/>
          <w:color w:val="auto"/>
          <w:sz w:val="52"/>
          <w:szCs w:val="52"/>
          <w:highlight w:val="none"/>
        </w:rPr>
        <w:t>文</w:t>
      </w:r>
    </w:p>
    <w:p>
      <w:pPr>
        <w:spacing w:line="360" w:lineRule="auto"/>
        <w:jc w:val="center"/>
        <w:rPr>
          <w:rFonts w:ascii="宋体" w:hAnsi="宋体"/>
          <w:b/>
          <w:color w:val="auto"/>
          <w:sz w:val="52"/>
          <w:szCs w:val="52"/>
          <w:highlight w:val="none"/>
        </w:rPr>
      </w:pPr>
      <w:r>
        <w:rPr>
          <w:rFonts w:hint="eastAsia" w:ascii="宋体" w:hAnsi="宋体"/>
          <w:b/>
          <w:color w:val="auto"/>
          <w:sz w:val="52"/>
          <w:szCs w:val="52"/>
          <w:highlight w:val="none"/>
        </w:rPr>
        <w:t>件</w:t>
      </w:r>
    </w:p>
    <w:p>
      <w:pPr>
        <w:pStyle w:val="59"/>
        <w:spacing w:line="360" w:lineRule="auto"/>
        <w:rPr>
          <w:color w:val="auto"/>
          <w:highlight w:val="none"/>
        </w:rPr>
      </w:pPr>
    </w:p>
    <w:p>
      <w:pPr>
        <w:pStyle w:val="21"/>
        <w:spacing w:after="0" w:line="360" w:lineRule="auto"/>
        <w:rPr>
          <w:rFonts w:ascii="宋体" w:hAnsi="宋体"/>
          <w:color w:val="auto"/>
          <w:sz w:val="28"/>
          <w:szCs w:val="28"/>
          <w:highlight w:val="none"/>
        </w:rPr>
      </w:pPr>
    </w:p>
    <w:p>
      <w:pPr>
        <w:pStyle w:val="26"/>
        <w:spacing w:line="360" w:lineRule="auto"/>
        <w:ind w:firstLine="1068" w:firstLineChars="400"/>
        <w:jc w:val="left"/>
        <w:rPr>
          <w:rFonts w:hint="eastAsia" w:hAnsi="宋体" w:eastAsia="宋体"/>
          <w:b/>
          <w:bCs/>
          <w:color w:val="auto"/>
          <w:w w:val="95"/>
          <w:sz w:val="28"/>
          <w:szCs w:val="28"/>
          <w:highlight w:val="none"/>
          <w:lang w:eastAsia="zh-CN"/>
        </w:rPr>
      </w:pPr>
      <w:r>
        <w:rPr>
          <w:rFonts w:hint="eastAsia" w:hAnsi="宋体"/>
          <w:b/>
          <w:bCs/>
          <w:color w:val="auto"/>
          <w:w w:val="95"/>
          <w:sz w:val="28"/>
          <w:szCs w:val="28"/>
          <w:highlight w:val="none"/>
        </w:rPr>
        <w:t>招标编号：</w:t>
      </w:r>
      <w:r>
        <w:rPr>
          <w:rFonts w:hint="eastAsia" w:hAnsi="宋体"/>
          <w:b/>
          <w:color w:val="auto"/>
          <w:sz w:val="28"/>
          <w:szCs w:val="28"/>
          <w:highlight w:val="none"/>
          <w:lang w:eastAsia="zh-CN"/>
        </w:rPr>
        <w:t>大地-DDZX-JX（2024）第23号</w:t>
      </w:r>
    </w:p>
    <w:p>
      <w:pPr>
        <w:pStyle w:val="26"/>
        <w:spacing w:line="360" w:lineRule="auto"/>
        <w:ind w:firstLine="1068" w:firstLineChars="400"/>
        <w:jc w:val="left"/>
        <w:rPr>
          <w:rFonts w:hAnsi="宋体"/>
          <w:b/>
          <w:bCs/>
          <w:color w:val="auto"/>
          <w:w w:val="95"/>
          <w:sz w:val="28"/>
          <w:szCs w:val="28"/>
          <w:highlight w:val="none"/>
        </w:rPr>
      </w:pPr>
      <w:r>
        <w:rPr>
          <w:rFonts w:hint="eastAsia" w:hAnsi="宋体"/>
          <w:b/>
          <w:bCs/>
          <w:color w:val="auto"/>
          <w:w w:val="95"/>
          <w:sz w:val="28"/>
          <w:szCs w:val="28"/>
          <w:highlight w:val="none"/>
        </w:rPr>
        <w:t>采购单位：</w:t>
      </w:r>
      <w:r>
        <w:rPr>
          <w:rFonts w:hint="eastAsia" w:hAnsi="宋体"/>
          <w:b/>
          <w:color w:val="auto"/>
          <w:sz w:val="28"/>
          <w:szCs w:val="28"/>
          <w:highlight w:val="none"/>
        </w:rPr>
        <w:t>嘉兴海关综合技术服务中心</w:t>
      </w:r>
    </w:p>
    <w:p>
      <w:pPr>
        <w:pStyle w:val="26"/>
        <w:spacing w:line="360" w:lineRule="auto"/>
        <w:ind w:firstLine="1068" w:firstLineChars="400"/>
        <w:jc w:val="left"/>
        <w:rPr>
          <w:rFonts w:hint="eastAsia" w:hAnsi="宋体" w:eastAsia="宋体"/>
          <w:b/>
          <w:bCs/>
          <w:color w:val="auto"/>
          <w:w w:val="95"/>
          <w:sz w:val="28"/>
          <w:szCs w:val="28"/>
          <w:highlight w:val="none"/>
          <w:lang w:eastAsia="zh-CN"/>
        </w:rPr>
      </w:pPr>
      <w:r>
        <w:rPr>
          <w:rFonts w:hint="eastAsia" w:hAnsi="宋体"/>
          <w:b/>
          <w:bCs/>
          <w:color w:val="auto"/>
          <w:w w:val="95"/>
          <w:sz w:val="28"/>
          <w:szCs w:val="28"/>
          <w:highlight w:val="none"/>
        </w:rPr>
        <w:t>代理机构：</w:t>
      </w:r>
      <w:r>
        <w:rPr>
          <w:rFonts w:hint="eastAsia" w:hAnsi="宋体"/>
          <w:b/>
          <w:bCs/>
          <w:color w:val="auto"/>
          <w:w w:val="95"/>
          <w:sz w:val="28"/>
          <w:szCs w:val="28"/>
          <w:highlight w:val="none"/>
          <w:lang w:eastAsia="zh-CN"/>
        </w:rPr>
        <w:t>大地工程咨询有限公司</w:t>
      </w:r>
    </w:p>
    <w:p>
      <w:pPr>
        <w:pStyle w:val="26"/>
        <w:spacing w:line="360" w:lineRule="auto"/>
        <w:ind w:firstLine="1068" w:firstLineChars="400"/>
        <w:jc w:val="left"/>
        <w:rPr>
          <w:rFonts w:hAnsi="宋体"/>
          <w:b/>
          <w:bCs/>
          <w:color w:val="auto"/>
          <w:w w:val="95"/>
          <w:sz w:val="28"/>
          <w:szCs w:val="28"/>
          <w:highlight w:val="none"/>
        </w:rPr>
      </w:pPr>
    </w:p>
    <w:p>
      <w:pPr>
        <w:pStyle w:val="26"/>
        <w:spacing w:line="360" w:lineRule="auto"/>
        <w:ind w:firstLine="1068" w:firstLineChars="400"/>
        <w:jc w:val="left"/>
        <w:rPr>
          <w:rFonts w:hAnsi="宋体"/>
          <w:b/>
          <w:bCs/>
          <w:color w:val="auto"/>
          <w:w w:val="95"/>
          <w:sz w:val="28"/>
          <w:szCs w:val="28"/>
          <w:highlight w:val="none"/>
        </w:rPr>
      </w:pPr>
    </w:p>
    <w:p>
      <w:pPr>
        <w:spacing w:line="360" w:lineRule="auto"/>
        <w:ind w:firstLine="534" w:firstLineChars="200"/>
        <w:jc w:val="center"/>
        <w:rPr>
          <w:rFonts w:ascii="宋体" w:hAnsi="宋体"/>
          <w:b/>
          <w:bCs/>
          <w:color w:val="auto"/>
          <w:w w:val="95"/>
          <w:sz w:val="28"/>
          <w:szCs w:val="28"/>
          <w:highlight w:val="none"/>
        </w:rPr>
      </w:pPr>
      <w:bookmarkStart w:id="0" w:name="_Toc493511539"/>
      <w:bookmarkStart w:id="1" w:name="_Toc50012812"/>
      <w:bookmarkStart w:id="2" w:name="_Toc427915753"/>
      <w:r>
        <w:rPr>
          <w:rFonts w:hint="eastAsia" w:ascii="宋体" w:hAnsi="宋体"/>
          <w:b/>
          <w:bCs/>
          <w:color w:val="auto"/>
          <w:w w:val="95"/>
          <w:sz w:val="28"/>
          <w:szCs w:val="28"/>
          <w:highlight w:val="none"/>
        </w:rPr>
        <w:t>202</w:t>
      </w:r>
      <w:r>
        <w:rPr>
          <w:rFonts w:hint="eastAsia" w:ascii="宋体" w:hAnsi="宋体"/>
          <w:b/>
          <w:bCs/>
          <w:color w:val="auto"/>
          <w:w w:val="95"/>
          <w:sz w:val="28"/>
          <w:szCs w:val="28"/>
          <w:highlight w:val="none"/>
          <w:lang w:val="en-US" w:eastAsia="zh-CN"/>
        </w:rPr>
        <w:t>4</w:t>
      </w:r>
      <w:r>
        <w:rPr>
          <w:rFonts w:hint="eastAsia" w:ascii="宋体" w:hAnsi="宋体"/>
          <w:b/>
          <w:bCs/>
          <w:color w:val="auto"/>
          <w:w w:val="95"/>
          <w:sz w:val="28"/>
          <w:szCs w:val="28"/>
          <w:highlight w:val="none"/>
        </w:rPr>
        <w:t>年</w:t>
      </w:r>
      <w:r>
        <w:rPr>
          <w:rFonts w:hint="eastAsia" w:ascii="宋体" w:hAnsi="宋体"/>
          <w:b/>
          <w:bCs/>
          <w:color w:val="auto"/>
          <w:w w:val="95"/>
          <w:sz w:val="28"/>
          <w:szCs w:val="28"/>
          <w:highlight w:val="none"/>
          <w:lang w:val="en-US" w:eastAsia="zh-CN"/>
        </w:rPr>
        <w:t>4</w:t>
      </w:r>
      <w:r>
        <w:rPr>
          <w:rFonts w:hint="eastAsia" w:ascii="宋体" w:hAnsi="宋体"/>
          <w:b/>
          <w:bCs/>
          <w:color w:val="auto"/>
          <w:w w:val="95"/>
          <w:sz w:val="28"/>
          <w:szCs w:val="28"/>
          <w:highlight w:val="none"/>
        </w:rPr>
        <w:t>月</w:t>
      </w:r>
      <w:bookmarkEnd w:id="0"/>
      <w:bookmarkEnd w:id="1"/>
      <w:bookmarkEnd w:id="2"/>
    </w:p>
    <w:p>
      <w:pPr>
        <w:spacing w:line="360" w:lineRule="auto"/>
        <w:ind w:firstLine="723" w:firstLineChars="200"/>
        <w:jc w:val="left"/>
        <w:rPr>
          <w:rFonts w:ascii="宋体" w:hAnsi="宋体"/>
          <w:b/>
          <w:bCs/>
          <w:color w:val="auto"/>
          <w:sz w:val="36"/>
          <w:szCs w:val="36"/>
          <w:highlight w:val="none"/>
        </w:rPr>
      </w:pPr>
    </w:p>
    <w:p>
      <w:pPr>
        <w:spacing w:line="360" w:lineRule="auto"/>
        <w:ind w:firstLine="723" w:firstLineChars="200"/>
        <w:jc w:val="left"/>
        <w:rPr>
          <w:rFonts w:ascii="宋体" w:hAnsi="宋体"/>
          <w:b/>
          <w:bCs/>
          <w:color w:val="auto"/>
          <w:sz w:val="36"/>
          <w:szCs w:val="36"/>
          <w:highlight w:val="none"/>
        </w:rPr>
      </w:pPr>
    </w:p>
    <w:p>
      <w:pPr>
        <w:spacing w:line="360" w:lineRule="auto"/>
        <w:rPr>
          <w:rFonts w:ascii="宋体" w:hAnsi="宋体"/>
          <w:color w:val="auto"/>
          <w:highlight w:val="none"/>
        </w:rPr>
      </w:pPr>
    </w:p>
    <w:p>
      <w:pPr>
        <w:pStyle w:val="64"/>
        <w:spacing w:before="0" w:line="360" w:lineRule="auto"/>
        <w:ind w:firstLine="422" w:firstLineChars="200"/>
        <w:jc w:val="center"/>
        <w:rPr>
          <w:rFonts w:ascii="宋体" w:hAnsi="宋体"/>
          <w:color w:val="auto"/>
          <w:sz w:val="21"/>
          <w:szCs w:val="21"/>
          <w:highlight w:val="none"/>
        </w:rPr>
      </w:pPr>
      <w:bookmarkStart w:id="3" w:name="_Toc28810"/>
      <w:r>
        <w:rPr>
          <w:rFonts w:ascii="宋体" w:hAnsi="宋体"/>
          <w:color w:val="auto"/>
          <w:sz w:val="21"/>
          <w:szCs w:val="21"/>
          <w:highlight w:val="none"/>
          <w:lang w:val="zh-CN"/>
        </w:rPr>
        <w:t>目录</w:t>
      </w:r>
      <w:bookmarkEnd w:id="3"/>
    </w:p>
    <w:p>
      <w:pPr>
        <w:pStyle w:val="35"/>
        <w:tabs>
          <w:tab w:val="right" w:leader="dot" w:pos="8312"/>
        </w:tabs>
        <w:spacing w:line="360" w:lineRule="auto"/>
        <w:rPr>
          <w:rFonts w:ascii="宋体" w:hAnsi="宋体" w:cs="微软雅黑"/>
          <w:color w:val="auto"/>
          <w:highlight w:val="none"/>
        </w:rPr>
      </w:pPr>
      <w:r>
        <w:rPr>
          <w:rFonts w:hint="eastAsia" w:ascii="宋体" w:hAnsi="宋体" w:cs="微软雅黑"/>
          <w:color w:val="auto"/>
          <w:szCs w:val="21"/>
          <w:highlight w:val="none"/>
        </w:rPr>
        <w:fldChar w:fldCharType="begin"/>
      </w:r>
      <w:r>
        <w:rPr>
          <w:rFonts w:hint="eastAsia" w:ascii="宋体" w:hAnsi="宋体" w:cs="微软雅黑"/>
          <w:color w:val="auto"/>
          <w:szCs w:val="21"/>
          <w:highlight w:val="none"/>
        </w:rPr>
        <w:instrText xml:space="preserve"> TOC \o "1-3" \h \z \u </w:instrText>
      </w:r>
      <w:r>
        <w:rPr>
          <w:rFonts w:hint="eastAsia" w:ascii="宋体" w:hAnsi="宋体" w:cs="微软雅黑"/>
          <w:color w:val="auto"/>
          <w:szCs w:val="21"/>
          <w:highlight w:val="none"/>
        </w:rPr>
        <w:fldChar w:fldCharType="separate"/>
      </w:r>
    </w:p>
    <w:p>
      <w:pPr>
        <w:pStyle w:val="27"/>
        <w:tabs>
          <w:tab w:val="right" w:leader="dot" w:pos="8312"/>
        </w:tabs>
        <w:spacing w:line="360" w:lineRule="auto"/>
        <w:rPr>
          <w:rFonts w:ascii="宋体" w:hAnsi="宋体" w:cs="微软雅黑"/>
          <w:color w:val="auto"/>
          <w:highlight w:val="none"/>
        </w:rPr>
      </w:pPr>
      <w:r>
        <w:rPr>
          <w:color w:val="auto"/>
          <w:highlight w:val="none"/>
        </w:rPr>
        <w:fldChar w:fldCharType="begin"/>
      </w:r>
      <w:r>
        <w:rPr>
          <w:color w:val="auto"/>
          <w:highlight w:val="none"/>
        </w:rPr>
        <w:instrText xml:space="preserve"> HYPERLINK \l "_Toc3494" </w:instrText>
      </w:r>
      <w:r>
        <w:rPr>
          <w:color w:val="auto"/>
          <w:highlight w:val="none"/>
        </w:rPr>
        <w:fldChar w:fldCharType="separate"/>
      </w:r>
      <w:r>
        <w:rPr>
          <w:rFonts w:hint="eastAsia" w:ascii="宋体" w:hAnsi="宋体" w:cs="微软雅黑"/>
          <w:color w:val="auto"/>
          <w:highlight w:val="none"/>
        </w:rPr>
        <w:t>第一章  公开招标采购公告</w:t>
      </w:r>
      <w:r>
        <w:rPr>
          <w:rFonts w:hint="eastAsia" w:ascii="宋体" w:hAnsi="宋体" w:cs="微软雅黑"/>
          <w:color w:val="auto"/>
          <w:highlight w:val="none"/>
        </w:rPr>
        <w:tab/>
      </w:r>
      <w:r>
        <w:rPr>
          <w:rFonts w:hint="eastAsia" w:ascii="宋体" w:hAnsi="宋体" w:cs="微软雅黑"/>
          <w:color w:val="auto"/>
          <w:highlight w:val="none"/>
        </w:rPr>
        <w:fldChar w:fldCharType="begin"/>
      </w:r>
      <w:r>
        <w:rPr>
          <w:rFonts w:hint="eastAsia" w:ascii="宋体" w:hAnsi="宋体" w:cs="微软雅黑"/>
          <w:color w:val="auto"/>
          <w:highlight w:val="none"/>
        </w:rPr>
        <w:instrText xml:space="preserve"> PAGEREF _Toc3494 </w:instrText>
      </w:r>
      <w:r>
        <w:rPr>
          <w:rFonts w:hint="eastAsia" w:ascii="宋体" w:hAnsi="宋体" w:cs="微软雅黑"/>
          <w:color w:val="auto"/>
          <w:highlight w:val="none"/>
        </w:rPr>
        <w:fldChar w:fldCharType="separate"/>
      </w:r>
      <w:r>
        <w:rPr>
          <w:rFonts w:hint="eastAsia" w:ascii="宋体" w:hAnsi="宋体" w:cs="微软雅黑"/>
          <w:color w:val="auto"/>
          <w:highlight w:val="none"/>
        </w:rPr>
        <w:t>3</w:t>
      </w:r>
      <w:r>
        <w:rPr>
          <w:rFonts w:hint="eastAsia" w:ascii="宋体" w:hAnsi="宋体" w:cs="微软雅黑"/>
          <w:color w:val="auto"/>
          <w:highlight w:val="none"/>
        </w:rPr>
        <w:fldChar w:fldCharType="end"/>
      </w:r>
      <w:r>
        <w:rPr>
          <w:rFonts w:hint="eastAsia" w:ascii="宋体" w:hAnsi="宋体" w:cs="微软雅黑"/>
          <w:color w:val="auto"/>
          <w:highlight w:val="none"/>
        </w:rPr>
        <w:fldChar w:fldCharType="end"/>
      </w:r>
    </w:p>
    <w:p>
      <w:pPr>
        <w:pStyle w:val="27"/>
        <w:tabs>
          <w:tab w:val="right" w:leader="dot" w:pos="8312"/>
        </w:tabs>
        <w:spacing w:line="360" w:lineRule="auto"/>
        <w:rPr>
          <w:rFonts w:ascii="宋体" w:hAnsi="宋体" w:cs="微软雅黑"/>
          <w:color w:val="auto"/>
          <w:highlight w:val="none"/>
        </w:rPr>
      </w:pPr>
      <w:r>
        <w:rPr>
          <w:color w:val="auto"/>
          <w:highlight w:val="none"/>
        </w:rPr>
        <w:fldChar w:fldCharType="begin"/>
      </w:r>
      <w:r>
        <w:rPr>
          <w:color w:val="auto"/>
          <w:highlight w:val="none"/>
        </w:rPr>
        <w:instrText xml:space="preserve"> HYPERLINK \l "_Toc3892" </w:instrText>
      </w:r>
      <w:r>
        <w:rPr>
          <w:color w:val="auto"/>
          <w:highlight w:val="none"/>
        </w:rPr>
        <w:fldChar w:fldCharType="separate"/>
      </w:r>
      <w:r>
        <w:rPr>
          <w:rFonts w:hint="eastAsia" w:ascii="宋体" w:hAnsi="宋体" w:cs="微软雅黑"/>
          <w:color w:val="auto"/>
          <w:highlight w:val="none"/>
        </w:rPr>
        <w:t>第二章  采购需求</w:t>
      </w:r>
      <w:r>
        <w:rPr>
          <w:rFonts w:hint="eastAsia" w:ascii="宋体" w:hAnsi="宋体" w:cs="微软雅黑"/>
          <w:color w:val="auto"/>
          <w:highlight w:val="none"/>
        </w:rPr>
        <w:tab/>
      </w:r>
      <w:r>
        <w:rPr>
          <w:rFonts w:hint="eastAsia" w:ascii="宋体" w:hAnsi="宋体" w:cs="微软雅黑"/>
          <w:color w:val="auto"/>
          <w:highlight w:val="none"/>
        </w:rPr>
        <w:fldChar w:fldCharType="begin"/>
      </w:r>
      <w:r>
        <w:rPr>
          <w:rFonts w:hint="eastAsia" w:ascii="宋体" w:hAnsi="宋体" w:cs="微软雅黑"/>
          <w:color w:val="auto"/>
          <w:highlight w:val="none"/>
        </w:rPr>
        <w:instrText xml:space="preserve"> PAGEREF _Toc3892 </w:instrText>
      </w:r>
      <w:r>
        <w:rPr>
          <w:rFonts w:hint="eastAsia" w:ascii="宋体" w:hAnsi="宋体" w:cs="微软雅黑"/>
          <w:color w:val="auto"/>
          <w:highlight w:val="none"/>
        </w:rPr>
        <w:fldChar w:fldCharType="separate"/>
      </w:r>
      <w:r>
        <w:rPr>
          <w:rFonts w:hint="eastAsia" w:ascii="宋体" w:hAnsi="宋体" w:cs="微软雅黑"/>
          <w:color w:val="auto"/>
          <w:highlight w:val="none"/>
        </w:rPr>
        <w:t>3</w:t>
      </w:r>
      <w:r>
        <w:rPr>
          <w:rFonts w:hint="eastAsia" w:ascii="宋体" w:hAnsi="宋体" w:cs="微软雅黑"/>
          <w:color w:val="auto"/>
          <w:highlight w:val="none"/>
        </w:rPr>
        <w:fldChar w:fldCharType="end"/>
      </w:r>
      <w:r>
        <w:rPr>
          <w:rFonts w:hint="eastAsia" w:ascii="宋体" w:hAnsi="宋体" w:cs="微软雅黑"/>
          <w:color w:val="auto"/>
          <w:highlight w:val="none"/>
        </w:rPr>
        <w:fldChar w:fldCharType="end"/>
      </w:r>
    </w:p>
    <w:p>
      <w:pPr>
        <w:pStyle w:val="27"/>
        <w:tabs>
          <w:tab w:val="right" w:leader="dot" w:pos="8312"/>
        </w:tabs>
        <w:spacing w:line="360" w:lineRule="auto"/>
        <w:rPr>
          <w:rFonts w:ascii="宋体" w:hAnsi="宋体" w:cs="微软雅黑"/>
          <w:color w:val="auto"/>
          <w:highlight w:val="none"/>
        </w:rPr>
      </w:pPr>
      <w:r>
        <w:rPr>
          <w:color w:val="auto"/>
          <w:highlight w:val="none"/>
        </w:rPr>
        <w:fldChar w:fldCharType="begin"/>
      </w:r>
      <w:r>
        <w:rPr>
          <w:color w:val="auto"/>
          <w:highlight w:val="none"/>
        </w:rPr>
        <w:instrText xml:space="preserve"> HYPERLINK \l "_Toc31093" </w:instrText>
      </w:r>
      <w:r>
        <w:rPr>
          <w:color w:val="auto"/>
          <w:highlight w:val="none"/>
        </w:rPr>
        <w:fldChar w:fldCharType="separate"/>
      </w:r>
      <w:r>
        <w:rPr>
          <w:rFonts w:hint="eastAsia" w:ascii="宋体" w:hAnsi="宋体" w:cs="微软雅黑"/>
          <w:color w:val="auto"/>
          <w:highlight w:val="none"/>
        </w:rPr>
        <w:t>第三章  投标人须知</w:t>
      </w:r>
      <w:r>
        <w:rPr>
          <w:rFonts w:hint="eastAsia" w:ascii="宋体" w:hAnsi="宋体" w:cs="微软雅黑"/>
          <w:color w:val="auto"/>
          <w:highlight w:val="none"/>
        </w:rPr>
        <w:tab/>
      </w:r>
      <w:r>
        <w:rPr>
          <w:rFonts w:hint="eastAsia" w:ascii="宋体" w:hAnsi="宋体" w:cs="微软雅黑"/>
          <w:color w:val="auto"/>
          <w:highlight w:val="none"/>
        </w:rPr>
        <w:fldChar w:fldCharType="begin"/>
      </w:r>
      <w:r>
        <w:rPr>
          <w:rFonts w:hint="eastAsia" w:ascii="宋体" w:hAnsi="宋体" w:cs="微软雅黑"/>
          <w:color w:val="auto"/>
          <w:highlight w:val="none"/>
        </w:rPr>
        <w:instrText xml:space="preserve"> PAGEREF _Toc31093 </w:instrText>
      </w:r>
      <w:r>
        <w:rPr>
          <w:rFonts w:hint="eastAsia" w:ascii="宋体" w:hAnsi="宋体" w:cs="微软雅黑"/>
          <w:color w:val="auto"/>
          <w:highlight w:val="none"/>
        </w:rPr>
        <w:fldChar w:fldCharType="separate"/>
      </w:r>
      <w:r>
        <w:rPr>
          <w:rFonts w:hint="eastAsia" w:ascii="宋体" w:hAnsi="宋体" w:cs="微软雅黑"/>
          <w:color w:val="auto"/>
          <w:highlight w:val="none"/>
        </w:rPr>
        <w:t>3</w:t>
      </w:r>
      <w:r>
        <w:rPr>
          <w:rFonts w:hint="eastAsia" w:ascii="宋体" w:hAnsi="宋体" w:cs="微软雅黑"/>
          <w:color w:val="auto"/>
          <w:highlight w:val="none"/>
        </w:rPr>
        <w:fldChar w:fldCharType="end"/>
      </w:r>
      <w:r>
        <w:rPr>
          <w:rFonts w:hint="eastAsia" w:ascii="宋体" w:hAnsi="宋体" w:cs="微软雅黑"/>
          <w:color w:val="auto"/>
          <w:highlight w:val="none"/>
        </w:rPr>
        <w:fldChar w:fldCharType="end"/>
      </w:r>
    </w:p>
    <w:p>
      <w:pPr>
        <w:pStyle w:val="27"/>
        <w:tabs>
          <w:tab w:val="right" w:leader="dot" w:pos="8312"/>
        </w:tabs>
        <w:spacing w:line="360" w:lineRule="auto"/>
        <w:rPr>
          <w:rFonts w:ascii="宋体" w:hAnsi="宋体" w:cs="微软雅黑"/>
          <w:color w:val="auto"/>
          <w:highlight w:val="none"/>
        </w:rPr>
      </w:pPr>
      <w:r>
        <w:rPr>
          <w:color w:val="auto"/>
          <w:highlight w:val="none"/>
        </w:rPr>
        <w:fldChar w:fldCharType="begin"/>
      </w:r>
      <w:r>
        <w:rPr>
          <w:color w:val="auto"/>
          <w:highlight w:val="none"/>
        </w:rPr>
        <w:instrText xml:space="preserve"> HYPERLINK \l "_Toc27157" </w:instrText>
      </w:r>
      <w:r>
        <w:rPr>
          <w:color w:val="auto"/>
          <w:highlight w:val="none"/>
        </w:rPr>
        <w:fldChar w:fldCharType="separate"/>
      </w:r>
      <w:r>
        <w:rPr>
          <w:rFonts w:hint="eastAsia" w:ascii="宋体" w:hAnsi="宋体" w:cs="微软雅黑"/>
          <w:color w:val="auto"/>
          <w:highlight w:val="none"/>
        </w:rPr>
        <w:t>第四章  评标办法及评分标准</w:t>
      </w:r>
      <w:r>
        <w:rPr>
          <w:rFonts w:hint="eastAsia" w:ascii="宋体" w:hAnsi="宋体" w:cs="微软雅黑"/>
          <w:color w:val="auto"/>
          <w:highlight w:val="none"/>
        </w:rPr>
        <w:tab/>
      </w:r>
      <w:r>
        <w:rPr>
          <w:rFonts w:hint="eastAsia" w:ascii="宋体" w:hAnsi="宋体" w:cs="微软雅黑"/>
          <w:color w:val="auto"/>
          <w:highlight w:val="none"/>
        </w:rPr>
        <w:fldChar w:fldCharType="begin"/>
      </w:r>
      <w:r>
        <w:rPr>
          <w:rFonts w:hint="eastAsia" w:ascii="宋体" w:hAnsi="宋体" w:cs="微软雅黑"/>
          <w:color w:val="auto"/>
          <w:highlight w:val="none"/>
        </w:rPr>
        <w:instrText xml:space="preserve"> PAGEREF _Toc27157 </w:instrText>
      </w:r>
      <w:r>
        <w:rPr>
          <w:rFonts w:hint="eastAsia" w:ascii="宋体" w:hAnsi="宋体" w:cs="微软雅黑"/>
          <w:color w:val="auto"/>
          <w:highlight w:val="none"/>
        </w:rPr>
        <w:fldChar w:fldCharType="separate"/>
      </w:r>
      <w:r>
        <w:rPr>
          <w:rFonts w:hint="eastAsia" w:ascii="宋体" w:hAnsi="宋体" w:cs="微软雅黑"/>
          <w:color w:val="auto"/>
          <w:highlight w:val="none"/>
        </w:rPr>
        <w:t>24</w:t>
      </w:r>
      <w:r>
        <w:rPr>
          <w:rFonts w:hint="eastAsia" w:ascii="宋体" w:hAnsi="宋体" w:cs="微软雅黑"/>
          <w:color w:val="auto"/>
          <w:highlight w:val="none"/>
        </w:rPr>
        <w:fldChar w:fldCharType="end"/>
      </w:r>
      <w:r>
        <w:rPr>
          <w:rFonts w:hint="eastAsia" w:ascii="宋体" w:hAnsi="宋体" w:cs="微软雅黑"/>
          <w:color w:val="auto"/>
          <w:highlight w:val="none"/>
        </w:rPr>
        <w:fldChar w:fldCharType="end"/>
      </w:r>
    </w:p>
    <w:p>
      <w:pPr>
        <w:pStyle w:val="27"/>
        <w:tabs>
          <w:tab w:val="right" w:leader="dot" w:pos="8312"/>
        </w:tabs>
        <w:spacing w:line="360" w:lineRule="auto"/>
        <w:rPr>
          <w:rFonts w:ascii="宋体" w:hAnsi="宋体" w:cs="微软雅黑"/>
          <w:color w:val="auto"/>
          <w:highlight w:val="none"/>
        </w:rPr>
      </w:pPr>
      <w:r>
        <w:rPr>
          <w:color w:val="auto"/>
          <w:highlight w:val="none"/>
        </w:rPr>
        <w:fldChar w:fldCharType="begin"/>
      </w:r>
      <w:r>
        <w:rPr>
          <w:color w:val="auto"/>
          <w:highlight w:val="none"/>
        </w:rPr>
        <w:instrText xml:space="preserve"> HYPERLINK \l "_Toc28829" </w:instrText>
      </w:r>
      <w:r>
        <w:rPr>
          <w:color w:val="auto"/>
          <w:highlight w:val="none"/>
        </w:rPr>
        <w:fldChar w:fldCharType="separate"/>
      </w:r>
      <w:r>
        <w:rPr>
          <w:rFonts w:hint="eastAsia" w:ascii="宋体" w:hAnsi="宋体" w:cs="微软雅黑"/>
          <w:color w:val="auto"/>
          <w:highlight w:val="none"/>
        </w:rPr>
        <w:t>第五章  政府采购合同</w:t>
      </w:r>
      <w:r>
        <w:rPr>
          <w:rFonts w:hint="eastAsia" w:ascii="宋体" w:hAnsi="宋体" w:cs="微软雅黑"/>
          <w:color w:val="auto"/>
          <w:highlight w:val="none"/>
        </w:rPr>
        <w:tab/>
      </w:r>
      <w:r>
        <w:rPr>
          <w:rFonts w:hint="eastAsia" w:ascii="宋体" w:hAnsi="宋体" w:cs="微软雅黑"/>
          <w:color w:val="auto"/>
          <w:highlight w:val="none"/>
        </w:rPr>
        <w:fldChar w:fldCharType="begin"/>
      </w:r>
      <w:r>
        <w:rPr>
          <w:rFonts w:hint="eastAsia" w:ascii="宋体" w:hAnsi="宋体" w:cs="微软雅黑"/>
          <w:color w:val="auto"/>
          <w:highlight w:val="none"/>
        </w:rPr>
        <w:instrText xml:space="preserve"> PAGEREF _Toc28829 </w:instrText>
      </w:r>
      <w:r>
        <w:rPr>
          <w:rFonts w:hint="eastAsia" w:ascii="宋体" w:hAnsi="宋体" w:cs="微软雅黑"/>
          <w:color w:val="auto"/>
          <w:highlight w:val="none"/>
        </w:rPr>
        <w:fldChar w:fldCharType="separate"/>
      </w:r>
      <w:r>
        <w:rPr>
          <w:rFonts w:hint="eastAsia" w:ascii="宋体" w:hAnsi="宋体" w:cs="微软雅黑"/>
          <w:color w:val="auto"/>
          <w:highlight w:val="none"/>
        </w:rPr>
        <w:t>26</w:t>
      </w:r>
      <w:r>
        <w:rPr>
          <w:rFonts w:hint="eastAsia" w:ascii="宋体" w:hAnsi="宋体" w:cs="微软雅黑"/>
          <w:color w:val="auto"/>
          <w:highlight w:val="none"/>
        </w:rPr>
        <w:fldChar w:fldCharType="end"/>
      </w:r>
      <w:r>
        <w:rPr>
          <w:rFonts w:hint="eastAsia" w:ascii="宋体" w:hAnsi="宋体" w:cs="微软雅黑"/>
          <w:color w:val="auto"/>
          <w:highlight w:val="none"/>
        </w:rPr>
        <w:fldChar w:fldCharType="end"/>
      </w:r>
    </w:p>
    <w:p>
      <w:pPr>
        <w:pStyle w:val="27"/>
        <w:tabs>
          <w:tab w:val="right" w:leader="dot" w:pos="8312"/>
        </w:tabs>
        <w:spacing w:line="360" w:lineRule="auto"/>
        <w:rPr>
          <w:rFonts w:ascii="宋体" w:hAnsi="宋体" w:cs="微软雅黑"/>
          <w:color w:val="auto"/>
          <w:highlight w:val="none"/>
        </w:rPr>
      </w:pPr>
      <w:r>
        <w:rPr>
          <w:color w:val="auto"/>
          <w:highlight w:val="none"/>
        </w:rPr>
        <w:fldChar w:fldCharType="begin"/>
      </w:r>
      <w:r>
        <w:rPr>
          <w:color w:val="auto"/>
          <w:highlight w:val="none"/>
        </w:rPr>
        <w:instrText xml:space="preserve"> HYPERLINK \l "_Toc5531" </w:instrText>
      </w:r>
      <w:r>
        <w:rPr>
          <w:color w:val="auto"/>
          <w:highlight w:val="none"/>
        </w:rPr>
        <w:fldChar w:fldCharType="separate"/>
      </w:r>
      <w:r>
        <w:rPr>
          <w:rFonts w:hint="eastAsia" w:ascii="宋体" w:hAnsi="宋体" w:cs="微软雅黑"/>
          <w:color w:val="auto"/>
          <w:highlight w:val="none"/>
        </w:rPr>
        <w:t>第六章　投标文件相关格式</w:t>
      </w:r>
      <w:r>
        <w:rPr>
          <w:rFonts w:hint="eastAsia" w:ascii="宋体" w:hAnsi="宋体" w:cs="微软雅黑"/>
          <w:color w:val="auto"/>
          <w:highlight w:val="none"/>
        </w:rPr>
        <w:tab/>
      </w:r>
      <w:r>
        <w:rPr>
          <w:rFonts w:hint="eastAsia" w:ascii="宋体" w:hAnsi="宋体" w:cs="微软雅黑"/>
          <w:color w:val="auto"/>
          <w:highlight w:val="none"/>
        </w:rPr>
        <w:fldChar w:fldCharType="begin"/>
      </w:r>
      <w:r>
        <w:rPr>
          <w:rFonts w:hint="eastAsia" w:ascii="宋体" w:hAnsi="宋体" w:cs="微软雅黑"/>
          <w:color w:val="auto"/>
          <w:highlight w:val="none"/>
        </w:rPr>
        <w:instrText xml:space="preserve"> PAGEREF _Toc5531 </w:instrText>
      </w:r>
      <w:r>
        <w:rPr>
          <w:rFonts w:hint="eastAsia" w:ascii="宋体" w:hAnsi="宋体" w:cs="微软雅黑"/>
          <w:color w:val="auto"/>
          <w:highlight w:val="none"/>
        </w:rPr>
        <w:fldChar w:fldCharType="separate"/>
      </w:r>
      <w:r>
        <w:rPr>
          <w:rFonts w:hint="eastAsia" w:ascii="宋体" w:hAnsi="宋体" w:cs="微软雅黑"/>
          <w:color w:val="auto"/>
          <w:highlight w:val="none"/>
        </w:rPr>
        <w:t>33</w:t>
      </w:r>
      <w:r>
        <w:rPr>
          <w:rFonts w:hint="eastAsia" w:ascii="宋体" w:hAnsi="宋体" w:cs="微软雅黑"/>
          <w:color w:val="auto"/>
          <w:highlight w:val="none"/>
        </w:rPr>
        <w:fldChar w:fldCharType="end"/>
      </w:r>
      <w:r>
        <w:rPr>
          <w:rFonts w:hint="eastAsia" w:ascii="宋体" w:hAnsi="宋体" w:cs="微软雅黑"/>
          <w:color w:val="auto"/>
          <w:highlight w:val="none"/>
        </w:rPr>
        <w:fldChar w:fldCharType="end"/>
      </w:r>
    </w:p>
    <w:p>
      <w:pPr>
        <w:spacing w:line="360" w:lineRule="auto"/>
        <w:ind w:firstLine="420" w:firstLineChars="200"/>
        <w:jc w:val="left"/>
        <w:rPr>
          <w:rFonts w:ascii="宋体" w:hAnsi="宋体" w:cs="微软雅黑"/>
          <w:color w:val="auto"/>
          <w:szCs w:val="21"/>
          <w:highlight w:val="none"/>
        </w:rPr>
      </w:pPr>
      <w:r>
        <w:rPr>
          <w:rFonts w:hint="eastAsia" w:ascii="宋体" w:hAnsi="宋体" w:cs="微软雅黑"/>
          <w:color w:val="auto"/>
          <w:szCs w:val="21"/>
          <w:highlight w:val="none"/>
        </w:rPr>
        <w:fldChar w:fldCharType="end"/>
      </w:r>
    </w:p>
    <w:p>
      <w:pPr>
        <w:spacing w:line="360" w:lineRule="auto"/>
        <w:ind w:firstLine="420" w:firstLineChars="200"/>
        <w:jc w:val="left"/>
        <w:rPr>
          <w:rFonts w:ascii="宋体" w:hAnsi="宋体"/>
          <w:color w:val="auto"/>
          <w:szCs w:val="21"/>
          <w:highlight w:val="none"/>
        </w:rPr>
      </w:pPr>
    </w:p>
    <w:p>
      <w:pPr>
        <w:pStyle w:val="79"/>
        <w:rPr>
          <w:rFonts w:ascii="宋体" w:eastAsia="宋体"/>
          <w:b w:val="0"/>
          <w:color w:val="auto"/>
          <w:highlight w:val="none"/>
        </w:rPr>
      </w:pPr>
      <w:bookmarkStart w:id="4" w:name="_Toc493511540"/>
      <w:r>
        <w:rPr>
          <w:rFonts w:hint="eastAsia" w:ascii="宋体" w:eastAsia="宋体"/>
          <w:color w:val="auto"/>
          <w:highlight w:val="none"/>
        </w:rPr>
        <w:br w:type="page"/>
      </w:r>
      <w:bookmarkStart w:id="5" w:name="_Toc3494"/>
      <w:r>
        <w:rPr>
          <w:rStyle w:val="133"/>
          <w:rFonts w:hint="eastAsia" w:ascii="宋体" w:eastAsia="宋体" w:cs="微软雅黑"/>
          <w:b/>
          <w:color w:val="auto"/>
          <w:highlight w:val="none"/>
        </w:rPr>
        <w:t>第一章  公开招标采购公告</w:t>
      </w:r>
      <w:bookmarkEnd w:id="4"/>
      <w:bookmarkEnd w:id="5"/>
    </w:p>
    <w:p>
      <w:pPr>
        <w:pStyle w:val="45"/>
        <w:spacing w:before="60" w:beforeAutospacing="0" w:after="60" w:afterAutospacing="0" w:line="360" w:lineRule="auto"/>
        <w:rPr>
          <w:rFonts w:cs="宋体"/>
          <w:color w:val="auto"/>
          <w:sz w:val="21"/>
          <w:szCs w:val="21"/>
          <w:highlight w:val="none"/>
        </w:rPr>
      </w:pPr>
      <w:bookmarkStart w:id="6" w:name="_Toc3892"/>
      <w:bookmarkEnd w:id="6"/>
      <w:bookmarkStart w:id="7" w:name="_Toc493511541"/>
      <w:bookmarkEnd w:id="7"/>
      <w:bookmarkStart w:id="8" w:name="_Toc493511542"/>
      <w:bookmarkStart w:id="9" w:name="_Toc177870534"/>
      <w:bookmarkStart w:id="10" w:name="_Toc31093"/>
      <w:r>
        <w:rPr>
          <w:rFonts w:hint="eastAsia" w:cs="宋体"/>
          <w:color w:val="auto"/>
          <w:sz w:val="21"/>
          <w:szCs w:val="21"/>
          <w:highlight w:val="none"/>
        </w:rPr>
        <w:t xml:space="preserve">  </w:t>
      </w:r>
      <w:r>
        <w:rPr>
          <w:rFonts w:hint="eastAsia" w:cs="宋体"/>
          <w:color w:val="auto"/>
          <w:sz w:val="21"/>
          <w:szCs w:val="21"/>
          <w:highlight w:val="none"/>
          <w:lang w:val="en-US" w:eastAsia="zh-CN"/>
        </w:rPr>
        <w:t xml:space="preserve"> 参考</w:t>
      </w:r>
      <w:r>
        <w:rPr>
          <w:rFonts w:hint="eastAsia" w:cs="宋体"/>
          <w:color w:val="auto"/>
          <w:sz w:val="21"/>
          <w:szCs w:val="21"/>
          <w:highlight w:val="none"/>
        </w:rPr>
        <w:t>《中华人民共和国政府采购法》等有关法律规定，</w:t>
      </w:r>
      <w:r>
        <w:rPr>
          <w:rFonts w:hint="eastAsia" w:cs="宋体"/>
          <w:color w:val="auto"/>
          <w:sz w:val="21"/>
          <w:szCs w:val="21"/>
          <w:highlight w:val="none"/>
          <w:lang w:eastAsia="zh-CN"/>
        </w:rPr>
        <w:t>大地工程咨询有限公司</w:t>
      </w:r>
      <w:r>
        <w:rPr>
          <w:rFonts w:hint="eastAsia" w:cs="宋体"/>
          <w:color w:val="auto"/>
          <w:sz w:val="21"/>
          <w:szCs w:val="21"/>
          <w:highlight w:val="none"/>
        </w:rPr>
        <w:t>受嘉兴海关综合技术服务中心委托，就</w:t>
      </w:r>
      <w:r>
        <w:rPr>
          <w:rFonts w:hint="eastAsia" w:cs="宋体"/>
          <w:color w:val="auto"/>
          <w:sz w:val="21"/>
          <w:szCs w:val="21"/>
          <w:highlight w:val="none"/>
          <w:lang w:eastAsia="zh-CN"/>
        </w:rPr>
        <w:t>嘉兴海关综合技术服务中心食堂食材采购项目</w:t>
      </w:r>
      <w:r>
        <w:rPr>
          <w:rFonts w:hint="eastAsia" w:cs="宋体"/>
          <w:color w:val="auto"/>
          <w:sz w:val="21"/>
          <w:szCs w:val="21"/>
          <w:highlight w:val="none"/>
        </w:rPr>
        <w:t>进行公开招标，欢迎国内合格的供应商前来投标，现将有关事项公告如下：</w:t>
      </w:r>
    </w:p>
    <w:p>
      <w:pPr>
        <w:pStyle w:val="45"/>
        <w:numPr>
          <w:ilvl w:val="0"/>
          <w:numId w:val="1"/>
        </w:numPr>
        <w:spacing w:before="204" w:beforeAutospacing="0" w:after="204" w:afterAutospacing="0" w:line="360" w:lineRule="auto"/>
        <w:jc w:val="both"/>
        <w:rPr>
          <w:rStyle w:val="53"/>
          <w:rFonts w:cs="宋体"/>
          <w:color w:val="auto"/>
          <w:sz w:val="21"/>
          <w:szCs w:val="21"/>
          <w:highlight w:val="none"/>
        </w:rPr>
      </w:pPr>
      <w:r>
        <w:rPr>
          <w:rStyle w:val="53"/>
          <w:rFonts w:hint="eastAsia" w:cs="宋体"/>
          <w:color w:val="auto"/>
          <w:sz w:val="21"/>
          <w:szCs w:val="21"/>
          <w:highlight w:val="none"/>
        </w:rPr>
        <w:t>项目基本情况</w:t>
      </w:r>
    </w:p>
    <w:p>
      <w:pPr>
        <w:pStyle w:val="45"/>
        <w:snapToGrid w:val="0"/>
        <w:spacing w:before="204" w:beforeAutospacing="0" w:after="204" w:afterAutospacing="0" w:line="360" w:lineRule="auto"/>
        <w:contextualSpacing/>
        <w:jc w:val="both"/>
        <w:rPr>
          <w:rFonts w:cs="宋体"/>
          <w:color w:val="auto"/>
          <w:sz w:val="21"/>
          <w:szCs w:val="21"/>
          <w:highlight w:val="none"/>
        </w:rPr>
      </w:pPr>
      <w:r>
        <w:rPr>
          <w:rFonts w:hint="eastAsia" w:cs="宋体"/>
          <w:color w:val="auto"/>
          <w:sz w:val="21"/>
          <w:szCs w:val="21"/>
          <w:highlight w:val="none"/>
        </w:rPr>
        <w:t>     项目编号：</w:t>
      </w:r>
      <w:r>
        <w:rPr>
          <w:rFonts w:hint="eastAsia" w:cs="宋体"/>
          <w:color w:val="auto"/>
          <w:sz w:val="21"/>
          <w:szCs w:val="21"/>
          <w:highlight w:val="none"/>
          <w:lang w:eastAsia="zh-CN"/>
        </w:rPr>
        <w:t>大地-DDZX-JX（2024）第23号</w:t>
      </w:r>
      <w:r>
        <w:rPr>
          <w:rFonts w:hint="eastAsia" w:cs="宋体"/>
          <w:color w:val="auto"/>
          <w:sz w:val="21"/>
          <w:szCs w:val="21"/>
          <w:highlight w:val="none"/>
        </w:rPr>
        <w:t> </w:t>
      </w:r>
    </w:p>
    <w:p>
      <w:pPr>
        <w:pStyle w:val="45"/>
        <w:snapToGrid w:val="0"/>
        <w:spacing w:before="60" w:beforeAutospacing="0" w:after="60" w:afterAutospacing="0" w:line="360" w:lineRule="auto"/>
        <w:contextualSpacing/>
        <w:rPr>
          <w:rFonts w:hint="eastAsia" w:eastAsia="宋体" w:cs="宋体"/>
          <w:color w:val="auto"/>
          <w:sz w:val="21"/>
          <w:szCs w:val="21"/>
          <w:highlight w:val="none"/>
          <w:lang w:eastAsia="zh-CN"/>
        </w:rPr>
      </w:pPr>
      <w:r>
        <w:rPr>
          <w:rFonts w:hint="eastAsia" w:cs="宋体"/>
          <w:color w:val="auto"/>
          <w:sz w:val="21"/>
          <w:szCs w:val="21"/>
          <w:highlight w:val="none"/>
        </w:rPr>
        <w:t>    项目名称：</w:t>
      </w:r>
      <w:bookmarkStart w:id="386" w:name="_GoBack"/>
      <w:r>
        <w:rPr>
          <w:rFonts w:hint="eastAsia" w:cs="宋体"/>
          <w:color w:val="auto"/>
          <w:sz w:val="21"/>
          <w:szCs w:val="21"/>
          <w:highlight w:val="none"/>
          <w:lang w:eastAsia="zh-CN"/>
        </w:rPr>
        <w:t>嘉兴海关综合技术服务中心食堂食材采购项目</w:t>
      </w:r>
      <w:bookmarkEnd w:id="386"/>
    </w:p>
    <w:p>
      <w:pPr>
        <w:pStyle w:val="45"/>
        <w:snapToGrid w:val="0"/>
        <w:spacing w:before="60" w:beforeAutospacing="0" w:after="60" w:afterAutospacing="0" w:line="360" w:lineRule="auto"/>
        <w:contextualSpacing/>
        <w:rPr>
          <w:rFonts w:hint="default" w:eastAsia="宋体" w:cs="宋体"/>
          <w:color w:val="auto"/>
          <w:sz w:val="21"/>
          <w:szCs w:val="21"/>
          <w:highlight w:val="none"/>
          <w:lang w:val="en-US" w:eastAsia="zh-CN"/>
        </w:rPr>
      </w:pPr>
      <w:r>
        <w:rPr>
          <w:rFonts w:hint="eastAsia" w:cs="宋体"/>
          <w:color w:val="auto"/>
          <w:sz w:val="21"/>
          <w:szCs w:val="21"/>
          <w:highlight w:val="none"/>
        </w:rPr>
        <w:t>    预算金额（元）：</w:t>
      </w:r>
      <w:r>
        <w:rPr>
          <w:rFonts w:hint="eastAsia" w:cs="宋体"/>
          <w:color w:val="auto"/>
          <w:sz w:val="21"/>
          <w:szCs w:val="21"/>
          <w:highlight w:val="none"/>
          <w:lang w:val="en-US" w:eastAsia="zh-CN"/>
        </w:rPr>
        <w:t>3736000</w:t>
      </w:r>
    </w:p>
    <w:p>
      <w:pPr>
        <w:pStyle w:val="45"/>
        <w:snapToGrid w:val="0"/>
        <w:spacing w:before="60" w:beforeAutospacing="0" w:after="60" w:afterAutospacing="0" w:line="360" w:lineRule="auto"/>
        <w:contextualSpacing/>
        <w:rPr>
          <w:rFonts w:cs="宋体"/>
          <w:color w:val="auto"/>
          <w:sz w:val="21"/>
          <w:szCs w:val="21"/>
          <w:highlight w:val="none"/>
        </w:rPr>
      </w:pPr>
      <w:r>
        <w:rPr>
          <w:rFonts w:hint="eastAsia" w:cs="宋体"/>
          <w:color w:val="auto"/>
          <w:sz w:val="21"/>
          <w:szCs w:val="21"/>
          <w:highlight w:val="none"/>
        </w:rPr>
        <w:t>    最高限价（元）：</w:t>
      </w:r>
      <w:r>
        <w:rPr>
          <w:rFonts w:hint="eastAsia" w:cs="宋体"/>
          <w:color w:val="auto"/>
          <w:sz w:val="21"/>
          <w:szCs w:val="21"/>
          <w:highlight w:val="none"/>
          <w:lang w:val="en-US" w:eastAsia="zh-CN"/>
        </w:rPr>
        <w:t>3736000</w:t>
      </w:r>
    </w:p>
    <w:p>
      <w:pPr>
        <w:pStyle w:val="45"/>
        <w:snapToGrid w:val="0"/>
        <w:spacing w:before="60" w:beforeAutospacing="0" w:after="60" w:afterAutospacing="0" w:line="360" w:lineRule="auto"/>
        <w:ind w:firstLine="630"/>
        <w:contextualSpacing/>
        <w:rPr>
          <w:rFonts w:hint="eastAsia" w:cs="宋体"/>
          <w:color w:val="auto"/>
          <w:sz w:val="21"/>
          <w:szCs w:val="21"/>
          <w:highlight w:val="none"/>
        </w:rPr>
      </w:pPr>
      <w:r>
        <w:rPr>
          <w:rFonts w:hint="eastAsia" w:cs="宋体"/>
          <w:color w:val="auto"/>
          <w:sz w:val="21"/>
          <w:szCs w:val="21"/>
          <w:highlight w:val="none"/>
        </w:rPr>
        <w:t>采购需求：详见采购文件</w:t>
      </w:r>
    </w:p>
    <w:p>
      <w:pPr>
        <w:pStyle w:val="45"/>
        <w:snapToGrid w:val="0"/>
        <w:spacing w:before="60" w:beforeAutospacing="0" w:after="60" w:afterAutospacing="0" w:line="360" w:lineRule="auto"/>
        <w:ind w:firstLine="630"/>
        <w:contextualSpacing/>
        <w:rPr>
          <w:rFonts w:hint="eastAsia" w:cs="宋体"/>
          <w:color w:val="auto"/>
          <w:sz w:val="21"/>
          <w:szCs w:val="21"/>
          <w:highlight w:val="none"/>
          <w:lang w:val="en-US" w:eastAsia="zh-CN"/>
        </w:rPr>
      </w:pPr>
    </w:p>
    <w:p>
      <w:pPr>
        <w:pStyle w:val="45"/>
        <w:snapToGrid w:val="0"/>
        <w:spacing w:before="60" w:beforeAutospacing="0" w:after="60" w:afterAutospacing="0" w:line="360" w:lineRule="auto"/>
        <w:ind w:firstLine="630"/>
        <w:contextualSpacing/>
        <w:rPr>
          <w:rFonts w:hint="eastAsia" w:cs="宋体"/>
          <w:color w:val="auto"/>
          <w:sz w:val="21"/>
          <w:szCs w:val="21"/>
          <w:highlight w:val="none"/>
        </w:rPr>
      </w:pPr>
      <w:r>
        <w:rPr>
          <w:rFonts w:hint="eastAsia" w:cs="宋体"/>
          <w:color w:val="auto"/>
          <w:sz w:val="21"/>
          <w:szCs w:val="21"/>
          <w:highlight w:val="none"/>
          <w:lang w:val="en-US" w:eastAsia="zh-CN"/>
        </w:rPr>
        <w:t>标项一</w:t>
      </w:r>
      <w:r>
        <w:rPr>
          <w:rFonts w:hint="eastAsia" w:cs="宋体"/>
          <w:color w:val="auto"/>
          <w:sz w:val="21"/>
          <w:szCs w:val="21"/>
          <w:highlight w:val="none"/>
        </w:rPr>
        <w:br w:type="textWrapping"/>
      </w:r>
      <w:r>
        <w:rPr>
          <w:rFonts w:hint="eastAsia" w:cs="宋体"/>
          <w:color w:val="auto"/>
          <w:sz w:val="21"/>
          <w:szCs w:val="21"/>
          <w:highlight w:val="none"/>
        </w:rPr>
        <w:t>    标项名称: </w:t>
      </w:r>
      <w:r>
        <w:rPr>
          <w:rFonts w:hint="eastAsia" w:cs="宋体"/>
          <w:color w:val="auto"/>
          <w:sz w:val="21"/>
          <w:szCs w:val="21"/>
          <w:highlight w:val="none"/>
          <w:lang w:eastAsia="zh-CN"/>
        </w:rPr>
        <w:t>嘉兴海关综合技术服务中心食堂食材采购项目</w:t>
      </w:r>
      <w:r>
        <w:rPr>
          <w:rFonts w:hint="eastAsia" w:cs="宋体"/>
          <w:color w:val="auto"/>
          <w:sz w:val="21"/>
          <w:szCs w:val="21"/>
          <w:highlight w:val="none"/>
          <w:lang w:val="en-US" w:eastAsia="zh-CN"/>
        </w:rPr>
        <w:t>-标项1</w:t>
      </w:r>
      <w:r>
        <w:rPr>
          <w:rFonts w:hint="eastAsia" w:cs="宋体"/>
          <w:color w:val="auto"/>
          <w:sz w:val="21"/>
          <w:szCs w:val="21"/>
          <w:highlight w:val="none"/>
        </w:rPr>
        <w:t> </w:t>
      </w:r>
      <w:r>
        <w:rPr>
          <w:rFonts w:hint="eastAsia" w:cs="宋体"/>
          <w:color w:val="auto"/>
          <w:sz w:val="21"/>
          <w:szCs w:val="21"/>
          <w:highlight w:val="none"/>
        </w:rPr>
        <w:br w:type="textWrapping"/>
      </w:r>
      <w:r>
        <w:rPr>
          <w:rFonts w:hint="eastAsia" w:cs="宋体"/>
          <w:color w:val="auto"/>
          <w:sz w:val="21"/>
          <w:szCs w:val="21"/>
          <w:highlight w:val="none"/>
        </w:rPr>
        <w:t>    数量: 不限  </w:t>
      </w:r>
      <w:r>
        <w:rPr>
          <w:rFonts w:hint="eastAsia" w:cs="宋体"/>
          <w:color w:val="auto"/>
          <w:sz w:val="21"/>
          <w:szCs w:val="21"/>
          <w:highlight w:val="none"/>
        </w:rPr>
        <w:br w:type="textWrapping"/>
      </w:r>
      <w:r>
        <w:rPr>
          <w:rFonts w:hint="eastAsia" w:cs="宋体"/>
          <w:color w:val="auto"/>
          <w:sz w:val="21"/>
          <w:szCs w:val="21"/>
          <w:highlight w:val="none"/>
        </w:rPr>
        <w:t xml:space="preserve">    预算金额（元）: </w:t>
      </w:r>
      <w:r>
        <w:rPr>
          <w:rFonts w:hint="eastAsia" w:cs="宋体"/>
          <w:color w:val="auto"/>
          <w:sz w:val="21"/>
          <w:szCs w:val="21"/>
          <w:highlight w:val="none"/>
          <w:lang w:val="en-US" w:eastAsia="zh-CN"/>
        </w:rPr>
        <w:t>1374000</w:t>
      </w:r>
      <w:r>
        <w:rPr>
          <w:rFonts w:hint="eastAsia" w:cs="宋体"/>
          <w:color w:val="auto"/>
          <w:sz w:val="21"/>
          <w:szCs w:val="21"/>
          <w:highlight w:val="none"/>
        </w:rPr>
        <w:br w:type="textWrapping"/>
      </w:r>
      <w:r>
        <w:rPr>
          <w:rFonts w:hint="eastAsia" w:cs="宋体"/>
          <w:color w:val="auto"/>
          <w:sz w:val="21"/>
          <w:szCs w:val="21"/>
          <w:highlight w:val="none"/>
        </w:rPr>
        <w:t>    简要规格描述或项目基本概况介绍、用途：</w:t>
      </w:r>
      <w:r>
        <w:rPr>
          <w:rFonts w:hint="eastAsia" w:ascii="微软雅黑" w:hAnsi="微软雅黑" w:cs="宋体"/>
          <w:color w:val="auto"/>
          <w:kern w:val="0"/>
          <w:szCs w:val="21"/>
          <w:highlight w:val="none"/>
        </w:rPr>
        <w:t>食堂</w:t>
      </w:r>
      <w:r>
        <w:rPr>
          <w:rFonts w:hint="eastAsia" w:cs="宋体"/>
          <w:color w:val="auto"/>
          <w:sz w:val="21"/>
          <w:szCs w:val="21"/>
          <w:highlight w:val="none"/>
        </w:rPr>
        <w:t>食材供应</w:t>
      </w:r>
      <w:r>
        <w:rPr>
          <w:rFonts w:hint="eastAsia" w:cs="宋体"/>
          <w:color w:val="auto"/>
          <w:sz w:val="21"/>
          <w:szCs w:val="21"/>
          <w:highlight w:val="none"/>
          <w:lang w:val="en-US" w:eastAsia="zh-CN"/>
        </w:rPr>
        <w:t>，</w:t>
      </w:r>
      <w:r>
        <w:rPr>
          <w:rFonts w:hint="eastAsia" w:cs="宋体"/>
          <w:color w:val="auto"/>
          <w:sz w:val="21"/>
          <w:szCs w:val="21"/>
          <w:highlight w:val="none"/>
        </w:rPr>
        <w:t>详见采购需求 </w:t>
      </w:r>
      <w:r>
        <w:rPr>
          <w:rFonts w:hint="eastAsia" w:cs="宋体"/>
          <w:color w:val="auto"/>
          <w:sz w:val="21"/>
          <w:szCs w:val="21"/>
          <w:highlight w:val="none"/>
        </w:rPr>
        <w:br w:type="textWrapping"/>
      </w:r>
      <w:r>
        <w:rPr>
          <w:rFonts w:hint="eastAsia" w:cs="宋体"/>
          <w:color w:val="auto"/>
          <w:sz w:val="21"/>
          <w:szCs w:val="21"/>
          <w:highlight w:val="none"/>
        </w:rPr>
        <w:t>    备注： /</w:t>
      </w:r>
    </w:p>
    <w:p>
      <w:pPr>
        <w:pStyle w:val="45"/>
        <w:snapToGrid w:val="0"/>
        <w:spacing w:before="60" w:beforeAutospacing="0" w:after="60" w:afterAutospacing="0" w:line="360" w:lineRule="auto"/>
        <w:ind w:firstLine="630"/>
        <w:contextualSpacing/>
        <w:rPr>
          <w:rFonts w:hint="eastAsia" w:cs="宋体"/>
          <w:color w:val="auto"/>
          <w:sz w:val="21"/>
          <w:szCs w:val="21"/>
          <w:highlight w:val="none"/>
          <w:lang w:val="en-US" w:eastAsia="zh-CN"/>
        </w:rPr>
      </w:pPr>
    </w:p>
    <w:p>
      <w:pPr>
        <w:pStyle w:val="45"/>
        <w:snapToGrid w:val="0"/>
        <w:spacing w:before="60" w:beforeAutospacing="0" w:after="60" w:afterAutospacing="0" w:line="360" w:lineRule="auto"/>
        <w:ind w:firstLine="630"/>
        <w:contextualSpacing/>
        <w:rPr>
          <w:rFonts w:hint="eastAsia" w:cs="宋体"/>
          <w:color w:val="auto"/>
          <w:sz w:val="21"/>
          <w:szCs w:val="21"/>
          <w:highlight w:val="none"/>
        </w:rPr>
      </w:pPr>
      <w:r>
        <w:rPr>
          <w:rFonts w:hint="eastAsia" w:cs="宋体"/>
          <w:color w:val="auto"/>
          <w:sz w:val="21"/>
          <w:szCs w:val="21"/>
          <w:highlight w:val="none"/>
          <w:lang w:val="en-US" w:eastAsia="zh-CN"/>
        </w:rPr>
        <w:t>标项二</w:t>
      </w:r>
      <w:r>
        <w:rPr>
          <w:rFonts w:hint="eastAsia" w:cs="宋体"/>
          <w:color w:val="auto"/>
          <w:sz w:val="21"/>
          <w:szCs w:val="21"/>
          <w:highlight w:val="none"/>
        </w:rPr>
        <w:br w:type="textWrapping"/>
      </w:r>
      <w:r>
        <w:rPr>
          <w:rFonts w:hint="eastAsia" w:cs="宋体"/>
          <w:color w:val="auto"/>
          <w:sz w:val="21"/>
          <w:szCs w:val="21"/>
          <w:highlight w:val="none"/>
        </w:rPr>
        <w:t>    标项名称: </w:t>
      </w:r>
      <w:r>
        <w:rPr>
          <w:rFonts w:hint="eastAsia" w:cs="宋体"/>
          <w:color w:val="auto"/>
          <w:sz w:val="21"/>
          <w:szCs w:val="21"/>
          <w:highlight w:val="none"/>
          <w:lang w:eastAsia="zh-CN"/>
        </w:rPr>
        <w:t>嘉兴海关综合技术服务中心食堂食材采购项目</w:t>
      </w:r>
      <w:r>
        <w:rPr>
          <w:rFonts w:hint="eastAsia" w:cs="宋体"/>
          <w:color w:val="auto"/>
          <w:sz w:val="21"/>
          <w:szCs w:val="21"/>
          <w:highlight w:val="none"/>
          <w:lang w:val="en-US" w:eastAsia="zh-CN"/>
        </w:rPr>
        <w:t>-标项2</w:t>
      </w:r>
      <w:r>
        <w:rPr>
          <w:rFonts w:hint="eastAsia" w:cs="宋体"/>
          <w:color w:val="auto"/>
          <w:sz w:val="21"/>
          <w:szCs w:val="21"/>
          <w:highlight w:val="none"/>
        </w:rPr>
        <w:t> </w:t>
      </w:r>
      <w:r>
        <w:rPr>
          <w:rFonts w:hint="eastAsia" w:cs="宋体"/>
          <w:color w:val="auto"/>
          <w:sz w:val="21"/>
          <w:szCs w:val="21"/>
          <w:highlight w:val="none"/>
        </w:rPr>
        <w:br w:type="textWrapping"/>
      </w:r>
      <w:r>
        <w:rPr>
          <w:rFonts w:hint="eastAsia" w:cs="宋体"/>
          <w:color w:val="auto"/>
          <w:sz w:val="21"/>
          <w:szCs w:val="21"/>
          <w:highlight w:val="none"/>
        </w:rPr>
        <w:t>    数量: 不限  </w:t>
      </w:r>
      <w:r>
        <w:rPr>
          <w:rFonts w:hint="eastAsia" w:cs="宋体"/>
          <w:color w:val="auto"/>
          <w:sz w:val="21"/>
          <w:szCs w:val="21"/>
          <w:highlight w:val="none"/>
        </w:rPr>
        <w:br w:type="textWrapping"/>
      </w:r>
      <w:r>
        <w:rPr>
          <w:rFonts w:hint="eastAsia" w:cs="宋体"/>
          <w:color w:val="auto"/>
          <w:sz w:val="21"/>
          <w:szCs w:val="21"/>
          <w:highlight w:val="none"/>
        </w:rPr>
        <w:t xml:space="preserve">    预算金额（元）: </w:t>
      </w:r>
      <w:r>
        <w:rPr>
          <w:rFonts w:hint="eastAsia" w:cs="宋体"/>
          <w:color w:val="auto"/>
          <w:sz w:val="21"/>
          <w:szCs w:val="21"/>
          <w:highlight w:val="none"/>
          <w:lang w:val="en-US" w:eastAsia="zh-CN"/>
        </w:rPr>
        <w:t>1374000</w:t>
      </w:r>
      <w:r>
        <w:rPr>
          <w:rFonts w:hint="eastAsia" w:cs="宋体"/>
          <w:color w:val="auto"/>
          <w:sz w:val="21"/>
          <w:szCs w:val="21"/>
          <w:highlight w:val="none"/>
        </w:rPr>
        <w:br w:type="textWrapping"/>
      </w:r>
      <w:r>
        <w:rPr>
          <w:rFonts w:hint="eastAsia" w:cs="宋体"/>
          <w:color w:val="auto"/>
          <w:sz w:val="21"/>
          <w:szCs w:val="21"/>
          <w:highlight w:val="none"/>
        </w:rPr>
        <w:t>    简要规格描述或项目基本概况介绍、用途：食堂食材供应</w:t>
      </w:r>
      <w:r>
        <w:rPr>
          <w:rFonts w:hint="eastAsia" w:cs="宋体"/>
          <w:color w:val="auto"/>
          <w:sz w:val="21"/>
          <w:szCs w:val="21"/>
          <w:highlight w:val="none"/>
          <w:lang w:val="en-US" w:eastAsia="zh-CN"/>
        </w:rPr>
        <w:t>，</w:t>
      </w:r>
      <w:r>
        <w:rPr>
          <w:rFonts w:hint="eastAsia" w:cs="宋体"/>
          <w:color w:val="auto"/>
          <w:sz w:val="21"/>
          <w:szCs w:val="21"/>
          <w:highlight w:val="none"/>
        </w:rPr>
        <w:t>详见采购需求 </w:t>
      </w:r>
      <w:r>
        <w:rPr>
          <w:rFonts w:hint="eastAsia" w:cs="宋体"/>
          <w:color w:val="auto"/>
          <w:sz w:val="21"/>
          <w:szCs w:val="21"/>
          <w:highlight w:val="none"/>
        </w:rPr>
        <w:br w:type="textWrapping"/>
      </w:r>
      <w:r>
        <w:rPr>
          <w:rFonts w:hint="eastAsia" w:cs="宋体"/>
          <w:color w:val="auto"/>
          <w:sz w:val="21"/>
          <w:szCs w:val="21"/>
          <w:highlight w:val="none"/>
        </w:rPr>
        <w:t>    备注： /</w:t>
      </w:r>
    </w:p>
    <w:p>
      <w:pPr>
        <w:pStyle w:val="45"/>
        <w:snapToGrid w:val="0"/>
        <w:spacing w:before="60" w:beforeAutospacing="0" w:after="60" w:afterAutospacing="0" w:line="360" w:lineRule="auto"/>
        <w:ind w:firstLine="630"/>
        <w:contextualSpacing/>
        <w:rPr>
          <w:rFonts w:hint="eastAsia" w:cs="宋体"/>
          <w:color w:val="auto"/>
          <w:sz w:val="21"/>
          <w:szCs w:val="21"/>
          <w:highlight w:val="none"/>
        </w:rPr>
      </w:pPr>
      <w:r>
        <w:rPr>
          <w:rFonts w:hint="eastAsia" w:cs="宋体"/>
          <w:color w:val="auto"/>
          <w:sz w:val="21"/>
          <w:szCs w:val="21"/>
          <w:highlight w:val="none"/>
          <w:lang w:val="en-US" w:eastAsia="zh-CN"/>
        </w:rPr>
        <w:t xml:space="preserve">标项三 </w:t>
      </w:r>
      <w:r>
        <w:rPr>
          <w:rFonts w:hint="eastAsia" w:cs="宋体"/>
          <w:color w:val="auto"/>
          <w:sz w:val="21"/>
          <w:szCs w:val="21"/>
          <w:highlight w:val="none"/>
        </w:rPr>
        <w:br w:type="textWrapping"/>
      </w:r>
      <w:r>
        <w:rPr>
          <w:rFonts w:hint="eastAsia" w:cs="宋体"/>
          <w:color w:val="auto"/>
          <w:sz w:val="21"/>
          <w:szCs w:val="21"/>
          <w:highlight w:val="none"/>
        </w:rPr>
        <w:t>    标项名称: </w:t>
      </w:r>
      <w:r>
        <w:rPr>
          <w:rFonts w:hint="eastAsia" w:cs="宋体"/>
          <w:color w:val="auto"/>
          <w:sz w:val="21"/>
          <w:szCs w:val="21"/>
          <w:highlight w:val="none"/>
          <w:lang w:eastAsia="zh-CN"/>
        </w:rPr>
        <w:t>嘉兴海关综合技术服务中心食堂食材采购项目</w:t>
      </w:r>
      <w:r>
        <w:rPr>
          <w:rFonts w:hint="eastAsia" w:cs="宋体"/>
          <w:color w:val="auto"/>
          <w:sz w:val="21"/>
          <w:szCs w:val="21"/>
          <w:highlight w:val="none"/>
          <w:lang w:val="en-US" w:eastAsia="zh-CN"/>
        </w:rPr>
        <w:t>-标项3</w:t>
      </w:r>
      <w:r>
        <w:rPr>
          <w:rFonts w:hint="eastAsia" w:cs="宋体"/>
          <w:color w:val="auto"/>
          <w:sz w:val="21"/>
          <w:szCs w:val="21"/>
          <w:highlight w:val="none"/>
        </w:rPr>
        <w:t> </w:t>
      </w:r>
      <w:r>
        <w:rPr>
          <w:rFonts w:hint="eastAsia" w:cs="宋体"/>
          <w:color w:val="auto"/>
          <w:sz w:val="21"/>
          <w:szCs w:val="21"/>
          <w:highlight w:val="none"/>
        </w:rPr>
        <w:br w:type="textWrapping"/>
      </w:r>
      <w:r>
        <w:rPr>
          <w:rFonts w:hint="eastAsia" w:cs="宋体"/>
          <w:color w:val="auto"/>
          <w:sz w:val="21"/>
          <w:szCs w:val="21"/>
          <w:highlight w:val="none"/>
        </w:rPr>
        <w:t>    数量: 不限  </w:t>
      </w:r>
      <w:r>
        <w:rPr>
          <w:rFonts w:hint="eastAsia" w:cs="宋体"/>
          <w:color w:val="auto"/>
          <w:sz w:val="21"/>
          <w:szCs w:val="21"/>
          <w:highlight w:val="none"/>
        </w:rPr>
        <w:br w:type="textWrapping"/>
      </w:r>
      <w:r>
        <w:rPr>
          <w:rFonts w:hint="eastAsia" w:cs="宋体"/>
          <w:color w:val="auto"/>
          <w:sz w:val="21"/>
          <w:szCs w:val="21"/>
          <w:highlight w:val="none"/>
        </w:rPr>
        <w:t xml:space="preserve">    预算金额（元）: </w:t>
      </w:r>
      <w:r>
        <w:rPr>
          <w:rFonts w:hint="eastAsia" w:cs="宋体"/>
          <w:color w:val="auto"/>
          <w:sz w:val="21"/>
          <w:szCs w:val="21"/>
          <w:highlight w:val="none"/>
          <w:lang w:val="en-US" w:eastAsia="zh-CN"/>
        </w:rPr>
        <w:t>988000</w:t>
      </w:r>
      <w:r>
        <w:rPr>
          <w:rFonts w:hint="eastAsia" w:cs="宋体"/>
          <w:color w:val="auto"/>
          <w:sz w:val="21"/>
          <w:szCs w:val="21"/>
          <w:highlight w:val="none"/>
        </w:rPr>
        <w:br w:type="textWrapping"/>
      </w:r>
      <w:r>
        <w:rPr>
          <w:rFonts w:hint="eastAsia" w:cs="宋体"/>
          <w:color w:val="auto"/>
          <w:sz w:val="21"/>
          <w:szCs w:val="21"/>
          <w:highlight w:val="none"/>
        </w:rPr>
        <w:t>    简要规格描述或项目基本概况介绍、用途：食堂食材供应</w:t>
      </w:r>
      <w:r>
        <w:rPr>
          <w:rFonts w:hint="eastAsia" w:cs="宋体"/>
          <w:color w:val="auto"/>
          <w:sz w:val="21"/>
          <w:szCs w:val="21"/>
          <w:highlight w:val="none"/>
          <w:lang w:val="en-US" w:eastAsia="zh-CN"/>
        </w:rPr>
        <w:t>，</w:t>
      </w:r>
      <w:r>
        <w:rPr>
          <w:rFonts w:hint="eastAsia" w:cs="宋体"/>
          <w:color w:val="auto"/>
          <w:sz w:val="21"/>
          <w:szCs w:val="21"/>
          <w:highlight w:val="none"/>
        </w:rPr>
        <w:t>详见采购需求 </w:t>
      </w:r>
      <w:r>
        <w:rPr>
          <w:rFonts w:hint="eastAsia" w:cs="宋体"/>
          <w:color w:val="auto"/>
          <w:sz w:val="21"/>
          <w:szCs w:val="21"/>
          <w:highlight w:val="none"/>
        </w:rPr>
        <w:br w:type="textWrapping"/>
      </w:r>
      <w:r>
        <w:rPr>
          <w:rFonts w:hint="eastAsia" w:cs="宋体"/>
          <w:color w:val="auto"/>
          <w:sz w:val="21"/>
          <w:szCs w:val="21"/>
          <w:highlight w:val="none"/>
        </w:rPr>
        <w:t>    备注： /</w:t>
      </w:r>
    </w:p>
    <w:p>
      <w:pPr>
        <w:pStyle w:val="45"/>
        <w:snapToGrid w:val="0"/>
        <w:spacing w:before="60" w:beforeAutospacing="0" w:after="60" w:afterAutospacing="0" w:line="360" w:lineRule="auto"/>
        <w:ind w:firstLine="630"/>
        <w:contextualSpacing/>
        <w:rPr>
          <w:rFonts w:hint="eastAsia" w:cs="宋体"/>
          <w:color w:val="auto"/>
          <w:sz w:val="21"/>
          <w:szCs w:val="21"/>
          <w:highlight w:val="none"/>
        </w:rPr>
      </w:pPr>
    </w:p>
    <w:p>
      <w:pPr>
        <w:pStyle w:val="45"/>
        <w:spacing w:before="60" w:beforeAutospacing="0" w:after="60" w:afterAutospacing="0" w:line="360" w:lineRule="auto"/>
        <w:ind w:firstLine="840" w:firstLineChars="400"/>
        <w:rPr>
          <w:rFonts w:cs="宋体"/>
          <w:color w:val="auto"/>
          <w:sz w:val="21"/>
          <w:szCs w:val="21"/>
          <w:highlight w:val="none"/>
        </w:rPr>
      </w:pPr>
      <w:r>
        <w:rPr>
          <w:rFonts w:hint="eastAsia" w:cs="宋体"/>
          <w:color w:val="auto"/>
          <w:sz w:val="21"/>
          <w:szCs w:val="21"/>
          <w:highlight w:val="none"/>
        </w:rPr>
        <w:t>合同履约期限：</w:t>
      </w:r>
      <w:r>
        <w:rPr>
          <w:rFonts w:hint="eastAsia" w:cs="宋体"/>
          <w:color w:val="auto"/>
          <w:sz w:val="21"/>
          <w:szCs w:val="21"/>
          <w:highlight w:val="none"/>
          <w:lang w:val="en-US" w:eastAsia="zh-CN"/>
        </w:rPr>
        <w:t>标项1、2、3</w:t>
      </w:r>
      <w:r>
        <w:rPr>
          <w:rFonts w:hint="eastAsia" w:cs="宋体"/>
          <w:color w:val="auto"/>
          <w:sz w:val="21"/>
          <w:szCs w:val="21"/>
          <w:highlight w:val="none"/>
        </w:rPr>
        <w:t>合同签订之日起</w:t>
      </w:r>
      <w:r>
        <w:rPr>
          <w:rFonts w:hint="eastAsia" w:cs="宋体"/>
          <w:color w:val="auto"/>
          <w:sz w:val="21"/>
          <w:szCs w:val="21"/>
          <w:highlight w:val="none"/>
          <w:lang w:val="en-US" w:eastAsia="zh-CN"/>
        </w:rPr>
        <w:t>一</w:t>
      </w:r>
      <w:r>
        <w:rPr>
          <w:rFonts w:hint="eastAsia" w:cs="宋体"/>
          <w:color w:val="auto"/>
          <w:sz w:val="21"/>
          <w:szCs w:val="21"/>
          <w:highlight w:val="none"/>
        </w:rPr>
        <w:t>年</w:t>
      </w:r>
    </w:p>
    <w:p>
      <w:pPr>
        <w:pStyle w:val="45"/>
        <w:spacing w:before="60" w:beforeAutospacing="0" w:after="60" w:afterAutospacing="0" w:line="360" w:lineRule="auto"/>
        <w:ind w:firstLine="630"/>
        <w:rPr>
          <w:rFonts w:cs="宋体"/>
          <w:color w:val="auto"/>
          <w:sz w:val="21"/>
          <w:szCs w:val="21"/>
          <w:highlight w:val="none"/>
        </w:rPr>
      </w:pPr>
      <w:r>
        <w:rPr>
          <w:rFonts w:hint="eastAsia" w:cs="宋体"/>
          <w:color w:val="auto"/>
          <w:sz w:val="21"/>
          <w:szCs w:val="21"/>
          <w:highlight w:val="none"/>
        </w:rPr>
        <w:t xml:space="preserve"> 本项目（否）接受联合体投标。</w:t>
      </w:r>
    </w:p>
    <w:p>
      <w:pPr>
        <w:pStyle w:val="45"/>
        <w:spacing w:before="180" w:beforeAutospacing="0" w:after="180" w:afterAutospacing="0" w:line="360" w:lineRule="auto"/>
        <w:rPr>
          <w:rFonts w:cs="宋体"/>
          <w:color w:val="auto"/>
          <w:sz w:val="21"/>
          <w:szCs w:val="21"/>
          <w:highlight w:val="none"/>
        </w:rPr>
      </w:pPr>
      <w:r>
        <w:rPr>
          <w:rStyle w:val="53"/>
          <w:rFonts w:hint="eastAsia" w:cs="宋体"/>
          <w:color w:val="auto"/>
          <w:sz w:val="21"/>
          <w:szCs w:val="21"/>
          <w:highlight w:val="none"/>
        </w:rPr>
        <w:t>二、申请人的资格要求：</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2.落实政府采购政策需满足的资格要求：</w:t>
      </w:r>
      <w:r>
        <w:rPr>
          <w:rFonts w:hint="eastAsia" w:cs="宋体"/>
          <w:color w:val="auto"/>
          <w:sz w:val="21"/>
          <w:szCs w:val="21"/>
          <w:highlight w:val="none"/>
          <w:lang w:val="en-US" w:eastAsia="zh-CN"/>
        </w:rPr>
        <w:t>标项1：专门面向中小企业；标项2：无；标项3：无</w:t>
      </w:r>
      <w:r>
        <w:rPr>
          <w:rFonts w:hint="eastAsia" w:cs="宋体"/>
          <w:color w:val="auto"/>
          <w:sz w:val="21"/>
          <w:szCs w:val="21"/>
          <w:highlight w:val="none"/>
        </w:rPr>
        <w:t>。 </w:t>
      </w:r>
    </w:p>
    <w:p>
      <w:pPr>
        <w:pStyle w:val="45"/>
        <w:spacing w:before="60" w:beforeAutospacing="0" w:after="60" w:afterAutospacing="0" w:line="360" w:lineRule="auto"/>
        <w:ind w:firstLine="630"/>
        <w:rPr>
          <w:rFonts w:cs="宋体"/>
          <w:color w:val="auto"/>
          <w:sz w:val="21"/>
          <w:szCs w:val="21"/>
          <w:highlight w:val="none"/>
        </w:rPr>
      </w:pPr>
      <w:r>
        <w:rPr>
          <w:rFonts w:hint="eastAsia" w:cs="宋体"/>
          <w:color w:val="auto"/>
          <w:sz w:val="21"/>
          <w:szCs w:val="21"/>
          <w:highlight w:val="none"/>
        </w:rPr>
        <w:t>3.本项目的特定资格要求：无 </w:t>
      </w:r>
    </w:p>
    <w:p>
      <w:pPr>
        <w:pStyle w:val="45"/>
        <w:spacing w:before="204" w:beforeAutospacing="0" w:after="204" w:afterAutospacing="0" w:line="360" w:lineRule="auto"/>
        <w:jc w:val="both"/>
        <w:rPr>
          <w:rFonts w:cs="宋体"/>
          <w:color w:val="auto"/>
          <w:sz w:val="21"/>
          <w:szCs w:val="21"/>
          <w:highlight w:val="none"/>
        </w:rPr>
      </w:pPr>
      <w:r>
        <w:rPr>
          <w:rStyle w:val="53"/>
          <w:rFonts w:hint="eastAsia" w:cs="宋体"/>
          <w:color w:val="auto"/>
          <w:sz w:val="21"/>
          <w:szCs w:val="21"/>
          <w:highlight w:val="none"/>
        </w:rPr>
        <w:t>三、获取招标文件方式</w:t>
      </w:r>
      <w:r>
        <w:rPr>
          <w:rFonts w:hint="eastAsia" w:cs="宋体"/>
          <w:color w:val="auto"/>
          <w:sz w:val="21"/>
          <w:szCs w:val="21"/>
          <w:highlight w:val="none"/>
        </w:rPr>
        <w:t> </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1.时间：202</w:t>
      </w:r>
      <w:r>
        <w:rPr>
          <w:rFonts w:hint="eastAsia" w:cs="宋体"/>
          <w:color w:val="auto"/>
          <w:sz w:val="21"/>
          <w:szCs w:val="21"/>
          <w:highlight w:val="none"/>
          <w:lang w:val="en-US" w:eastAsia="zh-CN"/>
        </w:rPr>
        <w:t>4</w:t>
      </w:r>
      <w:r>
        <w:rPr>
          <w:rFonts w:hint="eastAsia" w:cs="宋体"/>
          <w:color w:val="auto"/>
          <w:sz w:val="21"/>
          <w:szCs w:val="21"/>
          <w:highlight w:val="none"/>
        </w:rPr>
        <w:t>年</w:t>
      </w:r>
      <w:r>
        <w:rPr>
          <w:rFonts w:hint="eastAsia" w:cs="宋体"/>
          <w:color w:val="auto"/>
          <w:sz w:val="21"/>
          <w:szCs w:val="21"/>
          <w:highlight w:val="none"/>
          <w:lang w:val="en-US" w:eastAsia="zh-CN"/>
        </w:rPr>
        <w:t>4</w:t>
      </w:r>
      <w:r>
        <w:rPr>
          <w:rFonts w:hint="eastAsia" w:cs="宋体"/>
          <w:color w:val="auto"/>
          <w:sz w:val="21"/>
          <w:szCs w:val="21"/>
          <w:highlight w:val="none"/>
        </w:rPr>
        <w:t>月</w:t>
      </w:r>
      <w:r>
        <w:rPr>
          <w:rFonts w:hint="eastAsia" w:cs="宋体"/>
          <w:color w:val="auto"/>
          <w:sz w:val="21"/>
          <w:szCs w:val="21"/>
          <w:highlight w:val="none"/>
          <w:lang w:val="en-US" w:eastAsia="zh-CN"/>
        </w:rPr>
        <w:t>30</w:t>
      </w:r>
      <w:r>
        <w:rPr>
          <w:rFonts w:hint="eastAsia" w:cs="宋体"/>
          <w:color w:val="auto"/>
          <w:sz w:val="21"/>
          <w:szCs w:val="21"/>
          <w:highlight w:val="none"/>
        </w:rPr>
        <w:t>日至202</w:t>
      </w:r>
      <w:r>
        <w:rPr>
          <w:rFonts w:hint="eastAsia" w:cs="宋体"/>
          <w:color w:val="auto"/>
          <w:sz w:val="21"/>
          <w:szCs w:val="21"/>
          <w:highlight w:val="none"/>
          <w:lang w:val="en-US" w:eastAsia="zh-CN"/>
        </w:rPr>
        <w:t>4</w:t>
      </w:r>
      <w:r>
        <w:rPr>
          <w:rFonts w:hint="eastAsia" w:cs="宋体"/>
          <w:color w:val="auto"/>
          <w:sz w:val="21"/>
          <w:szCs w:val="21"/>
          <w:highlight w:val="none"/>
        </w:rPr>
        <w:t>年</w:t>
      </w:r>
      <w:r>
        <w:rPr>
          <w:rFonts w:hint="eastAsia" w:cs="宋体"/>
          <w:color w:val="auto"/>
          <w:sz w:val="21"/>
          <w:szCs w:val="21"/>
          <w:highlight w:val="none"/>
          <w:lang w:val="en-US" w:eastAsia="zh-CN"/>
        </w:rPr>
        <w:t>5</w:t>
      </w:r>
      <w:r>
        <w:rPr>
          <w:rFonts w:hint="eastAsia" w:cs="宋体"/>
          <w:color w:val="auto"/>
          <w:sz w:val="21"/>
          <w:szCs w:val="21"/>
          <w:highlight w:val="none"/>
        </w:rPr>
        <w:t>月</w:t>
      </w:r>
      <w:r>
        <w:rPr>
          <w:rFonts w:hint="eastAsia" w:cs="宋体"/>
          <w:color w:val="auto"/>
          <w:sz w:val="21"/>
          <w:szCs w:val="21"/>
          <w:highlight w:val="none"/>
          <w:lang w:val="en-US" w:eastAsia="zh-CN"/>
        </w:rPr>
        <w:t>20</w:t>
      </w:r>
      <w:r>
        <w:rPr>
          <w:rFonts w:hint="eastAsia" w:cs="宋体"/>
          <w:color w:val="auto"/>
          <w:sz w:val="21"/>
          <w:szCs w:val="21"/>
          <w:highlight w:val="none"/>
        </w:rPr>
        <w:t>日 ，每天9：00—17：00（双休日及法定节假日除外）</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2.地点及方式：</w:t>
      </w:r>
      <w:r>
        <w:rPr>
          <w:rFonts w:hint="eastAsia" w:cs="宋体"/>
          <w:color w:val="auto"/>
          <w:sz w:val="21"/>
          <w:szCs w:val="21"/>
          <w:highlight w:val="none"/>
          <w:lang w:eastAsia="zh-CN"/>
        </w:rPr>
        <w:t>大地工程咨询有限公司</w:t>
      </w:r>
      <w:r>
        <w:rPr>
          <w:rFonts w:hint="eastAsia" w:cs="宋体"/>
          <w:color w:val="auto"/>
          <w:sz w:val="21"/>
          <w:szCs w:val="21"/>
          <w:highlight w:val="none"/>
        </w:rPr>
        <w:t>（</w:t>
      </w:r>
      <w:r>
        <w:rPr>
          <w:rFonts w:hint="eastAsia" w:cs="宋体"/>
          <w:color w:val="auto"/>
          <w:sz w:val="21"/>
          <w:szCs w:val="21"/>
          <w:highlight w:val="none"/>
          <w:lang w:eastAsia="zh-CN"/>
        </w:rPr>
        <w:t>嘉兴市秀洲区洪波路1200号万豪广场12楼1204室</w:t>
      </w:r>
      <w:r>
        <w:rPr>
          <w:rFonts w:hint="eastAsia" w:cs="宋体"/>
          <w:color w:val="auto"/>
          <w:sz w:val="21"/>
          <w:szCs w:val="21"/>
          <w:highlight w:val="none"/>
        </w:rPr>
        <w:t>）；</w:t>
      </w:r>
      <w:r>
        <w:rPr>
          <w:rFonts w:hint="eastAsia" w:cs="宋体"/>
          <w:b/>
          <w:bCs/>
          <w:color w:val="auto"/>
          <w:sz w:val="21"/>
          <w:szCs w:val="21"/>
          <w:highlight w:val="none"/>
        </w:rPr>
        <w:t>本项目也可采用网上申领招标文件（将申领招标文件资料扫描后发送至376790573@qq.com，采用网上申领的发送申领招标文件资料后请致电</w:t>
      </w:r>
      <w:r>
        <w:rPr>
          <w:rFonts w:hint="eastAsia" w:cs="宋体"/>
          <w:b/>
          <w:bCs/>
          <w:color w:val="auto"/>
          <w:sz w:val="21"/>
          <w:szCs w:val="21"/>
          <w:highlight w:val="none"/>
          <w:lang w:eastAsia="zh-CN"/>
        </w:rPr>
        <w:t>0573-82133572</w:t>
      </w:r>
      <w:r>
        <w:rPr>
          <w:rFonts w:hint="eastAsia" w:cs="宋体"/>
          <w:b/>
          <w:bCs/>
          <w:color w:val="auto"/>
          <w:sz w:val="21"/>
          <w:szCs w:val="21"/>
          <w:highlight w:val="none"/>
        </w:rPr>
        <w:t>确认）。</w:t>
      </w:r>
      <w:r>
        <w:rPr>
          <w:rFonts w:hint="eastAsia" w:cs="宋体"/>
          <w:color w:val="auto"/>
          <w:sz w:val="21"/>
          <w:szCs w:val="21"/>
          <w:highlight w:val="none"/>
        </w:rPr>
        <w:t>  </w:t>
      </w:r>
    </w:p>
    <w:p>
      <w:pPr>
        <w:pStyle w:val="45"/>
        <w:spacing w:before="60" w:beforeAutospacing="0" w:after="60" w:afterAutospacing="0" w:line="360" w:lineRule="auto"/>
        <w:ind w:firstLine="630"/>
        <w:rPr>
          <w:rFonts w:cs="宋体"/>
          <w:color w:val="auto"/>
          <w:sz w:val="21"/>
          <w:szCs w:val="21"/>
          <w:highlight w:val="none"/>
        </w:rPr>
      </w:pPr>
      <w:r>
        <w:rPr>
          <w:rFonts w:hint="eastAsia" w:cs="宋体"/>
          <w:color w:val="auto"/>
          <w:sz w:val="21"/>
          <w:szCs w:val="21"/>
          <w:highlight w:val="none"/>
        </w:rPr>
        <w:t>3.申请招标时提供以下资料：（1）法人营业执照副本复印件；（</w:t>
      </w:r>
      <w:r>
        <w:rPr>
          <w:rFonts w:cs="宋体"/>
          <w:color w:val="auto"/>
          <w:sz w:val="21"/>
          <w:szCs w:val="21"/>
          <w:highlight w:val="none"/>
        </w:rPr>
        <w:t>2</w:t>
      </w:r>
      <w:r>
        <w:rPr>
          <w:rFonts w:hint="eastAsia" w:cs="宋体"/>
          <w:color w:val="auto"/>
          <w:sz w:val="21"/>
          <w:szCs w:val="21"/>
          <w:highlight w:val="none"/>
        </w:rPr>
        <w:t>）法人代表身份证复印件及授权书（若为法人报名的则无需提供）；（3）工本费汇款底单</w:t>
      </w:r>
      <w:r>
        <w:rPr>
          <w:rFonts w:hint="eastAsia" w:cs="宋体"/>
          <w:b/>
          <w:bCs/>
          <w:color w:val="auto"/>
          <w:sz w:val="21"/>
          <w:szCs w:val="21"/>
          <w:highlight w:val="none"/>
          <w:lang w:eastAsia="zh-CN"/>
        </w:rPr>
        <w:t>（</w:t>
      </w:r>
      <w:r>
        <w:rPr>
          <w:rFonts w:hint="eastAsia" w:cs="宋体"/>
          <w:b/>
          <w:bCs/>
          <w:color w:val="auto"/>
          <w:sz w:val="21"/>
          <w:szCs w:val="21"/>
          <w:highlight w:val="none"/>
          <w:lang w:val="en-US" w:eastAsia="zh-CN"/>
        </w:rPr>
        <w:t>并注明所投标项</w:t>
      </w:r>
      <w:r>
        <w:rPr>
          <w:rFonts w:hint="eastAsia" w:cs="宋体"/>
          <w:b/>
          <w:bCs/>
          <w:color w:val="auto"/>
          <w:sz w:val="21"/>
          <w:szCs w:val="21"/>
          <w:highlight w:val="none"/>
          <w:lang w:eastAsia="zh-CN"/>
        </w:rPr>
        <w:t>）</w:t>
      </w:r>
      <w:r>
        <w:rPr>
          <w:rFonts w:hint="eastAsia" w:cs="宋体"/>
          <w:color w:val="auto"/>
          <w:sz w:val="21"/>
          <w:szCs w:val="21"/>
          <w:highlight w:val="none"/>
        </w:rPr>
        <w:t> </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4.售价（元）：</w:t>
      </w:r>
      <w:r>
        <w:rPr>
          <w:rFonts w:hint="eastAsia" w:cs="宋体"/>
          <w:color w:val="auto"/>
          <w:sz w:val="21"/>
          <w:szCs w:val="21"/>
          <w:highlight w:val="none"/>
          <w:lang w:val="en-US" w:eastAsia="zh-CN"/>
        </w:rPr>
        <w:t>3</w:t>
      </w:r>
      <w:r>
        <w:rPr>
          <w:rFonts w:hint="eastAsia" w:cs="宋体"/>
          <w:color w:val="auto"/>
          <w:sz w:val="21"/>
          <w:szCs w:val="21"/>
          <w:highlight w:val="none"/>
        </w:rPr>
        <w:t>00元/</w:t>
      </w:r>
      <w:r>
        <w:rPr>
          <w:rFonts w:hint="eastAsia" w:cs="宋体"/>
          <w:color w:val="auto"/>
          <w:sz w:val="21"/>
          <w:szCs w:val="21"/>
          <w:highlight w:val="none"/>
          <w:lang w:val="en-US" w:eastAsia="zh-CN"/>
        </w:rPr>
        <w:t>标项/</w:t>
      </w:r>
      <w:r>
        <w:rPr>
          <w:rFonts w:hint="eastAsia" w:cs="宋体"/>
          <w:color w:val="auto"/>
          <w:sz w:val="21"/>
          <w:szCs w:val="21"/>
          <w:highlight w:val="none"/>
        </w:rPr>
        <w:t>份 ，收款账户为支付宝账户：376790573@qq.com。</w:t>
      </w:r>
    </w:p>
    <w:p>
      <w:pPr>
        <w:pStyle w:val="45"/>
        <w:spacing w:before="204" w:beforeAutospacing="0" w:after="204" w:afterAutospacing="0" w:line="360" w:lineRule="auto"/>
        <w:jc w:val="both"/>
        <w:rPr>
          <w:rFonts w:cs="宋体"/>
          <w:color w:val="auto"/>
          <w:sz w:val="21"/>
          <w:szCs w:val="21"/>
          <w:highlight w:val="none"/>
        </w:rPr>
      </w:pPr>
      <w:r>
        <w:rPr>
          <w:rStyle w:val="53"/>
          <w:rFonts w:hint="eastAsia" w:cs="宋体"/>
          <w:color w:val="auto"/>
          <w:sz w:val="21"/>
          <w:szCs w:val="21"/>
          <w:highlight w:val="none"/>
        </w:rPr>
        <w:t>四、提交投标文件截止时间、开标时间和地点</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提交投标文件截止时间及地点：投标人应于202</w:t>
      </w:r>
      <w:r>
        <w:rPr>
          <w:rFonts w:hint="eastAsia" w:cs="宋体"/>
          <w:color w:val="auto"/>
          <w:sz w:val="21"/>
          <w:szCs w:val="21"/>
          <w:highlight w:val="none"/>
          <w:lang w:val="en-US" w:eastAsia="zh-CN"/>
        </w:rPr>
        <w:t>4</w:t>
      </w:r>
      <w:r>
        <w:rPr>
          <w:rFonts w:hint="eastAsia" w:cs="宋体"/>
          <w:color w:val="auto"/>
          <w:sz w:val="21"/>
          <w:szCs w:val="21"/>
          <w:highlight w:val="none"/>
        </w:rPr>
        <w:t>年</w:t>
      </w:r>
      <w:r>
        <w:rPr>
          <w:rFonts w:hint="eastAsia" w:cs="宋体"/>
          <w:color w:val="auto"/>
          <w:sz w:val="21"/>
          <w:szCs w:val="21"/>
          <w:highlight w:val="none"/>
          <w:lang w:val="en-US" w:eastAsia="zh-CN"/>
        </w:rPr>
        <w:t>5</w:t>
      </w:r>
      <w:r>
        <w:rPr>
          <w:rFonts w:hint="eastAsia" w:cs="宋体"/>
          <w:color w:val="auto"/>
          <w:sz w:val="21"/>
          <w:szCs w:val="21"/>
          <w:highlight w:val="none"/>
        </w:rPr>
        <w:t>月</w:t>
      </w:r>
      <w:r>
        <w:rPr>
          <w:rFonts w:hint="eastAsia" w:cs="宋体"/>
          <w:color w:val="auto"/>
          <w:sz w:val="21"/>
          <w:szCs w:val="21"/>
          <w:highlight w:val="none"/>
          <w:lang w:val="en-US" w:eastAsia="zh-CN"/>
        </w:rPr>
        <w:t>21</w:t>
      </w:r>
      <w:r>
        <w:rPr>
          <w:rFonts w:hint="eastAsia" w:cs="宋体"/>
          <w:color w:val="auto"/>
          <w:sz w:val="21"/>
          <w:szCs w:val="21"/>
          <w:highlight w:val="none"/>
        </w:rPr>
        <w:t>日09:30分前将投标文件密封送交到</w:t>
      </w:r>
      <w:r>
        <w:rPr>
          <w:rFonts w:hint="eastAsia" w:cs="宋体"/>
          <w:color w:val="auto"/>
          <w:sz w:val="21"/>
          <w:szCs w:val="21"/>
          <w:highlight w:val="none"/>
          <w:lang w:eastAsia="zh-CN"/>
        </w:rPr>
        <w:t>大地工程咨询有限公司</w:t>
      </w:r>
      <w:r>
        <w:rPr>
          <w:rFonts w:hint="eastAsia" w:cs="宋体"/>
          <w:color w:val="auto"/>
          <w:sz w:val="21"/>
          <w:szCs w:val="21"/>
          <w:highlight w:val="none"/>
        </w:rPr>
        <w:t>（</w:t>
      </w:r>
      <w:r>
        <w:rPr>
          <w:rFonts w:hint="eastAsia" w:cs="宋体"/>
          <w:color w:val="auto"/>
          <w:sz w:val="21"/>
          <w:szCs w:val="21"/>
          <w:highlight w:val="none"/>
          <w:lang w:eastAsia="zh-CN"/>
        </w:rPr>
        <w:t>嘉兴市秀洲区洪波路1200号万豪广场12楼1204室</w:t>
      </w:r>
      <w:r>
        <w:rPr>
          <w:rFonts w:hint="eastAsia" w:cs="宋体"/>
          <w:color w:val="auto"/>
          <w:sz w:val="21"/>
          <w:szCs w:val="21"/>
          <w:highlight w:val="none"/>
        </w:rPr>
        <w:t>），逾期送达不予接收。 </w:t>
      </w:r>
    </w:p>
    <w:p>
      <w:pPr>
        <w:pStyle w:val="45"/>
        <w:spacing w:before="60" w:beforeAutospacing="0" w:after="60" w:afterAutospacing="0" w:line="360" w:lineRule="auto"/>
        <w:ind w:firstLine="211" w:firstLineChars="100"/>
        <w:rPr>
          <w:rFonts w:hint="default" w:eastAsia="宋体" w:cs="宋体"/>
          <w:b/>
          <w:color w:val="auto"/>
          <w:sz w:val="21"/>
          <w:szCs w:val="21"/>
          <w:highlight w:val="none"/>
          <w:u w:val="single"/>
          <w:lang w:val="en-US" w:eastAsia="zh-CN"/>
        </w:rPr>
      </w:pPr>
      <w:r>
        <w:rPr>
          <w:rFonts w:hint="eastAsia" w:cs="宋体"/>
          <w:b/>
          <w:color w:val="auto"/>
          <w:sz w:val="21"/>
          <w:szCs w:val="21"/>
          <w:highlight w:val="none"/>
          <w:u w:val="single"/>
        </w:rPr>
        <w:t>本项目投标文件采取邮寄</w:t>
      </w:r>
      <w:r>
        <w:rPr>
          <w:rFonts w:hint="eastAsia" w:cs="宋体"/>
          <w:b/>
          <w:color w:val="auto"/>
          <w:sz w:val="21"/>
          <w:szCs w:val="21"/>
          <w:highlight w:val="none"/>
          <w:u w:val="single"/>
          <w:lang w:val="en-US" w:eastAsia="zh-CN"/>
        </w:rPr>
        <w:t>或直接</w:t>
      </w:r>
      <w:r>
        <w:rPr>
          <w:rFonts w:hint="eastAsia" w:cs="宋体"/>
          <w:b/>
          <w:color w:val="auto"/>
          <w:sz w:val="21"/>
          <w:szCs w:val="21"/>
          <w:highlight w:val="none"/>
          <w:u w:val="single"/>
        </w:rPr>
        <w:t>送达方式，投标人授权代表不参加现场开标。</w:t>
      </w:r>
      <w:r>
        <w:rPr>
          <w:rFonts w:hint="eastAsia" w:cs="宋体"/>
          <w:b/>
          <w:color w:val="auto"/>
          <w:sz w:val="21"/>
          <w:szCs w:val="21"/>
          <w:highlight w:val="none"/>
          <w:u w:val="single"/>
          <w:lang w:val="en-US" w:eastAsia="zh-CN"/>
        </w:rPr>
        <w:t>采取邮寄方式的</w:t>
      </w:r>
      <w:r>
        <w:rPr>
          <w:rFonts w:hint="eastAsia" w:cs="宋体"/>
          <w:b/>
          <w:color w:val="auto"/>
          <w:sz w:val="21"/>
          <w:szCs w:val="21"/>
          <w:highlight w:val="none"/>
          <w:u w:val="single"/>
        </w:rPr>
        <w:t>投标文件需在投标截止时间前将投标文件袋装密封后送达（附联系电话及联系人），密封袋上有接缝处均需加盖单位公章。（请投标人自行确认邮寄时效性，逾期招标代理机构将不接收）邮寄地址：</w:t>
      </w:r>
      <w:r>
        <w:rPr>
          <w:rFonts w:hint="eastAsia" w:cs="宋体"/>
          <w:b/>
          <w:color w:val="auto"/>
          <w:sz w:val="21"/>
          <w:szCs w:val="21"/>
          <w:highlight w:val="none"/>
          <w:u w:val="single"/>
          <w:lang w:eastAsia="zh-CN"/>
        </w:rPr>
        <w:t>大地工程咨询有限公司</w:t>
      </w:r>
      <w:r>
        <w:rPr>
          <w:rFonts w:hint="eastAsia" w:cs="宋体"/>
          <w:b/>
          <w:color w:val="auto"/>
          <w:sz w:val="21"/>
          <w:szCs w:val="21"/>
          <w:highlight w:val="none"/>
          <w:u w:val="single"/>
        </w:rPr>
        <w:t>（</w:t>
      </w:r>
      <w:r>
        <w:rPr>
          <w:rFonts w:hint="eastAsia" w:cs="宋体"/>
          <w:b/>
          <w:color w:val="auto"/>
          <w:sz w:val="21"/>
          <w:szCs w:val="21"/>
          <w:highlight w:val="none"/>
          <w:u w:val="single"/>
          <w:lang w:eastAsia="zh-CN"/>
        </w:rPr>
        <w:t>嘉兴市秀洲区洪波路1200号万豪广场12楼1204室</w:t>
      </w:r>
      <w:r>
        <w:rPr>
          <w:rFonts w:hint="eastAsia" w:cs="宋体"/>
          <w:b/>
          <w:color w:val="auto"/>
          <w:sz w:val="21"/>
          <w:szCs w:val="21"/>
          <w:highlight w:val="none"/>
          <w:u w:val="single"/>
        </w:rPr>
        <w:t>）；收件人：杨丽莉，联系电话：</w:t>
      </w:r>
      <w:r>
        <w:rPr>
          <w:rFonts w:hint="eastAsia" w:cs="宋体"/>
          <w:b/>
          <w:color w:val="auto"/>
          <w:sz w:val="21"/>
          <w:szCs w:val="21"/>
          <w:highlight w:val="none"/>
          <w:u w:val="single"/>
          <w:lang w:eastAsia="zh-CN"/>
        </w:rPr>
        <w:t>0573-82133572</w:t>
      </w:r>
      <w:r>
        <w:rPr>
          <w:rFonts w:hint="eastAsia" w:cs="宋体"/>
          <w:b/>
          <w:color w:val="auto"/>
          <w:sz w:val="21"/>
          <w:szCs w:val="21"/>
          <w:highlight w:val="none"/>
          <w:u w:val="single"/>
        </w:rPr>
        <w:t>。招标代理机构做好投标文件交接签收记录、并及时告知投标人，寄件或送达前务必提前联系，以便妥善办好交接签收手续。</w:t>
      </w:r>
      <w:r>
        <w:rPr>
          <w:rFonts w:hint="eastAsia" w:cs="宋体"/>
          <w:b/>
          <w:color w:val="auto"/>
          <w:sz w:val="21"/>
          <w:szCs w:val="21"/>
          <w:highlight w:val="none"/>
          <w:u w:val="single"/>
          <w:lang w:val="en-US" w:eastAsia="zh-CN"/>
        </w:rPr>
        <w:t>采取直接送达方式的，招标代理机构将在开标前30分钟开始接收投标文件。</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开标时间：202</w:t>
      </w:r>
      <w:r>
        <w:rPr>
          <w:rFonts w:hint="eastAsia" w:cs="宋体"/>
          <w:color w:val="auto"/>
          <w:sz w:val="21"/>
          <w:szCs w:val="21"/>
          <w:highlight w:val="none"/>
          <w:lang w:val="en-US" w:eastAsia="zh-CN"/>
        </w:rPr>
        <w:t>4</w:t>
      </w:r>
      <w:r>
        <w:rPr>
          <w:rFonts w:hint="eastAsia" w:cs="宋体"/>
          <w:color w:val="auto"/>
          <w:sz w:val="21"/>
          <w:szCs w:val="21"/>
          <w:highlight w:val="none"/>
        </w:rPr>
        <w:t>年</w:t>
      </w:r>
      <w:r>
        <w:rPr>
          <w:rFonts w:hint="eastAsia" w:cs="宋体"/>
          <w:color w:val="auto"/>
          <w:sz w:val="21"/>
          <w:szCs w:val="21"/>
          <w:highlight w:val="none"/>
          <w:lang w:val="en-US" w:eastAsia="zh-CN"/>
        </w:rPr>
        <w:t>5</w:t>
      </w:r>
      <w:r>
        <w:rPr>
          <w:rFonts w:hint="eastAsia" w:cs="宋体"/>
          <w:color w:val="auto"/>
          <w:sz w:val="21"/>
          <w:szCs w:val="21"/>
          <w:highlight w:val="none"/>
        </w:rPr>
        <w:t>月</w:t>
      </w:r>
      <w:r>
        <w:rPr>
          <w:rFonts w:hint="eastAsia" w:cs="宋体"/>
          <w:color w:val="auto"/>
          <w:sz w:val="21"/>
          <w:szCs w:val="21"/>
          <w:highlight w:val="none"/>
          <w:lang w:val="en-US" w:eastAsia="zh-CN"/>
        </w:rPr>
        <w:t>21</w:t>
      </w:r>
      <w:r>
        <w:rPr>
          <w:rFonts w:hint="eastAsia" w:cs="宋体"/>
          <w:color w:val="auto"/>
          <w:sz w:val="21"/>
          <w:szCs w:val="21"/>
          <w:highlight w:val="none"/>
        </w:rPr>
        <w:t>日09:30分</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开标地点：</w:t>
      </w:r>
      <w:r>
        <w:rPr>
          <w:rFonts w:hint="eastAsia" w:cs="宋体"/>
          <w:color w:val="auto"/>
          <w:sz w:val="21"/>
          <w:szCs w:val="21"/>
          <w:highlight w:val="none"/>
          <w:lang w:eastAsia="zh-CN"/>
        </w:rPr>
        <w:t>大地工程咨询有限公司</w:t>
      </w:r>
      <w:r>
        <w:rPr>
          <w:rFonts w:hint="eastAsia" w:cs="宋体"/>
          <w:color w:val="auto"/>
          <w:sz w:val="21"/>
          <w:szCs w:val="21"/>
          <w:highlight w:val="none"/>
        </w:rPr>
        <w:t>（</w:t>
      </w:r>
      <w:r>
        <w:rPr>
          <w:rFonts w:hint="eastAsia" w:cs="宋体"/>
          <w:color w:val="auto"/>
          <w:sz w:val="21"/>
          <w:szCs w:val="21"/>
          <w:highlight w:val="none"/>
          <w:lang w:eastAsia="zh-CN"/>
        </w:rPr>
        <w:t>嘉兴市秀洲区洪波路1200号万豪广场12楼1204室</w:t>
      </w:r>
      <w:r>
        <w:rPr>
          <w:rFonts w:hint="eastAsia" w:cs="宋体"/>
          <w:color w:val="auto"/>
          <w:sz w:val="21"/>
          <w:szCs w:val="21"/>
          <w:highlight w:val="none"/>
        </w:rPr>
        <w:t>） </w:t>
      </w:r>
    </w:p>
    <w:p>
      <w:pPr>
        <w:pStyle w:val="45"/>
        <w:spacing w:before="204" w:beforeAutospacing="0" w:after="204" w:afterAutospacing="0" w:line="360" w:lineRule="auto"/>
        <w:jc w:val="both"/>
        <w:rPr>
          <w:rFonts w:cs="宋体"/>
          <w:color w:val="auto"/>
          <w:sz w:val="21"/>
          <w:szCs w:val="21"/>
          <w:highlight w:val="none"/>
        </w:rPr>
      </w:pPr>
      <w:r>
        <w:rPr>
          <w:rStyle w:val="53"/>
          <w:rFonts w:hint="eastAsia" w:cs="宋体"/>
          <w:color w:val="auto"/>
          <w:sz w:val="21"/>
          <w:szCs w:val="21"/>
          <w:highlight w:val="none"/>
        </w:rPr>
        <w:t>五、公告期限</w:t>
      </w:r>
      <w:r>
        <w:rPr>
          <w:rFonts w:hint="eastAsia" w:cs="宋体"/>
          <w:color w:val="auto"/>
          <w:sz w:val="21"/>
          <w:szCs w:val="21"/>
          <w:highlight w:val="none"/>
        </w:rPr>
        <w:t> </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自本公告发布之日起5个工作日。</w:t>
      </w:r>
    </w:p>
    <w:p>
      <w:pPr>
        <w:pStyle w:val="45"/>
        <w:spacing w:before="204" w:beforeAutospacing="0" w:after="204" w:afterAutospacing="0" w:line="360" w:lineRule="auto"/>
        <w:jc w:val="both"/>
        <w:rPr>
          <w:rFonts w:cs="宋体"/>
          <w:color w:val="auto"/>
          <w:sz w:val="21"/>
          <w:szCs w:val="21"/>
          <w:highlight w:val="none"/>
        </w:rPr>
      </w:pPr>
      <w:r>
        <w:rPr>
          <w:rStyle w:val="53"/>
          <w:rFonts w:hint="eastAsia" w:cs="宋体"/>
          <w:color w:val="auto"/>
          <w:sz w:val="21"/>
          <w:szCs w:val="21"/>
          <w:highlight w:val="none"/>
        </w:rPr>
        <w:t>六、其他补充事宜</w:t>
      </w:r>
    </w:p>
    <w:p>
      <w:pPr>
        <w:pStyle w:val="45"/>
        <w:spacing w:before="60" w:beforeAutospacing="0" w:after="60" w:afterAutospacing="0" w:line="360" w:lineRule="auto"/>
        <w:ind w:firstLine="420" w:firstLineChars="200"/>
        <w:rPr>
          <w:rFonts w:cs="宋体"/>
          <w:color w:val="auto"/>
          <w:sz w:val="21"/>
          <w:szCs w:val="21"/>
          <w:highlight w:val="none"/>
        </w:rPr>
      </w:pPr>
      <w:r>
        <w:rPr>
          <w:rFonts w:hint="eastAsia" w:cs="宋体"/>
          <w:color w:val="auto"/>
          <w:sz w:val="21"/>
          <w:szCs w:val="21"/>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cs="宋体"/>
          <w:color w:val="auto"/>
          <w:sz w:val="21"/>
          <w:szCs w:val="21"/>
          <w:highlight w:val="none"/>
        </w:rPr>
        <w:br w:type="textWrapping"/>
      </w:r>
      <w:r>
        <w:rPr>
          <w:rFonts w:hint="eastAsia" w:cs="宋体"/>
          <w:color w:val="auto"/>
          <w:sz w:val="21"/>
          <w:szCs w:val="21"/>
          <w:highlight w:val="none"/>
        </w:rPr>
        <w:t>2.采购项目需要落实的政府采购政策：《政府采购促进中小企业发展管理办法》（财库﹝2020﹞46号）、《关于促进残疾人就业政府采购政策的通知》（财库〔2017〕141号）、《关于政府采购支持监狱企业发展有关问题的通知》（财库[2014]68号）、《关于调整优化节能产品环境标志产品政府采购执行机制的通知》（财库[2019]9号）。  </w:t>
      </w:r>
    </w:p>
    <w:p>
      <w:pPr>
        <w:pStyle w:val="45"/>
        <w:spacing w:before="204" w:beforeAutospacing="0" w:after="204" w:afterAutospacing="0" w:line="360" w:lineRule="auto"/>
        <w:jc w:val="both"/>
        <w:rPr>
          <w:rFonts w:cs="宋体"/>
          <w:color w:val="auto"/>
          <w:sz w:val="21"/>
          <w:szCs w:val="21"/>
          <w:highlight w:val="none"/>
        </w:rPr>
      </w:pPr>
      <w:r>
        <w:rPr>
          <w:rStyle w:val="53"/>
          <w:rFonts w:hint="eastAsia" w:cs="宋体"/>
          <w:color w:val="auto"/>
          <w:sz w:val="21"/>
          <w:szCs w:val="21"/>
          <w:highlight w:val="none"/>
        </w:rPr>
        <w:t>七、对本次采购提出询问、质疑、投诉，请按以下方式联系</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1.采购人信息</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名   称：嘉兴海关综合技术服务中心 </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地  址：嘉兴市文昌路1299号</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传   真：  /</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项目联系人（询问）：叶先生  </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项目联系方式（询问）： 0573-83611046</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质疑联系人：  王先生  </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质疑联系方式：0573-83611110    </w:t>
      </w:r>
      <w:r>
        <w:rPr>
          <w:rFonts w:hint="eastAsia" w:cs="宋体"/>
          <w:color w:val="auto"/>
          <w:sz w:val="21"/>
          <w:szCs w:val="21"/>
          <w:highlight w:val="none"/>
        </w:rPr>
        <w:br w:type="textWrapping"/>
      </w:r>
      <w:r>
        <w:rPr>
          <w:rFonts w:hint="eastAsia" w:cs="宋体"/>
          <w:color w:val="auto"/>
          <w:sz w:val="21"/>
          <w:szCs w:val="21"/>
          <w:highlight w:val="none"/>
        </w:rPr>
        <w:t>    2.采购代理机构信息            </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名   称：</w:t>
      </w:r>
      <w:r>
        <w:rPr>
          <w:rFonts w:hint="eastAsia" w:cs="宋体"/>
          <w:color w:val="auto"/>
          <w:sz w:val="21"/>
          <w:szCs w:val="21"/>
          <w:highlight w:val="none"/>
          <w:lang w:eastAsia="zh-CN"/>
        </w:rPr>
        <w:t>大地工程咨询有限公司</w:t>
      </w:r>
      <w:r>
        <w:rPr>
          <w:rFonts w:hint="eastAsia" w:cs="宋体"/>
          <w:color w:val="auto"/>
          <w:sz w:val="21"/>
          <w:szCs w:val="21"/>
          <w:highlight w:val="none"/>
        </w:rPr>
        <w:t>             </w:t>
      </w:r>
    </w:p>
    <w:p>
      <w:pPr>
        <w:pStyle w:val="45"/>
        <w:spacing w:before="60" w:beforeAutospacing="0" w:after="60" w:afterAutospacing="0" w:line="360" w:lineRule="auto"/>
        <w:ind w:left="210" w:hanging="210" w:hangingChars="100"/>
        <w:rPr>
          <w:rFonts w:cs="宋体"/>
          <w:color w:val="auto"/>
          <w:sz w:val="21"/>
          <w:szCs w:val="21"/>
          <w:highlight w:val="none"/>
        </w:rPr>
      </w:pPr>
      <w:r>
        <w:rPr>
          <w:rFonts w:hint="eastAsia" w:cs="宋体"/>
          <w:color w:val="auto"/>
          <w:sz w:val="21"/>
          <w:szCs w:val="21"/>
          <w:highlight w:val="none"/>
        </w:rPr>
        <w:t>    地   址：</w:t>
      </w:r>
      <w:r>
        <w:rPr>
          <w:rFonts w:hint="eastAsia" w:cs="宋体"/>
          <w:color w:val="auto"/>
          <w:sz w:val="21"/>
          <w:szCs w:val="21"/>
          <w:highlight w:val="none"/>
          <w:lang w:eastAsia="zh-CN"/>
        </w:rPr>
        <w:t>嘉兴市秀洲区洪波路1200号万豪广场12楼1204室</w:t>
      </w:r>
      <w:r>
        <w:rPr>
          <w:rFonts w:hint="eastAsia" w:cs="宋体"/>
          <w:color w:val="auto"/>
          <w:sz w:val="21"/>
          <w:szCs w:val="21"/>
          <w:highlight w:val="none"/>
        </w:rPr>
        <w:t>             </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传   真：             </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项目联系人（询问）：杨丽莉              </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项目联系方式（询问）：</w:t>
      </w:r>
      <w:r>
        <w:rPr>
          <w:rFonts w:hint="eastAsia" w:cs="宋体"/>
          <w:color w:val="auto"/>
          <w:sz w:val="21"/>
          <w:szCs w:val="21"/>
          <w:highlight w:val="none"/>
          <w:lang w:eastAsia="zh-CN"/>
        </w:rPr>
        <w:t>0573-82133572</w:t>
      </w:r>
      <w:r>
        <w:rPr>
          <w:rFonts w:hint="eastAsia" w:cs="宋体"/>
          <w:color w:val="auto"/>
          <w:sz w:val="21"/>
          <w:szCs w:val="21"/>
          <w:highlight w:val="none"/>
        </w:rPr>
        <w:t> </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质疑联系人：李斌             </w:t>
      </w:r>
    </w:p>
    <w:p>
      <w:pPr>
        <w:pStyle w:val="45"/>
        <w:spacing w:before="60" w:beforeAutospacing="0" w:after="60" w:afterAutospacing="0" w:line="360" w:lineRule="auto"/>
        <w:jc w:val="left"/>
        <w:rPr>
          <w:rFonts w:cs="宋体"/>
          <w:color w:val="auto"/>
          <w:sz w:val="21"/>
          <w:szCs w:val="21"/>
          <w:highlight w:val="none"/>
        </w:rPr>
      </w:pPr>
      <w:r>
        <w:rPr>
          <w:rFonts w:hint="eastAsia" w:cs="宋体"/>
          <w:color w:val="auto"/>
          <w:sz w:val="21"/>
          <w:szCs w:val="21"/>
          <w:highlight w:val="none"/>
        </w:rPr>
        <w:t>    质疑联系方式：</w:t>
      </w:r>
      <w:r>
        <w:rPr>
          <w:rFonts w:hint="eastAsia" w:cs="宋体"/>
          <w:color w:val="auto"/>
          <w:sz w:val="21"/>
          <w:szCs w:val="21"/>
          <w:highlight w:val="none"/>
          <w:lang w:eastAsia="zh-CN"/>
        </w:rPr>
        <w:t>0573-82133572</w:t>
      </w:r>
      <w:r>
        <w:rPr>
          <w:rFonts w:hint="eastAsia" w:cs="宋体"/>
          <w:color w:val="auto"/>
          <w:sz w:val="21"/>
          <w:szCs w:val="21"/>
          <w:highlight w:val="none"/>
        </w:rPr>
        <w:t> 　　　　　　     </w:t>
      </w:r>
      <w:r>
        <w:rPr>
          <w:rFonts w:hint="eastAsia" w:cs="宋体"/>
          <w:color w:val="auto"/>
          <w:sz w:val="21"/>
          <w:szCs w:val="21"/>
          <w:highlight w:val="none"/>
        </w:rPr>
        <w:br w:type="textWrapping"/>
      </w:r>
      <w:r>
        <w:rPr>
          <w:rFonts w:hint="eastAsia" w:cs="宋体"/>
          <w:color w:val="auto"/>
          <w:sz w:val="21"/>
          <w:szCs w:val="21"/>
          <w:highlight w:val="none"/>
        </w:rPr>
        <w:t>    3.同级政府采购监督管理部门            </w:t>
      </w:r>
    </w:p>
    <w:p>
      <w:pPr>
        <w:pStyle w:val="45"/>
        <w:spacing w:before="60" w:beforeAutospacing="0" w:after="60" w:afterAutospacing="0" w:line="360" w:lineRule="auto"/>
        <w:jc w:val="left"/>
        <w:rPr>
          <w:rFonts w:cs="宋体"/>
          <w:color w:val="auto"/>
          <w:sz w:val="21"/>
          <w:szCs w:val="21"/>
          <w:highlight w:val="none"/>
        </w:rPr>
      </w:pPr>
      <w:r>
        <w:rPr>
          <w:rFonts w:hint="eastAsia" w:cs="宋体"/>
          <w:color w:val="auto"/>
          <w:sz w:val="21"/>
          <w:szCs w:val="21"/>
          <w:highlight w:val="none"/>
        </w:rPr>
        <w:t>    名   称：中华人民共和国嘉兴海关             </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xml:space="preserve">    地   址： </w:t>
      </w:r>
      <w:r>
        <w:rPr>
          <w:rFonts w:hint="eastAsia" w:cs="宋体"/>
          <w:color w:val="auto"/>
          <w:sz w:val="21"/>
          <w:szCs w:val="21"/>
          <w:highlight w:val="none"/>
          <w:lang w:val="en-US" w:eastAsia="zh-CN"/>
        </w:rPr>
        <w:t>嘉兴市</w:t>
      </w:r>
      <w:r>
        <w:rPr>
          <w:rFonts w:hint="eastAsia" w:cs="宋体"/>
          <w:color w:val="auto"/>
          <w:sz w:val="21"/>
          <w:szCs w:val="21"/>
          <w:highlight w:val="none"/>
        </w:rPr>
        <w:t>昌盛中路516号</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传   真：/             </w:t>
      </w:r>
    </w:p>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联系人 ：彭先生          </w:t>
      </w:r>
    </w:p>
    <w:p>
      <w:pPr>
        <w:pStyle w:val="45"/>
        <w:spacing w:before="60" w:beforeAutospacing="0" w:after="60" w:afterAutospacing="0" w:line="360" w:lineRule="auto"/>
        <w:ind w:firstLine="735" w:firstLineChars="350"/>
        <w:rPr>
          <w:rFonts w:hint="eastAsia" w:cs="宋体"/>
          <w:color w:val="auto"/>
          <w:sz w:val="21"/>
          <w:szCs w:val="21"/>
          <w:highlight w:val="none"/>
        </w:rPr>
      </w:pPr>
      <w:r>
        <w:rPr>
          <w:rFonts w:hint="eastAsia" w:cs="宋体"/>
          <w:color w:val="auto"/>
          <w:sz w:val="21"/>
          <w:szCs w:val="21"/>
          <w:highlight w:val="none"/>
        </w:rPr>
        <w:t>监督投诉电话：0573-89999320      </w:t>
      </w:r>
      <w:r>
        <w:rPr>
          <w:rFonts w:hint="eastAsia" w:cs="宋体"/>
          <w:color w:val="auto"/>
          <w:sz w:val="21"/>
          <w:szCs w:val="21"/>
          <w:highlight w:val="none"/>
        </w:rPr>
        <w:br w:type="textWrapping"/>
      </w:r>
    </w:p>
    <w:p>
      <w:pPr>
        <w:pStyle w:val="45"/>
        <w:spacing w:before="60" w:beforeAutospacing="0" w:after="60" w:afterAutospacing="0" w:line="360" w:lineRule="auto"/>
        <w:ind w:firstLine="315" w:firstLineChars="150"/>
        <w:rPr>
          <w:rFonts w:hint="eastAsia" w:cs="宋体"/>
          <w:color w:val="auto"/>
          <w:sz w:val="21"/>
          <w:szCs w:val="21"/>
          <w:highlight w:val="none"/>
        </w:rPr>
      </w:pPr>
      <w:r>
        <w:rPr>
          <w:rFonts w:hint="eastAsia" w:cs="宋体"/>
          <w:color w:val="auto"/>
          <w:sz w:val="21"/>
          <w:szCs w:val="21"/>
          <w:highlight w:val="none"/>
        </w:rPr>
        <w:br w:type="textWrapping"/>
      </w:r>
      <w:r>
        <w:rPr>
          <w:rFonts w:hint="eastAsia" w:cs="宋体"/>
          <w:color w:val="auto"/>
          <w:sz w:val="21"/>
          <w:szCs w:val="21"/>
          <w:highlight w:val="none"/>
        </w:rPr>
        <w:br w:type="textWrapping"/>
      </w: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Fonts w:hint="eastAsia" w:cs="宋体"/>
          <w:color w:val="auto"/>
          <w:sz w:val="21"/>
          <w:szCs w:val="21"/>
          <w:highlight w:val="none"/>
        </w:rPr>
      </w:pPr>
    </w:p>
    <w:p>
      <w:pPr>
        <w:pStyle w:val="45"/>
        <w:spacing w:before="60" w:beforeAutospacing="0" w:after="60" w:afterAutospacing="0" w:line="360" w:lineRule="auto"/>
        <w:ind w:firstLine="315" w:firstLineChars="150"/>
        <w:rPr>
          <w:rStyle w:val="133"/>
          <w:rFonts w:ascii="宋体" w:eastAsia="宋体" w:cs="微软雅黑"/>
          <w:b w:val="0"/>
          <w:color w:val="auto"/>
          <w:highlight w:val="none"/>
        </w:rPr>
      </w:pPr>
      <w:r>
        <w:rPr>
          <w:rFonts w:hint="eastAsia" w:ascii="宋体" w:eastAsia="宋体" w:cs="宋体"/>
          <w:color w:val="auto"/>
          <w:sz w:val="21"/>
          <w:szCs w:val="21"/>
          <w:highlight w:val="none"/>
        </w:rPr>
        <w:t xml:space="preserve">     </w:t>
      </w:r>
      <w:r>
        <w:rPr>
          <w:rFonts w:hint="eastAsia" w:ascii="宋体" w:eastAsia="宋体" w:cs="宋体"/>
          <w:color w:val="auto"/>
          <w:sz w:val="21"/>
          <w:szCs w:val="21"/>
          <w:highlight w:val="none"/>
          <w:lang w:val="en-US" w:eastAsia="zh-CN"/>
        </w:rPr>
        <w:t xml:space="preserve">      </w:t>
      </w:r>
      <w:r>
        <w:rPr>
          <w:rFonts w:hint="eastAsia" w:ascii="宋体" w:eastAsia="宋体" w:cs="宋体"/>
          <w:color w:val="auto"/>
          <w:sz w:val="21"/>
          <w:szCs w:val="21"/>
          <w:highlight w:val="none"/>
        </w:rPr>
        <w:t> </w:t>
      </w:r>
      <w:r>
        <w:rPr>
          <w:rFonts w:hint="eastAsia" w:cs="宋体"/>
          <w:color w:val="auto"/>
          <w:sz w:val="21"/>
          <w:szCs w:val="21"/>
          <w:highlight w:val="none"/>
          <w:lang w:val="en-US" w:eastAsia="zh-CN"/>
        </w:rPr>
        <w:t xml:space="preserve">       </w:t>
      </w:r>
      <w:r>
        <w:rPr>
          <w:rStyle w:val="133"/>
          <w:rFonts w:ascii="宋体" w:eastAsia="宋体" w:cs="微软雅黑"/>
          <w:b/>
          <w:color w:val="auto"/>
          <w:highlight w:val="none"/>
        </w:rPr>
        <w:t>第</w:t>
      </w:r>
      <w:r>
        <w:rPr>
          <w:rStyle w:val="133"/>
          <w:rFonts w:hint="eastAsia" w:ascii="宋体" w:eastAsia="宋体" w:cs="微软雅黑"/>
          <w:b/>
          <w:color w:val="auto"/>
          <w:highlight w:val="none"/>
        </w:rPr>
        <w:t>二章  采购需求</w:t>
      </w:r>
    </w:p>
    <w:p>
      <w:pPr>
        <w:spacing w:line="360" w:lineRule="auto"/>
        <w:rPr>
          <w:rFonts w:ascii="宋体" w:hAnsi="宋体"/>
          <w:b/>
          <w:bCs/>
          <w:color w:val="auto"/>
          <w:szCs w:val="21"/>
          <w:highlight w:val="none"/>
        </w:rPr>
      </w:pPr>
      <w:r>
        <w:rPr>
          <w:rFonts w:hint="eastAsia" w:ascii="宋体" w:hAnsi="宋体"/>
          <w:b/>
          <w:bCs/>
          <w:color w:val="auto"/>
          <w:szCs w:val="21"/>
          <w:highlight w:val="none"/>
        </w:rPr>
        <w:t>一、项目概况</w:t>
      </w:r>
    </w:p>
    <w:p>
      <w:pPr>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嘉兴海关目前有两个办公区，昌盛路办公区（浙江省嘉兴市昌盛路516号）；文昌路办公区（嘉兴市文昌路1299号）。昌盛路办公区食堂就餐人数平均值约为早餐100人，中餐120人、晚餐50人。文昌路办公区食堂就餐人数平均值约为早餐50人，中餐约50人，晚餐20人。食堂所需日常食材包括：</w:t>
      </w:r>
    </w:p>
    <w:tbl>
      <w:tblPr>
        <w:tblStyle w:val="49"/>
        <w:tblpPr w:leftFromText="180" w:rightFromText="180" w:vertAnchor="text" w:horzAnchor="page" w:tblpX="1845" w:tblpY="126"/>
        <w:tblOverlap w:val="never"/>
        <w:tblW w:w="466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36"/>
        <w:gridCol w:w="1266"/>
        <w:gridCol w:w="5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68" w:type="pct"/>
            <w:vAlign w:val="center"/>
          </w:tcPr>
          <w:p>
            <w:pPr>
              <w:spacing w:line="36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序号</w:t>
            </w:r>
          </w:p>
        </w:tc>
        <w:tc>
          <w:tcPr>
            <w:tcW w:w="528" w:type="pct"/>
            <w:vAlign w:val="center"/>
          </w:tcPr>
          <w:p>
            <w:pPr>
              <w:spacing w:line="360" w:lineRule="auto"/>
              <w:jc w:val="both"/>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标项</w:t>
            </w:r>
          </w:p>
        </w:tc>
        <w:tc>
          <w:tcPr>
            <w:tcW w:w="799"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类别</w:t>
            </w:r>
          </w:p>
        </w:tc>
        <w:tc>
          <w:tcPr>
            <w:tcW w:w="3403"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68" w:type="pct"/>
            <w:vMerge w:val="restart"/>
            <w:vAlign w:val="center"/>
          </w:tcPr>
          <w:p>
            <w:pPr>
              <w:spacing w:line="36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528" w:type="pct"/>
            <w:vMerge w:val="restart"/>
            <w:vAlign w:val="center"/>
          </w:tcPr>
          <w:p>
            <w:pPr>
              <w:spacing w:line="360" w:lineRule="auto"/>
              <w:jc w:val="both"/>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标项一、标项二</w:t>
            </w:r>
          </w:p>
        </w:tc>
        <w:tc>
          <w:tcPr>
            <w:tcW w:w="799" w:type="pct"/>
            <w:vMerge w:val="restart"/>
            <w:vAlign w:val="center"/>
          </w:tcPr>
          <w:p>
            <w:pPr>
              <w:spacing w:line="360" w:lineRule="auto"/>
              <w:jc w:val="both"/>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粮油调味品类</w:t>
            </w:r>
          </w:p>
        </w:tc>
        <w:tc>
          <w:tcPr>
            <w:tcW w:w="3403"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6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52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799"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3403"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6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52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799"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3403"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面类（含面粉、馄饨皮、烧卖皮、面条等）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6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52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799"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3403"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调味品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268" w:type="pct"/>
            <w:vMerge w:val="restart"/>
            <w:vAlign w:val="center"/>
          </w:tcPr>
          <w:p>
            <w:pPr>
              <w:spacing w:line="36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52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799" w:type="pct"/>
            <w:vMerge w:val="restart"/>
            <w:vAlign w:val="center"/>
          </w:tcPr>
          <w:p>
            <w:pPr>
              <w:spacing w:line="360" w:lineRule="auto"/>
              <w:jc w:val="both"/>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肉禽水产冻品类</w:t>
            </w:r>
          </w:p>
        </w:tc>
        <w:tc>
          <w:tcPr>
            <w:tcW w:w="3403"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猪肉类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268" w:type="pct"/>
            <w:vMerge w:val="continue"/>
            <w:vAlign w:val="center"/>
          </w:tcPr>
          <w:p>
            <w:pPr>
              <w:spacing w:line="360" w:lineRule="auto"/>
              <w:jc w:val="center"/>
              <w:rPr>
                <w:rFonts w:hint="eastAsia" w:ascii="宋体" w:hAnsi="宋体" w:cs="宋体"/>
                <w:color w:val="auto"/>
                <w:szCs w:val="21"/>
                <w:highlight w:val="none"/>
                <w:lang w:val="en-US" w:eastAsia="zh-CN"/>
              </w:rPr>
            </w:pPr>
          </w:p>
        </w:tc>
        <w:tc>
          <w:tcPr>
            <w:tcW w:w="52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799"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3403"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家禽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268" w:type="pct"/>
            <w:vMerge w:val="continue"/>
            <w:vAlign w:val="center"/>
          </w:tcPr>
          <w:p>
            <w:pPr>
              <w:spacing w:line="360" w:lineRule="auto"/>
              <w:jc w:val="center"/>
              <w:rPr>
                <w:rFonts w:hint="eastAsia" w:ascii="宋体" w:hAnsi="宋体" w:cs="宋体"/>
                <w:color w:val="auto"/>
                <w:szCs w:val="21"/>
                <w:highlight w:val="none"/>
                <w:lang w:val="en-US" w:eastAsia="zh-CN"/>
              </w:rPr>
            </w:pPr>
          </w:p>
        </w:tc>
        <w:tc>
          <w:tcPr>
            <w:tcW w:w="52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799"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3403"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禽蛋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68" w:type="pct"/>
            <w:vMerge w:val="continue"/>
            <w:vAlign w:val="center"/>
          </w:tcPr>
          <w:p>
            <w:pPr>
              <w:spacing w:line="360" w:lineRule="auto"/>
              <w:jc w:val="center"/>
              <w:rPr>
                <w:rFonts w:hint="eastAsia" w:ascii="宋体" w:hAnsi="宋体" w:cs="宋体"/>
                <w:color w:val="auto"/>
                <w:szCs w:val="21"/>
                <w:highlight w:val="none"/>
                <w:lang w:val="en-US" w:eastAsia="zh-CN"/>
              </w:rPr>
            </w:pPr>
          </w:p>
        </w:tc>
        <w:tc>
          <w:tcPr>
            <w:tcW w:w="52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799"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3403"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牛肉、羊肉类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6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52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799"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3403"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水产（鱼、虾、蟹，海鲜等）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6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52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799"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3403"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冰冻食品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68" w:type="pct"/>
            <w:vMerge w:val="restart"/>
            <w:vAlign w:val="center"/>
          </w:tcPr>
          <w:p>
            <w:pPr>
              <w:spacing w:line="36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3</w:t>
            </w:r>
          </w:p>
        </w:tc>
        <w:tc>
          <w:tcPr>
            <w:tcW w:w="52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799" w:type="pct"/>
            <w:vMerge w:val="restart"/>
            <w:vAlign w:val="center"/>
          </w:tcPr>
          <w:p>
            <w:pPr>
              <w:spacing w:line="360" w:lineRule="auto"/>
              <w:jc w:val="both"/>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水果蔬菜奶制品类</w:t>
            </w:r>
          </w:p>
        </w:tc>
        <w:tc>
          <w:tcPr>
            <w:tcW w:w="3403"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蔬菜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6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52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799"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3403"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豆制品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6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52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799"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3403"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干货类（笋尖、黑木耳、香菇、粉丝等）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6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52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799"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3403" w:type="pct"/>
            <w:vAlign w:val="center"/>
          </w:tcPr>
          <w:p>
            <w:pPr>
              <w:spacing w:line="360" w:lineRule="auto"/>
              <w:ind w:firstLine="420" w:firstLineChars="20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奶制品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6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528"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799" w:type="pct"/>
            <w:vMerge w:val="continue"/>
            <w:vAlign w:val="center"/>
          </w:tcPr>
          <w:p>
            <w:pPr>
              <w:spacing w:line="360" w:lineRule="auto"/>
              <w:ind w:firstLine="420" w:firstLineChars="200"/>
              <w:jc w:val="center"/>
              <w:rPr>
                <w:rFonts w:hint="eastAsia" w:ascii="宋体" w:hAnsi="宋体" w:cs="宋体"/>
                <w:color w:val="auto"/>
                <w:szCs w:val="21"/>
                <w:highlight w:val="none"/>
                <w:lang w:val="en-US" w:eastAsia="zh-CN"/>
              </w:rPr>
            </w:pPr>
          </w:p>
        </w:tc>
        <w:tc>
          <w:tcPr>
            <w:tcW w:w="3403" w:type="pct"/>
            <w:vAlign w:val="center"/>
          </w:tcPr>
          <w:p>
            <w:pPr>
              <w:spacing w:line="360" w:lineRule="auto"/>
              <w:ind w:firstLine="420" w:firstLineChars="20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时令水果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268" w:type="pct"/>
            <w:vAlign w:val="center"/>
          </w:tcPr>
          <w:p>
            <w:pPr>
              <w:spacing w:line="36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w:t>
            </w:r>
          </w:p>
        </w:tc>
        <w:tc>
          <w:tcPr>
            <w:tcW w:w="528" w:type="pct"/>
            <w:vAlign w:val="center"/>
          </w:tcPr>
          <w:p>
            <w:pPr>
              <w:spacing w:line="360" w:lineRule="auto"/>
              <w:jc w:val="both"/>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标项三</w:t>
            </w:r>
          </w:p>
        </w:tc>
        <w:tc>
          <w:tcPr>
            <w:tcW w:w="799" w:type="pct"/>
            <w:vAlign w:val="center"/>
          </w:tcPr>
          <w:p>
            <w:pPr>
              <w:spacing w:line="360" w:lineRule="auto"/>
              <w:jc w:val="both"/>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日用品副食品奶制品类</w:t>
            </w:r>
          </w:p>
        </w:tc>
        <w:tc>
          <w:tcPr>
            <w:tcW w:w="3403" w:type="pct"/>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不含烟酒</w:t>
            </w:r>
          </w:p>
        </w:tc>
      </w:tr>
    </w:tbl>
    <w:p>
      <w:pPr>
        <w:spacing w:line="360" w:lineRule="auto"/>
        <w:ind w:firstLine="422" w:firstLineChars="200"/>
        <w:rPr>
          <w:rFonts w:hint="eastAsia" w:ascii="宋体" w:hAnsi="宋体" w:cs="宋体"/>
          <w:color w:val="auto"/>
          <w:szCs w:val="21"/>
          <w:highlight w:val="none"/>
          <w:lang w:val="en-US" w:eastAsia="zh-CN"/>
        </w:rPr>
      </w:pPr>
      <w:r>
        <w:rPr>
          <w:rFonts w:hint="eastAsia" w:ascii="宋体" w:hAnsi="宋体" w:cs="宋体"/>
          <w:b/>
          <w:bCs/>
          <w:color w:val="auto"/>
          <w:szCs w:val="21"/>
          <w:highlight w:val="none"/>
          <w:lang w:val="en-US" w:eastAsia="zh-CN"/>
        </w:rPr>
        <w:t>预算金额373.6万元（其中标项1：137.4万元；标项2:137.4万元；标项3：98.8万元）。</w:t>
      </w:r>
    </w:p>
    <w:p>
      <w:pPr>
        <w:spacing w:line="360" w:lineRule="auto"/>
        <w:rPr>
          <w:rFonts w:hint="eastAsia" w:ascii="宋体" w:hAnsi="宋体"/>
          <w:b/>
          <w:bCs/>
          <w:color w:val="auto"/>
          <w:szCs w:val="21"/>
          <w:highlight w:val="none"/>
          <w:lang w:val="en-US"/>
        </w:rPr>
      </w:pPr>
      <w:r>
        <w:rPr>
          <w:rFonts w:hint="eastAsia" w:ascii="宋体" w:hAnsi="宋体"/>
          <w:b/>
          <w:bCs/>
          <w:color w:val="auto"/>
          <w:szCs w:val="21"/>
          <w:highlight w:val="none"/>
          <w:lang w:val="en-US"/>
        </w:rPr>
        <w:t xml:space="preserve">二、供货要求： </w:t>
      </w:r>
    </w:p>
    <w:p>
      <w:pPr>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1、中标供应商应保证所供产品是完全符合国家规定的质量、规格和食品卫生安全要求。</w:t>
      </w:r>
    </w:p>
    <w:p>
      <w:pPr>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2、中标供应商所供产品应符合中国国家标准、行业标准及其补充技术要求。</w:t>
      </w:r>
    </w:p>
    <w:p>
      <w:pPr>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3、如在使用过程中发生问题，中标供应商在接到采购人通知后2小时内到达采购人现场。</w:t>
      </w:r>
    </w:p>
    <w:p>
      <w:pPr>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4、严格按采购人要求的时间、数量、品质准时送货到指定地点，并经验收合格后签字确认。</w:t>
      </w:r>
    </w:p>
    <w:p>
      <w:pPr>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5、采购人在前一晚18:00前告知中标人第二天需配送的菜品及数重量，中标人需在第二天早上7：30前送达，其他特殊增加的产品要求在收到采购人通知后4个小时内完成供货。</w:t>
      </w:r>
    </w:p>
    <w:p>
      <w:pPr>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6、每年5月至10月需用冷藏车配送。</w:t>
      </w:r>
    </w:p>
    <w:p>
      <w:pPr>
        <w:spacing w:line="360" w:lineRule="auto"/>
        <w:rPr>
          <w:rFonts w:hint="eastAsia" w:ascii="宋体" w:hAnsi="宋体"/>
          <w:b/>
          <w:bCs/>
          <w:color w:val="auto"/>
          <w:szCs w:val="21"/>
          <w:highlight w:val="none"/>
          <w:lang w:val="en-US"/>
        </w:rPr>
      </w:pPr>
      <w:r>
        <w:rPr>
          <w:rFonts w:hint="eastAsia" w:ascii="宋体" w:hAnsi="宋体"/>
          <w:b/>
          <w:bCs/>
          <w:color w:val="auto"/>
          <w:szCs w:val="21"/>
          <w:highlight w:val="none"/>
          <w:lang w:val="en-US"/>
        </w:rPr>
        <w:t>三、供货产品技术指标和质量要求：</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eastAsia="zh-CN"/>
        </w:rPr>
        <w:t>中标供应商</w:t>
      </w:r>
      <w:r>
        <w:rPr>
          <w:rFonts w:hint="eastAsia" w:ascii="宋体" w:hAnsi="宋体" w:cs="宋体"/>
          <w:color w:val="auto"/>
          <w:szCs w:val="21"/>
          <w:highlight w:val="none"/>
          <w:lang w:val="en-US"/>
        </w:rPr>
        <w:t>提供生鲜类产品必须是当天的生产的质优、新鲜、无污染、无变质的，产品质量应当符合国家规定；</w:t>
      </w:r>
      <w:r>
        <w:rPr>
          <w:rFonts w:hint="eastAsia" w:ascii="宋体" w:hAnsi="宋体" w:cs="宋体"/>
          <w:color w:val="auto"/>
          <w:szCs w:val="21"/>
          <w:highlight w:val="none"/>
          <w:lang w:val="en-US" w:eastAsia="zh-CN"/>
        </w:rPr>
        <w:t>中标供应商</w:t>
      </w:r>
      <w:r>
        <w:rPr>
          <w:rFonts w:hint="eastAsia" w:ascii="宋体" w:hAnsi="宋体" w:cs="宋体"/>
          <w:color w:val="auto"/>
          <w:szCs w:val="21"/>
          <w:highlight w:val="none"/>
          <w:lang w:val="en-US"/>
        </w:rPr>
        <w:t>提供的预包装产品必须保证保质期离保质期截止时间止还有三分之二以上时间，产品质量应当符合国家规定。在配送期内，</w:t>
      </w:r>
      <w:r>
        <w:rPr>
          <w:rFonts w:hint="eastAsia" w:ascii="宋体" w:hAnsi="宋体" w:cs="宋体"/>
          <w:color w:val="auto"/>
          <w:szCs w:val="21"/>
          <w:highlight w:val="none"/>
          <w:lang w:val="en-US" w:eastAsia="zh-CN"/>
        </w:rPr>
        <w:t>中标供应商</w:t>
      </w:r>
      <w:r>
        <w:rPr>
          <w:rFonts w:hint="eastAsia" w:ascii="宋体" w:hAnsi="宋体" w:cs="宋体"/>
          <w:color w:val="auto"/>
          <w:szCs w:val="21"/>
          <w:highlight w:val="none"/>
          <w:lang w:val="en-US"/>
        </w:rPr>
        <w:t>应对出现的质量及食品卫生安全问题负责处理解决并承担一切费用。</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1.</w:t>
      </w:r>
      <w:r>
        <w:rPr>
          <w:rFonts w:hint="eastAsia" w:ascii="宋体" w:hAnsi="宋体" w:cs="宋体"/>
          <w:b/>
          <w:bCs/>
          <w:color w:val="auto"/>
          <w:szCs w:val="21"/>
          <w:highlight w:val="none"/>
          <w:lang w:val="en-US"/>
        </w:rPr>
        <w:t>粮油类</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晚粳米品牌：北大荒、长粒香、寒育。规格：25千克∕袋，50千克∕袋。</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糯米品牌：大禹、五常、德胜 。 规格：25千克∕袋，50千克∕袋。</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质量要求：</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1.1</w:t>
      </w:r>
      <w:r>
        <w:rPr>
          <w:rFonts w:hint="eastAsia" w:ascii="宋体" w:hAnsi="宋体" w:cs="宋体"/>
          <w:b/>
          <w:bCs/>
          <w:color w:val="auto"/>
          <w:szCs w:val="21"/>
          <w:highlight w:val="none"/>
          <w:lang w:val="en-US"/>
        </w:rPr>
        <w:t>大米</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必须符合标准GB1354-2018，粮食卫生符合标准GB2715-2016，粮食销售包装符合GB/T17109-2008，产品拥有“SC”字母开头的食品生产许可证编号。所供应大米符合国家标准一等米质量指标要求。中标方在每次供货时，必须出具该批大米的供货产品合格证、进货凭据，抽检产品质检报告单（原件、复印件）。每批大米需到采购单位备案，标名生产许可证编号、产品标准号、生产企业、厂址、联系方式、保质期、品牌、规格、产地、大米种类、等级等与100克实物一起送指定地址。粮食种类: 粳米应严格按照国家食品卫生安全要求包装，生产厂家单位名称的包装袋，拒绝私自袋装产口。包装要求：包装袋要求注明生产厂家、生产日期、保质期等，内附产品合格证，必须使用印有生产厂家单位名称的包装袋。质量要求：新鲜、色泽光亮、无沙、无虫、无异味、无杂质、碎米少、糠粉少、口感好、软硬度适中、出饭率高。</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1.2</w:t>
      </w:r>
      <w:r>
        <w:rPr>
          <w:rFonts w:hint="eastAsia" w:ascii="宋体" w:hAnsi="宋体" w:cs="宋体"/>
          <w:b/>
          <w:bCs/>
          <w:color w:val="auto"/>
          <w:szCs w:val="21"/>
          <w:highlight w:val="none"/>
          <w:lang w:val="en-US"/>
        </w:rPr>
        <w:t xml:space="preserve">油类 </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油类必须符合GB1535-2003标准，质量等级一级，非转基因型，并拥有“SC”字母开头的食品生产许可证编号；</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品牌：福临门、金龙鱼、鲁花。规格：5千克/桶。</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加工工艺：压榨油</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质量要求：食用油必须符合国家现行标准，并拥有“SC”字母开头的食品生产许可证编号。必须为非转基因食品原材料加工，送达时剩余保质期应不低于应有保质期的2/3。</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1.3</w:t>
      </w:r>
      <w:r>
        <w:rPr>
          <w:rFonts w:hint="eastAsia" w:ascii="宋体" w:hAnsi="宋体" w:cs="宋体"/>
          <w:b/>
          <w:bCs/>
          <w:color w:val="auto"/>
          <w:szCs w:val="21"/>
          <w:highlight w:val="none"/>
          <w:lang w:val="en-US"/>
        </w:rPr>
        <w:t>面类（含面粉、馄饨皮、烧卖皮、面条等）</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面粉品牌、规格：五得利、雪花、金沙河。规格（低筋粉）： 25千克∕袋，50千克∕袋。</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面粉必须符合标准GB1355-86，并拥有“SC”字母开头的食品生产许可证编号。应使用符合卫生要求的运输工具和容器运送大米、面粉等，运输过程要防止雨淋和被污染。产品的剩余保质期应不低于3个月。杜绝用药水浸泡或含有国家明令禁止的非食用添加物质的大米进入食堂，每次进货时对上述内容进行抽检。</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lang w:val="en-US"/>
        </w:rPr>
        <w:t>调味品</w:t>
      </w:r>
    </w:p>
    <w:p>
      <w:pPr>
        <w:spacing w:line="360" w:lineRule="auto"/>
        <w:ind w:firstLine="422" w:firstLineChars="200"/>
        <w:rPr>
          <w:rFonts w:hint="eastAsia" w:ascii="宋体" w:hAnsi="宋体" w:cs="宋体"/>
          <w:color w:val="auto"/>
          <w:szCs w:val="21"/>
          <w:highlight w:val="none"/>
          <w:lang w:val="en-US"/>
        </w:rPr>
      </w:pPr>
      <w:r>
        <w:rPr>
          <w:rFonts w:hint="eastAsia" w:ascii="宋体" w:hAnsi="宋体" w:cs="宋体"/>
          <w:b/>
          <w:bCs/>
          <w:color w:val="auto"/>
          <w:szCs w:val="21"/>
          <w:highlight w:val="none"/>
          <w:lang w:val="en-US"/>
        </w:rPr>
        <w:t>调味品：</w:t>
      </w:r>
      <w:r>
        <w:rPr>
          <w:rFonts w:hint="eastAsia" w:ascii="宋体" w:hAnsi="宋体" w:cs="宋体"/>
          <w:color w:val="auto"/>
          <w:szCs w:val="21"/>
          <w:highlight w:val="none"/>
          <w:lang w:val="en-US"/>
        </w:rPr>
        <w:t>海天、李锦记、太太乐、味好美等。规格：生抽1.9L，其他调料。</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符合《食品安全法》要求，必须具有“SC”字母开头的食品生产许可证编号；送达时剩余保质期应不低于应有保质期的2/3。</w:t>
      </w:r>
    </w:p>
    <w:p>
      <w:pPr>
        <w:spacing w:line="360" w:lineRule="auto"/>
        <w:ind w:firstLine="422" w:firstLineChars="200"/>
        <w:rPr>
          <w:rFonts w:hint="eastAsia" w:ascii="宋体" w:hAnsi="宋体" w:cs="宋体"/>
          <w:color w:val="auto"/>
          <w:szCs w:val="21"/>
          <w:highlight w:val="none"/>
          <w:lang w:val="en-US"/>
        </w:rPr>
      </w:pP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lang w:val="en-US"/>
        </w:rPr>
        <w:t>肉类</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3.1</w:t>
      </w:r>
      <w:r>
        <w:rPr>
          <w:rFonts w:hint="eastAsia" w:ascii="宋体" w:hAnsi="宋体" w:cs="宋体"/>
          <w:b/>
          <w:bCs/>
          <w:color w:val="auto"/>
          <w:szCs w:val="21"/>
          <w:highlight w:val="none"/>
          <w:lang w:val="en-US"/>
        </w:rPr>
        <w:t>猪肉（去皮肉、无骨夹心肉、腿肉、纯精肉、仔排等）</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提供的肉类必须通过检验检疫，并提供《动物或动物产品分销信息凭证》或《动物检疫合格证》和《肉品品质检验合格证》。</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品牌、规格：华腾、双汇、青莲、大不同、膳博士。规格：无骨夹心肉1千克、仔排1千克、纯精肉1千克。</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质量要求：新鲜，不变质；要求根据采购方要求供应。并且每方肉上必须盖有屠宰场的检验检疫章，供货商能提供每批供货产品检验检疫合格证（原件、复印件），随送货单一起送达。无骨夹心肉要求割除下懒肉，腿肉要求剔除大股骨、去皮。纯精肉要求去皮、去膘、去骨，并且要求去尽。仔排必须整张供应，不掺杂筒骨、板子骨等其它大骨头。</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3.2</w:t>
      </w:r>
      <w:r>
        <w:rPr>
          <w:rFonts w:hint="eastAsia" w:ascii="宋体" w:hAnsi="宋体" w:cs="宋体"/>
          <w:b/>
          <w:bCs/>
          <w:color w:val="auto"/>
          <w:szCs w:val="21"/>
          <w:highlight w:val="none"/>
          <w:lang w:val="en-US"/>
        </w:rPr>
        <w:t>牛肉、羊肉</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质量要求：新鲜，不变质；要求根据采购方要求供应。</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4.</w:t>
      </w:r>
      <w:r>
        <w:rPr>
          <w:rFonts w:hint="eastAsia" w:ascii="宋体" w:hAnsi="宋体" w:cs="宋体"/>
          <w:b/>
          <w:bCs/>
          <w:color w:val="auto"/>
          <w:szCs w:val="21"/>
          <w:highlight w:val="none"/>
          <w:lang w:val="en-US"/>
        </w:rPr>
        <w:t>蔬菜、豆制品类、干货类</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4.1</w:t>
      </w:r>
      <w:r>
        <w:rPr>
          <w:rFonts w:hint="eastAsia" w:ascii="宋体" w:hAnsi="宋体" w:cs="宋体"/>
          <w:b/>
          <w:bCs/>
          <w:color w:val="auto"/>
          <w:szCs w:val="21"/>
          <w:highlight w:val="none"/>
          <w:lang w:val="en-US"/>
        </w:rPr>
        <w:t>蔬菜类（土豆、西红柿、青椒、青菜、大白菜、包菜、茭白、芋艿等）</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供货商经营品种齐全，有一定规模，所提供的蔬菜必须保证新鲜、不腐烂变质，能提供蔬菜农药残留检测报告、产地合格证明，且符合《农产品质量安全法》</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品牌、规格：</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质量要求：以同菜场售菜时相类似的半净菜式样供货，不得以整包毛菜送达食堂。供货方须经营品种齐全、有一定经营规模、日销售量大、所提供的蔬菜新鲜、不变质，同时提供定期产品抽检质监报告单（原件、复印件）及提供当日供应的蔬菜有效的农药残留检测报告，杜绝用药水浸泡或含有国家明令禁止的非食用添加物质的蔬菜进入食堂。</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4.2</w:t>
      </w:r>
      <w:r>
        <w:rPr>
          <w:rFonts w:hint="eastAsia" w:ascii="宋体" w:hAnsi="宋体" w:cs="宋体"/>
          <w:b/>
          <w:bCs/>
          <w:color w:val="auto"/>
          <w:szCs w:val="21"/>
          <w:highlight w:val="none"/>
          <w:lang w:val="en-US"/>
        </w:rPr>
        <w:t>豆制品类（豆腐、千张、香干、素鸡、大油豆腐、小油豆腐等）</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豆制品成品必须具有“SC” 食品生产许可证，并提供产品合格证明文件；</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品牌、规格：老相食、祖名、鸿光、家家乐。</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质量要求：豆制品须保证新鲜、无异味，生产日期不得超过2天，隔天需要冷库保存，使用符合卫生要求的专用包装。供货方须提供豆制品货源方生产许可证和优质供货承诺书，定期、不定期产品抽检质监报告单（原件、复印件），杜绝用药水浸泡或含有国家明令禁止的非食用添加物质的豆制品进入食堂。</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4.3</w:t>
      </w:r>
      <w:r>
        <w:rPr>
          <w:rFonts w:hint="eastAsia" w:ascii="宋体" w:hAnsi="宋体" w:cs="宋体"/>
          <w:b/>
          <w:bCs/>
          <w:color w:val="auto"/>
          <w:szCs w:val="21"/>
          <w:highlight w:val="none"/>
          <w:lang w:val="en-US"/>
        </w:rPr>
        <w:t>干货类（笋尖、黑木耳、粉丝、香菇、木耳、肉皮、紫菜、海带、虾皮等）</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品牌：产地以丽水、衢州、宁波等为主。规格：1千克∕袋。</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质量要求：等于或优于同期同类市场干货，杜绝用药水浸泡或含有国家明令禁止的非食用添加物质的干货进入食堂，数量以食堂过秤为准。</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lang w:val="en-US"/>
        </w:rPr>
        <w:t>家禽、禽蛋类</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5.1</w:t>
      </w:r>
      <w:r>
        <w:rPr>
          <w:rFonts w:hint="eastAsia" w:ascii="宋体" w:hAnsi="宋体" w:cs="宋体"/>
          <w:b/>
          <w:bCs/>
          <w:color w:val="auto"/>
          <w:szCs w:val="21"/>
          <w:highlight w:val="none"/>
          <w:lang w:val="en-US"/>
        </w:rPr>
        <w:t>家禽（杀白鸡、杀白鸭、杀白鹅等）</w:t>
      </w:r>
    </w:p>
    <w:p>
      <w:pPr>
        <w:spacing w:line="360" w:lineRule="auto"/>
        <w:ind w:firstLine="422" w:firstLineChars="200"/>
        <w:rPr>
          <w:rFonts w:hint="eastAsia" w:ascii="宋体" w:hAnsi="宋体" w:cs="宋体"/>
          <w:color w:val="auto"/>
          <w:szCs w:val="21"/>
          <w:highlight w:val="none"/>
          <w:lang w:val="en-US"/>
        </w:rPr>
      </w:pPr>
      <w:r>
        <w:rPr>
          <w:rFonts w:hint="eastAsia" w:ascii="宋体" w:hAnsi="宋体" w:cs="宋体"/>
          <w:b/>
          <w:bCs/>
          <w:color w:val="auto"/>
          <w:szCs w:val="21"/>
          <w:highlight w:val="none"/>
          <w:lang w:val="en-US"/>
        </w:rPr>
        <w:t xml:space="preserve">必须提供《动物或动物产品分销信息凭证》或《动物检疫合格证》，并提供养殖基地有效证件。 </w:t>
      </w:r>
      <w:r>
        <w:rPr>
          <w:rFonts w:hint="eastAsia" w:ascii="宋体" w:hAnsi="宋体" w:cs="宋体"/>
          <w:color w:val="auto"/>
          <w:szCs w:val="21"/>
          <w:highlight w:val="none"/>
          <w:lang w:val="en-US"/>
        </w:rPr>
        <w:t xml:space="preserve"> </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质量要求：由供方为需方提供新鲜、无冰冻、无血水、干净、卫生并去毛、去脚趾、去内脏的鸡、鸭、鹅，校方验货后过秤，数量以食堂过秤为准，能提供每批供货产品检验检疫合格证（原件、复印件）。</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5.2</w:t>
      </w:r>
      <w:r>
        <w:rPr>
          <w:rFonts w:hint="eastAsia" w:ascii="宋体" w:hAnsi="宋体" w:cs="宋体"/>
          <w:b/>
          <w:bCs/>
          <w:color w:val="auto"/>
          <w:szCs w:val="21"/>
          <w:highlight w:val="none"/>
          <w:lang w:val="en-US"/>
        </w:rPr>
        <w:t>禽蛋类</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禽蛋必须保证新鲜，且符合《食品安全法》要求，并提供养殖基地有效证件。</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6.</w:t>
      </w:r>
      <w:r>
        <w:rPr>
          <w:rFonts w:hint="eastAsia" w:ascii="宋体" w:hAnsi="宋体" w:cs="宋体"/>
          <w:b/>
          <w:bCs/>
          <w:color w:val="auto"/>
          <w:szCs w:val="21"/>
          <w:highlight w:val="none"/>
          <w:lang w:val="en-US"/>
        </w:rPr>
        <w:t>水产类（鱼、虾、蟹，海鲜等）</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品牌、规格：自定（由招标单位定）。</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质量要求：鲜活，大小均匀。鱼类要求送货到食堂，由食堂工作人员验货过秤后由供货方现场宰杀，去鳞去内脏并清洗干净。虾类、蟹类要求鲜活，死虾、死蟹挑除干净。杜绝有污染的水产进入食堂。</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7.</w:t>
      </w:r>
      <w:r>
        <w:rPr>
          <w:rFonts w:hint="eastAsia" w:ascii="宋体" w:hAnsi="宋体" w:cs="宋体"/>
          <w:b/>
          <w:bCs/>
          <w:color w:val="auto"/>
          <w:szCs w:val="21"/>
          <w:highlight w:val="none"/>
          <w:lang w:val="en-US"/>
        </w:rPr>
        <w:t>冰冻类</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鸡腿、翅品牌、规格：大江、成达、正大、凤祥、煜发。规格：1千克∕袋。</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贡丸品牌、规格：维新、安井、潮乡。规格：1千克∕袋。</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质量要求：冻品来源可靠（能提供生产厂家、联系电话和代理证明），供货方能提供每批供货产品检验检疫合格证（原件、复印件），杜绝用药水浸泡或含有国家明令禁止的非食用添加物质的冰冻类，制品进入食堂。过秤时须去冰。冷冻食品必须符合国家现行标准，并拥有“SC”字母开头的食品生产许可证编号。送达时剩余保质期应不低于应有保质期的一半。</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8.</w:t>
      </w:r>
      <w:r>
        <w:rPr>
          <w:rFonts w:hint="eastAsia" w:ascii="宋体" w:hAnsi="宋体" w:cs="宋体"/>
          <w:b/>
          <w:bCs/>
          <w:color w:val="auto"/>
          <w:szCs w:val="21"/>
          <w:highlight w:val="none"/>
          <w:lang w:val="en-US"/>
        </w:rPr>
        <w:t>奶制品</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符合国家现行标准。送达时剩余保质期应不低于应有保质期的2/3。</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9.</w:t>
      </w:r>
      <w:r>
        <w:rPr>
          <w:rFonts w:hint="eastAsia" w:ascii="宋体" w:hAnsi="宋体" w:cs="宋体"/>
          <w:b/>
          <w:bCs/>
          <w:color w:val="auto"/>
          <w:szCs w:val="21"/>
          <w:highlight w:val="none"/>
          <w:lang w:val="en-US"/>
        </w:rPr>
        <w:t>水果</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个体均匀完整、成熟度高；表皮新鲜有光泽、无裂口损伤；无腐烂、病虫害和农药残留。应保持良好的色泽和新鲜度,品质须达到一级以上，利用率达到95%及以上。</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 xml:space="preserve"> 葡萄、冬枣、小番茄等水果须按份数分好送到采购单位。</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食品供应链要求：所有食品的来源必须清晰。</w:t>
      </w:r>
    </w:p>
    <w:p>
      <w:pPr>
        <w:spacing w:line="360" w:lineRule="auto"/>
        <w:ind w:firstLine="422" w:firstLineChars="200"/>
        <w:rPr>
          <w:rFonts w:hint="eastAsia" w:ascii="宋体" w:hAnsi="宋体" w:cs="宋体"/>
          <w:b/>
          <w:bCs/>
          <w:color w:val="auto"/>
          <w:szCs w:val="21"/>
          <w:highlight w:val="none"/>
          <w:lang w:val="en-US"/>
        </w:rPr>
      </w:pPr>
      <w:r>
        <w:rPr>
          <w:rFonts w:hint="eastAsia" w:ascii="宋体" w:hAnsi="宋体" w:cs="宋体"/>
          <w:b/>
          <w:bCs/>
          <w:color w:val="auto"/>
          <w:szCs w:val="21"/>
          <w:highlight w:val="none"/>
          <w:lang w:val="en-US" w:eastAsia="zh-CN"/>
        </w:rPr>
        <w:t>10.</w:t>
      </w:r>
      <w:r>
        <w:rPr>
          <w:rFonts w:hint="eastAsia" w:ascii="宋体" w:hAnsi="宋体" w:cs="宋体"/>
          <w:b/>
          <w:bCs/>
          <w:color w:val="auto"/>
          <w:szCs w:val="21"/>
          <w:highlight w:val="none"/>
          <w:lang w:val="en-US"/>
        </w:rPr>
        <w:t>日用品</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 xml:space="preserve">    符合国家现行标准。有保质期的，送达时剩余保质期应不低于应有保质期的2/3。</w:t>
      </w:r>
    </w:p>
    <w:p>
      <w:pPr>
        <w:spacing w:line="360" w:lineRule="auto"/>
        <w:ind w:firstLine="422" w:firstLineChars="200"/>
        <w:rPr>
          <w:rFonts w:hint="default" w:ascii="宋体" w:hAnsi="宋体" w:cs="宋体"/>
          <w:b/>
          <w:bCs/>
          <w:color w:val="auto"/>
          <w:szCs w:val="21"/>
          <w:highlight w:val="none"/>
          <w:lang w:val="en-US" w:eastAsia="zh-CN"/>
        </w:rPr>
      </w:pPr>
      <w:r>
        <w:rPr>
          <w:rFonts w:hint="eastAsia" w:ascii="宋体" w:hAnsi="宋体" w:cs="宋体"/>
          <w:b/>
          <w:bCs/>
          <w:color w:val="auto"/>
          <w:szCs w:val="21"/>
          <w:highlight w:val="none"/>
          <w:lang w:val="en-US" w:eastAsia="zh-CN"/>
        </w:rPr>
        <w:t>11.副食品</w:t>
      </w:r>
    </w:p>
    <w:p>
      <w:pPr>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副食品</w:t>
      </w:r>
      <w:r>
        <w:rPr>
          <w:rFonts w:hint="eastAsia" w:ascii="宋体" w:hAnsi="宋体" w:cs="宋体"/>
          <w:color w:val="auto"/>
          <w:szCs w:val="21"/>
          <w:highlight w:val="none"/>
          <w:lang w:val="en-US"/>
        </w:rPr>
        <w:t>符合国家现行标准。有保质期的，送达时剩余保质期应不低于应有保质期的2/3。</w:t>
      </w:r>
    </w:p>
    <w:p>
      <w:pPr>
        <w:spacing w:line="360" w:lineRule="auto"/>
        <w:ind w:firstLine="420" w:firstLineChars="200"/>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rPr>
        <w:t>▲注：以上所有品牌为推荐品牌，投标供应商可选择推荐品牌以外的其他品牌，但其品质、参数、品牌认可度等不得低于推荐品牌。</w:t>
      </w:r>
    </w:p>
    <w:p>
      <w:pPr>
        <w:pStyle w:val="59"/>
        <w:spacing w:line="360" w:lineRule="auto"/>
        <w:ind w:firstLine="420" w:firstLineChars="200"/>
        <w:contextualSpacing/>
        <w:rPr>
          <w:rFonts w:hint="eastAsia" w:cs="宋体"/>
          <w:color w:val="auto"/>
          <w:sz w:val="21"/>
          <w:szCs w:val="21"/>
          <w:highlight w:val="none"/>
          <w:lang w:val="en-US" w:eastAsia="zh-CN"/>
        </w:rPr>
      </w:pPr>
    </w:p>
    <w:p>
      <w:pPr>
        <w:pStyle w:val="59"/>
        <w:spacing w:line="360" w:lineRule="auto"/>
        <w:ind w:firstLine="482" w:firstLineChars="200"/>
        <w:contextualSpacing/>
        <w:rPr>
          <w:b/>
          <w:color w:val="auto"/>
          <w:sz w:val="24"/>
          <w:szCs w:val="24"/>
          <w:highlight w:val="none"/>
          <w:u w:val="single"/>
        </w:rPr>
      </w:pPr>
      <w:r>
        <w:rPr>
          <w:rFonts w:hint="eastAsia"/>
          <w:b/>
          <w:color w:val="auto"/>
          <w:sz w:val="24"/>
          <w:szCs w:val="24"/>
          <w:highlight w:val="none"/>
          <w:u w:val="single"/>
        </w:rPr>
        <w:t>投标时提供</w:t>
      </w:r>
      <w:r>
        <w:rPr>
          <w:rFonts w:hint="eastAsia"/>
          <w:b/>
          <w:color w:val="auto"/>
          <w:sz w:val="24"/>
          <w:szCs w:val="24"/>
          <w:highlight w:val="none"/>
          <w:u w:val="single"/>
          <w:lang w:val="en-US" w:eastAsia="zh-CN"/>
        </w:rPr>
        <w:t>标项1、2：</w:t>
      </w:r>
      <w:r>
        <w:rPr>
          <w:rFonts w:hint="eastAsia" w:ascii="宋体" w:hAnsi="宋体" w:cs="Courier New"/>
          <w:b/>
          <w:color w:val="auto"/>
          <w:sz w:val="24"/>
          <w:highlight w:val="none"/>
          <w:u w:val="single"/>
          <w:lang w:val="en-US" w:eastAsia="zh-CN"/>
        </w:rPr>
        <w:t>玉米油非转基因食用油</w:t>
      </w:r>
      <w:r>
        <w:rPr>
          <w:rFonts w:hint="eastAsia" w:ascii="宋体" w:hAnsi="宋体" w:cs="Courier New"/>
          <w:b/>
          <w:color w:val="auto"/>
          <w:sz w:val="24"/>
          <w:highlight w:val="none"/>
          <w:u w:val="single"/>
          <w:lang w:eastAsia="zh-CN"/>
        </w:rPr>
        <w:t>、</w:t>
      </w:r>
      <w:r>
        <w:rPr>
          <w:rFonts w:hint="eastAsia" w:ascii="宋体" w:hAnsi="宋体" w:cs="Courier New"/>
          <w:b/>
          <w:color w:val="auto"/>
          <w:sz w:val="24"/>
          <w:highlight w:val="none"/>
          <w:u w:val="single"/>
          <w:lang w:val="en-US" w:eastAsia="zh-CN"/>
        </w:rPr>
        <w:t>生抽、猪里脊肉、</w:t>
      </w:r>
      <w:r>
        <w:rPr>
          <w:rFonts w:hint="eastAsia"/>
          <w:b/>
          <w:color w:val="auto"/>
          <w:sz w:val="24"/>
          <w:szCs w:val="24"/>
          <w:highlight w:val="none"/>
          <w:u w:val="single"/>
        </w:rPr>
        <w:t>红蜜薯、鸡蛋、牛</w:t>
      </w:r>
      <w:r>
        <w:rPr>
          <w:rFonts w:hint="eastAsia"/>
          <w:b/>
          <w:color w:val="auto"/>
          <w:sz w:val="24"/>
          <w:szCs w:val="24"/>
          <w:highlight w:val="none"/>
          <w:u w:val="single"/>
          <w:lang w:val="en-US" w:eastAsia="zh-CN"/>
        </w:rPr>
        <w:t>肋排、枇杷、火龙果（红心）</w:t>
      </w:r>
      <w:r>
        <w:rPr>
          <w:rFonts w:hint="eastAsia"/>
          <w:b/>
          <w:color w:val="auto"/>
          <w:sz w:val="24"/>
          <w:szCs w:val="24"/>
          <w:highlight w:val="none"/>
          <w:u w:val="single"/>
        </w:rPr>
        <w:t>样品各一份</w:t>
      </w:r>
      <w:r>
        <w:rPr>
          <w:rFonts w:hint="eastAsia"/>
          <w:b/>
          <w:color w:val="auto"/>
          <w:sz w:val="24"/>
          <w:szCs w:val="24"/>
          <w:highlight w:val="none"/>
          <w:u w:val="single"/>
          <w:lang w:eastAsia="zh-CN"/>
        </w:rPr>
        <w:t>；</w:t>
      </w:r>
      <w:r>
        <w:rPr>
          <w:rFonts w:hint="eastAsia"/>
          <w:b/>
          <w:color w:val="auto"/>
          <w:sz w:val="24"/>
          <w:szCs w:val="24"/>
          <w:highlight w:val="none"/>
          <w:u w:val="single"/>
          <w:lang w:val="en-US" w:eastAsia="zh-CN"/>
        </w:rPr>
        <w:t>标项3：玻璃杯、100抽以上餐巾纸、独立包装饼干、250ml左右装纯牛奶、橙汁各一份样品</w:t>
      </w:r>
      <w:r>
        <w:rPr>
          <w:rFonts w:hint="eastAsia"/>
          <w:b/>
          <w:color w:val="auto"/>
          <w:sz w:val="24"/>
          <w:szCs w:val="24"/>
          <w:highlight w:val="none"/>
          <w:u w:val="single"/>
        </w:rPr>
        <w:t>（数量不少于5人份，建议少量经济为前提</w:t>
      </w:r>
      <w:r>
        <w:rPr>
          <w:rFonts w:hint="eastAsia"/>
          <w:b/>
          <w:color w:val="auto"/>
          <w:sz w:val="24"/>
          <w:szCs w:val="24"/>
          <w:highlight w:val="none"/>
          <w:u w:val="single"/>
          <w:lang w:eastAsia="zh-CN"/>
        </w:rPr>
        <w:t>，</w:t>
      </w:r>
      <w:r>
        <w:rPr>
          <w:rFonts w:hint="eastAsia" w:ascii="宋体" w:hAnsi="宋体" w:cs="Courier New"/>
          <w:b/>
          <w:color w:val="auto"/>
          <w:sz w:val="24"/>
          <w:highlight w:val="none"/>
          <w:u w:val="single"/>
        </w:rPr>
        <w:t>重量自行考虑，满足评委评审的基础上，以经济、节约为考虑标准</w:t>
      </w:r>
      <w:r>
        <w:rPr>
          <w:rFonts w:hint="eastAsia"/>
          <w:b/>
          <w:color w:val="auto"/>
          <w:sz w:val="24"/>
          <w:szCs w:val="24"/>
          <w:highlight w:val="none"/>
          <w:u w:val="single"/>
        </w:rPr>
        <w:t>）。无论中标与否样品不予退还。未按要求提供样品的将影响技术性评分。</w:t>
      </w:r>
    </w:p>
    <w:p>
      <w:pPr>
        <w:spacing w:line="360" w:lineRule="auto"/>
        <w:rPr>
          <w:rFonts w:hint="eastAsia" w:ascii="宋体" w:hAnsi="宋体"/>
          <w:b/>
          <w:bCs/>
          <w:color w:val="auto"/>
          <w:szCs w:val="21"/>
          <w:highlight w:val="none"/>
          <w:lang w:val="en-US"/>
        </w:rPr>
      </w:pPr>
      <w:r>
        <w:rPr>
          <w:rFonts w:hint="eastAsia" w:ascii="宋体" w:hAnsi="宋体"/>
          <w:b/>
          <w:bCs/>
          <w:color w:val="auto"/>
          <w:szCs w:val="21"/>
          <w:highlight w:val="none"/>
          <w:lang w:val="en-US"/>
        </w:rPr>
        <w:t>四、采购要求</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1、</w:t>
      </w:r>
      <w:r>
        <w:rPr>
          <w:rFonts w:hint="eastAsia" w:ascii="宋体" w:hAnsi="宋体" w:cs="宋体"/>
          <w:color w:val="auto"/>
          <w:szCs w:val="21"/>
          <w:highlight w:val="none"/>
          <w:lang w:val="en-US" w:eastAsia="zh-CN"/>
        </w:rPr>
        <w:t>中标供应商</w:t>
      </w:r>
      <w:r>
        <w:rPr>
          <w:rFonts w:hint="eastAsia" w:ascii="宋体" w:hAnsi="宋体" w:cs="宋体"/>
          <w:color w:val="auto"/>
          <w:szCs w:val="21"/>
          <w:highlight w:val="none"/>
          <w:lang w:val="en-US"/>
        </w:rPr>
        <w:t>配送的所有食品必须是符合我国现行食品安全标准的合格产品，所有食品来源均必须可追溯，并须提供食品的索证索票。</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2、投标人须有能力提供长期的本地化服务，有必要的运输工具，有一定的食品批量采购及配送能力，有一系列保证食品安全的制度、实施方案和考核办法等。</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3、提供每月配送过程中同类商品市场均价证明。</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4、本次招标配送期为自合同生效之日起一年。</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5、验收：由招标单位组织有关人员验收。中标人对其出售食品负责免费送货，招标单位根据采购合同约定对副食品的数量、价格、外观、质量等方面进行验收。</w:t>
      </w:r>
    </w:p>
    <w:p>
      <w:pPr>
        <w:spacing w:line="360" w:lineRule="auto"/>
        <w:rPr>
          <w:rFonts w:hint="eastAsia" w:ascii="宋体" w:hAnsi="宋体"/>
          <w:b/>
          <w:bCs/>
          <w:color w:val="auto"/>
          <w:szCs w:val="21"/>
          <w:highlight w:val="none"/>
          <w:lang w:val="en-US"/>
        </w:rPr>
      </w:pPr>
      <w:r>
        <w:rPr>
          <w:rFonts w:hint="eastAsia" w:ascii="宋体" w:hAnsi="宋体"/>
          <w:b/>
          <w:bCs/>
          <w:color w:val="auto"/>
          <w:szCs w:val="21"/>
          <w:highlight w:val="none"/>
          <w:lang w:val="en-US"/>
        </w:rPr>
        <w:t>五、</w:t>
      </w:r>
      <w:r>
        <w:rPr>
          <w:rFonts w:hint="eastAsia" w:ascii="宋体" w:hAnsi="宋体"/>
          <w:b/>
          <w:bCs/>
          <w:color w:val="auto"/>
          <w:szCs w:val="21"/>
          <w:highlight w:val="none"/>
        </w:rPr>
        <w:t>商务条款</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1、投标价格包括：包装、运输、搬运、保险、税金等一切费用，即运送至使用嘉兴海关两个办公区</w:t>
      </w:r>
      <w:r>
        <w:rPr>
          <w:rFonts w:hint="eastAsia" w:ascii="宋体" w:hAnsi="宋体" w:cs="宋体"/>
          <w:color w:val="auto"/>
          <w:szCs w:val="21"/>
          <w:highlight w:val="none"/>
          <w:lang w:val="en-US" w:eastAsia="zh-CN"/>
        </w:rPr>
        <w:t>指定</w:t>
      </w:r>
      <w:r>
        <w:rPr>
          <w:rFonts w:hint="eastAsia" w:ascii="宋体" w:hAnsi="宋体" w:cs="宋体"/>
          <w:color w:val="auto"/>
          <w:szCs w:val="21"/>
          <w:highlight w:val="none"/>
          <w:lang w:val="en-US"/>
        </w:rPr>
        <w:t>仓库内的包干价格。</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2、除清单内货品种类外，</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lang w:val="en-US"/>
        </w:rPr>
        <w:t>可定期、不定期更新或更换采购品种、规格，</w:t>
      </w:r>
      <w:r>
        <w:rPr>
          <w:rFonts w:hint="eastAsia" w:ascii="宋体" w:hAnsi="宋体" w:cs="宋体"/>
          <w:color w:val="auto"/>
          <w:szCs w:val="21"/>
          <w:highlight w:val="none"/>
          <w:lang w:val="en-US" w:eastAsia="zh-CN"/>
        </w:rPr>
        <w:t>中标供应商</w:t>
      </w:r>
      <w:r>
        <w:rPr>
          <w:rFonts w:hint="eastAsia" w:ascii="宋体" w:hAnsi="宋体" w:cs="宋体"/>
          <w:color w:val="auto"/>
          <w:szCs w:val="21"/>
          <w:highlight w:val="none"/>
          <w:lang w:val="en-US"/>
        </w:rPr>
        <w:t>须无条件响应，如不能提供须与</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lang w:val="en-US"/>
        </w:rPr>
        <w:t>沟通并经</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lang w:val="en-US"/>
        </w:rPr>
        <w:t>同意，通过同类及同档次产品进行替代，结算规则不变。</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3、投标人应充分考虑货物生产厂家的生产能力风险，应选择具备相应生产、供货能力的生产厂家。</w:t>
      </w:r>
    </w:p>
    <w:p>
      <w:pPr>
        <w:spacing w:line="360" w:lineRule="auto"/>
        <w:ind w:firstLine="420" w:firstLineChars="200"/>
        <w:rPr>
          <w:rFonts w:hint="eastAsia" w:ascii="宋体" w:hAnsi="宋体" w:cs="宋体"/>
          <w:color w:val="auto"/>
          <w:szCs w:val="21"/>
          <w:highlight w:val="none"/>
          <w:lang w:val="en-US"/>
        </w:rPr>
      </w:pPr>
      <w:r>
        <w:rPr>
          <w:rFonts w:hint="eastAsia" w:ascii="宋体" w:hAnsi="宋体" w:cs="宋体"/>
          <w:color w:val="auto"/>
          <w:szCs w:val="21"/>
          <w:highlight w:val="none"/>
          <w:lang w:val="en-US"/>
        </w:rPr>
        <w:t>4、供货期间，若因产品生产厂商停产、减产等问题致使不能满足供货的，经</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lang w:val="en-US"/>
        </w:rPr>
        <w:t>、</w:t>
      </w:r>
      <w:r>
        <w:rPr>
          <w:rFonts w:hint="eastAsia" w:ascii="宋体" w:hAnsi="宋体" w:cs="宋体"/>
          <w:color w:val="auto"/>
          <w:szCs w:val="21"/>
          <w:highlight w:val="none"/>
          <w:lang w:val="en-US" w:eastAsia="zh-CN"/>
        </w:rPr>
        <w:t>中标供应商</w:t>
      </w:r>
      <w:r>
        <w:rPr>
          <w:rFonts w:hint="eastAsia" w:ascii="宋体" w:hAnsi="宋体" w:cs="宋体"/>
          <w:color w:val="auto"/>
          <w:szCs w:val="21"/>
          <w:highlight w:val="none"/>
          <w:lang w:val="en-US"/>
        </w:rPr>
        <w:t>组成核查小组，查实后，可以更换其它同类产品，但更换后的产品产地必须符合招标要求，产品生产厂家的生产规模高于原生产厂商，产品质量不低于原产品质量，产品价格按原产品价格。</w:t>
      </w:r>
    </w:p>
    <w:p>
      <w:pPr>
        <w:spacing w:line="360" w:lineRule="auto"/>
        <w:ind w:firstLine="420" w:firstLineChars="200"/>
        <w:rPr>
          <w:rFonts w:ascii="微软雅黑" w:hAnsi="微软雅黑" w:cs="微软雅黑"/>
          <w:color w:val="auto"/>
          <w:szCs w:val="21"/>
          <w:highlight w:val="none"/>
        </w:rPr>
      </w:pPr>
      <w:r>
        <w:rPr>
          <w:rFonts w:hint="eastAsia" w:ascii="宋体" w:hAnsi="宋体" w:cs="宋体"/>
          <w:color w:val="auto"/>
          <w:szCs w:val="21"/>
          <w:highlight w:val="none"/>
          <w:lang w:val="en-US" w:eastAsia="zh-CN"/>
        </w:rPr>
        <w:t>5、</w:t>
      </w:r>
      <w:r>
        <w:rPr>
          <w:rFonts w:hint="eastAsia" w:ascii="微软雅黑" w:hAnsi="微软雅黑" w:cs="微软雅黑"/>
          <w:color w:val="auto"/>
          <w:szCs w:val="21"/>
          <w:highlight w:val="none"/>
        </w:rPr>
        <w:t>出现下列情况之一的，采购人有权</w:t>
      </w:r>
      <w:r>
        <w:rPr>
          <w:rFonts w:hint="eastAsia" w:ascii="微软雅黑" w:hAnsi="微软雅黑" w:cs="微软雅黑"/>
          <w:color w:val="auto"/>
          <w:szCs w:val="21"/>
          <w:highlight w:val="none"/>
          <w:lang w:val="en-US" w:eastAsia="zh-CN"/>
        </w:rPr>
        <w:t>暂停直至</w:t>
      </w:r>
      <w:r>
        <w:rPr>
          <w:rFonts w:hint="eastAsia" w:ascii="微软雅黑" w:hAnsi="微软雅黑" w:cs="微软雅黑"/>
          <w:color w:val="auto"/>
          <w:szCs w:val="21"/>
          <w:highlight w:val="none"/>
        </w:rPr>
        <w:t>取消供货资格、终止合同，没收履约保证金，并由供货单位承担一切损失和责任。</w:t>
      </w:r>
    </w:p>
    <w:p>
      <w:pPr>
        <w:spacing w:line="500" w:lineRule="exact"/>
        <w:ind w:firstLine="411" w:firstLineChars="196"/>
        <w:rPr>
          <w:rFonts w:ascii="微软雅黑" w:hAnsi="微软雅黑" w:cs="微软雅黑"/>
          <w:color w:val="auto"/>
          <w:szCs w:val="21"/>
          <w:highlight w:val="none"/>
        </w:rPr>
      </w:pPr>
      <w:r>
        <w:rPr>
          <w:rFonts w:hint="eastAsia" w:ascii="微软雅黑" w:hAnsi="微软雅黑" w:cs="微软雅黑"/>
          <w:color w:val="auto"/>
          <w:szCs w:val="21"/>
          <w:highlight w:val="none"/>
        </w:rPr>
        <w:t>①出现送来变质原、辅料的；</w:t>
      </w:r>
    </w:p>
    <w:p>
      <w:pPr>
        <w:spacing w:line="500" w:lineRule="exact"/>
        <w:ind w:firstLine="411" w:firstLineChars="196"/>
        <w:rPr>
          <w:rFonts w:ascii="微软雅黑" w:hAnsi="微软雅黑" w:cs="微软雅黑"/>
          <w:color w:val="auto"/>
          <w:szCs w:val="21"/>
          <w:highlight w:val="none"/>
        </w:rPr>
      </w:pPr>
      <w:r>
        <w:rPr>
          <w:rFonts w:hint="eastAsia" w:ascii="微软雅黑" w:hAnsi="微软雅黑" w:cs="微软雅黑"/>
          <w:color w:val="auto"/>
          <w:szCs w:val="21"/>
          <w:highlight w:val="none"/>
        </w:rPr>
        <w:t>②以次充好或缺斤少两，警告后无效的；</w:t>
      </w:r>
    </w:p>
    <w:p>
      <w:pPr>
        <w:spacing w:line="500" w:lineRule="exact"/>
        <w:ind w:firstLine="411" w:firstLineChars="196"/>
        <w:rPr>
          <w:rFonts w:ascii="微软雅黑" w:hAnsi="微软雅黑" w:cs="微软雅黑"/>
          <w:color w:val="auto"/>
          <w:szCs w:val="21"/>
          <w:highlight w:val="none"/>
        </w:rPr>
      </w:pPr>
      <w:r>
        <w:rPr>
          <w:rFonts w:hint="eastAsia" w:ascii="微软雅黑" w:hAnsi="微软雅黑" w:cs="微软雅黑"/>
          <w:color w:val="auto"/>
          <w:szCs w:val="21"/>
          <w:highlight w:val="none"/>
        </w:rPr>
        <w:t>③不按要求的品牌、规格、质量要求及时间送货的，并且事先未征得采购人同意的；</w:t>
      </w:r>
    </w:p>
    <w:p>
      <w:pPr>
        <w:spacing w:line="500" w:lineRule="exact"/>
        <w:ind w:firstLine="411" w:firstLineChars="196"/>
        <w:rPr>
          <w:rFonts w:ascii="微软雅黑" w:hAnsi="微软雅黑" w:cs="微软雅黑"/>
          <w:color w:val="auto"/>
          <w:szCs w:val="21"/>
          <w:highlight w:val="none"/>
        </w:rPr>
      </w:pPr>
      <w:r>
        <w:rPr>
          <w:rFonts w:hint="eastAsia" w:ascii="微软雅黑" w:hAnsi="微软雅黑" w:cs="微软雅黑"/>
          <w:color w:val="auto"/>
          <w:szCs w:val="21"/>
          <w:highlight w:val="none"/>
        </w:rPr>
        <w:t>④恶意抬高价格，或价格明显偏高；</w:t>
      </w:r>
    </w:p>
    <w:p>
      <w:pPr>
        <w:spacing w:line="500" w:lineRule="exact"/>
        <w:ind w:firstLine="411" w:firstLineChars="196"/>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⑤发现所提供的</w:t>
      </w:r>
      <w:r>
        <w:rPr>
          <w:rFonts w:hint="eastAsia" w:ascii="微软雅黑" w:hAnsi="微软雅黑" w:cs="微软雅黑"/>
          <w:color w:val="auto"/>
          <w:szCs w:val="21"/>
          <w:highlight w:val="none"/>
          <w:lang w:val="en-US" w:eastAsia="zh-CN"/>
        </w:rPr>
        <w:t>肉禽类有病、死肉</w:t>
      </w:r>
      <w:r>
        <w:rPr>
          <w:rFonts w:hint="eastAsia" w:ascii="微软雅黑" w:hAnsi="微软雅黑" w:cs="微软雅黑"/>
          <w:color w:val="auto"/>
          <w:szCs w:val="21"/>
          <w:highlight w:val="none"/>
        </w:rPr>
        <w:t>或有注水现象的；</w:t>
      </w:r>
    </w:p>
    <w:p>
      <w:pPr>
        <w:spacing w:line="500" w:lineRule="exact"/>
        <w:ind w:firstLine="411" w:firstLineChars="196"/>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⑥发现一次提供的</w:t>
      </w:r>
      <w:r>
        <w:rPr>
          <w:rFonts w:hint="eastAsia" w:ascii="微软雅黑" w:hAnsi="微软雅黑" w:cs="微软雅黑"/>
          <w:color w:val="auto"/>
          <w:szCs w:val="21"/>
          <w:highlight w:val="none"/>
          <w:lang w:val="en-US" w:eastAsia="zh-CN"/>
        </w:rPr>
        <w:t>食材</w:t>
      </w:r>
      <w:r>
        <w:rPr>
          <w:rFonts w:hint="eastAsia" w:ascii="微软雅黑" w:hAnsi="微软雅黑" w:cs="微软雅黑"/>
          <w:color w:val="auto"/>
          <w:szCs w:val="21"/>
          <w:highlight w:val="none"/>
        </w:rPr>
        <w:t>中含有国家明令禁止的非食用添加物质的；</w:t>
      </w:r>
    </w:p>
    <w:p>
      <w:pPr>
        <w:spacing w:line="500" w:lineRule="exact"/>
        <w:ind w:firstLine="411" w:firstLineChars="196"/>
        <w:rPr>
          <w:rFonts w:hint="eastAsia" w:ascii="微软雅黑" w:hAnsi="微软雅黑" w:cs="微软雅黑"/>
          <w:color w:val="auto"/>
          <w:szCs w:val="21"/>
          <w:highlight w:val="none"/>
          <w:lang w:val="en-US" w:eastAsia="zh-CN"/>
        </w:rPr>
      </w:pPr>
      <w:r>
        <w:rPr>
          <w:rFonts w:hint="eastAsia" w:ascii="微软雅黑" w:hAnsi="微软雅黑" w:cs="微软雅黑"/>
          <w:color w:val="auto"/>
          <w:szCs w:val="21"/>
          <w:highlight w:val="none"/>
          <w:lang w:val="en-US" w:eastAsia="zh-CN"/>
        </w:rPr>
        <w:t>⑦配送的食材由监管职能部门查出不合格或由媒体、舆论曝光，造成不良后果的。</w:t>
      </w:r>
    </w:p>
    <w:p>
      <w:pPr>
        <w:spacing w:line="500" w:lineRule="exact"/>
        <w:ind w:firstLine="411" w:firstLineChars="196"/>
        <w:rPr>
          <w:rFonts w:hint="default" w:ascii="微软雅黑" w:hAnsi="微软雅黑" w:cs="微软雅黑"/>
          <w:color w:val="auto"/>
          <w:szCs w:val="21"/>
          <w:highlight w:val="none"/>
          <w:lang w:val="en-US" w:eastAsia="zh-CN"/>
        </w:rPr>
      </w:pPr>
      <w:r>
        <w:rPr>
          <w:rFonts w:hint="eastAsia" w:ascii="微软雅黑" w:hAnsi="微软雅黑" w:cs="微软雅黑"/>
          <w:color w:val="auto"/>
          <w:szCs w:val="21"/>
          <w:highlight w:val="none"/>
          <w:lang w:val="en-US" w:eastAsia="zh-CN"/>
        </w:rPr>
        <w:t>⑧提供过期食品或未经标识的临保食品。</w:t>
      </w:r>
    </w:p>
    <w:p>
      <w:pPr>
        <w:numPr>
          <w:ilvl w:val="0"/>
          <w:numId w:val="2"/>
        </w:numPr>
        <w:spacing w:line="500" w:lineRule="exact"/>
        <w:ind w:firstLine="420" w:firstLineChars="200"/>
        <w:rPr>
          <w:rFonts w:hint="eastAsia" w:ascii="微软雅黑" w:hAnsi="微软雅黑" w:cs="微软雅黑"/>
          <w:color w:val="auto"/>
          <w:szCs w:val="21"/>
          <w:highlight w:val="none"/>
        </w:rPr>
      </w:pPr>
      <w:bookmarkStart w:id="11" w:name="_Toc38363798"/>
      <w:r>
        <w:rPr>
          <w:rFonts w:hint="eastAsia" w:ascii="微软雅黑" w:hAnsi="微软雅黑" w:cs="微软雅黑"/>
          <w:color w:val="auto"/>
          <w:szCs w:val="21"/>
          <w:highlight w:val="none"/>
        </w:rPr>
        <w:t>如果出现因食材引起的食物中毒事件，由供货商承担所有经济和法律责任。</w:t>
      </w:r>
      <w:bookmarkEnd w:id="11"/>
      <w:bookmarkStart w:id="12" w:name="_Toc38363799"/>
    </w:p>
    <w:p>
      <w:pPr>
        <w:numPr>
          <w:ilvl w:val="0"/>
          <w:numId w:val="2"/>
        </w:numPr>
        <w:spacing w:line="50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其他不符合</w:t>
      </w:r>
      <w:r>
        <w:rPr>
          <w:rFonts w:hint="eastAsia" w:ascii="微软雅黑" w:hAnsi="微软雅黑" w:cs="微软雅黑"/>
          <w:color w:val="auto"/>
          <w:szCs w:val="21"/>
          <w:highlight w:val="none"/>
          <w:lang w:val="en-US" w:eastAsia="zh-CN"/>
        </w:rPr>
        <w:t>采购人</w:t>
      </w:r>
      <w:r>
        <w:rPr>
          <w:rFonts w:hint="eastAsia" w:ascii="微软雅黑" w:hAnsi="微软雅黑" w:cs="微软雅黑"/>
          <w:color w:val="auto"/>
          <w:szCs w:val="21"/>
          <w:highlight w:val="none"/>
        </w:rPr>
        <w:t>要求的情况，根据情节轻重由采购人讨论决定（供货商须服从采购人管理</w:t>
      </w:r>
      <w:r>
        <w:rPr>
          <w:rFonts w:hint="eastAsia" w:ascii="微软雅黑" w:hAnsi="微软雅黑" w:cs="微软雅黑"/>
          <w:color w:val="auto"/>
          <w:szCs w:val="21"/>
          <w:highlight w:val="none"/>
          <w:lang w:val="en-US" w:eastAsia="zh-CN"/>
        </w:rPr>
        <w:t>规定</w:t>
      </w:r>
      <w:r>
        <w:rPr>
          <w:rFonts w:hint="eastAsia" w:ascii="微软雅黑" w:hAnsi="微软雅黑" w:cs="微软雅黑"/>
          <w:color w:val="auto"/>
          <w:szCs w:val="21"/>
          <w:highlight w:val="none"/>
        </w:rPr>
        <w:t>，具体</w:t>
      </w:r>
      <w:r>
        <w:rPr>
          <w:rFonts w:hint="eastAsia" w:ascii="微软雅黑" w:hAnsi="微软雅黑" w:cs="微软雅黑"/>
          <w:color w:val="auto"/>
          <w:szCs w:val="21"/>
          <w:highlight w:val="none"/>
          <w:lang w:val="en-US" w:eastAsia="zh-CN"/>
        </w:rPr>
        <w:t>规定</w:t>
      </w:r>
      <w:r>
        <w:rPr>
          <w:rFonts w:hint="eastAsia" w:ascii="微软雅黑" w:hAnsi="微软雅黑" w:cs="微软雅黑"/>
          <w:color w:val="auto"/>
          <w:szCs w:val="21"/>
          <w:highlight w:val="none"/>
        </w:rPr>
        <w:t>由采购人自行制定）。</w:t>
      </w:r>
      <w:bookmarkEnd w:id="12"/>
      <w:bookmarkStart w:id="13" w:name="_Toc38363800"/>
    </w:p>
    <w:p>
      <w:pPr>
        <w:numPr>
          <w:ilvl w:val="0"/>
          <w:numId w:val="2"/>
        </w:numPr>
        <w:spacing w:line="500" w:lineRule="exact"/>
        <w:ind w:firstLine="420" w:firstLineChars="200"/>
        <w:rPr>
          <w:rFonts w:hint="eastAsia" w:ascii="宋体" w:hAnsi="宋体" w:cs="宋体"/>
          <w:color w:val="auto"/>
          <w:szCs w:val="21"/>
          <w:highlight w:val="none"/>
          <w:lang w:val="en-US"/>
        </w:rPr>
      </w:pPr>
      <w:r>
        <w:rPr>
          <w:rFonts w:hint="eastAsia" w:ascii="微软雅黑" w:hAnsi="微软雅黑" w:cs="微软雅黑"/>
          <w:color w:val="auto"/>
          <w:szCs w:val="21"/>
          <w:highlight w:val="none"/>
        </w:rPr>
        <w:t>中标后中标供应商必须设立本采购项目总协调人的姓名和详尽的联系办法，全权负责中标后采购</w:t>
      </w:r>
      <w:r>
        <w:rPr>
          <w:rFonts w:hint="eastAsia" w:ascii="微软雅黑" w:hAnsi="微软雅黑" w:cs="微软雅黑"/>
          <w:color w:val="auto"/>
          <w:szCs w:val="21"/>
          <w:highlight w:val="none"/>
          <w:lang w:val="en-US" w:eastAsia="zh-CN"/>
        </w:rPr>
        <w:t>人</w:t>
      </w:r>
      <w:r>
        <w:rPr>
          <w:rFonts w:hint="eastAsia" w:ascii="微软雅黑" w:hAnsi="微软雅黑" w:cs="微软雅黑"/>
          <w:color w:val="auto"/>
          <w:szCs w:val="21"/>
          <w:highlight w:val="none"/>
        </w:rPr>
        <w:t>对其中标产品的有关咨询、查询、签订和执行合同、无条件履行售后服务承诺和接受投诉等事务；总协调人信息必须明确且尽量详尽（包括联系电话、传真和电子邮件信息）以便于采购单位与之进行联络。</w:t>
      </w:r>
      <w:bookmarkEnd w:id="13"/>
      <w:bookmarkStart w:id="14" w:name="_Toc38363804"/>
    </w:p>
    <w:p>
      <w:pPr>
        <w:numPr>
          <w:ilvl w:val="0"/>
          <w:numId w:val="2"/>
        </w:numPr>
        <w:spacing w:line="500" w:lineRule="exact"/>
        <w:ind w:firstLine="420" w:firstLineChars="200"/>
        <w:rPr>
          <w:rFonts w:ascii="宋体" w:hAnsi="宋体"/>
          <w:color w:val="auto"/>
          <w:szCs w:val="21"/>
          <w:highlight w:val="none"/>
        </w:rPr>
      </w:pPr>
      <w:r>
        <w:rPr>
          <w:rFonts w:hint="eastAsia" w:ascii="微软雅黑" w:hAnsi="微软雅黑" w:cs="微软雅黑"/>
          <w:color w:val="auto"/>
          <w:szCs w:val="21"/>
          <w:highlight w:val="none"/>
        </w:rPr>
        <w:t>有关供应商在特定时间举办的促销活动和优惠政策，采购单位有权参加其促销活动和享受其优惠政策。</w:t>
      </w:r>
      <w:bookmarkEnd w:id="14"/>
    </w:p>
    <w:p>
      <w:pPr>
        <w:numPr>
          <w:ilvl w:val="0"/>
          <w:numId w:val="2"/>
        </w:num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、服务期限：</w:t>
      </w:r>
    </w:p>
    <w:p>
      <w:pPr>
        <w:snapToGrid w:val="0"/>
        <w:spacing w:line="360" w:lineRule="auto"/>
        <w:ind w:firstLine="210" w:firstLineChars="100"/>
        <w:contextualSpacing/>
        <w:rPr>
          <w:rFonts w:hint="eastAsia" w:ascii="宋体" w:hAnsi="宋体"/>
          <w:color w:val="auto"/>
          <w:szCs w:val="21"/>
          <w:highlight w:val="none"/>
        </w:rPr>
      </w:pPr>
      <w:r>
        <w:rPr>
          <w:rFonts w:hint="eastAsia" w:ascii="宋体" w:hAnsi="宋体"/>
          <w:color w:val="auto"/>
          <w:szCs w:val="21"/>
          <w:highlight w:val="none"/>
        </w:rPr>
        <w:t>合同签订之日起一年。</w:t>
      </w:r>
    </w:p>
    <w:p>
      <w:pPr>
        <w:snapToGrid w:val="0"/>
        <w:spacing w:line="360" w:lineRule="auto"/>
        <w:ind w:firstLine="420" w:firstLineChars="200"/>
        <w:contextualSpacing/>
        <w:rPr>
          <w:rFonts w:ascii="宋体" w:hAnsi="宋体"/>
          <w:color w:val="auto"/>
          <w:szCs w:val="21"/>
          <w:highlight w:val="none"/>
        </w:rPr>
      </w:pPr>
      <w:r>
        <w:rPr>
          <w:rFonts w:hint="eastAsia" w:ascii="宋体" w:hAnsi="宋体"/>
          <w:color w:val="auto"/>
          <w:szCs w:val="21"/>
          <w:highlight w:val="none"/>
          <w:lang w:val="en-US" w:eastAsia="zh-CN"/>
        </w:rPr>
        <w:t>11</w:t>
      </w:r>
      <w:r>
        <w:rPr>
          <w:rFonts w:hint="eastAsia" w:ascii="宋体" w:hAnsi="宋体"/>
          <w:color w:val="auto"/>
          <w:szCs w:val="21"/>
          <w:highlight w:val="none"/>
        </w:rPr>
        <w:t>、报价及结算方式：投标人按费率进行报价</w:t>
      </w:r>
      <w:r>
        <w:rPr>
          <w:rFonts w:hint="eastAsia" w:ascii="宋体" w:hAnsi="宋体"/>
          <w:color w:val="auto"/>
          <w:szCs w:val="21"/>
          <w:highlight w:val="none"/>
          <w:lang w:eastAsia="zh-CN"/>
        </w:rPr>
        <w:t>（粮油调味品类、肉禽水产冻品类、水果蔬菜奶制品类、日用品副食品类</w:t>
      </w:r>
      <w:r>
        <w:rPr>
          <w:rFonts w:hint="eastAsia" w:ascii="宋体" w:hAnsi="宋体"/>
          <w:color w:val="auto"/>
          <w:szCs w:val="21"/>
          <w:highlight w:val="none"/>
          <w:lang w:val="en-US" w:eastAsia="zh-CN"/>
        </w:rPr>
        <w:t>分别报价</w:t>
      </w:r>
      <w:r>
        <w:rPr>
          <w:rFonts w:hint="eastAsia" w:ascii="宋体" w:hAnsi="宋体"/>
          <w:color w:val="auto"/>
          <w:szCs w:val="21"/>
          <w:highlight w:val="none"/>
          <w:lang w:eastAsia="zh-CN"/>
        </w:rPr>
        <w:t>）</w:t>
      </w:r>
      <w:r>
        <w:rPr>
          <w:rFonts w:hint="eastAsia" w:ascii="宋体" w:hAnsi="宋体"/>
          <w:color w:val="auto"/>
          <w:szCs w:val="21"/>
          <w:highlight w:val="none"/>
        </w:rPr>
        <w:t>，</w:t>
      </w:r>
      <w:r>
        <w:rPr>
          <w:rFonts w:hint="eastAsia" w:ascii="宋体" w:hAnsi="宋体"/>
          <w:color w:val="auto"/>
          <w:szCs w:val="21"/>
          <w:highlight w:val="none"/>
          <w:lang w:val="en-US" w:eastAsia="zh-CN"/>
        </w:rPr>
        <w:t>每月1日作为报价日（如遇节假日或周末顺延）。报价日当天中标人需提供大润发超市当日挂牌价格</w:t>
      </w:r>
      <w:r>
        <w:rPr>
          <w:rFonts w:hint="eastAsia" w:ascii="宋体" w:hAnsi="宋体"/>
          <w:color w:val="auto"/>
          <w:szCs w:val="21"/>
          <w:highlight w:val="none"/>
        </w:rPr>
        <w:t>对应货品的单价</w:t>
      </w:r>
      <w:r>
        <w:rPr>
          <w:rFonts w:hint="eastAsia" w:ascii="宋体" w:hAnsi="宋体"/>
          <w:color w:val="auto"/>
          <w:szCs w:val="21"/>
          <w:highlight w:val="none"/>
          <w:lang w:val="en-US" w:eastAsia="zh-CN"/>
        </w:rPr>
        <w:t>作</w:t>
      </w:r>
      <w:r>
        <w:rPr>
          <w:rFonts w:hint="eastAsia" w:ascii="宋体" w:hAnsi="宋体"/>
          <w:color w:val="auto"/>
          <w:szCs w:val="21"/>
          <w:highlight w:val="none"/>
        </w:rPr>
        <w:t>为基准价格</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每月最后一天按该价格结算当月费用。</w:t>
      </w:r>
      <w:r>
        <w:rPr>
          <w:rFonts w:hint="eastAsia" w:ascii="宋体" w:hAnsi="宋体"/>
          <w:color w:val="auto"/>
          <w:szCs w:val="21"/>
          <w:highlight w:val="none"/>
        </w:rPr>
        <w:t>(若</w:t>
      </w:r>
      <w:r>
        <w:rPr>
          <w:rFonts w:hint="eastAsia" w:ascii="宋体" w:hAnsi="宋体"/>
          <w:color w:val="auto"/>
          <w:szCs w:val="21"/>
          <w:highlight w:val="none"/>
          <w:lang w:val="en-US" w:eastAsia="zh-CN"/>
        </w:rPr>
        <w:t>遇</w:t>
      </w:r>
      <w:r>
        <w:rPr>
          <w:rFonts w:hint="eastAsia" w:ascii="宋体" w:hAnsi="宋体"/>
          <w:color w:val="auto"/>
          <w:szCs w:val="21"/>
          <w:highlight w:val="none"/>
        </w:rPr>
        <w:t>当日</w:t>
      </w:r>
      <w:r>
        <w:rPr>
          <w:rFonts w:hint="eastAsia" w:ascii="宋体" w:hAnsi="宋体"/>
          <w:color w:val="auto"/>
          <w:szCs w:val="21"/>
          <w:highlight w:val="none"/>
          <w:lang w:val="en-US" w:eastAsia="zh-CN"/>
        </w:rPr>
        <w:t>大润发超市没有的品种则按戴梦得、天猫网上超市任选其一</w:t>
      </w:r>
      <w:r>
        <w:rPr>
          <w:rFonts w:hint="eastAsia" w:ascii="宋体" w:hAnsi="宋体"/>
          <w:color w:val="auto"/>
          <w:szCs w:val="21"/>
          <w:highlight w:val="none"/>
        </w:rPr>
        <w:t>挂牌价</w:t>
      </w:r>
      <w:r>
        <w:rPr>
          <w:rFonts w:hint="eastAsia" w:ascii="宋体" w:hAnsi="宋体"/>
          <w:color w:val="auto"/>
          <w:szCs w:val="21"/>
          <w:highlight w:val="none"/>
          <w:lang w:val="en-US" w:eastAsia="zh-CN"/>
        </w:rPr>
        <w:t>报价</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以上三家都没有，则按</w:t>
      </w:r>
      <w:r>
        <w:rPr>
          <w:rFonts w:hint="eastAsia" w:ascii="宋体" w:hAnsi="宋体"/>
          <w:color w:val="auto"/>
          <w:szCs w:val="21"/>
          <w:highlight w:val="none"/>
        </w:rPr>
        <w:t>荷花堤农贸市场</w:t>
      </w:r>
      <w:r>
        <w:rPr>
          <w:rFonts w:hint="eastAsia" w:ascii="宋体" w:hAnsi="宋体"/>
          <w:color w:val="auto"/>
          <w:szCs w:val="21"/>
          <w:highlight w:val="none"/>
          <w:lang w:val="en-US" w:eastAsia="zh-CN"/>
        </w:rPr>
        <w:t>或</w:t>
      </w:r>
      <w:r>
        <w:rPr>
          <w:rFonts w:hint="eastAsia" w:ascii="宋体" w:hAnsi="宋体"/>
          <w:color w:val="auto"/>
          <w:szCs w:val="21"/>
          <w:highlight w:val="none"/>
        </w:rPr>
        <w:t>三水湾农贸市场</w:t>
      </w:r>
      <w:r>
        <w:rPr>
          <w:rFonts w:hint="eastAsia" w:ascii="宋体" w:hAnsi="宋体"/>
          <w:color w:val="auto"/>
          <w:szCs w:val="21"/>
          <w:highlight w:val="none"/>
          <w:lang w:val="en-US" w:eastAsia="zh-CN"/>
        </w:rPr>
        <w:t>当日公示价格报价</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需提供大润发超市价格单作为报价凭证，采购人不定期进行抽查以确保价格的准确性</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结算价格经双方确认后生效；结算价格=</w:t>
      </w:r>
      <w:r>
        <w:rPr>
          <w:rFonts w:hint="eastAsia" w:ascii="宋体" w:hAnsi="宋体"/>
          <w:color w:val="auto"/>
          <w:szCs w:val="21"/>
          <w:highlight w:val="none"/>
        </w:rPr>
        <w:t>基准价格×</w:t>
      </w:r>
      <w:r>
        <w:rPr>
          <w:rFonts w:hint="eastAsia" w:ascii="宋体" w:hAnsi="宋体"/>
          <w:color w:val="auto"/>
          <w:szCs w:val="21"/>
          <w:highlight w:val="none"/>
          <w:lang w:val="en-US" w:eastAsia="zh-CN"/>
        </w:rPr>
        <w:t>对应品种的</w:t>
      </w:r>
      <w:r>
        <w:rPr>
          <w:rFonts w:hint="eastAsia" w:ascii="宋体" w:hAnsi="宋体"/>
          <w:color w:val="auto"/>
          <w:szCs w:val="21"/>
          <w:highlight w:val="none"/>
        </w:rPr>
        <w:t>中标费率。</w:t>
      </w:r>
    </w:p>
    <w:p>
      <w:pPr>
        <w:snapToGrid w:val="0"/>
        <w:spacing w:line="360" w:lineRule="auto"/>
        <w:contextualSpacing/>
        <w:rPr>
          <w:rFonts w:hint="eastAsia" w:ascii="宋体" w:hAnsi="宋体"/>
          <w:color w:val="auto"/>
          <w:szCs w:val="21"/>
          <w:highlight w:val="none"/>
        </w:rPr>
      </w:pPr>
      <w:r>
        <w:rPr>
          <w:rFonts w:hint="eastAsia" w:ascii="宋体" w:hAnsi="宋体"/>
          <w:color w:val="auto"/>
          <w:szCs w:val="21"/>
          <w:highlight w:val="none"/>
        </w:rPr>
        <w:t>▲投标费率上限价</w:t>
      </w:r>
      <w:r>
        <w:rPr>
          <w:rFonts w:hint="eastAsia" w:ascii="宋体" w:hAnsi="宋体"/>
          <w:color w:val="auto"/>
          <w:szCs w:val="21"/>
          <w:highlight w:val="none"/>
          <w:lang w:val="en-US" w:eastAsia="zh-CN"/>
        </w:rPr>
        <w:t>标项1，标项2</w:t>
      </w:r>
      <w:r>
        <w:rPr>
          <w:rFonts w:hint="eastAsia" w:ascii="宋体" w:hAnsi="宋体"/>
          <w:color w:val="auto"/>
          <w:szCs w:val="21"/>
          <w:highlight w:val="none"/>
        </w:rPr>
        <w:t>为100%</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标项3为90%</w:t>
      </w:r>
      <w:r>
        <w:rPr>
          <w:rFonts w:hint="eastAsia" w:ascii="宋体" w:hAnsi="宋体"/>
          <w:color w:val="auto"/>
          <w:szCs w:val="21"/>
          <w:highlight w:val="none"/>
        </w:rPr>
        <w:t>。</w:t>
      </w:r>
    </w:p>
    <w:p>
      <w:pPr>
        <w:snapToGrid w:val="0"/>
        <w:spacing w:line="360" w:lineRule="auto"/>
        <w:ind w:firstLine="420" w:firstLineChars="200"/>
        <w:contextualSpacing/>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2</w:t>
      </w:r>
      <w:r>
        <w:rPr>
          <w:rFonts w:hint="eastAsia" w:ascii="宋体" w:hAnsi="宋体"/>
          <w:color w:val="auto"/>
          <w:szCs w:val="21"/>
          <w:highlight w:val="none"/>
        </w:rPr>
        <w:t>、付款方式：</w:t>
      </w:r>
    </w:p>
    <w:p>
      <w:pPr>
        <w:snapToGrid w:val="0"/>
        <w:spacing w:line="360" w:lineRule="auto"/>
        <w:ind w:firstLine="420" w:firstLineChars="200"/>
        <w:contextualSpacing/>
        <w:rPr>
          <w:rFonts w:hint="eastAsia" w:ascii="宋体" w:hAnsi="宋体"/>
          <w:color w:val="auto"/>
          <w:szCs w:val="21"/>
          <w:highlight w:val="none"/>
        </w:rPr>
      </w:pPr>
      <w:r>
        <w:rPr>
          <w:rFonts w:hint="eastAsia" w:ascii="宋体" w:hAnsi="宋体"/>
          <w:color w:val="auto"/>
          <w:szCs w:val="21"/>
          <w:highlight w:val="none"/>
        </w:rPr>
        <w:t>付款按月实结算，由中标人凭招标人的验收单及正式的税务发票、结算清单，向招标人申请结算。</w:t>
      </w:r>
    </w:p>
    <w:p>
      <w:pPr>
        <w:numPr>
          <w:ilvl w:val="0"/>
          <w:numId w:val="3"/>
        </w:numPr>
        <w:snapToGrid w:val="0"/>
        <w:spacing w:line="360" w:lineRule="auto"/>
        <w:ind w:firstLine="420" w:firstLineChars="200"/>
        <w:contextualSpacing/>
        <w:rPr>
          <w:rFonts w:hint="eastAsia" w:ascii="宋体" w:hAnsi="宋体"/>
          <w:color w:val="auto"/>
          <w:highlight w:val="none"/>
        </w:rPr>
      </w:pPr>
      <w:r>
        <w:rPr>
          <w:rFonts w:hint="eastAsia" w:ascii="宋体" w:hAnsi="宋体"/>
          <w:color w:val="auto"/>
          <w:highlight w:val="none"/>
        </w:rPr>
        <w:t>质保期要求:服务期内因质量问题始终无条件退换货。</w:t>
      </w:r>
    </w:p>
    <w:p>
      <w:pPr>
        <w:numPr>
          <w:ilvl w:val="0"/>
          <w:numId w:val="3"/>
        </w:numPr>
        <w:snapToGrid w:val="0"/>
        <w:spacing w:line="360" w:lineRule="auto"/>
        <w:ind w:firstLine="420" w:firstLineChars="200"/>
        <w:contextualSpacing/>
        <w:rPr>
          <w:rFonts w:ascii="微软雅黑" w:hAnsi="微软雅黑" w:cs="微软雅黑"/>
          <w:b/>
          <w:color w:val="auto"/>
          <w:szCs w:val="21"/>
          <w:highlight w:val="none"/>
        </w:rPr>
      </w:pPr>
      <w:r>
        <w:rPr>
          <w:rFonts w:hint="eastAsia" w:ascii="宋体" w:hAnsi="宋体"/>
          <w:color w:val="auto"/>
          <w:highlight w:val="none"/>
          <w:lang w:val="en-US" w:eastAsia="zh-CN"/>
        </w:rPr>
        <w:t>标项1、2中标人按月依次轮替供货，标项3供货期为12个月。</w:t>
      </w:r>
      <w:bookmarkStart w:id="15" w:name="_Toc10813"/>
      <w:bookmarkStart w:id="16" w:name="_Toc29692"/>
      <w:bookmarkStart w:id="17" w:name="_Toc21639"/>
    </w:p>
    <w:p>
      <w:pPr>
        <w:numPr>
          <w:ilvl w:val="0"/>
          <w:numId w:val="3"/>
        </w:numPr>
        <w:snapToGrid w:val="0"/>
        <w:spacing w:line="360" w:lineRule="auto"/>
        <w:ind w:firstLine="422" w:firstLineChars="200"/>
        <w:contextualSpacing/>
        <w:rPr>
          <w:rFonts w:ascii="微软雅黑" w:hAnsi="微软雅黑" w:cs="微软雅黑"/>
          <w:b/>
          <w:color w:val="auto"/>
          <w:szCs w:val="21"/>
          <w:highlight w:val="none"/>
        </w:rPr>
      </w:pPr>
      <w:r>
        <w:rPr>
          <w:rFonts w:hint="eastAsia" w:ascii="微软雅黑" w:hAnsi="微软雅黑" w:cs="微软雅黑"/>
          <w:b/>
          <w:color w:val="auto"/>
          <w:szCs w:val="21"/>
          <w:highlight w:val="none"/>
        </w:rPr>
        <w:t>供应商考核评分表</w:t>
      </w:r>
      <w:bookmarkEnd w:id="15"/>
      <w:bookmarkEnd w:id="16"/>
      <w:bookmarkEnd w:id="17"/>
    </w:p>
    <w:tbl>
      <w:tblPr>
        <w:tblStyle w:val="49"/>
        <w:tblW w:w="9406" w:type="dxa"/>
        <w:jc w:val="center"/>
        <w:tblLayout w:type="fixed"/>
        <w:tblCellMar>
          <w:top w:w="0" w:type="dxa"/>
          <w:left w:w="108" w:type="dxa"/>
          <w:bottom w:w="0" w:type="dxa"/>
          <w:right w:w="108" w:type="dxa"/>
        </w:tblCellMar>
      </w:tblPr>
      <w:tblGrid>
        <w:gridCol w:w="1227"/>
        <w:gridCol w:w="7418"/>
        <w:gridCol w:w="761"/>
      </w:tblGrid>
      <w:tr>
        <w:tblPrEx>
          <w:tblCellMar>
            <w:top w:w="0" w:type="dxa"/>
            <w:left w:w="108" w:type="dxa"/>
            <w:bottom w:w="0" w:type="dxa"/>
            <w:right w:w="108" w:type="dxa"/>
          </w:tblCellMar>
        </w:tblPrEx>
        <w:trPr>
          <w:trHeight w:val="256" w:hRule="atLeast"/>
          <w:jc w:val="center"/>
        </w:trPr>
        <w:tc>
          <w:tcPr>
            <w:tcW w:w="9406" w:type="dxa"/>
            <w:gridSpan w:val="3"/>
            <w:tcBorders>
              <w:top w:val="nil"/>
              <w:left w:val="nil"/>
              <w:bottom w:val="nil"/>
              <w:right w:val="nil"/>
            </w:tcBorders>
            <w:vAlign w:val="center"/>
          </w:tcPr>
          <w:p>
            <w:pPr>
              <w:widowControl/>
              <w:spacing w:line="240" w:lineRule="auto"/>
              <w:ind w:firstLine="0" w:firstLineChar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供应商考核评分表</w:t>
            </w:r>
          </w:p>
        </w:tc>
      </w:tr>
      <w:tr>
        <w:tblPrEx>
          <w:tblCellMar>
            <w:top w:w="0" w:type="dxa"/>
            <w:left w:w="108" w:type="dxa"/>
            <w:bottom w:w="0" w:type="dxa"/>
            <w:right w:w="108" w:type="dxa"/>
          </w:tblCellMar>
        </w:tblPrEx>
        <w:trPr>
          <w:trHeight w:val="277" w:hRule="atLeast"/>
          <w:jc w:val="center"/>
        </w:trPr>
        <w:tc>
          <w:tcPr>
            <w:tcW w:w="12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both"/>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项目</w:t>
            </w: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评估细则</w:t>
            </w: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分值设定</w:t>
            </w:r>
          </w:p>
        </w:tc>
      </w:tr>
      <w:tr>
        <w:tblPrEx>
          <w:tblCellMar>
            <w:top w:w="0" w:type="dxa"/>
            <w:left w:w="108" w:type="dxa"/>
            <w:bottom w:w="0" w:type="dxa"/>
            <w:right w:w="108" w:type="dxa"/>
          </w:tblCellMar>
        </w:tblPrEx>
        <w:trPr>
          <w:trHeight w:val="90" w:hRule="atLeast"/>
          <w:jc w:val="center"/>
        </w:trPr>
        <w:tc>
          <w:tcPr>
            <w:tcW w:w="122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both"/>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基础管理</w:t>
            </w: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1、乙方主动提供批次检疫合格证等，发现未提供每发生一次扣2分。</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20</w:t>
            </w:r>
          </w:p>
        </w:tc>
      </w:tr>
      <w:tr>
        <w:tblPrEx>
          <w:tblCellMar>
            <w:top w:w="0" w:type="dxa"/>
            <w:left w:w="108" w:type="dxa"/>
            <w:bottom w:w="0" w:type="dxa"/>
            <w:right w:w="108" w:type="dxa"/>
          </w:tblCellMar>
        </w:tblPrEx>
        <w:trPr>
          <w:trHeight w:val="900" w:hRule="atLeast"/>
          <w:jc w:val="center"/>
        </w:trPr>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2、乙方按照甲方要求在每月指定时间内开具发票，无故不得延后。每发生一次扣1</w:t>
            </w:r>
            <w:r>
              <w:rPr>
                <w:rStyle w:val="226"/>
                <w:rFonts w:hint="eastAsia" w:ascii="宋体" w:hAnsi="宋体" w:eastAsia="宋体" w:cs="宋体"/>
                <w:color w:val="auto"/>
                <w:sz w:val="21"/>
                <w:szCs w:val="21"/>
                <w:highlight w:val="none"/>
                <w:lang w:bidi="ar"/>
              </w:rPr>
              <w:t>分。</w:t>
            </w: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900" w:hRule="atLeast"/>
          <w:jc w:val="center"/>
        </w:trPr>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3、乙方定期向甲方提供客观、具体、透明的报价单，便于甲方做市场调查和价格比较。无故未提供或未完全按照甲方要求提供的，每发生一次扣</w:t>
            </w:r>
            <w:r>
              <w:rPr>
                <w:rFonts w:hint="eastAsia" w:ascii="宋体" w:hAnsi="宋体" w:eastAsia="宋体"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bidi="ar"/>
              </w:rPr>
              <w:t>分。</w:t>
            </w: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675" w:hRule="atLeast"/>
          <w:jc w:val="center"/>
        </w:trPr>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4、乙方应按甲方规定时间送货至指定地点，未经甲方同意不得提前或延后，由甲方相关人员到场验货签字后方能送入厨房或仓库，违反规定，每发生一次扣1分。</w:t>
            </w: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900" w:hRule="atLeast"/>
          <w:jc w:val="center"/>
        </w:trPr>
        <w:tc>
          <w:tcPr>
            <w:tcW w:w="122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both"/>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服务质量</w:t>
            </w: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6、乙方送货不及时影响甲方正常运行的，每发生一次扣4分。</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40</w:t>
            </w:r>
          </w:p>
        </w:tc>
      </w:tr>
      <w:tr>
        <w:tblPrEx>
          <w:tblCellMar>
            <w:top w:w="0" w:type="dxa"/>
            <w:left w:w="108" w:type="dxa"/>
            <w:bottom w:w="0" w:type="dxa"/>
            <w:right w:w="108" w:type="dxa"/>
          </w:tblCellMar>
        </w:tblPrEx>
        <w:trPr>
          <w:trHeight w:val="900" w:hRule="atLeast"/>
          <w:jc w:val="center"/>
        </w:trPr>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7、乙方对生鲜类食材未按</w:t>
            </w:r>
            <w:r>
              <w:rPr>
                <w:rFonts w:hint="eastAsia" w:ascii="宋体" w:hAnsi="宋体" w:cs="宋体"/>
                <w:color w:val="auto"/>
                <w:kern w:val="0"/>
                <w:sz w:val="21"/>
                <w:szCs w:val="21"/>
                <w:highlight w:val="none"/>
                <w:lang w:val="en-US" w:eastAsia="zh-CN" w:bidi="ar"/>
              </w:rPr>
              <w:t>冷链要求配送</w:t>
            </w:r>
            <w:r>
              <w:rPr>
                <w:rFonts w:hint="eastAsia" w:ascii="宋体" w:hAnsi="宋体" w:eastAsia="宋体" w:cs="宋体"/>
                <w:color w:val="auto"/>
                <w:kern w:val="0"/>
                <w:sz w:val="21"/>
                <w:szCs w:val="21"/>
                <w:highlight w:val="none"/>
                <w:lang w:bidi="ar"/>
              </w:rPr>
              <w:t>货物的，每发生一次扣2分。</w:t>
            </w: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925" w:hRule="atLeast"/>
          <w:jc w:val="center"/>
        </w:trPr>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c>
          <w:tcPr>
            <w:tcW w:w="7418"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8、乙方收到来料异常反馈未在0.5小时内响应的，逾期一次扣1分，响应时间超1小时的，逾期一次扣3分。</w:t>
            </w: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 w:hRule="atLeast"/>
          <w:jc w:val="center"/>
        </w:trPr>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c>
          <w:tcPr>
            <w:tcW w:w="7418"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9、乙方未及时提供退货、补货、换货服务，影响甲方正常运行的，每发生一次扣4分。</w:t>
            </w: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900" w:hRule="atLeast"/>
          <w:jc w:val="center"/>
        </w:trPr>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10、乙方人员不配合甲方现场指挥或工作态度恶劣的，每发生一次扣1分。</w:t>
            </w: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1435" w:hRule="atLeast"/>
          <w:jc w:val="center"/>
        </w:trPr>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11、甲方不定期对乙方的生产场所场地进行实地考察，发现有卫生及安全隐患的（包括人员相关证件如健康证存在没有办理或者过期现象的等）每发生一次扣2分。</w:t>
            </w: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543" w:hRule="atLeast"/>
          <w:jc w:val="center"/>
        </w:trPr>
        <w:tc>
          <w:tcPr>
            <w:tcW w:w="122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both"/>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食品安全及质量</w:t>
            </w: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12、验收不合格导致退货情况发生，视情节轻重，出现1次扣1-5分。</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30</w:t>
            </w:r>
          </w:p>
        </w:tc>
      </w:tr>
      <w:tr>
        <w:tblPrEx>
          <w:tblCellMar>
            <w:top w:w="0" w:type="dxa"/>
            <w:left w:w="108" w:type="dxa"/>
            <w:bottom w:w="0" w:type="dxa"/>
            <w:right w:w="108" w:type="dxa"/>
          </w:tblCellMar>
        </w:tblPrEx>
        <w:trPr>
          <w:trHeight w:val="1510" w:hRule="atLeast"/>
          <w:jc w:val="center"/>
        </w:trPr>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r>
              <w:rPr>
                <w:rStyle w:val="226"/>
                <w:rFonts w:hint="eastAsia" w:ascii="宋体" w:hAnsi="宋体" w:eastAsia="宋体" w:cs="宋体"/>
                <w:color w:val="auto"/>
                <w:sz w:val="21"/>
                <w:szCs w:val="21"/>
                <w:highlight w:val="none"/>
                <w:lang w:bidi="ar"/>
              </w:rPr>
              <w:t>3、乙方所提供的货物被甲方或第三方检测出相关指标超标的，每次扣3分。</w:t>
            </w: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90" w:hRule="atLeast"/>
          <w:jc w:val="center"/>
        </w:trPr>
        <w:tc>
          <w:tcPr>
            <w:tcW w:w="1227" w:type="dxa"/>
            <w:vMerge w:val="restart"/>
            <w:tcBorders>
              <w:top w:val="single" w:color="000000" w:sz="4" w:space="0"/>
              <w:left w:val="single" w:color="000000" w:sz="4" w:space="0"/>
              <w:bottom w:val="nil"/>
              <w:right w:val="single" w:color="000000" w:sz="4" w:space="0"/>
            </w:tcBorders>
            <w:vAlign w:val="center"/>
          </w:tcPr>
          <w:p>
            <w:pPr>
              <w:widowControl/>
              <w:spacing w:line="240" w:lineRule="auto"/>
              <w:ind w:firstLine="0" w:firstLineChars="0"/>
              <w:jc w:val="both"/>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投诉</w:t>
            </w: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14、甲方抽查乙方相关资质证明材料，发现未满足要求的，每发生一次视情扣3分。</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w:t>
            </w:r>
          </w:p>
        </w:tc>
      </w:tr>
      <w:tr>
        <w:tblPrEx>
          <w:tblCellMar>
            <w:top w:w="0" w:type="dxa"/>
            <w:left w:w="108" w:type="dxa"/>
            <w:bottom w:w="0" w:type="dxa"/>
            <w:right w:w="108" w:type="dxa"/>
          </w:tblCellMar>
        </w:tblPrEx>
        <w:trPr>
          <w:trHeight w:val="90" w:hRule="atLeast"/>
          <w:jc w:val="center"/>
        </w:trPr>
        <w:tc>
          <w:tcPr>
            <w:tcW w:w="1227" w:type="dxa"/>
            <w:vMerge w:val="continue"/>
            <w:tcBorders>
              <w:top w:val="single" w:color="000000" w:sz="4" w:space="0"/>
              <w:left w:val="single" w:color="000000" w:sz="4" w:space="0"/>
              <w:bottom w:val="nil"/>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15、发生其他影响食材正常供应的事项，甲方认为需要扣分的，视情节轻重，每发生一次扣1-3分。</w:t>
            </w: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90" w:hRule="atLeast"/>
          <w:jc w:val="center"/>
        </w:trPr>
        <w:tc>
          <w:tcPr>
            <w:tcW w:w="122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both"/>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一票否决（终止合同，报财政进行处罚 ）</w:t>
            </w: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17、食材出现质量问题造成食品安全事故的。</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75" w:hRule="atLeast"/>
          <w:jc w:val="center"/>
        </w:trPr>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18</w:t>
            </w:r>
            <w:r>
              <w:rPr>
                <w:rStyle w:val="226"/>
                <w:rFonts w:hint="eastAsia" w:ascii="宋体" w:hAnsi="宋体" w:eastAsia="宋体" w:cs="宋体"/>
                <w:color w:val="auto"/>
                <w:sz w:val="21"/>
                <w:szCs w:val="21"/>
                <w:highlight w:val="none"/>
                <w:lang w:bidi="ar"/>
              </w:rPr>
              <w:t>、发现乙方和甲方人员有存在利益关系，且不主动回避的。</w:t>
            </w: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90" w:hRule="atLeast"/>
          <w:jc w:val="center"/>
        </w:trPr>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19、发现乙方以任何形式的利益贿赂甲方人员的。</w:t>
            </w: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585" w:hRule="atLeast"/>
          <w:jc w:val="center"/>
        </w:trPr>
        <w:tc>
          <w:tcPr>
            <w:tcW w:w="12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c>
          <w:tcPr>
            <w:tcW w:w="7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r>
              <w:rPr>
                <w:rStyle w:val="182"/>
                <w:rFonts w:hint="eastAsia" w:ascii="宋体" w:hAnsi="宋体" w:eastAsia="宋体" w:cs="宋体"/>
                <w:color w:val="auto"/>
                <w:sz w:val="21"/>
                <w:szCs w:val="21"/>
                <w:highlight w:val="none"/>
                <w:lang w:bidi="ar"/>
              </w:rPr>
              <w:t>0、发现乙方有转包现象的。</w:t>
            </w: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00" w:hRule="atLeast"/>
          <w:jc w:val="center"/>
        </w:trPr>
        <w:tc>
          <w:tcPr>
            <w:tcW w:w="9406" w:type="dxa"/>
            <w:gridSpan w:val="3"/>
            <w:tcBorders>
              <w:top w:val="single" w:color="000000" w:sz="4" w:space="0"/>
              <w:left w:val="nil"/>
              <w:bottom w:val="nil"/>
              <w:right w:val="nil"/>
            </w:tcBorders>
            <w:vAlign w:val="center"/>
          </w:tcPr>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注：供应商实施每月考核一次；</w:t>
            </w:r>
          </w:p>
          <w:p>
            <w:pPr>
              <w:widowControl/>
              <w:spacing w:line="240" w:lineRule="auto"/>
              <w:ind w:firstLine="0" w:firstLineChars="0"/>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按月度结算金额的</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%作为考核费用；甲方依据该表及合同对乙方进行考核，95分以上为优秀，90-95分为良好，85-90分（不含）为合格，85分以下为不合格。考核分数在优秀档次的按照</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00元/分在月度考核费中进行扣罚，考核分数在良好档次的按照</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00元/分在月度考核费中进行扣罚，考核分数为合格档次的按照</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00元/分在月度考核费中进行扣罚，未扣分的全额支付，不合格的扣罚当月全部考核费。（例：考核分数85分，则</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分按</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00元/扣罚，5分按</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00元/分扣罚，5分按</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00元扣罚）</w:t>
            </w:r>
          </w:p>
          <w:p>
            <w:pPr>
              <w:pStyle w:val="48"/>
              <w:spacing w:after="0" w:line="240"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发生一票否决事项的，合同终止，相关后果责任由中标供应商承担，该标段重新组织招标，同时后续工作按甲方要求执行。</w:t>
            </w:r>
          </w:p>
        </w:tc>
      </w:tr>
    </w:tbl>
    <w:p>
      <w:pPr>
        <w:pStyle w:val="2"/>
        <w:jc w:val="both"/>
        <w:rPr>
          <w:rFonts w:hint="eastAsia" w:ascii="宋体" w:hAnsi="宋体" w:eastAsia="宋体" w:cs="宋体"/>
          <w:color w:val="auto"/>
          <w:sz w:val="21"/>
          <w:szCs w:val="21"/>
          <w:highlight w:val="none"/>
          <w:lang w:val="en-US" w:eastAsia="zh-CN"/>
        </w:rPr>
      </w:pPr>
    </w:p>
    <w:p>
      <w:pPr>
        <w:pStyle w:val="2"/>
        <w:rPr>
          <w:rFonts w:hint="eastAsia" w:ascii="宋体" w:hAnsi="宋体"/>
          <w:color w:val="auto"/>
          <w:highlight w:val="none"/>
          <w:lang w:val="en-US" w:eastAsia="zh-CN"/>
        </w:rPr>
      </w:pPr>
    </w:p>
    <w:p>
      <w:pPr>
        <w:rPr>
          <w:rFonts w:hint="eastAsia" w:ascii="宋体" w:hAnsi="宋体"/>
          <w:color w:val="auto"/>
          <w:highlight w:val="none"/>
          <w:lang w:val="en-US" w:eastAsia="zh-CN"/>
        </w:rPr>
      </w:pPr>
    </w:p>
    <w:p>
      <w:pPr>
        <w:pStyle w:val="2"/>
        <w:rPr>
          <w:rFonts w:hint="eastAsia" w:ascii="宋体" w:hAnsi="宋体"/>
          <w:color w:val="auto"/>
          <w:highlight w:val="none"/>
          <w:lang w:val="en-US" w:eastAsia="zh-CN"/>
        </w:rPr>
      </w:pPr>
    </w:p>
    <w:p>
      <w:pPr>
        <w:rPr>
          <w:rFonts w:hint="eastAsia" w:ascii="宋体" w:hAnsi="宋体"/>
          <w:color w:val="auto"/>
          <w:highlight w:val="none"/>
          <w:lang w:val="en-US" w:eastAsia="zh-CN"/>
        </w:rPr>
      </w:pPr>
    </w:p>
    <w:p>
      <w:pPr>
        <w:pStyle w:val="2"/>
        <w:rPr>
          <w:rFonts w:hint="eastAsia" w:ascii="宋体" w:hAnsi="宋体"/>
          <w:color w:val="auto"/>
          <w:highlight w:val="none"/>
          <w:lang w:val="en-US" w:eastAsia="zh-CN"/>
        </w:rPr>
      </w:pPr>
    </w:p>
    <w:p>
      <w:pPr>
        <w:rPr>
          <w:rFonts w:hint="eastAsia" w:ascii="宋体" w:hAnsi="宋体"/>
          <w:color w:val="auto"/>
          <w:highlight w:val="none"/>
          <w:lang w:val="en-US" w:eastAsia="zh-CN"/>
        </w:rPr>
      </w:pPr>
    </w:p>
    <w:p>
      <w:pPr>
        <w:pStyle w:val="2"/>
        <w:rPr>
          <w:rFonts w:hint="eastAsia" w:ascii="宋体" w:hAnsi="宋体"/>
          <w:color w:val="auto"/>
          <w:highlight w:val="none"/>
          <w:lang w:val="en-US" w:eastAsia="zh-CN"/>
        </w:rPr>
      </w:pPr>
    </w:p>
    <w:p>
      <w:pPr>
        <w:rPr>
          <w:rFonts w:hint="eastAsia" w:ascii="宋体" w:hAnsi="宋体"/>
          <w:color w:val="auto"/>
          <w:highlight w:val="none"/>
          <w:lang w:val="en-US" w:eastAsia="zh-CN"/>
        </w:rPr>
      </w:pPr>
    </w:p>
    <w:p>
      <w:pPr>
        <w:pStyle w:val="2"/>
        <w:rPr>
          <w:rFonts w:hint="eastAsia" w:ascii="宋体" w:hAnsi="宋体"/>
          <w:color w:val="auto"/>
          <w:highlight w:val="none"/>
          <w:lang w:val="en-US" w:eastAsia="zh-CN"/>
        </w:rPr>
      </w:pPr>
    </w:p>
    <w:p>
      <w:pPr>
        <w:rPr>
          <w:rFonts w:hint="eastAsia" w:ascii="宋体" w:hAnsi="宋体"/>
          <w:color w:val="auto"/>
          <w:highlight w:val="none"/>
          <w:lang w:val="en-US" w:eastAsia="zh-CN"/>
        </w:rPr>
      </w:pPr>
    </w:p>
    <w:p>
      <w:pPr>
        <w:pStyle w:val="2"/>
        <w:rPr>
          <w:rFonts w:hint="eastAsia" w:ascii="宋体" w:hAnsi="宋体"/>
          <w:color w:val="auto"/>
          <w:highlight w:val="none"/>
          <w:lang w:val="en-US" w:eastAsia="zh-CN"/>
        </w:rPr>
      </w:pPr>
    </w:p>
    <w:p>
      <w:pPr>
        <w:rPr>
          <w:rFonts w:hint="eastAsia" w:ascii="宋体" w:hAnsi="宋体"/>
          <w:color w:val="auto"/>
          <w:highlight w:val="none"/>
          <w:lang w:val="en-US" w:eastAsia="zh-CN"/>
        </w:rPr>
      </w:pPr>
    </w:p>
    <w:p>
      <w:pPr>
        <w:pStyle w:val="2"/>
        <w:rPr>
          <w:rFonts w:hint="eastAsia" w:ascii="宋体" w:hAnsi="宋体"/>
          <w:color w:val="auto"/>
          <w:highlight w:val="none"/>
          <w:lang w:val="en-US" w:eastAsia="zh-CN"/>
        </w:rPr>
      </w:pPr>
    </w:p>
    <w:p>
      <w:pPr>
        <w:pStyle w:val="79"/>
        <w:rPr>
          <w:rFonts w:hint="eastAsia" w:ascii="宋体" w:eastAsia="宋体"/>
          <w:color w:val="auto"/>
          <w:highlight w:val="none"/>
        </w:rPr>
      </w:pPr>
    </w:p>
    <w:p>
      <w:pPr>
        <w:pStyle w:val="79"/>
        <w:rPr>
          <w:rFonts w:ascii="宋体" w:eastAsia="宋体" w:cs="微软雅黑"/>
          <w:color w:val="auto"/>
          <w:sz w:val="36"/>
          <w:highlight w:val="none"/>
        </w:rPr>
      </w:pPr>
      <w:r>
        <w:rPr>
          <w:rFonts w:hint="eastAsia" w:ascii="宋体" w:eastAsia="宋体"/>
          <w:color w:val="auto"/>
          <w:highlight w:val="none"/>
        </w:rPr>
        <w:t>第三章  投标人须知</w:t>
      </w:r>
      <w:bookmarkEnd w:id="8"/>
      <w:bookmarkEnd w:id="9"/>
      <w:bookmarkEnd w:id="10"/>
    </w:p>
    <w:p>
      <w:pPr>
        <w:spacing w:line="360" w:lineRule="auto"/>
        <w:ind w:firstLine="422" w:firstLineChars="200"/>
        <w:jc w:val="center"/>
        <w:outlineLvl w:val="1"/>
        <w:rPr>
          <w:rFonts w:ascii="宋体" w:hAnsi="宋体"/>
          <w:b/>
          <w:color w:val="auto"/>
          <w:szCs w:val="21"/>
          <w:highlight w:val="none"/>
        </w:rPr>
      </w:pPr>
      <w:bookmarkStart w:id="18" w:name="_Toc177870535"/>
      <w:bookmarkStart w:id="19" w:name="_Toc17413"/>
      <w:bookmarkStart w:id="20" w:name="_Toc50012816"/>
      <w:bookmarkStart w:id="21" w:name="_Toc493511543"/>
      <w:r>
        <w:rPr>
          <w:rFonts w:hint="eastAsia" w:ascii="宋体" w:hAnsi="宋体"/>
          <w:b/>
          <w:color w:val="auto"/>
          <w:szCs w:val="21"/>
          <w:highlight w:val="none"/>
        </w:rPr>
        <w:t>前附表</w:t>
      </w:r>
      <w:bookmarkEnd w:id="18"/>
      <w:bookmarkEnd w:id="19"/>
      <w:bookmarkEnd w:id="20"/>
      <w:bookmarkEnd w:id="21"/>
    </w:p>
    <w:tbl>
      <w:tblPr>
        <w:tblStyle w:val="49"/>
        <w:tblW w:w="9288" w:type="dxa"/>
        <w:tblInd w:w="-10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6"/>
        <w:gridCol w:w="86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微软雅黑"/>
                <w:color w:val="auto"/>
                <w:szCs w:val="21"/>
                <w:highlight w:val="none"/>
              </w:rPr>
            </w:pPr>
            <w:r>
              <w:rPr>
                <w:rFonts w:hint="eastAsia" w:ascii="宋体" w:hAnsi="宋体" w:cs="微软雅黑"/>
                <w:color w:val="auto"/>
                <w:szCs w:val="21"/>
                <w:highlight w:val="none"/>
              </w:rPr>
              <w:t>序号</w:t>
            </w:r>
          </w:p>
        </w:tc>
        <w:tc>
          <w:tcPr>
            <w:tcW w:w="8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微软雅黑"/>
                <w:color w:val="auto"/>
                <w:szCs w:val="21"/>
                <w:highlight w:val="none"/>
              </w:rPr>
            </w:pPr>
            <w:r>
              <w:rPr>
                <w:rFonts w:hint="eastAsia" w:ascii="宋体" w:hAnsi="宋体" w:cs="微软雅黑"/>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微软雅黑"/>
                <w:color w:val="auto"/>
                <w:szCs w:val="21"/>
                <w:highlight w:val="none"/>
              </w:rPr>
            </w:pPr>
            <w:r>
              <w:rPr>
                <w:rFonts w:hint="eastAsia" w:ascii="宋体" w:hAnsi="宋体" w:cs="微软雅黑"/>
                <w:color w:val="auto"/>
                <w:szCs w:val="21"/>
                <w:highlight w:val="none"/>
              </w:rPr>
              <w:t>1</w:t>
            </w:r>
          </w:p>
        </w:tc>
        <w:tc>
          <w:tcPr>
            <w:tcW w:w="8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微软雅黑"/>
                <w:color w:val="auto"/>
                <w:szCs w:val="21"/>
                <w:highlight w:val="none"/>
                <w:lang w:eastAsia="zh-CN"/>
              </w:rPr>
            </w:pPr>
            <w:r>
              <w:rPr>
                <w:rFonts w:hint="eastAsia" w:ascii="宋体" w:hAnsi="宋体" w:cs="微软雅黑"/>
                <w:color w:val="auto"/>
                <w:szCs w:val="21"/>
                <w:highlight w:val="none"/>
              </w:rPr>
              <w:t>项目名称：</w:t>
            </w:r>
            <w:r>
              <w:rPr>
                <w:rFonts w:hint="eastAsia" w:ascii="宋体" w:hAnsi="宋体" w:cs="微软雅黑"/>
                <w:b/>
                <w:color w:val="auto"/>
                <w:szCs w:val="21"/>
                <w:highlight w:val="none"/>
                <w:lang w:eastAsia="zh-CN"/>
              </w:rPr>
              <w:t>嘉兴海关综合技术服务中心食堂食材采购项目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微软雅黑"/>
                <w:color w:val="auto"/>
                <w:szCs w:val="21"/>
                <w:highlight w:val="none"/>
              </w:rPr>
            </w:pPr>
            <w:r>
              <w:rPr>
                <w:rFonts w:hint="eastAsia" w:ascii="宋体" w:hAnsi="宋体" w:cs="微软雅黑"/>
                <w:color w:val="auto"/>
                <w:szCs w:val="21"/>
                <w:highlight w:val="none"/>
              </w:rPr>
              <w:t>2</w:t>
            </w:r>
          </w:p>
        </w:tc>
        <w:tc>
          <w:tcPr>
            <w:tcW w:w="8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微软雅黑"/>
                <w:color w:val="auto"/>
                <w:szCs w:val="21"/>
                <w:highlight w:val="none"/>
                <w:lang w:eastAsia="zh-CN"/>
              </w:rPr>
            </w:pPr>
            <w:r>
              <w:rPr>
                <w:rFonts w:hint="eastAsia" w:ascii="宋体" w:hAnsi="宋体" w:cs="微软雅黑"/>
                <w:color w:val="auto"/>
                <w:szCs w:val="21"/>
                <w:highlight w:val="none"/>
              </w:rPr>
              <w:t>招标编号：</w:t>
            </w:r>
            <w:r>
              <w:rPr>
                <w:rFonts w:hint="eastAsia" w:ascii="宋体" w:hAnsi="宋体" w:cs="微软雅黑"/>
                <w:color w:val="auto"/>
                <w:szCs w:val="21"/>
                <w:highlight w:val="none"/>
                <w:lang w:eastAsia="zh-CN"/>
              </w:rPr>
              <w:t>大地-DDZX-JX（2024）第23号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微软雅黑"/>
                <w:color w:val="auto"/>
                <w:szCs w:val="21"/>
                <w:highlight w:val="none"/>
              </w:rPr>
            </w:pPr>
            <w:r>
              <w:rPr>
                <w:rFonts w:hint="eastAsia" w:ascii="宋体" w:hAnsi="宋体" w:cs="微软雅黑"/>
                <w:color w:val="auto"/>
                <w:szCs w:val="21"/>
                <w:highlight w:val="none"/>
              </w:rPr>
              <w:t>3</w:t>
            </w:r>
          </w:p>
        </w:tc>
        <w:tc>
          <w:tcPr>
            <w:tcW w:w="8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微软雅黑"/>
                <w:color w:val="auto"/>
                <w:szCs w:val="21"/>
                <w:highlight w:val="none"/>
              </w:rPr>
            </w:pPr>
            <w:r>
              <w:rPr>
                <w:rFonts w:hint="eastAsia" w:ascii="宋体" w:hAnsi="宋体" w:cs="微软雅黑"/>
                <w:color w:val="auto"/>
                <w:szCs w:val="21"/>
                <w:highlight w:val="none"/>
              </w:rPr>
              <w:t>投标报价及费用：</w:t>
            </w:r>
          </w:p>
          <w:p>
            <w:pPr>
              <w:snapToGrid w:val="0"/>
              <w:spacing w:line="360" w:lineRule="auto"/>
              <w:jc w:val="left"/>
              <w:rPr>
                <w:rFonts w:ascii="宋体" w:hAnsi="宋体" w:cs="微软雅黑"/>
                <w:color w:val="auto"/>
                <w:szCs w:val="21"/>
                <w:highlight w:val="none"/>
              </w:rPr>
            </w:pPr>
            <w:r>
              <w:rPr>
                <w:rFonts w:ascii="宋体" w:hAnsi="宋体" w:cs="微软雅黑"/>
                <w:color w:val="auto"/>
                <w:szCs w:val="21"/>
                <w:highlight w:val="none"/>
              </w:rPr>
              <w:t>1</w:t>
            </w:r>
            <w:r>
              <w:rPr>
                <w:rFonts w:hint="eastAsia" w:ascii="宋体" w:hAnsi="宋体" w:cs="微软雅黑"/>
                <w:color w:val="auto"/>
                <w:szCs w:val="21"/>
                <w:highlight w:val="none"/>
              </w:rPr>
              <w:t>、本项目投标应以人民币报价；</w:t>
            </w:r>
          </w:p>
          <w:p>
            <w:pPr>
              <w:snapToGrid w:val="0"/>
              <w:spacing w:line="360" w:lineRule="auto"/>
              <w:jc w:val="left"/>
              <w:rPr>
                <w:rFonts w:ascii="宋体" w:hAnsi="宋体" w:cs="微软雅黑"/>
                <w:color w:val="auto"/>
                <w:szCs w:val="21"/>
                <w:highlight w:val="none"/>
              </w:rPr>
            </w:pPr>
            <w:r>
              <w:rPr>
                <w:rFonts w:ascii="宋体" w:hAnsi="宋体" w:cs="微软雅黑"/>
                <w:color w:val="auto"/>
                <w:szCs w:val="21"/>
                <w:highlight w:val="none"/>
              </w:rPr>
              <w:t>2</w:t>
            </w:r>
            <w:r>
              <w:rPr>
                <w:rFonts w:hint="eastAsia" w:ascii="宋体" w:hAnsi="宋体" w:cs="微软雅黑"/>
                <w:color w:val="auto"/>
                <w:szCs w:val="21"/>
                <w:highlight w:val="none"/>
              </w:rPr>
              <w:t xml:space="preserve">、不论投标结果如何，投标人均应自行承担所有与投标有关的全部费用；          </w:t>
            </w:r>
          </w:p>
          <w:p>
            <w:pPr>
              <w:snapToGrid w:val="0"/>
              <w:spacing w:line="360" w:lineRule="auto"/>
              <w:jc w:val="left"/>
              <w:rPr>
                <w:rFonts w:ascii="宋体" w:hAnsi="宋体" w:cs="微软雅黑"/>
                <w:color w:val="auto"/>
                <w:szCs w:val="21"/>
                <w:highlight w:val="none"/>
              </w:rPr>
            </w:pPr>
            <w:r>
              <w:rPr>
                <w:rFonts w:hint="eastAsia" w:ascii="宋体" w:hAnsi="宋体" w:cs="微软雅黑"/>
                <w:color w:val="auto"/>
                <w:szCs w:val="21"/>
                <w:highlight w:val="none"/>
              </w:rPr>
              <w:t>3、采购文件工本费人民币</w:t>
            </w:r>
            <w:r>
              <w:rPr>
                <w:rFonts w:hint="eastAsia" w:cs="宋体"/>
                <w:color w:val="auto"/>
                <w:sz w:val="21"/>
                <w:szCs w:val="21"/>
                <w:highlight w:val="none"/>
                <w:lang w:val="en-US" w:eastAsia="zh-CN"/>
              </w:rPr>
              <w:t>3</w:t>
            </w:r>
            <w:r>
              <w:rPr>
                <w:rFonts w:hint="eastAsia" w:cs="宋体"/>
                <w:color w:val="auto"/>
                <w:sz w:val="21"/>
                <w:szCs w:val="21"/>
                <w:highlight w:val="none"/>
              </w:rPr>
              <w:t>00元/</w:t>
            </w:r>
            <w:r>
              <w:rPr>
                <w:rFonts w:hint="eastAsia" w:cs="宋体"/>
                <w:color w:val="auto"/>
                <w:sz w:val="21"/>
                <w:szCs w:val="21"/>
                <w:highlight w:val="none"/>
                <w:lang w:val="en-US" w:eastAsia="zh-CN"/>
              </w:rPr>
              <w:t>标项/</w:t>
            </w:r>
            <w:r>
              <w:rPr>
                <w:rFonts w:hint="eastAsia" w:cs="宋体"/>
                <w:color w:val="auto"/>
                <w:sz w:val="21"/>
                <w:szCs w:val="21"/>
                <w:highlight w:val="none"/>
              </w:rPr>
              <w:t>份</w:t>
            </w:r>
            <w:r>
              <w:rPr>
                <w:rFonts w:hint="eastAsia" w:ascii="宋体" w:hAnsi="宋体" w:cs="微软雅黑"/>
                <w:color w:val="auto"/>
                <w:szCs w:val="21"/>
                <w:highlight w:val="none"/>
              </w:rPr>
              <w:t>。</w:t>
            </w:r>
          </w:p>
          <w:p>
            <w:pPr>
              <w:snapToGrid w:val="0"/>
              <w:spacing w:line="360" w:lineRule="auto"/>
              <w:jc w:val="left"/>
              <w:rPr>
                <w:rFonts w:ascii="宋体" w:hAnsi="宋体" w:cs="微软雅黑"/>
                <w:color w:val="auto"/>
                <w:szCs w:val="21"/>
                <w:highlight w:val="none"/>
              </w:rPr>
            </w:pPr>
            <w:r>
              <w:rPr>
                <w:rFonts w:hint="eastAsia" w:ascii="宋体" w:hAnsi="宋体" w:cs="微软雅黑"/>
                <w:color w:val="auto"/>
                <w:szCs w:val="21"/>
                <w:highlight w:val="none"/>
              </w:rPr>
              <w:t>4、本项目采购代理费</w:t>
            </w:r>
            <w:r>
              <w:rPr>
                <w:rFonts w:hint="eastAsia" w:ascii="宋体" w:hAnsi="宋体" w:cs="微软雅黑"/>
                <w:color w:val="auto"/>
                <w:szCs w:val="21"/>
                <w:highlight w:val="none"/>
                <w:lang w:val="en-US" w:eastAsia="zh-CN"/>
              </w:rPr>
              <w:t>标项1、标项2、标项3分别</w:t>
            </w:r>
            <w:r>
              <w:rPr>
                <w:rFonts w:hint="eastAsia" w:ascii="宋体" w:hAnsi="宋体" w:cs="微软雅黑"/>
                <w:color w:val="auto"/>
                <w:szCs w:val="21"/>
                <w:highlight w:val="none"/>
              </w:rPr>
              <w:t>以</w:t>
            </w:r>
            <w:r>
              <w:rPr>
                <w:rFonts w:hint="eastAsia" w:ascii="宋体" w:hAnsi="宋体" w:cs="微软雅黑"/>
                <w:color w:val="auto"/>
                <w:szCs w:val="21"/>
                <w:highlight w:val="none"/>
                <w:lang w:val="en-US" w:eastAsia="zh-CN"/>
              </w:rPr>
              <w:t>预算</w:t>
            </w:r>
            <w:r>
              <w:rPr>
                <w:rFonts w:hint="eastAsia" w:ascii="宋体" w:hAnsi="宋体" w:cs="微软雅黑"/>
                <w:color w:val="auto"/>
                <w:szCs w:val="21"/>
                <w:highlight w:val="none"/>
              </w:rPr>
              <w:t>价为基数按计价格【2002】1980号文的70%收取，不足5000元的按5000元计取</w:t>
            </w:r>
            <w:r>
              <w:rPr>
                <w:rFonts w:hint="eastAsia" w:ascii="宋体" w:hAnsi="宋体" w:cs="微软雅黑"/>
                <w:color w:val="auto"/>
                <w:szCs w:val="21"/>
                <w:highlight w:val="none"/>
                <w:lang w:eastAsia="zh-CN"/>
              </w:rPr>
              <w:t>，</w:t>
            </w:r>
            <w:r>
              <w:rPr>
                <w:rFonts w:hint="eastAsia" w:ascii="宋体" w:hAnsi="宋体" w:cs="微软雅黑"/>
                <w:color w:val="auto"/>
                <w:szCs w:val="21"/>
                <w:highlight w:val="none"/>
                <w:lang w:val="en-US" w:eastAsia="zh-CN"/>
              </w:rPr>
              <w:t>3个标项分别收取代理费</w:t>
            </w:r>
            <w:r>
              <w:rPr>
                <w:rFonts w:hint="eastAsia" w:ascii="宋体" w:hAnsi="宋体" w:cs="微软雅黑"/>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微软雅黑"/>
                <w:color w:val="auto"/>
                <w:szCs w:val="21"/>
                <w:highlight w:val="none"/>
              </w:rPr>
            </w:pPr>
            <w:r>
              <w:rPr>
                <w:rFonts w:hint="eastAsia" w:ascii="宋体" w:hAnsi="宋体" w:cs="微软雅黑"/>
                <w:color w:val="auto"/>
                <w:szCs w:val="21"/>
                <w:highlight w:val="none"/>
              </w:rPr>
              <w:t>4</w:t>
            </w:r>
          </w:p>
        </w:tc>
        <w:tc>
          <w:tcPr>
            <w:tcW w:w="86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highlight w:val="none"/>
              </w:rPr>
            </w:pPr>
            <w:r>
              <w:rPr>
                <w:rFonts w:hint="eastAsia" w:ascii="宋体" w:hAnsi="宋体" w:eastAsia="宋体" w:cs="宋体"/>
                <w:color w:val="auto"/>
                <w:szCs w:val="21"/>
                <w:highlight w:val="none"/>
                <w:lang w:val="en-US" w:eastAsia="zh-CN"/>
              </w:rPr>
              <w:t>▲</w:t>
            </w:r>
            <w:r>
              <w:rPr>
                <w:rFonts w:hint="eastAsia" w:ascii="宋体" w:hAnsi="宋体" w:cs="宋体"/>
                <w:b/>
                <w:bCs/>
                <w:color w:val="auto"/>
                <w:szCs w:val="21"/>
                <w:highlight w:val="none"/>
                <w:lang w:val="en-US" w:eastAsia="zh-CN"/>
              </w:rPr>
              <w:t>预算金额373.6万元（其中标项1：137.4万元；标项2:137.4万元；标项3：98.8万元）</w:t>
            </w:r>
            <w:r>
              <w:rPr>
                <w:rFonts w:hint="eastAsia" w:ascii="宋体" w:hAnsi="宋体"/>
                <w:color w:val="auto"/>
                <w:szCs w:val="21"/>
                <w:highlight w:val="none"/>
                <w:lang w:val="en-US" w:eastAsia="zh-CN"/>
              </w:rPr>
              <w:t>。</w:t>
            </w:r>
            <w:r>
              <w:rPr>
                <w:rFonts w:hint="eastAsia" w:ascii="宋体" w:hAnsi="宋体"/>
                <w:color w:val="auto"/>
                <w:szCs w:val="21"/>
                <w:highlight w:val="none"/>
              </w:rPr>
              <w:t>投标费率上限价</w:t>
            </w:r>
            <w:r>
              <w:rPr>
                <w:rFonts w:hint="eastAsia" w:ascii="宋体" w:hAnsi="宋体"/>
                <w:color w:val="auto"/>
                <w:szCs w:val="21"/>
                <w:highlight w:val="none"/>
                <w:lang w:val="en-US" w:eastAsia="zh-CN"/>
              </w:rPr>
              <w:t>标项1，标项2</w:t>
            </w:r>
            <w:r>
              <w:rPr>
                <w:rFonts w:hint="eastAsia" w:ascii="宋体" w:hAnsi="宋体"/>
                <w:color w:val="auto"/>
                <w:szCs w:val="21"/>
                <w:highlight w:val="none"/>
              </w:rPr>
              <w:t>为100%</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标项3为90%</w:t>
            </w:r>
            <w:r>
              <w:rPr>
                <w:rFonts w:hint="eastAsia" w:ascii="宋体" w:hAnsi="宋体"/>
                <w:color w:val="auto"/>
                <w:szCs w:val="21"/>
                <w:highlight w:val="none"/>
              </w:rPr>
              <w:t>。报价超过上限</w:t>
            </w:r>
            <w:r>
              <w:rPr>
                <w:rFonts w:hint="eastAsia" w:ascii="宋体" w:hAnsi="宋体"/>
                <w:color w:val="auto"/>
                <w:szCs w:val="21"/>
                <w:highlight w:val="none"/>
                <w:lang w:val="en-US" w:eastAsia="zh-CN"/>
              </w:rPr>
              <w:t>费率</w:t>
            </w:r>
            <w:r>
              <w:rPr>
                <w:rFonts w:hint="eastAsia" w:ascii="宋体" w:hAnsi="宋体"/>
                <w:color w:val="auto"/>
                <w:szCs w:val="21"/>
                <w:highlight w:val="none"/>
              </w:rPr>
              <w:t>的作无效标处理</w:t>
            </w:r>
            <w:r>
              <w:rPr>
                <w:rFonts w:hint="eastAsia" w:ascii="宋体" w:hAnsi="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微软雅黑"/>
                <w:color w:val="auto"/>
                <w:szCs w:val="21"/>
                <w:highlight w:val="none"/>
              </w:rPr>
            </w:pPr>
            <w:r>
              <w:rPr>
                <w:rFonts w:hint="eastAsia" w:ascii="宋体" w:hAnsi="宋体" w:cs="微软雅黑"/>
                <w:color w:val="auto"/>
                <w:szCs w:val="21"/>
                <w:highlight w:val="none"/>
              </w:rPr>
              <w:t>5</w:t>
            </w:r>
          </w:p>
        </w:tc>
        <w:tc>
          <w:tcPr>
            <w:tcW w:w="8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微软雅黑"/>
                <w:color w:val="auto"/>
                <w:szCs w:val="21"/>
                <w:highlight w:val="none"/>
              </w:rPr>
            </w:pPr>
            <w:r>
              <w:rPr>
                <w:rFonts w:hint="eastAsia" w:ascii="宋体" w:hAnsi="宋体" w:cs="微软雅黑"/>
                <w:color w:val="auto"/>
                <w:szCs w:val="21"/>
                <w:highlight w:val="none"/>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微软雅黑"/>
                <w:color w:val="auto"/>
                <w:szCs w:val="21"/>
                <w:highlight w:val="none"/>
              </w:rPr>
            </w:pPr>
            <w:r>
              <w:rPr>
                <w:rFonts w:hint="eastAsia" w:ascii="宋体" w:hAnsi="宋体" w:cs="微软雅黑"/>
                <w:color w:val="auto"/>
                <w:szCs w:val="21"/>
                <w:highlight w:val="none"/>
              </w:rPr>
              <w:t>6</w:t>
            </w:r>
          </w:p>
        </w:tc>
        <w:tc>
          <w:tcPr>
            <w:tcW w:w="8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微软雅黑"/>
                <w:color w:val="auto"/>
                <w:szCs w:val="21"/>
                <w:highlight w:val="none"/>
              </w:rPr>
            </w:pPr>
            <w:r>
              <w:rPr>
                <w:rFonts w:hint="eastAsia" w:ascii="宋体" w:hAnsi="宋体" w:cs="微软雅黑"/>
                <w:color w:val="auto"/>
                <w:szCs w:val="21"/>
                <w:highlight w:val="none"/>
              </w:rPr>
              <w:t>现场踏勘：自行踏勘（费用自理）若因投标人未踏勘造成的报价不准确，由投标人自行承担所有责任。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微软雅黑"/>
                <w:color w:val="auto"/>
                <w:szCs w:val="21"/>
                <w:highlight w:val="none"/>
              </w:rPr>
            </w:pPr>
            <w:r>
              <w:rPr>
                <w:rFonts w:hint="eastAsia" w:ascii="宋体" w:hAnsi="宋体" w:cs="微软雅黑"/>
                <w:color w:val="auto"/>
                <w:szCs w:val="21"/>
                <w:highlight w:val="none"/>
              </w:rPr>
              <w:t>7</w:t>
            </w:r>
          </w:p>
        </w:tc>
        <w:tc>
          <w:tcPr>
            <w:tcW w:w="8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color w:val="auto"/>
                <w:highlight w:val="none"/>
                <w:u w:val="single"/>
              </w:rPr>
            </w:pPr>
            <w:r>
              <w:rPr>
                <w:rFonts w:hint="eastAsia" w:ascii="宋体" w:hAnsi="宋体" w:cs="微软雅黑"/>
                <w:color w:val="auto"/>
                <w:szCs w:val="21"/>
                <w:highlight w:val="none"/>
              </w:rPr>
              <w:t>演示时间及地点：</w:t>
            </w:r>
            <w:r>
              <w:rPr>
                <w:rFonts w:hint="eastAsia" w:ascii="宋体" w:hAnsi="宋体" w:cs="宋体"/>
                <w:color w:val="auto"/>
                <w:szCs w:val="21"/>
                <w:highlight w:val="none"/>
                <w:u w:val="singl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微软雅黑"/>
                <w:color w:val="auto"/>
                <w:szCs w:val="21"/>
                <w:highlight w:val="none"/>
              </w:rPr>
            </w:pPr>
            <w:r>
              <w:rPr>
                <w:rFonts w:hint="eastAsia" w:ascii="宋体" w:hAnsi="宋体" w:cs="微软雅黑"/>
                <w:color w:val="auto"/>
                <w:szCs w:val="21"/>
                <w:highlight w:val="none"/>
              </w:rPr>
              <w:t>8</w:t>
            </w:r>
          </w:p>
        </w:tc>
        <w:tc>
          <w:tcPr>
            <w:tcW w:w="8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微软雅黑"/>
                <w:color w:val="auto"/>
                <w:szCs w:val="21"/>
                <w:highlight w:val="none"/>
              </w:rPr>
            </w:pPr>
            <w:r>
              <w:rPr>
                <w:rFonts w:hint="eastAsia" w:ascii="宋体" w:hAnsi="宋体" w:cs="微软雅黑"/>
                <w:color w:val="auto"/>
                <w:szCs w:val="21"/>
                <w:highlight w:val="none"/>
              </w:rPr>
              <w:t>答疑与澄清：详见招标文件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微软雅黑"/>
                <w:color w:val="auto"/>
                <w:szCs w:val="21"/>
                <w:highlight w:val="none"/>
              </w:rPr>
            </w:pPr>
            <w:r>
              <w:rPr>
                <w:rFonts w:hint="eastAsia" w:ascii="宋体" w:hAnsi="宋体" w:cs="微软雅黑"/>
                <w:color w:val="auto"/>
                <w:szCs w:val="21"/>
                <w:highlight w:val="none"/>
              </w:rPr>
              <w:t>9</w:t>
            </w:r>
          </w:p>
        </w:tc>
        <w:tc>
          <w:tcPr>
            <w:tcW w:w="86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left"/>
              <w:textAlignment w:val="bottom"/>
              <w:rPr>
                <w:rFonts w:hint="eastAsia" w:ascii="宋体" w:hAnsi="宋体" w:eastAsia="宋体" w:cs="微软雅黑"/>
                <w:color w:val="auto"/>
                <w:szCs w:val="21"/>
                <w:highlight w:val="none"/>
                <w:lang w:eastAsia="zh-CN"/>
              </w:rPr>
            </w:pPr>
            <w:r>
              <w:rPr>
                <w:rFonts w:hint="eastAsia" w:ascii="宋体" w:hAnsi="宋体" w:cs="微软雅黑"/>
                <w:color w:val="auto"/>
                <w:szCs w:val="21"/>
                <w:highlight w:val="none"/>
              </w:rPr>
              <w:t>投标文件组成：</w:t>
            </w:r>
            <w:r>
              <w:rPr>
                <w:rFonts w:hint="eastAsia" w:ascii="宋体" w:hAnsi="宋体"/>
                <w:color w:val="auto"/>
                <w:szCs w:val="21"/>
                <w:highlight w:val="none"/>
              </w:rPr>
              <w:t>资信技术文件和报价文件正本各</w:t>
            </w:r>
            <w:r>
              <w:rPr>
                <w:rFonts w:hint="eastAsia" w:ascii="宋体" w:hAnsi="宋体" w:cs="Arial"/>
                <w:color w:val="auto"/>
                <w:szCs w:val="21"/>
                <w:highlight w:val="none"/>
                <w:u w:val="single"/>
              </w:rPr>
              <w:t>1</w:t>
            </w:r>
            <w:r>
              <w:rPr>
                <w:rFonts w:hint="eastAsia" w:ascii="宋体" w:hAnsi="宋体"/>
                <w:color w:val="auto"/>
                <w:szCs w:val="21"/>
                <w:highlight w:val="none"/>
              </w:rPr>
              <w:t>份；副本各</w:t>
            </w:r>
            <w:r>
              <w:rPr>
                <w:rFonts w:hint="eastAsia" w:ascii="宋体" w:hAnsi="宋体" w:cs="Arial"/>
                <w:color w:val="auto"/>
                <w:szCs w:val="21"/>
                <w:highlight w:val="none"/>
                <w:u w:val="single"/>
              </w:rPr>
              <w:t>4</w:t>
            </w:r>
            <w:r>
              <w:rPr>
                <w:rFonts w:hint="eastAsia" w:ascii="宋体" w:hAnsi="宋体"/>
                <w:color w:val="auto"/>
                <w:szCs w:val="21"/>
                <w:highlight w:val="none"/>
              </w:rPr>
              <w:t>份。</w:t>
            </w:r>
            <w:r>
              <w:rPr>
                <w:rFonts w:hint="eastAsia" w:ascii="宋体" w:hAnsi="宋体"/>
                <w:b/>
                <w:bCs/>
                <w:color w:val="auto"/>
                <w:szCs w:val="21"/>
                <w:highlight w:val="none"/>
                <w:lang w:eastAsia="zh-CN"/>
              </w:rPr>
              <w:t>（</w:t>
            </w:r>
            <w:r>
              <w:rPr>
                <w:rFonts w:hint="eastAsia" w:ascii="宋体" w:hAnsi="宋体"/>
                <w:b/>
                <w:bCs/>
                <w:color w:val="auto"/>
                <w:szCs w:val="21"/>
                <w:highlight w:val="none"/>
                <w:lang w:val="en-US" w:eastAsia="zh-CN"/>
              </w:rPr>
              <w:t>3个标项分别制作</w:t>
            </w:r>
            <w:r>
              <w:rPr>
                <w:rFonts w:hint="eastAsia" w:ascii="宋体" w:hAnsi="宋体"/>
                <w:b/>
                <w:bCs/>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微软雅黑"/>
                <w:color w:val="auto"/>
                <w:szCs w:val="21"/>
                <w:highlight w:val="none"/>
              </w:rPr>
            </w:pPr>
            <w:r>
              <w:rPr>
                <w:rFonts w:hint="eastAsia" w:ascii="宋体" w:hAnsi="宋体" w:cs="微软雅黑"/>
                <w:color w:val="auto"/>
                <w:szCs w:val="21"/>
                <w:highlight w:val="none"/>
              </w:rPr>
              <w:t>10</w:t>
            </w:r>
          </w:p>
        </w:tc>
        <w:tc>
          <w:tcPr>
            <w:tcW w:w="8652" w:type="dxa"/>
            <w:tcBorders>
              <w:top w:val="single" w:color="auto" w:sz="4" w:space="0"/>
              <w:left w:val="single" w:color="auto" w:sz="4" w:space="0"/>
              <w:bottom w:val="single" w:color="auto" w:sz="4" w:space="0"/>
              <w:right w:val="single" w:color="auto" w:sz="4" w:space="0"/>
            </w:tcBorders>
            <w:vAlign w:val="center"/>
          </w:tcPr>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 提交投标文件截止时间及地点：投标人应于202</w:t>
            </w:r>
            <w:r>
              <w:rPr>
                <w:rFonts w:hint="eastAsia" w:cs="宋体"/>
                <w:color w:val="auto"/>
                <w:sz w:val="21"/>
                <w:szCs w:val="21"/>
                <w:highlight w:val="none"/>
                <w:lang w:val="en-US" w:eastAsia="zh-CN"/>
              </w:rPr>
              <w:t>4</w:t>
            </w:r>
            <w:r>
              <w:rPr>
                <w:rFonts w:hint="eastAsia" w:cs="宋体"/>
                <w:color w:val="auto"/>
                <w:sz w:val="21"/>
                <w:szCs w:val="21"/>
                <w:highlight w:val="none"/>
              </w:rPr>
              <w:t>年</w:t>
            </w:r>
            <w:r>
              <w:rPr>
                <w:rFonts w:hint="eastAsia" w:cs="宋体"/>
                <w:color w:val="auto"/>
                <w:sz w:val="21"/>
                <w:szCs w:val="21"/>
                <w:highlight w:val="none"/>
                <w:lang w:val="en-US" w:eastAsia="zh-CN"/>
              </w:rPr>
              <w:t>5</w:t>
            </w:r>
            <w:r>
              <w:rPr>
                <w:rFonts w:hint="eastAsia" w:cs="宋体"/>
                <w:color w:val="auto"/>
                <w:sz w:val="21"/>
                <w:szCs w:val="21"/>
                <w:highlight w:val="none"/>
              </w:rPr>
              <w:t>月</w:t>
            </w:r>
            <w:r>
              <w:rPr>
                <w:rFonts w:hint="eastAsia" w:cs="宋体"/>
                <w:color w:val="auto"/>
                <w:sz w:val="21"/>
                <w:szCs w:val="21"/>
                <w:highlight w:val="none"/>
                <w:lang w:val="en-US" w:eastAsia="zh-CN"/>
              </w:rPr>
              <w:t>21</w:t>
            </w:r>
            <w:r>
              <w:rPr>
                <w:rFonts w:hint="eastAsia" w:cs="宋体"/>
                <w:color w:val="auto"/>
                <w:sz w:val="21"/>
                <w:szCs w:val="21"/>
                <w:highlight w:val="none"/>
              </w:rPr>
              <w:t>日09:30分前将投标文件密封送交到</w:t>
            </w:r>
            <w:r>
              <w:rPr>
                <w:rFonts w:hint="eastAsia" w:cs="宋体"/>
                <w:color w:val="auto"/>
                <w:sz w:val="21"/>
                <w:szCs w:val="21"/>
                <w:highlight w:val="none"/>
                <w:lang w:eastAsia="zh-CN"/>
              </w:rPr>
              <w:t>大地工程咨询有限公司</w:t>
            </w:r>
            <w:r>
              <w:rPr>
                <w:rFonts w:hint="eastAsia" w:cs="宋体"/>
                <w:color w:val="auto"/>
                <w:sz w:val="21"/>
                <w:szCs w:val="21"/>
                <w:highlight w:val="none"/>
              </w:rPr>
              <w:t>（</w:t>
            </w:r>
            <w:r>
              <w:rPr>
                <w:rFonts w:hint="eastAsia" w:cs="宋体"/>
                <w:color w:val="auto"/>
                <w:sz w:val="21"/>
                <w:szCs w:val="21"/>
                <w:highlight w:val="none"/>
                <w:lang w:eastAsia="zh-CN"/>
              </w:rPr>
              <w:t>嘉兴市秀洲区洪波路1200号万豪广场12楼1204室</w:t>
            </w:r>
            <w:r>
              <w:rPr>
                <w:rFonts w:hint="eastAsia" w:cs="宋体"/>
                <w:color w:val="auto"/>
                <w:sz w:val="21"/>
                <w:szCs w:val="21"/>
                <w:highlight w:val="none"/>
              </w:rPr>
              <w:t>），逾期送达不予接收。 </w:t>
            </w:r>
          </w:p>
          <w:p>
            <w:pPr>
              <w:pStyle w:val="45"/>
              <w:spacing w:before="60" w:beforeAutospacing="0" w:after="60" w:afterAutospacing="0" w:line="360" w:lineRule="auto"/>
              <w:rPr>
                <w:rFonts w:ascii="宋体" w:hAnsi="宋体" w:cs="微软雅黑"/>
                <w:color w:val="auto"/>
                <w:szCs w:val="21"/>
                <w:highlight w:val="none"/>
              </w:rPr>
            </w:pPr>
            <w:r>
              <w:rPr>
                <w:rFonts w:hint="eastAsia" w:cs="宋体"/>
                <w:b/>
                <w:color w:val="auto"/>
                <w:sz w:val="21"/>
                <w:szCs w:val="21"/>
                <w:highlight w:val="none"/>
                <w:u w:val="single"/>
              </w:rPr>
              <w:t>本项目投标文件采取邮寄</w:t>
            </w:r>
            <w:r>
              <w:rPr>
                <w:rFonts w:hint="eastAsia" w:cs="宋体"/>
                <w:b/>
                <w:color w:val="auto"/>
                <w:sz w:val="21"/>
                <w:szCs w:val="21"/>
                <w:highlight w:val="none"/>
                <w:u w:val="single"/>
                <w:lang w:val="en-US" w:eastAsia="zh-CN"/>
              </w:rPr>
              <w:t>或直接</w:t>
            </w:r>
            <w:r>
              <w:rPr>
                <w:rFonts w:hint="eastAsia" w:cs="宋体"/>
                <w:b/>
                <w:color w:val="auto"/>
                <w:sz w:val="21"/>
                <w:szCs w:val="21"/>
                <w:highlight w:val="none"/>
                <w:u w:val="single"/>
              </w:rPr>
              <w:t>送达方式，投标人授权代表不参加现场开标。</w:t>
            </w:r>
            <w:r>
              <w:rPr>
                <w:rFonts w:hint="eastAsia" w:cs="宋体"/>
                <w:b/>
                <w:color w:val="auto"/>
                <w:sz w:val="21"/>
                <w:szCs w:val="21"/>
                <w:highlight w:val="none"/>
                <w:u w:val="single"/>
                <w:lang w:val="en-US" w:eastAsia="zh-CN"/>
              </w:rPr>
              <w:t>采取邮寄方式的</w:t>
            </w:r>
            <w:r>
              <w:rPr>
                <w:rFonts w:hint="eastAsia" w:cs="宋体"/>
                <w:b/>
                <w:color w:val="auto"/>
                <w:sz w:val="21"/>
                <w:szCs w:val="21"/>
                <w:highlight w:val="none"/>
                <w:u w:val="single"/>
              </w:rPr>
              <w:t>投标文件需在投标截止时间前将投标文件袋装密封后送达（附联系电话及联系人），密封袋上有接缝处均需加盖单位公章。（请投标人自行确认邮寄时效性，逾期招标代理机构将不接收）邮寄地址：</w:t>
            </w:r>
            <w:r>
              <w:rPr>
                <w:rFonts w:hint="eastAsia" w:cs="宋体"/>
                <w:b/>
                <w:color w:val="auto"/>
                <w:sz w:val="21"/>
                <w:szCs w:val="21"/>
                <w:highlight w:val="none"/>
                <w:u w:val="single"/>
                <w:lang w:eastAsia="zh-CN"/>
              </w:rPr>
              <w:t>大地工程咨询有限公司</w:t>
            </w:r>
            <w:r>
              <w:rPr>
                <w:rFonts w:hint="eastAsia" w:cs="宋体"/>
                <w:b/>
                <w:color w:val="auto"/>
                <w:sz w:val="21"/>
                <w:szCs w:val="21"/>
                <w:highlight w:val="none"/>
                <w:u w:val="single"/>
              </w:rPr>
              <w:t>（</w:t>
            </w:r>
            <w:r>
              <w:rPr>
                <w:rFonts w:hint="eastAsia" w:cs="宋体"/>
                <w:b/>
                <w:color w:val="auto"/>
                <w:sz w:val="21"/>
                <w:szCs w:val="21"/>
                <w:highlight w:val="none"/>
                <w:u w:val="single"/>
                <w:lang w:eastAsia="zh-CN"/>
              </w:rPr>
              <w:t>嘉兴市秀洲区洪波路1200号万豪广场12楼1204室</w:t>
            </w:r>
            <w:r>
              <w:rPr>
                <w:rFonts w:hint="eastAsia" w:cs="宋体"/>
                <w:b/>
                <w:color w:val="auto"/>
                <w:sz w:val="21"/>
                <w:szCs w:val="21"/>
                <w:highlight w:val="none"/>
                <w:u w:val="single"/>
              </w:rPr>
              <w:t>）；收件人：杨丽莉，联系电话：</w:t>
            </w:r>
            <w:r>
              <w:rPr>
                <w:rFonts w:hint="eastAsia" w:cs="宋体"/>
                <w:b/>
                <w:color w:val="auto"/>
                <w:sz w:val="21"/>
                <w:szCs w:val="21"/>
                <w:highlight w:val="none"/>
                <w:u w:val="single"/>
                <w:lang w:eastAsia="zh-CN"/>
              </w:rPr>
              <w:t>0573-82133572</w:t>
            </w:r>
            <w:r>
              <w:rPr>
                <w:rFonts w:hint="eastAsia" w:cs="宋体"/>
                <w:b/>
                <w:color w:val="auto"/>
                <w:sz w:val="21"/>
                <w:szCs w:val="21"/>
                <w:highlight w:val="none"/>
                <w:u w:val="single"/>
              </w:rPr>
              <w:t>。招标代理机构做好投标文件交接签收记录、并及时告知投标人，寄件或送达前务必提前联系，以便妥善办好交接签收手续。</w:t>
            </w:r>
            <w:r>
              <w:rPr>
                <w:rFonts w:hint="eastAsia" w:cs="宋体"/>
                <w:b/>
                <w:color w:val="auto"/>
                <w:sz w:val="21"/>
                <w:szCs w:val="21"/>
                <w:highlight w:val="none"/>
                <w:u w:val="single"/>
                <w:lang w:val="en-US" w:eastAsia="zh-CN"/>
              </w:rPr>
              <w:t>采取直接送达方式的，招标代理机构将在开标前30分钟开始接收投标文件。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微软雅黑"/>
                <w:color w:val="auto"/>
                <w:szCs w:val="21"/>
                <w:highlight w:val="none"/>
              </w:rPr>
            </w:pPr>
            <w:r>
              <w:rPr>
                <w:rFonts w:hint="eastAsia" w:ascii="宋体" w:hAnsi="宋体" w:cs="微软雅黑"/>
                <w:color w:val="auto"/>
                <w:szCs w:val="21"/>
                <w:highlight w:val="none"/>
              </w:rPr>
              <w:t>11</w:t>
            </w:r>
          </w:p>
        </w:tc>
        <w:tc>
          <w:tcPr>
            <w:tcW w:w="8652" w:type="dxa"/>
            <w:tcBorders>
              <w:top w:val="single" w:color="auto" w:sz="4" w:space="0"/>
              <w:left w:val="single" w:color="auto" w:sz="4" w:space="0"/>
              <w:bottom w:val="single" w:color="auto" w:sz="4" w:space="0"/>
              <w:right w:val="single" w:color="auto" w:sz="4" w:space="0"/>
            </w:tcBorders>
            <w:vAlign w:val="center"/>
          </w:tcPr>
          <w:p>
            <w:pPr>
              <w:pStyle w:val="45"/>
              <w:spacing w:before="60" w:beforeAutospacing="0" w:after="60" w:afterAutospacing="0" w:line="360" w:lineRule="auto"/>
              <w:rPr>
                <w:rFonts w:cs="宋体"/>
                <w:color w:val="auto"/>
                <w:sz w:val="21"/>
                <w:szCs w:val="21"/>
                <w:highlight w:val="none"/>
              </w:rPr>
            </w:pPr>
            <w:r>
              <w:rPr>
                <w:rFonts w:hint="eastAsia" w:cs="宋体"/>
                <w:color w:val="auto"/>
                <w:sz w:val="21"/>
                <w:szCs w:val="21"/>
                <w:highlight w:val="none"/>
              </w:rPr>
              <w:t>开标时间：202</w:t>
            </w:r>
            <w:r>
              <w:rPr>
                <w:rFonts w:hint="eastAsia" w:cs="宋体"/>
                <w:color w:val="auto"/>
                <w:sz w:val="21"/>
                <w:szCs w:val="21"/>
                <w:highlight w:val="none"/>
                <w:lang w:val="en-US" w:eastAsia="zh-CN"/>
              </w:rPr>
              <w:t>4</w:t>
            </w:r>
            <w:r>
              <w:rPr>
                <w:rFonts w:hint="eastAsia" w:cs="宋体"/>
                <w:color w:val="auto"/>
                <w:sz w:val="21"/>
                <w:szCs w:val="21"/>
                <w:highlight w:val="none"/>
              </w:rPr>
              <w:t>年</w:t>
            </w:r>
            <w:r>
              <w:rPr>
                <w:rFonts w:hint="eastAsia" w:cs="宋体"/>
                <w:color w:val="auto"/>
                <w:sz w:val="21"/>
                <w:szCs w:val="21"/>
                <w:highlight w:val="none"/>
                <w:lang w:val="en-US" w:eastAsia="zh-CN"/>
              </w:rPr>
              <w:t>5</w:t>
            </w:r>
            <w:r>
              <w:rPr>
                <w:rFonts w:hint="eastAsia" w:cs="宋体"/>
                <w:color w:val="auto"/>
                <w:sz w:val="21"/>
                <w:szCs w:val="21"/>
                <w:highlight w:val="none"/>
              </w:rPr>
              <w:t>月</w:t>
            </w:r>
            <w:r>
              <w:rPr>
                <w:rFonts w:hint="eastAsia" w:cs="宋体"/>
                <w:color w:val="auto"/>
                <w:sz w:val="21"/>
                <w:szCs w:val="21"/>
                <w:highlight w:val="none"/>
                <w:lang w:val="en-US" w:eastAsia="zh-CN"/>
              </w:rPr>
              <w:t>21</w:t>
            </w:r>
            <w:r>
              <w:rPr>
                <w:rFonts w:hint="eastAsia" w:cs="宋体"/>
                <w:color w:val="auto"/>
                <w:sz w:val="21"/>
                <w:szCs w:val="21"/>
                <w:highlight w:val="none"/>
              </w:rPr>
              <w:t>日09:30分</w:t>
            </w:r>
          </w:p>
          <w:p>
            <w:pPr>
              <w:autoSpaceDE w:val="0"/>
              <w:autoSpaceDN w:val="0"/>
              <w:snapToGrid w:val="0"/>
              <w:spacing w:line="360" w:lineRule="auto"/>
              <w:jc w:val="left"/>
              <w:textAlignment w:val="bottom"/>
              <w:rPr>
                <w:rFonts w:ascii="宋体" w:hAnsi="宋体" w:cs="微软雅黑"/>
                <w:color w:val="auto"/>
                <w:szCs w:val="21"/>
                <w:highlight w:val="none"/>
              </w:rPr>
            </w:pPr>
            <w:r>
              <w:rPr>
                <w:rFonts w:hint="eastAsia" w:ascii="宋体" w:hAnsi="宋体" w:cs="宋体"/>
                <w:color w:val="auto"/>
                <w:szCs w:val="21"/>
                <w:highlight w:val="none"/>
              </w:rPr>
              <w:t>开标地点：</w:t>
            </w:r>
            <w:r>
              <w:rPr>
                <w:rFonts w:hint="eastAsia" w:ascii="宋体" w:hAnsi="宋体" w:cs="宋体"/>
                <w:color w:val="auto"/>
                <w:szCs w:val="21"/>
                <w:highlight w:val="none"/>
                <w:lang w:eastAsia="zh-CN"/>
              </w:rPr>
              <w:t>大地工程咨询有限公司</w:t>
            </w:r>
            <w:r>
              <w:rPr>
                <w:rFonts w:hint="eastAsia" w:ascii="宋体" w:hAnsi="宋体" w:cs="宋体"/>
                <w:color w:val="auto"/>
                <w:szCs w:val="21"/>
                <w:highlight w:val="none"/>
              </w:rPr>
              <w:t>（</w:t>
            </w:r>
            <w:r>
              <w:rPr>
                <w:rFonts w:hint="eastAsia" w:ascii="宋体" w:hAnsi="宋体" w:cs="宋体"/>
                <w:color w:val="auto"/>
                <w:szCs w:val="21"/>
                <w:highlight w:val="none"/>
                <w:lang w:eastAsia="zh-CN"/>
              </w:rPr>
              <w:t>嘉兴市秀洲区洪波路1200号万豪广场12楼1204室</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微软雅黑"/>
                <w:color w:val="auto"/>
                <w:szCs w:val="21"/>
                <w:highlight w:val="none"/>
              </w:rPr>
            </w:pPr>
            <w:r>
              <w:rPr>
                <w:rFonts w:hint="eastAsia" w:ascii="宋体" w:hAnsi="宋体" w:cs="微软雅黑"/>
                <w:color w:val="auto"/>
                <w:szCs w:val="21"/>
                <w:highlight w:val="none"/>
              </w:rPr>
              <w:t>13</w:t>
            </w:r>
          </w:p>
        </w:tc>
        <w:tc>
          <w:tcPr>
            <w:tcW w:w="86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left"/>
              <w:textAlignment w:val="bottom"/>
              <w:rPr>
                <w:rFonts w:ascii="宋体" w:hAnsi="宋体" w:cs="微软雅黑"/>
                <w:color w:val="auto"/>
                <w:szCs w:val="21"/>
                <w:highlight w:val="none"/>
              </w:rPr>
            </w:pPr>
            <w:r>
              <w:rPr>
                <w:rFonts w:hint="eastAsia" w:ascii="宋体" w:hAnsi="宋体" w:cs="微软雅黑"/>
                <w:color w:val="auto"/>
                <w:szCs w:val="21"/>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微软雅黑"/>
                <w:color w:val="auto"/>
                <w:szCs w:val="21"/>
                <w:highlight w:val="none"/>
              </w:rPr>
            </w:pPr>
            <w:r>
              <w:rPr>
                <w:rFonts w:hint="eastAsia" w:ascii="宋体" w:hAnsi="宋体" w:cs="微软雅黑"/>
                <w:color w:val="auto"/>
                <w:szCs w:val="21"/>
                <w:highlight w:val="none"/>
              </w:rPr>
              <w:t>14</w:t>
            </w:r>
          </w:p>
        </w:tc>
        <w:tc>
          <w:tcPr>
            <w:tcW w:w="865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宋体" w:hAnsi="宋体"/>
                <w:color w:val="auto"/>
                <w:szCs w:val="21"/>
                <w:highlight w:val="none"/>
              </w:rPr>
            </w:pPr>
            <w:r>
              <w:rPr>
                <w:rFonts w:hint="eastAsia" w:ascii="宋体" w:hAnsi="宋体"/>
                <w:color w:val="auto"/>
                <w:szCs w:val="21"/>
                <w:highlight w:val="none"/>
              </w:rPr>
              <w:t>履约保证金的收取及退还：中标人应在中标通知书发出后30日内前到招标人处签订合同，同时交纳人民币</w:t>
            </w:r>
            <w:r>
              <w:rPr>
                <w:rFonts w:hint="eastAsia" w:ascii="宋体" w:hAnsi="宋体"/>
                <w:color w:val="auto"/>
                <w:szCs w:val="21"/>
                <w:highlight w:val="none"/>
                <w:lang w:val="en-US" w:eastAsia="zh-CN"/>
              </w:rPr>
              <w:t>标项1：13000</w:t>
            </w:r>
            <w:r>
              <w:rPr>
                <w:rFonts w:hint="eastAsia" w:ascii="宋体" w:hAnsi="宋体"/>
                <w:color w:val="auto"/>
                <w:szCs w:val="21"/>
                <w:highlight w:val="none"/>
              </w:rPr>
              <w:t>.00元</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标项2:13000.00元；标项3:9500.00元</w:t>
            </w:r>
            <w:r>
              <w:rPr>
                <w:rFonts w:hint="eastAsia" w:ascii="宋体" w:hAnsi="宋体"/>
                <w:color w:val="auto"/>
                <w:szCs w:val="21"/>
                <w:highlight w:val="none"/>
              </w:rPr>
              <w:t>的履约保证金。</w:t>
            </w:r>
          </w:p>
          <w:p>
            <w:pPr>
              <w:spacing w:line="360" w:lineRule="auto"/>
              <w:contextualSpacing/>
              <w:rPr>
                <w:rFonts w:ascii="宋体" w:hAnsi="宋体"/>
                <w:color w:val="auto"/>
                <w:szCs w:val="21"/>
                <w:highlight w:val="none"/>
              </w:rPr>
            </w:pPr>
            <w:r>
              <w:rPr>
                <w:rFonts w:hint="eastAsia" w:ascii="宋体" w:hAnsi="宋体"/>
                <w:color w:val="auto"/>
                <w:szCs w:val="21"/>
                <w:highlight w:val="none"/>
              </w:rPr>
              <w:t>履约担保的形式为：银行保函（格式以出具保函的银行为准）或现金或招标人认可的其他形式。</w:t>
            </w:r>
          </w:p>
          <w:p>
            <w:pPr>
              <w:spacing w:line="360" w:lineRule="auto"/>
              <w:contextualSpacing/>
              <w:rPr>
                <w:rFonts w:ascii="宋体" w:hAnsi="宋体"/>
                <w:color w:val="auto"/>
                <w:szCs w:val="21"/>
                <w:highlight w:val="none"/>
              </w:rPr>
            </w:pPr>
            <w:r>
              <w:rPr>
                <w:rFonts w:hint="eastAsia" w:ascii="宋体" w:hAnsi="宋体"/>
                <w:color w:val="auto"/>
                <w:szCs w:val="21"/>
                <w:highlight w:val="none"/>
              </w:rPr>
              <w:t>出具履约担保的银行级别：国有或股份制商业银行县（区、市）级及以上银行；</w:t>
            </w:r>
          </w:p>
          <w:p>
            <w:pPr>
              <w:autoSpaceDE w:val="0"/>
              <w:autoSpaceDN w:val="0"/>
              <w:snapToGrid w:val="0"/>
              <w:spacing w:line="360" w:lineRule="auto"/>
              <w:jc w:val="left"/>
              <w:textAlignment w:val="bottom"/>
              <w:rPr>
                <w:rFonts w:ascii="宋体" w:hAnsi="宋体" w:cs="微软雅黑"/>
                <w:color w:val="auto"/>
                <w:szCs w:val="21"/>
                <w:highlight w:val="none"/>
              </w:rPr>
            </w:pPr>
            <w:r>
              <w:rPr>
                <w:rFonts w:hint="eastAsia" w:ascii="宋体" w:hAnsi="宋体"/>
                <w:color w:val="auto"/>
                <w:szCs w:val="21"/>
                <w:highlight w:val="none"/>
              </w:rPr>
              <w:t>履约担保的退还：合同期满后，无质量问题10日内无息退还。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微软雅黑"/>
                <w:color w:val="auto"/>
                <w:szCs w:val="21"/>
                <w:highlight w:val="none"/>
              </w:rPr>
            </w:pPr>
            <w:r>
              <w:rPr>
                <w:rFonts w:hint="eastAsia" w:ascii="宋体" w:hAnsi="宋体" w:cs="微软雅黑"/>
                <w:color w:val="auto"/>
                <w:szCs w:val="21"/>
                <w:highlight w:val="none"/>
              </w:rPr>
              <w:t>15</w:t>
            </w:r>
          </w:p>
        </w:tc>
        <w:tc>
          <w:tcPr>
            <w:tcW w:w="8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微软雅黑"/>
                <w:color w:val="auto"/>
                <w:szCs w:val="21"/>
                <w:highlight w:val="none"/>
              </w:rPr>
            </w:pPr>
            <w:r>
              <w:rPr>
                <w:rFonts w:hint="eastAsia" w:ascii="宋体" w:hAnsi="宋体" w:cs="微软雅黑"/>
                <w:color w:val="auto"/>
                <w:szCs w:val="21"/>
                <w:highlight w:val="none"/>
              </w:rPr>
              <w:t>投标文件有效期：</w:t>
            </w:r>
            <w:r>
              <w:rPr>
                <w:rFonts w:hint="eastAsia" w:ascii="宋体" w:hAnsi="宋体" w:cs="微软雅黑"/>
                <w:color w:val="auto"/>
                <w:szCs w:val="21"/>
                <w:highlight w:val="none"/>
                <w:u w:val="single"/>
              </w:rPr>
              <w:t>60</w:t>
            </w:r>
            <w:r>
              <w:rPr>
                <w:rFonts w:hint="eastAsia" w:ascii="宋体" w:hAnsi="宋体" w:cs="微软雅黑"/>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微软雅黑"/>
                <w:color w:val="auto"/>
                <w:szCs w:val="21"/>
                <w:highlight w:val="none"/>
              </w:rPr>
            </w:pPr>
            <w:r>
              <w:rPr>
                <w:rFonts w:hint="eastAsia" w:ascii="宋体" w:hAnsi="宋体" w:cs="微软雅黑"/>
                <w:color w:val="auto"/>
                <w:szCs w:val="21"/>
                <w:highlight w:val="none"/>
              </w:rPr>
              <w:t>16</w:t>
            </w:r>
          </w:p>
        </w:tc>
        <w:tc>
          <w:tcPr>
            <w:tcW w:w="86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微软雅黑"/>
                <w:color w:val="auto"/>
                <w:szCs w:val="21"/>
                <w:highlight w:val="none"/>
              </w:rPr>
            </w:pPr>
            <w:r>
              <w:rPr>
                <w:rFonts w:hint="eastAsia" w:ascii="宋体" w:hAnsi="宋体"/>
                <w:color w:val="auto"/>
                <w:szCs w:val="21"/>
                <w:highlight w:val="none"/>
              </w:rPr>
              <w:t>评标结果公告：评标结束后2天内，评标结果公告于公告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微软雅黑"/>
                <w:color w:val="auto"/>
                <w:szCs w:val="21"/>
                <w:highlight w:val="none"/>
                <w:lang w:val="en-US" w:eastAsia="zh-CN"/>
              </w:rPr>
            </w:pPr>
            <w:r>
              <w:rPr>
                <w:rFonts w:hint="eastAsia" w:ascii="宋体" w:hAnsi="宋体" w:cs="微软雅黑"/>
                <w:color w:val="auto"/>
                <w:szCs w:val="21"/>
                <w:highlight w:val="none"/>
                <w:lang w:val="en-US" w:eastAsia="zh-CN"/>
              </w:rPr>
              <w:t>17</w:t>
            </w:r>
          </w:p>
        </w:tc>
        <w:tc>
          <w:tcPr>
            <w:tcW w:w="86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olor w:val="auto"/>
                <w:szCs w:val="21"/>
                <w:highlight w:val="none"/>
              </w:rPr>
            </w:pPr>
            <w:r>
              <w:rPr>
                <w:rFonts w:hint="eastAsia" w:cs="微软雅黑" w:asciiTheme="minorEastAsia" w:hAnsiTheme="minorEastAsia" w:eastAsiaTheme="minorEastAsia"/>
                <w:b/>
                <w:bCs/>
                <w:color w:val="auto"/>
                <w:kern w:val="0"/>
                <w:szCs w:val="21"/>
                <w:highlight w:val="none"/>
              </w:rPr>
              <w:t>本项目为</w:t>
            </w:r>
            <w:r>
              <w:rPr>
                <w:rFonts w:hint="eastAsia" w:cs="微软雅黑" w:asciiTheme="minorEastAsia" w:hAnsiTheme="minorEastAsia" w:eastAsiaTheme="minorEastAsia"/>
                <w:b/>
                <w:bCs/>
                <w:color w:val="auto"/>
                <w:kern w:val="0"/>
                <w:szCs w:val="21"/>
                <w:highlight w:val="none"/>
                <w:lang w:val="en-US" w:eastAsia="zh-CN"/>
              </w:rPr>
              <w:t>服务</w:t>
            </w:r>
            <w:r>
              <w:rPr>
                <w:rFonts w:hint="eastAsia" w:cs="微软雅黑" w:asciiTheme="minorEastAsia" w:hAnsiTheme="minorEastAsia" w:eastAsiaTheme="minorEastAsia"/>
                <w:b/>
                <w:bCs/>
                <w:color w:val="auto"/>
                <w:kern w:val="0"/>
                <w:szCs w:val="21"/>
                <w:highlight w:val="none"/>
              </w:rPr>
              <w:t>类采购，所属行业为</w:t>
            </w:r>
            <w:r>
              <w:rPr>
                <w:rFonts w:hint="eastAsia" w:cs="微软雅黑" w:asciiTheme="minorEastAsia" w:hAnsiTheme="minorEastAsia" w:eastAsiaTheme="minorEastAsia"/>
                <w:b/>
                <w:bCs/>
                <w:color w:val="auto"/>
                <w:kern w:val="0"/>
                <w:szCs w:val="21"/>
                <w:highlight w:val="none"/>
                <w:lang w:val="en-US" w:eastAsia="zh-CN"/>
              </w:rPr>
              <w:t>批发业</w:t>
            </w:r>
            <w:r>
              <w:rPr>
                <w:rFonts w:hint="eastAsia" w:cs="微软雅黑" w:asciiTheme="minorEastAsia" w:hAnsiTheme="minorEastAsia" w:eastAsiaTheme="minorEastAsia"/>
                <w:b/>
                <w:bCs/>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微软雅黑"/>
                <w:color w:val="auto"/>
                <w:szCs w:val="21"/>
                <w:highlight w:val="none"/>
                <w:lang w:val="en-US" w:eastAsia="zh-CN"/>
              </w:rPr>
            </w:pPr>
            <w:r>
              <w:rPr>
                <w:rFonts w:hint="eastAsia" w:ascii="宋体" w:hAnsi="宋体" w:cs="微软雅黑"/>
                <w:color w:val="auto"/>
                <w:szCs w:val="21"/>
                <w:highlight w:val="none"/>
              </w:rPr>
              <w:t>1</w:t>
            </w:r>
            <w:r>
              <w:rPr>
                <w:rFonts w:hint="eastAsia" w:ascii="宋体" w:hAnsi="宋体" w:cs="微软雅黑"/>
                <w:color w:val="auto"/>
                <w:szCs w:val="21"/>
                <w:highlight w:val="none"/>
                <w:lang w:val="en-US" w:eastAsia="zh-CN"/>
              </w:rPr>
              <w:t>8</w:t>
            </w:r>
          </w:p>
        </w:tc>
        <w:tc>
          <w:tcPr>
            <w:tcW w:w="8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微软雅黑"/>
                <w:color w:val="auto"/>
                <w:szCs w:val="21"/>
                <w:highlight w:val="none"/>
              </w:rPr>
            </w:pPr>
            <w:r>
              <w:rPr>
                <w:rFonts w:hint="eastAsia" w:ascii="宋体" w:hAnsi="宋体" w:cs="微软雅黑"/>
                <w:color w:val="auto"/>
                <w:szCs w:val="21"/>
                <w:highlight w:val="none"/>
              </w:rPr>
              <w:t>解释：本招标文件的解释权属于招标采购单位。</w:t>
            </w:r>
          </w:p>
        </w:tc>
      </w:tr>
    </w:tbl>
    <w:p>
      <w:pPr>
        <w:snapToGrid w:val="0"/>
        <w:spacing w:line="360" w:lineRule="auto"/>
        <w:ind w:firstLine="422" w:firstLineChars="200"/>
        <w:jc w:val="left"/>
        <w:outlineLvl w:val="1"/>
        <w:rPr>
          <w:rFonts w:ascii="宋体" w:hAnsi="宋体"/>
          <w:b/>
          <w:color w:val="auto"/>
          <w:szCs w:val="21"/>
          <w:highlight w:val="none"/>
        </w:rPr>
      </w:pPr>
      <w:bookmarkStart w:id="22" w:name="_Toc493511580"/>
      <w:bookmarkStart w:id="23" w:name="_Toc50012817"/>
      <w:bookmarkStart w:id="24" w:name="_Toc177870536"/>
    </w:p>
    <w:p>
      <w:pPr>
        <w:snapToGrid w:val="0"/>
        <w:spacing w:line="360" w:lineRule="auto"/>
        <w:ind w:firstLine="422" w:firstLineChars="200"/>
        <w:jc w:val="left"/>
        <w:outlineLvl w:val="1"/>
        <w:rPr>
          <w:rFonts w:ascii="宋体" w:hAnsi="宋体"/>
          <w:b/>
          <w:color w:val="auto"/>
          <w:szCs w:val="21"/>
          <w:highlight w:val="none"/>
        </w:rPr>
      </w:pPr>
      <w:bookmarkStart w:id="25" w:name="_Toc2096"/>
      <w:r>
        <w:rPr>
          <w:rFonts w:hint="eastAsia" w:ascii="宋体" w:hAnsi="宋体"/>
          <w:b/>
          <w:color w:val="auto"/>
          <w:szCs w:val="21"/>
          <w:highlight w:val="none"/>
        </w:rPr>
        <w:t>一、总  则</w:t>
      </w:r>
      <w:bookmarkEnd w:id="22"/>
      <w:bookmarkEnd w:id="23"/>
      <w:bookmarkEnd w:id="24"/>
      <w:bookmarkEnd w:id="25"/>
    </w:p>
    <w:p>
      <w:pPr>
        <w:snapToGrid w:val="0"/>
        <w:spacing w:line="360" w:lineRule="auto"/>
        <w:ind w:firstLine="420" w:firstLineChars="200"/>
        <w:jc w:val="left"/>
        <w:outlineLvl w:val="1"/>
        <w:rPr>
          <w:rFonts w:ascii="宋体" w:hAnsi="宋体"/>
          <w:color w:val="auto"/>
          <w:szCs w:val="21"/>
          <w:highlight w:val="none"/>
        </w:rPr>
      </w:pPr>
      <w:bookmarkStart w:id="26" w:name="_Toc177824872"/>
      <w:bookmarkStart w:id="27" w:name="_Toc177870537"/>
      <w:bookmarkStart w:id="28" w:name="_Toc8394"/>
      <w:bookmarkStart w:id="29" w:name="_Toc177824939"/>
      <w:bookmarkStart w:id="30" w:name="_Toc177825120"/>
      <w:bookmarkStart w:id="31" w:name="_Toc493511581"/>
      <w:bookmarkStart w:id="32" w:name="_Toc50012818"/>
      <w:bookmarkStart w:id="33" w:name="_Toc427915759"/>
      <w:r>
        <w:rPr>
          <w:rFonts w:hint="eastAsia" w:ascii="宋体" w:hAnsi="宋体"/>
          <w:color w:val="auto"/>
          <w:szCs w:val="21"/>
          <w:highlight w:val="none"/>
        </w:rPr>
        <w:t>1、 适用范围</w:t>
      </w:r>
      <w:bookmarkEnd w:id="26"/>
      <w:bookmarkEnd w:id="27"/>
      <w:bookmarkEnd w:id="28"/>
      <w:bookmarkEnd w:id="29"/>
      <w:bookmarkEnd w:id="30"/>
      <w:bookmarkEnd w:id="31"/>
      <w:bookmarkEnd w:id="32"/>
      <w:bookmarkEnd w:id="33"/>
    </w:p>
    <w:p>
      <w:pPr>
        <w:snapToGrid w:val="0"/>
        <w:spacing w:line="360" w:lineRule="auto"/>
        <w:ind w:firstLine="420" w:firstLineChars="200"/>
        <w:jc w:val="left"/>
        <w:outlineLvl w:val="1"/>
        <w:rPr>
          <w:rFonts w:ascii="宋体" w:hAnsi="宋体"/>
          <w:color w:val="auto"/>
          <w:szCs w:val="21"/>
          <w:highlight w:val="none"/>
        </w:rPr>
      </w:pPr>
      <w:bookmarkStart w:id="34" w:name="_Toc493511582"/>
      <w:bookmarkStart w:id="35" w:name="_Toc30106"/>
      <w:bookmarkStart w:id="36" w:name="_Toc50012819"/>
      <w:r>
        <w:rPr>
          <w:rFonts w:hint="eastAsia" w:ascii="宋体" w:hAnsi="宋体"/>
          <w:color w:val="auto"/>
          <w:szCs w:val="21"/>
          <w:highlight w:val="none"/>
        </w:rPr>
        <w:t>1.1、本招标文件适用于本次所述项目的招标。</w:t>
      </w:r>
      <w:bookmarkEnd w:id="34"/>
      <w:bookmarkEnd w:id="35"/>
      <w:bookmarkEnd w:id="36"/>
      <w:bookmarkStart w:id="37" w:name="_Toc177824873"/>
      <w:bookmarkStart w:id="38" w:name="_Toc177824940"/>
      <w:bookmarkStart w:id="39" w:name="_Toc427915760"/>
      <w:bookmarkStart w:id="40" w:name="_Toc177870538"/>
      <w:bookmarkStart w:id="41" w:name="_Toc177825121"/>
    </w:p>
    <w:p>
      <w:pPr>
        <w:snapToGrid w:val="0"/>
        <w:spacing w:line="360" w:lineRule="auto"/>
        <w:ind w:firstLine="420" w:firstLineChars="200"/>
        <w:jc w:val="left"/>
        <w:outlineLvl w:val="1"/>
        <w:rPr>
          <w:rFonts w:ascii="宋体" w:hAnsi="宋体"/>
          <w:color w:val="auto"/>
          <w:szCs w:val="21"/>
          <w:highlight w:val="none"/>
        </w:rPr>
      </w:pPr>
      <w:bookmarkStart w:id="42" w:name="_Toc493511583"/>
      <w:bookmarkStart w:id="43" w:name="_Toc50012820"/>
      <w:bookmarkStart w:id="44" w:name="_Toc29052"/>
      <w:r>
        <w:rPr>
          <w:rFonts w:hint="eastAsia" w:ascii="宋体" w:hAnsi="宋体"/>
          <w:color w:val="auto"/>
          <w:szCs w:val="21"/>
          <w:highlight w:val="none"/>
        </w:rPr>
        <w:t>2、定义</w:t>
      </w:r>
      <w:bookmarkEnd w:id="37"/>
      <w:bookmarkEnd w:id="38"/>
      <w:bookmarkEnd w:id="39"/>
      <w:bookmarkEnd w:id="40"/>
      <w:bookmarkEnd w:id="41"/>
      <w:bookmarkEnd w:id="42"/>
      <w:bookmarkEnd w:id="43"/>
      <w:bookmarkEnd w:id="44"/>
    </w:p>
    <w:p>
      <w:pPr>
        <w:snapToGrid w:val="0"/>
        <w:spacing w:line="360" w:lineRule="auto"/>
        <w:ind w:firstLine="420" w:firstLineChars="200"/>
        <w:jc w:val="left"/>
        <w:outlineLvl w:val="1"/>
        <w:rPr>
          <w:rFonts w:ascii="宋体" w:hAnsi="宋体"/>
          <w:color w:val="auto"/>
          <w:szCs w:val="21"/>
          <w:highlight w:val="none"/>
        </w:rPr>
      </w:pPr>
      <w:bookmarkStart w:id="45" w:name="_Toc50012821"/>
      <w:bookmarkStart w:id="46" w:name="_Toc19542"/>
      <w:bookmarkStart w:id="47" w:name="_Toc493511584"/>
      <w:r>
        <w:rPr>
          <w:rFonts w:hint="eastAsia" w:ascii="宋体" w:hAnsi="宋体"/>
          <w:color w:val="auto"/>
          <w:szCs w:val="21"/>
          <w:highlight w:val="none"/>
        </w:rPr>
        <w:t>2.1、“</w:t>
      </w:r>
      <w:r>
        <w:rPr>
          <w:rFonts w:hint="eastAsia" w:ascii="宋体" w:hAnsi="宋体"/>
          <w:color w:val="auto"/>
          <w:szCs w:val="21"/>
          <w:highlight w:val="none"/>
          <w:lang w:eastAsia="zh-CN"/>
        </w:rPr>
        <w:t>采购人</w:t>
      </w:r>
      <w:r>
        <w:rPr>
          <w:rFonts w:hint="eastAsia" w:ascii="宋体" w:hAnsi="宋体"/>
          <w:color w:val="auto"/>
          <w:szCs w:val="21"/>
          <w:highlight w:val="none"/>
        </w:rPr>
        <w:t>”系指组织本次招标的代理机构或采购人。</w:t>
      </w:r>
      <w:bookmarkEnd w:id="45"/>
      <w:bookmarkEnd w:id="46"/>
      <w:bookmarkEnd w:id="47"/>
    </w:p>
    <w:p>
      <w:pPr>
        <w:snapToGrid w:val="0"/>
        <w:spacing w:line="360" w:lineRule="auto"/>
        <w:ind w:firstLine="420" w:firstLineChars="200"/>
        <w:jc w:val="left"/>
        <w:outlineLvl w:val="1"/>
        <w:rPr>
          <w:rFonts w:ascii="宋体" w:hAnsi="宋体"/>
          <w:color w:val="auto"/>
          <w:szCs w:val="21"/>
          <w:highlight w:val="none"/>
        </w:rPr>
      </w:pPr>
      <w:bookmarkStart w:id="48" w:name="_Toc493511585"/>
      <w:bookmarkStart w:id="49" w:name="_Toc50012822"/>
      <w:bookmarkStart w:id="50" w:name="_Toc22525"/>
      <w:r>
        <w:rPr>
          <w:rFonts w:hint="eastAsia" w:ascii="宋体" w:hAnsi="宋体"/>
          <w:color w:val="auto"/>
          <w:szCs w:val="21"/>
          <w:highlight w:val="none"/>
        </w:rPr>
        <w:t>2.2、“投标人”系指向招标方提交投标文件的投标人。</w:t>
      </w:r>
      <w:bookmarkEnd w:id="48"/>
      <w:bookmarkEnd w:id="49"/>
      <w:bookmarkEnd w:id="50"/>
    </w:p>
    <w:p>
      <w:pPr>
        <w:snapToGrid w:val="0"/>
        <w:spacing w:line="360" w:lineRule="auto"/>
        <w:ind w:firstLine="420" w:firstLineChars="200"/>
        <w:jc w:val="left"/>
        <w:outlineLvl w:val="1"/>
        <w:rPr>
          <w:rFonts w:ascii="宋体" w:hAnsi="宋体"/>
          <w:color w:val="auto"/>
          <w:szCs w:val="21"/>
          <w:highlight w:val="none"/>
        </w:rPr>
      </w:pPr>
      <w:bookmarkStart w:id="51" w:name="_Toc50012823"/>
      <w:bookmarkStart w:id="52" w:name="_Toc2392"/>
      <w:bookmarkStart w:id="53" w:name="_Toc493511586"/>
      <w:r>
        <w:rPr>
          <w:rFonts w:hint="eastAsia" w:ascii="宋体" w:hAnsi="宋体"/>
          <w:color w:val="auto"/>
          <w:szCs w:val="21"/>
          <w:highlight w:val="none"/>
        </w:rPr>
        <w:t>2.3、“产品”系指供方按招标文件规定，须向采购人提供的一切设备、保险、税金、备品备件、工具、手册及其它有关技术资料和材料。</w:t>
      </w:r>
      <w:bookmarkEnd w:id="51"/>
      <w:bookmarkEnd w:id="52"/>
      <w:bookmarkEnd w:id="53"/>
    </w:p>
    <w:p>
      <w:pPr>
        <w:snapToGrid w:val="0"/>
        <w:spacing w:line="360" w:lineRule="auto"/>
        <w:ind w:firstLine="420" w:firstLineChars="200"/>
        <w:jc w:val="left"/>
        <w:outlineLvl w:val="1"/>
        <w:rPr>
          <w:rFonts w:ascii="宋体" w:hAnsi="宋体"/>
          <w:color w:val="auto"/>
          <w:szCs w:val="21"/>
          <w:highlight w:val="none"/>
        </w:rPr>
      </w:pPr>
      <w:bookmarkStart w:id="54" w:name="_Toc50012824"/>
      <w:bookmarkStart w:id="55" w:name="_Toc15752"/>
      <w:bookmarkStart w:id="56" w:name="_Toc493511587"/>
      <w:r>
        <w:rPr>
          <w:rFonts w:hint="eastAsia" w:ascii="宋体" w:hAnsi="宋体"/>
          <w:color w:val="auto"/>
          <w:szCs w:val="21"/>
          <w:highlight w:val="none"/>
        </w:rPr>
        <w:t>2.4、“服务”系指招标文件规定投标人须承担的安装、调试、技术协助、校准、培训、技术指导以及其他类似的义务。</w:t>
      </w:r>
      <w:bookmarkEnd w:id="54"/>
      <w:bookmarkEnd w:id="55"/>
      <w:bookmarkEnd w:id="56"/>
    </w:p>
    <w:p>
      <w:pPr>
        <w:snapToGrid w:val="0"/>
        <w:spacing w:line="360" w:lineRule="auto"/>
        <w:ind w:firstLine="420" w:firstLineChars="200"/>
        <w:jc w:val="left"/>
        <w:outlineLvl w:val="1"/>
        <w:rPr>
          <w:rFonts w:ascii="宋体" w:hAnsi="宋体"/>
          <w:color w:val="auto"/>
          <w:szCs w:val="21"/>
          <w:highlight w:val="none"/>
        </w:rPr>
      </w:pPr>
      <w:bookmarkStart w:id="57" w:name="_Toc14499"/>
      <w:bookmarkStart w:id="58" w:name="_Toc50012825"/>
      <w:bookmarkStart w:id="59" w:name="_Toc493511588"/>
      <w:r>
        <w:rPr>
          <w:rFonts w:hint="eastAsia" w:ascii="宋体" w:hAnsi="宋体"/>
          <w:color w:val="auto"/>
          <w:szCs w:val="21"/>
          <w:highlight w:val="none"/>
        </w:rPr>
        <w:t>2.5、“项目”系指投标人按招标文件规定向采购人提供的产品和服务。</w:t>
      </w:r>
      <w:bookmarkEnd w:id="57"/>
      <w:bookmarkEnd w:id="58"/>
      <w:bookmarkEnd w:id="59"/>
    </w:p>
    <w:p>
      <w:pPr>
        <w:snapToGrid w:val="0"/>
        <w:spacing w:line="360" w:lineRule="auto"/>
        <w:ind w:firstLine="420" w:firstLineChars="200"/>
        <w:jc w:val="left"/>
        <w:outlineLvl w:val="1"/>
        <w:rPr>
          <w:rFonts w:ascii="宋体" w:hAnsi="宋体"/>
          <w:color w:val="auto"/>
          <w:szCs w:val="21"/>
          <w:highlight w:val="none"/>
        </w:rPr>
      </w:pPr>
      <w:bookmarkStart w:id="60" w:name="_Toc28414"/>
      <w:bookmarkStart w:id="61" w:name="_Toc493511589"/>
      <w:bookmarkStart w:id="62" w:name="_Toc50012826"/>
      <w:r>
        <w:rPr>
          <w:rFonts w:hint="eastAsia" w:ascii="宋体" w:hAnsi="宋体"/>
          <w:color w:val="auto"/>
          <w:szCs w:val="21"/>
          <w:highlight w:val="none"/>
        </w:rPr>
        <w:t>2.6、“书面形式”包括信函、传真、电报、电子文档等。</w:t>
      </w:r>
      <w:bookmarkEnd w:id="60"/>
      <w:bookmarkEnd w:id="61"/>
      <w:bookmarkEnd w:id="62"/>
    </w:p>
    <w:p>
      <w:pPr>
        <w:snapToGrid w:val="0"/>
        <w:spacing w:line="360" w:lineRule="auto"/>
        <w:ind w:firstLine="420" w:firstLineChars="200"/>
        <w:jc w:val="left"/>
        <w:outlineLvl w:val="1"/>
        <w:rPr>
          <w:rFonts w:ascii="宋体" w:hAnsi="宋体"/>
          <w:color w:val="auto"/>
          <w:szCs w:val="21"/>
          <w:highlight w:val="none"/>
        </w:rPr>
      </w:pPr>
      <w:bookmarkStart w:id="63" w:name="_Toc493511590"/>
      <w:bookmarkStart w:id="64" w:name="_Toc50012827"/>
      <w:bookmarkStart w:id="65" w:name="_Toc18649"/>
      <w:r>
        <w:rPr>
          <w:rFonts w:hint="eastAsia" w:ascii="宋体" w:hAnsi="宋体"/>
          <w:color w:val="auto"/>
          <w:szCs w:val="21"/>
          <w:highlight w:val="none"/>
        </w:rPr>
        <w:t>2.7、“▲”系指实质性要求条款。</w:t>
      </w:r>
      <w:bookmarkEnd w:id="63"/>
      <w:bookmarkEnd w:id="64"/>
      <w:bookmarkEnd w:id="65"/>
      <w:bookmarkStart w:id="66" w:name="_Toc427915761"/>
      <w:bookmarkStart w:id="67" w:name="_Toc177870539"/>
    </w:p>
    <w:p>
      <w:pPr>
        <w:snapToGrid w:val="0"/>
        <w:spacing w:line="360" w:lineRule="auto"/>
        <w:ind w:firstLine="420" w:firstLineChars="200"/>
        <w:jc w:val="left"/>
        <w:outlineLvl w:val="1"/>
        <w:rPr>
          <w:rFonts w:ascii="宋体" w:hAnsi="宋体"/>
          <w:color w:val="auto"/>
          <w:szCs w:val="21"/>
          <w:highlight w:val="none"/>
        </w:rPr>
      </w:pPr>
      <w:bookmarkStart w:id="68" w:name="_Toc10422"/>
      <w:bookmarkStart w:id="69" w:name="_Toc493511591"/>
      <w:bookmarkStart w:id="70" w:name="_Toc50012828"/>
      <w:r>
        <w:rPr>
          <w:rFonts w:hint="eastAsia" w:ascii="宋体" w:hAnsi="宋体"/>
          <w:color w:val="auto"/>
          <w:szCs w:val="21"/>
          <w:highlight w:val="none"/>
        </w:rPr>
        <w:t>3、招标方式</w:t>
      </w:r>
      <w:bookmarkEnd w:id="66"/>
      <w:bookmarkEnd w:id="67"/>
      <w:bookmarkEnd w:id="68"/>
      <w:bookmarkEnd w:id="69"/>
      <w:bookmarkEnd w:id="70"/>
    </w:p>
    <w:p>
      <w:pPr>
        <w:snapToGrid w:val="0"/>
        <w:spacing w:line="360" w:lineRule="auto"/>
        <w:ind w:firstLine="420" w:firstLineChars="200"/>
        <w:jc w:val="left"/>
        <w:outlineLvl w:val="1"/>
        <w:rPr>
          <w:rFonts w:ascii="宋体" w:hAnsi="宋体"/>
          <w:color w:val="auto"/>
          <w:szCs w:val="21"/>
          <w:highlight w:val="none"/>
        </w:rPr>
      </w:pPr>
      <w:bookmarkStart w:id="71" w:name="_Toc21572"/>
      <w:bookmarkStart w:id="72" w:name="_Toc50012829"/>
      <w:bookmarkStart w:id="73" w:name="_Toc493511592"/>
      <w:r>
        <w:rPr>
          <w:rFonts w:hint="eastAsia" w:ascii="宋体" w:hAnsi="宋体"/>
          <w:color w:val="auto"/>
          <w:szCs w:val="21"/>
          <w:highlight w:val="none"/>
        </w:rPr>
        <w:t>3.1、本次招标采用公开招标方式进行。</w:t>
      </w:r>
      <w:bookmarkEnd w:id="71"/>
      <w:bookmarkEnd w:id="72"/>
      <w:bookmarkEnd w:id="73"/>
    </w:p>
    <w:p>
      <w:pPr>
        <w:snapToGrid w:val="0"/>
        <w:spacing w:line="360" w:lineRule="auto"/>
        <w:ind w:firstLine="420" w:firstLineChars="200"/>
        <w:jc w:val="left"/>
        <w:outlineLvl w:val="1"/>
        <w:rPr>
          <w:rFonts w:ascii="宋体" w:hAnsi="宋体"/>
          <w:color w:val="auto"/>
          <w:szCs w:val="21"/>
          <w:highlight w:val="none"/>
        </w:rPr>
      </w:pPr>
      <w:bookmarkStart w:id="74" w:name="_Toc30170"/>
      <w:bookmarkStart w:id="75" w:name="_Toc493511593"/>
      <w:bookmarkStart w:id="76" w:name="_Toc50012830"/>
      <w:r>
        <w:rPr>
          <w:rFonts w:hint="eastAsia" w:ascii="宋体" w:hAnsi="宋体"/>
          <w:color w:val="auto"/>
          <w:szCs w:val="21"/>
          <w:highlight w:val="none"/>
        </w:rPr>
        <w:t>3.2、本次招标设定上限价为预算价。</w:t>
      </w:r>
      <w:bookmarkEnd w:id="74"/>
      <w:bookmarkEnd w:id="75"/>
      <w:bookmarkEnd w:id="76"/>
      <w:bookmarkStart w:id="77" w:name="_Toc177824874"/>
      <w:bookmarkStart w:id="78" w:name="_Toc177870540"/>
      <w:bookmarkStart w:id="79" w:name="_Toc177824941"/>
      <w:bookmarkStart w:id="80" w:name="_Toc177825122"/>
      <w:bookmarkStart w:id="81" w:name="_Toc427915762"/>
    </w:p>
    <w:p>
      <w:pPr>
        <w:snapToGrid w:val="0"/>
        <w:spacing w:line="360" w:lineRule="auto"/>
        <w:ind w:firstLine="420" w:firstLineChars="200"/>
        <w:jc w:val="left"/>
        <w:outlineLvl w:val="1"/>
        <w:rPr>
          <w:rFonts w:ascii="宋体" w:hAnsi="宋体"/>
          <w:color w:val="auto"/>
          <w:szCs w:val="21"/>
          <w:highlight w:val="none"/>
        </w:rPr>
      </w:pPr>
      <w:bookmarkStart w:id="82" w:name="_Toc21323"/>
      <w:bookmarkStart w:id="83" w:name="_Toc493511594"/>
      <w:bookmarkStart w:id="84" w:name="_Toc50012831"/>
      <w:r>
        <w:rPr>
          <w:rFonts w:hint="eastAsia" w:ascii="宋体" w:hAnsi="宋体"/>
          <w:color w:val="auto"/>
          <w:szCs w:val="21"/>
          <w:highlight w:val="none"/>
        </w:rPr>
        <w:t>4、投标委托</w:t>
      </w:r>
      <w:bookmarkEnd w:id="77"/>
      <w:bookmarkEnd w:id="78"/>
      <w:bookmarkEnd w:id="79"/>
      <w:bookmarkEnd w:id="80"/>
      <w:bookmarkEnd w:id="81"/>
      <w:bookmarkEnd w:id="82"/>
      <w:bookmarkEnd w:id="83"/>
      <w:bookmarkEnd w:id="84"/>
    </w:p>
    <w:p>
      <w:pPr>
        <w:snapToGrid w:val="0"/>
        <w:spacing w:line="360" w:lineRule="auto"/>
        <w:ind w:firstLine="420" w:firstLineChars="200"/>
        <w:jc w:val="left"/>
        <w:outlineLvl w:val="1"/>
        <w:rPr>
          <w:rFonts w:ascii="宋体" w:hAnsi="宋体"/>
          <w:color w:val="auto"/>
          <w:szCs w:val="21"/>
          <w:highlight w:val="none"/>
        </w:rPr>
      </w:pPr>
      <w:bookmarkStart w:id="85" w:name="_Toc50012832"/>
      <w:bookmarkStart w:id="86" w:name="_Toc493511595"/>
      <w:bookmarkStart w:id="87" w:name="_Toc10126"/>
      <w:r>
        <w:rPr>
          <w:rFonts w:hint="eastAsia" w:ascii="宋体" w:hAnsi="宋体"/>
          <w:color w:val="auto"/>
          <w:szCs w:val="21"/>
          <w:highlight w:val="none"/>
        </w:rPr>
        <w:t>投标人代表须携带居民身份证。如投标人代表不是法定代表人，须有法定代表人出具的授权委托书。（正本用原件，副本可用复印件，格式见第六部分）。</w:t>
      </w:r>
      <w:bookmarkEnd w:id="85"/>
      <w:bookmarkEnd w:id="86"/>
      <w:bookmarkEnd w:id="87"/>
      <w:bookmarkStart w:id="88" w:name="_Toc177870541"/>
      <w:bookmarkStart w:id="89" w:name="_Toc177824942"/>
      <w:bookmarkStart w:id="90" w:name="_Toc177825123"/>
      <w:bookmarkStart w:id="91" w:name="_Toc427915763"/>
      <w:bookmarkStart w:id="92" w:name="_Toc177824875"/>
    </w:p>
    <w:p>
      <w:pPr>
        <w:snapToGrid w:val="0"/>
        <w:spacing w:line="360" w:lineRule="auto"/>
        <w:ind w:firstLine="420" w:firstLineChars="200"/>
        <w:jc w:val="left"/>
        <w:outlineLvl w:val="1"/>
        <w:rPr>
          <w:rFonts w:ascii="宋体" w:hAnsi="宋体"/>
          <w:color w:val="auto"/>
          <w:szCs w:val="21"/>
          <w:highlight w:val="none"/>
        </w:rPr>
      </w:pPr>
      <w:bookmarkStart w:id="93" w:name="_Toc2927"/>
      <w:bookmarkStart w:id="94" w:name="_Toc493511596"/>
      <w:bookmarkStart w:id="95" w:name="_Toc50012833"/>
      <w:r>
        <w:rPr>
          <w:rFonts w:hint="eastAsia" w:ascii="宋体" w:hAnsi="宋体"/>
          <w:color w:val="auto"/>
          <w:szCs w:val="21"/>
          <w:highlight w:val="none"/>
        </w:rPr>
        <w:t>5、投标费用</w:t>
      </w:r>
      <w:bookmarkEnd w:id="88"/>
      <w:bookmarkEnd w:id="89"/>
      <w:bookmarkEnd w:id="90"/>
      <w:bookmarkEnd w:id="91"/>
      <w:bookmarkEnd w:id="92"/>
      <w:bookmarkEnd w:id="93"/>
      <w:bookmarkEnd w:id="94"/>
      <w:bookmarkEnd w:id="95"/>
    </w:p>
    <w:p>
      <w:pPr>
        <w:snapToGrid w:val="0"/>
        <w:spacing w:line="360" w:lineRule="auto"/>
        <w:ind w:firstLine="420" w:firstLineChars="200"/>
        <w:jc w:val="left"/>
        <w:outlineLvl w:val="1"/>
        <w:rPr>
          <w:rFonts w:ascii="宋体" w:hAnsi="宋体"/>
          <w:color w:val="auto"/>
          <w:szCs w:val="21"/>
          <w:highlight w:val="none"/>
        </w:rPr>
      </w:pPr>
      <w:bookmarkStart w:id="96" w:name="_Toc2682"/>
      <w:bookmarkStart w:id="97" w:name="_Toc493511597"/>
      <w:bookmarkStart w:id="98" w:name="_Toc50012834"/>
      <w:r>
        <w:rPr>
          <w:rFonts w:hint="eastAsia" w:ascii="宋体" w:hAnsi="宋体"/>
          <w:color w:val="auto"/>
          <w:szCs w:val="21"/>
          <w:highlight w:val="none"/>
        </w:rPr>
        <w:t>不论投标结果如何，投标人均应自行承担所有与投标有关的全部费用。</w:t>
      </w:r>
      <w:bookmarkEnd w:id="96"/>
      <w:bookmarkEnd w:id="97"/>
      <w:bookmarkEnd w:id="98"/>
    </w:p>
    <w:p>
      <w:pPr>
        <w:snapToGrid w:val="0"/>
        <w:spacing w:line="360" w:lineRule="auto"/>
        <w:ind w:firstLine="420" w:firstLineChars="200"/>
        <w:jc w:val="left"/>
        <w:outlineLvl w:val="1"/>
        <w:rPr>
          <w:rFonts w:ascii="宋体" w:hAnsi="宋体"/>
          <w:color w:val="auto"/>
          <w:szCs w:val="21"/>
          <w:highlight w:val="none"/>
        </w:rPr>
      </w:pPr>
      <w:bookmarkStart w:id="99" w:name="_Toc26432"/>
      <w:bookmarkStart w:id="100" w:name="_Toc50012835"/>
      <w:bookmarkStart w:id="101" w:name="_Toc493511598"/>
      <w:r>
        <w:rPr>
          <w:rFonts w:hint="eastAsia" w:ascii="宋体" w:hAnsi="宋体"/>
          <w:color w:val="auto"/>
          <w:szCs w:val="21"/>
          <w:highlight w:val="none"/>
        </w:rPr>
        <w:t>6、联合体投标</w:t>
      </w:r>
      <w:bookmarkEnd w:id="99"/>
      <w:bookmarkEnd w:id="100"/>
      <w:bookmarkEnd w:id="101"/>
    </w:p>
    <w:p>
      <w:pPr>
        <w:snapToGrid w:val="0"/>
        <w:spacing w:line="360" w:lineRule="auto"/>
        <w:ind w:firstLine="420" w:firstLineChars="200"/>
        <w:jc w:val="left"/>
        <w:outlineLvl w:val="1"/>
        <w:rPr>
          <w:rFonts w:ascii="宋体" w:hAnsi="宋体"/>
          <w:color w:val="auto"/>
          <w:szCs w:val="21"/>
          <w:highlight w:val="none"/>
        </w:rPr>
      </w:pPr>
      <w:bookmarkStart w:id="102" w:name="_Toc50012836"/>
      <w:bookmarkStart w:id="103" w:name="_Toc30057"/>
      <w:bookmarkStart w:id="104" w:name="_Toc493511599"/>
      <w:r>
        <w:rPr>
          <w:rFonts w:hint="eastAsia" w:ascii="宋体" w:hAnsi="宋体"/>
          <w:color w:val="auto"/>
          <w:szCs w:val="21"/>
          <w:highlight w:val="none"/>
        </w:rPr>
        <w:t>本项目不接受联合体投标。</w:t>
      </w:r>
      <w:bookmarkEnd w:id="102"/>
      <w:bookmarkEnd w:id="103"/>
      <w:bookmarkEnd w:id="104"/>
      <w:bookmarkStart w:id="105" w:name="_Toc177870544"/>
    </w:p>
    <w:p>
      <w:pPr>
        <w:snapToGrid w:val="0"/>
        <w:spacing w:line="360" w:lineRule="auto"/>
        <w:ind w:firstLine="422" w:firstLineChars="200"/>
        <w:jc w:val="left"/>
        <w:outlineLvl w:val="1"/>
        <w:rPr>
          <w:rFonts w:ascii="宋体" w:hAnsi="宋体"/>
          <w:b/>
          <w:color w:val="auto"/>
          <w:szCs w:val="21"/>
          <w:highlight w:val="none"/>
        </w:rPr>
      </w:pPr>
      <w:bookmarkStart w:id="106" w:name="_Toc1772"/>
      <w:bookmarkStart w:id="107" w:name="_Toc50012837"/>
      <w:r>
        <w:rPr>
          <w:rFonts w:hint="eastAsia" w:ascii="宋体" w:hAnsi="宋体"/>
          <w:b/>
          <w:color w:val="auto"/>
          <w:szCs w:val="21"/>
          <w:highlight w:val="none"/>
        </w:rPr>
        <w:t>7.转包与分包</w:t>
      </w:r>
      <w:bookmarkEnd w:id="106"/>
      <w:bookmarkEnd w:id="107"/>
    </w:p>
    <w:p>
      <w:pPr>
        <w:snapToGrid w:val="0"/>
        <w:spacing w:line="360" w:lineRule="auto"/>
        <w:ind w:firstLine="420" w:firstLineChars="200"/>
        <w:jc w:val="left"/>
        <w:outlineLvl w:val="1"/>
        <w:rPr>
          <w:rFonts w:ascii="宋体" w:hAnsi="宋体"/>
          <w:color w:val="auto"/>
          <w:szCs w:val="21"/>
          <w:highlight w:val="none"/>
        </w:rPr>
      </w:pPr>
      <w:bookmarkStart w:id="108" w:name="_Toc25115"/>
      <w:bookmarkStart w:id="109" w:name="_Toc50012838"/>
      <w:r>
        <w:rPr>
          <w:rFonts w:hint="eastAsia" w:ascii="宋体" w:hAnsi="宋体"/>
          <w:color w:val="auto"/>
          <w:szCs w:val="21"/>
          <w:highlight w:val="none"/>
        </w:rPr>
        <w:t>7.1本项目不允许转包；</w:t>
      </w:r>
      <w:bookmarkEnd w:id="108"/>
      <w:bookmarkEnd w:id="109"/>
    </w:p>
    <w:p>
      <w:pPr>
        <w:snapToGrid w:val="0"/>
        <w:spacing w:line="360" w:lineRule="auto"/>
        <w:ind w:firstLine="420" w:firstLineChars="200"/>
        <w:jc w:val="left"/>
        <w:outlineLvl w:val="1"/>
        <w:rPr>
          <w:rFonts w:ascii="宋体" w:hAnsi="宋体" w:cs="宋体"/>
          <w:color w:val="auto"/>
          <w:kern w:val="0"/>
          <w:szCs w:val="21"/>
          <w:highlight w:val="none"/>
        </w:rPr>
      </w:pPr>
      <w:bookmarkStart w:id="110" w:name="_Toc50012839"/>
      <w:bookmarkStart w:id="111" w:name="_Toc5717"/>
      <w:r>
        <w:rPr>
          <w:rFonts w:hint="eastAsia" w:ascii="宋体" w:hAnsi="宋体" w:cs="宋体"/>
          <w:color w:val="auto"/>
          <w:kern w:val="0"/>
          <w:szCs w:val="21"/>
          <w:highlight w:val="none"/>
        </w:rPr>
        <w:t>7.2</w:t>
      </w:r>
      <w:r>
        <w:rPr>
          <w:rFonts w:hint="eastAsia" w:ascii="宋体" w:hAnsi="宋体"/>
          <w:color w:val="auto"/>
          <w:szCs w:val="21"/>
          <w:highlight w:val="none"/>
        </w:rPr>
        <w:t>本项目原则上不允许分包。</w:t>
      </w:r>
      <w:bookmarkEnd w:id="110"/>
      <w:bookmarkEnd w:id="111"/>
      <w:bookmarkStart w:id="112" w:name="_Toc177870542"/>
      <w:bookmarkStart w:id="113" w:name="_Toc430786267"/>
    </w:p>
    <w:p>
      <w:pPr>
        <w:snapToGrid w:val="0"/>
        <w:spacing w:line="360" w:lineRule="auto"/>
        <w:ind w:firstLine="422" w:firstLineChars="200"/>
        <w:jc w:val="left"/>
        <w:outlineLvl w:val="1"/>
        <w:rPr>
          <w:rFonts w:ascii="宋体" w:hAnsi="宋体"/>
          <w:b/>
          <w:color w:val="auto"/>
          <w:szCs w:val="21"/>
          <w:highlight w:val="none"/>
        </w:rPr>
      </w:pPr>
      <w:bookmarkStart w:id="114" w:name="_Toc50012840"/>
      <w:bookmarkStart w:id="115" w:name="_Toc2435"/>
      <w:r>
        <w:rPr>
          <w:rFonts w:hint="eastAsia" w:ascii="宋体" w:hAnsi="宋体"/>
          <w:b/>
          <w:color w:val="auto"/>
          <w:szCs w:val="21"/>
          <w:highlight w:val="none"/>
        </w:rPr>
        <w:t>8.特别说明：</w:t>
      </w:r>
      <w:bookmarkEnd w:id="112"/>
      <w:bookmarkEnd w:id="113"/>
      <w:bookmarkEnd w:id="114"/>
      <w:bookmarkEnd w:id="115"/>
    </w:p>
    <w:p>
      <w:pPr>
        <w:pStyle w:val="8"/>
        <w:snapToGrid w:val="0"/>
        <w:spacing w:line="360" w:lineRule="auto"/>
        <w:ind w:firstLine="420" w:firstLineChars="200"/>
        <w:jc w:val="left"/>
        <w:rPr>
          <w:rFonts w:hAnsi="宋体"/>
          <w:color w:val="auto"/>
          <w:spacing w:val="0"/>
          <w:sz w:val="21"/>
          <w:szCs w:val="21"/>
          <w:highlight w:val="none"/>
        </w:rPr>
      </w:pPr>
      <w:bookmarkStart w:id="116" w:name="_Toc177870543"/>
      <w:bookmarkStart w:id="117" w:name="_Toc430786268"/>
      <w:bookmarkStart w:id="118" w:name="_Toc495603533"/>
      <w:r>
        <w:rPr>
          <w:rFonts w:hint="eastAsia" w:hAnsi="宋体"/>
          <w:color w:val="auto"/>
          <w:spacing w:val="0"/>
          <w:sz w:val="21"/>
          <w:szCs w:val="21"/>
          <w:highlight w:val="none"/>
        </w:rPr>
        <w:t>8.1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8"/>
        <w:snapToGrid w:val="0"/>
        <w:spacing w:line="360" w:lineRule="auto"/>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8.2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8"/>
        <w:snapToGrid w:val="0"/>
        <w:spacing w:line="360" w:lineRule="auto"/>
        <w:ind w:firstLine="420" w:firstLineChars="200"/>
        <w:jc w:val="left"/>
        <w:rPr>
          <w:rFonts w:hAnsi="宋体"/>
          <w:color w:val="auto"/>
          <w:spacing w:val="0"/>
          <w:sz w:val="21"/>
          <w:szCs w:val="21"/>
          <w:highlight w:val="none"/>
        </w:rPr>
      </w:pPr>
      <w:r>
        <w:rPr>
          <w:rFonts w:hint="eastAsia" w:hAnsi="宋体"/>
          <w:color w:val="auto"/>
          <w:spacing w:val="0"/>
          <w:sz w:val="21"/>
          <w:szCs w:val="21"/>
          <w:highlight w:val="none"/>
        </w:rPr>
        <w:t>8.3、非单一产品采购项目，采购人应当根据采购项目技术构成、产品价格比重等合理确定核心产品，并在招标文件中载明。多家投标人提供的核心产品品牌相同的，按前两款规定处理。</w:t>
      </w:r>
    </w:p>
    <w:p>
      <w:pPr>
        <w:snapToGrid w:val="0"/>
        <w:spacing w:line="360" w:lineRule="auto"/>
        <w:ind w:firstLine="422" w:firstLineChars="200"/>
        <w:jc w:val="left"/>
        <w:outlineLvl w:val="1"/>
        <w:rPr>
          <w:rFonts w:ascii="宋体" w:hAnsi="宋体"/>
          <w:b/>
          <w:color w:val="auto"/>
          <w:szCs w:val="21"/>
          <w:highlight w:val="none"/>
        </w:rPr>
      </w:pPr>
      <w:bookmarkStart w:id="119" w:name="_Toc50012841"/>
      <w:bookmarkStart w:id="120" w:name="_Toc7381"/>
      <w:r>
        <w:rPr>
          <w:rFonts w:hint="eastAsia" w:ascii="宋体" w:hAnsi="宋体"/>
          <w:b/>
          <w:color w:val="auto"/>
          <w:szCs w:val="21"/>
          <w:highlight w:val="none"/>
        </w:rPr>
        <w:t>9.质疑</w:t>
      </w:r>
      <w:bookmarkEnd w:id="116"/>
      <w:bookmarkEnd w:id="117"/>
      <w:bookmarkEnd w:id="118"/>
      <w:bookmarkEnd w:id="119"/>
      <w:bookmarkEnd w:id="120"/>
    </w:p>
    <w:p>
      <w:pPr>
        <w:pStyle w:val="26"/>
        <w:spacing w:line="360" w:lineRule="auto"/>
        <w:ind w:firstLine="422" w:firstLineChars="200"/>
        <w:jc w:val="left"/>
        <w:outlineLvl w:val="1"/>
        <w:rPr>
          <w:rFonts w:hAnsi="宋体"/>
          <w:b/>
          <w:color w:val="auto"/>
          <w:szCs w:val="21"/>
          <w:highlight w:val="none"/>
        </w:rPr>
      </w:pPr>
      <w:bookmarkStart w:id="121" w:name="_Toc1791"/>
      <w:bookmarkStart w:id="122" w:name="_Toc50012842"/>
      <w:bookmarkStart w:id="123" w:name="_Toc495603534"/>
      <w:r>
        <w:rPr>
          <w:rFonts w:hint="eastAsia" w:hAnsi="宋体"/>
          <w:b/>
          <w:color w:val="auto"/>
          <w:szCs w:val="21"/>
          <w:highlight w:val="none"/>
        </w:rPr>
        <w:t>9.</w:t>
      </w:r>
      <w:r>
        <w:rPr>
          <w:rFonts w:hAnsi="宋体"/>
          <w:b/>
          <w:color w:val="auto"/>
          <w:szCs w:val="21"/>
          <w:highlight w:val="none"/>
        </w:rPr>
        <w:t>1</w:t>
      </w:r>
      <w:r>
        <w:rPr>
          <w:rFonts w:hint="eastAsia" w:hAnsi="宋体"/>
          <w:b/>
          <w:color w:val="auto"/>
          <w:szCs w:val="21"/>
          <w:highlight w:val="none"/>
        </w:rPr>
        <w:t>、</w:t>
      </w:r>
      <w:r>
        <w:rPr>
          <w:rFonts w:hAnsi="宋体"/>
          <w:b/>
          <w:color w:val="auto"/>
          <w:szCs w:val="21"/>
          <w:highlight w:val="none"/>
        </w:rPr>
        <w:t>投标人认为招标文件、招标过程</w:t>
      </w:r>
      <w:r>
        <w:rPr>
          <w:rFonts w:hint="eastAsia" w:hAnsi="宋体"/>
          <w:b/>
          <w:color w:val="auto"/>
          <w:szCs w:val="21"/>
          <w:highlight w:val="none"/>
        </w:rPr>
        <w:t>或</w:t>
      </w:r>
      <w:r>
        <w:rPr>
          <w:rFonts w:hAnsi="宋体"/>
          <w:b/>
          <w:color w:val="auto"/>
          <w:szCs w:val="21"/>
          <w:highlight w:val="none"/>
        </w:rPr>
        <w:t>中标结果使自己的合法权益受到损害的，应当在知道或者应知其权益受到损害之日起七个工作日内，以书面形式向采购人、</w:t>
      </w:r>
      <w:r>
        <w:rPr>
          <w:rFonts w:hint="eastAsia" w:hAnsi="宋体"/>
          <w:b/>
          <w:color w:val="auto"/>
          <w:szCs w:val="21"/>
          <w:highlight w:val="none"/>
        </w:rPr>
        <w:t>代理机构</w:t>
      </w:r>
      <w:r>
        <w:rPr>
          <w:rFonts w:hAnsi="宋体"/>
          <w:b/>
          <w:color w:val="auto"/>
          <w:szCs w:val="21"/>
          <w:highlight w:val="none"/>
        </w:rPr>
        <w:t>提出质疑。投标人对招标采购单位的质疑答复不满意或者招标采购单位未在规定时间内作出答复的，可以在答复期满后十五个工作日内向同级采购监管部门投诉。</w:t>
      </w:r>
      <w:bookmarkEnd w:id="121"/>
      <w:bookmarkEnd w:id="122"/>
      <w:bookmarkEnd w:id="123"/>
      <w:bookmarkStart w:id="124" w:name="_Toc495603535"/>
    </w:p>
    <w:p>
      <w:pPr>
        <w:pStyle w:val="26"/>
        <w:spacing w:line="360" w:lineRule="auto"/>
        <w:ind w:firstLine="422" w:firstLineChars="200"/>
        <w:jc w:val="left"/>
        <w:outlineLvl w:val="1"/>
        <w:rPr>
          <w:rFonts w:hAnsi="宋体"/>
          <w:b/>
          <w:color w:val="auto"/>
          <w:szCs w:val="21"/>
          <w:highlight w:val="none"/>
        </w:rPr>
      </w:pPr>
      <w:bookmarkStart w:id="125" w:name="_Toc50012843"/>
      <w:bookmarkStart w:id="126" w:name="_Toc23570"/>
      <w:r>
        <w:rPr>
          <w:rFonts w:hint="eastAsia" w:hAnsi="宋体"/>
          <w:b/>
          <w:color w:val="auto"/>
          <w:szCs w:val="21"/>
          <w:highlight w:val="none"/>
        </w:rPr>
        <w:t>9.</w:t>
      </w:r>
      <w:r>
        <w:rPr>
          <w:rFonts w:hAnsi="宋体"/>
          <w:b/>
          <w:color w:val="auto"/>
          <w:szCs w:val="21"/>
          <w:highlight w:val="none"/>
        </w:rPr>
        <w:t>2</w:t>
      </w:r>
      <w:r>
        <w:rPr>
          <w:rFonts w:hint="eastAsia" w:hAnsi="宋体"/>
          <w:b/>
          <w:color w:val="auto"/>
          <w:szCs w:val="21"/>
          <w:highlight w:val="none"/>
        </w:rPr>
        <w:t>、</w:t>
      </w:r>
      <w:r>
        <w:rPr>
          <w:rFonts w:hAnsi="宋体"/>
          <w:b/>
          <w:color w:val="auto"/>
          <w:szCs w:val="21"/>
          <w:highlight w:val="none"/>
        </w:rPr>
        <w:t>质疑、投诉应当采用书面形式，质疑书、投诉书均应明确阐述招标文件、招标过程</w:t>
      </w:r>
      <w:r>
        <w:rPr>
          <w:rFonts w:hint="eastAsia" w:hAnsi="宋体"/>
          <w:b/>
          <w:color w:val="auto"/>
          <w:szCs w:val="21"/>
          <w:highlight w:val="none"/>
        </w:rPr>
        <w:t>或</w:t>
      </w:r>
      <w:r>
        <w:rPr>
          <w:rFonts w:hAnsi="宋体"/>
          <w:b/>
          <w:color w:val="auto"/>
          <w:szCs w:val="21"/>
          <w:highlight w:val="none"/>
        </w:rPr>
        <w:t>中标结果中使自己合法权益受到损害的实质性内容，提供相关事实、依据和证据及其来源或线索，便于有关单位调查、答复和处理</w:t>
      </w:r>
      <w:r>
        <w:rPr>
          <w:rFonts w:hint="eastAsia" w:hAnsi="宋体"/>
          <w:b/>
          <w:color w:val="auto"/>
          <w:szCs w:val="21"/>
          <w:highlight w:val="none"/>
        </w:rPr>
        <w:t>。</w:t>
      </w:r>
      <w:bookmarkEnd w:id="124"/>
      <w:bookmarkEnd w:id="125"/>
      <w:bookmarkEnd w:id="126"/>
    </w:p>
    <w:p>
      <w:pPr>
        <w:snapToGrid w:val="0"/>
        <w:spacing w:line="360" w:lineRule="auto"/>
        <w:ind w:firstLine="422" w:firstLineChars="200"/>
        <w:jc w:val="left"/>
        <w:outlineLvl w:val="1"/>
        <w:rPr>
          <w:rFonts w:ascii="宋体" w:hAnsi="宋体"/>
          <w:b/>
          <w:color w:val="auto"/>
          <w:szCs w:val="21"/>
          <w:highlight w:val="none"/>
        </w:rPr>
      </w:pPr>
      <w:bookmarkStart w:id="127" w:name="_Toc25169"/>
      <w:bookmarkStart w:id="128" w:name="_Toc493511613"/>
      <w:bookmarkStart w:id="129" w:name="_Toc50012844"/>
      <w:r>
        <w:rPr>
          <w:rFonts w:hint="eastAsia" w:ascii="宋体" w:hAnsi="宋体"/>
          <w:b/>
          <w:color w:val="auto"/>
          <w:szCs w:val="21"/>
          <w:highlight w:val="none"/>
        </w:rPr>
        <w:t>二 、招标文件</w:t>
      </w:r>
      <w:bookmarkEnd w:id="105"/>
      <w:bookmarkEnd w:id="127"/>
      <w:bookmarkEnd w:id="128"/>
      <w:bookmarkEnd w:id="129"/>
    </w:p>
    <w:p>
      <w:pPr>
        <w:snapToGrid w:val="0"/>
        <w:spacing w:line="360" w:lineRule="auto"/>
        <w:ind w:firstLine="422" w:firstLineChars="200"/>
        <w:jc w:val="left"/>
        <w:outlineLvl w:val="1"/>
        <w:rPr>
          <w:rFonts w:ascii="宋体" w:hAnsi="宋体"/>
          <w:b/>
          <w:color w:val="auto"/>
          <w:szCs w:val="21"/>
          <w:highlight w:val="none"/>
        </w:rPr>
      </w:pPr>
      <w:bookmarkStart w:id="130" w:name="_Toc50012845"/>
      <w:bookmarkStart w:id="131" w:name="_Toc493511614"/>
      <w:bookmarkStart w:id="132" w:name="_Toc16026"/>
      <w:r>
        <w:rPr>
          <w:rFonts w:hint="eastAsia" w:ascii="宋体" w:hAnsi="宋体"/>
          <w:b/>
          <w:color w:val="auto"/>
          <w:szCs w:val="21"/>
          <w:highlight w:val="none"/>
        </w:rPr>
        <w:t>1、招标文件的构成</w:t>
      </w:r>
      <w:bookmarkEnd w:id="130"/>
      <w:bookmarkEnd w:id="131"/>
      <w:bookmarkEnd w:id="132"/>
    </w:p>
    <w:p>
      <w:pPr>
        <w:snapToGrid w:val="0"/>
        <w:spacing w:line="360" w:lineRule="auto"/>
        <w:ind w:firstLine="420" w:firstLineChars="200"/>
        <w:jc w:val="left"/>
        <w:outlineLvl w:val="1"/>
        <w:rPr>
          <w:rFonts w:ascii="宋体" w:hAnsi="宋体"/>
          <w:color w:val="auto"/>
          <w:szCs w:val="21"/>
          <w:highlight w:val="none"/>
        </w:rPr>
      </w:pPr>
      <w:bookmarkStart w:id="133" w:name="_Toc50012846"/>
      <w:bookmarkStart w:id="134" w:name="_Toc493511615"/>
      <w:bookmarkStart w:id="135" w:name="_Toc7778"/>
      <w:r>
        <w:rPr>
          <w:rFonts w:hint="eastAsia" w:ascii="宋体" w:hAnsi="宋体"/>
          <w:color w:val="auto"/>
          <w:szCs w:val="21"/>
          <w:highlight w:val="none"/>
        </w:rPr>
        <w:t>1.1、公开招标采购公告</w:t>
      </w:r>
      <w:bookmarkEnd w:id="133"/>
      <w:bookmarkEnd w:id="134"/>
      <w:bookmarkEnd w:id="135"/>
    </w:p>
    <w:p>
      <w:pPr>
        <w:snapToGrid w:val="0"/>
        <w:spacing w:line="360" w:lineRule="auto"/>
        <w:ind w:firstLine="420" w:firstLineChars="200"/>
        <w:jc w:val="left"/>
        <w:outlineLvl w:val="1"/>
        <w:rPr>
          <w:rFonts w:ascii="宋体" w:hAnsi="宋体"/>
          <w:color w:val="auto"/>
          <w:szCs w:val="21"/>
          <w:highlight w:val="none"/>
        </w:rPr>
      </w:pPr>
      <w:bookmarkStart w:id="136" w:name="_Toc50012847"/>
      <w:bookmarkStart w:id="137" w:name="_Toc7186"/>
      <w:bookmarkStart w:id="138" w:name="_Toc493511616"/>
      <w:r>
        <w:rPr>
          <w:rFonts w:hint="eastAsia" w:ascii="宋体" w:hAnsi="宋体"/>
          <w:color w:val="auto"/>
          <w:szCs w:val="21"/>
          <w:highlight w:val="none"/>
        </w:rPr>
        <w:t>1.2、采购需求</w:t>
      </w:r>
      <w:bookmarkEnd w:id="136"/>
      <w:bookmarkEnd w:id="137"/>
      <w:bookmarkEnd w:id="138"/>
    </w:p>
    <w:p>
      <w:pPr>
        <w:snapToGrid w:val="0"/>
        <w:spacing w:line="360" w:lineRule="auto"/>
        <w:ind w:firstLine="420" w:firstLineChars="200"/>
        <w:jc w:val="left"/>
        <w:outlineLvl w:val="1"/>
        <w:rPr>
          <w:rFonts w:ascii="宋体" w:hAnsi="宋体"/>
          <w:color w:val="auto"/>
          <w:szCs w:val="21"/>
          <w:highlight w:val="none"/>
        </w:rPr>
      </w:pPr>
      <w:bookmarkStart w:id="139" w:name="_Toc6933"/>
      <w:bookmarkStart w:id="140" w:name="_Toc493511617"/>
      <w:bookmarkStart w:id="141" w:name="_Toc50012848"/>
      <w:r>
        <w:rPr>
          <w:rFonts w:hint="eastAsia" w:ascii="宋体" w:hAnsi="宋体"/>
          <w:color w:val="auto"/>
          <w:szCs w:val="21"/>
          <w:highlight w:val="none"/>
        </w:rPr>
        <w:t>1.3、投标人须知</w:t>
      </w:r>
      <w:bookmarkEnd w:id="139"/>
      <w:bookmarkEnd w:id="140"/>
      <w:bookmarkEnd w:id="141"/>
    </w:p>
    <w:p>
      <w:pPr>
        <w:snapToGrid w:val="0"/>
        <w:spacing w:line="360" w:lineRule="auto"/>
        <w:ind w:firstLine="420" w:firstLineChars="200"/>
        <w:jc w:val="left"/>
        <w:outlineLvl w:val="1"/>
        <w:rPr>
          <w:rFonts w:ascii="宋体" w:hAnsi="宋体"/>
          <w:color w:val="auto"/>
          <w:szCs w:val="21"/>
          <w:highlight w:val="none"/>
        </w:rPr>
      </w:pPr>
      <w:bookmarkStart w:id="142" w:name="_Toc2119"/>
      <w:bookmarkStart w:id="143" w:name="_Toc493511618"/>
      <w:bookmarkStart w:id="144" w:name="_Toc50012849"/>
      <w:r>
        <w:rPr>
          <w:rFonts w:hint="eastAsia" w:ascii="宋体" w:hAnsi="宋体"/>
          <w:color w:val="auto"/>
          <w:szCs w:val="21"/>
          <w:highlight w:val="none"/>
        </w:rPr>
        <w:t>1.4、评标办法</w:t>
      </w:r>
      <w:bookmarkEnd w:id="142"/>
      <w:bookmarkEnd w:id="143"/>
      <w:bookmarkEnd w:id="144"/>
    </w:p>
    <w:p>
      <w:pPr>
        <w:snapToGrid w:val="0"/>
        <w:spacing w:line="360" w:lineRule="auto"/>
        <w:ind w:firstLine="420" w:firstLineChars="200"/>
        <w:jc w:val="left"/>
        <w:outlineLvl w:val="1"/>
        <w:rPr>
          <w:rFonts w:ascii="宋体" w:hAnsi="宋体"/>
          <w:color w:val="auto"/>
          <w:szCs w:val="21"/>
          <w:highlight w:val="none"/>
        </w:rPr>
      </w:pPr>
      <w:bookmarkStart w:id="145" w:name="_Toc50012850"/>
      <w:bookmarkStart w:id="146" w:name="_Toc493511619"/>
      <w:bookmarkStart w:id="147" w:name="_Toc19120"/>
      <w:r>
        <w:rPr>
          <w:rFonts w:hint="eastAsia" w:ascii="宋体" w:hAnsi="宋体"/>
          <w:color w:val="auto"/>
          <w:szCs w:val="21"/>
          <w:highlight w:val="none"/>
        </w:rPr>
        <w:t>1.5、政府采购合同</w:t>
      </w:r>
      <w:bookmarkEnd w:id="145"/>
      <w:bookmarkEnd w:id="146"/>
      <w:bookmarkEnd w:id="147"/>
    </w:p>
    <w:p>
      <w:pPr>
        <w:snapToGrid w:val="0"/>
        <w:spacing w:line="360" w:lineRule="auto"/>
        <w:ind w:firstLine="420" w:firstLineChars="200"/>
        <w:jc w:val="left"/>
        <w:outlineLvl w:val="1"/>
        <w:rPr>
          <w:rFonts w:ascii="宋体" w:hAnsi="宋体"/>
          <w:color w:val="auto"/>
          <w:szCs w:val="21"/>
          <w:highlight w:val="none"/>
        </w:rPr>
      </w:pPr>
      <w:bookmarkStart w:id="148" w:name="_Toc19300"/>
      <w:bookmarkStart w:id="149" w:name="_Toc493511620"/>
      <w:bookmarkStart w:id="150" w:name="_Toc50012851"/>
      <w:r>
        <w:rPr>
          <w:rFonts w:hint="eastAsia" w:ascii="宋体" w:hAnsi="宋体"/>
          <w:color w:val="auto"/>
          <w:szCs w:val="21"/>
          <w:highlight w:val="none"/>
        </w:rPr>
        <w:t>1.6、投标文件相关文件格式</w:t>
      </w:r>
      <w:bookmarkEnd w:id="148"/>
      <w:bookmarkEnd w:id="149"/>
      <w:bookmarkEnd w:id="150"/>
      <w:bookmarkStart w:id="151" w:name="_Toc482363722"/>
    </w:p>
    <w:p>
      <w:pPr>
        <w:snapToGrid w:val="0"/>
        <w:spacing w:line="360" w:lineRule="auto"/>
        <w:ind w:firstLine="420" w:firstLineChars="200"/>
        <w:jc w:val="left"/>
        <w:outlineLvl w:val="1"/>
        <w:rPr>
          <w:rFonts w:ascii="宋体" w:hAnsi="宋体"/>
          <w:color w:val="auto"/>
          <w:szCs w:val="21"/>
          <w:highlight w:val="none"/>
        </w:rPr>
      </w:pPr>
      <w:bookmarkStart w:id="152" w:name="_Toc50012852"/>
      <w:bookmarkStart w:id="153" w:name="_Toc493511621"/>
      <w:bookmarkStart w:id="154" w:name="_Toc32687"/>
      <w:r>
        <w:rPr>
          <w:rFonts w:ascii="宋体" w:hAnsi="宋体"/>
          <w:color w:val="auto"/>
          <w:szCs w:val="21"/>
          <w:highlight w:val="none"/>
        </w:rPr>
        <w:t>1.7、本项目招标文件的澄清、答复、修改、补充的内容（所有内容将</w:t>
      </w:r>
      <w:r>
        <w:rPr>
          <w:rFonts w:hint="eastAsia" w:ascii="宋体" w:hAnsi="宋体"/>
          <w:color w:val="auto"/>
          <w:szCs w:val="21"/>
          <w:highlight w:val="none"/>
        </w:rPr>
        <w:t>以邮件形式发送给已成功申领招标文件的有效投标人</w:t>
      </w:r>
      <w:r>
        <w:rPr>
          <w:rFonts w:ascii="宋体" w:hAnsi="宋体"/>
          <w:color w:val="auto"/>
          <w:szCs w:val="21"/>
          <w:highlight w:val="none"/>
        </w:rPr>
        <w:t>）。澄清、答复、修改、补充的内容均作为招标文件的组成部分，具有约束作用。）</w:t>
      </w:r>
      <w:bookmarkEnd w:id="151"/>
      <w:bookmarkEnd w:id="152"/>
      <w:bookmarkEnd w:id="153"/>
      <w:bookmarkEnd w:id="154"/>
    </w:p>
    <w:p>
      <w:pPr>
        <w:snapToGrid w:val="0"/>
        <w:spacing w:line="360" w:lineRule="auto"/>
        <w:ind w:firstLine="422" w:firstLineChars="200"/>
        <w:jc w:val="left"/>
        <w:outlineLvl w:val="1"/>
        <w:rPr>
          <w:rFonts w:ascii="宋体" w:hAnsi="宋体"/>
          <w:b/>
          <w:color w:val="auto"/>
          <w:szCs w:val="21"/>
          <w:highlight w:val="none"/>
        </w:rPr>
      </w:pPr>
      <w:bookmarkStart w:id="155" w:name="_Toc50012853"/>
      <w:bookmarkStart w:id="156" w:name="_Toc21770"/>
      <w:bookmarkStart w:id="157" w:name="_Toc493511622"/>
      <w:r>
        <w:rPr>
          <w:rFonts w:hint="eastAsia" w:ascii="宋体" w:hAnsi="宋体"/>
          <w:b/>
          <w:color w:val="auto"/>
          <w:szCs w:val="21"/>
          <w:highlight w:val="none"/>
        </w:rPr>
        <w:t>2、存在的风险</w:t>
      </w:r>
      <w:bookmarkEnd w:id="155"/>
      <w:bookmarkEnd w:id="156"/>
      <w:bookmarkEnd w:id="157"/>
    </w:p>
    <w:p>
      <w:pPr>
        <w:snapToGrid w:val="0"/>
        <w:spacing w:line="360" w:lineRule="auto"/>
        <w:ind w:firstLine="420" w:firstLineChars="200"/>
        <w:jc w:val="left"/>
        <w:outlineLvl w:val="1"/>
        <w:rPr>
          <w:rFonts w:ascii="宋体" w:hAnsi="宋体"/>
          <w:color w:val="auto"/>
          <w:szCs w:val="21"/>
          <w:highlight w:val="none"/>
        </w:rPr>
      </w:pPr>
      <w:bookmarkStart w:id="158" w:name="_Toc50012854"/>
      <w:bookmarkStart w:id="159" w:name="_Toc32245"/>
      <w:bookmarkStart w:id="160" w:name="_Toc493511623"/>
      <w:r>
        <w:rPr>
          <w:rFonts w:hint="eastAsia" w:ascii="宋体" w:hAnsi="宋体"/>
          <w:color w:val="auto"/>
          <w:szCs w:val="21"/>
          <w:highlight w:val="none"/>
        </w:rPr>
        <w:t>投标人没有按照招标文件要求提供全部资料，或者投标人没有对招标文件在各方面作出实质性响应是投标人的风险，并可能导致其投标无效。</w:t>
      </w:r>
      <w:bookmarkEnd w:id="158"/>
      <w:bookmarkEnd w:id="159"/>
      <w:bookmarkEnd w:id="160"/>
    </w:p>
    <w:p>
      <w:pPr>
        <w:snapToGrid w:val="0"/>
        <w:spacing w:line="360" w:lineRule="auto"/>
        <w:ind w:firstLine="422" w:firstLineChars="200"/>
        <w:jc w:val="left"/>
        <w:outlineLvl w:val="1"/>
        <w:rPr>
          <w:rFonts w:ascii="宋体" w:hAnsi="宋体"/>
          <w:b/>
          <w:color w:val="auto"/>
          <w:szCs w:val="21"/>
          <w:highlight w:val="none"/>
        </w:rPr>
      </w:pPr>
      <w:bookmarkStart w:id="161" w:name="_Toc18736"/>
      <w:bookmarkStart w:id="162" w:name="_Toc493511624"/>
      <w:bookmarkStart w:id="163" w:name="_Toc50012855"/>
      <w:r>
        <w:rPr>
          <w:rFonts w:hint="eastAsia" w:ascii="宋体" w:hAnsi="宋体"/>
          <w:b/>
          <w:color w:val="auto"/>
          <w:szCs w:val="21"/>
          <w:highlight w:val="none"/>
        </w:rPr>
        <w:t>3、招标文件的澄清与修改</w:t>
      </w:r>
      <w:bookmarkEnd w:id="161"/>
      <w:bookmarkEnd w:id="162"/>
      <w:bookmarkEnd w:id="163"/>
    </w:p>
    <w:p>
      <w:pPr>
        <w:snapToGrid w:val="0"/>
        <w:spacing w:line="360" w:lineRule="auto"/>
        <w:ind w:firstLine="420" w:firstLineChars="200"/>
        <w:jc w:val="left"/>
        <w:outlineLvl w:val="1"/>
        <w:rPr>
          <w:rFonts w:ascii="宋体" w:hAnsi="宋体"/>
          <w:color w:val="auto"/>
          <w:szCs w:val="21"/>
          <w:highlight w:val="none"/>
        </w:rPr>
      </w:pPr>
      <w:bookmarkStart w:id="164" w:name="_Toc4790"/>
      <w:bookmarkStart w:id="165" w:name="_Toc50012856"/>
      <w:bookmarkStart w:id="166" w:name="_Toc493511625"/>
      <w:r>
        <w:rPr>
          <w:rFonts w:hint="eastAsia" w:ascii="宋体" w:hAnsi="宋体"/>
          <w:color w:val="auto"/>
          <w:szCs w:val="21"/>
          <w:highlight w:val="none"/>
        </w:rPr>
        <w:t>3.1、投标人应认真阅读本招标文件，发现其中有误或有要求不合理的，投标人必须在知道或者应当知道之日起五日内以书面形式要求采购代理机构澄清，否则，由此产生的后果由投标人负责。</w:t>
      </w:r>
      <w:bookmarkEnd w:id="164"/>
      <w:bookmarkEnd w:id="165"/>
      <w:bookmarkEnd w:id="166"/>
    </w:p>
    <w:p>
      <w:pPr>
        <w:snapToGrid w:val="0"/>
        <w:spacing w:line="360" w:lineRule="auto"/>
        <w:ind w:firstLine="420" w:firstLineChars="200"/>
        <w:jc w:val="left"/>
        <w:outlineLvl w:val="1"/>
        <w:rPr>
          <w:rFonts w:ascii="宋体" w:hAnsi="宋体"/>
          <w:color w:val="auto"/>
          <w:szCs w:val="21"/>
          <w:highlight w:val="none"/>
        </w:rPr>
      </w:pPr>
      <w:bookmarkStart w:id="167" w:name="_Toc493511626"/>
      <w:bookmarkStart w:id="168" w:name="_Toc50012857"/>
      <w:bookmarkStart w:id="169" w:name="_Toc31984"/>
      <w:r>
        <w:rPr>
          <w:rFonts w:hint="eastAsia" w:ascii="宋体" w:hAnsi="宋体"/>
          <w:color w:val="auto"/>
          <w:szCs w:val="21"/>
          <w:highlight w:val="none"/>
        </w:rPr>
        <w:t>3.2、采购代理机构必须以书面形式答复所有购买招标文件的投标人（答复中不包含问题的来源）要求澄清的问题，同时认定其他澄清方式为无效。</w:t>
      </w:r>
      <w:bookmarkEnd w:id="167"/>
      <w:bookmarkEnd w:id="168"/>
      <w:bookmarkEnd w:id="169"/>
    </w:p>
    <w:p>
      <w:pPr>
        <w:snapToGrid w:val="0"/>
        <w:spacing w:line="360" w:lineRule="auto"/>
        <w:ind w:firstLine="420" w:firstLineChars="200"/>
        <w:jc w:val="left"/>
        <w:outlineLvl w:val="1"/>
        <w:rPr>
          <w:rFonts w:ascii="宋体" w:hAnsi="宋体"/>
          <w:color w:val="auto"/>
          <w:szCs w:val="21"/>
          <w:highlight w:val="none"/>
        </w:rPr>
      </w:pPr>
      <w:bookmarkStart w:id="170" w:name="_Toc493511627"/>
      <w:bookmarkStart w:id="171" w:name="_Toc20629"/>
      <w:bookmarkStart w:id="172" w:name="_Toc50012858"/>
      <w:r>
        <w:rPr>
          <w:rFonts w:hint="eastAsia" w:ascii="宋体" w:hAnsi="宋体"/>
          <w:color w:val="auto"/>
          <w:szCs w:val="21"/>
          <w:highlight w:val="none"/>
        </w:rPr>
        <w:t>3.3、采购代理机构对已发出的招标文件进行必要澄清或者修改的，应当在招标文件要求提交投标文件截止时间三日前，在采购信息发布媒体上发布更正公告或以邮件形式发送给已成功申领招标文件的有效投标人。该澄清或者修改的内容为招标文件的组成部分。</w:t>
      </w:r>
      <w:bookmarkEnd w:id="170"/>
      <w:bookmarkEnd w:id="171"/>
      <w:bookmarkEnd w:id="172"/>
    </w:p>
    <w:p>
      <w:pPr>
        <w:snapToGrid w:val="0"/>
        <w:spacing w:line="360" w:lineRule="auto"/>
        <w:ind w:firstLine="420" w:firstLineChars="200"/>
        <w:jc w:val="left"/>
        <w:outlineLvl w:val="1"/>
        <w:rPr>
          <w:rFonts w:ascii="宋体" w:hAnsi="宋体"/>
          <w:color w:val="auto"/>
          <w:szCs w:val="21"/>
          <w:highlight w:val="none"/>
        </w:rPr>
      </w:pPr>
      <w:bookmarkStart w:id="173" w:name="_Toc50012859"/>
      <w:bookmarkStart w:id="174" w:name="_Toc10910"/>
      <w:bookmarkStart w:id="175" w:name="_Toc493511628"/>
      <w:r>
        <w:rPr>
          <w:rFonts w:hint="eastAsia" w:ascii="宋体" w:hAnsi="宋体"/>
          <w:color w:val="auto"/>
          <w:szCs w:val="21"/>
          <w:highlight w:val="none"/>
        </w:rPr>
        <w:t>3.4、采购代理机构和采购单位可以视采购具体情况，延长投标截止时间和开标时间，但至少应当在招标文件要求提交投标文件的截止时间三日前，将变更时间书面通知所有招标文件收受人，并在采购信息发布媒体上发布变更公告或以邮件形式发送给已成功申领招标文件的有效投标人。</w:t>
      </w:r>
      <w:bookmarkEnd w:id="173"/>
      <w:bookmarkEnd w:id="174"/>
      <w:bookmarkEnd w:id="175"/>
    </w:p>
    <w:p>
      <w:pPr>
        <w:snapToGrid w:val="0"/>
        <w:spacing w:line="360" w:lineRule="auto"/>
        <w:ind w:firstLine="420" w:firstLineChars="200"/>
        <w:jc w:val="left"/>
        <w:outlineLvl w:val="1"/>
        <w:rPr>
          <w:rFonts w:ascii="宋体" w:hAnsi="宋体"/>
          <w:color w:val="auto"/>
          <w:szCs w:val="21"/>
          <w:highlight w:val="none"/>
        </w:rPr>
      </w:pPr>
      <w:bookmarkStart w:id="176" w:name="_Toc14791"/>
      <w:bookmarkStart w:id="177" w:name="_Toc493511629"/>
      <w:bookmarkStart w:id="178" w:name="_Toc50012860"/>
      <w:r>
        <w:rPr>
          <w:rFonts w:hint="eastAsia" w:ascii="宋体" w:hAnsi="宋体"/>
          <w:color w:val="auto"/>
          <w:szCs w:val="21"/>
          <w:highlight w:val="none"/>
        </w:rPr>
        <w:t>3.5、招标文件的澄清或者修改都应该通过本代理机构以法定形式发布，采购人非通过本机构，不得擅自澄清或者修改招标文件。</w:t>
      </w:r>
      <w:bookmarkEnd w:id="176"/>
      <w:bookmarkEnd w:id="177"/>
      <w:bookmarkEnd w:id="178"/>
    </w:p>
    <w:p>
      <w:pPr>
        <w:snapToGrid w:val="0"/>
        <w:spacing w:line="360" w:lineRule="auto"/>
        <w:ind w:firstLine="422" w:firstLineChars="200"/>
        <w:jc w:val="left"/>
        <w:outlineLvl w:val="1"/>
        <w:rPr>
          <w:rFonts w:hint="eastAsia" w:ascii="宋体" w:hAnsi="宋体" w:eastAsia="宋体"/>
          <w:b/>
          <w:color w:val="auto"/>
          <w:szCs w:val="21"/>
          <w:highlight w:val="none"/>
          <w:lang w:eastAsia="zh-CN"/>
        </w:rPr>
      </w:pPr>
      <w:bookmarkStart w:id="179" w:name="_Toc493511630"/>
      <w:bookmarkStart w:id="180" w:name="_Toc50012861"/>
      <w:bookmarkStart w:id="181" w:name="_Toc8175"/>
      <w:bookmarkStart w:id="182" w:name="_Toc177870545"/>
      <w:r>
        <w:rPr>
          <w:rFonts w:hint="eastAsia" w:ascii="宋体" w:hAnsi="宋体"/>
          <w:b/>
          <w:color w:val="auto"/>
          <w:szCs w:val="21"/>
          <w:highlight w:val="none"/>
        </w:rPr>
        <w:t>三、 投标文件的编制</w:t>
      </w:r>
      <w:bookmarkEnd w:id="179"/>
      <w:bookmarkEnd w:id="180"/>
      <w:bookmarkEnd w:id="181"/>
      <w:bookmarkEnd w:id="182"/>
      <w:r>
        <w:rPr>
          <w:rFonts w:hint="eastAsia" w:ascii="宋体" w:hAnsi="宋体"/>
          <w:b/>
          <w:color w:val="auto"/>
          <w:szCs w:val="21"/>
          <w:highlight w:val="none"/>
          <w:lang w:eastAsia="zh-CN"/>
        </w:rPr>
        <w:t>（</w:t>
      </w:r>
      <w:r>
        <w:rPr>
          <w:rFonts w:hint="eastAsia" w:ascii="宋体" w:hAnsi="宋体"/>
          <w:b/>
          <w:color w:val="auto"/>
          <w:szCs w:val="21"/>
          <w:highlight w:val="none"/>
          <w:lang w:val="en-US" w:eastAsia="zh-CN"/>
        </w:rPr>
        <w:t>3个标项分别制作</w:t>
      </w:r>
      <w:r>
        <w:rPr>
          <w:rFonts w:hint="eastAsia" w:ascii="宋体" w:hAnsi="宋体"/>
          <w:b/>
          <w:color w:val="auto"/>
          <w:szCs w:val="21"/>
          <w:highlight w:val="none"/>
          <w:lang w:eastAsia="zh-CN"/>
        </w:rPr>
        <w:t>）</w:t>
      </w:r>
    </w:p>
    <w:p>
      <w:pPr>
        <w:pStyle w:val="26"/>
        <w:snapToGrid w:val="0"/>
        <w:spacing w:line="360" w:lineRule="auto"/>
        <w:ind w:firstLine="422" w:firstLineChars="200"/>
        <w:jc w:val="left"/>
        <w:outlineLvl w:val="1"/>
        <w:rPr>
          <w:rFonts w:hAnsi="宋体" w:cs="宋体"/>
          <w:b/>
          <w:color w:val="auto"/>
          <w:szCs w:val="21"/>
          <w:highlight w:val="none"/>
        </w:rPr>
      </w:pPr>
      <w:bookmarkStart w:id="183" w:name="_Toc33535356"/>
      <w:bookmarkStart w:id="184" w:name="_Toc50012862"/>
      <w:bookmarkStart w:id="185" w:name="_Toc12349"/>
      <w:bookmarkStart w:id="186" w:name="_Toc493511643"/>
      <w:bookmarkStart w:id="187" w:name="_Toc177824944"/>
      <w:bookmarkStart w:id="188" w:name="_Toc177824877"/>
      <w:bookmarkStart w:id="189" w:name="_Toc177870547"/>
      <w:bookmarkStart w:id="190" w:name="_Toc177825125"/>
      <w:r>
        <w:rPr>
          <w:rFonts w:hint="eastAsia" w:hAnsi="宋体" w:cs="宋体"/>
          <w:b/>
          <w:color w:val="auto"/>
          <w:szCs w:val="21"/>
          <w:highlight w:val="none"/>
        </w:rPr>
        <w:t>本项目所涉投标文件格式请详见第六章，未给出的格式请自拟。资信商务及技术文件中不得出现报价，否则投标文件将被视为无效。</w:t>
      </w:r>
      <w:bookmarkEnd w:id="183"/>
      <w:bookmarkEnd w:id="184"/>
      <w:bookmarkEnd w:id="185"/>
    </w:p>
    <w:p>
      <w:pPr>
        <w:snapToGrid w:val="0"/>
        <w:spacing w:line="360" w:lineRule="auto"/>
        <w:ind w:firstLine="422" w:firstLineChars="200"/>
        <w:jc w:val="left"/>
        <w:outlineLvl w:val="0"/>
        <w:rPr>
          <w:rFonts w:ascii="宋体" w:hAnsi="宋体"/>
          <w:b/>
          <w:color w:val="auto"/>
          <w:szCs w:val="21"/>
          <w:highlight w:val="none"/>
        </w:rPr>
      </w:pPr>
      <w:bookmarkStart w:id="191" w:name="_Toc406402988"/>
      <w:bookmarkStart w:id="192" w:name="_Toc50012864"/>
      <w:bookmarkStart w:id="193" w:name="_Toc33535358"/>
      <w:bookmarkStart w:id="194" w:name="_Toc406402944"/>
      <w:bookmarkStart w:id="195" w:name="_Toc1053"/>
      <w:r>
        <w:rPr>
          <w:rFonts w:hint="eastAsia" w:ascii="宋体" w:hAnsi="宋体"/>
          <w:b/>
          <w:color w:val="auto"/>
          <w:szCs w:val="21"/>
          <w:highlight w:val="none"/>
        </w:rPr>
        <w:t>（一）投标文件的组成</w:t>
      </w:r>
      <w:bookmarkEnd w:id="191"/>
      <w:bookmarkEnd w:id="192"/>
      <w:bookmarkEnd w:id="193"/>
      <w:bookmarkEnd w:id="194"/>
      <w:bookmarkEnd w:id="195"/>
    </w:p>
    <w:p>
      <w:pPr>
        <w:numPr>
          <w:ilvl w:val="0"/>
          <w:numId w:val="4"/>
        </w:numPr>
        <w:snapToGrid w:val="0"/>
        <w:spacing w:line="360" w:lineRule="auto"/>
        <w:ind w:left="0" w:firstLine="422" w:firstLineChars="200"/>
        <w:jc w:val="left"/>
        <w:rPr>
          <w:rFonts w:ascii="宋体" w:hAnsi="宋体"/>
          <w:color w:val="auto"/>
          <w:szCs w:val="21"/>
          <w:highlight w:val="none"/>
        </w:rPr>
      </w:pPr>
      <w:r>
        <w:rPr>
          <w:rFonts w:hint="eastAsia" w:ascii="宋体" w:hAnsi="宋体"/>
          <w:b/>
          <w:color w:val="auto"/>
          <w:szCs w:val="21"/>
          <w:highlight w:val="none"/>
        </w:rPr>
        <w:t>资格投标文件：</w:t>
      </w:r>
    </w:p>
    <w:p>
      <w:pPr>
        <w:snapToGrid w:val="0"/>
        <w:spacing w:line="360" w:lineRule="auto"/>
        <w:ind w:right="42" w:rightChars="20"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提供</w:t>
      </w:r>
      <w:r>
        <w:rPr>
          <w:rFonts w:hint="eastAsia" w:asciiTheme="minorEastAsia" w:hAnsiTheme="minorEastAsia" w:eastAsiaTheme="minorEastAsia"/>
          <w:color w:val="auto"/>
          <w:szCs w:val="21"/>
          <w:highlight w:val="none"/>
        </w:rPr>
        <w:t>具有独立承担民事责任的能力</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具有良好的商业信誉和健全的财务会计制度、具有履行合同所必需的设备和专业技术能力、有依法缴纳税收和社会保障资金的良好记录、参加政府采购活动前三年，在经营活动中没有重大违法记录</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自招标公告发布之日起至投标截止日内任意时间的“信用中国”网站（www.creditchina.gov.cn）（未被信用中国网站</w:t>
      </w:r>
      <w:r>
        <w:rPr>
          <w:color w:val="auto"/>
          <w:highlight w:val="none"/>
        </w:rPr>
        <w:fldChar w:fldCharType="begin"/>
      </w:r>
      <w:r>
        <w:rPr>
          <w:color w:val="auto"/>
          <w:highlight w:val="none"/>
        </w:rPr>
        <w:instrText xml:space="preserve"> HYPERLINK \t "_blank" </w:instrText>
      </w:r>
      <w:r>
        <w:rPr>
          <w:color w:val="auto"/>
          <w:highlight w:val="none"/>
        </w:rPr>
        <w:fldChar w:fldCharType="separate"/>
      </w:r>
      <w:r>
        <w:rPr>
          <w:rFonts w:hint="eastAsia" w:asciiTheme="minorEastAsia" w:hAnsiTheme="minorEastAsia" w:eastAsiaTheme="minorEastAsia"/>
          <w:color w:val="auto"/>
          <w:highlight w:val="none"/>
        </w:rPr>
        <w:t>列入失信被执行人、重大税收违法案件当事人名单</w:t>
      </w:r>
      <w:r>
        <w:rPr>
          <w:rFonts w:hint="eastAsia" w:asciiTheme="minorEastAsia" w:hAnsiTheme="minorEastAsia" w:eastAsiaTheme="minorEastAsia"/>
          <w:color w:val="auto"/>
          <w:highlight w:val="none"/>
        </w:rPr>
        <w:fldChar w:fldCharType="end"/>
      </w:r>
      <w:r>
        <w:rPr>
          <w:rFonts w:asciiTheme="minorEastAsia" w:hAnsiTheme="minorEastAsia" w:eastAsiaTheme="minorEastAsia"/>
          <w:color w:val="auto"/>
          <w:szCs w:val="21"/>
          <w:highlight w:val="none"/>
        </w:rPr>
        <w:t>的）</w:t>
      </w:r>
      <w:r>
        <w:rPr>
          <w:rFonts w:hint="eastAsia" w:asciiTheme="minorEastAsia" w:hAnsiTheme="minorEastAsia" w:eastAsiaTheme="minorEastAsia"/>
          <w:color w:val="auto"/>
          <w:szCs w:val="21"/>
          <w:highlight w:val="none"/>
        </w:rPr>
        <w:t>、中国政府采购网（www.ccgp.gov.cn）（未被中国政府采购网</w:t>
      </w:r>
      <w:r>
        <w:rPr>
          <w:color w:val="auto"/>
          <w:highlight w:val="none"/>
        </w:rPr>
        <w:fldChar w:fldCharType="begin"/>
      </w:r>
      <w:r>
        <w:rPr>
          <w:color w:val="auto"/>
          <w:highlight w:val="none"/>
        </w:rPr>
        <w:instrText xml:space="preserve"> HYPERLINK \t "_blank" </w:instrText>
      </w:r>
      <w:r>
        <w:rPr>
          <w:color w:val="auto"/>
          <w:highlight w:val="none"/>
        </w:rPr>
        <w:fldChar w:fldCharType="separate"/>
      </w:r>
      <w:r>
        <w:rPr>
          <w:rFonts w:hint="eastAsia" w:asciiTheme="minorEastAsia" w:hAnsiTheme="minorEastAsia" w:eastAsiaTheme="minorEastAsia"/>
          <w:color w:val="auto"/>
          <w:highlight w:val="none"/>
        </w:rPr>
        <w:t>列入政府采购严重违法失信行为记录名单</w:t>
      </w:r>
      <w:r>
        <w:rPr>
          <w:rFonts w:hint="eastAsia" w:asciiTheme="minorEastAsia" w:hAnsiTheme="minorEastAsia" w:eastAsiaTheme="minorEastAsia"/>
          <w:color w:val="auto"/>
          <w:highlight w:val="none"/>
        </w:rPr>
        <w:fldChar w:fldCharType="end"/>
      </w:r>
      <w:r>
        <w:rPr>
          <w:rFonts w:asciiTheme="minorEastAsia" w:hAnsiTheme="minorEastAsia" w:eastAsiaTheme="minorEastAsia"/>
          <w:color w:val="auto"/>
          <w:szCs w:val="21"/>
          <w:highlight w:val="none"/>
        </w:rPr>
        <w:t>的</w:t>
      </w:r>
      <w:r>
        <w:rPr>
          <w:rFonts w:hint="eastAsia" w:asciiTheme="minorEastAsia" w:hAnsiTheme="minorEastAsia" w:eastAsiaTheme="minorEastAsia"/>
          <w:color w:val="auto"/>
          <w:szCs w:val="21"/>
          <w:highlight w:val="none"/>
        </w:rPr>
        <w:t>）也没有因违反《浙江省政府采购投标人注册及诚信管理暂行办法》被列入“黑名单”，正在处罚有效期</w:t>
      </w:r>
      <w:r>
        <w:rPr>
          <w:rFonts w:hint="eastAsia" w:asciiTheme="minorEastAsia" w:hAnsiTheme="minorEastAsia" w:eastAsiaTheme="minorEastAsia"/>
          <w:color w:val="auto"/>
          <w:szCs w:val="21"/>
          <w:highlight w:val="none"/>
          <w:lang w:val="en-US" w:eastAsia="zh-CN"/>
        </w:rPr>
        <w:t>（详见格式）的承诺书</w:t>
      </w:r>
      <w:r>
        <w:rPr>
          <w:rFonts w:hint="eastAsia" w:asciiTheme="minorEastAsia" w:hAnsiTheme="minorEastAsia" w:eastAsiaTheme="minorEastAsia"/>
          <w:color w:val="auto"/>
          <w:szCs w:val="21"/>
          <w:highlight w:val="none"/>
        </w:rPr>
        <w:t>；</w:t>
      </w:r>
    </w:p>
    <w:p>
      <w:pPr>
        <w:snapToGrid w:val="0"/>
        <w:spacing w:line="360" w:lineRule="auto"/>
        <w:ind w:right="42" w:rightChars="20"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法定代表人授权委托书</w:t>
      </w:r>
      <w:r>
        <w:rPr>
          <w:rFonts w:hint="eastAsia" w:asciiTheme="minorEastAsia" w:hAnsiTheme="minorEastAsia" w:eastAsiaTheme="minorEastAsia"/>
          <w:color w:val="auto"/>
          <w:szCs w:val="21"/>
          <w:highlight w:val="none"/>
        </w:rPr>
        <w:t>；</w:t>
      </w:r>
    </w:p>
    <w:p>
      <w:pPr>
        <w:snapToGrid w:val="0"/>
        <w:spacing w:line="360" w:lineRule="auto"/>
        <w:ind w:right="42" w:rightChars="20"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3、</w:t>
      </w:r>
      <w:r>
        <w:rPr>
          <w:rFonts w:hint="eastAsia"/>
          <w:color w:val="auto"/>
          <w:highlight w:val="none"/>
        </w:rPr>
        <w:t>投标人符合特定条件的相关证明文件（如有）；</w:t>
      </w:r>
    </w:p>
    <w:p>
      <w:pPr>
        <w:pStyle w:val="59"/>
        <w:rPr>
          <w:color w:val="auto"/>
          <w:highlight w:val="none"/>
        </w:rPr>
      </w:pPr>
    </w:p>
    <w:p>
      <w:pPr>
        <w:spacing w:line="360" w:lineRule="auto"/>
        <w:ind w:firstLine="422" w:firstLineChars="200"/>
        <w:jc w:val="left"/>
        <w:rPr>
          <w:rFonts w:ascii="宋体" w:hAnsi="宋体"/>
          <w:color w:val="auto"/>
          <w:szCs w:val="21"/>
          <w:highlight w:val="none"/>
        </w:rPr>
      </w:pPr>
      <w:r>
        <w:rPr>
          <w:rFonts w:hint="eastAsia" w:ascii="宋体" w:hAnsi="宋体"/>
          <w:b/>
          <w:color w:val="auto"/>
          <w:szCs w:val="21"/>
          <w:highlight w:val="none"/>
        </w:rPr>
        <w:t>2、商务技术文件</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2.1、投标声明书；</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2、类似案例成功的业绩</w:t>
      </w:r>
      <w:r>
        <w:rPr>
          <w:rFonts w:hint="eastAsia" w:ascii="宋体" w:hAnsi="宋体"/>
          <w:b/>
          <w:color w:val="auto"/>
          <w:szCs w:val="21"/>
          <w:highlight w:val="none"/>
        </w:rPr>
        <w:t>（合同复印件并加盖投标人公章）</w:t>
      </w:r>
      <w:r>
        <w:rPr>
          <w:rFonts w:hint="eastAsia" w:ascii="宋体" w:hAnsi="宋体"/>
          <w:color w:val="auto"/>
          <w:szCs w:val="21"/>
          <w:highlight w:val="none"/>
        </w:rPr>
        <w:t>；</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3、与本项目实施相关的投标人各类资质证书、认证证书、许可证等（如信誉荣誉、本地化服务等。</w:t>
      </w:r>
      <w:r>
        <w:rPr>
          <w:rFonts w:hint="eastAsia" w:ascii="宋体" w:hAnsi="宋体"/>
          <w:b/>
          <w:color w:val="auto"/>
          <w:szCs w:val="21"/>
          <w:highlight w:val="none"/>
        </w:rPr>
        <w:t>提供复印件并加盖投标人公章）（如有）</w:t>
      </w:r>
      <w:r>
        <w:rPr>
          <w:rFonts w:hint="eastAsia" w:ascii="宋体" w:hAnsi="宋体"/>
          <w:color w:val="auto"/>
          <w:szCs w:val="21"/>
          <w:highlight w:val="none"/>
        </w:rPr>
        <w:t>；</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2.4、投标人情况介绍；</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2.5、商务、技术响应表；</w:t>
      </w:r>
    </w:p>
    <w:p>
      <w:pPr>
        <w:snapToGrid w:val="0"/>
        <w:spacing w:line="360" w:lineRule="auto"/>
        <w:ind w:firstLine="420" w:firstLineChars="200"/>
        <w:jc w:val="left"/>
        <w:rPr>
          <w:rFonts w:ascii="宋体" w:hAnsi="宋体"/>
          <w:color w:val="auto"/>
          <w:highlight w:val="none"/>
        </w:rPr>
      </w:pPr>
      <w:r>
        <w:rPr>
          <w:rFonts w:hint="eastAsia" w:ascii="宋体" w:hAnsi="宋体"/>
          <w:color w:val="auto"/>
          <w:szCs w:val="21"/>
          <w:highlight w:val="none"/>
        </w:rPr>
        <w:t>2.6、</w:t>
      </w:r>
      <w:r>
        <w:rPr>
          <w:rFonts w:ascii="宋体" w:hAnsi="宋体"/>
          <w:color w:val="auto"/>
          <w:szCs w:val="21"/>
          <w:highlight w:val="none"/>
        </w:rPr>
        <w:t>项目实施人员</w:t>
      </w:r>
      <w:r>
        <w:rPr>
          <w:rFonts w:hint="eastAsia" w:ascii="宋体" w:hAnsi="宋体"/>
          <w:color w:val="auto"/>
          <w:szCs w:val="21"/>
          <w:highlight w:val="none"/>
        </w:rPr>
        <w:t>（格式见附件）</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2.7、</w:t>
      </w:r>
      <w:r>
        <w:rPr>
          <w:rFonts w:ascii="宋体" w:hAnsi="宋体"/>
          <w:color w:val="auto"/>
          <w:szCs w:val="21"/>
          <w:highlight w:val="none"/>
        </w:rPr>
        <w:t>对招标项目的理解</w:t>
      </w:r>
      <w:r>
        <w:rPr>
          <w:rFonts w:hint="eastAsia" w:ascii="宋体" w:hAnsi="宋体"/>
          <w:color w:val="auto"/>
          <w:szCs w:val="21"/>
          <w:highlight w:val="none"/>
        </w:rPr>
        <w:t>；（格式自拟）</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2.8、工作的实施方案；（格式自拟）</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2.9、质量</w:t>
      </w:r>
      <w:r>
        <w:rPr>
          <w:rFonts w:ascii="宋体" w:hAnsi="宋体"/>
          <w:color w:val="auto"/>
          <w:szCs w:val="21"/>
          <w:highlight w:val="none"/>
        </w:rPr>
        <w:t>保障</w:t>
      </w:r>
      <w:r>
        <w:rPr>
          <w:rFonts w:hint="eastAsia" w:ascii="宋体" w:hAnsi="宋体"/>
          <w:color w:val="auto"/>
          <w:szCs w:val="21"/>
          <w:highlight w:val="none"/>
        </w:rPr>
        <w:t>、服务保障；（格式自拟）</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2.10、拟投入实施设备；（格式自拟，包含品牌、型号、功能等）</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2.11、</w:t>
      </w:r>
      <w:r>
        <w:rPr>
          <w:rFonts w:ascii="宋体" w:hAnsi="宋体"/>
          <w:color w:val="auto"/>
          <w:szCs w:val="21"/>
          <w:highlight w:val="none"/>
        </w:rPr>
        <w:t>投标人承诺给予</w:t>
      </w:r>
      <w:r>
        <w:rPr>
          <w:rFonts w:hint="eastAsia" w:ascii="宋体" w:hAnsi="宋体"/>
          <w:color w:val="auto"/>
          <w:szCs w:val="21"/>
          <w:highlight w:val="none"/>
          <w:lang w:eastAsia="zh-CN"/>
        </w:rPr>
        <w:t>采购人</w:t>
      </w:r>
      <w:r>
        <w:rPr>
          <w:rFonts w:ascii="宋体" w:hAnsi="宋体"/>
          <w:color w:val="auto"/>
          <w:szCs w:val="21"/>
          <w:highlight w:val="none"/>
        </w:rPr>
        <w:t>的各种优惠条件，包括售后服务等方面的优惠；</w:t>
      </w:r>
      <w:r>
        <w:rPr>
          <w:rFonts w:hint="eastAsia" w:ascii="宋体" w:hAnsi="宋体"/>
          <w:color w:val="auto"/>
          <w:szCs w:val="21"/>
          <w:highlight w:val="none"/>
        </w:rPr>
        <w:t>（格式自拟）</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2.12、投标人截止投标时间前三年内的奖惩情况说明，格式自拟.</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2.13、投标单位对本项目的合理化建议和改进措施；</w:t>
      </w:r>
    </w:p>
    <w:p>
      <w:pPr>
        <w:snapToGrid w:val="0"/>
        <w:spacing w:line="360" w:lineRule="auto"/>
        <w:ind w:firstLine="420" w:firstLineChars="200"/>
        <w:jc w:val="left"/>
        <w:rPr>
          <w:rFonts w:ascii="宋体" w:hAnsi="宋体"/>
          <w:b/>
          <w:bCs/>
          <w:color w:val="auto"/>
          <w:szCs w:val="21"/>
          <w:highlight w:val="none"/>
          <w:shd w:val="pct10" w:color="auto" w:fill="FFFFFF"/>
        </w:rPr>
      </w:pPr>
      <w:r>
        <w:rPr>
          <w:rFonts w:hint="eastAsia" w:ascii="宋体" w:hAnsi="宋体"/>
          <w:color w:val="auto"/>
          <w:szCs w:val="21"/>
          <w:highlight w:val="none"/>
        </w:rPr>
        <w:t>2.15、</w:t>
      </w:r>
      <w:r>
        <w:rPr>
          <w:rFonts w:hint="eastAsia" w:ascii="宋体" w:hAnsi="宋体"/>
          <w:b/>
          <w:bCs/>
          <w:color w:val="auto"/>
          <w:szCs w:val="21"/>
          <w:highlight w:val="none"/>
          <w:shd w:val="pct10" w:color="auto" w:fill="FFFFFF"/>
        </w:rPr>
        <w:t>未尽事宜请各投标人按评分细则制作。</w:t>
      </w:r>
    </w:p>
    <w:p>
      <w:pPr>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3、投标报价文件：</w:t>
      </w:r>
    </w:p>
    <w:p>
      <w:pPr>
        <w:tabs>
          <w:tab w:val="left" w:pos="3870"/>
          <w:tab w:val="left" w:pos="4085"/>
        </w:tabs>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3.1、投标函； </w:t>
      </w:r>
    </w:p>
    <w:p>
      <w:pPr>
        <w:tabs>
          <w:tab w:val="left" w:pos="3870"/>
          <w:tab w:val="left" w:pos="4085"/>
        </w:tabs>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3.2、开标一览表；</w:t>
      </w:r>
    </w:p>
    <w:p>
      <w:pPr>
        <w:tabs>
          <w:tab w:val="left" w:pos="3870"/>
          <w:tab w:val="left" w:pos="4085"/>
        </w:tabs>
        <w:snapToGrid w:val="0"/>
        <w:spacing w:line="360" w:lineRule="auto"/>
        <w:ind w:firstLine="420" w:firstLineChars="200"/>
        <w:jc w:val="left"/>
        <w:rPr>
          <w:rFonts w:ascii="宋体" w:hAnsi="宋体"/>
          <w:color w:val="auto"/>
          <w:szCs w:val="21"/>
          <w:highlight w:val="none"/>
        </w:rPr>
      </w:pPr>
      <w:r>
        <w:rPr>
          <w:rFonts w:hint="eastAsia" w:ascii="宋体" w:hAnsi="宋体" w:eastAsiaTheme="minorEastAsia"/>
          <w:color w:val="auto"/>
          <w:szCs w:val="21"/>
          <w:highlight w:val="none"/>
          <w:lang w:val="en-US" w:eastAsia="zh-CN"/>
        </w:rPr>
        <w:t>3.3、</w:t>
      </w:r>
      <w:r>
        <w:rPr>
          <w:rFonts w:hint="eastAsia" w:asciiTheme="minorEastAsia" w:hAnsiTheme="minorEastAsia" w:eastAsiaTheme="minorEastAsia"/>
          <w:color w:val="auto"/>
          <w:szCs w:val="21"/>
          <w:highlight w:val="none"/>
        </w:rPr>
        <w:t>中小企业声明函、残疾人福利性单位声明函及其他符合政策性条件的承诺函。</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4</w:t>
      </w:r>
      <w:r>
        <w:rPr>
          <w:rFonts w:hint="eastAsia" w:ascii="宋体" w:hAnsi="宋体"/>
          <w:color w:val="auto"/>
          <w:szCs w:val="21"/>
          <w:highlight w:val="none"/>
        </w:rPr>
        <w:t>、投标人针对报价需要说明的其他文件和说明。</w:t>
      </w:r>
    </w:p>
    <w:p>
      <w:pPr>
        <w:pStyle w:val="59"/>
        <w:rPr>
          <w:rFonts w:ascii="宋体" w:hAnsi="宋体"/>
          <w:b/>
          <w:color w:val="auto"/>
          <w:szCs w:val="21"/>
          <w:highlight w:val="none"/>
        </w:rPr>
      </w:pPr>
    </w:p>
    <w:bookmarkEnd w:id="186"/>
    <w:p>
      <w:pPr>
        <w:snapToGrid w:val="0"/>
        <w:spacing w:line="360" w:lineRule="auto"/>
        <w:ind w:firstLine="420" w:firstLineChars="200"/>
        <w:jc w:val="left"/>
        <w:outlineLvl w:val="1"/>
        <w:rPr>
          <w:rFonts w:ascii="宋体" w:hAnsi="宋体"/>
          <w:color w:val="auto"/>
          <w:szCs w:val="21"/>
          <w:highlight w:val="none"/>
        </w:rPr>
      </w:pPr>
      <w:bookmarkStart w:id="196" w:name="_Toc493511656"/>
      <w:bookmarkStart w:id="197" w:name="_Toc50012865"/>
      <w:bookmarkStart w:id="198" w:name="_Toc8745"/>
      <w:r>
        <w:rPr>
          <w:rFonts w:hint="eastAsia" w:ascii="宋体" w:hAnsi="宋体"/>
          <w:color w:val="auto"/>
          <w:szCs w:val="21"/>
          <w:highlight w:val="none"/>
        </w:rPr>
        <w:t>▲</w:t>
      </w:r>
      <w:r>
        <w:rPr>
          <w:rFonts w:ascii="宋体" w:hAnsi="宋体"/>
          <w:color w:val="auto"/>
          <w:szCs w:val="21"/>
          <w:highlight w:val="none"/>
        </w:rPr>
        <w:t>注：法定代表人授权委托书、投标声明书、投标函、开标一览表必须由法定代表人</w:t>
      </w:r>
      <w:r>
        <w:rPr>
          <w:rFonts w:hint="eastAsia" w:ascii="宋体" w:hAnsi="宋体"/>
          <w:color w:val="auto"/>
          <w:szCs w:val="21"/>
          <w:highlight w:val="none"/>
        </w:rPr>
        <w:t>或负责人或授权代表</w:t>
      </w:r>
      <w:r>
        <w:rPr>
          <w:rFonts w:ascii="宋体" w:hAnsi="宋体"/>
          <w:color w:val="auto"/>
          <w:szCs w:val="21"/>
          <w:highlight w:val="none"/>
        </w:rPr>
        <w:t>签名并加盖单位公章。</w:t>
      </w:r>
      <w:bookmarkEnd w:id="196"/>
      <w:bookmarkEnd w:id="197"/>
      <w:bookmarkEnd w:id="198"/>
    </w:p>
    <w:bookmarkEnd w:id="187"/>
    <w:bookmarkEnd w:id="188"/>
    <w:bookmarkEnd w:id="189"/>
    <w:bookmarkEnd w:id="190"/>
    <w:p>
      <w:pPr>
        <w:snapToGrid w:val="0"/>
        <w:spacing w:line="360" w:lineRule="auto"/>
        <w:ind w:firstLine="422" w:firstLineChars="200"/>
        <w:jc w:val="left"/>
        <w:outlineLvl w:val="0"/>
        <w:rPr>
          <w:rFonts w:ascii="宋体" w:hAnsi="宋体"/>
          <w:b/>
          <w:color w:val="auto"/>
          <w:szCs w:val="21"/>
          <w:highlight w:val="none"/>
        </w:rPr>
      </w:pPr>
      <w:bookmarkStart w:id="199" w:name="_Toc385854100"/>
      <w:bookmarkStart w:id="200" w:name="_Toc385854146"/>
      <w:bookmarkStart w:id="201" w:name="_Toc402963117"/>
      <w:bookmarkStart w:id="202" w:name="_Toc406402990"/>
      <w:bookmarkStart w:id="203" w:name="_Toc406402946"/>
      <w:bookmarkStart w:id="204" w:name="_Toc402963084"/>
      <w:bookmarkStart w:id="205" w:name="_Toc31513"/>
      <w:bookmarkStart w:id="206" w:name="_Toc33535360"/>
      <w:bookmarkStart w:id="207" w:name="_Toc50012866"/>
      <w:bookmarkStart w:id="208" w:name="_Toc493511751"/>
      <w:r>
        <w:rPr>
          <w:rFonts w:hint="eastAsia" w:ascii="宋体" w:hAnsi="宋体"/>
          <w:b/>
          <w:color w:val="auto"/>
          <w:szCs w:val="21"/>
          <w:highlight w:val="none"/>
        </w:rPr>
        <w:t>（二）投标文件的语言及计量</w:t>
      </w:r>
      <w:bookmarkEnd w:id="199"/>
      <w:bookmarkEnd w:id="200"/>
      <w:bookmarkEnd w:id="201"/>
      <w:bookmarkEnd w:id="202"/>
      <w:bookmarkEnd w:id="203"/>
      <w:bookmarkEnd w:id="204"/>
      <w:bookmarkEnd w:id="205"/>
      <w:bookmarkEnd w:id="206"/>
      <w:bookmarkEnd w:id="207"/>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22" w:firstLineChars="200"/>
        <w:jc w:val="left"/>
        <w:outlineLvl w:val="0"/>
        <w:rPr>
          <w:rFonts w:ascii="宋体" w:hAnsi="宋体"/>
          <w:b/>
          <w:color w:val="auto"/>
          <w:szCs w:val="21"/>
          <w:highlight w:val="none"/>
        </w:rPr>
      </w:pPr>
      <w:bookmarkStart w:id="209" w:name="_Toc406402947"/>
      <w:bookmarkStart w:id="210" w:name="_Toc385854101"/>
      <w:bookmarkStart w:id="211" w:name="_Toc402963118"/>
      <w:bookmarkStart w:id="212" w:name="_Toc385854147"/>
      <w:bookmarkStart w:id="213" w:name="_Toc50012867"/>
      <w:bookmarkStart w:id="214" w:name="_Toc402963085"/>
      <w:bookmarkStart w:id="215" w:name="_Toc33535361"/>
      <w:bookmarkStart w:id="216" w:name="_Toc18686"/>
      <w:bookmarkStart w:id="217" w:name="_Toc406402991"/>
      <w:r>
        <w:rPr>
          <w:rFonts w:hint="eastAsia" w:ascii="宋体" w:hAnsi="宋体"/>
          <w:b/>
          <w:color w:val="auto"/>
          <w:szCs w:val="21"/>
          <w:highlight w:val="none"/>
        </w:rPr>
        <w:t>（三）投标报价</w:t>
      </w:r>
      <w:bookmarkEnd w:id="209"/>
      <w:bookmarkEnd w:id="210"/>
      <w:bookmarkEnd w:id="211"/>
      <w:bookmarkEnd w:id="212"/>
      <w:bookmarkEnd w:id="213"/>
      <w:bookmarkEnd w:id="214"/>
      <w:bookmarkEnd w:id="215"/>
      <w:bookmarkEnd w:id="216"/>
      <w:bookmarkEnd w:id="217"/>
    </w:p>
    <w:p>
      <w:pPr>
        <w:pStyle w:val="26"/>
        <w:snapToGrid w:val="0"/>
        <w:spacing w:line="360" w:lineRule="auto"/>
        <w:ind w:firstLine="420" w:firstLineChars="200"/>
        <w:jc w:val="left"/>
        <w:rPr>
          <w:rFonts w:hAnsi="宋体"/>
          <w:color w:val="auto"/>
          <w:szCs w:val="21"/>
          <w:highlight w:val="none"/>
        </w:rPr>
      </w:pPr>
      <w:r>
        <w:rPr>
          <w:rFonts w:hAnsi="宋体"/>
          <w:color w:val="auto"/>
          <w:szCs w:val="21"/>
          <w:highlight w:val="none"/>
        </w:rPr>
        <w:t>1</w:t>
      </w:r>
      <w:r>
        <w:rPr>
          <w:rFonts w:hint="eastAsia" w:hAnsi="宋体"/>
          <w:color w:val="auto"/>
          <w:szCs w:val="21"/>
          <w:highlight w:val="none"/>
        </w:rPr>
        <w:t>、</w:t>
      </w:r>
      <w:r>
        <w:rPr>
          <w:rFonts w:hAnsi="宋体"/>
          <w:color w:val="auto"/>
          <w:szCs w:val="21"/>
          <w:highlight w:val="none"/>
        </w:rPr>
        <w:t>投标报价应按招标文件中相关附表格式填写。</w:t>
      </w:r>
    </w:p>
    <w:p>
      <w:pPr>
        <w:pStyle w:val="26"/>
        <w:snapToGrid w:val="0"/>
        <w:spacing w:line="360" w:lineRule="auto"/>
        <w:ind w:firstLine="420" w:firstLineChars="200"/>
        <w:jc w:val="left"/>
        <w:rPr>
          <w:rFonts w:hAnsi="宋体"/>
          <w:color w:val="auto"/>
          <w:szCs w:val="21"/>
          <w:highlight w:val="none"/>
        </w:rPr>
      </w:pPr>
      <w:r>
        <w:rPr>
          <w:rFonts w:hAnsi="宋体"/>
          <w:color w:val="auto"/>
          <w:szCs w:val="21"/>
          <w:highlight w:val="none"/>
        </w:rPr>
        <w:t>2</w:t>
      </w:r>
      <w:r>
        <w:rPr>
          <w:rFonts w:hint="eastAsia" w:hAnsi="宋体"/>
          <w:color w:val="auto"/>
          <w:szCs w:val="21"/>
          <w:highlight w:val="none"/>
        </w:rPr>
        <w:t>、</w:t>
      </w:r>
      <w:r>
        <w:rPr>
          <w:rFonts w:hint="eastAsia" w:hAnsi="宋体"/>
          <w:b/>
          <w:color w:val="auto"/>
          <w:szCs w:val="21"/>
          <w:highlight w:val="none"/>
        </w:rPr>
        <w:t>投标报价是指包括项目服务过程中的人员服务费、交通费、通讯费、餐费等所有费用。</w:t>
      </w:r>
    </w:p>
    <w:p>
      <w:pPr>
        <w:pStyle w:val="26"/>
        <w:snapToGrid w:val="0"/>
        <w:spacing w:line="360" w:lineRule="auto"/>
        <w:ind w:firstLine="420" w:firstLineChars="200"/>
        <w:jc w:val="left"/>
        <w:rPr>
          <w:rFonts w:hAnsi="宋体"/>
          <w:color w:val="auto"/>
          <w:szCs w:val="21"/>
          <w:highlight w:val="none"/>
        </w:rPr>
      </w:pPr>
      <w:r>
        <w:rPr>
          <w:rFonts w:hAnsi="宋体"/>
          <w:color w:val="auto"/>
          <w:szCs w:val="21"/>
          <w:highlight w:val="none"/>
        </w:rPr>
        <w:t>3</w:t>
      </w:r>
      <w:r>
        <w:rPr>
          <w:rFonts w:hint="eastAsia" w:hAnsi="宋体"/>
          <w:color w:val="auto"/>
          <w:szCs w:val="21"/>
          <w:highlight w:val="none"/>
        </w:rPr>
        <w:t>、</w:t>
      </w:r>
      <w:r>
        <w:rPr>
          <w:rFonts w:hAnsi="宋体"/>
          <w:color w:val="auto"/>
          <w:szCs w:val="21"/>
          <w:highlight w:val="none"/>
        </w:rPr>
        <w:t>投标文件只允许有一个报价，有选择的</w:t>
      </w:r>
      <w:r>
        <w:rPr>
          <w:rFonts w:hint="eastAsia" w:hAnsi="宋体"/>
          <w:color w:val="auto"/>
          <w:szCs w:val="21"/>
          <w:highlight w:val="none"/>
        </w:rPr>
        <w:t>或有条件的</w:t>
      </w:r>
      <w:r>
        <w:rPr>
          <w:rFonts w:hAnsi="宋体"/>
          <w:color w:val="auto"/>
          <w:szCs w:val="21"/>
          <w:highlight w:val="none"/>
        </w:rPr>
        <w:t>报价将不予接受。</w:t>
      </w:r>
    </w:p>
    <w:p>
      <w:pPr>
        <w:pStyle w:val="16"/>
        <w:widowControl w:val="0"/>
        <w:tabs>
          <w:tab w:val="clear" w:pos="454"/>
        </w:tabs>
        <w:snapToGrid w:val="0"/>
        <w:spacing w:afterLines="0" w:line="360" w:lineRule="auto"/>
        <w:ind w:left="0" w:firstLine="422" w:firstLineChars="200"/>
        <w:rPr>
          <w:rFonts w:ascii="宋体" w:hAnsi="宋体"/>
          <w:b/>
          <w:color w:val="auto"/>
          <w:sz w:val="21"/>
          <w:szCs w:val="21"/>
          <w:highlight w:val="none"/>
        </w:rPr>
      </w:pPr>
      <w:r>
        <w:rPr>
          <w:rFonts w:hint="eastAsia" w:ascii="宋体" w:hAnsi="宋体"/>
          <w:b/>
          <w:color w:val="auto"/>
          <w:sz w:val="21"/>
          <w:szCs w:val="21"/>
          <w:highlight w:val="none"/>
        </w:rPr>
        <w:t>（四）投标文件的有效期</w:t>
      </w:r>
    </w:p>
    <w:p>
      <w:pPr>
        <w:pStyle w:val="16"/>
        <w:widowControl w:val="0"/>
        <w:tabs>
          <w:tab w:val="left" w:pos="4500"/>
          <w:tab w:val="clear" w:pos="454"/>
        </w:tabs>
        <w:snapToGrid w:val="0"/>
        <w:spacing w:afterLines="0" w:line="360" w:lineRule="auto"/>
        <w:ind w:left="0" w:firstLine="420" w:firstLineChars="200"/>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w:t>
      </w:r>
      <w:r>
        <w:rPr>
          <w:rFonts w:ascii="宋体" w:hAnsi="宋体"/>
          <w:color w:val="auto"/>
          <w:sz w:val="21"/>
          <w:szCs w:val="21"/>
          <w:highlight w:val="none"/>
        </w:rPr>
        <w:t>自投标截止日起</w:t>
      </w:r>
      <w:r>
        <w:rPr>
          <w:rFonts w:hint="eastAsia" w:ascii="宋体" w:hAnsi="宋体"/>
          <w:color w:val="auto"/>
          <w:sz w:val="21"/>
          <w:szCs w:val="21"/>
          <w:highlight w:val="none"/>
          <w:u w:val="single"/>
        </w:rPr>
        <w:t>60</w:t>
      </w:r>
      <w:r>
        <w:rPr>
          <w:rFonts w:ascii="宋体" w:hAnsi="宋体"/>
          <w:color w:val="auto"/>
          <w:sz w:val="21"/>
          <w:szCs w:val="21"/>
          <w:highlight w:val="none"/>
        </w:rPr>
        <w:t>天投标</w:t>
      </w:r>
      <w:r>
        <w:rPr>
          <w:rFonts w:hint="eastAsia" w:ascii="宋体" w:hAnsi="宋体"/>
          <w:color w:val="auto"/>
          <w:sz w:val="21"/>
          <w:szCs w:val="21"/>
          <w:highlight w:val="none"/>
        </w:rPr>
        <w:t>文件</w:t>
      </w:r>
      <w:r>
        <w:rPr>
          <w:rFonts w:ascii="宋体" w:hAnsi="宋体"/>
          <w:color w:val="auto"/>
          <w:sz w:val="21"/>
          <w:szCs w:val="21"/>
          <w:highlight w:val="none"/>
        </w:rPr>
        <w:t>应保持有效。有效期</w:t>
      </w:r>
      <w:r>
        <w:rPr>
          <w:rFonts w:hint="eastAsia" w:ascii="宋体" w:hAnsi="宋体"/>
          <w:color w:val="auto"/>
          <w:sz w:val="21"/>
          <w:szCs w:val="21"/>
          <w:highlight w:val="none"/>
        </w:rPr>
        <w:t>不足</w:t>
      </w:r>
      <w:r>
        <w:rPr>
          <w:rFonts w:ascii="宋体" w:hAnsi="宋体"/>
          <w:color w:val="auto"/>
          <w:sz w:val="21"/>
          <w:szCs w:val="21"/>
          <w:highlight w:val="none"/>
        </w:rPr>
        <w:t>的投标</w:t>
      </w:r>
      <w:r>
        <w:rPr>
          <w:rFonts w:hint="eastAsia" w:ascii="宋体" w:hAnsi="宋体"/>
          <w:color w:val="auto"/>
          <w:sz w:val="21"/>
          <w:szCs w:val="21"/>
          <w:highlight w:val="none"/>
        </w:rPr>
        <w:t>文件</w:t>
      </w:r>
      <w:r>
        <w:rPr>
          <w:rFonts w:ascii="宋体" w:hAnsi="宋体"/>
          <w:color w:val="auto"/>
          <w:sz w:val="21"/>
          <w:szCs w:val="21"/>
          <w:highlight w:val="none"/>
        </w:rPr>
        <w:t>将被拒绝。</w:t>
      </w:r>
    </w:p>
    <w:p>
      <w:pPr>
        <w:pStyle w:val="16"/>
        <w:widowControl w:val="0"/>
        <w:tabs>
          <w:tab w:val="clear" w:pos="454"/>
        </w:tabs>
        <w:snapToGrid w:val="0"/>
        <w:spacing w:afterLines="0" w:line="360" w:lineRule="auto"/>
        <w:ind w:left="0" w:firstLine="420" w:firstLineChars="200"/>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w:t>
      </w:r>
      <w:r>
        <w:rPr>
          <w:rFonts w:ascii="宋体" w:hAnsi="宋体"/>
          <w:color w:val="auto"/>
          <w:sz w:val="21"/>
          <w:szCs w:val="21"/>
          <w:highlight w:val="none"/>
        </w:rPr>
        <w:t>在特殊情况下，</w:t>
      </w:r>
      <w:r>
        <w:rPr>
          <w:rFonts w:hint="eastAsia" w:ascii="宋体" w:hAnsi="宋体"/>
          <w:color w:val="auto"/>
          <w:sz w:val="21"/>
          <w:szCs w:val="21"/>
          <w:highlight w:val="none"/>
        </w:rPr>
        <w:t>采购人</w:t>
      </w:r>
      <w:r>
        <w:rPr>
          <w:rFonts w:ascii="宋体" w:hAnsi="宋体"/>
          <w:color w:val="auto"/>
          <w:sz w:val="21"/>
          <w:szCs w:val="21"/>
          <w:highlight w:val="none"/>
        </w:rPr>
        <w:t>可与投标人协商延长投标书的有效期，这种要求和答复均以书面形式进行。</w:t>
      </w:r>
    </w:p>
    <w:p>
      <w:pPr>
        <w:pStyle w:val="16"/>
        <w:widowControl w:val="0"/>
        <w:tabs>
          <w:tab w:val="left" w:pos="4500"/>
          <w:tab w:val="clear" w:pos="454"/>
        </w:tabs>
        <w:snapToGrid w:val="0"/>
        <w:spacing w:afterLines="0" w:line="360" w:lineRule="auto"/>
        <w:ind w:left="0" w:firstLine="420" w:firstLineChars="200"/>
        <w:rPr>
          <w:rFonts w:ascii="宋体" w:hAnsi="宋体"/>
          <w:color w:val="auto"/>
          <w:sz w:val="21"/>
          <w:szCs w:val="21"/>
          <w:highlight w:val="none"/>
        </w:rPr>
      </w:pPr>
      <w:bookmarkStart w:id="218" w:name="_Toc385854102"/>
      <w:bookmarkStart w:id="219" w:name="_Toc406402948"/>
      <w:bookmarkStart w:id="220" w:name="_Toc385854148"/>
      <w:bookmarkStart w:id="221" w:name="_Toc402963086"/>
      <w:bookmarkStart w:id="222" w:name="_Toc406402992"/>
      <w:bookmarkStart w:id="223" w:name="_Toc33535362"/>
      <w:bookmarkStart w:id="224" w:name="_Toc402963119"/>
      <w:bookmarkStart w:id="225" w:name="_Toc50012868"/>
      <w:r>
        <w:rPr>
          <w:rFonts w:ascii="宋体" w:hAnsi="宋体"/>
          <w:color w:val="auto"/>
          <w:sz w:val="21"/>
          <w:szCs w:val="21"/>
          <w:highlight w:val="none"/>
        </w:rPr>
        <w:t>3</w:t>
      </w:r>
      <w:r>
        <w:rPr>
          <w:rFonts w:hint="eastAsia" w:ascii="宋体" w:hAnsi="宋体"/>
          <w:color w:val="auto"/>
          <w:sz w:val="21"/>
          <w:szCs w:val="21"/>
          <w:highlight w:val="none"/>
        </w:rPr>
        <w:t>、</w:t>
      </w:r>
      <w:r>
        <w:rPr>
          <w:rFonts w:ascii="宋体" w:hAnsi="宋体"/>
          <w:color w:val="auto"/>
          <w:sz w:val="21"/>
          <w:szCs w:val="21"/>
          <w:highlight w:val="none"/>
        </w:rPr>
        <w:t>投标人可拒绝接受延期要求。同意延长有效期的投标人不能修改投标文件。</w:t>
      </w:r>
      <w:bookmarkEnd w:id="218"/>
      <w:bookmarkEnd w:id="219"/>
      <w:bookmarkEnd w:id="220"/>
      <w:bookmarkEnd w:id="221"/>
      <w:bookmarkEnd w:id="222"/>
      <w:bookmarkEnd w:id="223"/>
      <w:bookmarkEnd w:id="224"/>
      <w:bookmarkEnd w:id="225"/>
    </w:p>
    <w:p>
      <w:pPr>
        <w:pStyle w:val="16"/>
        <w:widowControl w:val="0"/>
        <w:tabs>
          <w:tab w:val="left" w:pos="4500"/>
          <w:tab w:val="clear" w:pos="454"/>
        </w:tabs>
        <w:snapToGrid w:val="0"/>
        <w:spacing w:afterLines="0" w:line="360" w:lineRule="auto"/>
        <w:ind w:left="0" w:firstLine="420" w:firstLineChars="200"/>
        <w:rPr>
          <w:rFonts w:ascii="宋体" w:hAnsi="宋体"/>
          <w:color w:val="auto"/>
          <w:sz w:val="21"/>
          <w:szCs w:val="21"/>
          <w:highlight w:val="none"/>
        </w:rPr>
      </w:pPr>
      <w:bookmarkStart w:id="226" w:name="_Toc385854103"/>
      <w:bookmarkStart w:id="227" w:name="_Toc402963120"/>
      <w:bookmarkStart w:id="228" w:name="_Toc402963087"/>
      <w:bookmarkStart w:id="229" w:name="_Toc406402949"/>
      <w:bookmarkStart w:id="230" w:name="_Toc406402993"/>
      <w:bookmarkStart w:id="231" w:name="_Toc385854149"/>
      <w:bookmarkStart w:id="232" w:name="_Toc33535363"/>
      <w:bookmarkStart w:id="233" w:name="_Toc50012869"/>
      <w:r>
        <w:rPr>
          <w:rFonts w:ascii="宋体" w:hAnsi="宋体"/>
          <w:color w:val="auto"/>
          <w:sz w:val="21"/>
          <w:szCs w:val="21"/>
          <w:highlight w:val="none"/>
        </w:rPr>
        <w:t>4</w:t>
      </w:r>
      <w:r>
        <w:rPr>
          <w:rFonts w:hint="eastAsia" w:ascii="宋体" w:hAnsi="宋体"/>
          <w:color w:val="auto"/>
          <w:sz w:val="21"/>
          <w:szCs w:val="21"/>
          <w:highlight w:val="none"/>
        </w:rPr>
        <w:t>、</w:t>
      </w:r>
      <w:r>
        <w:rPr>
          <w:rFonts w:ascii="宋体" w:hAnsi="宋体"/>
          <w:color w:val="auto"/>
          <w:sz w:val="21"/>
          <w:szCs w:val="21"/>
          <w:highlight w:val="none"/>
        </w:rPr>
        <w:t>中标人的投标文件自开标之日起至合同履行完毕止均应保持有效。</w:t>
      </w:r>
      <w:bookmarkEnd w:id="226"/>
      <w:bookmarkEnd w:id="227"/>
      <w:bookmarkEnd w:id="228"/>
      <w:bookmarkEnd w:id="229"/>
      <w:bookmarkEnd w:id="230"/>
      <w:bookmarkEnd w:id="231"/>
      <w:bookmarkEnd w:id="232"/>
      <w:bookmarkEnd w:id="233"/>
    </w:p>
    <w:p>
      <w:pPr>
        <w:snapToGrid w:val="0"/>
        <w:spacing w:line="360" w:lineRule="auto"/>
        <w:ind w:firstLine="422" w:firstLineChars="200"/>
        <w:jc w:val="left"/>
        <w:outlineLvl w:val="0"/>
        <w:rPr>
          <w:rFonts w:hint="eastAsia" w:ascii="宋体" w:hAnsi="宋体" w:eastAsia="宋体"/>
          <w:b/>
          <w:color w:val="auto"/>
          <w:szCs w:val="21"/>
          <w:highlight w:val="none"/>
          <w:lang w:eastAsia="zh-CN"/>
        </w:rPr>
      </w:pPr>
      <w:bookmarkStart w:id="234" w:name="_Toc385854105"/>
      <w:bookmarkStart w:id="235" w:name="_Toc402963122"/>
      <w:bookmarkStart w:id="236" w:name="_Toc402963089"/>
      <w:bookmarkStart w:id="237" w:name="_Toc406402951"/>
      <w:bookmarkStart w:id="238" w:name="_Toc16226"/>
      <w:bookmarkStart w:id="239" w:name="_Toc385854151"/>
      <w:bookmarkStart w:id="240" w:name="_Toc33535364"/>
      <w:bookmarkStart w:id="241" w:name="_Toc50012870"/>
      <w:bookmarkStart w:id="242" w:name="_Toc406402995"/>
      <w:r>
        <w:rPr>
          <w:rFonts w:hint="eastAsia" w:ascii="宋体" w:hAnsi="宋体"/>
          <w:b/>
          <w:color w:val="auto"/>
          <w:szCs w:val="21"/>
          <w:highlight w:val="none"/>
        </w:rPr>
        <w:t>（五）投标文件的签署和份数</w:t>
      </w:r>
      <w:bookmarkEnd w:id="234"/>
      <w:bookmarkEnd w:id="235"/>
      <w:bookmarkEnd w:id="236"/>
      <w:bookmarkEnd w:id="237"/>
      <w:bookmarkEnd w:id="238"/>
      <w:bookmarkEnd w:id="239"/>
      <w:bookmarkEnd w:id="240"/>
      <w:bookmarkEnd w:id="241"/>
      <w:bookmarkEnd w:id="242"/>
      <w:r>
        <w:rPr>
          <w:rFonts w:hint="eastAsia" w:ascii="宋体" w:hAnsi="宋体"/>
          <w:b/>
          <w:color w:val="auto"/>
          <w:szCs w:val="21"/>
          <w:highlight w:val="none"/>
          <w:lang w:eastAsia="zh-CN"/>
        </w:rPr>
        <w:t>（</w:t>
      </w:r>
      <w:r>
        <w:rPr>
          <w:rFonts w:hint="eastAsia" w:ascii="宋体" w:hAnsi="宋体"/>
          <w:b/>
          <w:color w:val="auto"/>
          <w:szCs w:val="21"/>
          <w:highlight w:val="none"/>
          <w:lang w:val="en-US" w:eastAsia="zh-CN"/>
        </w:rPr>
        <w:t>3个标项分别装订、密封</w:t>
      </w:r>
      <w:r>
        <w:rPr>
          <w:rFonts w:hint="eastAsia" w:ascii="宋体" w:hAnsi="宋体"/>
          <w:b/>
          <w:color w:val="auto"/>
          <w:szCs w:val="21"/>
          <w:highlight w:val="none"/>
          <w:lang w:eastAsia="zh-CN"/>
        </w:rPr>
        <w:t>）</w:t>
      </w:r>
    </w:p>
    <w:p>
      <w:pPr>
        <w:wordWrap w:val="0"/>
        <w:snapToGrid w:val="0"/>
        <w:spacing w:line="360" w:lineRule="auto"/>
        <w:ind w:firstLine="420" w:firstLineChars="200"/>
        <w:jc w:val="left"/>
        <w:rPr>
          <w:rFonts w:ascii="宋体" w:hAnsi="宋体"/>
          <w:color w:val="auto"/>
          <w:highlight w:val="none"/>
        </w:rPr>
      </w:pPr>
      <w:bookmarkStart w:id="243" w:name="_Toc33535368"/>
      <w:r>
        <w:rPr>
          <w:rFonts w:ascii="宋体" w:hAnsi="宋体"/>
          <w:color w:val="auto"/>
          <w:highlight w:val="none"/>
        </w:rPr>
        <w:t>1</w:t>
      </w:r>
      <w:r>
        <w:rPr>
          <w:rFonts w:hint="eastAsia" w:ascii="宋体" w:hAnsi="宋体"/>
          <w:color w:val="auto"/>
          <w:highlight w:val="none"/>
        </w:rPr>
        <w:t>、</w:t>
      </w:r>
      <w:r>
        <w:rPr>
          <w:rFonts w:ascii="宋体" w:hAnsi="宋体"/>
          <w:color w:val="auto"/>
          <w:highlight w:val="none"/>
        </w:rPr>
        <w:t>投标人应</w:t>
      </w:r>
      <w:r>
        <w:rPr>
          <w:rFonts w:hint="eastAsia" w:ascii="宋体" w:hAnsi="宋体"/>
          <w:color w:val="auto"/>
          <w:highlight w:val="none"/>
        </w:rPr>
        <w:t>按</w:t>
      </w:r>
      <w:r>
        <w:rPr>
          <w:rFonts w:ascii="宋体" w:hAnsi="宋体"/>
          <w:color w:val="auto"/>
          <w:highlight w:val="none"/>
        </w:rPr>
        <w:t>本招标文件规定的格式和顺序编制、装订投标文件</w:t>
      </w:r>
      <w:r>
        <w:rPr>
          <w:rFonts w:hint="eastAsia" w:ascii="宋体" w:hAnsi="宋体"/>
          <w:color w:val="auto"/>
          <w:highlight w:val="none"/>
        </w:rPr>
        <w:t>并标注页码</w:t>
      </w:r>
      <w:r>
        <w:rPr>
          <w:rFonts w:ascii="宋体" w:hAnsi="宋体"/>
          <w:color w:val="auto"/>
          <w:highlight w:val="none"/>
        </w:rPr>
        <w:t>，投标文件内容不完整、编排混乱导致投标文件被误读、漏读或者查找不到相关内容的，是投标人的责任。</w:t>
      </w:r>
    </w:p>
    <w:p>
      <w:pPr>
        <w:tabs>
          <w:tab w:val="left" w:pos="4820"/>
        </w:tabs>
        <w:wordWrap w:val="0"/>
        <w:snapToGrid w:val="0"/>
        <w:spacing w:line="360" w:lineRule="auto"/>
        <w:ind w:firstLine="420" w:firstLineChars="200"/>
        <w:jc w:val="left"/>
        <w:rPr>
          <w:rFonts w:ascii="宋体" w:hAnsi="宋体"/>
          <w:color w:val="auto"/>
          <w:highlight w:val="none"/>
        </w:rPr>
      </w:pPr>
      <w:r>
        <w:rPr>
          <w:rFonts w:ascii="宋体" w:hAnsi="宋体"/>
          <w:color w:val="auto"/>
          <w:highlight w:val="none"/>
        </w:rPr>
        <w:t>2</w:t>
      </w:r>
      <w:r>
        <w:rPr>
          <w:rFonts w:hint="eastAsia" w:ascii="宋体" w:hAnsi="宋体"/>
          <w:color w:val="auto"/>
          <w:highlight w:val="none"/>
        </w:rPr>
        <w:t>、</w:t>
      </w:r>
      <w:r>
        <w:rPr>
          <w:rFonts w:hint="eastAsia" w:ascii="Calibri" w:hAnsi="Calibri"/>
          <w:color w:val="auto"/>
          <w:sz w:val="22"/>
          <w:highlight w:val="none"/>
        </w:rPr>
        <w:t>▲</w:t>
      </w:r>
      <w:r>
        <w:rPr>
          <w:rFonts w:ascii="宋体" w:hAnsi="宋体"/>
          <w:color w:val="auto"/>
          <w:highlight w:val="none"/>
        </w:rPr>
        <w:t>投标人应按</w:t>
      </w:r>
      <w:r>
        <w:rPr>
          <w:rFonts w:hint="eastAsia" w:ascii="宋体" w:hAnsi="宋体"/>
          <w:color w:val="auto"/>
          <w:highlight w:val="none"/>
        </w:rPr>
        <w:t>资信技术部份、投标报价文件的顺序分别装订成册，资信商务文件、技术文件可装订在一起），</w:t>
      </w:r>
      <w:r>
        <w:rPr>
          <w:rFonts w:hint="eastAsia" w:ascii="宋体" w:hAnsi="宋体"/>
          <w:b/>
          <w:color w:val="auto"/>
          <w:highlight w:val="none"/>
          <w:u w:val="single"/>
        </w:rPr>
        <w:t>投标报价文件单独装订成册</w:t>
      </w:r>
      <w:r>
        <w:rPr>
          <w:rFonts w:hint="eastAsia" w:ascii="宋体" w:hAnsi="宋体"/>
          <w:color w:val="auto"/>
          <w:highlight w:val="none"/>
        </w:rPr>
        <w:t>。所有投标文件正本各</w:t>
      </w:r>
      <w:r>
        <w:rPr>
          <w:rFonts w:hint="eastAsia" w:ascii="宋体" w:hAnsi="宋体"/>
          <w:color w:val="auto"/>
          <w:highlight w:val="none"/>
          <w:u w:val="single"/>
        </w:rPr>
        <w:t xml:space="preserve"> 1</w:t>
      </w:r>
      <w:r>
        <w:rPr>
          <w:rFonts w:hint="eastAsia" w:ascii="宋体" w:hAnsi="宋体"/>
          <w:color w:val="auto"/>
          <w:highlight w:val="none"/>
        </w:rPr>
        <w:t>份，副本各</w:t>
      </w:r>
      <w:r>
        <w:rPr>
          <w:rFonts w:hint="eastAsia" w:ascii="宋体" w:hAnsi="宋体"/>
          <w:color w:val="auto"/>
          <w:highlight w:val="none"/>
          <w:u w:val="single"/>
        </w:rPr>
        <w:t>4</w:t>
      </w:r>
      <w:r>
        <w:rPr>
          <w:rFonts w:hint="eastAsia" w:ascii="宋体" w:hAnsi="宋体"/>
          <w:color w:val="auto"/>
          <w:highlight w:val="none"/>
        </w:rPr>
        <w:t>份。投标文件的封面应注明“正本”、“副本”字样。未装订的投标文件将被拒绝。</w:t>
      </w:r>
    </w:p>
    <w:p>
      <w:pPr>
        <w:wordWrap w:val="0"/>
        <w:snapToGrid w:val="0"/>
        <w:spacing w:line="360" w:lineRule="auto"/>
        <w:ind w:firstLine="420" w:firstLineChars="200"/>
        <w:jc w:val="left"/>
        <w:rPr>
          <w:rFonts w:ascii="宋体" w:hAnsi="宋体"/>
          <w:color w:val="auto"/>
          <w:highlight w:val="none"/>
        </w:rPr>
      </w:pPr>
      <w:r>
        <w:rPr>
          <w:rFonts w:ascii="宋体" w:hAnsi="宋体"/>
          <w:color w:val="auto"/>
          <w:highlight w:val="none"/>
        </w:rPr>
        <w:t>3</w:t>
      </w:r>
      <w:r>
        <w:rPr>
          <w:rFonts w:hint="eastAsia" w:ascii="宋体" w:hAnsi="宋体"/>
          <w:color w:val="auto"/>
          <w:highlight w:val="none"/>
        </w:rPr>
        <w:t>、</w:t>
      </w:r>
      <w:r>
        <w:rPr>
          <w:rFonts w:ascii="宋体" w:hAnsi="宋体"/>
          <w:color w:val="auto"/>
          <w:highlight w:val="none"/>
        </w:rPr>
        <w:t>投标文件的正本需打印或用不褪色的墨水填写，投标文件正本除本</w:t>
      </w:r>
      <w:r>
        <w:rPr>
          <w:rFonts w:hint="eastAsia" w:ascii="宋体" w:hAnsi="宋体"/>
          <w:color w:val="auto"/>
          <w:highlight w:val="none"/>
        </w:rPr>
        <w:t>《</w:t>
      </w:r>
      <w:r>
        <w:rPr>
          <w:rFonts w:ascii="宋体" w:hAnsi="宋体"/>
          <w:color w:val="auto"/>
          <w:highlight w:val="none"/>
        </w:rPr>
        <w:t>投标人须知</w:t>
      </w:r>
      <w:r>
        <w:rPr>
          <w:rFonts w:hint="eastAsia" w:ascii="宋体" w:hAnsi="宋体"/>
          <w:color w:val="auto"/>
          <w:highlight w:val="none"/>
        </w:rPr>
        <w:t>》</w:t>
      </w:r>
      <w:r>
        <w:rPr>
          <w:rFonts w:ascii="宋体" w:hAnsi="宋体"/>
          <w:color w:val="auto"/>
          <w:highlight w:val="none"/>
        </w:rPr>
        <w:t>中规定的可提供复印件外均须提供原件。副本为正本的复印件。</w:t>
      </w:r>
    </w:p>
    <w:p>
      <w:pPr>
        <w:wordWrap w:val="0"/>
        <w:snapToGrid w:val="0"/>
        <w:spacing w:line="360" w:lineRule="auto"/>
        <w:ind w:firstLine="420" w:firstLineChars="200"/>
        <w:jc w:val="left"/>
        <w:rPr>
          <w:rFonts w:ascii="宋体" w:hAnsi="宋体"/>
          <w:color w:val="auto"/>
          <w:highlight w:val="none"/>
        </w:rPr>
      </w:pPr>
      <w:r>
        <w:rPr>
          <w:rFonts w:ascii="宋体" w:hAnsi="宋体"/>
          <w:color w:val="auto"/>
          <w:highlight w:val="none"/>
        </w:rPr>
        <w:t>4</w:t>
      </w:r>
      <w:r>
        <w:rPr>
          <w:rFonts w:hint="eastAsia" w:ascii="宋体" w:hAnsi="宋体"/>
          <w:color w:val="auto"/>
          <w:highlight w:val="none"/>
        </w:rPr>
        <w:t>、</w:t>
      </w:r>
      <w:r>
        <w:rPr>
          <w:rFonts w:hint="eastAsia" w:ascii="Calibri" w:hAnsi="Calibri"/>
          <w:color w:val="auto"/>
          <w:sz w:val="22"/>
          <w:highlight w:val="none"/>
        </w:rPr>
        <w:t>▲</w:t>
      </w:r>
      <w:r>
        <w:rPr>
          <w:rFonts w:ascii="宋体" w:hAnsi="宋体"/>
          <w:color w:val="auto"/>
          <w:highlight w:val="none"/>
        </w:rPr>
        <w:t>投标文件须由投标人在规定位置盖章并由法定代表人或法定代表</w:t>
      </w:r>
      <w:r>
        <w:rPr>
          <w:rFonts w:hint="eastAsia" w:ascii="宋体" w:hAnsi="宋体"/>
          <w:color w:val="auto"/>
          <w:highlight w:val="none"/>
        </w:rPr>
        <w:t>人的</w:t>
      </w:r>
      <w:r>
        <w:rPr>
          <w:rFonts w:ascii="宋体" w:hAnsi="宋体"/>
          <w:color w:val="auto"/>
          <w:highlight w:val="none"/>
        </w:rPr>
        <w:t>授权</w:t>
      </w:r>
      <w:r>
        <w:rPr>
          <w:rFonts w:hint="eastAsia" w:ascii="宋体" w:hAnsi="宋体"/>
          <w:color w:val="auto"/>
          <w:highlight w:val="none"/>
        </w:rPr>
        <w:t>委托</w:t>
      </w:r>
      <w:r>
        <w:rPr>
          <w:rFonts w:ascii="宋体" w:hAnsi="宋体"/>
          <w:color w:val="auto"/>
          <w:highlight w:val="none"/>
        </w:rPr>
        <w:t>人签署，投标人应写全称。</w:t>
      </w:r>
    </w:p>
    <w:p>
      <w:pPr>
        <w:snapToGrid w:val="0"/>
        <w:spacing w:line="360" w:lineRule="auto"/>
        <w:ind w:firstLine="420" w:firstLineChars="200"/>
        <w:jc w:val="left"/>
        <w:outlineLvl w:val="0"/>
        <w:rPr>
          <w:rFonts w:hint="eastAsia" w:ascii="宋体" w:hAnsi="宋体" w:eastAsia="宋体"/>
          <w:color w:val="auto"/>
          <w:highlight w:val="none"/>
          <w:lang w:eastAsia="zh-CN"/>
        </w:rPr>
      </w:pPr>
      <w:r>
        <w:rPr>
          <w:rFonts w:ascii="宋体" w:hAnsi="宋体"/>
          <w:color w:val="auto"/>
          <w:highlight w:val="none"/>
        </w:rPr>
        <w:t>5</w:t>
      </w:r>
      <w:r>
        <w:rPr>
          <w:rFonts w:hint="eastAsia" w:ascii="宋体" w:hAnsi="宋体"/>
          <w:color w:val="auto"/>
          <w:highlight w:val="none"/>
        </w:rPr>
        <w:t>、</w:t>
      </w:r>
      <w:r>
        <w:rPr>
          <w:rFonts w:hint="eastAsia" w:ascii="Calibri" w:hAnsi="Calibri"/>
          <w:color w:val="auto"/>
          <w:sz w:val="22"/>
          <w:highlight w:val="none"/>
        </w:rPr>
        <w:t>▲</w:t>
      </w:r>
      <w:r>
        <w:rPr>
          <w:rFonts w:ascii="宋体" w:hAnsi="宋体"/>
          <w:color w:val="auto"/>
          <w:highlight w:val="none"/>
        </w:rPr>
        <w:t>投标文件不得涂改，若有修改错漏处，须加盖单位公章或者法定代表人或法定代表</w:t>
      </w:r>
      <w:r>
        <w:rPr>
          <w:rFonts w:hint="eastAsia" w:ascii="宋体" w:hAnsi="宋体"/>
          <w:color w:val="auto"/>
          <w:highlight w:val="none"/>
        </w:rPr>
        <w:t>人的</w:t>
      </w:r>
      <w:r>
        <w:rPr>
          <w:rFonts w:ascii="宋体" w:hAnsi="宋体"/>
          <w:color w:val="auto"/>
          <w:highlight w:val="none"/>
        </w:rPr>
        <w:t>授权委托人签字或盖章。投标文件因字迹潦草或表达不清所引起的后果由投标人负责。</w:t>
      </w:r>
    </w:p>
    <w:p>
      <w:pPr>
        <w:wordWrap w:val="0"/>
        <w:spacing w:line="360" w:lineRule="auto"/>
        <w:ind w:firstLine="413" w:firstLineChars="196"/>
        <w:rPr>
          <w:rFonts w:hint="eastAsia" w:ascii="宋体" w:hAnsi="宋体" w:eastAsia="宋体"/>
          <w:b/>
          <w:color w:val="auto"/>
          <w:szCs w:val="21"/>
          <w:highlight w:val="none"/>
          <w:lang w:eastAsia="zh-CN"/>
        </w:rPr>
      </w:pPr>
      <w:r>
        <w:rPr>
          <w:rFonts w:hint="eastAsia" w:ascii="宋体" w:hAnsi="宋体"/>
          <w:b/>
          <w:color w:val="auto"/>
          <w:szCs w:val="21"/>
          <w:highlight w:val="none"/>
        </w:rPr>
        <w:t>（六）投标文件的包装、递交、修改和撤回</w:t>
      </w:r>
      <w:r>
        <w:rPr>
          <w:rFonts w:hint="eastAsia" w:ascii="宋体" w:hAnsi="宋体"/>
          <w:b/>
          <w:color w:val="auto"/>
          <w:szCs w:val="21"/>
          <w:highlight w:val="none"/>
          <w:lang w:eastAsia="zh-CN"/>
        </w:rPr>
        <w:t>（</w:t>
      </w:r>
      <w:r>
        <w:rPr>
          <w:rFonts w:hint="eastAsia" w:ascii="宋体" w:hAnsi="宋体"/>
          <w:b/>
          <w:color w:val="auto"/>
          <w:szCs w:val="21"/>
          <w:highlight w:val="none"/>
          <w:lang w:val="en-US" w:eastAsia="zh-CN"/>
        </w:rPr>
        <w:t>3个标项分别包装</w:t>
      </w:r>
      <w:r>
        <w:rPr>
          <w:rFonts w:hint="eastAsia" w:ascii="宋体" w:hAnsi="宋体"/>
          <w:b/>
          <w:color w:val="auto"/>
          <w:szCs w:val="21"/>
          <w:highlight w:val="none"/>
          <w:lang w:eastAsia="zh-CN"/>
        </w:rPr>
        <w:t>）</w:t>
      </w:r>
    </w:p>
    <w:p>
      <w:pPr>
        <w:wordWrap w:val="0"/>
        <w:snapToGrid w:val="0"/>
        <w:spacing w:line="360" w:lineRule="auto"/>
        <w:ind w:firstLine="420" w:firstLineChars="200"/>
        <w:jc w:val="left"/>
        <w:rPr>
          <w:rFonts w:ascii="宋体" w:hAnsi="宋体"/>
          <w:color w:val="auto"/>
          <w:highlight w:val="none"/>
        </w:rPr>
      </w:pPr>
      <w:r>
        <w:rPr>
          <w:rFonts w:hint="eastAsia" w:ascii="宋体" w:hAnsi="宋体"/>
          <w:color w:val="auto"/>
          <w:highlight w:val="none"/>
        </w:rPr>
        <w:t>1、投标人应按资信技术文件和报价文件二部分分别密封封装投标文件(报价文件单独密封）。投标文件的包装封面上应注明投标人名称、投标人地址、投标文件名称（资信技术文件、报价文件等）、投标项目名称、项目编号、标项及“开标时启封”字样，并加投标人公章。</w:t>
      </w:r>
    </w:p>
    <w:p>
      <w:pPr>
        <w:wordWrap w:val="0"/>
        <w:snapToGrid w:val="0"/>
        <w:spacing w:line="360" w:lineRule="auto"/>
        <w:ind w:firstLine="420" w:firstLineChars="200"/>
        <w:jc w:val="left"/>
        <w:rPr>
          <w:rFonts w:ascii="宋体" w:hAnsi="宋体"/>
          <w:color w:val="auto"/>
          <w:highlight w:val="none"/>
        </w:rPr>
      </w:pPr>
      <w:r>
        <w:rPr>
          <w:rFonts w:hint="eastAsia" w:ascii="宋体" w:hAnsi="宋体"/>
          <w:color w:val="auto"/>
          <w:highlight w:val="none"/>
        </w:rPr>
        <w:t>2、未按规定密封或标记的投标文件将被拒绝，由此造成投标文件被误投或提前拆封的风险由投标人承担。</w:t>
      </w:r>
    </w:p>
    <w:p>
      <w:pPr>
        <w:wordWrap w:val="0"/>
        <w:snapToGrid w:val="0"/>
        <w:spacing w:line="360" w:lineRule="auto"/>
        <w:ind w:firstLine="420" w:firstLineChars="200"/>
        <w:jc w:val="left"/>
        <w:rPr>
          <w:rFonts w:ascii="宋体" w:hAnsi="宋体"/>
          <w:color w:val="auto"/>
          <w:highlight w:val="none"/>
        </w:rPr>
      </w:pPr>
      <w:r>
        <w:rPr>
          <w:rFonts w:hint="eastAsia" w:ascii="宋体" w:hAnsi="宋体"/>
          <w:color w:val="auto"/>
          <w:highlight w:val="none"/>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line="360" w:lineRule="auto"/>
        <w:ind w:firstLine="422" w:firstLineChars="200"/>
        <w:jc w:val="left"/>
        <w:outlineLvl w:val="0"/>
        <w:rPr>
          <w:rFonts w:ascii="宋体" w:hAnsi="宋体"/>
          <w:b/>
          <w:color w:val="auto"/>
          <w:szCs w:val="21"/>
          <w:highlight w:val="none"/>
        </w:rPr>
      </w:pPr>
      <w:bookmarkStart w:id="244" w:name="_Toc7277"/>
      <w:bookmarkStart w:id="245" w:name="_Toc50012882"/>
      <w:r>
        <w:rPr>
          <w:rFonts w:hint="eastAsia" w:ascii="宋体" w:hAnsi="宋体"/>
          <w:b/>
          <w:color w:val="auto"/>
          <w:szCs w:val="21"/>
          <w:highlight w:val="none"/>
        </w:rPr>
        <w:t>（七）投标无效的情形</w:t>
      </w:r>
      <w:bookmarkEnd w:id="243"/>
      <w:bookmarkEnd w:id="244"/>
      <w:bookmarkEnd w:id="245"/>
    </w:p>
    <w:p>
      <w:pPr>
        <w:wordWrap w:val="0"/>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3之前查核原件。限期内不补正或经补正后仍不符合招标文件要求的，应认定其投标无效。投标人修改、补正投标文件后，不影响评标委员会对其投标文件所作的评价和评分结果。</w:t>
      </w:r>
    </w:p>
    <w:p>
      <w:pPr>
        <w:wordWrap w:val="0"/>
        <w:snapToGrid w:val="0"/>
        <w:spacing w:line="360" w:lineRule="auto"/>
        <w:ind w:firstLine="422" w:firstLineChars="200"/>
        <w:rPr>
          <w:rFonts w:ascii="宋体" w:hAnsi="宋体"/>
          <w:b/>
          <w:color w:val="auto"/>
          <w:szCs w:val="21"/>
          <w:highlight w:val="none"/>
        </w:rPr>
      </w:pPr>
      <w:r>
        <w:rPr>
          <w:rFonts w:ascii="宋体" w:hAnsi="宋体"/>
          <w:b/>
          <w:color w:val="auto"/>
          <w:szCs w:val="21"/>
          <w:highlight w:val="none"/>
        </w:rPr>
        <w:t>1</w:t>
      </w:r>
      <w:r>
        <w:rPr>
          <w:rFonts w:hint="eastAsia" w:ascii="宋体" w:hAnsi="宋体"/>
          <w:b/>
          <w:color w:val="auto"/>
          <w:szCs w:val="21"/>
          <w:highlight w:val="none"/>
        </w:rPr>
        <w:t>、</w:t>
      </w:r>
      <w:r>
        <w:rPr>
          <w:rFonts w:ascii="宋体" w:hAnsi="宋体"/>
          <w:b/>
          <w:color w:val="auto"/>
          <w:szCs w:val="21"/>
          <w:highlight w:val="none"/>
        </w:rPr>
        <w:t>在符合性审查和商务评审时，如发现下列情形之一的，投标文件将被视为无效：</w:t>
      </w:r>
    </w:p>
    <w:p>
      <w:pPr>
        <w:wordWrap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资信技术文件中出现报价的；</w:t>
      </w:r>
    </w:p>
    <w:p>
      <w:pPr>
        <w:wordWrap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）资格证明文件不全的，或者不符合招标文件标明的资格要求的</w:t>
      </w:r>
    </w:p>
    <w:p>
      <w:pPr>
        <w:wordWrap w:val="0"/>
        <w:snapToGrid w:val="0"/>
        <w:spacing w:line="360" w:lineRule="auto"/>
        <w:ind w:firstLine="411" w:firstLineChars="196"/>
        <w:rPr>
          <w:rFonts w:ascii="宋体" w:hAnsi="宋体"/>
          <w:bCs/>
          <w:color w:val="auto"/>
          <w:kern w:val="0"/>
          <w:szCs w:val="21"/>
          <w:highlight w:val="none"/>
        </w:rPr>
      </w:pPr>
      <w:r>
        <w:rPr>
          <w:rFonts w:hint="eastAsia" w:ascii="宋体" w:hAnsi="宋体"/>
          <w:color w:val="auto"/>
          <w:szCs w:val="21"/>
          <w:highlight w:val="none"/>
        </w:rPr>
        <w:t>（3</w:t>
      </w:r>
      <w:r>
        <w:rPr>
          <w:rFonts w:ascii="宋体" w:hAnsi="宋体"/>
          <w:color w:val="auto"/>
          <w:szCs w:val="21"/>
          <w:highlight w:val="none"/>
        </w:rPr>
        <w:t>）投标文件无法定代表人签字</w:t>
      </w:r>
      <w:r>
        <w:rPr>
          <w:rFonts w:hint="eastAsia" w:ascii="宋体" w:hAnsi="宋体"/>
          <w:color w:val="auto"/>
          <w:szCs w:val="21"/>
          <w:highlight w:val="none"/>
        </w:rPr>
        <w:t>（或盖章）</w:t>
      </w:r>
      <w:r>
        <w:rPr>
          <w:rFonts w:ascii="宋体" w:hAnsi="宋体"/>
          <w:color w:val="auto"/>
          <w:szCs w:val="21"/>
          <w:highlight w:val="none"/>
        </w:rPr>
        <w:t>,或未</w:t>
      </w:r>
      <w:r>
        <w:rPr>
          <w:rFonts w:hint="eastAsia" w:ascii="宋体" w:hAnsi="宋体"/>
          <w:bCs/>
          <w:color w:val="auto"/>
          <w:kern w:val="0"/>
          <w:szCs w:val="21"/>
          <w:highlight w:val="none"/>
        </w:rPr>
        <w:t>提供法定代表人授权委托书、投标声明书或者填写项目不齐全的；</w:t>
      </w:r>
    </w:p>
    <w:p>
      <w:pPr>
        <w:wordWrap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投标代表人未能出具身份证明或与法定代表人授权委托人身份不符的；</w:t>
      </w:r>
    </w:p>
    <w:p>
      <w:pPr>
        <w:pStyle w:val="8"/>
        <w:wordWrap w:val="0"/>
        <w:snapToGrid w:val="0"/>
        <w:spacing w:line="360" w:lineRule="auto"/>
        <w:ind w:firstLine="395" w:firstLineChars="196"/>
        <w:rPr>
          <w:rFonts w:hAnsi="宋体"/>
          <w:snapToGrid w:val="0"/>
          <w:color w:val="auto"/>
          <w:sz w:val="21"/>
          <w:szCs w:val="21"/>
          <w:highlight w:val="none"/>
        </w:rPr>
      </w:pPr>
      <w:r>
        <w:rPr>
          <w:rFonts w:hAnsi="宋体"/>
          <w:color w:val="auto"/>
          <w:sz w:val="21"/>
          <w:szCs w:val="21"/>
          <w:highlight w:val="none"/>
        </w:rPr>
        <w:t>（</w:t>
      </w:r>
      <w:r>
        <w:rPr>
          <w:rFonts w:hint="eastAsia" w:hAnsi="宋体"/>
          <w:snapToGrid w:val="0"/>
          <w:color w:val="auto"/>
          <w:sz w:val="21"/>
          <w:szCs w:val="21"/>
          <w:highlight w:val="none"/>
        </w:rPr>
        <w:t>5</w:t>
      </w:r>
      <w:r>
        <w:rPr>
          <w:rFonts w:hAnsi="宋体"/>
          <w:snapToGrid w:val="0"/>
          <w:color w:val="auto"/>
          <w:sz w:val="21"/>
          <w:szCs w:val="21"/>
          <w:highlight w:val="none"/>
        </w:rPr>
        <w:t>）</w:t>
      </w:r>
      <w:r>
        <w:rPr>
          <w:rFonts w:hAnsi="宋体"/>
          <w:color w:val="auto"/>
          <w:sz w:val="21"/>
          <w:szCs w:val="21"/>
          <w:highlight w:val="none"/>
        </w:rPr>
        <w:t>投标文件格式不规范、项目不齐全或者内容虚假的；</w:t>
      </w:r>
    </w:p>
    <w:p>
      <w:pPr>
        <w:pStyle w:val="8"/>
        <w:wordWrap w:val="0"/>
        <w:snapToGrid w:val="0"/>
        <w:spacing w:line="360" w:lineRule="auto"/>
        <w:ind w:firstLine="395" w:firstLineChars="196"/>
        <w:rPr>
          <w:rFonts w:hAnsi="宋体"/>
          <w:snapToGrid w:val="0"/>
          <w:color w:val="auto"/>
          <w:sz w:val="21"/>
          <w:szCs w:val="21"/>
          <w:highlight w:val="none"/>
        </w:rPr>
      </w:pPr>
      <w:r>
        <w:rPr>
          <w:rFonts w:hAnsi="宋体"/>
          <w:color w:val="auto"/>
          <w:sz w:val="21"/>
          <w:szCs w:val="21"/>
          <w:highlight w:val="none"/>
        </w:rPr>
        <w:t>（</w:t>
      </w:r>
      <w:r>
        <w:rPr>
          <w:rFonts w:hint="eastAsia" w:hAnsi="宋体"/>
          <w:color w:val="auto"/>
          <w:sz w:val="21"/>
          <w:szCs w:val="21"/>
          <w:highlight w:val="none"/>
        </w:rPr>
        <w:t>6</w:t>
      </w:r>
      <w:r>
        <w:rPr>
          <w:rFonts w:hAnsi="宋体"/>
          <w:color w:val="auto"/>
          <w:sz w:val="21"/>
          <w:szCs w:val="21"/>
          <w:highlight w:val="none"/>
        </w:rPr>
        <w:t>）投标文件的实质性内容未使用中文表述、意思表述不明确、前后矛盾或者使用计量单位不符合招标文件要求的（经评标委员会认定</w:t>
      </w:r>
      <w:r>
        <w:rPr>
          <w:rFonts w:hint="eastAsia" w:hAnsi="宋体"/>
          <w:color w:val="auto"/>
          <w:sz w:val="21"/>
          <w:szCs w:val="21"/>
          <w:highlight w:val="none"/>
        </w:rPr>
        <w:t>并</w:t>
      </w:r>
      <w:r>
        <w:rPr>
          <w:rFonts w:hAnsi="宋体"/>
          <w:color w:val="auto"/>
          <w:sz w:val="21"/>
          <w:szCs w:val="21"/>
          <w:highlight w:val="none"/>
        </w:rPr>
        <w:t>允许其当场更正的笔误除外）</w:t>
      </w:r>
    </w:p>
    <w:p>
      <w:pPr>
        <w:pStyle w:val="8"/>
        <w:wordWrap w:val="0"/>
        <w:snapToGrid w:val="0"/>
        <w:spacing w:line="360" w:lineRule="auto"/>
        <w:ind w:firstLine="395" w:firstLineChars="196"/>
        <w:rPr>
          <w:rFonts w:hAnsi="宋体"/>
          <w:snapToGrid w:val="0"/>
          <w:color w:val="auto"/>
          <w:sz w:val="21"/>
          <w:szCs w:val="21"/>
          <w:highlight w:val="none"/>
        </w:rPr>
      </w:pPr>
      <w:r>
        <w:rPr>
          <w:rFonts w:hAnsi="宋体"/>
          <w:color w:val="auto"/>
          <w:sz w:val="21"/>
          <w:szCs w:val="21"/>
          <w:highlight w:val="none"/>
        </w:rPr>
        <w:t>（</w:t>
      </w:r>
      <w:r>
        <w:rPr>
          <w:rFonts w:hint="eastAsia" w:hAnsi="宋体"/>
          <w:snapToGrid w:val="0"/>
          <w:color w:val="auto"/>
          <w:sz w:val="21"/>
          <w:szCs w:val="21"/>
          <w:highlight w:val="none"/>
        </w:rPr>
        <w:t>7</w:t>
      </w:r>
      <w:r>
        <w:rPr>
          <w:rFonts w:hAnsi="宋体"/>
          <w:snapToGrid w:val="0"/>
          <w:color w:val="auto"/>
          <w:sz w:val="21"/>
          <w:szCs w:val="21"/>
          <w:highlight w:val="none"/>
        </w:rPr>
        <w:t>）投标有效期、交货时间、质保期等商务条款不能满足招标文件要求的；</w:t>
      </w:r>
    </w:p>
    <w:p>
      <w:pPr>
        <w:pStyle w:val="8"/>
        <w:wordWrap w:val="0"/>
        <w:snapToGrid w:val="0"/>
        <w:spacing w:line="360" w:lineRule="auto"/>
        <w:ind w:firstLine="395" w:firstLineChars="196"/>
        <w:rPr>
          <w:rFonts w:hAnsi="宋体"/>
          <w:color w:val="auto"/>
          <w:sz w:val="21"/>
          <w:szCs w:val="21"/>
          <w:highlight w:val="none"/>
        </w:rPr>
      </w:pPr>
      <w:r>
        <w:rPr>
          <w:rFonts w:hAnsi="宋体"/>
          <w:color w:val="auto"/>
          <w:sz w:val="21"/>
          <w:szCs w:val="21"/>
          <w:highlight w:val="none"/>
        </w:rPr>
        <w:t>（</w:t>
      </w:r>
      <w:r>
        <w:rPr>
          <w:rFonts w:hint="eastAsia" w:hAnsi="宋体"/>
          <w:color w:val="auto"/>
          <w:sz w:val="21"/>
          <w:szCs w:val="21"/>
          <w:highlight w:val="none"/>
        </w:rPr>
        <w:t>8</w:t>
      </w:r>
      <w:r>
        <w:rPr>
          <w:rFonts w:hAnsi="宋体"/>
          <w:color w:val="auto"/>
          <w:sz w:val="21"/>
          <w:szCs w:val="21"/>
          <w:highlight w:val="none"/>
        </w:rPr>
        <w:t>）</w:t>
      </w:r>
      <w:r>
        <w:rPr>
          <w:rFonts w:hint="eastAsia" w:hAnsi="宋体"/>
          <w:color w:val="auto"/>
          <w:sz w:val="21"/>
          <w:szCs w:val="21"/>
          <w:highlight w:val="none"/>
        </w:rPr>
        <w:t>未实质性</w:t>
      </w:r>
      <w:r>
        <w:rPr>
          <w:rFonts w:hAnsi="宋体"/>
          <w:color w:val="auto"/>
          <w:sz w:val="21"/>
          <w:szCs w:val="21"/>
          <w:highlight w:val="none"/>
        </w:rPr>
        <w:t>响应招标文件要求或者投标文件有招标方不能接受的附加条件的；</w:t>
      </w:r>
    </w:p>
    <w:p>
      <w:pPr>
        <w:pStyle w:val="8"/>
        <w:wordWrap w:val="0"/>
        <w:snapToGrid w:val="0"/>
        <w:spacing w:line="360" w:lineRule="auto"/>
        <w:ind w:firstLine="398" w:firstLineChars="196"/>
        <w:rPr>
          <w:rFonts w:hAnsi="宋体"/>
          <w:b/>
          <w:bCs/>
          <w:color w:val="auto"/>
          <w:sz w:val="21"/>
          <w:szCs w:val="21"/>
          <w:highlight w:val="none"/>
        </w:rPr>
      </w:pPr>
      <w:r>
        <w:rPr>
          <w:rFonts w:hAnsi="宋体"/>
          <w:b/>
          <w:bCs/>
          <w:color w:val="auto"/>
          <w:sz w:val="21"/>
          <w:szCs w:val="21"/>
          <w:highlight w:val="none"/>
        </w:rPr>
        <w:t>2</w:t>
      </w:r>
      <w:r>
        <w:rPr>
          <w:rFonts w:hint="eastAsia" w:hAnsi="宋体"/>
          <w:b/>
          <w:bCs/>
          <w:color w:val="auto"/>
          <w:sz w:val="21"/>
          <w:szCs w:val="21"/>
          <w:highlight w:val="none"/>
        </w:rPr>
        <w:t>、</w:t>
      </w:r>
      <w:r>
        <w:rPr>
          <w:rFonts w:hAnsi="宋体"/>
          <w:b/>
          <w:bCs/>
          <w:color w:val="auto"/>
          <w:sz w:val="21"/>
          <w:szCs w:val="21"/>
          <w:highlight w:val="none"/>
        </w:rPr>
        <w:t>在技术评审时，如发现下列情形之一的，投标文件将被视为无效：</w:t>
      </w:r>
    </w:p>
    <w:p>
      <w:pPr>
        <w:pStyle w:val="8"/>
        <w:wordWrap w:val="0"/>
        <w:snapToGrid w:val="0"/>
        <w:spacing w:line="360" w:lineRule="auto"/>
        <w:ind w:firstLine="395" w:firstLineChars="196"/>
        <w:rPr>
          <w:rFonts w:hAnsi="宋体"/>
          <w:color w:val="auto"/>
          <w:sz w:val="21"/>
          <w:szCs w:val="21"/>
          <w:highlight w:val="none"/>
        </w:rPr>
      </w:pPr>
      <w:r>
        <w:rPr>
          <w:rFonts w:hAnsi="宋体"/>
          <w:color w:val="auto"/>
          <w:sz w:val="21"/>
          <w:szCs w:val="21"/>
          <w:highlight w:val="none"/>
        </w:rPr>
        <w:t>（1）未提供或未如实提供投标货物的技术参数，或者投标文件标明的响应或偏离与事实不符或虚假投标的；</w:t>
      </w:r>
    </w:p>
    <w:p>
      <w:pPr>
        <w:pStyle w:val="8"/>
        <w:wordWrap w:val="0"/>
        <w:snapToGrid w:val="0"/>
        <w:spacing w:line="360" w:lineRule="auto"/>
        <w:ind w:firstLine="395" w:firstLineChars="196"/>
        <w:rPr>
          <w:rFonts w:hAnsi="宋体"/>
          <w:color w:val="auto"/>
          <w:sz w:val="21"/>
          <w:szCs w:val="21"/>
          <w:highlight w:val="none"/>
        </w:rPr>
      </w:pPr>
      <w:r>
        <w:rPr>
          <w:rFonts w:hAnsi="宋体"/>
          <w:color w:val="auto"/>
          <w:sz w:val="21"/>
          <w:szCs w:val="21"/>
          <w:highlight w:val="none"/>
        </w:rPr>
        <w:t>（2）</w:t>
      </w:r>
      <w:r>
        <w:rPr>
          <w:rFonts w:hAnsi="宋体"/>
          <w:snapToGrid w:val="0"/>
          <w:color w:val="auto"/>
          <w:sz w:val="21"/>
          <w:szCs w:val="21"/>
          <w:highlight w:val="none"/>
        </w:rPr>
        <w:t>明显不符合招标文件</w:t>
      </w:r>
      <w:r>
        <w:rPr>
          <w:rFonts w:hint="eastAsia" w:hAnsi="宋体"/>
          <w:snapToGrid w:val="0"/>
          <w:color w:val="auto"/>
          <w:sz w:val="21"/>
          <w:szCs w:val="21"/>
          <w:highlight w:val="none"/>
        </w:rPr>
        <w:t>要求</w:t>
      </w:r>
      <w:r>
        <w:rPr>
          <w:rFonts w:hAnsi="宋体"/>
          <w:snapToGrid w:val="0"/>
          <w:color w:val="auto"/>
          <w:sz w:val="21"/>
          <w:szCs w:val="21"/>
          <w:highlight w:val="none"/>
        </w:rPr>
        <w:t>的规格型号、质量标准，或者</w:t>
      </w:r>
      <w:r>
        <w:rPr>
          <w:rFonts w:hint="eastAsia" w:hAnsi="宋体"/>
          <w:snapToGrid w:val="0"/>
          <w:color w:val="auto"/>
          <w:sz w:val="21"/>
          <w:szCs w:val="21"/>
          <w:highlight w:val="none"/>
        </w:rPr>
        <w:t>与</w:t>
      </w:r>
      <w:r>
        <w:rPr>
          <w:rFonts w:hAnsi="宋体"/>
          <w:color w:val="auto"/>
          <w:sz w:val="21"/>
          <w:szCs w:val="21"/>
          <w:highlight w:val="none"/>
        </w:rPr>
        <w:t>招标文件中标“</w:t>
      </w:r>
      <w:r>
        <w:rPr>
          <w:rFonts w:hint="eastAsia" w:ascii="Calibri" w:hAnsi="Calibri"/>
          <w:color w:val="auto"/>
          <w:sz w:val="22"/>
          <w:highlight w:val="none"/>
        </w:rPr>
        <w:t>▲</w:t>
      </w:r>
      <w:r>
        <w:rPr>
          <w:rFonts w:hAnsi="宋体"/>
          <w:color w:val="auto"/>
          <w:sz w:val="21"/>
          <w:szCs w:val="21"/>
          <w:highlight w:val="none"/>
        </w:rPr>
        <w:t>”的</w:t>
      </w:r>
      <w:r>
        <w:rPr>
          <w:rFonts w:hint="eastAsia" w:hAnsi="宋体"/>
          <w:color w:val="auto"/>
          <w:sz w:val="21"/>
          <w:szCs w:val="21"/>
          <w:highlight w:val="none"/>
        </w:rPr>
        <w:t>要求</w:t>
      </w:r>
      <w:r>
        <w:rPr>
          <w:rFonts w:hAnsi="宋体"/>
          <w:color w:val="auto"/>
          <w:sz w:val="21"/>
          <w:szCs w:val="21"/>
          <w:highlight w:val="none"/>
        </w:rPr>
        <w:t>、主要功能项目发生实质性偏离的</w:t>
      </w:r>
      <w:r>
        <w:rPr>
          <w:rFonts w:hint="eastAsia" w:hAnsi="宋体"/>
          <w:color w:val="auto"/>
          <w:sz w:val="21"/>
          <w:szCs w:val="21"/>
          <w:highlight w:val="none"/>
        </w:rPr>
        <w:t>（</w:t>
      </w:r>
      <w:r>
        <w:rPr>
          <w:rFonts w:hint="eastAsia" w:hAnsi="宋体"/>
          <w:color w:val="auto"/>
          <w:sz w:val="21"/>
          <w:szCs w:val="21"/>
          <w:highlight w:val="none"/>
          <w:lang w:eastAsia="zh-CN"/>
        </w:rPr>
        <w:t>采购人</w:t>
      </w:r>
      <w:r>
        <w:rPr>
          <w:rFonts w:hint="eastAsia" w:hAnsi="宋体"/>
          <w:color w:val="auto"/>
          <w:sz w:val="21"/>
          <w:szCs w:val="21"/>
          <w:highlight w:val="none"/>
        </w:rPr>
        <w:t>不能接受的偏离）</w:t>
      </w:r>
      <w:r>
        <w:rPr>
          <w:rFonts w:hAnsi="宋体"/>
          <w:color w:val="auto"/>
          <w:sz w:val="21"/>
          <w:szCs w:val="21"/>
          <w:highlight w:val="none"/>
        </w:rPr>
        <w:t>；</w:t>
      </w:r>
    </w:p>
    <w:p>
      <w:pPr>
        <w:pStyle w:val="8"/>
        <w:wordWrap w:val="0"/>
        <w:snapToGrid w:val="0"/>
        <w:spacing w:line="360" w:lineRule="auto"/>
        <w:ind w:firstLine="395" w:firstLineChars="196"/>
        <w:rPr>
          <w:rFonts w:hAnsi="宋体"/>
          <w:color w:val="auto"/>
          <w:sz w:val="21"/>
          <w:szCs w:val="21"/>
          <w:highlight w:val="none"/>
        </w:rPr>
      </w:pPr>
      <w:r>
        <w:rPr>
          <w:rFonts w:hAnsi="宋体"/>
          <w:color w:val="auto"/>
          <w:sz w:val="21"/>
          <w:szCs w:val="21"/>
          <w:highlight w:val="none"/>
        </w:rPr>
        <w:t>（</w:t>
      </w:r>
      <w:r>
        <w:rPr>
          <w:rFonts w:hint="eastAsia" w:hAnsi="宋体"/>
          <w:color w:val="auto"/>
          <w:sz w:val="21"/>
          <w:szCs w:val="21"/>
          <w:highlight w:val="none"/>
        </w:rPr>
        <w:t>3</w:t>
      </w:r>
      <w:r>
        <w:rPr>
          <w:rFonts w:hAnsi="宋体"/>
          <w:color w:val="auto"/>
          <w:sz w:val="21"/>
          <w:szCs w:val="21"/>
          <w:highlight w:val="none"/>
        </w:rPr>
        <w:t>）投标技术方案不明确，存在一个或一个以上备选（替代）投标方案的；</w:t>
      </w:r>
    </w:p>
    <w:p>
      <w:pPr>
        <w:pStyle w:val="8"/>
        <w:wordWrap w:val="0"/>
        <w:snapToGrid w:val="0"/>
        <w:spacing w:line="360" w:lineRule="auto"/>
        <w:ind w:firstLine="404" w:firstLineChars="200"/>
        <w:rPr>
          <w:rFonts w:hAnsi="宋体"/>
          <w:color w:val="auto"/>
          <w:sz w:val="21"/>
          <w:szCs w:val="21"/>
          <w:highlight w:val="none"/>
        </w:rPr>
      </w:pPr>
      <w:r>
        <w:rPr>
          <w:rFonts w:hint="eastAsia" w:hAnsi="宋体"/>
          <w:color w:val="auto"/>
          <w:sz w:val="21"/>
          <w:szCs w:val="21"/>
          <w:highlight w:val="none"/>
        </w:rPr>
        <w:t>（4）与其他参加本次投标投标人的投标文件（技术文件）的文字表述内容相同连续20行以上或者差错相同2处以上的；</w:t>
      </w:r>
    </w:p>
    <w:p>
      <w:pPr>
        <w:pStyle w:val="8"/>
        <w:wordWrap w:val="0"/>
        <w:snapToGrid w:val="0"/>
        <w:spacing w:line="360" w:lineRule="auto"/>
        <w:ind w:firstLine="398" w:firstLineChars="196"/>
        <w:rPr>
          <w:rFonts w:hAnsi="宋体"/>
          <w:b/>
          <w:bCs/>
          <w:color w:val="auto"/>
          <w:sz w:val="21"/>
          <w:szCs w:val="21"/>
          <w:highlight w:val="none"/>
        </w:rPr>
      </w:pPr>
      <w:r>
        <w:rPr>
          <w:rFonts w:hAnsi="宋体"/>
          <w:b/>
          <w:bCs/>
          <w:color w:val="auto"/>
          <w:sz w:val="21"/>
          <w:szCs w:val="21"/>
          <w:highlight w:val="none"/>
        </w:rPr>
        <w:t>3</w:t>
      </w:r>
      <w:r>
        <w:rPr>
          <w:rFonts w:hint="eastAsia" w:hAnsi="宋体"/>
          <w:b/>
          <w:bCs/>
          <w:color w:val="auto"/>
          <w:sz w:val="21"/>
          <w:szCs w:val="21"/>
          <w:highlight w:val="none"/>
        </w:rPr>
        <w:t>、</w:t>
      </w:r>
      <w:r>
        <w:rPr>
          <w:rFonts w:hAnsi="宋体"/>
          <w:b/>
          <w:bCs/>
          <w:color w:val="auto"/>
          <w:sz w:val="21"/>
          <w:szCs w:val="21"/>
          <w:highlight w:val="none"/>
        </w:rPr>
        <w:t>在报价评审时，如发现下列情形之一的，投标文件将被视为无效：</w:t>
      </w:r>
    </w:p>
    <w:p>
      <w:pPr>
        <w:pStyle w:val="8"/>
        <w:wordWrap w:val="0"/>
        <w:snapToGrid w:val="0"/>
        <w:spacing w:line="360" w:lineRule="auto"/>
        <w:ind w:firstLine="395" w:firstLineChars="196"/>
        <w:rPr>
          <w:rFonts w:hAnsi="宋体"/>
          <w:color w:val="auto"/>
          <w:sz w:val="21"/>
          <w:szCs w:val="21"/>
          <w:highlight w:val="none"/>
        </w:rPr>
      </w:pPr>
      <w:r>
        <w:rPr>
          <w:rFonts w:hAnsi="宋体"/>
          <w:color w:val="auto"/>
          <w:sz w:val="21"/>
          <w:szCs w:val="21"/>
          <w:highlight w:val="none"/>
        </w:rPr>
        <w:t>（1）未采用人民币报价或者未按照招标文件标明的币种报价的；</w:t>
      </w:r>
    </w:p>
    <w:p>
      <w:pPr>
        <w:pStyle w:val="8"/>
        <w:wordWrap w:val="0"/>
        <w:snapToGrid w:val="0"/>
        <w:spacing w:line="360" w:lineRule="auto"/>
        <w:ind w:firstLine="395" w:firstLineChars="196"/>
        <w:rPr>
          <w:rFonts w:hAnsi="宋体"/>
          <w:color w:val="auto"/>
          <w:sz w:val="21"/>
          <w:szCs w:val="21"/>
          <w:highlight w:val="none"/>
        </w:rPr>
      </w:pPr>
      <w:r>
        <w:rPr>
          <w:rFonts w:hAnsi="宋体"/>
          <w:color w:val="auto"/>
          <w:sz w:val="21"/>
          <w:szCs w:val="21"/>
          <w:highlight w:val="none"/>
        </w:rPr>
        <w:t>（2）报价超出最高限价，或者超出采购预算金额</w:t>
      </w:r>
      <w:r>
        <w:rPr>
          <w:rFonts w:hint="eastAsia" w:hAnsi="宋体"/>
          <w:color w:val="auto"/>
          <w:sz w:val="21"/>
          <w:szCs w:val="21"/>
          <w:highlight w:val="none"/>
          <w:lang w:val="en-US" w:eastAsia="zh-CN"/>
        </w:rPr>
        <w:t>或上限费率的</w:t>
      </w:r>
      <w:r>
        <w:rPr>
          <w:rFonts w:hAnsi="宋体"/>
          <w:color w:val="auto"/>
          <w:sz w:val="21"/>
          <w:szCs w:val="21"/>
          <w:highlight w:val="none"/>
        </w:rPr>
        <w:t>(自主创新产品除外)</w:t>
      </w:r>
      <w:r>
        <w:rPr>
          <w:rFonts w:hint="eastAsia" w:hAnsi="宋体"/>
          <w:color w:val="auto"/>
          <w:sz w:val="21"/>
          <w:szCs w:val="21"/>
          <w:highlight w:val="none"/>
        </w:rPr>
        <w:t>，</w:t>
      </w:r>
      <w:r>
        <w:rPr>
          <w:rFonts w:hAnsi="宋体"/>
          <w:color w:val="auto"/>
          <w:sz w:val="21"/>
          <w:szCs w:val="21"/>
          <w:highlight w:val="none"/>
        </w:rPr>
        <w:t>采购人不能支付的</w:t>
      </w:r>
      <w:r>
        <w:rPr>
          <w:rFonts w:hint="eastAsia" w:hAnsi="宋体"/>
          <w:color w:val="auto"/>
          <w:sz w:val="21"/>
          <w:szCs w:val="21"/>
          <w:highlight w:val="none"/>
        </w:rPr>
        <w:t>；</w:t>
      </w:r>
    </w:p>
    <w:p>
      <w:pPr>
        <w:pStyle w:val="8"/>
        <w:wordWrap w:val="0"/>
        <w:snapToGrid w:val="0"/>
        <w:spacing w:line="360" w:lineRule="auto"/>
        <w:ind w:firstLine="404" w:firstLineChars="200"/>
        <w:rPr>
          <w:rFonts w:hAnsi="宋体"/>
          <w:color w:val="auto"/>
          <w:sz w:val="21"/>
          <w:szCs w:val="21"/>
          <w:highlight w:val="none"/>
        </w:rPr>
      </w:pPr>
      <w:r>
        <w:rPr>
          <w:rFonts w:hint="eastAsia" w:hAnsi="宋体"/>
          <w:color w:val="auto"/>
          <w:sz w:val="21"/>
          <w:szCs w:val="21"/>
          <w:highlight w:val="none"/>
        </w:rPr>
        <w:t>（3）投标报价具有选择性，或者开标价格与投标文件承诺的优惠（折扣）价格不一致的；</w:t>
      </w:r>
    </w:p>
    <w:p>
      <w:pPr>
        <w:pStyle w:val="8"/>
        <w:snapToGrid w:val="0"/>
        <w:spacing w:line="360" w:lineRule="auto"/>
        <w:ind w:firstLine="404" w:firstLineChars="200"/>
        <w:jc w:val="left"/>
        <w:rPr>
          <w:rFonts w:hAnsi="宋体"/>
          <w:b/>
          <w:snapToGrid w:val="0"/>
          <w:color w:val="auto"/>
          <w:sz w:val="21"/>
          <w:szCs w:val="21"/>
          <w:highlight w:val="none"/>
        </w:rPr>
      </w:pPr>
      <w:r>
        <w:rPr>
          <w:rFonts w:hint="eastAsia" w:hAnsi="宋体"/>
          <w:color w:val="auto"/>
          <w:sz w:val="21"/>
          <w:szCs w:val="21"/>
          <w:highlight w:val="none"/>
        </w:rPr>
        <w:t xml:space="preserve">（4）投标报价明细表总额与开标一览表总价不一致，且高于总价5％的；                  </w:t>
      </w:r>
      <w:bookmarkStart w:id="246" w:name="_Toc430786277"/>
      <w:bookmarkStart w:id="247" w:name="_Toc490261861"/>
      <w:r>
        <w:rPr>
          <w:rFonts w:hAnsi="宋体"/>
          <w:b/>
          <w:color w:val="auto"/>
          <w:sz w:val="21"/>
          <w:szCs w:val="21"/>
          <w:highlight w:val="none"/>
        </w:rPr>
        <w:t>4</w:t>
      </w:r>
      <w:r>
        <w:rPr>
          <w:rFonts w:hint="eastAsia" w:hAnsi="宋体"/>
          <w:b/>
          <w:color w:val="auto"/>
          <w:sz w:val="21"/>
          <w:szCs w:val="21"/>
          <w:highlight w:val="none"/>
        </w:rPr>
        <w:t>、</w:t>
      </w:r>
      <w:r>
        <w:rPr>
          <w:rFonts w:hAnsi="宋体"/>
          <w:b/>
          <w:color w:val="auto"/>
          <w:sz w:val="21"/>
          <w:szCs w:val="21"/>
          <w:highlight w:val="none"/>
        </w:rPr>
        <w:t>被拒绝的投标文件为无效。</w:t>
      </w:r>
      <w:bookmarkEnd w:id="246"/>
      <w:bookmarkEnd w:id="247"/>
    </w:p>
    <w:p>
      <w:pPr>
        <w:pStyle w:val="8"/>
        <w:snapToGrid w:val="0"/>
        <w:spacing w:line="360" w:lineRule="auto"/>
        <w:ind w:firstLine="406" w:firstLineChars="200"/>
        <w:jc w:val="left"/>
        <w:outlineLvl w:val="1"/>
        <w:rPr>
          <w:rFonts w:hAnsi="宋体"/>
          <w:b/>
          <w:snapToGrid w:val="0"/>
          <w:color w:val="auto"/>
          <w:sz w:val="21"/>
          <w:szCs w:val="21"/>
          <w:highlight w:val="none"/>
        </w:rPr>
      </w:pPr>
      <w:bookmarkStart w:id="248" w:name="_Toc50012885"/>
      <w:bookmarkStart w:id="249" w:name="_Toc33535369"/>
      <w:bookmarkStart w:id="250" w:name="_Toc9286"/>
      <w:r>
        <w:rPr>
          <w:rFonts w:hint="eastAsia" w:hAnsi="宋体"/>
          <w:b/>
          <w:color w:val="auto"/>
          <w:sz w:val="21"/>
          <w:szCs w:val="21"/>
          <w:highlight w:val="none"/>
        </w:rPr>
        <w:t>四、开标</w:t>
      </w:r>
      <w:bookmarkEnd w:id="248"/>
      <w:bookmarkEnd w:id="249"/>
      <w:bookmarkEnd w:id="250"/>
    </w:p>
    <w:p>
      <w:pPr>
        <w:wordWrap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1、开标准备</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1.1、采购代理机构将在规定的时间和地点进行开标，投标人无需等候开标。</w:t>
      </w:r>
    </w:p>
    <w:p>
      <w:pPr>
        <w:wordWrap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2、开标程序</w:t>
      </w:r>
    </w:p>
    <w:p>
      <w:pPr>
        <w:pStyle w:val="26"/>
        <w:wordWrap w:val="0"/>
        <w:spacing w:line="360" w:lineRule="auto"/>
        <w:ind w:firstLine="420" w:firstLineChars="200"/>
        <w:rPr>
          <w:rFonts w:hAnsi="宋体"/>
          <w:color w:val="auto"/>
          <w:szCs w:val="21"/>
          <w:highlight w:val="none"/>
        </w:rPr>
      </w:pPr>
      <w:r>
        <w:rPr>
          <w:rFonts w:hint="eastAsia" w:hAnsi="宋体"/>
          <w:color w:val="auto"/>
          <w:szCs w:val="21"/>
          <w:highlight w:val="none"/>
        </w:rPr>
        <w:t>2.1、开标会由采购代理机构主持，主持人宣布开标会议开始；</w:t>
      </w:r>
    </w:p>
    <w:p>
      <w:pPr>
        <w:pStyle w:val="26"/>
        <w:wordWrap w:val="0"/>
        <w:spacing w:line="360" w:lineRule="auto"/>
        <w:ind w:firstLine="420" w:firstLineChars="200"/>
        <w:rPr>
          <w:rFonts w:hAnsi="宋体"/>
          <w:color w:val="auto"/>
          <w:szCs w:val="21"/>
          <w:highlight w:val="none"/>
        </w:rPr>
      </w:pPr>
      <w:r>
        <w:rPr>
          <w:rFonts w:hint="eastAsia" w:hAnsi="宋体"/>
          <w:color w:val="auto"/>
          <w:szCs w:val="21"/>
          <w:highlight w:val="none"/>
        </w:rPr>
        <w:t>2.2、介绍参加开标会的人员名单；</w:t>
      </w:r>
    </w:p>
    <w:p>
      <w:pPr>
        <w:pStyle w:val="26"/>
        <w:wordWrap w:val="0"/>
        <w:spacing w:line="360" w:lineRule="auto"/>
        <w:ind w:firstLine="420" w:firstLineChars="200"/>
        <w:rPr>
          <w:rFonts w:hAnsi="宋体"/>
          <w:color w:val="auto"/>
          <w:szCs w:val="21"/>
          <w:highlight w:val="none"/>
        </w:rPr>
      </w:pPr>
      <w:r>
        <w:rPr>
          <w:rFonts w:hint="eastAsia" w:hAnsi="宋体"/>
          <w:color w:val="auto"/>
          <w:szCs w:val="21"/>
          <w:highlight w:val="none"/>
        </w:rPr>
        <w:t>2.3、主持人</w:t>
      </w:r>
      <w:r>
        <w:rPr>
          <w:rFonts w:hAnsi="宋体"/>
          <w:color w:val="auto"/>
          <w:szCs w:val="21"/>
          <w:highlight w:val="none"/>
        </w:rPr>
        <w:t>宣布评标期间的有关事项；告知应当回避的情形,提请有关人员回避；</w:t>
      </w:r>
    </w:p>
    <w:p>
      <w:pPr>
        <w:pStyle w:val="26"/>
        <w:wordWrap w:val="0"/>
        <w:snapToGrid w:val="0"/>
        <w:spacing w:line="360" w:lineRule="auto"/>
        <w:ind w:firstLine="420" w:firstLineChars="200"/>
        <w:rPr>
          <w:rFonts w:hAnsi="宋体"/>
          <w:color w:val="auto"/>
          <w:szCs w:val="21"/>
          <w:highlight w:val="none"/>
        </w:rPr>
      </w:pPr>
      <w:r>
        <w:rPr>
          <w:rFonts w:hint="eastAsia" w:hAnsi="宋体"/>
          <w:color w:val="auto"/>
          <w:szCs w:val="21"/>
          <w:highlight w:val="none"/>
        </w:rPr>
        <w:t>2.</w:t>
      </w:r>
      <w:r>
        <w:rPr>
          <w:rFonts w:hAnsi="宋体"/>
          <w:color w:val="auto"/>
          <w:szCs w:val="21"/>
          <w:highlight w:val="none"/>
        </w:rPr>
        <w:t>4</w:t>
      </w:r>
      <w:r>
        <w:rPr>
          <w:rFonts w:hint="eastAsia" w:hAnsi="宋体"/>
          <w:color w:val="auto"/>
          <w:szCs w:val="21"/>
          <w:highlight w:val="none"/>
        </w:rPr>
        <w:t>、招标采购单位监督部门负责检查文件密封性</w:t>
      </w:r>
      <w:r>
        <w:rPr>
          <w:rFonts w:hAnsi="宋体"/>
          <w:color w:val="auto"/>
          <w:szCs w:val="21"/>
          <w:highlight w:val="none"/>
        </w:rPr>
        <w:t>；</w:t>
      </w:r>
    </w:p>
    <w:p>
      <w:pPr>
        <w:pStyle w:val="26"/>
        <w:wordWrap w:val="0"/>
        <w:spacing w:line="360" w:lineRule="auto"/>
        <w:ind w:firstLine="420" w:firstLineChars="200"/>
        <w:rPr>
          <w:rFonts w:hAnsi="宋体"/>
          <w:color w:val="auto"/>
          <w:szCs w:val="21"/>
          <w:highlight w:val="none"/>
        </w:rPr>
      </w:pPr>
      <w:r>
        <w:rPr>
          <w:rFonts w:hint="eastAsia" w:hAnsi="宋体"/>
          <w:color w:val="auto"/>
          <w:szCs w:val="21"/>
          <w:highlight w:val="none"/>
        </w:rPr>
        <w:t>2.5、唱标及勘误：由唱标人宣读投标人在其投标文件中承诺的投标报价以及采购代理机构认为有必要宣读的其他内容。唱标顺序按各投标人提交投标文件时间的先后顺序进行。</w:t>
      </w:r>
    </w:p>
    <w:p>
      <w:pPr>
        <w:pStyle w:val="26"/>
        <w:wordWrap w:val="0"/>
        <w:spacing w:line="360" w:lineRule="auto"/>
        <w:ind w:firstLine="420" w:firstLineChars="200"/>
        <w:rPr>
          <w:rFonts w:hAnsi="宋体"/>
          <w:color w:val="auto"/>
          <w:szCs w:val="21"/>
          <w:highlight w:val="none"/>
        </w:rPr>
      </w:pPr>
      <w:r>
        <w:rPr>
          <w:rFonts w:hint="eastAsia" w:hAnsi="宋体"/>
          <w:color w:val="auto"/>
          <w:szCs w:val="21"/>
          <w:highlight w:val="none"/>
        </w:rPr>
        <w:t>2.6、宣布评标期间的有关事项；</w:t>
      </w:r>
    </w:p>
    <w:p>
      <w:pPr>
        <w:pStyle w:val="26"/>
        <w:wordWrap w:val="0"/>
        <w:spacing w:line="360" w:lineRule="auto"/>
        <w:ind w:firstLine="420" w:firstLineChars="200"/>
        <w:rPr>
          <w:rFonts w:hAnsi="宋体"/>
          <w:color w:val="auto"/>
          <w:szCs w:val="21"/>
          <w:highlight w:val="none"/>
        </w:rPr>
      </w:pPr>
      <w:r>
        <w:rPr>
          <w:rFonts w:hint="eastAsia" w:hAnsi="宋体"/>
          <w:color w:val="auto"/>
          <w:szCs w:val="21"/>
          <w:highlight w:val="none"/>
        </w:rPr>
        <w:t>2.7、开标会议结束。</w:t>
      </w:r>
    </w:p>
    <w:p>
      <w:pPr>
        <w:wordWrap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3、开标记录</w:t>
      </w:r>
    </w:p>
    <w:p>
      <w:pPr>
        <w:spacing w:line="360" w:lineRule="auto"/>
        <w:ind w:firstLine="420" w:firstLineChars="200"/>
        <w:jc w:val="left"/>
        <w:rPr>
          <w:rFonts w:ascii="宋体" w:hAnsi="宋体" w:cs="宋体"/>
          <w:color w:val="auto"/>
          <w:kern w:val="0"/>
          <w:szCs w:val="21"/>
          <w:highlight w:val="none"/>
        </w:rPr>
      </w:pPr>
      <w:r>
        <w:rPr>
          <w:rFonts w:hint="eastAsia" w:hAnsi="宋体"/>
          <w:color w:val="auto"/>
          <w:szCs w:val="21"/>
          <w:highlight w:val="none"/>
        </w:rPr>
        <w:t>采购代理机构做开标记录,并由记录人和监督人签字确认。</w:t>
      </w:r>
    </w:p>
    <w:p>
      <w:pPr>
        <w:wordWrap w:val="0"/>
        <w:spacing w:line="360" w:lineRule="auto"/>
        <w:ind w:firstLine="413" w:firstLineChars="196"/>
        <w:rPr>
          <w:rFonts w:ascii="宋体" w:hAnsi="宋体"/>
          <w:b/>
          <w:color w:val="auto"/>
          <w:szCs w:val="21"/>
          <w:highlight w:val="none"/>
        </w:rPr>
      </w:pPr>
      <w:bookmarkStart w:id="251" w:name="_Toc24550037"/>
      <w:bookmarkStart w:id="252" w:name="_Toc33194393"/>
      <w:r>
        <w:rPr>
          <w:rFonts w:hint="eastAsia" w:ascii="宋体" w:hAnsi="宋体"/>
          <w:b/>
          <w:color w:val="auto"/>
          <w:szCs w:val="21"/>
          <w:highlight w:val="none"/>
        </w:rPr>
        <w:t>（四）</w:t>
      </w:r>
      <w:bookmarkEnd w:id="251"/>
      <w:bookmarkEnd w:id="252"/>
      <w:r>
        <w:rPr>
          <w:rFonts w:hint="eastAsia" w:ascii="宋体" w:hAnsi="宋体"/>
          <w:b/>
          <w:color w:val="auto"/>
          <w:szCs w:val="21"/>
          <w:highlight w:val="none"/>
        </w:rPr>
        <w:t>评标</w:t>
      </w:r>
    </w:p>
    <w:p>
      <w:pPr>
        <w:wordWrap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1、评标组织</w:t>
      </w:r>
    </w:p>
    <w:p>
      <w:pPr>
        <w:pStyle w:val="26"/>
        <w:wordWrap w:val="0"/>
        <w:spacing w:line="360" w:lineRule="auto"/>
        <w:ind w:left="631" w:leftChars="200" w:hanging="211" w:hangingChars="100"/>
        <w:rPr>
          <w:rFonts w:hAnsi="宋体"/>
          <w:b/>
          <w:color w:val="auto"/>
          <w:szCs w:val="21"/>
          <w:highlight w:val="none"/>
        </w:rPr>
      </w:pPr>
      <w:r>
        <w:rPr>
          <w:rFonts w:hint="eastAsia" w:hAnsi="宋体"/>
          <w:b/>
          <w:color w:val="auto"/>
          <w:szCs w:val="21"/>
          <w:highlight w:val="none"/>
        </w:rPr>
        <w:t>1.1、本项目评标委员会由有关评审专家</w:t>
      </w:r>
      <w:r>
        <w:rPr>
          <w:rFonts w:hAnsi="宋体"/>
          <w:b/>
          <w:color w:val="auto"/>
          <w:szCs w:val="21"/>
          <w:highlight w:val="none"/>
        </w:rPr>
        <w:t>4</w:t>
      </w:r>
      <w:r>
        <w:rPr>
          <w:rFonts w:hint="eastAsia" w:hAnsi="宋体"/>
          <w:b/>
          <w:color w:val="auto"/>
          <w:szCs w:val="21"/>
          <w:highlight w:val="none"/>
        </w:rPr>
        <w:t>人和采购人代表</w:t>
      </w:r>
      <w:r>
        <w:rPr>
          <w:rFonts w:hAnsi="宋体"/>
          <w:b/>
          <w:color w:val="auto"/>
          <w:szCs w:val="21"/>
          <w:highlight w:val="none"/>
        </w:rPr>
        <w:t>1</w:t>
      </w:r>
      <w:r>
        <w:rPr>
          <w:rFonts w:hint="eastAsia" w:hAnsi="宋体"/>
          <w:b/>
          <w:color w:val="auto"/>
          <w:szCs w:val="21"/>
          <w:highlight w:val="none"/>
        </w:rPr>
        <w:t>人，共</w:t>
      </w:r>
      <w:r>
        <w:rPr>
          <w:rFonts w:hAnsi="宋体"/>
          <w:b/>
          <w:color w:val="auto"/>
          <w:szCs w:val="21"/>
          <w:highlight w:val="none"/>
        </w:rPr>
        <w:t>5</w:t>
      </w:r>
      <w:r>
        <w:rPr>
          <w:rFonts w:hint="eastAsia" w:hAnsi="宋体"/>
          <w:b/>
          <w:color w:val="auto"/>
          <w:szCs w:val="21"/>
          <w:highlight w:val="none"/>
        </w:rPr>
        <w:t>人组成。</w:t>
      </w:r>
    </w:p>
    <w:p>
      <w:pPr>
        <w:pStyle w:val="26"/>
        <w:wordWrap w:val="0"/>
        <w:spacing w:line="360" w:lineRule="auto"/>
        <w:ind w:left="630" w:leftChars="200" w:hanging="210" w:hangingChars="100"/>
        <w:rPr>
          <w:rFonts w:hAnsi="宋体"/>
          <w:color w:val="auto"/>
          <w:szCs w:val="21"/>
          <w:highlight w:val="none"/>
        </w:rPr>
      </w:pPr>
      <w:r>
        <w:rPr>
          <w:rFonts w:hint="eastAsia" w:hAnsi="宋体"/>
          <w:color w:val="auto"/>
          <w:szCs w:val="21"/>
          <w:highlight w:val="none"/>
        </w:rPr>
        <w:t>1.2、评标、决标全过程由有关部门监督。</w:t>
      </w:r>
    </w:p>
    <w:p>
      <w:pPr>
        <w:wordWrap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2、评标的方式</w:t>
      </w:r>
    </w:p>
    <w:p>
      <w:pPr>
        <w:pStyle w:val="26"/>
        <w:wordWrap w:val="0"/>
        <w:spacing w:line="360" w:lineRule="auto"/>
        <w:ind w:left="630" w:leftChars="200" w:hanging="210" w:hangingChars="100"/>
        <w:rPr>
          <w:rFonts w:hAnsi="宋体"/>
          <w:color w:val="auto"/>
          <w:szCs w:val="21"/>
          <w:highlight w:val="none"/>
        </w:rPr>
      </w:pPr>
      <w:r>
        <w:rPr>
          <w:rFonts w:hint="eastAsia" w:hAnsi="宋体"/>
          <w:color w:val="auto"/>
          <w:szCs w:val="21"/>
          <w:highlight w:val="none"/>
        </w:rPr>
        <w:t>2.1、本采购项目采用不公开方式评标，评标的依据为招标文件和投标文件。</w:t>
      </w:r>
    </w:p>
    <w:p>
      <w:pPr>
        <w:wordWrap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3、评标程序</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3.1、形式审查:评标委员会将审查投标文件是否真实、完整,总体编排是否有序,文件签署是否正确等。</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3.2、实质审查与比较</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3.2.1、评标委员会审查投标文件的实质性内容是否符合招标文件的实质性要求。</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3.2.2、评标委员会将根据投标人的资信技术标书进行审查、核对,如有疑问,将对投标人进行询标,投标人要向评标委员会澄清有关问题,并最终以书面形式进行答复。</w:t>
      </w:r>
      <w:r>
        <w:rPr>
          <w:rFonts w:hAnsi="宋体"/>
          <w:color w:val="auto"/>
          <w:szCs w:val="21"/>
          <w:highlight w:val="none"/>
        </w:rPr>
        <w:t>询标</w:t>
      </w:r>
      <w:r>
        <w:rPr>
          <w:rFonts w:hint="eastAsia" w:hAnsi="宋体"/>
          <w:color w:val="auto"/>
          <w:szCs w:val="21"/>
          <w:highlight w:val="none"/>
        </w:rPr>
        <w:t>时，投标人代表未到场或者拒绝澄清或者澄清的内容改变了投标文件的实质性内容的，评标委员会有权对该投标文件作出不利于投标人的评判。</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3.2.3、</w:t>
      </w:r>
      <w:r>
        <w:rPr>
          <w:rFonts w:hAnsi="宋体"/>
          <w:color w:val="auto"/>
          <w:szCs w:val="21"/>
          <w:highlight w:val="none"/>
        </w:rPr>
        <w:t>各投标人的</w:t>
      </w:r>
      <w:r>
        <w:rPr>
          <w:rFonts w:hint="eastAsia" w:hAnsi="宋体"/>
          <w:color w:val="auto"/>
          <w:szCs w:val="21"/>
          <w:highlight w:val="none"/>
        </w:rPr>
        <w:t>资信技术分按照评标委员会成员的独立评分结果汇总后的算术平均分计算</w:t>
      </w:r>
      <w:r>
        <w:rPr>
          <w:rFonts w:hAnsi="宋体"/>
          <w:color w:val="auto"/>
          <w:szCs w:val="21"/>
          <w:highlight w:val="none"/>
        </w:rPr>
        <w:t>。</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3.2.4、评标委员会将根据投标人的报价文件进行审查、核对,如有疑问,将对投标人进行询标,投标人要向评标委员会澄清有关问题,并最终以书面形式进行答复。</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3.2.5、代理公司工作人员协助</w:t>
      </w:r>
      <w:r>
        <w:rPr>
          <w:rFonts w:hAnsi="宋体"/>
          <w:color w:val="auto"/>
          <w:szCs w:val="21"/>
          <w:highlight w:val="none"/>
        </w:rPr>
        <w:t>评标委员会根据</w:t>
      </w:r>
      <w:r>
        <w:rPr>
          <w:rFonts w:hint="eastAsia" w:hAnsi="宋体"/>
          <w:color w:val="auto"/>
          <w:szCs w:val="21"/>
          <w:highlight w:val="none"/>
        </w:rPr>
        <w:t>本项目的评分标准操作政府采购业务系统，由系统</w:t>
      </w:r>
      <w:r>
        <w:rPr>
          <w:rFonts w:hAnsi="宋体"/>
          <w:color w:val="auto"/>
          <w:szCs w:val="21"/>
          <w:highlight w:val="none"/>
        </w:rPr>
        <w:t>计算各投标人的报价得分</w:t>
      </w:r>
      <w:r>
        <w:rPr>
          <w:rFonts w:hint="eastAsia" w:hAnsi="宋体"/>
          <w:color w:val="auto"/>
          <w:szCs w:val="21"/>
          <w:highlight w:val="none"/>
        </w:rPr>
        <w:t>。</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3.2.6、</w:t>
      </w:r>
      <w:r>
        <w:rPr>
          <w:rFonts w:hAnsi="宋体"/>
          <w:color w:val="auto"/>
          <w:szCs w:val="21"/>
          <w:highlight w:val="none"/>
        </w:rPr>
        <w:t>评标委员会完成评标后,评委对各部分得分汇总,</w:t>
      </w:r>
      <w:r>
        <w:rPr>
          <w:rFonts w:hint="eastAsia" w:hAnsi="宋体"/>
          <w:color w:val="auto"/>
          <w:szCs w:val="21"/>
          <w:highlight w:val="none"/>
        </w:rPr>
        <w:t>计算</w:t>
      </w:r>
      <w:r>
        <w:rPr>
          <w:rFonts w:hAnsi="宋体"/>
          <w:color w:val="auto"/>
          <w:szCs w:val="21"/>
          <w:highlight w:val="none"/>
        </w:rPr>
        <w:t>出本项目</w:t>
      </w:r>
      <w:r>
        <w:rPr>
          <w:rFonts w:hint="eastAsia" w:hAnsi="宋体"/>
          <w:color w:val="auto"/>
          <w:szCs w:val="21"/>
          <w:highlight w:val="none"/>
        </w:rPr>
        <w:t>最终得分、性价比、评标价等</w:t>
      </w:r>
      <w:r>
        <w:rPr>
          <w:rFonts w:hAnsi="宋体"/>
          <w:color w:val="auto"/>
          <w:szCs w:val="21"/>
          <w:highlight w:val="none"/>
        </w:rPr>
        <w:t>。评标委员会按评标原则推荐中标候选人同时起草评标报告。</w:t>
      </w:r>
    </w:p>
    <w:p>
      <w:pPr>
        <w:wordWrap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4、澄清问题的形式</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4.1、对投标文件中含义不明确、同类问题表述不一致或者有明显文字和计算错误的内容，评标委员会可以书面形式要求投标人作出必要的澄清、说明或者纠正。投标人的澄清、说明或者补正应当采用书面形式，由其法定代表人或委托代理人签字或盖章确认，并不得超出投标文件的范围或者改变投标文件的实质性内容。</w:t>
      </w:r>
    </w:p>
    <w:p>
      <w:pPr>
        <w:wordWrap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5、 错误修正</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投标文件如果出现计算或表达上的错误，修正错误的原则如下：</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5.1、开标时，投标文件中开标报价一览表</w:t>
      </w:r>
      <w:r>
        <w:rPr>
          <w:rFonts w:hAnsi="宋体"/>
          <w:color w:val="auto"/>
          <w:szCs w:val="21"/>
          <w:highlight w:val="none"/>
        </w:rPr>
        <w:t>内容与投标报价表中明细表内容不一致的，以</w:t>
      </w:r>
      <w:r>
        <w:rPr>
          <w:rFonts w:hint="eastAsia" w:hAnsi="宋体"/>
          <w:color w:val="auto"/>
          <w:szCs w:val="21"/>
          <w:highlight w:val="none"/>
        </w:rPr>
        <w:t>开标报价一览表</w:t>
      </w:r>
      <w:r>
        <w:rPr>
          <w:rFonts w:hAnsi="宋体"/>
          <w:color w:val="auto"/>
          <w:szCs w:val="21"/>
          <w:highlight w:val="none"/>
        </w:rPr>
        <w:t>为准。</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5.2、投标文件的大写金额和小写金额不一致的，以大写金额为准；</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5.3、总价金额与按单价汇总金额不一致的，以单价金额计算结果为准；</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5.4、对不同文字文本投标文件的解释发生异议的，以中文文本为准。</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5.5、按上述修正错误的原则及方法调整或修正投标文件的投标报价，投标人同意后，调整后的投标报价对投标人起约束作用。如果投标人不接受修正后的报价，则其投标将被拒绝。</w:t>
      </w:r>
    </w:p>
    <w:p>
      <w:pPr>
        <w:wordWrap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6、评标过程的保密性</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6.1、凡是属于审查、澄清、评审和比较的有关资料以及授标建议，任何人均不得向投标人或其他无关的人员透露。投标人在评标过程中，所进行的力图影响评标结果的不公正活动，可能导致其投标被拒绝。</w:t>
      </w:r>
    </w:p>
    <w:p>
      <w:pPr>
        <w:wordWrap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7、评标原则和评标办法</w:t>
      </w:r>
    </w:p>
    <w:p>
      <w:pPr>
        <w:pStyle w:val="26"/>
        <w:wordWrap w:val="0"/>
        <w:spacing w:line="360" w:lineRule="auto"/>
        <w:ind w:firstLine="480"/>
        <w:rPr>
          <w:rFonts w:hAnsi="宋体"/>
          <w:color w:val="auto"/>
          <w:szCs w:val="21"/>
          <w:highlight w:val="none"/>
        </w:rPr>
      </w:pPr>
      <w:r>
        <w:rPr>
          <w:rFonts w:hint="eastAsia" w:hAnsi="宋体"/>
          <w:color w:val="auto"/>
          <w:szCs w:val="21"/>
          <w:highlight w:val="none"/>
        </w:rPr>
        <w:t>7.1、评标原则。评标委员会必须做到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20" w:firstLineChars="200"/>
        <w:jc w:val="left"/>
        <w:rPr>
          <w:rFonts w:ascii="宋体" w:hAnsi="宋体"/>
          <w:color w:val="auto"/>
          <w:szCs w:val="21"/>
          <w:highlight w:val="none"/>
        </w:rPr>
      </w:pPr>
      <w:r>
        <w:rPr>
          <w:rFonts w:hint="eastAsia" w:hAnsi="宋体"/>
          <w:color w:val="auto"/>
          <w:szCs w:val="21"/>
          <w:highlight w:val="none"/>
        </w:rPr>
        <w:t>7.2、评标办法。本项目的具体评标办法详见《评标办法》。</w:t>
      </w:r>
    </w:p>
    <w:p>
      <w:pPr>
        <w:pStyle w:val="26"/>
        <w:snapToGrid w:val="0"/>
        <w:spacing w:line="360" w:lineRule="auto"/>
        <w:ind w:firstLine="422" w:firstLineChars="200"/>
        <w:jc w:val="left"/>
        <w:outlineLvl w:val="1"/>
        <w:rPr>
          <w:rFonts w:hAnsi="宋体"/>
          <w:b/>
          <w:color w:val="auto"/>
          <w:szCs w:val="21"/>
          <w:highlight w:val="none"/>
        </w:rPr>
      </w:pPr>
      <w:bookmarkStart w:id="253" w:name="_Toc33535371"/>
      <w:bookmarkStart w:id="254" w:name="_Toc50012887"/>
      <w:bookmarkStart w:id="255" w:name="_Toc19997"/>
      <w:r>
        <w:rPr>
          <w:rFonts w:hint="eastAsia" w:hAnsi="宋体"/>
          <w:b/>
          <w:color w:val="auto"/>
          <w:szCs w:val="21"/>
          <w:highlight w:val="none"/>
        </w:rPr>
        <w:t>六、定标</w:t>
      </w:r>
      <w:bookmarkEnd w:id="253"/>
      <w:bookmarkEnd w:id="254"/>
      <w:bookmarkEnd w:id="255"/>
    </w:p>
    <w:p>
      <w:pPr>
        <w:pStyle w:val="26"/>
        <w:snapToGrid w:val="0"/>
        <w:spacing w:line="360" w:lineRule="auto"/>
        <w:ind w:firstLine="422" w:firstLineChars="200"/>
        <w:jc w:val="left"/>
        <w:rPr>
          <w:rFonts w:hAnsi="宋体"/>
          <w:b/>
          <w:bCs/>
          <w:color w:val="auto"/>
          <w:szCs w:val="21"/>
          <w:highlight w:val="none"/>
        </w:rPr>
      </w:pPr>
      <w:r>
        <w:rPr>
          <w:rFonts w:hint="eastAsia" w:hAnsi="宋体"/>
          <w:b/>
          <w:bCs/>
          <w:color w:val="auto"/>
          <w:szCs w:val="21"/>
          <w:highlight w:val="none"/>
        </w:rPr>
        <w:t>（一）确定中标人。</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、采购代理机构</w:t>
      </w:r>
      <w:r>
        <w:rPr>
          <w:rFonts w:ascii="宋体" w:hAnsi="宋体"/>
          <w:color w:val="auto"/>
          <w:szCs w:val="21"/>
          <w:highlight w:val="none"/>
        </w:rPr>
        <w:t>在评标结束后2个工作日内将评标报告交采购人确认，同时在发布招标公告的网站上对评标结果进行</w:t>
      </w:r>
      <w:r>
        <w:rPr>
          <w:rFonts w:hint="eastAsia" w:ascii="宋体" w:hAnsi="宋体"/>
          <w:color w:val="auto"/>
          <w:szCs w:val="21"/>
          <w:highlight w:val="none"/>
        </w:rPr>
        <w:t>公告</w:t>
      </w:r>
      <w:r>
        <w:rPr>
          <w:rFonts w:ascii="宋体" w:hAnsi="宋体"/>
          <w:color w:val="auto"/>
          <w:szCs w:val="21"/>
          <w:highlight w:val="none"/>
        </w:rPr>
        <w:t>。</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投标人对评标结果无异议的，采购人应在收到评标报告后5个工作日内对评标结果进行确认。如有投标人对评标结果提出质疑的，采购人可在质疑处理完毕后确定中标人。</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 在公告中标结果的同时，采购代理机构向中标人发出中标通知书。</w:t>
      </w:r>
    </w:p>
    <w:p>
      <w:pPr>
        <w:pStyle w:val="26"/>
        <w:snapToGrid w:val="0"/>
        <w:spacing w:line="360" w:lineRule="auto"/>
        <w:ind w:firstLine="422" w:firstLineChars="200"/>
        <w:jc w:val="left"/>
        <w:outlineLvl w:val="1"/>
        <w:rPr>
          <w:rFonts w:hAnsi="宋体"/>
          <w:b/>
          <w:color w:val="auto"/>
          <w:szCs w:val="21"/>
          <w:highlight w:val="none"/>
        </w:rPr>
      </w:pPr>
      <w:bookmarkStart w:id="256" w:name="_Toc50012888"/>
      <w:bookmarkStart w:id="257" w:name="_Toc5136"/>
      <w:bookmarkStart w:id="258" w:name="_Toc33535372"/>
      <w:r>
        <w:rPr>
          <w:rFonts w:hint="eastAsia" w:hAnsi="宋体"/>
          <w:b/>
          <w:color w:val="auto"/>
          <w:szCs w:val="21"/>
          <w:highlight w:val="none"/>
        </w:rPr>
        <w:t>七、合同授予</w:t>
      </w:r>
      <w:bookmarkEnd w:id="256"/>
      <w:bookmarkEnd w:id="257"/>
      <w:bookmarkEnd w:id="258"/>
    </w:p>
    <w:p>
      <w:pPr>
        <w:snapToGrid w:val="0"/>
        <w:spacing w:line="360" w:lineRule="auto"/>
        <w:ind w:firstLine="422" w:firstLineChars="200"/>
        <w:jc w:val="left"/>
        <w:rPr>
          <w:rFonts w:ascii="宋体" w:hAnsi="宋体"/>
          <w:bCs/>
          <w:color w:val="auto"/>
          <w:szCs w:val="21"/>
          <w:highlight w:val="none"/>
        </w:rPr>
      </w:pPr>
      <w:r>
        <w:rPr>
          <w:rFonts w:hint="eastAsia" w:ascii="宋体" w:hAnsi="宋体"/>
          <w:b/>
          <w:bCs/>
          <w:color w:val="auto"/>
          <w:szCs w:val="21"/>
          <w:highlight w:val="none"/>
        </w:rPr>
        <w:t>（一）签订合同</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、采购人与</w:t>
      </w:r>
      <w:r>
        <w:rPr>
          <w:rFonts w:ascii="宋体" w:hAnsi="宋体"/>
          <w:color w:val="auto"/>
          <w:szCs w:val="21"/>
          <w:highlight w:val="none"/>
        </w:rPr>
        <w:t>中标人应</w:t>
      </w:r>
      <w:r>
        <w:rPr>
          <w:rFonts w:hint="eastAsia" w:ascii="宋体" w:hAnsi="宋体"/>
          <w:color w:val="auto"/>
          <w:szCs w:val="21"/>
          <w:highlight w:val="none"/>
        </w:rPr>
        <w:t>当在中标公示发出之日起30日内签订政府采购合同。同时，采购机构对合同内容进行审查，如发现与采购结果和投标承诺内容不一致的，将予以纠正。</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中标人拖延、拒签合同的,将被取消中标资格</w:t>
      </w:r>
      <w:r>
        <w:rPr>
          <w:rFonts w:hint="eastAsia" w:ascii="宋体" w:hAnsi="宋体"/>
          <w:color w:val="auto"/>
          <w:szCs w:val="21"/>
          <w:highlight w:val="none"/>
        </w:rPr>
        <w:t>，并报监督管理部门</w:t>
      </w:r>
      <w:r>
        <w:rPr>
          <w:rFonts w:ascii="宋体" w:hAnsi="宋体"/>
          <w:color w:val="auto"/>
          <w:szCs w:val="21"/>
          <w:highlight w:val="none"/>
        </w:rPr>
        <w:t>。</w:t>
      </w:r>
    </w:p>
    <w:p>
      <w:pPr>
        <w:pStyle w:val="26"/>
        <w:snapToGrid w:val="0"/>
        <w:spacing w:line="360" w:lineRule="auto"/>
        <w:ind w:firstLine="422" w:firstLineChars="200"/>
        <w:jc w:val="left"/>
        <w:rPr>
          <w:rFonts w:hAnsi="宋体"/>
          <w:b/>
          <w:color w:val="auto"/>
          <w:szCs w:val="21"/>
          <w:highlight w:val="none"/>
        </w:rPr>
      </w:pPr>
      <w:r>
        <w:rPr>
          <w:rFonts w:hAnsi="宋体"/>
          <w:b/>
          <w:color w:val="auto"/>
          <w:szCs w:val="21"/>
          <w:highlight w:val="none"/>
        </w:rPr>
        <w:t>（二）履约保证金</w:t>
      </w:r>
    </w:p>
    <w:bookmarkEnd w:id="208"/>
    <w:p>
      <w:pPr>
        <w:spacing w:line="360" w:lineRule="auto"/>
        <w:contextualSpacing/>
        <w:rPr>
          <w:rFonts w:hint="eastAsia" w:ascii="宋体" w:hAnsi="宋体"/>
          <w:color w:val="auto"/>
          <w:szCs w:val="21"/>
          <w:highlight w:val="none"/>
        </w:rPr>
      </w:pPr>
      <w:bookmarkStart w:id="259" w:name="_Toc27157"/>
      <w:bookmarkStart w:id="260" w:name="_Toc493511776"/>
      <w:bookmarkStart w:id="261" w:name="_Toc177870559"/>
      <w:bookmarkStart w:id="262" w:name="_Toc170792807"/>
      <w:r>
        <w:rPr>
          <w:rFonts w:hint="eastAsia" w:ascii="宋体" w:hAnsi="宋体"/>
          <w:color w:val="auto"/>
          <w:szCs w:val="21"/>
          <w:highlight w:val="none"/>
        </w:rPr>
        <w:t>履约保证金的收取及退还：</w:t>
      </w:r>
    </w:p>
    <w:p>
      <w:pPr>
        <w:spacing w:line="360" w:lineRule="auto"/>
        <w:contextualSpacing/>
        <w:jc w:val="left"/>
        <w:rPr>
          <w:rFonts w:ascii="宋体" w:hAnsi="宋体"/>
          <w:color w:val="auto"/>
          <w:szCs w:val="21"/>
          <w:highlight w:val="none"/>
        </w:rPr>
      </w:pPr>
      <w:r>
        <w:rPr>
          <w:rFonts w:hint="eastAsia" w:ascii="宋体" w:hAnsi="宋体"/>
          <w:color w:val="auto"/>
          <w:szCs w:val="21"/>
          <w:highlight w:val="none"/>
        </w:rPr>
        <w:t>中标人应在中标通知书发出后30日内前到招标人处签订合同，同时交纳人民币</w:t>
      </w:r>
      <w:r>
        <w:rPr>
          <w:rFonts w:hint="eastAsia" w:ascii="宋体" w:hAnsi="宋体"/>
          <w:color w:val="auto"/>
          <w:szCs w:val="21"/>
          <w:highlight w:val="none"/>
          <w:lang w:val="en-US" w:eastAsia="zh-CN"/>
        </w:rPr>
        <w:t>标项1：13000</w:t>
      </w:r>
      <w:r>
        <w:rPr>
          <w:rFonts w:hint="eastAsia" w:ascii="宋体" w:hAnsi="宋体"/>
          <w:color w:val="auto"/>
          <w:szCs w:val="21"/>
          <w:highlight w:val="none"/>
        </w:rPr>
        <w:t>.00元</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标项2:13000.00元；标项3:9500.00元</w:t>
      </w:r>
      <w:r>
        <w:rPr>
          <w:rFonts w:hint="eastAsia" w:ascii="宋体" w:hAnsi="宋体"/>
          <w:color w:val="auto"/>
          <w:szCs w:val="21"/>
          <w:highlight w:val="none"/>
        </w:rPr>
        <w:t>的履约保证金。</w:t>
      </w:r>
    </w:p>
    <w:p>
      <w:pPr>
        <w:spacing w:line="360" w:lineRule="auto"/>
        <w:contextualSpacing/>
        <w:jc w:val="left"/>
        <w:rPr>
          <w:rFonts w:ascii="宋体" w:hAnsi="宋体"/>
          <w:color w:val="auto"/>
          <w:szCs w:val="21"/>
          <w:highlight w:val="none"/>
        </w:rPr>
      </w:pPr>
      <w:r>
        <w:rPr>
          <w:rFonts w:hint="eastAsia" w:ascii="宋体" w:hAnsi="宋体"/>
          <w:color w:val="auto"/>
          <w:szCs w:val="21"/>
          <w:highlight w:val="none"/>
        </w:rPr>
        <w:t>履约担保的形式为：银行保函（格式以出具保函的银行为准）或现金或招标人认可的其他形式。</w:t>
      </w:r>
    </w:p>
    <w:p>
      <w:pPr>
        <w:spacing w:line="360" w:lineRule="auto"/>
        <w:contextualSpacing/>
        <w:jc w:val="left"/>
        <w:rPr>
          <w:rFonts w:ascii="宋体" w:hAnsi="宋体"/>
          <w:color w:val="auto"/>
          <w:szCs w:val="21"/>
          <w:highlight w:val="none"/>
        </w:rPr>
      </w:pPr>
      <w:r>
        <w:rPr>
          <w:rFonts w:hint="eastAsia" w:ascii="宋体" w:hAnsi="宋体"/>
          <w:color w:val="auto"/>
          <w:szCs w:val="21"/>
          <w:highlight w:val="none"/>
        </w:rPr>
        <w:t>出具履约担保的银行级别：国有或股份制商业银行县（区、市）级及以上银行；</w:t>
      </w:r>
    </w:p>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履约担保的退还：合同期满后，无质量问题10日内无息退还。</w:t>
      </w:r>
    </w:p>
    <w:p>
      <w:pPr>
        <w:pStyle w:val="26"/>
        <w:snapToGrid w:val="0"/>
        <w:spacing w:line="360" w:lineRule="auto"/>
        <w:ind w:firstLine="420" w:firstLineChars="200"/>
        <w:jc w:val="left"/>
        <w:rPr>
          <w:rFonts w:hAnsi="宋体"/>
          <w:color w:val="auto"/>
          <w:szCs w:val="21"/>
          <w:highlight w:val="none"/>
        </w:rPr>
      </w:pPr>
    </w:p>
    <w:p>
      <w:pPr>
        <w:pStyle w:val="27"/>
        <w:rPr>
          <w:color w:val="auto"/>
          <w:highlight w:val="none"/>
        </w:rPr>
      </w:pPr>
    </w:p>
    <w:p>
      <w:pPr>
        <w:pStyle w:val="26"/>
        <w:snapToGrid w:val="0"/>
        <w:spacing w:line="360" w:lineRule="auto"/>
        <w:ind w:firstLine="420" w:firstLineChars="200"/>
        <w:jc w:val="left"/>
        <w:rPr>
          <w:rFonts w:hAnsi="宋体"/>
          <w:color w:val="auto"/>
          <w:szCs w:val="21"/>
          <w:highlight w:val="none"/>
        </w:rPr>
      </w:pPr>
    </w:p>
    <w:p>
      <w:pPr>
        <w:pStyle w:val="27"/>
        <w:rPr>
          <w:rFonts w:hAnsi="宋体"/>
          <w:color w:val="auto"/>
          <w:szCs w:val="21"/>
          <w:highlight w:val="none"/>
        </w:rPr>
      </w:pPr>
    </w:p>
    <w:p>
      <w:pPr>
        <w:rPr>
          <w:rFonts w:hAnsi="宋体"/>
          <w:color w:val="auto"/>
          <w:szCs w:val="21"/>
          <w:highlight w:val="none"/>
        </w:rPr>
      </w:pPr>
    </w:p>
    <w:p>
      <w:pPr>
        <w:pStyle w:val="3"/>
        <w:rPr>
          <w:rFonts w:hAnsi="宋体"/>
          <w:color w:val="auto"/>
          <w:szCs w:val="21"/>
          <w:highlight w:val="none"/>
        </w:rPr>
      </w:pPr>
    </w:p>
    <w:p>
      <w:pPr>
        <w:rPr>
          <w:rFonts w:hAnsi="宋体"/>
          <w:color w:val="auto"/>
          <w:szCs w:val="21"/>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7"/>
        <w:rPr>
          <w:rFonts w:hAnsi="宋体"/>
          <w:color w:val="auto"/>
          <w:szCs w:val="21"/>
          <w:highlight w:val="none"/>
        </w:rPr>
      </w:pPr>
    </w:p>
    <w:p>
      <w:pPr>
        <w:rPr>
          <w:rFonts w:hAnsi="宋体"/>
          <w:color w:val="auto"/>
          <w:szCs w:val="21"/>
          <w:highlight w:val="none"/>
        </w:rPr>
      </w:pPr>
    </w:p>
    <w:p>
      <w:pPr>
        <w:pStyle w:val="7"/>
        <w:rPr>
          <w:color w:val="auto"/>
          <w:highlight w:val="none"/>
        </w:rPr>
      </w:pPr>
    </w:p>
    <w:p>
      <w:pPr>
        <w:pStyle w:val="27"/>
        <w:rPr>
          <w:rFonts w:hAnsi="宋体"/>
          <w:color w:val="auto"/>
          <w:szCs w:val="21"/>
          <w:highlight w:val="none"/>
        </w:rPr>
      </w:pPr>
    </w:p>
    <w:p>
      <w:pPr>
        <w:pStyle w:val="79"/>
        <w:rPr>
          <w:rFonts w:ascii="宋体" w:eastAsia="宋体"/>
          <w:b w:val="0"/>
          <w:color w:val="auto"/>
          <w:highlight w:val="none"/>
        </w:rPr>
      </w:pPr>
      <w:r>
        <w:rPr>
          <w:rStyle w:val="133"/>
          <w:rFonts w:hint="eastAsia" w:ascii="宋体" w:eastAsia="宋体" w:cs="微软雅黑"/>
          <w:b/>
          <w:color w:val="auto"/>
          <w:highlight w:val="none"/>
        </w:rPr>
        <w:t>第四章  评标办法及评分标准</w:t>
      </w:r>
      <w:bookmarkEnd w:id="259"/>
      <w:bookmarkEnd w:id="260"/>
    </w:p>
    <w:bookmarkEnd w:id="261"/>
    <w:bookmarkEnd w:id="262"/>
    <w:p>
      <w:pPr>
        <w:spacing w:line="360" w:lineRule="auto"/>
        <w:ind w:firstLine="472" w:firstLineChars="225"/>
        <w:rPr>
          <w:rFonts w:ascii="宋体" w:hAnsi="宋体"/>
          <w:color w:val="auto"/>
          <w:szCs w:val="21"/>
          <w:highlight w:val="none"/>
        </w:rPr>
      </w:pPr>
      <w:bookmarkStart w:id="263" w:name="_Toc170792802"/>
      <w:r>
        <w:rPr>
          <w:rFonts w:hint="eastAsia" w:ascii="宋体" w:hAnsi="宋体"/>
          <w:color w:val="auto"/>
          <w:szCs w:val="21"/>
          <w:highlight w:val="none"/>
        </w:rPr>
        <w:t>为公正、公平、科学地选择成交投标人，根据《中华人民共和国政府采购法》等有关法律法规的规定，并结合本项目的实际，制定本办法。</w:t>
      </w:r>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本次评标采用综合评分法，总分为100分，其中价格分</w:t>
      </w:r>
      <w:r>
        <w:rPr>
          <w:rFonts w:hint="eastAsia" w:ascii="宋体" w:hAnsi="宋体"/>
          <w:color w:val="auto"/>
          <w:szCs w:val="21"/>
          <w:highlight w:val="none"/>
          <w:lang w:val="en-US" w:eastAsia="zh-CN"/>
        </w:rPr>
        <w:t>1</w:t>
      </w:r>
      <w:r>
        <w:rPr>
          <w:rFonts w:hint="eastAsia" w:ascii="宋体" w:hAnsi="宋体"/>
          <w:color w:val="auto"/>
          <w:szCs w:val="21"/>
          <w:highlight w:val="none"/>
        </w:rPr>
        <w:t>0分、技术资信分</w:t>
      </w:r>
      <w:r>
        <w:rPr>
          <w:rFonts w:hint="eastAsia" w:ascii="宋体" w:hAnsi="宋体"/>
          <w:color w:val="auto"/>
          <w:szCs w:val="21"/>
          <w:highlight w:val="none"/>
          <w:lang w:val="en-US" w:eastAsia="zh-CN"/>
        </w:rPr>
        <w:t>9</w:t>
      </w:r>
      <w:r>
        <w:rPr>
          <w:rFonts w:hint="eastAsia" w:ascii="宋体" w:hAnsi="宋体"/>
          <w:color w:val="auto"/>
          <w:szCs w:val="21"/>
          <w:highlight w:val="none"/>
        </w:rPr>
        <w:t>0分。</w:t>
      </w:r>
      <w:r>
        <w:rPr>
          <w:rFonts w:hint="eastAsia" w:ascii="宋体" w:hAnsi="宋体" w:cs="宋体"/>
          <w:color w:val="auto"/>
          <w:szCs w:val="21"/>
          <w:highlight w:val="none"/>
        </w:rPr>
        <w:t>评标小组按综合得分排名由高到低顺序推荐成交投标人，最终推荐排名第一的为本项目成交投标人。</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其中标项1.2不可重复中标，即标项1排名第一的中标候选人可进入标项2的评审，但不作为标项2排名第一的中标候选人推荐，标项1.2排名第一的中标候选人均可参与标项3的评审并根据在标项3中的得分可作为排名第一的中标候选人推荐</w:t>
      </w:r>
      <w:r>
        <w:rPr>
          <w:rFonts w:hint="eastAsia" w:ascii="宋体" w:hAnsi="宋体" w:cs="宋体"/>
          <w:color w:val="auto"/>
          <w:szCs w:val="21"/>
          <w:highlight w:val="none"/>
          <w:lang w:eastAsia="zh-CN"/>
        </w:rPr>
        <w:t>）</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投标人评标综合得分=价格分+技术资信</w:t>
      </w:r>
    </w:p>
    <w:p>
      <w:pPr>
        <w:numPr>
          <w:ilvl w:val="0"/>
          <w:numId w:val="5"/>
        </w:numPr>
        <w:spacing w:line="360" w:lineRule="auto"/>
        <w:rPr>
          <w:rFonts w:ascii="宋体" w:hAnsi="Courier New"/>
          <w:b/>
          <w:bCs/>
          <w:color w:val="auto"/>
          <w:spacing w:val="-4"/>
          <w:kern w:val="0"/>
          <w:szCs w:val="21"/>
          <w:highlight w:val="none"/>
        </w:rPr>
      </w:pPr>
      <w:r>
        <w:rPr>
          <w:rFonts w:ascii="宋体" w:hAnsi="Courier New"/>
          <w:b/>
          <w:bCs/>
          <w:color w:val="auto"/>
          <w:spacing w:val="-4"/>
          <w:kern w:val="0"/>
          <w:szCs w:val="21"/>
          <w:highlight w:val="none"/>
        </w:rPr>
        <w:t>价格分（</w:t>
      </w:r>
      <w:r>
        <w:rPr>
          <w:rFonts w:hint="eastAsia" w:ascii="宋体" w:hAnsi="Courier New"/>
          <w:b/>
          <w:bCs/>
          <w:color w:val="auto"/>
          <w:spacing w:val="-4"/>
          <w:kern w:val="0"/>
          <w:szCs w:val="21"/>
          <w:highlight w:val="none"/>
          <w:lang w:val="en-US" w:eastAsia="zh-CN"/>
        </w:rPr>
        <w:t>1</w:t>
      </w:r>
      <w:r>
        <w:rPr>
          <w:rFonts w:hint="eastAsia" w:ascii="宋体" w:hAnsi="Courier New"/>
          <w:b/>
          <w:bCs/>
          <w:color w:val="auto"/>
          <w:spacing w:val="-4"/>
          <w:kern w:val="0"/>
          <w:szCs w:val="21"/>
          <w:highlight w:val="none"/>
        </w:rPr>
        <w:t>0</w:t>
      </w:r>
      <w:r>
        <w:rPr>
          <w:rFonts w:ascii="宋体" w:hAnsi="Courier New"/>
          <w:b/>
          <w:bCs/>
          <w:color w:val="auto"/>
          <w:spacing w:val="-4"/>
          <w:kern w:val="0"/>
          <w:szCs w:val="21"/>
          <w:highlight w:val="none"/>
        </w:rPr>
        <w:t>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1.价格分采用低价优先法计算，即满足招标文件要求且投标价格最低的投标报价为评标基准价，其他投标人的价格分按照下列公式计算：</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价格分=评标基准价（最低报价）/投标报价×对应分值</w:t>
      </w:r>
    </w:p>
    <w:p>
      <w:pPr>
        <w:pStyle w:val="2"/>
        <w:jc w:val="left"/>
        <w:rPr>
          <w:rFonts w:hint="default"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标项1、2</w:t>
      </w:r>
      <w:r>
        <w:rPr>
          <w:rFonts w:hint="eastAsia" w:ascii="宋体" w:hAnsi="宋体" w:cs="Times New Roman"/>
          <w:b/>
          <w:bCs/>
          <w:color w:val="auto"/>
          <w:kern w:val="2"/>
          <w:sz w:val="21"/>
          <w:szCs w:val="21"/>
          <w:highlight w:val="none"/>
          <w:lang w:val="en-US" w:eastAsia="zh-CN" w:bidi="ar-SA"/>
        </w:rPr>
        <w:t xml:space="preserve"> 最高限价100%</w:t>
      </w:r>
    </w:p>
    <w:tbl>
      <w:tblPr>
        <w:tblStyle w:val="49"/>
        <w:tblpPr w:leftFromText="180" w:rightFromText="180" w:vertAnchor="text" w:horzAnchor="page" w:tblpX="1845" w:tblpY="126"/>
        <w:tblOverlap w:val="never"/>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396"/>
        <w:gridCol w:w="5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71" w:type="dxa"/>
            <w:vAlign w:val="center"/>
          </w:tcPr>
          <w:p>
            <w:pPr>
              <w:spacing w:line="36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序号</w:t>
            </w:r>
          </w:p>
        </w:tc>
        <w:tc>
          <w:tcPr>
            <w:tcW w:w="2396" w:type="dxa"/>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类别</w:t>
            </w:r>
          </w:p>
        </w:tc>
        <w:tc>
          <w:tcPr>
            <w:tcW w:w="5451" w:type="dxa"/>
            <w:vAlign w:val="center"/>
          </w:tcPr>
          <w:p>
            <w:pPr>
              <w:spacing w:line="360" w:lineRule="auto"/>
              <w:ind w:firstLine="420" w:firstLineChars="200"/>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分值占比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71" w:type="dxa"/>
            <w:vAlign w:val="center"/>
          </w:tcPr>
          <w:p>
            <w:pPr>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2396" w:type="dxa"/>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粮油调味品类</w:t>
            </w:r>
          </w:p>
        </w:tc>
        <w:tc>
          <w:tcPr>
            <w:tcW w:w="5451" w:type="dxa"/>
            <w:vAlign w:val="center"/>
          </w:tcPr>
          <w:p>
            <w:pPr>
              <w:spacing w:line="360" w:lineRule="auto"/>
              <w:ind w:firstLine="420" w:firstLineChars="200"/>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71" w:type="dxa"/>
            <w:vAlign w:val="center"/>
          </w:tcPr>
          <w:p>
            <w:pPr>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2396" w:type="dxa"/>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肉禽水产冻品类</w:t>
            </w:r>
          </w:p>
        </w:tc>
        <w:tc>
          <w:tcPr>
            <w:tcW w:w="5451" w:type="dxa"/>
            <w:vAlign w:val="center"/>
          </w:tcPr>
          <w:p>
            <w:pPr>
              <w:spacing w:line="360" w:lineRule="auto"/>
              <w:ind w:firstLine="420" w:firstLineChars="200"/>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71" w:type="dxa"/>
            <w:vAlign w:val="center"/>
          </w:tcPr>
          <w:p>
            <w:pPr>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w:t>
            </w:r>
          </w:p>
        </w:tc>
        <w:tc>
          <w:tcPr>
            <w:tcW w:w="2396" w:type="dxa"/>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水果蔬菜奶制品类</w:t>
            </w:r>
          </w:p>
        </w:tc>
        <w:tc>
          <w:tcPr>
            <w:tcW w:w="5451" w:type="dxa"/>
            <w:vAlign w:val="center"/>
          </w:tcPr>
          <w:p>
            <w:pPr>
              <w:spacing w:line="360" w:lineRule="auto"/>
              <w:ind w:firstLine="420" w:firstLineChars="200"/>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w:t>
            </w:r>
          </w:p>
        </w:tc>
      </w:tr>
    </w:tbl>
    <w:p>
      <w:pPr>
        <w:pStyle w:val="2"/>
        <w:jc w:val="left"/>
        <w:rPr>
          <w:rFonts w:hint="default"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标项3</w:t>
      </w:r>
      <w:r>
        <w:rPr>
          <w:rFonts w:hint="eastAsia" w:ascii="宋体" w:hAnsi="宋体" w:cs="Times New Roman"/>
          <w:b/>
          <w:bCs/>
          <w:color w:val="auto"/>
          <w:kern w:val="2"/>
          <w:sz w:val="21"/>
          <w:szCs w:val="21"/>
          <w:highlight w:val="none"/>
          <w:lang w:val="en-US" w:eastAsia="zh-CN" w:bidi="ar-SA"/>
        </w:rPr>
        <w:t xml:space="preserve"> 最高限价90%</w:t>
      </w:r>
    </w:p>
    <w:tbl>
      <w:tblPr>
        <w:tblStyle w:val="49"/>
        <w:tblpPr w:leftFromText="180" w:rightFromText="180" w:vertAnchor="text" w:horzAnchor="page" w:tblpX="1845" w:tblpY="126"/>
        <w:tblOverlap w:val="never"/>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396"/>
        <w:gridCol w:w="5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71" w:type="dxa"/>
            <w:vAlign w:val="center"/>
          </w:tcPr>
          <w:p>
            <w:pPr>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2396" w:type="dxa"/>
            <w:vAlign w:val="center"/>
          </w:tcPr>
          <w:p>
            <w:pPr>
              <w:spacing w:line="360" w:lineRule="auto"/>
              <w:ind w:firstLine="420" w:firstLineChars="20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日用品副食品类</w:t>
            </w:r>
          </w:p>
        </w:tc>
        <w:tc>
          <w:tcPr>
            <w:tcW w:w="5451" w:type="dxa"/>
            <w:vAlign w:val="center"/>
          </w:tcPr>
          <w:p>
            <w:pPr>
              <w:spacing w:line="360" w:lineRule="auto"/>
              <w:ind w:firstLine="420" w:firstLineChars="200"/>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10</w:t>
            </w:r>
          </w:p>
        </w:tc>
      </w:tr>
    </w:tbl>
    <w:p>
      <w:pPr>
        <w:rPr>
          <w:rFonts w:hint="default"/>
          <w:color w:val="auto"/>
          <w:highlight w:val="none"/>
          <w:lang w:val="en-US" w:eastAsia="zh-CN"/>
        </w:rPr>
      </w:pPr>
    </w:p>
    <w:p>
      <w:pPr>
        <w:widowControl/>
        <w:snapToGrid w:val="0"/>
        <w:spacing w:line="360" w:lineRule="auto"/>
        <w:ind w:firstLine="422" w:firstLineChars="200"/>
        <w:rPr>
          <w:b/>
          <w:color w:val="auto"/>
          <w:szCs w:val="21"/>
          <w:highlight w:val="none"/>
        </w:rPr>
      </w:pPr>
      <w:r>
        <w:rPr>
          <w:b/>
          <w:color w:val="auto"/>
          <w:szCs w:val="21"/>
          <w:highlight w:val="none"/>
        </w:rPr>
        <w:t>扶持政策说明：</w:t>
      </w:r>
    </w:p>
    <w:p>
      <w:pPr>
        <w:spacing w:line="360" w:lineRule="auto"/>
        <w:ind w:firstLine="632" w:firstLineChars="300"/>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本项目为</w:t>
      </w:r>
      <w:r>
        <w:rPr>
          <w:rFonts w:hint="eastAsia" w:ascii="宋体" w:hAnsi="宋体" w:cs="Times New Roman"/>
          <w:b/>
          <w:bCs/>
          <w:color w:val="auto"/>
          <w:szCs w:val="21"/>
          <w:highlight w:val="none"/>
          <w:lang w:val="en-US" w:eastAsia="zh-CN"/>
        </w:rPr>
        <w:t>服务</w:t>
      </w:r>
      <w:r>
        <w:rPr>
          <w:rFonts w:hint="eastAsia" w:ascii="宋体" w:hAnsi="宋体" w:eastAsia="宋体" w:cs="Times New Roman"/>
          <w:b/>
          <w:bCs/>
          <w:color w:val="auto"/>
          <w:szCs w:val="21"/>
          <w:highlight w:val="none"/>
        </w:rPr>
        <w:t>类采购，所属行业为</w:t>
      </w:r>
      <w:r>
        <w:rPr>
          <w:rFonts w:hint="eastAsia" w:ascii="宋体" w:hAnsi="宋体" w:eastAsia="宋体" w:cs="Times New Roman"/>
          <w:b/>
          <w:bCs/>
          <w:color w:val="auto"/>
          <w:szCs w:val="21"/>
          <w:highlight w:val="none"/>
          <w:lang w:val="en-US" w:eastAsia="zh-CN"/>
        </w:rPr>
        <w:t>批发业</w:t>
      </w:r>
      <w:r>
        <w:rPr>
          <w:rFonts w:hint="eastAsia" w:ascii="宋体" w:hAnsi="宋体" w:eastAsia="宋体" w:cs="Times New Roman"/>
          <w:b/>
          <w:bCs/>
          <w:color w:val="auto"/>
          <w:szCs w:val="21"/>
          <w:highlight w:val="none"/>
        </w:rPr>
        <w:t>。</w:t>
      </w:r>
    </w:p>
    <w:p>
      <w:pPr>
        <w:spacing w:line="360" w:lineRule="auto"/>
        <w:ind w:firstLine="420" w:firstLineChars="200"/>
        <w:rPr>
          <w:rFonts w:hint="eastAsia" w:ascii="宋体" w:hAnsi="宋体" w:eastAsia="宋体" w:cs="Times New Roman"/>
          <w:b/>
          <w:bCs/>
          <w:color w:val="auto"/>
          <w:szCs w:val="21"/>
          <w:highlight w:val="none"/>
          <w:lang w:eastAsia="zh-CN"/>
        </w:rPr>
      </w:pPr>
      <w:r>
        <w:rPr>
          <w:rFonts w:hint="eastAsia" w:ascii="宋体" w:hAnsi="宋体" w:eastAsia="宋体" w:cs="Times New Roman"/>
          <w:color w:val="auto"/>
          <w:szCs w:val="21"/>
          <w:highlight w:val="none"/>
        </w:rPr>
        <w:t>（1）根据《政府采购促进中小企业发展管理办法》（财库（2020）46号）的规定，对符合规定的小微企业（含小型企业），其投标报价扣除</w:t>
      </w:r>
      <w:r>
        <w:rPr>
          <w:rFonts w:hint="eastAsia" w:ascii="宋体" w:hAnsi="宋体" w:eastAsia="宋体" w:cs="Times New Roman"/>
          <w:color w:val="auto"/>
          <w:szCs w:val="21"/>
          <w:highlight w:val="none"/>
          <w:lang w:val="en-US" w:eastAsia="zh-CN"/>
        </w:rPr>
        <w:t>1</w:t>
      </w:r>
      <w:r>
        <w:rPr>
          <w:rFonts w:hint="eastAsia" w:ascii="宋体" w:hAnsi="宋体" w:eastAsia="宋体" w:cs="Times New Roman"/>
          <w:color w:val="auto"/>
          <w:szCs w:val="21"/>
          <w:highlight w:val="none"/>
        </w:rPr>
        <w:t>0%后参与评审。</w:t>
      </w:r>
      <w:r>
        <w:rPr>
          <w:rFonts w:hint="eastAsia" w:ascii="宋体" w:hAnsi="宋体" w:cs="Times New Roman"/>
          <w:b/>
          <w:bCs/>
          <w:color w:val="auto"/>
          <w:szCs w:val="21"/>
          <w:highlight w:val="none"/>
          <w:lang w:eastAsia="zh-CN"/>
        </w:rPr>
        <w:t>（</w:t>
      </w:r>
      <w:r>
        <w:rPr>
          <w:rFonts w:hint="eastAsia" w:ascii="宋体" w:hAnsi="宋体" w:cs="Times New Roman"/>
          <w:b/>
          <w:bCs/>
          <w:color w:val="auto"/>
          <w:szCs w:val="21"/>
          <w:highlight w:val="none"/>
          <w:lang w:val="en-US" w:eastAsia="zh-CN"/>
        </w:rPr>
        <w:t>仅适用于标项2、3</w:t>
      </w:r>
      <w:r>
        <w:rPr>
          <w:rFonts w:hint="eastAsia" w:ascii="宋体" w:hAnsi="宋体" w:cs="Times New Roman"/>
          <w:b/>
          <w:bCs/>
          <w:color w:val="auto"/>
          <w:szCs w:val="21"/>
          <w:highlight w:val="none"/>
          <w:lang w:eastAsia="zh-CN"/>
        </w:rPr>
        <w:t>）</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（2）根据《关于政府采购支持监狱企业发展有关问题的通知》（财库[2014]68号）的规定，监狱企业视同小型、微型企业，享受预留份额、评审中价格扣除等促进中小企业发展的政府采购政策。</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上述（1），（2），（3）政策不重复计算。</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此项由评标委员会集体核实后统一打分。</w:t>
      </w:r>
    </w:p>
    <w:p>
      <w:pPr>
        <w:pStyle w:val="59"/>
        <w:rPr>
          <w:rFonts w:hint="default" w:eastAsia="宋体"/>
          <w:color w:val="auto"/>
          <w:highlight w:val="none"/>
          <w:lang w:val="en-US" w:eastAsia="zh-CN"/>
        </w:rPr>
      </w:pPr>
      <w:r>
        <w:rPr>
          <w:rFonts w:hint="eastAsia"/>
          <w:color w:val="auto"/>
          <w:highlight w:val="none"/>
          <w:lang w:val="en-US" w:eastAsia="zh-CN"/>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2.投标人的投标报价超过采购人设定的最高单价限价，将作为无效标。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pStyle w:val="26"/>
        <w:tabs>
          <w:tab w:val="left" w:pos="630"/>
        </w:tabs>
        <w:spacing w:line="360" w:lineRule="auto"/>
        <w:ind w:firstLine="420" w:firstLineChars="200"/>
        <w:jc w:val="left"/>
        <w:rPr>
          <w:rFonts w:hAnsi="宋体"/>
          <w:color w:val="auto"/>
          <w:szCs w:val="21"/>
          <w:highlight w:val="none"/>
        </w:rPr>
      </w:pPr>
    </w:p>
    <w:p>
      <w:pPr>
        <w:numPr>
          <w:ilvl w:val="0"/>
          <w:numId w:val="6"/>
        </w:numPr>
        <w:spacing w:line="360" w:lineRule="auto"/>
        <w:ind w:firstLine="422" w:firstLineChars="200"/>
        <w:jc w:val="left"/>
        <w:rPr>
          <w:rFonts w:ascii="宋体" w:hAnsi="宋体"/>
          <w:b/>
          <w:bCs/>
          <w:color w:val="auto"/>
          <w:szCs w:val="21"/>
          <w:highlight w:val="none"/>
        </w:rPr>
      </w:pPr>
      <w:r>
        <w:rPr>
          <w:rFonts w:hint="eastAsia" w:ascii="宋体" w:hAnsi="宋体"/>
          <w:b/>
          <w:bCs/>
          <w:color w:val="auto"/>
          <w:szCs w:val="21"/>
          <w:highlight w:val="none"/>
        </w:rPr>
        <w:t>技术资信分：</w:t>
      </w:r>
      <w:bookmarkStart w:id="264" w:name="_Toc417992896"/>
      <w:bookmarkStart w:id="265" w:name="_Toc28829"/>
      <w:bookmarkStart w:id="266" w:name="_Toc493511826"/>
      <w:bookmarkStart w:id="267" w:name="_Toc416422800"/>
      <w:r>
        <w:rPr>
          <w:rFonts w:hint="eastAsia" w:ascii="宋体" w:hAnsi="宋体"/>
          <w:b/>
          <w:bCs/>
          <w:color w:val="auto"/>
          <w:szCs w:val="21"/>
          <w:highlight w:val="none"/>
        </w:rPr>
        <w:t>（</w:t>
      </w:r>
      <w:r>
        <w:rPr>
          <w:rFonts w:hint="eastAsia" w:ascii="宋体" w:hAnsi="宋体"/>
          <w:b/>
          <w:bCs/>
          <w:color w:val="auto"/>
          <w:szCs w:val="21"/>
          <w:highlight w:val="none"/>
          <w:lang w:val="en-US" w:eastAsia="zh-CN"/>
        </w:rPr>
        <w:t>9</w:t>
      </w:r>
      <w:r>
        <w:rPr>
          <w:rFonts w:hint="eastAsia" w:ascii="宋体" w:hAnsi="宋体"/>
          <w:b/>
          <w:bCs/>
          <w:color w:val="auto"/>
          <w:szCs w:val="21"/>
          <w:highlight w:val="none"/>
        </w:rPr>
        <w:t>0分）</w:t>
      </w:r>
    </w:p>
    <w:p>
      <w:pPr>
        <w:numPr>
          <w:ilvl w:val="0"/>
          <w:numId w:val="0"/>
        </w:numPr>
        <w:spacing w:line="360" w:lineRule="auto"/>
        <w:jc w:val="left"/>
        <w:rPr>
          <w:rFonts w:hint="default" w:ascii="宋体" w:hAnsi="宋体"/>
          <w:b/>
          <w:bCs/>
          <w:color w:val="auto"/>
          <w:szCs w:val="21"/>
          <w:highlight w:val="none"/>
          <w:lang w:val="en-US"/>
        </w:rPr>
      </w:pPr>
      <w:r>
        <w:rPr>
          <w:rFonts w:hint="eastAsia" w:ascii="宋体" w:hAnsi="宋体"/>
          <w:b/>
          <w:bCs/>
          <w:color w:val="auto"/>
          <w:szCs w:val="21"/>
          <w:highlight w:val="none"/>
          <w:lang w:val="en-US" w:eastAsia="zh-CN"/>
        </w:rPr>
        <w:t>标项1、2</w:t>
      </w:r>
    </w:p>
    <w:tbl>
      <w:tblPr>
        <w:tblStyle w:val="49"/>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361"/>
        <w:gridCol w:w="61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noWrap w:val="0"/>
            <w:vAlign w:val="center"/>
          </w:tcPr>
          <w:p>
            <w:pPr>
              <w:spacing w:after="60" w:afterLines="25" w:line="360" w:lineRule="exact"/>
              <w:jc w:val="center"/>
              <w:rPr>
                <w:rFonts w:ascii="宋体" w:hAnsi="宋体"/>
                <w:color w:val="auto"/>
                <w:szCs w:val="21"/>
                <w:highlight w:val="none"/>
              </w:rPr>
            </w:pPr>
            <w:r>
              <w:rPr>
                <w:rFonts w:hint="eastAsia" w:ascii="宋体" w:hAnsi="宋体"/>
                <w:color w:val="auto"/>
                <w:szCs w:val="21"/>
                <w:highlight w:val="none"/>
              </w:rPr>
              <w:t>序号</w:t>
            </w:r>
          </w:p>
        </w:tc>
        <w:tc>
          <w:tcPr>
            <w:tcW w:w="1361" w:type="dxa"/>
            <w:noWrap w:val="0"/>
            <w:vAlign w:val="center"/>
          </w:tcPr>
          <w:p>
            <w:pPr>
              <w:spacing w:after="60" w:afterLines="25" w:line="360" w:lineRule="exact"/>
              <w:jc w:val="center"/>
              <w:rPr>
                <w:rFonts w:ascii="宋体" w:hAnsi="宋体"/>
                <w:color w:val="auto"/>
                <w:szCs w:val="21"/>
                <w:highlight w:val="none"/>
              </w:rPr>
            </w:pPr>
            <w:r>
              <w:rPr>
                <w:rFonts w:hint="eastAsia" w:ascii="宋体" w:hAnsi="宋体"/>
                <w:color w:val="auto"/>
                <w:szCs w:val="21"/>
                <w:highlight w:val="none"/>
              </w:rPr>
              <w:t>评分项目</w:t>
            </w:r>
          </w:p>
        </w:tc>
        <w:tc>
          <w:tcPr>
            <w:tcW w:w="6126" w:type="dxa"/>
            <w:noWrap w:val="0"/>
            <w:vAlign w:val="center"/>
          </w:tcPr>
          <w:p>
            <w:pPr>
              <w:spacing w:after="60" w:afterLines="25" w:line="360" w:lineRule="exact"/>
              <w:jc w:val="center"/>
              <w:rPr>
                <w:rFonts w:ascii="宋体" w:hAnsi="宋体"/>
                <w:color w:val="auto"/>
                <w:szCs w:val="21"/>
                <w:highlight w:val="none"/>
              </w:rPr>
            </w:pPr>
            <w:r>
              <w:rPr>
                <w:rFonts w:hint="eastAsia" w:ascii="宋体" w:hAnsi="宋体"/>
                <w:color w:val="auto"/>
                <w:szCs w:val="21"/>
                <w:highlight w:val="none"/>
              </w:rPr>
              <w:t>评</w:t>
            </w:r>
            <w:r>
              <w:rPr>
                <w:rFonts w:ascii="宋体" w:hAnsi="宋体"/>
                <w:color w:val="auto"/>
                <w:szCs w:val="21"/>
                <w:highlight w:val="none"/>
              </w:rPr>
              <w:t xml:space="preserve">    </w:t>
            </w:r>
            <w:r>
              <w:rPr>
                <w:rFonts w:hint="eastAsia" w:ascii="宋体" w:hAnsi="宋体"/>
                <w:color w:val="auto"/>
                <w:szCs w:val="21"/>
                <w:highlight w:val="none"/>
              </w:rPr>
              <w:t>分</w:t>
            </w:r>
            <w:r>
              <w:rPr>
                <w:rFonts w:ascii="宋体" w:hAnsi="宋体"/>
                <w:color w:val="auto"/>
                <w:szCs w:val="21"/>
                <w:highlight w:val="none"/>
              </w:rPr>
              <w:t xml:space="preserve">     </w:t>
            </w:r>
            <w:r>
              <w:rPr>
                <w:rFonts w:hint="eastAsia" w:ascii="宋体" w:hAnsi="宋体"/>
                <w:color w:val="auto"/>
                <w:szCs w:val="21"/>
                <w:highlight w:val="none"/>
              </w:rPr>
              <w:t>细     则</w:t>
            </w:r>
          </w:p>
        </w:tc>
        <w:tc>
          <w:tcPr>
            <w:tcW w:w="992" w:type="dxa"/>
            <w:noWrap w:val="0"/>
            <w:vAlign w:val="center"/>
          </w:tcPr>
          <w:p>
            <w:pPr>
              <w:spacing w:after="60" w:afterLines="25" w:line="360" w:lineRule="exact"/>
              <w:jc w:val="center"/>
              <w:rPr>
                <w:rFonts w:ascii="宋体" w:hAnsi="宋体"/>
                <w:color w:val="auto"/>
                <w:szCs w:val="21"/>
                <w:highlight w:val="none"/>
              </w:rPr>
            </w:pPr>
            <w:r>
              <w:rPr>
                <w:rFonts w:hint="eastAsia" w:ascii="宋体" w:hAnsi="宋体"/>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noWrap w:val="0"/>
            <w:vAlign w:val="center"/>
          </w:tcPr>
          <w:p>
            <w:pPr>
              <w:spacing w:after="60" w:afterLines="25" w:line="36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1</w:t>
            </w:r>
          </w:p>
        </w:tc>
        <w:tc>
          <w:tcPr>
            <w:tcW w:w="1361" w:type="dxa"/>
            <w:noWrap w:val="0"/>
            <w:vAlign w:val="center"/>
          </w:tcPr>
          <w:p>
            <w:pPr>
              <w:rPr>
                <w:rFonts w:hint="eastAsia" w:ascii="宋体" w:hAnsi="宋体"/>
                <w:color w:val="auto"/>
                <w:szCs w:val="21"/>
                <w:highlight w:val="none"/>
              </w:rPr>
            </w:pPr>
            <w:r>
              <w:rPr>
                <w:rFonts w:hint="eastAsia" w:ascii="宋体" w:hAnsi="宋体" w:cs="宋体"/>
                <w:color w:val="auto"/>
                <w:szCs w:val="21"/>
                <w:highlight w:val="none"/>
              </w:rPr>
              <w:t>业绩（</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p>
        </w:tc>
        <w:tc>
          <w:tcPr>
            <w:tcW w:w="6126" w:type="dxa"/>
            <w:noWrap w:val="0"/>
            <w:vAlign w:val="center"/>
          </w:tcPr>
          <w:p>
            <w:pPr>
              <w:spacing w:line="276" w:lineRule="auto"/>
              <w:rPr>
                <w:rFonts w:hint="eastAsia" w:ascii="宋体" w:hAnsi="宋体"/>
                <w:color w:val="auto"/>
                <w:szCs w:val="21"/>
                <w:highlight w:val="none"/>
              </w:rPr>
            </w:pPr>
            <w:r>
              <w:rPr>
                <w:rFonts w:hint="eastAsia" w:ascii="宋体"/>
                <w:color w:val="auto"/>
                <w:highlight w:val="none"/>
                <w:lang w:val="en-US" w:eastAsia="zh-CN"/>
              </w:rPr>
              <w:t>2021</w:t>
            </w:r>
            <w:r>
              <w:rPr>
                <w:rFonts w:hint="eastAsia" w:ascii="宋体"/>
                <w:color w:val="auto"/>
                <w:highlight w:val="none"/>
              </w:rPr>
              <w:t>年1月1日以来的类似供货经验1个得</w:t>
            </w:r>
            <w:r>
              <w:rPr>
                <w:rFonts w:hint="eastAsia" w:ascii="宋体"/>
                <w:color w:val="auto"/>
                <w:highlight w:val="none"/>
                <w:lang w:val="en-US" w:eastAsia="zh-CN"/>
              </w:rPr>
              <w:t>0.5</w:t>
            </w:r>
            <w:r>
              <w:rPr>
                <w:rFonts w:hint="eastAsia" w:ascii="宋体"/>
                <w:color w:val="auto"/>
                <w:highlight w:val="none"/>
              </w:rPr>
              <w:t>分，最多</w:t>
            </w:r>
            <w:r>
              <w:rPr>
                <w:rFonts w:hint="eastAsia" w:ascii="宋体"/>
                <w:color w:val="auto"/>
                <w:highlight w:val="none"/>
                <w:lang w:val="en-US" w:eastAsia="zh-CN"/>
              </w:rPr>
              <w:t>1</w:t>
            </w:r>
            <w:r>
              <w:rPr>
                <w:rFonts w:hint="eastAsia" w:ascii="宋体"/>
                <w:color w:val="auto"/>
                <w:highlight w:val="none"/>
              </w:rPr>
              <w:t>分</w:t>
            </w:r>
            <w:r>
              <w:rPr>
                <w:rFonts w:hint="eastAsia" w:ascii="宋体"/>
                <w:b/>
                <w:color w:val="auto"/>
                <w:highlight w:val="none"/>
              </w:rPr>
              <w:t xml:space="preserve">（投标文件中提供合同复印件并加盖投标人公章）  </w:t>
            </w:r>
            <w:r>
              <w:rPr>
                <w:rFonts w:hint="eastAsia" w:ascii="宋体" w:hAnsi="宋体"/>
                <w:color w:val="auto"/>
                <w:highlight w:val="none"/>
              </w:rPr>
              <w:t xml:space="preserve"> 0-</w:t>
            </w:r>
            <w:r>
              <w:rPr>
                <w:rFonts w:hint="eastAsia" w:ascii="宋体" w:hAnsi="宋体"/>
                <w:color w:val="auto"/>
                <w:highlight w:val="none"/>
                <w:lang w:val="en-US" w:eastAsia="zh-CN"/>
              </w:rPr>
              <w:t>1</w:t>
            </w:r>
            <w:r>
              <w:rPr>
                <w:rFonts w:hint="eastAsia" w:ascii="宋体" w:hAnsi="宋体"/>
                <w:color w:val="auto"/>
                <w:highlight w:val="none"/>
              </w:rPr>
              <w:t>分</w:t>
            </w:r>
          </w:p>
        </w:tc>
        <w:tc>
          <w:tcPr>
            <w:tcW w:w="992" w:type="dxa"/>
            <w:noWrap w:val="0"/>
            <w:vAlign w:val="center"/>
          </w:tcPr>
          <w:p>
            <w:pPr>
              <w:jc w:val="center"/>
              <w:rPr>
                <w:rFonts w:hint="eastAsia" w:ascii="宋体" w:hAnsi="宋体"/>
                <w:color w:val="auto"/>
                <w:szCs w:val="21"/>
                <w:highlight w:val="none"/>
              </w:rPr>
            </w:pPr>
            <w:r>
              <w:rPr>
                <w:rFonts w:hint="eastAsia" w:ascii="宋体" w:hAnsi="宋体"/>
                <w:color w:val="auto"/>
                <w:highlight w:val="none"/>
              </w:rPr>
              <w:t>0-</w:t>
            </w:r>
            <w:r>
              <w:rPr>
                <w:rFonts w:hint="eastAsia" w:ascii="宋体" w:hAnsi="宋体"/>
                <w:color w:val="auto"/>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noWrap w:val="0"/>
            <w:vAlign w:val="center"/>
          </w:tcPr>
          <w:p>
            <w:pPr>
              <w:spacing w:after="60" w:afterLines="25" w:line="36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2</w:t>
            </w:r>
          </w:p>
        </w:tc>
        <w:tc>
          <w:tcPr>
            <w:tcW w:w="1361" w:type="dxa"/>
            <w:noWrap w:val="0"/>
            <w:vAlign w:val="center"/>
          </w:tcPr>
          <w:p>
            <w:pPr>
              <w:spacing w:line="360" w:lineRule="auto"/>
              <w:rPr>
                <w:rFonts w:hint="eastAsia" w:ascii="宋体" w:hAnsi="宋体" w:cs="宋体"/>
                <w:color w:val="auto"/>
                <w:szCs w:val="21"/>
                <w:highlight w:val="none"/>
              </w:rPr>
            </w:pPr>
            <w:r>
              <w:rPr>
                <w:rFonts w:hint="eastAsia" w:ascii="宋体"/>
                <w:color w:val="auto"/>
                <w:highlight w:val="none"/>
              </w:rPr>
              <w:t>扶贫（2分）</w:t>
            </w:r>
          </w:p>
        </w:tc>
        <w:tc>
          <w:tcPr>
            <w:tcW w:w="6126" w:type="dxa"/>
            <w:noWrap w:val="0"/>
            <w:vAlign w:val="center"/>
          </w:tcPr>
          <w:p>
            <w:pPr>
              <w:spacing w:line="360" w:lineRule="auto"/>
              <w:rPr>
                <w:rFonts w:hint="eastAsia" w:ascii="宋体"/>
                <w:color w:val="auto"/>
                <w:highlight w:val="none"/>
              </w:rPr>
            </w:pPr>
            <w:r>
              <w:rPr>
                <w:rFonts w:hint="eastAsia" w:ascii="宋体"/>
                <w:color w:val="auto"/>
                <w:highlight w:val="none"/>
              </w:rPr>
              <w:t>在供货清单中能提供贫困地区或政府扶持地区农产品的得2分</w:t>
            </w:r>
            <w:r>
              <w:rPr>
                <w:rFonts w:hint="eastAsia" w:ascii="宋体"/>
                <w:b/>
                <w:bCs/>
                <w:color w:val="auto"/>
                <w:highlight w:val="none"/>
              </w:rPr>
              <w:t>（投标文件中至少提供一项证明材料复印件并加盖投标人公章）</w:t>
            </w:r>
          </w:p>
        </w:tc>
        <w:tc>
          <w:tcPr>
            <w:tcW w:w="992" w:type="dxa"/>
            <w:noWrap w:val="0"/>
            <w:vAlign w:val="center"/>
          </w:tcPr>
          <w:p>
            <w:pPr>
              <w:spacing w:line="360" w:lineRule="auto"/>
              <w:ind w:firstLine="210" w:firstLineChars="100"/>
              <w:rPr>
                <w:rFonts w:hint="eastAsia" w:ascii="宋体" w:hAnsi="宋体"/>
                <w:color w:val="auto"/>
                <w:highlight w:val="none"/>
              </w:rPr>
            </w:pPr>
            <w:r>
              <w:rPr>
                <w:rFonts w:hint="eastAsia" w:ascii="宋体"/>
                <w:color w:val="auto"/>
                <w:highlight w:val="none"/>
                <w:lang w:val="en-US" w:eastAsia="zh-CN"/>
              </w:rPr>
              <w:t>0-</w:t>
            </w:r>
            <w:r>
              <w:rPr>
                <w:rFonts w:hint="eastAsia" w:ascii="宋体"/>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vMerge w:val="restart"/>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3</w:t>
            </w:r>
          </w:p>
        </w:tc>
        <w:tc>
          <w:tcPr>
            <w:tcW w:w="1361" w:type="dxa"/>
            <w:vMerge w:val="restart"/>
            <w:noWrap w:val="0"/>
            <w:vAlign w:val="center"/>
          </w:tcPr>
          <w:p>
            <w:pPr>
              <w:spacing w:after="60" w:afterLines="25" w:line="360" w:lineRule="exact"/>
              <w:jc w:val="center"/>
              <w:rPr>
                <w:rFonts w:ascii="宋体" w:hAnsi="宋体"/>
                <w:color w:val="auto"/>
                <w:szCs w:val="21"/>
                <w:highlight w:val="none"/>
              </w:rPr>
            </w:pPr>
            <w:r>
              <w:rPr>
                <w:rFonts w:hint="eastAsia" w:ascii="宋体" w:hAnsi="宋体"/>
                <w:color w:val="auto"/>
                <w:szCs w:val="21"/>
                <w:highlight w:val="none"/>
              </w:rPr>
              <w:t>供货方案（</w:t>
            </w:r>
            <w:r>
              <w:rPr>
                <w:rFonts w:hint="eastAsia" w:ascii="宋体" w:hAnsi="宋体"/>
                <w:color w:val="auto"/>
                <w:szCs w:val="21"/>
                <w:highlight w:val="none"/>
                <w:lang w:val="en-US" w:eastAsia="zh-CN"/>
              </w:rPr>
              <w:t>45</w:t>
            </w:r>
            <w:r>
              <w:rPr>
                <w:rFonts w:hint="eastAsia" w:ascii="宋体" w:hAnsi="宋体"/>
                <w:color w:val="auto"/>
                <w:szCs w:val="21"/>
                <w:highlight w:val="none"/>
              </w:rPr>
              <w:t>分）</w:t>
            </w:r>
          </w:p>
        </w:tc>
        <w:tc>
          <w:tcPr>
            <w:tcW w:w="6126" w:type="dxa"/>
            <w:noWrap w:val="0"/>
            <w:vAlign w:val="center"/>
          </w:tcPr>
          <w:p>
            <w:pPr>
              <w:spacing w:after="60" w:afterLines="25" w:line="360" w:lineRule="exact"/>
              <w:rPr>
                <w:rFonts w:ascii="宋体" w:hAnsi="宋体"/>
                <w:color w:val="auto"/>
                <w:szCs w:val="21"/>
                <w:highlight w:val="none"/>
              </w:rPr>
            </w:pPr>
            <w:r>
              <w:rPr>
                <w:rFonts w:hint="eastAsia" w:ascii="宋体" w:hAnsi="宋体"/>
                <w:color w:val="auto"/>
                <w:szCs w:val="21"/>
                <w:highlight w:val="none"/>
              </w:rPr>
              <w:t>针对本项目采购产品，供应商提供进货渠道证明材料、正品保证措施，</w:t>
            </w:r>
            <w:r>
              <w:rPr>
                <w:rFonts w:hint="eastAsia" w:ascii="宋体" w:hAnsi="宋体"/>
                <w:color w:val="auto"/>
                <w:szCs w:val="21"/>
                <w:highlight w:val="none"/>
                <w:lang w:val="en-US" w:eastAsia="zh-CN"/>
              </w:rPr>
              <w:t>进货渠道明确、证明单据齐全、采购品牌优质</w:t>
            </w:r>
            <w:r>
              <w:rPr>
                <w:rFonts w:hint="eastAsia" w:ascii="宋体" w:hAnsi="宋体"/>
                <w:color w:val="auto"/>
                <w:szCs w:val="21"/>
                <w:highlight w:val="none"/>
              </w:rPr>
              <w:t>得</w:t>
            </w:r>
            <w:r>
              <w:rPr>
                <w:rFonts w:hint="eastAsia" w:ascii="宋体" w:hAnsi="宋体"/>
                <w:color w:val="auto"/>
                <w:szCs w:val="21"/>
                <w:highlight w:val="none"/>
                <w:lang w:val="en-US" w:eastAsia="zh-CN"/>
              </w:rPr>
              <w:t>5-8</w:t>
            </w:r>
            <w:r>
              <w:rPr>
                <w:rFonts w:hint="eastAsia" w:ascii="宋体" w:hAnsi="宋体"/>
                <w:color w:val="auto"/>
                <w:szCs w:val="21"/>
                <w:highlight w:val="none"/>
              </w:rPr>
              <w:t>分，</w:t>
            </w:r>
            <w:r>
              <w:rPr>
                <w:rFonts w:hint="eastAsia" w:ascii="宋体" w:hAnsi="宋体"/>
                <w:color w:val="auto"/>
                <w:szCs w:val="21"/>
                <w:highlight w:val="none"/>
                <w:lang w:val="en-US" w:eastAsia="zh-CN"/>
              </w:rPr>
              <w:t>基本符合采购需求的得2-5</w:t>
            </w:r>
            <w:r>
              <w:rPr>
                <w:rFonts w:hint="eastAsia" w:ascii="宋体" w:hAnsi="宋体"/>
                <w:color w:val="auto"/>
                <w:szCs w:val="21"/>
                <w:highlight w:val="none"/>
              </w:rPr>
              <w:t>（不含）</w:t>
            </w:r>
            <w:r>
              <w:rPr>
                <w:rFonts w:hint="eastAsia" w:ascii="宋体" w:hAnsi="宋体"/>
                <w:color w:val="auto"/>
                <w:szCs w:val="21"/>
                <w:highlight w:val="none"/>
                <w:lang w:val="en-US" w:eastAsia="zh-CN"/>
              </w:rPr>
              <w:t>分，</w:t>
            </w:r>
            <w:r>
              <w:rPr>
                <w:rFonts w:hint="eastAsia" w:ascii="宋体" w:hAnsi="宋体"/>
                <w:color w:val="auto"/>
                <w:szCs w:val="21"/>
                <w:highlight w:val="none"/>
              </w:rPr>
              <w:t>基本描述的得</w:t>
            </w:r>
            <w:r>
              <w:rPr>
                <w:rFonts w:hint="eastAsia" w:ascii="宋体" w:hAnsi="宋体"/>
                <w:color w:val="auto"/>
                <w:szCs w:val="21"/>
                <w:highlight w:val="none"/>
                <w:lang w:val="en-US" w:eastAsia="zh-CN"/>
              </w:rPr>
              <w:t>1</w:t>
            </w:r>
            <w:r>
              <w:rPr>
                <w:rFonts w:hint="eastAsia" w:ascii="宋体" w:hAnsi="宋体"/>
                <w:color w:val="auto"/>
                <w:szCs w:val="21"/>
                <w:highlight w:val="none"/>
              </w:rPr>
              <w:t>分，</w:t>
            </w:r>
            <w:r>
              <w:rPr>
                <w:rFonts w:hint="eastAsia" w:ascii="宋体" w:hAnsi="宋体"/>
                <w:color w:val="auto"/>
                <w:highlight w:val="none"/>
              </w:rPr>
              <w:t>缺项的，得0分。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rPr>
              <w:t>0</w:t>
            </w:r>
            <w:r>
              <w:rPr>
                <w:rFonts w:ascii="宋体" w:hAnsi="宋体"/>
                <w:color w:val="auto"/>
                <w:szCs w:val="21"/>
                <w:highlight w:val="none"/>
              </w:rPr>
              <w:t>-</w:t>
            </w:r>
            <w:r>
              <w:rPr>
                <w:rFonts w:hint="eastAsia" w:ascii="宋体" w:hAnsi="宋体"/>
                <w:color w:val="auto"/>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vMerge w:val="continue"/>
            <w:noWrap w:val="0"/>
            <w:vAlign w:val="center"/>
          </w:tcPr>
          <w:p>
            <w:pPr>
              <w:spacing w:after="60" w:afterLines="25" w:line="360" w:lineRule="exact"/>
              <w:jc w:val="center"/>
              <w:rPr>
                <w:rFonts w:ascii="宋体" w:hAnsi="宋体"/>
                <w:color w:val="auto"/>
                <w:szCs w:val="21"/>
                <w:highlight w:val="none"/>
              </w:rPr>
            </w:pPr>
          </w:p>
        </w:tc>
        <w:tc>
          <w:tcPr>
            <w:tcW w:w="1361" w:type="dxa"/>
            <w:vMerge w:val="continue"/>
            <w:noWrap w:val="0"/>
            <w:vAlign w:val="center"/>
          </w:tcPr>
          <w:p>
            <w:pPr>
              <w:spacing w:after="60" w:afterLines="25" w:line="360" w:lineRule="exact"/>
              <w:jc w:val="center"/>
              <w:rPr>
                <w:rFonts w:ascii="宋体" w:hAnsi="宋体"/>
                <w:color w:val="auto"/>
                <w:szCs w:val="21"/>
                <w:highlight w:val="none"/>
              </w:rPr>
            </w:pPr>
          </w:p>
        </w:tc>
        <w:tc>
          <w:tcPr>
            <w:tcW w:w="6126" w:type="dxa"/>
            <w:noWrap w:val="0"/>
            <w:vAlign w:val="center"/>
          </w:tcPr>
          <w:p>
            <w:pPr>
              <w:numPr>
                <w:ilvl w:val="0"/>
                <w:numId w:val="7"/>
              </w:numPr>
              <w:spacing w:after="60" w:afterLines="25" w:line="360" w:lineRule="exact"/>
              <w:rPr>
                <w:rFonts w:hint="eastAsia" w:ascii="宋体" w:hAnsi="宋体"/>
                <w:color w:val="auto"/>
                <w:highlight w:val="none"/>
              </w:rPr>
            </w:pPr>
            <w:r>
              <w:rPr>
                <w:rFonts w:hint="eastAsia" w:ascii="宋体" w:hAnsi="宋体"/>
                <w:color w:val="auto"/>
                <w:szCs w:val="21"/>
                <w:highlight w:val="none"/>
              </w:rPr>
              <w:t>供应商提供的质量保证措施：合理可行、全面、完整的得</w:t>
            </w:r>
            <w:r>
              <w:rPr>
                <w:rFonts w:ascii="宋体" w:hAnsi="宋体"/>
                <w:color w:val="auto"/>
                <w:szCs w:val="21"/>
                <w:highlight w:val="none"/>
              </w:rPr>
              <w:t>3-</w:t>
            </w:r>
            <w:r>
              <w:rPr>
                <w:rFonts w:hint="eastAsia" w:ascii="宋体" w:hAnsi="宋体"/>
                <w:color w:val="auto"/>
                <w:szCs w:val="21"/>
                <w:highlight w:val="none"/>
                <w:lang w:val="en-US" w:eastAsia="zh-CN"/>
              </w:rPr>
              <w:t>6</w:t>
            </w:r>
            <w:r>
              <w:rPr>
                <w:rFonts w:hint="eastAsia" w:ascii="宋体" w:hAnsi="宋体"/>
                <w:color w:val="auto"/>
                <w:szCs w:val="21"/>
                <w:highlight w:val="none"/>
              </w:rPr>
              <w:t>分，基本描述的得1</w:t>
            </w:r>
            <w:r>
              <w:rPr>
                <w:rFonts w:ascii="宋体" w:hAnsi="宋体"/>
                <w:color w:val="auto"/>
                <w:szCs w:val="21"/>
                <w:highlight w:val="none"/>
              </w:rPr>
              <w:t>-3</w:t>
            </w:r>
            <w:r>
              <w:rPr>
                <w:rFonts w:hint="eastAsia" w:ascii="宋体" w:hAnsi="宋体"/>
                <w:color w:val="auto"/>
                <w:szCs w:val="21"/>
                <w:highlight w:val="none"/>
              </w:rPr>
              <w:t>（不含）分，</w:t>
            </w:r>
            <w:r>
              <w:rPr>
                <w:rFonts w:hint="eastAsia" w:ascii="宋体" w:hAnsi="宋体"/>
                <w:color w:val="auto"/>
                <w:highlight w:val="none"/>
              </w:rPr>
              <w:t>缺项的，得0分。</w:t>
            </w:r>
          </w:p>
          <w:p>
            <w:pPr>
              <w:numPr>
                <w:ilvl w:val="0"/>
                <w:numId w:val="0"/>
              </w:numPr>
              <w:spacing w:after="60" w:afterLines="25" w:line="360" w:lineRule="exact"/>
              <w:rPr>
                <w:rFonts w:hint="default" w:ascii="宋体" w:hAnsi="宋体" w:eastAsia="宋体"/>
                <w:color w:val="auto"/>
                <w:szCs w:val="21"/>
                <w:highlight w:val="none"/>
                <w:lang w:val="en-US" w:eastAsia="zh-CN"/>
              </w:rPr>
            </w:pPr>
            <w:r>
              <w:rPr>
                <w:rFonts w:hint="eastAsia" w:ascii="宋体" w:hAnsi="宋体"/>
                <w:color w:val="auto"/>
                <w:highlight w:val="none"/>
                <w:lang w:val="en-US" w:eastAsia="zh-CN"/>
              </w:rPr>
              <w:t>2.供应商对所供产品质量的自查方案，对外观、性状、产品质量制定科学、合理、有效的自查方案</w:t>
            </w:r>
            <w:r>
              <w:rPr>
                <w:rFonts w:hint="eastAsia" w:ascii="宋体" w:hAnsi="宋体"/>
                <w:color w:val="auto"/>
                <w:szCs w:val="21"/>
                <w:highlight w:val="none"/>
              </w:rPr>
              <w:t>的得</w:t>
            </w:r>
            <w:r>
              <w:rPr>
                <w:rFonts w:ascii="宋体" w:hAnsi="宋体"/>
                <w:color w:val="auto"/>
                <w:szCs w:val="21"/>
                <w:highlight w:val="none"/>
              </w:rPr>
              <w:t>3-</w:t>
            </w:r>
            <w:r>
              <w:rPr>
                <w:rFonts w:hint="eastAsia" w:ascii="宋体" w:hAnsi="宋体"/>
                <w:color w:val="auto"/>
                <w:szCs w:val="21"/>
                <w:highlight w:val="none"/>
                <w:lang w:val="en-US" w:eastAsia="zh-CN"/>
              </w:rPr>
              <w:t>6</w:t>
            </w:r>
            <w:r>
              <w:rPr>
                <w:rFonts w:hint="eastAsia" w:ascii="宋体" w:hAnsi="宋体"/>
                <w:color w:val="auto"/>
                <w:szCs w:val="21"/>
                <w:highlight w:val="none"/>
              </w:rPr>
              <w:t>分，基本描述的得1</w:t>
            </w:r>
            <w:r>
              <w:rPr>
                <w:rFonts w:ascii="宋体" w:hAnsi="宋体"/>
                <w:color w:val="auto"/>
                <w:szCs w:val="21"/>
                <w:highlight w:val="none"/>
              </w:rPr>
              <w:t>-3</w:t>
            </w:r>
            <w:r>
              <w:rPr>
                <w:rFonts w:hint="eastAsia" w:ascii="宋体" w:hAnsi="宋体"/>
                <w:color w:val="auto"/>
                <w:szCs w:val="21"/>
                <w:highlight w:val="none"/>
              </w:rPr>
              <w:t>（不含）分，</w:t>
            </w:r>
            <w:r>
              <w:rPr>
                <w:rFonts w:hint="eastAsia" w:ascii="宋体" w:hAnsi="宋体"/>
                <w:color w:val="auto"/>
                <w:highlight w:val="none"/>
              </w:rPr>
              <w:t>缺项的，得0分。</w:t>
            </w:r>
          </w:p>
        </w:tc>
        <w:tc>
          <w:tcPr>
            <w:tcW w:w="992" w:type="dxa"/>
            <w:noWrap w:val="0"/>
            <w:vAlign w:val="center"/>
          </w:tcPr>
          <w:p>
            <w:pPr>
              <w:spacing w:after="60" w:afterLines="25" w:line="360" w:lineRule="exact"/>
              <w:jc w:val="center"/>
              <w:rPr>
                <w:rFonts w:hint="default" w:ascii="宋体" w:hAnsi="宋体" w:eastAsia="宋体"/>
                <w:color w:val="auto"/>
                <w:szCs w:val="21"/>
                <w:highlight w:val="none"/>
                <w:lang w:val="en-US" w:eastAsia="zh-CN"/>
              </w:rPr>
            </w:pPr>
            <w:r>
              <w:rPr>
                <w:rFonts w:hint="eastAsia" w:ascii="宋体" w:hAnsi="宋体" w:cs="宋体"/>
                <w:color w:val="auto"/>
                <w:szCs w:val="21"/>
                <w:highlight w:val="none"/>
              </w:rPr>
              <w:t>0-</w:t>
            </w:r>
            <w:r>
              <w:rPr>
                <w:rFonts w:hint="eastAsia" w:ascii="宋体" w:hAnsi="宋体" w:cs="宋体"/>
                <w:color w:val="auto"/>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vMerge w:val="continue"/>
            <w:noWrap w:val="0"/>
            <w:vAlign w:val="center"/>
          </w:tcPr>
          <w:p>
            <w:pPr>
              <w:spacing w:after="60" w:afterLines="25" w:line="360" w:lineRule="exact"/>
              <w:jc w:val="center"/>
              <w:rPr>
                <w:rFonts w:ascii="宋体" w:hAnsi="宋体"/>
                <w:color w:val="auto"/>
                <w:szCs w:val="21"/>
                <w:highlight w:val="none"/>
              </w:rPr>
            </w:pPr>
          </w:p>
        </w:tc>
        <w:tc>
          <w:tcPr>
            <w:tcW w:w="1361" w:type="dxa"/>
            <w:vMerge w:val="continue"/>
            <w:noWrap w:val="0"/>
            <w:vAlign w:val="center"/>
          </w:tcPr>
          <w:p>
            <w:pPr>
              <w:spacing w:after="60" w:afterLines="25" w:line="360" w:lineRule="exact"/>
              <w:jc w:val="center"/>
              <w:rPr>
                <w:rFonts w:ascii="宋体" w:hAnsi="宋体"/>
                <w:color w:val="auto"/>
                <w:szCs w:val="21"/>
                <w:highlight w:val="none"/>
              </w:rPr>
            </w:pPr>
          </w:p>
        </w:tc>
        <w:tc>
          <w:tcPr>
            <w:tcW w:w="6126" w:type="dxa"/>
            <w:noWrap w:val="0"/>
            <w:vAlign w:val="center"/>
          </w:tcPr>
          <w:p>
            <w:pPr>
              <w:spacing w:after="60" w:afterLines="25" w:line="360" w:lineRule="exact"/>
              <w:rPr>
                <w:rFonts w:ascii="宋体" w:hAnsi="宋体"/>
                <w:color w:val="auto"/>
                <w:szCs w:val="21"/>
                <w:highlight w:val="none"/>
              </w:rPr>
            </w:pPr>
            <w:r>
              <w:rPr>
                <w:rFonts w:hint="eastAsia" w:ascii="宋体" w:hAnsi="宋体"/>
                <w:color w:val="auto"/>
                <w:szCs w:val="21"/>
                <w:highlight w:val="none"/>
              </w:rPr>
              <w:t>根据供应商提供的卫生安全制度：合理可行、规范、全面的得</w:t>
            </w:r>
            <w:r>
              <w:rPr>
                <w:rFonts w:hint="eastAsia" w:ascii="宋体" w:hAnsi="宋体"/>
                <w:color w:val="auto"/>
                <w:szCs w:val="21"/>
                <w:highlight w:val="none"/>
                <w:lang w:val="en-US" w:eastAsia="zh-CN"/>
              </w:rPr>
              <w:t>4-7</w:t>
            </w:r>
            <w:r>
              <w:rPr>
                <w:rFonts w:hint="eastAsia" w:ascii="宋体" w:hAnsi="宋体"/>
                <w:color w:val="auto"/>
                <w:szCs w:val="21"/>
                <w:highlight w:val="none"/>
              </w:rPr>
              <w:t>分，基本描述的得1</w:t>
            </w:r>
            <w:r>
              <w:rPr>
                <w:rFonts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（不含）分，缺项的，得0分。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s="宋体"/>
                <w:color w:val="auto"/>
                <w:szCs w:val="21"/>
                <w:highlight w:val="none"/>
              </w:rPr>
              <w:t>0-</w:t>
            </w:r>
            <w:r>
              <w:rPr>
                <w:rFonts w:hint="eastAsia" w:ascii="宋体" w:hAnsi="宋体" w:cs="宋体"/>
                <w:color w:val="auto"/>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vMerge w:val="continue"/>
            <w:noWrap w:val="0"/>
            <w:vAlign w:val="center"/>
          </w:tcPr>
          <w:p>
            <w:pPr>
              <w:spacing w:after="60" w:afterLines="25" w:line="360" w:lineRule="exact"/>
              <w:jc w:val="center"/>
              <w:rPr>
                <w:rFonts w:ascii="宋体" w:hAnsi="宋体"/>
                <w:color w:val="auto"/>
                <w:szCs w:val="21"/>
                <w:highlight w:val="none"/>
              </w:rPr>
            </w:pPr>
          </w:p>
        </w:tc>
        <w:tc>
          <w:tcPr>
            <w:tcW w:w="1361" w:type="dxa"/>
            <w:vMerge w:val="continue"/>
            <w:noWrap w:val="0"/>
            <w:vAlign w:val="center"/>
          </w:tcPr>
          <w:p>
            <w:pPr>
              <w:spacing w:after="60" w:afterLines="25" w:line="360" w:lineRule="exact"/>
              <w:jc w:val="center"/>
              <w:rPr>
                <w:rFonts w:ascii="宋体" w:hAnsi="宋体"/>
                <w:color w:val="auto"/>
                <w:szCs w:val="21"/>
                <w:highlight w:val="none"/>
              </w:rPr>
            </w:pPr>
          </w:p>
        </w:tc>
        <w:tc>
          <w:tcPr>
            <w:tcW w:w="6126" w:type="dxa"/>
            <w:noWrap w:val="0"/>
            <w:vAlign w:val="center"/>
          </w:tcPr>
          <w:p>
            <w:pPr>
              <w:spacing w:after="60" w:afterLines="25" w:line="360" w:lineRule="exact"/>
              <w:rPr>
                <w:rFonts w:ascii="宋体" w:hAnsi="宋体"/>
                <w:color w:val="auto"/>
                <w:szCs w:val="21"/>
                <w:highlight w:val="none"/>
              </w:rPr>
            </w:pPr>
            <w:r>
              <w:rPr>
                <w:rFonts w:hint="eastAsia" w:ascii="宋体" w:hAnsi="宋体"/>
                <w:color w:val="auto"/>
                <w:szCs w:val="21"/>
                <w:highlight w:val="none"/>
              </w:rPr>
              <w:t>根据供应商提供的验收方案，科学、合理的得3</w:t>
            </w:r>
            <w:r>
              <w:rPr>
                <w:rFonts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分，基本描述的得1</w:t>
            </w:r>
            <w:r>
              <w:rPr>
                <w:rFonts w:ascii="宋体" w:hAnsi="宋体"/>
                <w:color w:val="auto"/>
                <w:szCs w:val="21"/>
                <w:highlight w:val="none"/>
              </w:rPr>
              <w:t>-3</w:t>
            </w:r>
            <w:r>
              <w:rPr>
                <w:rFonts w:hint="eastAsia" w:ascii="宋体" w:hAnsi="宋体"/>
                <w:color w:val="auto"/>
                <w:szCs w:val="21"/>
                <w:highlight w:val="none"/>
              </w:rPr>
              <w:t>（不含）分，缺项的，得0分。</w:t>
            </w:r>
          </w:p>
        </w:tc>
        <w:tc>
          <w:tcPr>
            <w:tcW w:w="992" w:type="dxa"/>
            <w:noWrap w:val="0"/>
            <w:vAlign w:val="center"/>
          </w:tcPr>
          <w:p>
            <w:pPr>
              <w:spacing w:after="60" w:afterLines="25"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0</w:t>
            </w:r>
            <w:r>
              <w:rPr>
                <w:rFonts w:ascii="宋体" w:hAnsi="宋体" w:cs="宋体"/>
                <w:color w:val="auto"/>
                <w:szCs w:val="21"/>
                <w:highlight w:val="none"/>
              </w:rPr>
              <w:t>-</w:t>
            </w:r>
            <w:r>
              <w:rPr>
                <w:rFonts w:hint="eastAsia" w:ascii="宋体" w:hAnsi="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vMerge w:val="continue"/>
            <w:noWrap w:val="0"/>
            <w:vAlign w:val="center"/>
          </w:tcPr>
          <w:p>
            <w:pPr>
              <w:spacing w:after="60" w:afterLines="25" w:line="360" w:lineRule="exact"/>
              <w:jc w:val="center"/>
              <w:rPr>
                <w:rFonts w:ascii="宋体" w:hAnsi="宋体"/>
                <w:color w:val="auto"/>
                <w:szCs w:val="21"/>
                <w:highlight w:val="none"/>
              </w:rPr>
            </w:pPr>
          </w:p>
        </w:tc>
        <w:tc>
          <w:tcPr>
            <w:tcW w:w="1361" w:type="dxa"/>
            <w:vMerge w:val="continue"/>
            <w:noWrap w:val="0"/>
            <w:vAlign w:val="center"/>
          </w:tcPr>
          <w:p>
            <w:pPr>
              <w:spacing w:after="60" w:afterLines="25" w:line="360" w:lineRule="exact"/>
              <w:jc w:val="center"/>
              <w:rPr>
                <w:rFonts w:ascii="宋体" w:hAnsi="宋体"/>
                <w:color w:val="auto"/>
                <w:szCs w:val="21"/>
                <w:highlight w:val="none"/>
              </w:rPr>
            </w:pPr>
          </w:p>
        </w:tc>
        <w:tc>
          <w:tcPr>
            <w:tcW w:w="6126" w:type="dxa"/>
            <w:noWrap w:val="0"/>
            <w:vAlign w:val="center"/>
          </w:tcPr>
          <w:p>
            <w:pPr>
              <w:spacing w:after="60" w:afterLines="25" w:line="360" w:lineRule="exact"/>
              <w:rPr>
                <w:rFonts w:ascii="宋体" w:hAnsi="宋体"/>
                <w:color w:val="auto"/>
                <w:szCs w:val="21"/>
                <w:highlight w:val="none"/>
              </w:rPr>
            </w:pPr>
            <w:r>
              <w:rPr>
                <w:rFonts w:hint="eastAsia" w:ascii="宋体" w:hAnsi="宋体"/>
                <w:color w:val="auto"/>
                <w:szCs w:val="21"/>
                <w:highlight w:val="none"/>
              </w:rPr>
              <w:t>根据供应商提供的配送方案，根据供应商的项目人员组成、配送响应进度、配送方案进行综合打分：提供的方案切实可行、有效的</w:t>
            </w:r>
            <w:r>
              <w:rPr>
                <w:rFonts w:ascii="宋体" w:hAnsi="宋体"/>
                <w:color w:val="auto"/>
                <w:szCs w:val="21"/>
                <w:highlight w:val="none"/>
              </w:rPr>
              <w:t>3-</w:t>
            </w:r>
            <w:r>
              <w:rPr>
                <w:rFonts w:hint="eastAsia" w:ascii="宋体" w:hAnsi="宋体"/>
                <w:color w:val="auto"/>
                <w:szCs w:val="21"/>
                <w:highlight w:val="none"/>
                <w:lang w:val="en-US" w:eastAsia="zh-CN"/>
              </w:rPr>
              <w:t>6</w:t>
            </w:r>
            <w:r>
              <w:rPr>
                <w:rFonts w:hint="eastAsia" w:ascii="宋体" w:hAnsi="宋体"/>
                <w:color w:val="auto"/>
                <w:szCs w:val="21"/>
                <w:highlight w:val="none"/>
              </w:rPr>
              <w:t>分，基本描述的得1</w:t>
            </w:r>
            <w:r>
              <w:rPr>
                <w:rFonts w:ascii="宋体" w:hAnsi="宋体"/>
                <w:color w:val="auto"/>
                <w:szCs w:val="21"/>
                <w:highlight w:val="none"/>
              </w:rPr>
              <w:t>-3</w:t>
            </w:r>
            <w:r>
              <w:rPr>
                <w:rFonts w:hint="eastAsia" w:ascii="宋体" w:hAnsi="宋体"/>
                <w:color w:val="auto"/>
                <w:szCs w:val="21"/>
                <w:highlight w:val="none"/>
              </w:rPr>
              <w:t>（不含）分，缺项的，得0分。</w:t>
            </w:r>
          </w:p>
        </w:tc>
        <w:tc>
          <w:tcPr>
            <w:tcW w:w="992" w:type="dxa"/>
            <w:noWrap w:val="0"/>
            <w:vAlign w:val="center"/>
          </w:tcPr>
          <w:p>
            <w:pPr>
              <w:spacing w:after="60" w:afterLines="25"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0</w:t>
            </w:r>
            <w:r>
              <w:rPr>
                <w:rFonts w:ascii="宋体" w:hAnsi="宋体" w:cs="宋体"/>
                <w:color w:val="auto"/>
                <w:szCs w:val="21"/>
                <w:highlight w:val="none"/>
              </w:rPr>
              <w:t>-</w:t>
            </w:r>
            <w:r>
              <w:rPr>
                <w:rFonts w:hint="eastAsia" w:ascii="宋体" w:hAnsi="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vMerge w:val="continue"/>
            <w:noWrap w:val="0"/>
            <w:vAlign w:val="center"/>
          </w:tcPr>
          <w:p>
            <w:pPr>
              <w:spacing w:after="60" w:afterLines="25" w:line="360" w:lineRule="exact"/>
              <w:jc w:val="center"/>
              <w:rPr>
                <w:rFonts w:ascii="宋体" w:hAnsi="宋体"/>
                <w:color w:val="auto"/>
                <w:szCs w:val="21"/>
                <w:highlight w:val="none"/>
              </w:rPr>
            </w:pPr>
          </w:p>
        </w:tc>
        <w:tc>
          <w:tcPr>
            <w:tcW w:w="1361" w:type="dxa"/>
            <w:vMerge w:val="continue"/>
            <w:noWrap w:val="0"/>
            <w:vAlign w:val="center"/>
          </w:tcPr>
          <w:p>
            <w:pPr>
              <w:spacing w:after="60" w:afterLines="25" w:line="360" w:lineRule="exact"/>
              <w:jc w:val="center"/>
              <w:rPr>
                <w:rFonts w:ascii="宋体" w:hAnsi="宋体"/>
                <w:color w:val="auto"/>
                <w:szCs w:val="21"/>
                <w:highlight w:val="none"/>
              </w:rPr>
            </w:pPr>
          </w:p>
        </w:tc>
        <w:tc>
          <w:tcPr>
            <w:tcW w:w="6126" w:type="dxa"/>
            <w:noWrap w:val="0"/>
            <w:vAlign w:val="center"/>
          </w:tcPr>
          <w:p>
            <w:pPr>
              <w:spacing w:after="60" w:afterLines="25" w:line="360" w:lineRule="exact"/>
              <w:rPr>
                <w:rFonts w:ascii="宋体" w:hAnsi="宋体"/>
                <w:color w:val="auto"/>
                <w:szCs w:val="21"/>
                <w:highlight w:val="none"/>
              </w:rPr>
            </w:pPr>
            <w:r>
              <w:rPr>
                <w:rFonts w:hint="eastAsia" w:ascii="宋体" w:hAnsi="宋体"/>
                <w:color w:val="auto"/>
                <w:szCs w:val="21"/>
                <w:highlight w:val="none"/>
              </w:rPr>
              <w:t>针对本项目制定的突发事件处理方案、应急预案，分析到位、解决措施合理、经济的得3-</w:t>
            </w:r>
            <w:r>
              <w:rPr>
                <w:rFonts w:hint="eastAsia" w:ascii="宋体" w:hAnsi="宋体"/>
                <w:color w:val="auto"/>
                <w:szCs w:val="21"/>
                <w:highlight w:val="none"/>
                <w:lang w:val="en-US" w:eastAsia="zh-CN"/>
              </w:rPr>
              <w:t>6</w:t>
            </w:r>
            <w:r>
              <w:rPr>
                <w:rFonts w:hint="eastAsia" w:ascii="宋体" w:hAnsi="宋体"/>
                <w:color w:val="auto"/>
                <w:szCs w:val="21"/>
                <w:highlight w:val="none"/>
              </w:rPr>
              <w:t>分，基本描述的得1-3（不含）分，缺项的得0分。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ascii="宋体" w:hAnsi="宋体"/>
                <w:color w:val="auto"/>
                <w:szCs w:val="21"/>
                <w:highlight w:val="none"/>
              </w:rPr>
              <w:t>0-</w:t>
            </w:r>
            <w:r>
              <w:rPr>
                <w:rFonts w:hint="eastAsia" w:ascii="宋体" w:hAnsi="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43" w:type="dxa"/>
            <w:vMerge w:val="restart"/>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4</w:t>
            </w:r>
          </w:p>
        </w:tc>
        <w:tc>
          <w:tcPr>
            <w:tcW w:w="1361" w:type="dxa"/>
            <w:vMerge w:val="restart"/>
            <w:noWrap w:val="0"/>
            <w:vAlign w:val="center"/>
          </w:tcPr>
          <w:p>
            <w:pPr>
              <w:spacing w:after="60" w:afterLines="25" w:line="360" w:lineRule="exact"/>
              <w:jc w:val="center"/>
              <w:rPr>
                <w:rFonts w:ascii="宋体" w:hAnsi="宋体"/>
                <w:color w:val="auto"/>
                <w:szCs w:val="21"/>
                <w:highlight w:val="none"/>
              </w:rPr>
            </w:pPr>
            <w:r>
              <w:rPr>
                <w:rFonts w:hint="eastAsia" w:ascii="宋体" w:hAnsi="宋体"/>
                <w:color w:val="auto"/>
                <w:szCs w:val="21"/>
                <w:highlight w:val="none"/>
              </w:rPr>
              <w:t>供货质量保证措施</w:t>
            </w:r>
          </w:p>
          <w:p>
            <w:pPr>
              <w:spacing w:after="60" w:afterLines="25" w:line="360" w:lineRule="exact"/>
              <w:jc w:val="center"/>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20</w:t>
            </w:r>
            <w:r>
              <w:rPr>
                <w:rFonts w:hint="eastAsia" w:ascii="宋体" w:hAnsi="宋体"/>
                <w:color w:val="auto"/>
                <w:szCs w:val="21"/>
                <w:highlight w:val="none"/>
              </w:rPr>
              <w:t>分）</w:t>
            </w:r>
          </w:p>
        </w:tc>
        <w:tc>
          <w:tcPr>
            <w:tcW w:w="6126" w:type="dxa"/>
            <w:noWrap w:val="0"/>
            <w:vAlign w:val="center"/>
          </w:tcPr>
          <w:p>
            <w:pPr>
              <w:spacing w:after="60" w:afterLines="25" w:line="360" w:lineRule="exact"/>
              <w:jc w:val="left"/>
              <w:rPr>
                <w:rFonts w:ascii="宋体" w:hAnsi="宋体"/>
                <w:color w:val="auto"/>
                <w:szCs w:val="21"/>
                <w:highlight w:val="none"/>
              </w:rPr>
            </w:pPr>
            <w:r>
              <w:rPr>
                <w:rFonts w:hint="eastAsia" w:ascii="宋体" w:hAnsi="宋体"/>
                <w:color w:val="auto"/>
                <w:szCs w:val="21"/>
                <w:highlight w:val="none"/>
                <w:lang w:val="en-US" w:eastAsia="zh-CN"/>
              </w:rPr>
              <w:t>供应商具有（自用或租赁或定点合作检测机构）专业的重金属等有害物质残留检测设备的</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设备齐全、功能先进的3-6分，基本具备的得1-3分</w:t>
            </w:r>
            <w:r>
              <w:rPr>
                <w:rFonts w:hint="eastAsia" w:ascii="宋体" w:hAnsi="宋体"/>
                <w:color w:val="auto"/>
                <w:szCs w:val="21"/>
                <w:highlight w:val="none"/>
              </w:rPr>
              <w:t>。</w:t>
            </w:r>
          </w:p>
          <w:p>
            <w:pPr>
              <w:spacing w:after="60" w:afterLines="25" w:line="360" w:lineRule="exact"/>
              <w:jc w:val="left"/>
              <w:rPr>
                <w:rFonts w:ascii="宋体" w:hAnsi="宋体"/>
                <w:color w:val="auto"/>
                <w:szCs w:val="21"/>
                <w:highlight w:val="none"/>
              </w:rPr>
            </w:pPr>
            <w:r>
              <w:rPr>
                <w:rFonts w:hint="eastAsia" w:ascii="宋体" w:hAnsi="宋体"/>
                <w:color w:val="auto"/>
                <w:szCs w:val="21"/>
                <w:highlight w:val="none"/>
              </w:rPr>
              <w:t>注：同一设备不重复计分，提供发票及设备仪器的照片（租赁的提供租赁合同及设备仪器的照片）并加盖公章，否则不得分。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ascii="宋体" w:hAnsi="宋体"/>
                <w:color w:val="auto"/>
                <w:szCs w:val="21"/>
                <w:highlight w:val="none"/>
              </w:rPr>
              <w:t>0-</w:t>
            </w:r>
            <w:r>
              <w:rPr>
                <w:rFonts w:hint="eastAsia" w:ascii="宋体" w:hAnsi="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43" w:type="dxa"/>
            <w:vMerge w:val="continue"/>
            <w:noWrap w:val="0"/>
            <w:vAlign w:val="center"/>
          </w:tcPr>
          <w:p>
            <w:pPr>
              <w:spacing w:after="60" w:afterLines="25" w:line="360" w:lineRule="exact"/>
              <w:jc w:val="center"/>
              <w:rPr>
                <w:rFonts w:ascii="宋体" w:hAnsi="宋体"/>
                <w:color w:val="auto"/>
                <w:szCs w:val="21"/>
                <w:highlight w:val="none"/>
              </w:rPr>
            </w:pPr>
          </w:p>
        </w:tc>
        <w:tc>
          <w:tcPr>
            <w:tcW w:w="1361" w:type="dxa"/>
            <w:vMerge w:val="continue"/>
            <w:noWrap w:val="0"/>
            <w:vAlign w:val="center"/>
          </w:tcPr>
          <w:p>
            <w:pPr>
              <w:spacing w:after="60" w:afterLines="25" w:line="360" w:lineRule="exact"/>
              <w:jc w:val="center"/>
              <w:rPr>
                <w:rFonts w:ascii="宋体" w:hAnsi="宋体"/>
                <w:color w:val="auto"/>
                <w:szCs w:val="21"/>
                <w:highlight w:val="none"/>
              </w:rPr>
            </w:pPr>
          </w:p>
        </w:tc>
        <w:tc>
          <w:tcPr>
            <w:tcW w:w="6126" w:type="dxa"/>
            <w:noWrap w:val="0"/>
            <w:vAlign w:val="center"/>
          </w:tcPr>
          <w:p>
            <w:pPr>
              <w:spacing w:after="60" w:afterLines="25" w:line="360" w:lineRule="exact"/>
              <w:jc w:val="left"/>
              <w:rPr>
                <w:rFonts w:ascii="宋体" w:hAnsi="宋体"/>
                <w:color w:val="auto"/>
                <w:szCs w:val="21"/>
                <w:highlight w:val="none"/>
              </w:rPr>
            </w:pPr>
            <w:r>
              <w:rPr>
                <w:rFonts w:hint="eastAsia" w:ascii="宋体" w:hAnsi="宋体"/>
                <w:color w:val="auto"/>
                <w:szCs w:val="21"/>
                <w:highlight w:val="none"/>
              </w:rPr>
              <w:t>供应商具有运货车辆的每个得</w:t>
            </w:r>
            <w:r>
              <w:rPr>
                <w:rFonts w:hint="eastAsia" w:ascii="宋体" w:hAnsi="宋体"/>
                <w:color w:val="auto"/>
                <w:szCs w:val="21"/>
                <w:highlight w:val="none"/>
                <w:lang w:val="en-US" w:eastAsia="zh-CN"/>
              </w:rPr>
              <w:t>0.5</w:t>
            </w:r>
            <w:r>
              <w:rPr>
                <w:rFonts w:hint="eastAsia" w:ascii="宋体" w:hAnsi="宋体"/>
                <w:color w:val="auto"/>
                <w:szCs w:val="21"/>
                <w:highlight w:val="none"/>
              </w:rPr>
              <w:t>分，最高得</w:t>
            </w:r>
            <w:r>
              <w:rPr>
                <w:rFonts w:hint="eastAsia" w:ascii="宋体" w:hAnsi="宋体"/>
                <w:color w:val="auto"/>
                <w:szCs w:val="21"/>
                <w:highlight w:val="none"/>
                <w:lang w:val="en-US" w:eastAsia="zh-CN"/>
              </w:rPr>
              <w:t>1</w:t>
            </w:r>
            <w:r>
              <w:rPr>
                <w:rFonts w:hint="eastAsia" w:ascii="宋体" w:hAnsi="宋体"/>
                <w:color w:val="auto"/>
                <w:szCs w:val="21"/>
                <w:highlight w:val="none"/>
              </w:rPr>
              <w:t>分</w:t>
            </w:r>
            <w:r>
              <w:rPr>
                <w:rFonts w:hint="eastAsia" w:ascii="宋体" w:hAnsi="宋体"/>
                <w:color w:val="auto"/>
                <w:szCs w:val="21"/>
                <w:highlight w:val="none"/>
                <w:lang w:eastAsia="zh-CN"/>
              </w:rPr>
              <w:t>，</w:t>
            </w:r>
            <w:r>
              <w:rPr>
                <w:rFonts w:hint="eastAsia" w:ascii="宋体" w:hAnsi="宋体"/>
                <w:color w:val="auto"/>
                <w:szCs w:val="21"/>
                <w:highlight w:val="none"/>
              </w:rPr>
              <w:t>具有</w:t>
            </w:r>
            <w:r>
              <w:rPr>
                <w:rFonts w:hint="eastAsia" w:ascii="宋体" w:hAnsi="宋体"/>
                <w:color w:val="auto"/>
                <w:szCs w:val="21"/>
                <w:highlight w:val="none"/>
                <w:lang w:val="en-US" w:eastAsia="zh-CN"/>
              </w:rPr>
              <w:t>冷藏</w:t>
            </w:r>
            <w:r>
              <w:rPr>
                <w:rFonts w:hint="eastAsia" w:ascii="宋体" w:hAnsi="宋体"/>
                <w:color w:val="auto"/>
                <w:szCs w:val="21"/>
                <w:highlight w:val="none"/>
              </w:rPr>
              <w:t>运货车辆的每个得</w:t>
            </w:r>
            <w:r>
              <w:rPr>
                <w:rFonts w:hint="eastAsia" w:ascii="宋体" w:hAnsi="宋体"/>
                <w:color w:val="auto"/>
                <w:szCs w:val="21"/>
                <w:highlight w:val="none"/>
                <w:lang w:val="en-US" w:eastAsia="zh-CN"/>
              </w:rPr>
              <w:t>1</w:t>
            </w:r>
            <w:r>
              <w:rPr>
                <w:rFonts w:hint="eastAsia" w:ascii="宋体" w:hAnsi="宋体"/>
                <w:color w:val="auto"/>
                <w:szCs w:val="21"/>
                <w:highlight w:val="none"/>
              </w:rPr>
              <w:t>分</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最高得1分，本项最高得2分</w:t>
            </w:r>
            <w:r>
              <w:rPr>
                <w:rFonts w:hint="eastAsia" w:ascii="宋体" w:hAnsi="宋体"/>
                <w:color w:val="auto"/>
                <w:szCs w:val="21"/>
                <w:highlight w:val="none"/>
              </w:rPr>
              <w:t>。</w:t>
            </w:r>
          </w:p>
          <w:p>
            <w:pPr>
              <w:spacing w:after="60" w:afterLines="25" w:line="360" w:lineRule="exact"/>
              <w:jc w:val="left"/>
              <w:rPr>
                <w:rFonts w:ascii="宋体" w:hAnsi="宋体"/>
                <w:color w:val="auto"/>
                <w:szCs w:val="21"/>
                <w:highlight w:val="none"/>
              </w:rPr>
            </w:pPr>
            <w:r>
              <w:rPr>
                <w:rFonts w:hint="eastAsia" w:ascii="宋体" w:hAnsi="宋体"/>
                <w:color w:val="auto"/>
                <w:szCs w:val="21"/>
                <w:highlight w:val="none"/>
              </w:rPr>
              <w:t>注：提供发票及行驶证复印件（租赁的提供租赁合同及行驶证复印件</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行驶证上需体现车辆用途</w:t>
            </w:r>
            <w:r>
              <w:rPr>
                <w:rFonts w:hint="eastAsia" w:ascii="宋体" w:hAnsi="宋体"/>
                <w:color w:val="auto"/>
                <w:szCs w:val="21"/>
                <w:highlight w:val="none"/>
              </w:rPr>
              <w:t>）并加盖公章，否则不得分。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ascii="宋体" w:hAnsi="宋体"/>
                <w:color w:val="auto"/>
                <w:szCs w:val="21"/>
                <w:highlight w:val="none"/>
              </w:rPr>
              <w:t>0-</w:t>
            </w:r>
            <w:r>
              <w:rPr>
                <w:rFonts w:hint="eastAsia" w:ascii="宋体" w:hAnsi="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43" w:type="dxa"/>
            <w:vMerge w:val="continue"/>
            <w:noWrap w:val="0"/>
            <w:vAlign w:val="center"/>
          </w:tcPr>
          <w:p>
            <w:pPr>
              <w:spacing w:after="60" w:afterLines="25" w:line="360" w:lineRule="exact"/>
              <w:jc w:val="center"/>
              <w:rPr>
                <w:rFonts w:ascii="宋体" w:hAnsi="宋体"/>
                <w:color w:val="auto"/>
                <w:szCs w:val="21"/>
                <w:highlight w:val="none"/>
              </w:rPr>
            </w:pPr>
          </w:p>
        </w:tc>
        <w:tc>
          <w:tcPr>
            <w:tcW w:w="1361" w:type="dxa"/>
            <w:vMerge w:val="continue"/>
            <w:noWrap w:val="0"/>
            <w:vAlign w:val="center"/>
          </w:tcPr>
          <w:p>
            <w:pPr>
              <w:spacing w:after="60" w:afterLines="25" w:line="360" w:lineRule="exact"/>
              <w:jc w:val="center"/>
              <w:rPr>
                <w:rFonts w:ascii="宋体" w:hAnsi="宋体"/>
                <w:color w:val="auto"/>
                <w:szCs w:val="21"/>
                <w:highlight w:val="none"/>
              </w:rPr>
            </w:pPr>
          </w:p>
        </w:tc>
        <w:tc>
          <w:tcPr>
            <w:tcW w:w="6126" w:type="dxa"/>
            <w:noWrap w:val="0"/>
            <w:vAlign w:val="center"/>
          </w:tcPr>
          <w:p>
            <w:pPr>
              <w:spacing w:after="60" w:afterLines="25" w:line="360" w:lineRule="exact"/>
              <w:rPr>
                <w:rFonts w:ascii="宋体" w:hAnsi="宋体"/>
                <w:color w:val="auto"/>
                <w:szCs w:val="21"/>
                <w:highlight w:val="none"/>
              </w:rPr>
            </w:pPr>
            <w:r>
              <w:rPr>
                <w:rFonts w:hint="eastAsia" w:ascii="宋体" w:hAnsi="宋体"/>
                <w:color w:val="auto"/>
                <w:szCs w:val="21"/>
                <w:highlight w:val="none"/>
              </w:rPr>
              <w:t>根据供应商拟投入本项目人员配置、专业配置、岗位配置，配置合理、切实可行、有效的得</w:t>
            </w:r>
            <w:r>
              <w:rPr>
                <w:rFonts w:ascii="宋体" w:hAnsi="宋体"/>
                <w:color w:val="auto"/>
                <w:szCs w:val="21"/>
                <w:highlight w:val="none"/>
              </w:rPr>
              <w:t>3-</w:t>
            </w:r>
            <w:r>
              <w:rPr>
                <w:rFonts w:hint="eastAsia" w:ascii="宋体" w:hAnsi="宋体"/>
                <w:color w:val="auto"/>
                <w:szCs w:val="21"/>
                <w:highlight w:val="none"/>
                <w:lang w:val="en-US" w:eastAsia="zh-CN"/>
              </w:rPr>
              <w:t>6</w:t>
            </w:r>
            <w:r>
              <w:rPr>
                <w:rFonts w:hint="eastAsia" w:ascii="宋体" w:hAnsi="宋体"/>
                <w:color w:val="auto"/>
                <w:szCs w:val="21"/>
                <w:highlight w:val="none"/>
              </w:rPr>
              <w:t>分，基本配置的得1-3（不含）分，未描述的得0分。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rPr>
              <w:t>0-</w:t>
            </w:r>
            <w:r>
              <w:rPr>
                <w:rFonts w:hint="eastAsia" w:ascii="宋体" w:hAnsi="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43" w:type="dxa"/>
            <w:vMerge w:val="continue"/>
            <w:noWrap w:val="0"/>
            <w:vAlign w:val="center"/>
          </w:tcPr>
          <w:p>
            <w:pPr>
              <w:spacing w:after="60" w:afterLines="25" w:line="360" w:lineRule="exact"/>
              <w:jc w:val="center"/>
              <w:rPr>
                <w:rFonts w:ascii="宋体" w:hAnsi="宋体"/>
                <w:color w:val="auto"/>
                <w:szCs w:val="21"/>
                <w:highlight w:val="none"/>
              </w:rPr>
            </w:pPr>
          </w:p>
        </w:tc>
        <w:tc>
          <w:tcPr>
            <w:tcW w:w="1361" w:type="dxa"/>
            <w:vMerge w:val="continue"/>
            <w:noWrap w:val="0"/>
            <w:vAlign w:val="center"/>
          </w:tcPr>
          <w:p>
            <w:pPr>
              <w:spacing w:after="60" w:afterLines="25" w:line="360" w:lineRule="exact"/>
              <w:jc w:val="center"/>
              <w:rPr>
                <w:rFonts w:ascii="宋体" w:hAnsi="宋体"/>
                <w:color w:val="auto"/>
                <w:szCs w:val="21"/>
                <w:highlight w:val="none"/>
              </w:rPr>
            </w:pPr>
          </w:p>
        </w:tc>
        <w:tc>
          <w:tcPr>
            <w:tcW w:w="6126" w:type="dxa"/>
            <w:noWrap w:val="0"/>
            <w:vAlign w:val="center"/>
          </w:tcPr>
          <w:p>
            <w:pPr>
              <w:spacing w:after="60" w:afterLines="25" w:line="360" w:lineRule="exact"/>
              <w:jc w:val="left"/>
              <w:rPr>
                <w:rFonts w:ascii="宋体" w:hAnsi="宋体"/>
                <w:color w:val="auto"/>
                <w:szCs w:val="21"/>
                <w:highlight w:val="none"/>
              </w:rPr>
            </w:pPr>
            <w:r>
              <w:rPr>
                <w:rFonts w:hint="eastAsia" w:ascii="宋体" w:hAnsi="宋体"/>
                <w:color w:val="auto"/>
                <w:szCs w:val="21"/>
                <w:highlight w:val="none"/>
              </w:rPr>
              <w:t>根据供应商仓储容量进行综合打分：图片及内容介绍完整、全面、合理的得</w:t>
            </w:r>
            <w:r>
              <w:rPr>
                <w:rFonts w:hint="eastAsia" w:ascii="宋体" w:hAnsi="宋体"/>
                <w:color w:val="auto"/>
                <w:szCs w:val="21"/>
                <w:highlight w:val="none"/>
                <w:lang w:val="en-US" w:eastAsia="zh-CN"/>
              </w:rPr>
              <w:t>3-6</w:t>
            </w:r>
            <w:r>
              <w:rPr>
                <w:rFonts w:hint="eastAsia" w:ascii="宋体" w:hAnsi="宋体"/>
                <w:color w:val="auto"/>
                <w:szCs w:val="21"/>
                <w:highlight w:val="none"/>
              </w:rPr>
              <w:t>分，基本描述的得1</w:t>
            </w:r>
            <w:r>
              <w:rPr>
                <w:rFonts w:hint="eastAsia" w:ascii="宋体" w:hAnsi="宋体"/>
                <w:color w:val="auto"/>
                <w:szCs w:val="21"/>
                <w:highlight w:val="none"/>
                <w:lang w:val="en-US" w:eastAsia="zh-CN"/>
              </w:rPr>
              <w:t>-3</w:t>
            </w:r>
            <w:r>
              <w:rPr>
                <w:rFonts w:hint="eastAsia" w:ascii="宋体" w:hAnsi="宋体"/>
                <w:color w:val="auto"/>
                <w:szCs w:val="21"/>
                <w:highlight w:val="none"/>
              </w:rPr>
              <w:t>分，未描述的得0分。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ascii="宋体" w:hAnsi="宋体"/>
                <w:color w:val="auto"/>
                <w:szCs w:val="21"/>
                <w:highlight w:val="none"/>
              </w:rPr>
              <w:t>0-</w:t>
            </w:r>
            <w:r>
              <w:rPr>
                <w:rFonts w:hint="eastAsia" w:ascii="宋体" w:hAnsi="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43" w:type="dxa"/>
            <w:noWrap w:val="0"/>
            <w:vAlign w:val="center"/>
          </w:tcPr>
          <w:p>
            <w:pPr>
              <w:spacing w:after="60" w:afterLines="25" w:line="36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5</w:t>
            </w:r>
          </w:p>
        </w:tc>
        <w:tc>
          <w:tcPr>
            <w:tcW w:w="1361"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rPr>
              <w:t>质量售后服务</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8分</w:t>
            </w:r>
            <w:r>
              <w:rPr>
                <w:rFonts w:hint="eastAsia" w:ascii="宋体" w:hAnsi="宋体"/>
                <w:color w:val="auto"/>
                <w:szCs w:val="21"/>
                <w:highlight w:val="none"/>
                <w:lang w:eastAsia="zh-CN"/>
              </w:rPr>
              <w:t>）</w:t>
            </w:r>
          </w:p>
        </w:tc>
        <w:tc>
          <w:tcPr>
            <w:tcW w:w="6126" w:type="dxa"/>
            <w:noWrap w:val="0"/>
            <w:vAlign w:val="center"/>
          </w:tcPr>
          <w:p>
            <w:pPr>
              <w:spacing w:after="60" w:afterLines="25" w:line="360" w:lineRule="exact"/>
              <w:rPr>
                <w:rFonts w:ascii="宋体" w:hAnsi="宋体"/>
                <w:color w:val="auto"/>
                <w:szCs w:val="21"/>
                <w:highlight w:val="none"/>
              </w:rPr>
            </w:pPr>
            <w:r>
              <w:rPr>
                <w:rFonts w:hint="eastAsia" w:ascii="宋体" w:hAnsi="宋体"/>
                <w:color w:val="auto"/>
                <w:szCs w:val="21"/>
                <w:highlight w:val="none"/>
              </w:rPr>
              <w:t>根据投标人对所供货商品质量保证、物流是否及时、是否为积压商品、商品剩余保质期超三分之二以上、供货及时性、货品质量存在问题时的相应补偿、处罚措施、服务和应急处置方案等进行综合评定，合理、全面的得</w:t>
            </w:r>
            <w:r>
              <w:rPr>
                <w:rFonts w:hint="eastAsia" w:ascii="宋体" w:hAnsi="宋体"/>
                <w:color w:val="auto"/>
                <w:szCs w:val="21"/>
                <w:highlight w:val="none"/>
                <w:lang w:val="en-US" w:eastAsia="zh-CN"/>
              </w:rPr>
              <w:t>5-8</w:t>
            </w:r>
            <w:r>
              <w:rPr>
                <w:rFonts w:hint="eastAsia" w:ascii="宋体" w:hAnsi="宋体"/>
                <w:color w:val="auto"/>
                <w:szCs w:val="21"/>
                <w:highlight w:val="none"/>
              </w:rPr>
              <w:t>分，基本描述的得</w:t>
            </w:r>
            <w:r>
              <w:rPr>
                <w:rFonts w:hint="eastAsia" w:ascii="宋体" w:hAnsi="宋体"/>
                <w:color w:val="auto"/>
                <w:szCs w:val="21"/>
                <w:highlight w:val="none"/>
                <w:lang w:val="en-US" w:eastAsia="zh-CN"/>
              </w:rPr>
              <w:t>2-5</w:t>
            </w:r>
            <w:r>
              <w:rPr>
                <w:rFonts w:hint="eastAsia" w:ascii="宋体" w:hAnsi="宋体"/>
                <w:color w:val="auto"/>
                <w:szCs w:val="21"/>
                <w:highlight w:val="none"/>
              </w:rPr>
              <w:t>（不含）分，</w:t>
            </w:r>
            <w:r>
              <w:rPr>
                <w:rFonts w:hint="eastAsia" w:ascii="宋体" w:hAnsi="宋体"/>
                <w:color w:val="auto"/>
                <w:highlight w:val="none"/>
              </w:rPr>
              <w:t>缺项的，得0分。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rPr>
              <w:t>0-</w:t>
            </w:r>
            <w:r>
              <w:rPr>
                <w:rFonts w:hint="eastAsia" w:ascii="宋体" w:hAnsi="宋体"/>
                <w:color w:val="auto"/>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43" w:type="dxa"/>
            <w:noWrap w:val="0"/>
            <w:vAlign w:val="center"/>
          </w:tcPr>
          <w:p>
            <w:pPr>
              <w:spacing w:after="60" w:afterLines="25" w:line="36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1361" w:type="dxa"/>
            <w:noWrap w:val="0"/>
            <w:vAlign w:val="center"/>
          </w:tcPr>
          <w:p>
            <w:pPr>
              <w:rPr>
                <w:rFonts w:hint="eastAsia" w:ascii="宋体" w:hAnsi="宋体"/>
                <w:color w:val="auto"/>
                <w:szCs w:val="21"/>
                <w:highlight w:val="none"/>
              </w:rPr>
            </w:pPr>
            <w:r>
              <w:rPr>
                <w:rFonts w:hint="eastAsia" w:ascii="宋体"/>
                <w:color w:val="auto"/>
                <w:highlight w:val="none"/>
              </w:rPr>
              <w:t>样品（</w:t>
            </w:r>
            <w:r>
              <w:rPr>
                <w:rFonts w:hint="eastAsia" w:ascii="宋体"/>
                <w:color w:val="auto"/>
                <w:highlight w:val="none"/>
                <w:lang w:val="en-US" w:eastAsia="zh-CN"/>
              </w:rPr>
              <w:t>11</w:t>
            </w:r>
            <w:r>
              <w:rPr>
                <w:rFonts w:hint="eastAsia" w:ascii="宋体"/>
                <w:color w:val="auto"/>
                <w:highlight w:val="none"/>
              </w:rPr>
              <w:t>分）</w:t>
            </w:r>
          </w:p>
        </w:tc>
        <w:tc>
          <w:tcPr>
            <w:tcW w:w="6126" w:type="dxa"/>
            <w:noWrap w:val="0"/>
            <w:vAlign w:val="center"/>
          </w:tcPr>
          <w:p>
            <w:pPr>
              <w:spacing w:after="60" w:afterLines="25" w:line="360" w:lineRule="exac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1、根据投标人提供样品的口感、外观等要素评定。0-</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分</w:t>
            </w:r>
          </w:p>
          <w:p>
            <w:pPr>
              <w:spacing w:after="60" w:afterLines="25" w:line="360" w:lineRule="exact"/>
              <w:rPr>
                <w:rFonts w:hint="eastAsia" w:ascii="宋体" w:hAnsi="宋体" w:eastAsia="宋体" w:cs="Times New Roman"/>
                <w:color w:val="auto"/>
                <w:szCs w:val="21"/>
                <w:highlight w:val="none"/>
              </w:rPr>
            </w:pPr>
            <w:r>
              <w:rPr>
                <w:rFonts w:hint="eastAsia" w:ascii="宋体" w:hAnsi="宋体" w:cs="Times New Roman"/>
                <w:color w:val="auto"/>
                <w:szCs w:val="21"/>
                <w:highlight w:val="none"/>
                <w:lang w:val="en-US" w:eastAsia="zh-CN"/>
              </w:rPr>
              <w:t>2</w:t>
            </w:r>
            <w:r>
              <w:rPr>
                <w:rFonts w:hint="eastAsia" w:ascii="宋体" w:hAnsi="宋体" w:eastAsia="宋体" w:cs="Times New Roman"/>
                <w:color w:val="auto"/>
                <w:szCs w:val="21"/>
                <w:highlight w:val="none"/>
              </w:rPr>
              <w:t>、根据投标人提供样品的新鲜程度、气味等要素评定。0-</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分</w:t>
            </w:r>
          </w:p>
          <w:p>
            <w:pPr>
              <w:spacing w:after="60" w:afterLines="25" w:line="360" w:lineRule="exact"/>
              <w:rPr>
                <w:rFonts w:hint="eastAsia" w:ascii="宋体" w:hAnsi="宋体" w:eastAsia="宋体" w:cs="Times New Roman"/>
                <w:color w:val="auto"/>
                <w:szCs w:val="21"/>
                <w:highlight w:val="none"/>
              </w:rPr>
            </w:pPr>
            <w:r>
              <w:rPr>
                <w:rFonts w:hint="eastAsia" w:ascii="宋体" w:hAnsi="宋体" w:cs="Times New Roman"/>
                <w:color w:val="auto"/>
                <w:szCs w:val="21"/>
                <w:highlight w:val="none"/>
                <w:lang w:val="en-US" w:eastAsia="zh-CN"/>
              </w:rPr>
              <w:t>3、</w:t>
            </w:r>
            <w:r>
              <w:rPr>
                <w:rFonts w:hint="eastAsia" w:ascii="宋体" w:hAnsi="宋体" w:eastAsia="宋体" w:cs="Times New Roman"/>
                <w:color w:val="auto"/>
                <w:szCs w:val="21"/>
                <w:highlight w:val="none"/>
              </w:rPr>
              <w:t>根据投标人提供样品的</w:t>
            </w:r>
            <w:r>
              <w:rPr>
                <w:rFonts w:hint="eastAsia" w:ascii="宋体" w:hAnsi="宋体" w:cs="Times New Roman"/>
                <w:color w:val="auto"/>
                <w:szCs w:val="21"/>
                <w:highlight w:val="none"/>
                <w:lang w:val="en-US" w:eastAsia="zh-CN"/>
              </w:rPr>
              <w:t>是否有沉淀、悬浮物</w:t>
            </w:r>
            <w:r>
              <w:rPr>
                <w:rFonts w:hint="eastAsia" w:ascii="宋体" w:hAnsi="宋体" w:eastAsia="宋体" w:cs="Times New Roman"/>
                <w:color w:val="auto"/>
                <w:szCs w:val="21"/>
                <w:highlight w:val="none"/>
              </w:rPr>
              <w:t>等要素评定。0-</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分</w:t>
            </w:r>
          </w:p>
          <w:p>
            <w:pPr>
              <w:spacing w:after="60" w:afterLines="25" w:line="360" w:lineRule="exact"/>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lang w:val="en-US" w:eastAsia="zh-CN"/>
              </w:rPr>
              <w:t>、根据投标人提供样品的</w:t>
            </w:r>
            <w:r>
              <w:rPr>
                <w:rFonts w:hint="eastAsia" w:ascii="宋体" w:hAnsi="宋体" w:cs="Times New Roman"/>
                <w:color w:val="auto"/>
                <w:szCs w:val="21"/>
                <w:highlight w:val="none"/>
                <w:lang w:val="en-US" w:eastAsia="zh-CN"/>
              </w:rPr>
              <w:t>外包装</w:t>
            </w:r>
            <w:r>
              <w:rPr>
                <w:rFonts w:hint="eastAsia" w:ascii="宋体" w:hAnsi="宋体" w:eastAsia="宋体" w:cs="Times New Roman"/>
                <w:color w:val="auto"/>
                <w:szCs w:val="21"/>
                <w:highlight w:val="none"/>
                <w:lang w:val="en-US" w:eastAsia="zh-CN"/>
              </w:rPr>
              <w:t>等要素评定。0-2分</w:t>
            </w:r>
          </w:p>
        </w:tc>
        <w:tc>
          <w:tcPr>
            <w:tcW w:w="992" w:type="dxa"/>
            <w:noWrap w:val="0"/>
            <w:vAlign w:val="center"/>
          </w:tcPr>
          <w:p>
            <w:pPr>
              <w:jc w:val="center"/>
              <w:rPr>
                <w:rFonts w:hint="default" w:ascii="宋体" w:hAnsi="宋体" w:eastAsia="宋体"/>
                <w:color w:val="auto"/>
                <w:szCs w:val="21"/>
                <w:highlight w:val="none"/>
                <w:lang w:val="en-US" w:eastAsia="zh-CN"/>
              </w:rPr>
            </w:pPr>
            <w:r>
              <w:rPr>
                <w:rFonts w:hint="eastAsia" w:ascii="宋体" w:hAnsi="宋体"/>
                <w:color w:val="auto"/>
                <w:highlight w:val="none"/>
              </w:rPr>
              <w:t>0-</w:t>
            </w:r>
            <w:r>
              <w:rPr>
                <w:rFonts w:hint="eastAsia" w:ascii="宋体" w:hAnsi="宋体"/>
                <w:color w:val="auto"/>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43"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7</w:t>
            </w:r>
          </w:p>
        </w:tc>
        <w:tc>
          <w:tcPr>
            <w:tcW w:w="1361"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rPr>
              <w:t>优惠条件及合理化建议</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3分</w:t>
            </w:r>
            <w:r>
              <w:rPr>
                <w:rFonts w:hint="eastAsia" w:ascii="宋体" w:hAnsi="宋体"/>
                <w:color w:val="auto"/>
                <w:szCs w:val="21"/>
                <w:highlight w:val="none"/>
                <w:lang w:eastAsia="zh-CN"/>
              </w:rPr>
              <w:t>）</w:t>
            </w:r>
          </w:p>
        </w:tc>
        <w:tc>
          <w:tcPr>
            <w:tcW w:w="6126" w:type="dxa"/>
            <w:noWrap w:val="0"/>
            <w:vAlign w:val="center"/>
          </w:tcPr>
          <w:p>
            <w:pPr>
              <w:spacing w:after="60" w:afterLines="25" w:line="360" w:lineRule="exac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投标人针对本项目的优惠条件（不得涉及报价）及合理化建议，1条被采纳的得1分，最多得</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ascii="宋体" w:hAnsi="宋体"/>
                <w:color w:val="auto"/>
                <w:szCs w:val="21"/>
                <w:highlight w:val="none"/>
              </w:rPr>
              <w:t>0-</w:t>
            </w:r>
            <w:r>
              <w:rPr>
                <w:rFonts w:hint="eastAsia" w:ascii="宋体" w:hAnsi="宋体"/>
                <w:color w:val="auto"/>
                <w:szCs w:val="21"/>
                <w:highlight w:val="none"/>
                <w:lang w:val="en-US" w:eastAsia="zh-CN"/>
              </w:rPr>
              <w:t>3</w:t>
            </w:r>
          </w:p>
        </w:tc>
      </w:tr>
    </w:tbl>
    <w:p>
      <w:pPr>
        <w:pStyle w:val="59"/>
        <w:spacing w:line="360" w:lineRule="auto"/>
        <w:rPr>
          <w:color w:val="auto"/>
          <w:highlight w:val="none"/>
        </w:rPr>
      </w:pPr>
    </w:p>
    <w:p>
      <w:pPr>
        <w:pStyle w:val="59"/>
        <w:spacing w:line="360" w:lineRule="auto"/>
        <w:rPr>
          <w:rFonts w:hint="eastAsia"/>
          <w:color w:val="auto"/>
          <w:highlight w:val="none"/>
          <w:lang w:val="en-US" w:eastAsia="zh-CN"/>
        </w:rPr>
      </w:pPr>
      <w:r>
        <w:rPr>
          <w:rFonts w:hint="eastAsia"/>
          <w:color w:val="auto"/>
          <w:highlight w:val="none"/>
          <w:lang w:val="en-US" w:eastAsia="zh-CN"/>
        </w:rPr>
        <w:t>标项3：</w:t>
      </w:r>
    </w:p>
    <w:tbl>
      <w:tblPr>
        <w:tblStyle w:val="49"/>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361"/>
        <w:gridCol w:w="61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noWrap w:val="0"/>
            <w:vAlign w:val="center"/>
          </w:tcPr>
          <w:p>
            <w:pPr>
              <w:spacing w:after="60" w:afterLines="25" w:line="360" w:lineRule="exact"/>
              <w:jc w:val="center"/>
              <w:rPr>
                <w:rFonts w:ascii="宋体" w:hAnsi="宋体"/>
                <w:color w:val="auto"/>
                <w:szCs w:val="21"/>
                <w:highlight w:val="none"/>
              </w:rPr>
            </w:pPr>
            <w:r>
              <w:rPr>
                <w:rFonts w:hint="eastAsia" w:ascii="宋体" w:hAnsi="宋体"/>
                <w:color w:val="auto"/>
                <w:szCs w:val="21"/>
                <w:highlight w:val="none"/>
              </w:rPr>
              <w:t>序号</w:t>
            </w:r>
          </w:p>
        </w:tc>
        <w:tc>
          <w:tcPr>
            <w:tcW w:w="1361" w:type="dxa"/>
            <w:noWrap w:val="0"/>
            <w:vAlign w:val="center"/>
          </w:tcPr>
          <w:p>
            <w:pPr>
              <w:spacing w:after="60" w:afterLines="25" w:line="360" w:lineRule="exact"/>
              <w:jc w:val="center"/>
              <w:rPr>
                <w:rFonts w:ascii="宋体" w:hAnsi="宋体"/>
                <w:color w:val="auto"/>
                <w:szCs w:val="21"/>
                <w:highlight w:val="none"/>
              </w:rPr>
            </w:pPr>
            <w:r>
              <w:rPr>
                <w:rFonts w:hint="eastAsia" w:ascii="宋体" w:hAnsi="宋体"/>
                <w:color w:val="auto"/>
                <w:szCs w:val="21"/>
                <w:highlight w:val="none"/>
              </w:rPr>
              <w:t>评分项目</w:t>
            </w:r>
          </w:p>
        </w:tc>
        <w:tc>
          <w:tcPr>
            <w:tcW w:w="6126" w:type="dxa"/>
            <w:noWrap w:val="0"/>
            <w:vAlign w:val="center"/>
          </w:tcPr>
          <w:p>
            <w:pPr>
              <w:spacing w:after="60" w:afterLines="25" w:line="360" w:lineRule="exact"/>
              <w:jc w:val="center"/>
              <w:rPr>
                <w:rFonts w:ascii="宋体" w:hAnsi="宋体"/>
                <w:color w:val="auto"/>
                <w:szCs w:val="21"/>
                <w:highlight w:val="none"/>
              </w:rPr>
            </w:pPr>
            <w:r>
              <w:rPr>
                <w:rFonts w:hint="eastAsia" w:ascii="宋体" w:hAnsi="宋体"/>
                <w:color w:val="auto"/>
                <w:szCs w:val="21"/>
                <w:highlight w:val="none"/>
              </w:rPr>
              <w:t>评</w:t>
            </w:r>
            <w:r>
              <w:rPr>
                <w:rFonts w:ascii="宋体" w:hAnsi="宋体"/>
                <w:color w:val="auto"/>
                <w:szCs w:val="21"/>
                <w:highlight w:val="none"/>
              </w:rPr>
              <w:t xml:space="preserve">    </w:t>
            </w:r>
            <w:r>
              <w:rPr>
                <w:rFonts w:hint="eastAsia" w:ascii="宋体" w:hAnsi="宋体"/>
                <w:color w:val="auto"/>
                <w:szCs w:val="21"/>
                <w:highlight w:val="none"/>
              </w:rPr>
              <w:t>分</w:t>
            </w:r>
            <w:r>
              <w:rPr>
                <w:rFonts w:ascii="宋体" w:hAnsi="宋体"/>
                <w:color w:val="auto"/>
                <w:szCs w:val="21"/>
                <w:highlight w:val="none"/>
              </w:rPr>
              <w:t xml:space="preserve">     </w:t>
            </w:r>
            <w:r>
              <w:rPr>
                <w:rFonts w:hint="eastAsia" w:ascii="宋体" w:hAnsi="宋体"/>
                <w:color w:val="auto"/>
                <w:szCs w:val="21"/>
                <w:highlight w:val="none"/>
              </w:rPr>
              <w:t>细     则</w:t>
            </w:r>
          </w:p>
        </w:tc>
        <w:tc>
          <w:tcPr>
            <w:tcW w:w="992" w:type="dxa"/>
            <w:noWrap w:val="0"/>
            <w:vAlign w:val="center"/>
          </w:tcPr>
          <w:p>
            <w:pPr>
              <w:spacing w:after="60" w:afterLines="25" w:line="360" w:lineRule="exact"/>
              <w:jc w:val="center"/>
              <w:rPr>
                <w:rFonts w:ascii="宋体" w:hAnsi="宋体"/>
                <w:color w:val="auto"/>
                <w:szCs w:val="21"/>
                <w:highlight w:val="none"/>
              </w:rPr>
            </w:pPr>
            <w:r>
              <w:rPr>
                <w:rFonts w:hint="eastAsia" w:ascii="宋体" w:hAnsi="宋体"/>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noWrap w:val="0"/>
            <w:vAlign w:val="center"/>
          </w:tcPr>
          <w:p>
            <w:pPr>
              <w:spacing w:after="60" w:afterLines="25" w:line="36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1</w:t>
            </w:r>
          </w:p>
        </w:tc>
        <w:tc>
          <w:tcPr>
            <w:tcW w:w="1361" w:type="dxa"/>
            <w:noWrap w:val="0"/>
            <w:vAlign w:val="center"/>
          </w:tcPr>
          <w:p>
            <w:pPr>
              <w:rPr>
                <w:rFonts w:hint="eastAsia" w:ascii="宋体" w:hAnsi="宋体"/>
                <w:color w:val="auto"/>
                <w:szCs w:val="21"/>
                <w:highlight w:val="none"/>
              </w:rPr>
            </w:pPr>
            <w:r>
              <w:rPr>
                <w:rFonts w:hint="eastAsia" w:ascii="宋体" w:hAnsi="宋体" w:cs="宋体"/>
                <w:color w:val="auto"/>
                <w:szCs w:val="21"/>
                <w:highlight w:val="none"/>
              </w:rPr>
              <w:t>业绩（</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p>
        </w:tc>
        <w:tc>
          <w:tcPr>
            <w:tcW w:w="6126" w:type="dxa"/>
            <w:noWrap w:val="0"/>
            <w:vAlign w:val="center"/>
          </w:tcPr>
          <w:p>
            <w:pPr>
              <w:spacing w:line="276" w:lineRule="auto"/>
              <w:rPr>
                <w:rFonts w:hint="eastAsia" w:ascii="宋体" w:hAnsi="宋体"/>
                <w:color w:val="auto"/>
                <w:szCs w:val="21"/>
                <w:highlight w:val="none"/>
              </w:rPr>
            </w:pPr>
            <w:r>
              <w:rPr>
                <w:rFonts w:hint="eastAsia" w:ascii="宋体"/>
                <w:color w:val="auto"/>
                <w:highlight w:val="none"/>
                <w:lang w:val="en-US" w:eastAsia="zh-CN"/>
              </w:rPr>
              <w:t>2021</w:t>
            </w:r>
            <w:r>
              <w:rPr>
                <w:rFonts w:hint="eastAsia" w:ascii="宋体"/>
                <w:color w:val="auto"/>
                <w:highlight w:val="none"/>
              </w:rPr>
              <w:t>年1月1日以来的类似供货经验1个得</w:t>
            </w:r>
            <w:r>
              <w:rPr>
                <w:rFonts w:hint="eastAsia" w:ascii="宋体"/>
                <w:color w:val="auto"/>
                <w:highlight w:val="none"/>
                <w:lang w:val="en-US" w:eastAsia="zh-CN"/>
              </w:rPr>
              <w:t>0.5</w:t>
            </w:r>
            <w:r>
              <w:rPr>
                <w:rFonts w:hint="eastAsia" w:ascii="宋体"/>
                <w:color w:val="auto"/>
                <w:highlight w:val="none"/>
              </w:rPr>
              <w:t>分，最多</w:t>
            </w:r>
            <w:r>
              <w:rPr>
                <w:rFonts w:hint="eastAsia" w:ascii="宋体"/>
                <w:color w:val="auto"/>
                <w:highlight w:val="none"/>
                <w:lang w:val="en-US" w:eastAsia="zh-CN"/>
              </w:rPr>
              <w:t>1</w:t>
            </w:r>
            <w:r>
              <w:rPr>
                <w:rFonts w:hint="eastAsia" w:ascii="宋体"/>
                <w:color w:val="auto"/>
                <w:highlight w:val="none"/>
              </w:rPr>
              <w:t>分</w:t>
            </w:r>
            <w:r>
              <w:rPr>
                <w:rFonts w:hint="eastAsia" w:ascii="宋体"/>
                <w:b/>
                <w:color w:val="auto"/>
                <w:highlight w:val="none"/>
              </w:rPr>
              <w:t xml:space="preserve">（投标文件中提供合同复印件并加盖投标人公章）  </w:t>
            </w:r>
            <w:r>
              <w:rPr>
                <w:rFonts w:hint="eastAsia" w:ascii="宋体" w:hAnsi="宋体"/>
                <w:color w:val="auto"/>
                <w:highlight w:val="none"/>
              </w:rPr>
              <w:t xml:space="preserve"> 0-</w:t>
            </w:r>
            <w:r>
              <w:rPr>
                <w:rFonts w:hint="eastAsia" w:ascii="宋体" w:hAnsi="宋体"/>
                <w:color w:val="auto"/>
                <w:highlight w:val="none"/>
                <w:lang w:val="en-US" w:eastAsia="zh-CN"/>
              </w:rPr>
              <w:t>1</w:t>
            </w:r>
            <w:r>
              <w:rPr>
                <w:rFonts w:hint="eastAsia" w:ascii="宋体" w:hAnsi="宋体"/>
                <w:color w:val="auto"/>
                <w:highlight w:val="none"/>
              </w:rPr>
              <w:t>分</w:t>
            </w:r>
          </w:p>
        </w:tc>
        <w:tc>
          <w:tcPr>
            <w:tcW w:w="992" w:type="dxa"/>
            <w:noWrap w:val="0"/>
            <w:vAlign w:val="center"/>
          </w:tcPr>
          <w:p>
            <w:pPr>
              <w:jc w:val="center"/>
              <w:rPr>
                <w:rFonts w:hint="eastAsia" w:ascii="宋体" w:hAnsi="宋体"/>
                <w:color w:val="auto"/>
                <w:szCs w:val="21"/>
                <w:highlight w:val="none"/>
              </w:rPr>
            </w:pPr>
            <w:r>
              <w:rPr>
                <w:rFonts w:hint="eastAsia" w:ascii="宋体" w:hAnsi="宋体"/>
                <w:color w:val="auto"/>
                <w:highlight w:val="none"/>
              </w:rPr>
              <w:t>0-</w:t>
            </w:r>
            <w:r>
              <w:rPr>
                <w:rFonts w:hint="eastAsia" w:ascii="宋体" w:hAnsi="宋体"/>
                <w:color w:val="auto"/>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43" w:type="dxa"/>
            <w:vMerge w:val="restart"/>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2</w:t>
            </w:r>
          </w:p>
        </w:tc>
        <w:tc>
          <w:tcPr>
            <w:tcW w:w="1361" w:type="dxa"/>
            <w:vMerge w:val="restart"/>
            <w:noWrap w:val="0"/>
            <w:vAlign w:val="center"/>
          </w:tcPr>
          <w:p>
            <w:pPr>
              <w:spacing w:after="60" w:afterLines="25" w:line="360" w:lineRule="exact"/>
              <w:jc w:val="center"/>
              <w:rPr>
                <w:rFonts w:ascii="宋体" w:hAnsi="宋体"/>
                <w:color w:val="auto"/>
                <w:szCs w:val="21"/>
                <w:highlight w:val="none"/>
              </w:rPr>
            </w:pPr>
            <w:r>
              <w:rPr>
                <w:rFonts w:hint="eastAsia" w:ascii="宋体" w:hAnsi="宋体"/>
                <w:color w:val="auto"/>
                <w:szCs w:val="21"/>
                <w:highlight w:val="none"/>
              </w:rPr>
              <w:t>供货方案（</w:t>
            </w:r>
            <w:r>
              <w:rPr>
                <w:rFonts w:hint="eastAsia" w:ascii="宋体" w:hAnsi="宋体"/>
                <w:color w:val="auto"/>
                <w:szCs w:val="21"/>
                <w:highlight w:val="none"/>
                <w:lang w:val="en-US" w:eastAsia="zh-CN"/>
              </w:rPr>
              <w:t>44</w:t>
            </w:r>
            <w:r>
              <w:rPr>
                <w:rFonts w:hint="eastAsia" w:ascii="宋体" w:hAnsi="宋体"/>
                <w:color w:val="auto"/>
                <w:szCs w:val="21"/>
                <w:highlight w:val="none"/>
              </w:rPr>
              <w:t>分）</w:t>
            </w:r>
          </w:p>
        </w:tc>
        <w:tc>
          <w:tcPr>
            <w:tcW w:w="6126" w:type="dxa"/>
            <w:noWrap w:val="0"/>
            <w:vAlign w:val="center"/>
          </w:tcPr>
          <w:p>
            <w:pPr>
              <w:spacing w:after="60" w:afterLines="25" w:line="360" w:lineRule="exact"/>
              <w:rPr>
                <w:rFonts w:hint="default" w:ascii="宋体" w:hAnsi="宋体" w:eastAsia="宋体"/>
                <w:color w:val="auto"/>
                <w:szCs w:val="21"/>
                <w:highlight w:val="none"/>
                <w:lang w:val="en-US" w:eastAsia="zh-CN"/>
              </w:rPr>
            </w:pPr>
            <w:r>
              <w:rPr>
                <w:rFonts w:hint="eastAsia" w:ascii="宋体" w:hAnsi="宋体"/>
                <w:color w:val="auto"/>
                <w:szCs w:val="21"/>
                <w:highlight w:val="none"/>
              </w:rPr>
              <w:t>针对本项目采购产品，</w:t>
            </w:r>
            <w:r>
              <w:rPr>
                <w:rFonts w:hint="eastAsia" w:ascii="宋体" w:hAnsi="宋体"/>
                <w:color w:val="auto"/>
                <w:szCs w:val="21"/>
                <w:highlight w:val="none"/>
                <w:lang w:val="en-US" w:eastAsia="zh-CN"/>
              </w:rPr>
              <w:t>采购品牌优质、品种齐全</w:t>
            </w:r>
            <w:r>
              <w:rPr>
                <w:rFonts w:hint="eastAsia" w:ascii="宋体" w:hAnsi="宋体"/>
                <w:color w:val="auto"/>
                <w:szCs w:val="21"/>
                <w:highlight w:val="none"/>
              </w:rPr>
              <w:t>得</w:t>
            </w:r>
            <w:r>
              <w:rPr>
                <w:rFonts w:hint="eastAsia" w:ascii="宋体" w:hAnsi="宋体"/>
                <w:color w:val="auto"/>
                <w:szCs w:val="21"/>
                <w:highlight w:val="none"/>
                <w:lang w:val="en-US" w:eastAsia="zh-CN"/>
              </w:rPr>
              <w:t>5-8</w:t>
            </w:r>
            <w:r>
              <w:rPr>
                <w:rFonts w:hint="eastAsia" w:ascii="宋体" w:hAnsi="宋体"/>
                <w:color w:val="auto"/>
                <w:szCs w:val="21"/>
                <w:highlight w:val="none"/>
              </w:rPr>
              <w:t>分，</w:t>
            </w:r>
            <w:r>
              <w:rPr>
                <w:rFonts w:hint="eastAsia" w:ascii="宋体" w:hAnsi="宋体"/>
                <w:color w:val="auto"/>
                <w:szCs w:val="21"/>
                <w:highlight w:val="none"/>
                <w:lang w:val="en-US" w:eastAsia="zh-CN"/>
              </w:rPr>
              <w:t>基本符合采购需求的得2-5</w:t>
            </w:r>
            <w:r>
              <w:rPr>
                <w:rFonts w:hint="eastAsia" w:ascii="宋体" w:hAnsi="宋体"/>
                <w:color w:val="auto"/>
                <w:szCs w:val="21"/>
                <w:highlight w:val="none"/>
              </w:rPr>
              <w:t>（不含）</w:t>
            </w:r>
            <w:r>
              <w:rPr>
                <w:rFonts w:hint="eastAsia" w:ascii="宋体" w:hAnsi="宋体"/>
                <w:color w:val="auto"/>
                <w:szCs w:val="21"/>
                <w:highlight w:val="none"/>
                <w:lang w:val="en-US" w:eastAsia="zh-CN"/>
              </w:rPr>
              <w:t>分，</w:t>
            </w:r>
            <w:r>
              <w:rPr>
                <w:rFonts w:hint="eastAsia" w:ascii="宋体" w:hAnsi="宋体"/>
                <w:color w:val="auto"/>
                <w:szCs w:val="21"/>
                <w:highlight w:val="none"/>
              </w:rPr>
              <w:t>基本描述的得</w:t>
            </w:r>
            <w:r>
              <w:rPr>
                <w:rFonts w:hint="eastAsia" w:ascii="宋体" w:hAnsi="宋体"/>
                <w:color w:val="auto"/>
                <w:szCs w:val="21"/>
                <w:highlight w:val="none"/>
                <w:lang w:val="en-US" w:eastAsia="zh-CN"/>
              </w:rPr>
              <w:t>1</w:t>
            </w:r>
            <w:r>
              <w:rPr>
                <w:rFonts w:hint="eastAsia" w:ascii="宋体" w:hAnsi="宋体"/>
                <w:color w:val="auto"/>
                <w:szCs w:val="21"/>
                <w:highlight w:val="none"/>
              </w:rPr>
              <w:t>分，</w:t>
            </w:r>
            <w:r>
              <w:rPr>
                <w:rFonts w:hint="eastAsia" w:ascii="宋体" w:hAnsi="宋体"/>
                <w:color w:val="auto"/>
                <w:highlight w:val="none"/>
              </w:rPr>
              <w:t>缺项的，得0分。</w:t>
            </w:r>
          </w:p>
        </w:tc>
        <w:tc>
          <w:tcPr>
            <w:tcW w:w="992" w:type="dxa"/>
            <w:noWrap w:val="0"/>
            <w:vAlign w:val="center"/>
          </w:tcPr>
          <w:p>
            <w:pPr>
              <w:spacing w:after="60" w:afterLines="25" w:line="360" w:lineRule="exact"/>
              <w:jc w:val="center"/>
              <w:rPr>
                <w:rFonts w:hint="eastAsia" w:ascii="宋体" w:hAnsi="宋体"/>
                <w:color w:val="auto"/>
                <w:szCs w:val="21"/>
                <w:highlight w:val="none"/>
              </w:rPr>
            </w:pPr>
            <w:r>
              <w:rPr>
                <w:rFonts w:hint="eastAsia" w:ascii="宋体" w:hAnsi="宋体"/>
                <w:color w:val="auto"/>
                <w:szCs w:val="21"/>
                <w:highlight w:val="none"/>
              </w:rPr>
              <w:t>0</w:t>
            </w:r>
            <w:r>
              <w:rPr>
                <w:rFonts w:ascii="宋体" w:hAnsi="宋体"/>
                <w:color w:val="auto"/>
                <w:szCs w:val="21"/>
                <w:highlight w:val="none"/>
              </w:rPr>
              <w:t>-</w:t>
            </w:r>
            <w:r>
              <w:rPr>
                <w:rFonts w:hint="eastAsia" w:ascii="宋体" w:hAnsi="宋体"/>
                <w:color w:val="auto"/>
                <w:szCs w:val="21"/>
                <w:highlight w:val="none"/>
                <w:lang w:val="en-US" w:eastAsia="zh-CN"/>
              </w:rPr>
              <w:t>8</w:t>
            </w:r>
          </w:p>
          <w:p>
            <w:pPr>
              <w:spacing w:after="60" w:afterLines="25" w:line="360" w:lineRule="exact"/>
              <w:jc w:val="center"/>
              <w:rPr>
                <w:rFonts w:hint="eastAsia" w:ascii="宋体" w:hAnsi="宋体" w:eastAsia="宋体"/>
                <w:color w:val="auto"/>
                <w:szCs w:val="21"/>
                <w:highlight w:val="none"/>
                <w:lang w:val="en-US" w:eastAsia="zh-CN"/>
              </w:rPr>
            </w:pPr>
            <w:r>
              <w:rPr>
                <w:rFonts w:hint="eastAsia" w:ascii="宋体" w:hAnsi="宋体" w:cs="宋体"/>
                <w:color w:val="auto"/>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vMerge w:val="continue"/>
            <w:noWrap w:val="0"/>
            <w:vAlign w:val="center"/>
          </w:tcPr>
          <w:p>
            <w:pPr>
              <w:spacing w:after="60" w:afterLines="25" w:line="360" w:lineRule="exact"/>
              <w:jc w:val="center"/>
              <w:rPr>
                <w:rFonts w:ascii="宋体" w:hAnsi="宋体"/>
                <w:color w:val="auto"/>
                <w:szCs w:val="21"/>
                <w:highlight w:val="none"/>
              </w:rPr>
            </w:pPr>
          </w:p>
        </w:tc>
        <w:tc>
          <w:tcPr>
            <w:tcW w:w="1361" w:type="dxa"/>
            <w:vMerge w:val="continue"/>
            <w:noWrap w:val="0"/>
            <w:vAlign w:val="center"/>
          </w:tcPr>
          <w:p>
            <w:pPr>
              <w:spacing w:after="60" w:afterLines="25" w:line="360" w:lineRule="exact"/>
              <w:jc w:val="center"/>
              <w:rPr>
                <w:rFonts w:ascii="宋体" w:hAnsi="宋体"/>
                <w:color w:val="auto"/>
                <w:szCs w:val="21"/>
                <w:highlight w:val="none"/>
              </w:rPr>
            </w:pPr>
          </w:p>
        </w:tc>
        <w:tc>
          <w:tcPr>
            <w:tcW w:w="6126" w:type="dxa"/>
            <w:noWrap w:val="0"/>
            <w:vAlign w:val="center"/>
          </w:tcPr>
          <w:p>
            <w:pPr>
              <w:spacing w:after="60" w:afterLines="25" w:line="360" w:lineRule="exact"/>
              <w:rPr>
                <w:rFonts w:ascii="宋体" w:hAnsi="宋体"/>
                <w:color w:val="auto"/>
                <w:szCs w:val="21"/>
                <w:highlight w:val="none"/>
              </w:rPr>
            </w:pPr>
            <w:r>
              <w:rPr>
                <w:rFonts w:hint="eastAsia" w:ascii="宋体" w:hAnsi="宋体"/>
                <w:color w:val="auto"/>
                <w:szCs w:val="21"/>
                <w:highlight w:val="none"/>
              </w:rPr>
              <w:t>根据供应商提供的</w:t>
            </w:r>
            <w:r>
              <w:rPr>
                <w:rFonts w:hint="eastAsia" w:ascii="宋体" w:hAnsi="宋体"/>
                <w:color w:val="auto"/>
                <w:szCs w:val="21"/>
                <w:highlight w:val="none"/>
                <w:lang w:val="en-US" w:eastAsia="zh-CN"/>
              </w:rPr>
              <w:t>副食品</w:t>
            </w:r>
            <w:r>
              <w:rPr>
                <w:rFonts w:hint="eastAsia" w:ascii="宋体" w:hAnsi="宋体"/>
                <w:color w:val="auto"/>
                <w:szCs w:val="21"/>
                <w:highlight w:val="none"/>
              </w:rPr>
              <w:t>卫生安全制度：合理可行、规范、全面的得</w:t>
            </w:r>
            <w:r>
              <w:rPr>
                <w:rFonts w:hint="eastAsia" w:ascii="宋体" w:hAnsi="宋体"/>
                <w:color w:val="auto"/>
                <w:szCs w:val="21"/>
                <w:highlight w:val="none"/>
                <w:lang w:val="en-US" w:eastAsia="zh-CN"/>
              </w:rPr>
              <w:t>5-8</w:t>
            </w:r>
            <w:r>
              <w:rPr>
                <w:rFonts w:hint="eastAsia" w:ascii="宋体" w:hAnsi="宋体"/>
                <w:color w:val="auto"/>
                <w:szCs w:val="21"/>
                <w:highlight w:val="none"/>
              </w:rPr>
              <w:t>分，</w:t>
            </w:r>
            <w:r>
              <w:rPr>
                <w:rFonts w:hint="eastAsia" w:ascii="宋体" w:hAnsi="宋体"/>
                <w:color w:val="auto"/>
                <w:szCs w:val="21"/>
                <w:highlight w:val="none"/>
                <w:lang w:val="en-US" w:eastAsia="zh-CN"/>
              </w:rPr>
              <w:t>基本符合采购需求的得2-5</w:t>
            </w:r>
            <w:r>
              <w:rPr>
                <w:rFonts w:hint="eastAsia" w:ascii="宋体" w:hAnsi="宋体"/>
                <w:color w:val="auto"/>
                <w:szCs w:val="21"/>
                <w:highlight w:val="none"/>
              </w:rPr>
              <w:t>（不含）</w:t>
            </w:r>
            <w:r>
              <w:rPr>
                <w:rFonts w:hint="eastAsia" w:ascii="宋体" w:hAnsi="宋体"/>
                <w:color w:val="auto"/>
                <w:szCs w:val="21"/>
                <w:highlight w:val="none"/>
                <w:lang w:val="en-US" w:eastAsia="zh-CN"/>
              </w:rPr>
              <w:t>分，</w:t>
            </w:r>
            <w:r>
              <w:rPr>
                <w:rFonts w:hint="eastAsia" w:ascii="宋体" w:hAnsi="宋体"/>
                <w:color w:val="auto"/>
                <w:szCs w:val="21"/>
                <w:highlight w:val="none"/>
              </w:rPr>
              <w:t>基本描述的得</w:t>
            </w:r>
            <w:r>
              <w:rPr>
                <w:rFonts w:hint="eastAsia" w:ascii="宋体" w:hAnsi="宋体"/>
                <w:color w:val="auto"/>
                <w:szCs w:val="21"/>
                <w:highlight w:val="none"/>
                <w:lang w:val="en-US" w:eastAsia="zh-CN"/>
              </w:rPr>
              <w:t>1</w:t>
            </w:r>
            <w:r>
              <w:rPr>
                <w:rFonts w:hint="eastAsia" w:ascii="宋体" w:hAnsi="宋体"/>
                <w:color w:val="auto"/>
                <w:szCs w:val="21"/>
                <w:highlight w:val="none"/>
              </w:rPr>
              <w:t>分，缺项的，得0分。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s="宋体"/>
                <w:color w:val="auto"/>
                <w:szCs w:val="21"/>
                <w:highlight w:val="none"/>
              </w:rPr>
              <w:t>0-</w:t>
            </w:r>
            <w:r>
              <w:rPr>
                <w:rFonts w:hint="eastAsia" w:ascii="宋体" w:hAnsi="宋体" w:cs="宋体"/>
                <w:color w:val="auto"/>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vMerge w:val="continue"/>
            <w:noWrap w:val="0"/>
            <w:vAlign w:val="center"/>
          </w:tcPr>
          <w:p>
            <w:pPr>
              <w:spacing w:after="60" w:afterLines="25" w:line="360" w:lineRule="exact"/>
              <w:jc w:val="center"/>
              <w:rPr>
                <w:rFonts w:ascii="宋体" w:hAnsi="宋体"/>
                <w:color w:val="auto"/>
                <w:szCs w:val="21"/>
                <w:highlight w:val="none"/>
              </w:rPr>
            </w:pPr>
          </w:p>
        </w:tc>
        <w:tc>
          <w:tcPr>
            <w:tcW w:w="1361" w:type="dxa"/>
            <w:vMerge w:val="continue"/>
            <w:noWrap w:val="0"/>
            <w:vAlign w:val="center"/>
          </w:tcPr>
          <w:p>
            <w:pPr>
              <w:spacing w:after="60" w:afterLines="25" w:line="360" w:lineRule="exact"/>
              <w:jc w:val="center"/>
              <w:rPr>
                <w:rFonts w:ascii="宋体" w:hAnsi="宋体"/>
                <w:color w:val="auto"/>
                <w:szCs w:val="21"/>
                <w:highlight w:val="none"/>
              </w:rPr>
            </w:pPr>
          </w:p>
        </w:tc>
        <w:tc>
          <w:tcPr>
            <w:tcW w:w="6126" w:type="dxa"/>
            <w:noWrap w:val="0"/>
            <w:vAlign w:val="center"/>
          </w:tcPr>
          <w:p>
            <w:pPr>
              <w:spacing w:after="60" w:afterLines="25" w:line="360" w:lineRule="exact"/>
              <w:rPr>
                <w:rFonts w:ascii="宋体" w:hAnsi="宋体"/>
                <w:color w:val="auto"/>
                <w:szCs w:val="21"/>
                <w:highlight w:val="none"/>
              </w:rPr>
            </w:pPr>
            <w:r>
              <w:rPr>
                <w:rFonts w:hint="eastAsia" w:ascii="宋体" w:hAnsi="宋体"/>
                <w:color w:val="auto"/>
                <w:szCs w:val="21"/>
                <w:highlight w:val="none"/>
              </w:rPr>
              <w:t>根据供应商提供的验收方案，科学、合理的得</w:t>
            </w:r>
            <w:r>
              <w:rPr>
                <w:rFonts w:hint="eastAsia" w:ascii="宋体" w:hAnsi="宋体"/>
                <w:color w:val="auto"/>
                <w:szCs w:val="21"/>
                <w:highlight w:val="none"/>
                <w:lang w:val="en-US" w:eastAsia="zh-CN"/>
              </w:rPr>
              <w:t>5-8</w:t>
            </w:r>
            <w:r>
              <w:rPr>
                <w:rFonts w:hint="eastAsia" w:ascii="宋体" w:hAnsi="宋体"/>
                <w:color w:val="auto"/>
                <w:szCs w:val="21"/>
                <w:highlight w:val="none"/>
              </w:rPr>
              <w:t>分，</w:t>
            </w:r>
            <w:r>
              <w:rPr>
                <w:rFonts w:hint="eastAsia" w:ascii="宋体" w:hAnsi="宋体"/>
                <w:color w:val="auto"/>
                <w:szCs w:val="21"/>
                <w:highlight w:val="none"/>
                <w:lang w:val="en-US" w:eastAsia="zh-CN"/>
              </w:rPr>
              <w:t>基本符合采购需求的得2-5</w:t>
            </w:r>
            <w:r>
              <w:rPr>
                <w:rFonts w:hint="eastAsia" w:ascii="宋体" w:hAnsi="宋体"/>
                <w:color w:val="auto"/>
                <w:szCs w:val="21"/>
                <w:highlight w:val="none"/>
              </w:rPr>
              <w:t>（不含）</w:t>
            </w:r>
            <w:r>
              <w:rPr>
                <w:rFonts w:hint="eastAsia" w:ascii="宋体" w:hAnsi="宋体"/>
                <w:color w:val="auto"/>
                <w:szCs w:val="21"/>
                <w:highlight w:val="none"/>
                <w:lang w:val="en-US" w:eastAsia="zh-CN"/>
              </w:rPr>
              <w:t>分，</w:t>
            </w:r>
            <w:r>
              <w:rPr>
                <w:rFonts w:hint="eastAsia" w:ascii="宋体" w:hAnsi="宋体"/>
                <w:color w:val="auto"/>
                <w:szCs w:val="21"/>
                <w:highlight w:val="none"/>
              </w:rPr>
              <w:t>基本描述的得</w:t>
            </w:r>
            <w:r>
              <w:rPr>
                <w:rFonts w:hint="eastAsia" w:ascii="宋体" w:hAnsi="宋体"/>
                <w:color w:val="auto"/>
                <w:szCs w:val="21"/>
                <w:highlight w:val="none"/>
                <w:lang w:val="en-US" w:eastAsia="zh-CN"/>
              </w:rPr>
              <w:t>1</w:t>
            </w:r>
            <w:r>
              <w:rPr>
                <w:rFonts w:hint="eastAsia" w:ascii="宋体" w:hAnsi="宋体"/>
                <w:color w:val="auto"/>
                <w:szCs w:val="21"/>
                <w:highlight w:val="none"/>
              </w:rPr>
              <w:t>分，缺项的，得0分。</w:t>
            </w:r>
          </w:p>
        </w:tc>
        <w:tc>
          <w:tcPr>
            <w:tcW w:w="992" w:type="dxa"/>
            <w:noWrap w:val="0"/>
            <w:vAlign w:val="center"/>
          </w:tcPr>
          <w:p>
            <w:pPr>
              <w:spacing w:after="60" w:afterLines="25"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0</w:t>
            </w:r>
            <w:r>
              <w:rPr>
                <w:rFonts w:ascii="宋体" w:hAnsi="宋体" w:cs="宋体"/>
                <w:color w:val="auto"/>
                <w:szCs w:val="21"/>
                <w:highlight w:val="none"/>
              </w:rPr>
              <w:t>-</w:t>
            </w:r>
            <w:r>
              <w:rPr>
                <w:rFonts w:hint="eastAsia" w:ascii="宋体" w:hAnsi="宋体" w:cs="宋体"/>
                <w:color w:val="auto"/>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vMerge w:val="continue"/>
            <w:noWrap w:val="0"/>
            <w:vAlign w:val="center"/>
          </w:tcPr>
          <w:p>
            <w:pPr>
              <w:spacing w:after="60" w:afterLines="25" w:line="360" w:lineRule="exact"/>
              <w:jc w:val="center"/>
              <w:rPr>
                <w:rFonts w:ascii="宋体" w:hAnsi="宋体"/>
                <w:color w:val="auto"/>
                <w:szCs w:val="21"/>
                <w:highlight w:val="none"/>
              </w:rPr>
            </w:pPr>
          </w:p>
        </w:tc>
        <w:tc>
          <w:tcPr>
            <w:tcW w:w="1361" w:type="dxa"/>
            <w:vMerge w:val="continue"/>
            <w:noWrap w:val="0"/>
            <w:vAlign w:val="center"/>
          </w:tcPr>
          <w:p>
            <w:pPr>
              <w:spacing w:after="60" w:afterLines="25" w:line="360" w:lineRule="exact"/>
              <w:jc w:val="center"/>
              <w:rPr>
                <w:rFonts w:ascii="宋体" w:hAnsi="宋体"/>
                <w:color w:val="auto"/>
                <w:szCs w:val="21"/>
                <w:highlight w:val="none"/>
              </w:rPr>
            </w:pPr>
          </w:p>
        </w:tc>
        <w:tc>
          <w:tcPr>
            <w:tcW w:w="6126" w:type="dxa"/>
            <w:noWrap w:val="0"/>
            <w:vAlign w:val="center"/>
          </w:tcPr>
          <w:p>
            <w:pPr>
              <w:spacing w:after="60" w:afterLines="25" w:line="360" w:lineRule="exact"/>
              <w:rPr>
                <w:rFonts w:ascii="宋体" w:hAnsi="宋体"/>
                <w:color w:val="auto"/>
                <w:szCs w:val="21"/>
                <w:highlight w:val="none"/>
              </w:rPr>
            </w:pPr>
            <w:r>
              <w:rPr>
                <w:rFonts w:hint="eastAsia" w:ascii="宋体" w:hAnsi="宋体"/>
                <w:color w:val="auto"/>
                <w:szCs w:val="21"/>
                <w:highlight w:val="none"/>
              </w:rPr>
              <w:t>根据供应商提供的配送方案，根据供应商的项目人员组成、配送响应进度、配送方案进行综合打分：提供的方案切实可行、有效的</w:t>
            </w:r>
            <w:r>
              <w:rPr>
                <w:rFonts w:hint="eastAsia" w:ascii="宋体" w:hAnsi="宋体"/>
                <w:color w:val="auto"/>
                <w:szCs w:val="21"/>
                <w:highlight w:val="none"/>
                <w:lang w:val="en-US" w:eastAsia="zh-CN"/>
              </w:rPr>
              <w:t>5-8</w:t>
            </w:r>
            <w:r>
              <w:rPr>
                <w:rFonts w:hint="eastAsia" w:ascii="宋体" w:hAnsi="宋体"/>
                <w:color w:val="auto"/>
                <w:szCs w:val="21"/>
                <w:highlight w:val="none"/>
              </w:rPr>
              <w:t>分，</w:t>
            </w:r>
            <w:r>
              <w:rPr>
                <w:rFonts w:hint="eastAsia" w:ascii="宋体" w:hAnsi="宋体"/>
                <w:color w:val="auto"/>
                <w:szCs w:val="21"/>
                <w:highlight w:val="none"/>
                <w:lang w:val="en-US" w:eastAsia="zh-CN"/>
              </w:rPr>
              <w:t>基本符合采购需求的得2-5</w:t>
            </w:r>
            <w:r>
              <w:rPr>
                <w:rFonts w:hint="eastAsia" w:ascii="宋体" w:hAnsi="宋体"/>
                <w:color w:val="auto"/>
                <w:szCs w:val="21"/>
                <w:highlight w:val="none"/>
              </w:rPr>
              <w:t>（不含）</w:t>
            </w:r>
            <w:r>
              <w:rPr>
                <w:rFonts w:hint="eastAsia" w:ascii="宋体" w:hAnsi="宋体"/>
                <w:color w:val="auto"/>
                <w:szCs w:val="21"/>
                <w:highlight w:val="none"/>
                <w:lang w:val="en-US" w:eastAsia="zh-CN"/>
              </w:rPr>
              <w:t>分，</w:t>
            </w:r>
            <w:r>
              <w:rPr>
                <w:rFonts w:hint="eastAsia" w:ascii="宋体" w:hAnsi="宋体"/>
                <w:color w:val="auto"/>
                <w:szCs w:val="21"/>
                <w:highlight w:val="none"/>
              </w:rPr>
              <w:t>基本描述的得</w:t>
            </w:r>
            <w:r>
              <w:rPr>
                <w:rFonts w:hint="eastAsia" w:ascii="宋体" w:hAnsi="宋体"/>
                <w:color w:val="auto"/>
                <w:szCs w:val="21"/>
                <w:highlight w:val="none"/>
                <w:lang w:val="en-US" w:eastAsia="zh-CN"/>
              </w:rPr>
              <w:t>1</w:t>
            </w:r>
            <w:r>
              <w:rPr>
                <w:rFonts w:hint="eastAsia" w:ascii="宋体" w:hAnsi="宋体"/>
                <w:color w:val="auto"/>
                <w:szCs w:val="21"/>
                <w:highlight w:val="none"/>
              </w:rPr>
              <w:t>分，缺项的，得0分。</w:t>
            </w:r>
          </w:p>
        </w:tc>
        <w:tc>
          <w:tcPr>
            <w:tcW w:w="992" w:type="dxa"/>
            <w:noWrap w:val="0"/>
            <w:vAlign w:val="center"/>
          </w:tcPr>
          <w:p>
            <w:pPr>
              <w:spacing w:after="60" w:afterLines="25"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0</w:t>
            </w:r>
            <w:r>
              <w:rPr>
                <w:rFonts w:ascii="宋体" w:hAnsi="宋体" w:cs="宋体"/>
                <w:color w:val="auto"/>
                <w:szCs w:val="21"/>
                <w:highlight w:val="none"/>
              </w:rPr>
              <w:t>-</w:t>
            </w:r>
            <w:r>
              <w:rPr>
                <w:rFonts w:hint="eastAsia" w:ascii="宋体" w:hAnsi="宋体" w:cs="宋体"/>
                <w:color w:val="auto"/>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vMerge w:val="continue"/>
            <w:noWrap w:val="0"/>
            <w:vAlign w:val="center"/>
          </w:tcPr>
          <w:p>
            <w:pPr>
              <w:spacing w:after="60" w:afterLines="25" w:line="360" w:lineRule="exact"/>
              <w:jc w:val="center"/>
              <w:rPr>
                <w:rFonts w:ascii="宋体" w:hAnsi="宋体"/>
                <w:color w:val="auto"/>
                <w:szCs w:val="21"/>
                <w:highlight w:val="none"/>
              </w:rPr>
            </w:pPr>
          </w:p>
        </w:tc>
        <w:tc>
          <w:tcPr>
            <w:tcW w:w="1361" w:type="dxa"/>
            <w:vMerge w:val="continue"/>
            <w:noWrap w:val="0"/>
            <w:vAlign w:val="center"/>
          </w:tcPr>
          <w:p>
            <w:pPr>
              <w:spacing w:after="60" w:afterLines="25" w:line="360" w:lineRule="exact"/>
              <w:jc w:val="center"/>
              <w:rPr>
                <w:rFonts w:ascii="宋体" w:hAnsi="宋体"/>
                <w:color w:val="auto"/>
                <w:szCs w:val="21"/>
                <w:highlight w:val="none"/>
              </w:rPr>
            </w:pPr>
          </w:p>
        </w:tc>
        <w:tc>
          <w:tcPr>
            <w:tcW w:w="6126" w:type="dxa"/>
            <w:noWrap w:val="0"/>
            <w:vAlign w:val="center"/>
          </w:tcPr>
          <w:p>
            <w:pPr>
              <w:spacing w:after="60" w:afterLines="25" w:line="360" w:lineRule="exac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根据采购人临时加单紧急配送的应急预案，</w:t>
            </w:r>
            <w:r>
              <w:rPr>
                <w:rFonts w:hint="eastAsia" w:ascii="微软雅黑" w:hAnsi="微软雅黑" w:cs="微软雅黑"/>
                <w:color w:val="auto"/>
                <w:szCs w:val="21"/>
                <w:highlight w:val="none"/>
              </w:rPr>
              <w:t>，内容包括采购人需要变更配送量、配送时间、配送地点等综合评定</w:t>
            </w:r>
            <w:r>
              <w:rPr>
                <w:rFonts w:hint="eastAsia" w:ascii="宋体" w:hAnsi="宋体"/>
                <w:color w:val="auto"/>
                <w:szCs w:val="21"/>
                <w:highlight w:val="none"/>
              </w:rPr>
              <w:t>，分析到位、解决措施合理、经济的得</w:t>
            </w:r>
            <w:r>
              <w:rPr>
                <w:rFonts w:hint="eastAsia" w:ascii="宋体" w:hAnsi="宋体"/>
                <w:color w:val="auto"/>
                <w:szCs w:val="21"/>
                <w:highlight w:val="none"/>
                <w:lang w:val="en-US" w:eastAsia="zh-CN"/>
              </w:rPr>
              <w:t>4-6</w:t>
            </w:r>
            <w:r>
              <w:rPr>
                <w:rFonts w:hint="eastAsia" w:ascii="宋体" w:hAnsi="宋体"/>
                <w:color w:val="auto"/>
                <w:szCs w:val="21"/>
                <w:highlight w:val="none"/>
              </w:rPr>
              <w:t>分，</w:t>
            </w:r>
            <w:r>
              <w:rPr>
                <w:rFonts w:hint="eastAsia" w:ascii="宋体" w:hAnsi="宋体"/>
                <w:color w:val="auto"/>
                <w:szCs w:val="21"/>
                <w:highlight w:val="none"/>
                <w:lang w:val="en-US" w:eastAsia="zh-CN"/>
              </w:rPr>
              <w:t>基本符合采购需求的得1-4</w:t>
            </w:r>
            <w:r>
              <w:rPr>
                <w:rFonts w:hint="eastAsia" w:ascii="宋体" w:hAnsi="宋体"/>
                <w:color w:val="auto"/>
                <w:szCs w:val="21"/>
                <w:highlight w:val="none"/>
              </w:rPr>
              <w:t>（不含）</w:t>
            </w:r>
            <w:r>
              <w:rPr>
                <w:rFonts w:hint="eastAsia" w:ascii="宋体" w:hAnsi="宋体"/>
                <w:color w:val="auto"/>
                <w:szCs w:val="21"/>
                <w:highlight w:val="none"/>
                <w:lang w:val="en-US" w:eastAsia="zh-CN"/>
              </w:rPr>
              <w:t>分，</w:t>
            </w:r>
            <w:r>
              <w:rPr>
                <w:rFonts w:hint="eastAsia" w:ascii="宋体" w:hAnsi="宋体"/>
                <w:color w:val="auto"/>
                <w:szCs w:val="21"/>
                <w:highlight w:val="none"/>
              </w:rPr>
              <w:t>基本描述的得</w:t>
            </w:r>
            <w:r>
              <w:rPr>
                <w:rFonts w:hint="eastAsia" w:ascii="宋体" w:hAnsi="宋体"/>
                <w:color w:val="auto"/>
                <w:szCs w:val="21"/>
                <w:highlight w:val="none"/>
                <w:lang w:val="en-US" w:eastAsia="zh-CN"/>
              </w:rPr>
              <w:t>1</w:t>
            </w:r>
            <w:r>
              <w:rPr>
                <w:rFonts w:hint="eastAsia" w:ascii="宋体" w:hAnsi="宋体"/>
                <w:color w:val="auto"/>
                <w:szCs w:val="21"/>
                <w:highlight w:val="none"/>
              </w:rPr>
              <w:t>分，缺项的，得0分。</w:t>
            </w:r>
          </w:p>
        </w:tc>
        <w:tc>
          <w:tcPr>
            <w:tcW w:w="992" w:type="dxa"/>
            <w:noWrap w:val="0"/>
            <w:vAlign w:val="center"/>
          </w:tcPr>
          <w:p>
            <w:pPr>
              <w:spacing w:after="60" w:afterLines="25" w:line="36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3" w:type="dxa"/>
            <w:vMerge w:val="continue"/>
            <w:noWrap w:val="0"/>
            <w:vAlign w:val="center"/>
          </w:tcPr>
          <w:p>
            <w:pPr>
              <w:spacing w:after="60" w:afterLines="25" w:line="360" w:lineRule="exact"/>
              <w:jc w:val="center"/>
              <w:rPr>
                <w:rFonts w:ascii="宋体" w:hAnsi="宋体"/>
                <w:color w:val="auto"/>
                <w:szCs w:val="21"/>
                <w:highlight w:val="none"/>
              </w:rPr>
            </w:pPr>
          </w:p>
        </w:tc>
        <w:tc>
          <w:tcPr>
            <w:tcW w:w="1361" w:type="dxa"/>
            <w:vMerge w:val="continue"/>
            <w:noWrap w:val="0"/>
            <w:vAlign w:val="center"/>
          </w:tcPr>
          <w:p>
            <w:pPr>
              <w:spacing w:after="60" w:afterLines="25" w:line="360" w:lineRule="exact"/>
              <w:jc w:val="center"/>
              <w:rPr>
                <w:rFonts w:ascii="宋体" w:hAnsi="宋体"/>
                <w:color w:val="auto"/>
                <w:szCs w:val="21"/>
                <w:highlight w:val="none"/>
              </w:rPr>
            </w:pPr>
          </w:p>
        </w:tc>
        <w:tc>
          <w:tcPr>
            <w:tcW w:w="6126" w:type="dxa"/>
            <w:noWrap w:val="0"/>
            <w:vAlign w:val="center"/>
          </w:tcPr>
          <w:p>
            <w:pPr>
              <w:spacing w:after="60" w:afterLines="25" w:line="360" w:lineRule="exact"/>
              <w:rPr>
                <w:rFonts w:ascii="宋体" w:hAnsi="宋体"/>
                <w:color w:val="auto"/>
                <w:szCs w:val="21"/>
                <w:highlight w:val="none"/>
              </w:rPr>
            </w:pPr>
            <w:r>
              <w:rPr>
                <w:rFonts w:hint="eastAsia" w:ascii="微软雅黑" w:hAnsi="微软雅黑" w:cs="微软雅黑"/>
                <w:color w:val="auto"/>
                <w:szCs w:val="21"/>
                <w:highlight w:val="none"/>
                <w:lang w:val="zh-CN"/>
              </w:rPr>
              <w:t>据投标供应商</w:t>
            </w:r>
            <w:r>
              <w:rPr>
                <w:rFonts w:hint="eastAsia" w:ascii="微软雅黑" w:hAnsi="微软雅黑" w:cs="微软雅黑"/>
                <w:color w:val="auto"/>
                <w:szCs w:val="21"/>
                <w:highlight w:val="none"/>
              </w:rPr>
              <w:t>对供货突发事件（天气、交通等因素）时的应急预案及相应的措施，内容包括采购人需要变更配送量、配送时间、配送地点等综合评定</w:t>
            </w:r>
            <w:r>
              <w:rPr>
                <w:rFonts w:hint="eastAsia" w:ascii="宋体" w:hAnsi="宋体"/>
                <w:color w:val="auto"/>
                <w:szCs w:val="21"/>
                <w:highlight w:val="none"/>
              </w:rPr>
              <w:t>，分析到位、解决措施合理、经济的得</w:t>
            </w:r>
            <w:r>
              <w:rPr>
                <w:rFonts w:hint="eastAsia" w:ascii="宋体" w:hAnsi="宋体"/>
                <w:color w:val="auto"/>
                <w:szCs w:val="21"/>
                <w:highlight w:val="none"/>
                <w:lang w:val="en-US" w:eastAsia="zh-CN"/>
              </w:rPr>
              <w:t>4-6</w:t>
            </w:r>
            <w:r>
              <w:rPr>
                <w:rFonts w:hint="eastAsia" w:ascii="宋体" w:hAnsi="宋体"/>
                <w:color w:val="auto"/>
                <w:szCs w:val="21"/>
                <w:highlight w:val="none"/>
              </w:rPr>
              <w:t>分，</w:t>
            </w:r>
            <w:r>
              <w:rPr>
                <w:rFonts w:hint="eastAsia" w:ascii="宋体" w:hAnsi="宋体"/>
                <w:color w:val="auto"/>
                <w:szCs w:val="21"/>
                <w:highlight w:val="none"/>
                <w:lang w:val="en-US" w:eastAsia="zh-CN"/>
              </w:rPr>
              <w:t>基本符合采购需求的得1-4</w:t>
            </w:r>
            <w:r>
              <w:rPr>
                <w:rFonts w:hint="eastAsia" w:ascii="宋体" w:hAnsi="宋体"/>
                <w:color w:val="auto"/>
                <w:szCs w:val="21"/>
                <w:highlight w:val="none"/>
              </w:rPr>
              <w:t>（不含）</w:t>
            </w:r>
            <w:r>
              <w:rPr>
                <w:rFonts w:hint="eastAsia" w:ascii="宋体" w:hAnsi="宋体"/>
                <w:color w:val="auto"/>
                <w:szCs w:val="21"/>
                <w:highlight w:val="none"/>
                <w:lang w:val="en-US" w:eastAsia="zh-CN"/>
              </w:rPr>
              <w:t>分，</w:t>
            </w:r>
            <w:r>
              <w:rPr>
                <w:rFonts w:hint="eastAsia" w:ascii="宋体" w:hAnsi="宋体"/>
                <w:color w:val="auto"/>
                <w:szCs w:val="21"/>
                <w:highlight w:val="none"/>
              </w:rPr>
              <w:t>基本描述的得</w:t>
            </w:r>
            <w:r>
              <w:rPr>
                <w:rFonts w:hint="eastAsia" w:ascii="宋体" w:hAnsi="宋体"/>
                <w:color w:val="auto"/>
                <w:szCs w:val="21"/>
                <w:highlight w:val="none"/>
                <w:lang w:val="en-US" w:eastAsia="zh-CN"/>
              </w:rPr>
              <w:t>1</w:t>
            </w:r>
            <w:r>
              <w:rPr>
                <w:rFonts w:hint="eastAsia" w:ascii="宋体" w:hAnsi="宋体"/>
                <w:color w:val="auto"/>
                <w:szCs w:val="21"/>
                <w:highlight w:val="none"/>
              </w:rPr>
              <w:t>分，缺项的，得0分。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val="en-US" w:eastAsia="zh-CN"/>
              </w:rPr>
            </w:pPr>
            <w:r>
              <w:rPr>
                <w:rFonts w:ascii="宋体" w:hAnsi="宋体"/>
                <w:color w:val="auto"/>
                <w:szCs w:val="21"/>
                <w:highlight w:val="none"/>
              </w:rPr>
              <w:t>0-</w:t>
            </w:r>
            <w:r>
              <w:rPr>
                <w:rFonts w:hint="eastAsia" w:ascii="宋体" w:hAnsi="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43" w:type="dxa"/>
            <w:vMerge w:val="restart"/>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3</w:t>
            </w:r>
          </w:p>
        </w:tc>
        <w:tc>
          <w:tcPr>
            <w:tcW w:w="1361" w:type="dxa"/>
            <w:vMerge w:val="restart"/>
            <w:noWrap w:val="0"/>
            <w:vAlign w:val="center"/>
          </w:tcPr>
          <w:p>
            <w:pPr>
              <w:spacing w:after="60" w:afterLines="25" w:line="360" w:lineRule="exact"/>
              <w:jc w:val="center"/>
              <w:rPr>
                <w:rFonts w:ascii="宋体" w:hAnsi="宋体"/>
                <w:color w:val="auto"/>
                <w:szCs w:val="21"/>
                <w:highlight w:val="none"/>
              </w:rPr>
            </w:pPr>
            <w:r>
              <w:rPr>
                <w:rFonts w:hint="eastAsia" w:ascii="宋体" w:hAnsi="宋体"/>
                <w:color w:val="auto"/>
                <w:szCs w:val="21"/>
                <w:highlight w:val="none"/>
              </w:rPr>
              <w:t>供货质量保证措施</w:t>
            </w:r>
          </w:p>
          <w:p>
            <w:pPr>
              <w:spacing w:after="60" w:afterLines="25" w:line="360" w:lineRule="exact"/>
              <w:jc w:val="center"/>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20</w:t>
            </w:r>
            <w:r>
              <w:rPr>
                <w:rFonts w:hint="eastAsia" w:ascii="宋体" w:hAnsi="宋体"/>
                <w:color w:val="auto"/>
                <w:szCs w:val="21"/>
                <w:highlight w:val="none"/>
              </w:rPr>
              <w:t>分）</w:t>
            </w:r>
          </w:p>
        </w:tc>
        <w:tc>
          <w:tcPr>
            <w:tcW w:w="6126" w:type="dxa"/>
            <w:noWrap w:val="0"/>
            <w:vAlign w:val="center"/>
          </w:tcPr>
          <w:p>
            <w:pPr>
              <w:spacing w:after="60" w:afterLines="25" w:line="360" w:lineRule="exact"/>
              <w:jc w:val="lef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具有完善的进货（销售）系统、台账制度完善，明确反应进货渠道等信息的，提供不少于5个品种产品的系统截图（截图中需反应进货时间、渠道、数量等内容），内容完整、记录清晰全面的</w:t>
            </w:r>
            <w:r>
              <w:rPr>
                <w:rFonts w:hint="eastAsia" w:ascii="宋体" w:hAnsi="宋体"/>
                <w:color w:val="auto"/>
                <w:szCs w:val="21"/>
                <w:highlight w:val="none"/>
              </w:rPr>
              <w:t>得</w:t>
            </w:r>
            <w:r>
              <w:rPr>
                <w:rFonts w:hint="eastAsia" w:ascii="宋体" w:hAnsi="宋体"/>
                <w:color w:val="auto"/>
                <w:szCs w:val="21"/>
                <w:highlight w:val="none"/>
                <w:lang w:val="en-US" w:eastAsia="zh-CN"/>
              </w:rPr>
              <w:t>5-8</w:t>
            </w:r>
            <w:r>
              <w:rPr>
                <w:rFonts w:hint="eastAsia" w:ascii="宋体" w:hAnsi="宋体"/>
                <w:color w:val="auto"/>
                <w:szCs w:val="21"/>
                <w:highlight w:val="none"/>
              </w:rPr>
              <w:t>分，基本</w:t>
            </w:r>
            <w:r>
              <w:rPr>
                <w:rFonts w:hint="eastAsia" w:ascii="宋体" w:hAnsi="宋体"/>
                <w:color w:val="auto"/>
                <w:szCs w:val="21"/>
                <w:highlight w:val="none"/>
                <w:lang w:val="en-US" w:eastAsia="zh-CN"/>
              </w:rPr>
              <w:t>提供截图的2-5</w:t>
            </w:r>
            <w:r>
              <w:rPr>
                <w:rFonts w:hint="eastAsia" w:ascii="宋体" w:hAnsi="宋体"/>
                <w:color w:val="auto"/>
                <w:szCs w:val="21"/>
                <w:highlight w:val="none"/>
              </w:rPr>
              <w:t>（不含）分，</w:t>
            </w:r>
            <w:r>
              <w:rPr>
                <w:rFonts w:hint="eastAsia" w:ascii="宋体" w:hAnsi="宋体"/>
                <w:color w:val="auto"/>
                <w:szCs w:val="21"/>
                <w:highlight w:val="none"/>
                <w:lang w:val="en-US" w:eastAsia="zh-CN"/>
              </w:rPr>
              <w:t>提供但部分不清晰或无法辨认的得1分，</w:t>
            </w:r>
            <w:r>
              <w:rPr>
                <w:rFonts w:hint="eastAsia" w:ascii="宋体" w:hAnsi="宋体"/>
                <w:color w:val="auto"/>
                <w:szCs w:val="21"/>
                <w:highlight w:val="none"/>
              </w:rPr>
              <w:t>未</w:t>
            </w:r>
            <w:r>
              <w:rPr>
                <w:rFonts w:hint="eastAsia" w:ascii="宋体" w:hAnsi="宋体"/>
                <w:color w:val="auto"/>
                <w:szCs w:val="21"/>
                <w:highlight w:val="none"/>
                <w:lang w:val="en-US" w:eastAsia="zh-CN"/>
              </w:rPr>
              <w:t>提供或完全无法清晰辨认</w:t>
            </w:r>
            <w:r>
              <w:rPr>
                <w:rFonts w:hint="eastAsia" w:ascii="宋体" w:hAnsi="宋体"/>
                <w:color w:val="auto"/>
                <w:szCs w:val="21"/>
                <w:highlight w:val="none"/>
              </w:rPr>
              <w:t>的得0分。</w:t>
            </w:r>
            <w:r>
              <w:rPr>
                <w:rFonts w:hint="eastAsia" w:ascii="宋体" w:hAnsi="宋体"/>
                <w:color w:val="auto"/>
                <w:szCs w:val="21"/>
                <w:highlight w:val="none"/>
                <w:lang w:val="en-US" w:eastAsia="zh-CN"/>
              </w:rPr>
              <w:t>（投标人提供截图并加盖公章，若因图片模糊或信息不完整将影响评分）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ascii="宋体" w:hAnsi="宋体"/>
                <w:color w:val="auto"/>
                <w:szCs w:val="21"/>
                <w:highlight w:val="none"/>
              </w:rPr>
              <w:t>0-</w:t>
            </w:r>
            <w:r>
              <w:rPr>
                <w:rFonts w:hint="eastAsia" w:ascii="宋体" w:hAnsi="宋体"/>
                <w:color w:val="auto"/>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43" w:type="dxa"/>
            <w:vMerge w:val="continue"/>
            <w:noWrap w:val="0"/>
            <w:vAlign w:val="center"/>
          </w:tcPr>
          <w:p>
            <w:pPr>
              <w:spacing w:after="60" w:afterLines="25" w:line="360" w:lineRule="exact"/>
              <w:jc w:val="center"/>
              <w:rPr>
                <w:rFonts w:ascii="宋体" w:hAnsi="宋体"/>
                <w:color w:val="auto"/>
                <w:szCs w:val="21"/>
                <w:highlight w:val="none"/>
              </w:rPr>
            </w:pPr>
          </w:p>
        </w:tc>
        <w:tc>
          <w:tcPr>
            <w:tcW w:w="1361" w:type="dxa"/>
            <w:vMerge w:val="continue"/>
            <w:noWrap w:val="0"/>
            <w:vAlign w:val="center"/>
          </w:tcPr>
          <w:p>
            <w:pPr>
              <w:spacing w:after="60" w:afterLines="25" w:line="360" w:lineRule="exact"/>
              <w:jc w:val="center"/>
              <w:rPr>
                <w:rFonts w:ascii="宋体" w:hAnsi="宋体"/>
                <w:color w:val="auto"/>
                <w:szCs w:val="21"/>
                <w:highlight w:val="none"/>
              </w:rPr>
            </w:pPr>
          </w:p>
        </w:tc>
        <w:tc>
          <w:tcPr>
            <w:tcW w:w="6126" w:type="dxa"/>
            <w:noWrap w:val="0"/>
            <w:vAlign w:val="center"/>
          </w:tcPr>
          <w:p>
            <w:pPr>
              <w:spacing w:after="60" w:afterLines="25" w:line="360" w:lineRule="exact"/>
              <w:rPr>
                <w:rFonts w:ascii="宋体" w:hAnsi="宋体"/>
                <w:color w:val="auto"/>
                <w:szCs w:val="21"/>
                <w:highlight w:val="none"/>
              </w:rPr>
            </w:pPr>
            <w:r>
              <w:rPr>
                <w:rFonts w:hint="eastAsia" w:ascii="宋体" w:hAnsi="宋体"/>
                <w:color w:val="auto"/>
                <w:szCs w:val="21"/>
                <w:highlight w:val="none"/>
              </w:rPr>
              <w:t>根据供应商拟投入本项目人员配置、专业配置、岗位配置，配置合理、切实可行、有效的得</w:t>
            </w:r>
            <w:r>
              <w:rPr>
                <w:rFonts w:ascii="宋体" w:hAnsi="宋体"/>
                <w:color w:val="auto"/>
                <w:szCs w:val="21"/>
                <w:highlight w:val="none"/>
              </w:rPr>
              <w:t>3-</w:t>
            </w:r>
            <w:r>
              <w:rPr>
                <w:rFonts w:hint="eastAsia" w:ascii="宋体" w:hAnsi="宋体"/>
                <w:color w:val="auto"/>
                <w:szCs w:val="21"/>
                <w:highlight w:val="none"/>
                <w:lang w:val="en-US" w:eastAsia="zh-CN"/>
              </w:rPr>
              <w:t>6</w:t>
            </w:r>
            <w:r>
              <w:rPr>
                <w:rFonts w:hint="eastAsia" w:ascii="宋体" w:hAnsi="宋体"/>
                <w:color w:val="auto"/>
                <w:szCs w:val="21"/>
                <w:highlight w:val="none"/>
              </w:rPr>
              <w:t>分，基本配置的得1-3（不含）分，未描述的得0分。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rPr>
              <w:t>0-</w:t>
            </w:r>
            <w:r>
              <w:rPr>
                <w:rFonts w:hint="eastAsia" w:ascii="宋体" w:hAnsi="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43" w:type="dxa"/>
            <w:vMerge w:val="continue"/>
            <w:noWrap w:val="0"/>
            <w:vAlign w:val="center"/>
          </w:tcPr>
          <w:p>
            <w:pPr>
              <w:spacing w:after="60" w:afterLines="25" w:line="360" w:lineRule="exact"/>
              <w:jc w:val="center"/>
              <w:rPr>
                <w:rFonts w:ascii="宋体" w:hAnsi="宋体"/>
                <w:color w:val="auto"/>
                <w:szCs w:val="21"/>
                <w:highlight w:val="none"/>
              </w:rPr>
            </w:pPr>
          </w:p>
        </w:tc>
        <w:tc>
          <w:tcPr>
            <w:tcW w:w="1361" w:type="dxa"/>
            <w:vMerge w:val="continue"/>
            <w:noWrap w:val="0"/>
            <w:vAlign w:val="center"/>
          </w:tcPr>
          <w:p>
            <w:pPr>
              <w:spacing w:after="60" w:afterLines="25" w:line="360" w:lineRule="exact"/>
              <w:jc w:val="center"/>
              <w:rPr>
                <w:rFonts w:ascii="宋体" w:hAnsi="宋体"/>
                <w:color w:val="auto"/>
                <w:szCs w:val="21"/>
                <w:highlight w:val="none"/>
              </w:rPr>
            </w:pPr>
          </w:p>
        </w:tc>
        <w:tc>
          <w:tcPr>
            <w:tcW w:w="6126" w:type="dxa"/>
            <w:noWrap w:val="0"/>
            <w:vAlign w:val="center"/>
          </w:tcPr>
          <w:p>
            <w:pPr>
              <w:spacing w:after="60" w:afterLines="25" w:line="360" w:lineRule="exact"/>
              <w:jc w:val="left"/>
              <w:rPr>
                <w:rFonts w:ascii="宋体" w:hAnsi="宋体"/>
                <w:color w:val="auto"/>
                <w:szCs w:val="21"/>
                <w:highlight w:val="none"/>
              </w:rPr>
            </w:pPr>
            <w:r>
              <w:rPr>
                <w:rFonts w:hint="eastAsia" w:ascii="宋体" w:hAnsi="宋体"/>
                <w:color w:val="auto"/>
                <w:szCs w:val="21"/>
                <w:highlight w:val="none"/>
              </w:rPr>
              <w:t>根据供应商仓储容量进行综合打分：图片及内容介绍完整、全面、合理的得</w:t>
            </w:r>
            <w:r>
              <w:rPr>
                <w:rFonts w:hint="eastAsia" w:ascii="宋体" w:hAnsi="宋体"/>
                <w:color w:val="auto"/>
                <w:szCs w:val="21"/>
                <w:highlight w:val="none"/>
                <w:lang w:val="en-US" w:eastAsia="zh-CN"/>
              </w:rPr>
              <w:t>3-6</w:t>
            </w:r>
            <w:r>
              <w:rPr>
                <w:rFonts w:hint="eastAsia" w:ascii="宋体" w:hAnsi="宋体"/>
                <w:color w:val="auto"/>
                <w:szCs w:val="21"/>
                <w:highlight w:val="none"/>
              </w:rPr>
              <w:t>分，基本描述的得1</w:t>
            </w:r>
            <w:r>
              <w:rPr>
                <w:rFonts w:hint="eastAsia" w:ascii="宋体" w:hAnsi="宋体"/>
                <w:color w:val="auto"/>
                <w:szCs w:val="21"/>
                <w:highlight w:val="none"/>
                <w:lang w:val="en-US" w:eastAsia="zh-CN"/>
              </w:rPr>
              <w:t>-3</w:t>
            </w:r>
            <w:r>
              <w:rPr>
                <w:rFonts w:hint="eastAsia" w:ascii="宋体" w:hAnsi="宋体"/>
                <w:color w:val="auto"/>
                <w:szCs w:val="21"/>
                <w:highlight w:val="none"/>
              </w:rPr>
              <w:t>分，未描述的得0分。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ascii="宋体" w:hAnsi="宋体"/>
                <w:color w:val="auto"/>
                <w:szCs w:val="21"/>
                <w:highlight w:val="none"/>
              </w:rPr>
              <w:t>0-</w:t>
            </w:r>
            <w:r>
              <w:rPr>
                <w:rFonts w:hint="eastAsia" w:ascii="宋体" w:hAnsi="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43" w:type="dxa"/>
            <w:noWrap w:val="0"/>
            <w:vAlign w:val="center"/>
          </w:tcPr>
          <w:p>
            <w:pPr>
              <w:spacing w:after="60" w:afterLines="25" w:line="36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4</w:t>
            </w:r>
          </w:p>
        </w:tc>
        <w:tc>
          <w:tcPr>
            <w:tcW w:w="1361" w:type="dxa"/>
            <w:vMerge w:val="restart"/>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rPr>
              <w:t>质量售后服务</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11分</w:t>
            </w:r>
            <w:r>
              <w:rPr>
                <w:rFonts w:hint="eastAsia" w:ascii="宋体" w:hAnsi="宋体"/>
                <w:color w:val="auto"/>
                <w:szCs w:val="21"/>
                <w:highlight w:val="none"/>
                <w:lang w:eastAsia="zh-CN"/>
              </w:rPr>
              <w:t>）</w:t>
            </w:r>
          </w:p>
        </w:tc>
        <w:tc>
          <w:tcPr>
            <w:tcW w:w="6126" w:type="dxa"/>
            <w:noWrap w:val="0"/>
            <w:vAlign w:val="center"/>
          </w:tcPr>
          <w:p>
            <w:pPr>
              <w:spacing w:after="60" w:afterLines="25" w:line="360" w:lineRule="exact"/>
              <w:rPr>
                <w:rFonts w:ascii="宋体" w:hAnsi="宋体"/>
                <w:color w:val="auto"/>
                <w:szCs w:val="21"/>
                <w:highlight w:val="none"/>
              </w:rPr>
            </w:pPr>
            <w:r>
              <w:rPr>
                <w:rFonts w:hint="eastAsia" w:ascii="宋体" w:hAnsi="宋体"/>
                <w:color w:val="auto"/>
                <w:szCs w:val="21"/>
                <w:highlight w:val="none"/>
              </w:rPr>
              <w:t>根据投标人对所供货商品质量保证、物流是否及时、是否为积压商品、商品剩余保质期超三分之二以上、供货及时性、货品质量存在问题时的相应补偿、处罚措施、服务和应急处置方案等进行综合评定，合理、全面的得</w:t>
            </w:r>
            <w:r>
              <w:rPr>
                <w:rFonts w:hint="eastAsia" w:ascii="宋体" w:hAnsi="宋体"/>
                <w:color w:val="auto"/>
                <w:szCs w:val="21"/>
                <w:highlight w:val="none"/>
                <w:lang w:val="en-US" w:eastAsia="zh-CN"/>
              </w:rPr>
              <w:t>5-8</w:t>
            </w:r>
            <w:r>
              <w:rPr>
                <w:rFonts w:hint="eastAsia" w:ascii="宋体" w:hAnsi="宋体"/>
                <w:color w:val="auto"/>
                <w:szCs w:val="21"/>
                <w:highlight w:val="none"/>
              </w:rPr>
              <w:t>分，基本描述的得</w:t>
            </w:r>
            <w:r>
              <w:rPr>
                <w:rFonts w:hint="eastAsia" w:ascii="宋体" w:hAnsi="宋体"/>
                <w:color w:val="auto"/>
                <w:szCs w:val="21"/>
                <w:highlight w:val="none"/>
                <w:lang w:val="en-US" w:eastAsia="zh-CN"/>
              </w:rPr>
              <w:t>2-5</w:t>
            </w:r>
            <w:r>
              <w:rPr>
                <w:rFonts w:hint="eastAsia" w:ascii="宋体" w:hAnsi="宋体"/>
                <w:color w:val="auto"/>
                <w:szCs w:val="21"/>
                <w:highlight w:val="none"/>
              </w:rPr>
              <w:t>（不含）分，</w:t>
            </w:r>
            <w:r>
              <w:rPr>
                <w:rFonts w:hint="eastAsia" w:ascii="宋体" w:hAnsi="宋体"/>
                <w:color w:val="auto"/>
                <w:highlight w:val="none"/>
              </w:rPr>
              <w:t>缺项的，得0分。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rPr>
              <w:t>0-</w:t>
            </w:r>
            <w:r>
              <w:rPr>
                <w:rFonts w:hint="eastAsia" w:ascii="宋体" w:hAnsi="宋体"/>
                <w:color w:val="auto"/>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43" w:type="dxa"/>
            <w:noWrap w:val="0"/>
            <w:vAlign w:val="center"/>
          </w:tcPr>
          <w:p>
            <w:pPr>
              <w:spacing w:after="60" w:afterLines="25" w:line="36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5</w:t>
            </w:r>
          </w:p>
        </w:tc>
        <w:tc>
          <w:tcPr>
            <w:tcW w:w="1361" w:type="dxa"/>
            <w:vMerge w:val="continue"/>
            <w:noWrap w:val="0"/>
            <w:vAlign w:val="center"/>
          </w:tcPr>
          <w:p>
            <w:pPr>
              <w:spacing w:after="60" w:afterLines="25" w:line="360" w:lineRule="exact"/>
              <w:jc w:val="center"/>
              <w:rPr>
                <w:rFonts w:hint="eastAsia" w:ascii="宋体" w:hAnsi="宋体"/>
                <w:color w:val="auto"/>
                <w:szCs w:val="21"/>
                <w:highlight w:val="none"/>
              </w:rPr>
            </w:pPr>
          </w:p>
        </w:tc>
        <w:tc>
          <w:tcPr>
            <w:tcW w:w="6126" w:type="dxa"/>
            <w:noWrap w:val="0"/>
            <w:vAlign w:val="center"/>
          </w:tcPr>
          <w:p>
            <w:pPr>
              <w:spacing w:after="60" w:afterLines="25" w:line="360" w:lineRule="exac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对售出后的未使用产品提供更换或退货服务的，明确退换货时间节点、退还方案等，承诺未使用产品7天无理由退换货的得3分，部分可退换的得1-2分，无承诺的得0分。</w:t>
            </w:r>
          </w:p>
        </w:tc>
        <w:tc>
          <w:tcPr>
            <w:tcW w:w="992" w:type="dxa"/>
            <w:noWrap w:val="0"/>
            <w:vAlign w:val="center"/>
          </w:tcPr>
          <w:p>
            <w:pPr>
              <w:spacing w:after="60" w:afterLines="25" w:line="3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43" w:type="dxa"/>
            <w:noWrap w:val="0"/>
            <w:vAlign w:val="center"/>
          </w:tcPr>
          <w:p>
            <w:pPr>
              <w:spacing w:after="60" w:afterLines="25" w:line="36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1361" w:type="dxa"/>
            <w:noWrap w:val="0"/>
            <w:vAlign w:val="center"/>
          </w:tcPr>
          <w:p>
            <w:pPr>
              <w:rPr>
                <w:rFonts w:hint="eastAsia" w:ascii="宋体" w:hAnsi="宋体"/>
                <w:color w:val="auto"/>
                <w:szCs w:val="21"/>
                <w:highlight w:val="none"/>
              </w:rPr>
            </w:pPr>
            <w:r>
              <w:rPr>
                <w:rFonts w:hint="eastAsia" w:ascii="宋体"/>
                <w:color w:val="auto"/>
                <w:highlight w:val="none"/>
              </w:rPr>
              <w:t>样品（</w:t>
            </w:r>
            <w:r>
              <w:rPr>
                <w:rFonts w:hint="eastAsia" w:ascii="宋体"/>
                <w:color w:val="auto"/>
                <w:highlight w:val="none"/>
                <w:lang w:val="en-US" w:eastAsia="zh-CN"/>
              </w:rPr>
              <w:t>11</w:t>
            </w:r>
            <w:r>
              <w:rPr>
                <w:rFonts w:hint="eastAsia" w:ascii="宋体"/>
                <w:color w:val="auto"/>
                <w:highlight w:val="none"/>
              </w:rPr>
              <w:t>分）</w:t>
            </w:r>
          </w:p>
        </w:tc>
        <w:tc>
          <w:tcPr>
            <w:tcW w:w="6126" w:type="dxa"/>
            <w:noWrap w:val="0"/>
            <w:vAlign w:val="center"/>
          </w:tcPr>
          <w:p>
            <w:pPr>
              <w:spacing w:after="60" w:afterLines="25" w:line="360" w:lineRule="exac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1、根据投标人提供</w:t>
            </w:r>
            <w:r>
              <w:rPr>
                <w:rFonts w:hint="eastAsia" w:ascii="宋体" w:hAnsi="宋体" w:cs="Times New Roman"/>
                <w:color w:val="auto"/>
                <w:szCs w:val="21"/>
                <w:highlight w:val="none"/>
                <w:lang w:val="en-US" w:eastAsia="zh-CN"/>
              </w:rPr>
              <w:t>玻璃杯的厚度是否适中、重量、材质</w:t>
            </w:r>
            <w:r>
              <w:rPr>
                <w:rFonts w:hint="eastAsia" w:ascii="宋体" w:hAnsi="宋体" w:eastAsia="宋体" w:cs="Times New Roman"/>
                <w:color w:val="auto"/>
                <w:szCs w:val="21"/>
                <w:highlight w:val="none"/>
              </w:rPr>
              <w:t>等要素评定。0-</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分</w:t>
            </w:r>
          </w:p>
          <w:p>
            <w:pPr>
              <w:spacing w:after="60" w:afterLines="25" w:line="360" w:lineRule="exact"/>
              <w:rPr>
                <w:rFonts w:hint="eastAsia" w:ascii="宋体" w:hAnsi="宋体" w:eastAsia="宋体" w:cs="Times New Roman"/>
                <w:color w:val="auto"/>
                <w:szCs w:val="21"/>
                <w:highlight w:val="none"/>
              </w:rPr>
            </w:pPr>
            <w:r>
              <w:rPr>
                <w:rFonts w:hint="eastAsia" w:ascii="宋体" w:hAnsi="宋体" w:cs="Times New Roman"/>
                <w:color w:val="auto"/>
                <w:szCs w:val="21"/>
                <w:highlight w:val="none"/>
                <w:lang w:val="en-US" w:eastAsia="zh-CN"/>
              </w:rPr>
              <w:t>2</w:t>
            </w:r>
            <w:r>
              <w:rPr>
                <w:rFonts w:hint="eastAsia" w:ascii="宋体" w:hAnsi="宋体" w:eastAsia="宋体" w:cs="Times New Roman"/>
                <w:color w:val="auto"/>
                <w:szCs w:val="21"/>
                <w:highlight w:val="none"/>
              </w:rPr>
              <w:t>、根据投标人提供</w:t>
            </w:r>
            <w:r>
              <w:rPr>
                <w:rFonts w:hint="eastAsia" w:ascii="宋体" w:hAnsi="宋体" w:cs="Times New Roman"/>
                <w:color w:val="auto"/>
                <w:szCs w:val="21"/>
                <w:highlight w:val="none"/>
                <w:lang w:val="en-US" w:eastAsia="zh-CN"/>
              </w:rPr>
              <w:t>餐巾纸纸张厚度、颜色、韧度、手感</w:t>
            </w:r>
            <w:r>
              <w:rPr>
                <w:rFonts w:hint="eastAsia" w:ascii="宋体" w:hAnsi="宋体" w:eastAsia="宋体" w:cs="Times New Roman"/>
                <w:color w:val="auto"/>
                <w:szCs w:val="21"/>
                <w:highlight w:val="none"/>
              </w:rPr>
              <w:t>等要素评定。0-</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分</w:t>
            </w:r>
          </w:p>
          <w:p>
            <w:pPr>
              <w:spacing w:after="60" w:afterLines="25" w:line="360" w:lineRule="exact"/>
              <w:rPr>
                <w:rFonts w:hint="eastAsia" w:ascii="宋体" w:hAnsi="宋体" w:eastAsia="宋体" w:cs="Times New Roman"/>
                <w:color w:val="auto"/>
                <w:szCs w:val="21"/>
                <w:highlight w:val="none"/>
              </w:rPr>
            </w:pPr>
            <w:r>
              <w:rPr>
                <w:rFonts w:hint="eastAsia" w:ascii="宋体" w:hAnsi="宋体" w:cs="Times New Roman"/>
                <w:color w:val="auto"/>
                <w:szCs w:val="21"/>
                <w:highlight w:val="none"/>
                <w:lang w:val="en-US" w:eastAsia="zh-CN"/>
              </w:rPr>
              <w:t>3、</w:t>
            </w:r>
            <w:r>
              <w:rPr>
                <w:rFonts w:hint="eastAsia" w:ascii="宋体" w:hAnsi="宋体" w:eastAsia="宋体" w:cs="Times New Roman"/>
                <w:color w:val="auto"/>
                <w:szCs w:val="21"/>
                <w:highlight w:val="none"/>
              </w:rPr>
              <w:t>根据投标人提供</w:t>
            </w:r>
            <w:r>
              <w:rPr>
                <w:rFonts w:hint="eastAsia" w:ascii="宋体" w:hAnsi="宋体" w:cs="Times New Roman"/>
                <w:color w:val="auto"/>
                <w:szCs w:val="21"/>
                <w:highlight w:val="none"/>
                <w:lang w:val="en-US" w:eastAsia="zh-CN"/>
              </w:rPr>
              <w:t>牛奶的口感、性状</w:t>
            </w:r>
            <w:r>
              <w:rPr>
                <w:rFonts w:hint="eastAsia" w:ascii="宋体" w:hAnsi="宋体" w:eastAsia="宋体" w:cs="Times New Roman"/>
                <w:color w:val="auto"/>
                <w:szCs w:val="21"/>
                <w:highlight w:val="none"/>
              </w:rPr>
              <w:t>等要素评定。0-</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分</w:t>
            </w:r>
          </w:p>
          <w:p>
            <w:pPr>
              <w:spacing w:after="60" w:afterLines="25" w:line="360" w:lineRule="exact"/>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lang w:val="en-US" w:eastAsia="zh-CN"/>
              </w:rPr>
              <w:t>、根据投标人提供</w:t>
            </w:r>
            <w:r>
              <w:rPr>
                <w:rFonts w:hint="eastAsia" w:ascii="宋体" w:hAnsi="宋体" w:cs="Times New Roman"/>
                <w:color w:val="auto"/>
                <w:szCs w:val="21"/>
                <w:highlight w:val="none"/>
                <w:lang w:val="en-US" w:eastAsia="zh-CN"/>
              </w:rPr>
              <w:t>橙汁的口感、性状</w:t>
            </w:r>
            <w:r>
              <w:rPr>
                <w:rFonts w:hint="eastAsia" w:ascii="宋体" w:hAnsi="宋体" w:eastAsia="宋体" w:cs="Times New Roman"/>
                <w:color w:val="auto"/>
                <w:szCs w:val="21"/>
                <w:highlight w:val="none"/>
                <w:lang w:val="en-US" w:eastAsia="zh-CN"/>
              </w:rPr>
              <w:t>等要素评定。0-2分</w:t>
            </w:r>
          </w:p>
        </w:tc>
        <w:tc>
          <w:tcPr>
            <w:tcW w:w="992" w:type="dxa"/>
            <w:noWrap w:val="0"/>
            <w:vAlign w:val="center"/>
          </w:tcPr>
          <w:p>
            <w:pPr>
              <w:jc w:val="center"/>
              <w:rPr>
                <w:rFonts w:hint="default" w:ascii="宋体" w:hAnsi="宋体" w:eastAsia="宋体"/>
                <w:color w:val="auto"/>
                <w:szCs w:val="21"/>
                <w:highlight w:val="none"/>
                <w:lang w:val="en-US" w:eastAsia="zh-CN"/>
              </w:rPr>
            </w:pPr>
            <w:r>
              <w:rPr>
                <w:rFonts w:hint="eastAsia" w:ascii="宋体" w:hAnsi="宋体"/>
                <w:color w:val="auto"/>
                <w:highlight w:val="none"/>
              </w:rPr>
              <w:t>0-</w:t>
            </w:r>
            <w:r>
              <w:rPr>
                <w:rFonts w:hint="eastAsia" w:ascii="宋体" w:hAnsi="宋体"/>
                <w:color w:val="auto"/>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43"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7</w:t>
            </w:r>
          </w:p>
        </w:tc>
        <w:tc>
          <w:tcPr>
            <w:tcW w:w="1361"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rPr>
              <w:t>优惠条件及合理化建议</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3分</w:t>
            </w:r>
            <w:r>
              <w:rPr>
                <w:rFonts w:hint="eastAsia" w:ascii="宋体" w:hAnsi="宋体"/>
                <w:color w:val="auto"/>
                <w:szCs w:val="21"/>
                <w:highlight w:val="none"/>
                <w:lang w:eastAsia="zh-CN"/>
              </w:rPr>
              <w:t>）</w:t>
            </w:r>
          </w:p>
        </w:tc>
        <w:tc>
          <w:tcPr>
            <w:tcW w:w="6126" w:type="dxa"/>
            <w:noWrap w:val="0"/>
            <w:vAlign w:val="center"/>
          </w:tcPr>
          <w:p>
            <w:pPr>
              <w:spacing w:after="60" w:afterLines="25" w:line="360" w:lineRule="exac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投标人针对本项目的优惠条件（不得涉及报价）及合理化建议，1条被采纳的得1分，最多得</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分。</w:t>
            </w:r>
          </w:p>
        </w:tc>
        <w:tc>
          <w:tcPr>
            <w:tcW w:w="992" w:type="dxa"/>
            <w:noWrap w:val="0"/>
            <w:vAlign w:val="center"/>
          </w:tcPr>
          <w:p>
            <w:pPr>
              <w:spacing w:after="60" w:afterLines="25" w:line="360" w:lineRule="exact"/>
              <w:jc w:val="center"/>
              <w:rPr>
                <w:rFonts w:hint="eastAsia" w:ascii="宋体" w:hAnsi="宋体" w:eastAsia="宋体"/>
                <w:color w:val="auto"/>
                <w:szCs w:val="21"/>
                <w:highlight w:val="none"/>
                <w:lang w:eastAsia="zh-CN"/>
              </w:rPr>
            </w:pPr>
            <w:r>
              <w:rPr>
                <w:rFonts w:ascii="宋体" w:hAnsi="宋体"/>
                <w:color w:val="auto"/>
                <w:szCs w:val="21"/>
                <w:highlight w:val="none"/>
              </w:rPr>
              <w:t>0-</w:t>
            </w:r>
            <w:r>
              <w:rPr>
                <w:rFonts w:hint="eastAsia" w:ascii="宋体" w:hAnsi="宋体"/>
                <w:color w:val="auto"/>
                <w:szCs w:val="21"/>
                <w:highlight w:val="none"/>
                <w:lang w:val="en-US" w:eastAsia="zh-CN"/>
              </w:rPr>
              <w:t>3</w:t>
            </w:r>
          </w:p>
        </w:tc>
      </w:tr>
    </w:tbl>
    <w:p>
      <w:pPr>
        <w:pStyle w:val="59"/>
        <w:spacing w:line="360" w:lineRule="auto"/>
        <w:rPr>
          <w:rFonts w:hint="default"/>
          <w:color w:val="auto"/>
          <w:highlight w:val="none"/>
          <w:lang w:val="en-US" w:eastAsia="zh-CN"/>
        </w:rPr>
      </w:pPr>
    </w:p>
    <w:p>
      <w:pPr>
        <w:pStyle w:val="59"/>
        <w:spacing w:line="360" w:lineRule="auto"/>
        <w:rPr>
          <w:rFonts w:hint="eastAsia"/>
          <w:color w:val="auto"/>
          <w:highlight w:val="none"/>
        </w:rPr>
      </w:pPr>
    </w:p>
    <w:p>
      <w:pPr>
        <w:pStyle w:val="59"/>
        <w:spacing w:line="360" w:lineRule="auto"/>
        <w:rPr>
          <w:rFonts w:hint="eastAsia"/>
          <w:color w:val="auto"/>
          <w:highlight w:val="none"/>
        </w:rPr>
      </w:pPr>
    </w:p>
    <w:p>
      <w:pPr>
        <w:pStyle w:val="59"/>
        <w:spacing w:line="360" w:lineRule="auto"/>
        <w:rPr>
          <w:color w:val="auto"/>
          <w:highlight w:val="none"/>
        </w:rPr>
      </w:pPr>
      <w:r>
        <w:rPr>
          <w:rFonts w:hint="eastAsia"/>
          <w:color w:val="auto"/>
          <w:highlight w:val="none"/>
        </w:rPr>
        <w:t>注：评标委员会独立打分，保留小数点后2位小数，所有有效评分的平均分作为对应投标人的技术资信得分。</w:t>
      </w: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59"/>
        <w:spacing w:line="360" w:lineRule="auto"/>
        <w:rPr>
          <w:color w:val="auto"/>
          <w:highlight w:val="none"/>
        </w:rPr>
      </w:pPr>
    </w:p>
    <w:p>
      <w:pPr>
        <w:pStyle w:val="79"/>
        <w:rPr>
          <w:rFonts w:hint="eastAsia" w:ascii="宋体" w:eastAsia="宋体"/>
          <w:color w:val="auto"/>
          <w:highlight w:val="none"/>
          <w:lang w:eastAsia="zh-CN"/>
        </w:rPr>
      </w:pPr>
      <w:r>
        <w:rPr>
          <w:rStyle w:val="133"/>
          <w:rFonts w:hint="eastAsia" w:ascii="宋体" w:eastAsia="宋体" w:cs="微软雅黑"/>
          <w:b w:val="0"/>
          <w:color w:val="auto"/>
          <w:highlight w:val="none"/>
        </w:rPr>
        <w:t>第五章  政府采购合同</w:t>
      </w:r>
      <w:bookmarkEnd w:id="264"/>
      <w:bookmarkEnd w:id="265"/>
      <w:bookmarkEnd w:id="266"/>
      <w:bookmarkEnd w:id="267"/>
      <w:r>
        <w:rPr>
          <w:rStyle w:val="133"/>
          <w:rFonts w:hint="eastAsia" w:ascii="宋体" w:eastAsia="宋体" w:cs="微软雅黑"/>
          <w:b w:val="0"/>
          <w:color w:val="auto"/>
          <w:highlight w:val="none"/>
        </w:rPr>
        <w:t>（参考）</w:t>
      </w:r>
      <w:r>
        <w:rPr>
          <w:rStyle w:val="133"/>
          <w:rFonts w:hint="eastAsia" w:ascii="宋体" w:eastAsia="宋体" w:cs="微软雅黑"/>
          <w:b w:val="0"/>
          <w:color w:val="auto"/>
          <w:highlight w:val="none"/>
          <w:lang w:eastAsia="zh-CN"/>
        </w:rPr>
        <w:t>（</w:t>
      </w:r>
      <w:r>
        <w:rPr>
          <w:rStyle w:val="133"/>
          <w:rFonts w:hint="eastAsia" w:ascii="宋体" w:eastAsia="宋体" w:cs="微软雅黑"/>
          <w:b w:val="0"/>
          <w:color w:val="auto"/>
          <w:highlight w:val="none"/>
          <w:lang w:val="en-US" w:eastAsia="zh-CN"/>
        </w:rPr>
        <w:t>3个标项分别签订合同</w:t>
      </w:r>
      <w:r>
        <w:rPr>
          <w:rStyle w:val="133"/>
          <w:rFonts w:hint="eastAsia" w:ascii="宋体" w:eastAsia="宋体" w:cs="微软雅黑"/>
          <w:b w:val="0"/>
          <w:color w:val="auto"/>
          <w:highlight w:val="none"/>
          <w:lang w:eastAsia="zh-CN"/>
        </w:rPr>
        <w:t>）</w:t>
      </w:r>
    </w:p>
    <w:p>
      <w:pPr>
        <w:pStyle w:val="26"/>
        <w:snapToGrid w:val="0"/>
        <w:spacing w:line="360" w:lineRule="auto"/>
        <w:jc w:val="left"/>
        <w:rPr>
          <w:rFonts w:hAnsi="宋体"/>
          <w:color w:val="auto"/>
          <w:szCs w:val="21"/>
          <w:highlight w:val="none"/>
        </w:rPr>
      </w:pPr>
      <w:r>
        <w:rPr>
          <w:rFonts w:hint="eastAsia" w:hAnsi="宋体"/>
          <w:b/>
          <w:color w:val="auto"/>
          <w:szCs w:val="21"/>
          <w:highlight w:val="none"/>
        </w:rPr>
        <w:t>合同</w:t>
      </w:r>
      <w:r>
        <w:rPr>
          <w:rFonts w:hAnsi="宋体"/>
          <w:b/>
          <w:color w:val="auto"/>
          <w:szCs w:val="21"/>
          <w:highlight w:val="none"/>
        </w:rPr>
        <w:t>编号：</w:t>
      </w:r>
    </w:p>
    <w:p>
      <w:pPr>
        <w:pStyle w:val="26"/>
        <w:snapToGrid w:val="0"/>
        <w:spacing w:line="360" w:lineRule="auto"/>
        <w:ind w:left="1054" w:hanging="1054" w:hangingChars="500"/>
        <w:jc w:val="left"/>
        <w:rPr>
          <w:rFonts w:hAnsi="宋体"/>
          <w:color w:val="auto"/>
          <w:szCs w:val="21"/>
          <w:highlight w:val="none"/>
        </w:rPr>
      </w:pPr>
      <w:r>
        <w:rPr>
          <w:rFonts w:hint="eastAsia" w:hAnsi="宋体"/>
          <w:b/>
          <w:color w:val="auto"/>
          <w:szCs w:val="21"/>
          <w:highlight w:val="none"/>
        </w:rPr>
        <w:t>预算金额</w:t>
      </w:r>
      <w:r>
        <w:rPr>
          <w:rFonts w:hint="eastAsia" w:hAnsi="宋体"/>
          <w:color w:val="auto"/>
          <w:szCs w:val="21"/>
          <w:highlight w:val="none"/>
        </w:rPr>
        <w:t>：</w:t>
      </w:r>
    </w:p>
    <w:p>
      <w:pPr>
        <w:snapToGrid w:val="0"/>
        <w:spacing w:line="360" w:lineRule="auto"/>
        <w:rPr>
          <w:rFonts w:ascii="宋体" w:hAnsi="宋体"/>
          <w:color w:val="auto"/>
          <w:szCs w:val="21"/>
          <w:highlight w:val="none"/>
        </w:rPr>
      </w:pPr>
      <w:r>
        <w:rPr>
          <w:rFonts w:hint="eastAsia" w:ascii="宋体" w:hAnsi="宋体"/>
          <w:b/>
          <w:color w:val="auto"/>
          <w:szCs w:val="21"/>
          <w:highlight w:val="none"/>
        </w:rPr>
        <w:t>采购人（以下称招标方）：</w:t>
      </w:r>
    </w:p>
    <w:p>
      <w:pPr>
        <w:pStyle w:val="26"/>
        <w:snapToGrid w:val="0"/>
        <w:spacing w:line="360" w:lineRule="auto"/>
        <w:rPr>
          <w:rFonts w:hAnsi="宋体"/>
          <w:b/>
          <w:color w:val="auto"/>
          <w:szCs w:val="21"/>
          <w:highlight w:val="none"/>
        </w:rPr>
      </w:pPr>
      <w:r>
        <w:rPr>
          <w:rFonts w:hint="eastAsia" w:hAnsi="宋体"/>
          <w:b/>
          <w:color w:val="auto"/>
          <w:szCs w:val="21"/>
          <w:highlight w:val="none"/>
        </w:rPr>
        <w:t>投标人（以下称中标方）：</w:t>
      </w:r>
    </w:p>
    <w:p>
      <w:pPr>
        <w:pStyle w:val="26"/>
        <w:snapToGrid w:val="0"/>
        <w:spacing w:line="360" w:lineRule="auto"/>
        <w:rPr>
          <w:rFonts w:hAnsi="宋体"/>
          <w:color w:val="auto"/>
          <w:szCs w:val="21"/>
          <w:highlight w:val="none"/>
        </w:rPr>
      </w:pPr>
      <w:r>
        <w:rPr>
          <w:rFonts w:hint="eastAsia" w:hAnsi="宋体"/>
          <w:b/>
          <w:color w:val="auto"/>
          <w:szCs w:val="21"/>
          <w:highlight w:val="none"/>
        </w:rPr>
        <w:t>采购代理机构：</w:t>
      </w:r>
    </w:p>
    <w:p>
      <w:pPr>
        <w:pStyle w:val="26"/>
        <w:snapToGrid w:val="0"/>
        <w:spacing w:line="360" w:lineRule="auto"/>
        <w:rPr>
          <w:rFonts w:hAnsi="宋体"/>
          <w:color w:val="auto"/>
          <w:szCs w:val="21"/>
          <w:highlight w:val="none"/>
        </w:rPr>
      </w:pPr>
      <w:r>
        <w:rPr>
          <w:rFonts w:hint="eastAsia" w:hAnsi="宋体"/>
          <w:b/>
          <w:color w:val="auto"/>
          <w:szCs w:val="21"/>
          <w:highlight w:val="none"/>
        </w:rPr>
        <w:t>采购方式：</w:t>
      </w:r>
      <w:r>
        <w:rPr>
          <w:rFonts w:hint="eastAsia" w:hAnsi="宋体"/>
          <w:color w:val="auto"/>
          <w:szCs w:val="21"/>
          <w:highlight w:val="none"/>
        </w:rPr>
        <w:t>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按照《中华人民共和国民法典》等法律法规的规定，甲、乙双方按照</w:t>
      </w:r>
      <w:r>
        <w:rPr>
          <w:rFonts w:hint="eastAsia" w:ascii="宋体" w:hAnsi="宋体"/>
          <w:b/>
          <w:color w:val="auto"/>
          <w:szCs w:val="21"/>
          <w:highlight w:val="none"/>
          <w:lang w:eastAsia="zh-CN"/>
        </w:rPr>
        <w:t>嘉兴海关综合技术服务中心食堂食材采购项目</w:t>
      </w:r>
      <w:r>
        <w:rPr>
          <w:rFonts w:hint="eastAsia" w:ascii="宋体" w:hAnsi="宋体"/>
          <w:color w:val="auto"/>
          <w:szCs w:val="21"/>
          <w:highlight w:val="none"/>
        </w:rPr>
        <w:t>采购结果签订本合同。</w:t>
      </w:r>
    </w:p>
    <w:p>
      <w:pPr>
        <w:shd w:val="clear" w:color="auto" w:fill="FFFFFF"/>
        <w:tabs>
          <w:tab w:val="left" w:pos="916"/>
          <w:tab w:val="left" w:pos="1832"/>
          <w:tab w:val="left" w:pos="2748"/>
        </w:tabs>
        <w:spacing w:line="360" w:lineRule="auto"/>
        <w:ind w:firstLine="525" w:firstLineChars="249"/>
        <w:jc w:val="left"/>
        <w:rPr>
          <w:rFonts w:ascii="宋体" w:hAnsi="宋体"/>
          <w:b/>
          <w:color w:val="auto"/>
          <w:szCs w:val="21"/>
          <w:highlight w:val="none"/>
        </w:rPr>
      </w:pPr>
      <w:r>
        <w:rPr>
          <w:rFonts w:hint="eastAsia" w:ascii="宋体" w:hAnsi="宋体"/>
          <w:b/>
          <w:color w:val="auto"/>
          <w:szCs w:val="21"/>
          <w:highlight w:val="none"/>
        </w:rPr>
        <w:t>第一条 合同组成</w:t>
      </w:r>
      <w:r>
        <w:rPr>
          <w:rFonts w:ascii="宋体" w:hAnsi="宋体"/>
          <w:b/>
          <w:color w:val="auto"/>
          <w:szCs w:val="21"/>
          <w:highlight w:val="none"/>
        </w:rPr>
        <w:tab/>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本次采购活动的相关文件为本合同的组成部分，这些文件包括但不限于：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（1）本合同文本；</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（2）采购文件与采购响应文件；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（3）中标或成交通知书；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组成本合同的所有文件必须为书面形式。。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left"/>
        <w:rPr>
          <w:rFonts w:ascii="宋体" w:hAnsi="宋体"/>
          <w:b/>
          <w:color w:val="auto"/>
          <w:szCs w:val="21"/>
          <w:highlight w:val="none"/>
        </w:rPr>
      </w:pPr>
      <w:r>
        <w:rPr>
          <w:rFonts w:hint="eastAsia" w:ascii="宋体" w:hAnsi="宋体"/>
          <w:b/>
          <w:color w:val="auto"/>
          <w:szCs w:val="21"/>
          <w:highlight w:val="none"/>
        </w:rPr>
        <w:t>第二条 合同标的与相关属性</w:t>
      </w:r>
    </w:p>
    <w:p>
      <w:pPr>
        <w:snapToGrid w:val="0"/>
        <w:spacing w:line="360" w:lineRule="auto"/>
        <w:ind w:firstLine="525" w:firstLineChars="250"/>
        <w:rPr>
          <w:rFonts w:hint="eastAsia" w:ascii="宋体" w:hAnsi="宋体" w:eastAsia="宋体"/>
          <w:color w:val="auto"/>
          <w:szCs w:val="21"/>
          <w:highlight w:val="none"/>
          <w:lang w:eastAsia="zh-CN"/>
        </w:rPr>
      </w:pPr>
      <w:r>
        <w:rPr>
          <w:rFonts w:hint="eastAsia" w:ascii="宋体" w:hAnsi="宋体"/>
          <w:color w:val="auto"/>
          <w:szCs w:val="21"/>
          <w:highlight w:val="none"/>
        </w:rPr>
        <w:t>1、本次采购的是</w:t>
      </w:r>
      <w:r>
        <w:rPr>
          <w:rFonts w:hint="eastAsia" w:ascii="宋体" w:hAnsi="宋体"/>
          <w:b/>
          <w:color w:val="auto"/>
          <w:szCs w:val="21"/>
          <w:highlight w:val="none"/>
          <w:lang w:eastAsia="zh-CN"/>
        </w:rPr>
        <w:t>嘉兴海关综合技术服务中心食堂食材采购项目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left"/>
        <w:rPr>
          <w:rFonts w:ascii="宋体" w:hAnsi="宋体"/>
          <w:b/>
          <w:color w:val="auto"/>
          <w:szCs w:val="21"/>
          <w:highlight w:val="none"/>
        </w:rPr>
      </w:pPr>
      <w:r>
        <w:rPr>
          <w:rFonts w:hint="eastAsia" w:ascii="宋体" w:hAnsi="宋体"/>
          <w:b/>
          <w:color w:val="auto"/>
          <w:szCs w:val="21"/>
          <w:highlight w:val="none"/>
        </w:rPr>
        <w:t>第三条 合同价款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1、本合同项下总价款为（大写）</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%，分项价款见“价格清单”（如有）”。</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2、本合同总价款含所有税费。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3、本合同付款方式为</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left"/>
        <w:rPr>
          <w:rFonts w:ascii="宋体" w:hAnsi="宋体"/>
          <w:b/>
          <w:color w:val="auto"/>
          <w:szCs w:val="21"/>
          <w:highlight w:val="none"/>
        </w:rPr>
      </w:pPr>
      <w:r>
        <w:rPr>
          <w:rFonts w:hint="eastAsia" w:ascii="宋体" w:hAnsi="宋体"/>
          <w:b/>
          <w:color w:val="auto"/>
          <w:szCs w:val="21"/>
          <w:highlight w:val="none"/>
        </w:rPr>
        <w:t>第四条 履约保证金</w:t>
      </w:r>
    </w:p>
    <w:p>
      <w:pPr>
        <w:spacing w:line="360" w:lineRule="auto"/>
        <w:ind w:left="420" w:leftChars="200" w:firstLine="210" w:firstLineChars="100"/>
        <w:contextualSpacing/>
        <w:rPr>
          <w:rFonts w:ascii="宋体" w:hAnsi="宋体"/>
          <w:color w:val="auto"/>
          <w:szCs w:val="21"/>
          <w:highlight w:val="none"/>
        </w:rPr>
      </w:pPr>
      <w:r>
        <w:rPr>
          <w:rFonts w:hint="eastAsia" w:ascii="宋体" w:hAnsi="宋体"/>
          <w:color w:val="auto"/>
          <w:szCs w:val="21"/>
          <w:highlight w:val="none"/>
          <w:lang w:val="en-US" w:eastAsia="zh-CN"/>
        </w:rPr>
        <w:t>乙方</w:t>
      </w:r>
      <w:r>
        <w:rPr>
          <w:rFonts w:hint="eastAsia" w:ascii="宋体" w:hAnsi="宋体"/>
          <w:color w:val="auto"/>
          <w:szCs w:val="21"/>
          <w:highlight w:val="none"/>
        </w:rPr>
        <w:t>应在中标通知书发出后30日内前到</w:t>
      </w:r>
      <w:r>
        <w:rPr>
          <w:rFonts w:hint="eastAsia" w:ascii="宋体" w:hAnsi="宋体"/>
          <w:color w:val="auto"/>
          <w:szCs w:val="21"/>
          <w:highlight w:val="none"/>
          <w:lang w:val="en-US" w:eastAsia="zh-CN"/>
        </w:rPr>
        <w:t>甲方</w:t>
      </w:r>
      <w:r>
        <w:rPr>
          <w:rFonts w:hint="eastAsia" w:ascii="宋体" w:hAnsi="宋体"/>
          <w:color w:val="auto"/>
          <w:szCs w:val="21"/>
          <w:highlight w:val="none"/>
        </w:rPr>
        <w:t>处签订合同，</w:t>
      </w:r>
      <w:r>
        <w:rPr>
          <w:rFonts w:hint="eastAsia" w:ascii="宋体" w:hAnsi="宋体"/>
          <w:color w:val="auto"/>
          <w:szCs w:val="21"/>
          <w:highlight w:val="none"/>
          <w:lang w:val="en-US" w:eastAsia="zh-CN"/>
        </w:rPr>
        <w:t>项1：13000</w:t>
      </w:r>
      <w:r>
        <w:rPr>
          <w:rFonts w:hint="eastAsia" w:ascii="宋体" w:hAnsi="宋体"/>
          <w:color w:val="auto"/>
          <w:szCs w:val="21"/>
          <w:highlight w:val="none"/>
        </w:rPr>
        <w:t>.00元</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标项2:13000.00元；标项3:9500.00元</w:t>
      </w:r>
      <w:r>
        <w:rPr>
          <w:rFonts w:hint="eastAsia" w:ascii="宋体" w:hAnsi="宋体"/>
          <w:color w:val="auto"/>
          <w:szCs w:val="21"/>
          <w:highlight w:val="none"/>
        </w:rPr>
        <w:t>的履约保证金。</w:t>
      </w:r>
    </w:p>
    <w:p>
      <w:pPr>
        <w:spacing w:line="360" w:lineRule="auto"/>
        <w:ind w:left="420" w:leftChars="200" w:firstLine="0" w:firstLineChars="0"/>
        <w:contextualSpacing/>
        <w:rPr>
          <w:rFonts w:ascii="宋体" w:hAnsi="宋体"/>
          <w:color w:val="auto"/>
          <w:szCs w:val="21"/>
          <w:highlight w:val="none"/>
        </w:rPr>
      </w:pPr>
      <w:r>
        <w:rPr>
          <w:rFonts w:hint="eastAsia" w:ascii="宋体" w:hAnsi="宋体"/>
          <w:color w:val="auto"/>
          <w:szCs w:val="21"/>
          <w:highlight w:val="none"/>
        </w:rPr>
        <w:t>履约担保的形式为：银行保函（格式以出具保函的银行为准）或现金或</w:t>
      </w:r>
      <w:r>
        <w:rPr>
          <w:rFonts w:hint="eastAsia" w:ascii="宋体" w:hAnsi="宋体"/>
          <w:color w:val="auto"/>
          <w:szCs w:val="21"/>
          <w:highlight w:val="none"/>
          <w:lang w:val="en-US" w:eastAsia="zh-CN"/>
        </w:rPr>
        <w:t>甲方</w:t>
      </w:r>
      <w:r>
        <w:rPr>
          <w:rFonts w:hint="eastAsia" w:ascii="宋体" w:hAnsi="宋体"/>
          <w:color w:val="auto"/>
          <w:szCs w:val="21"/>
          <w:highlight w:val="none"/>
        </w:rPr>
        <w:t>认可的其他形式。</w:t>
      </w:r>
    </w:p>
    <w:p>
      <w:pPr>
        <w:spacing w:line="360" w:lineRule="auto"/>
        <w:ind w:firstLine="630" w:firstLineChars="300"/>
        <w:contextualSpacing/>
        <w:rPr>
          <w:rFonts w:ascii="宋体" w:hAnsi="宋体"/>
          <w:color w:val="auto"/>
          <w:szCs w:val="21"/>
          <w:highlight w:val="none"/>
        </w:rPr>
      </w:pPr>
      <w:r>
        <w:rPr>
          <w:rFonts w:hint="eastAsia" w:ascii="宋体" w:hAnsi="宋体"/>
          <w:color w:val="auto"/>
          <w:szCs w:val="21"/>
          <w:highlight w:val="none"/>
        </w:rPr>
        <w:t>出具履约担保的银行级别：国有或股份制商业银行县（区、市）级及以上银行；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color w:val="auto"/>
          <w:szCs w:val="21"/>
          <w:highlight w:val="none"/>
        </w:rPr>
      </w:pPr>
      <w:r>
        <w:rPr>
          <w:rFonts w:hint="eastAsia" w:ascii="宋体" w:hAnsi="宋体"/>
          <w:color w:val="auto"/>
          <w:szCs w:val="21"/>
          <w:highlight w:val="none"/>
        </w:rPr>
        <w:t>履约担保的退还：合同期满后，无质量问题10日内无息退还。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left"/>
        <w:rPr>
          <w:rFonts w:ascii="宋体" w:hAnsi="宋体"/>
          <w:b/>
          <w:color w:val="auto"/>
          <w:szCs w:val="21"/>
          <w:highlight w:val="none"/>
        </w:rPr>
      </w:pPr>
      <w:r>
        <w:rPr>
          <w:rFonts w:hint="eastAsia" w:ascii="宋体" w:hAnsi="宋体"/>
          <w:b/>
          <w:color w:val="auto"/>
          <w:szCs w:val="21"/>
          <w:highlight w:val="none"/>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本合同一经签订，甲乙双方不得擅自终止合同或对合同实质性条款进行变更。确有特殊情况的，须经上级主管部门备案同意。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left"/>
        <w:rPr>
          <w:rFonts w:ascii="宋体" w:hAnsi="宋体"/>
          <w:b/>
          <w:color w:val="auto"/>
          <w:szCs w:val="21"/>
          <w:highlight w:val="none"/>
        </w:rPr>
      </w:pPr>
      <w:r>
        <w:rPr>
          <w:rFonts w:hint="eastAsia" w:ascii="宋体" w:hAnsi="宋体"/>
          <w:b/>
          <w:color w:val="auto"/>
          <w:szCs w:val="21"/>
          <w:highlight w:val="none"/>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中标方不得擅自部分或全部转让其应履行的合同义务。中标方分包的，应经过招标方书面同意。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left"/>
        <w:rPr>
          <w:rFonts w:ascii="宋体" w:hAnsi="宋体"/>
          <w:b/>
          <w:color w:val="auto"/>
          <w:szCs w:val="21"/>
          <w:highlight w:val="none"/>
        </w:rPr>
      </w:pPr>
      <w:r>
        <w:rPr>
          <w:rFonts w:hint="eastAsia" w:ascii="宋体" w:hAnsi="宋体"/>
          <w:b/>
          <w:color w:val="auto"/>
          <w:szCs w:val="21"/>
          <w:highlight w:val="none"/>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1、因履行本合同引起的或与本合同有关的争议，甲、乙双方应首先通过友好协商解决，如果协商不能解决争议，则采取以下第种方式解决争议：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（1）向招标方所在地有管辖权的人民法院提起诉讼；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（2）向仲裁委员申请仲裁。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left"/>
        <w:rPr>
          <w:rFonts w:ascii="宋体" w:hAnsi="宋体"/>
          <w:b/>
          <w:color w:val="auto"/>
          <w:szCs w:val="21"/>
          <w:highlight w:val="none"/>
        </w:rPr>
      </w:pPr>
      <w:r>
        <w:rPr>
          <w:rFonts w:hint="eastAsia" w:ascii="宋体" w:hAnsi="宋体"/>
          <w:b/>
          <w:color w:val="auto"/>
          <w:szCs w:val="21"/>
          <w:highlight w:val="none"/>
        </w:rPr>
        <w:t>第八条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本合同一式五份，甲乙双方各执二份，1份送招标代理机构存档。</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7" w:firstLineChars="250"/>
        <w:jc w:val="center"/>
        <w:rPr>
          <w:rFonts w:ascii="宋体" w:hAnsi="宋体"/>
          <w:b/>
          <w:color w:val="auto"/>
          <w:szCs w:val="21"/>
          <w:highlight w:val="none"/>
        </w:rPr>
      </w:pPr>
      <w:r>
        <w:rPr>
          <w:rFonts w:hint="eastAsia" w:ascii="宋体" w:hAnsi="宋体"/>
          <w:b/>
          <w:color w:val="auto"/>
          <w:szCs w:val="21"/>
          <w:highlight w:val="none"/>
        </w:rPr>
        <w:t>二、特殊专用条款部份</w:t>
      </w:r>
    </w:p>
    <w:p>
      <w:pPr>
        <w:numPr>
          <w:ilvl w:val="0"/>
          <w:numId w:val="8"/>
        </w:numPr>
        <w:autoSpaceDE w:val="0"/>
        <w:autoSpaceDN w:val="0"/>
        <w:adjustRightInd w:val="0"/>
        <w:spacing w:line="360" w:lineRule="auto"/>
        <w:rPr>
          <w:rFonts w:ascii="宋体" w:hAnsi="宋体"/>
          <w:b/>
          <w:color w:val="auto"/>
          <w:kern w:val="36"/>
          <w:szCs w:val="21"/>
          <w:highlight w:val="none"/>
        </w:rPr>
      </w:pPr>
      <w:r>
        <w:rPr>
          <w:rFonts w:hint="eastAsia" w:ascii="宋体" w:hAnsi="宋体"/>
          <w:b/>
          <w:color w:val="auto"/>
          <w:kern w:val="36"/>
          <w:szCs w:val="21"/>
          <w:highlight w:val="none"/>
        </w:rPr>
        <w:t>服务内容</w:t>
      </w:r>
    </w:p>
    <w:p>
      <w:pPr>
        <w:autoSpaceDE w:val="0"/>
        <w:autoSpaceDN w:val="0"/>
        <w:adjustRightInd w:val="0"/>
        <w:spacing w:line="360" w:lineRule="auto"/>
        <w:rPr>
          <w:rFonts w:ascii="宋体" w:hAnsi="宋体"/>
          <w:b/>
          <w:color w:val="auto"/>
          <w:kern w:val="36"/>
          <w:szCs w:val="21"/>
          <w:highlight w:val="none"/>
        </w:rPr>
      </w:pPr>
      <w:r>
        <w:rPr>
          <w:rFonts w:ascii="宋体" w:hAnsi="宋体"/>
          <w:b/>
          <w:color w:val="auto"/>
          <w:kern w:val="36"/>
          <w:szCs w:val="21"/>
          <w:highlight w:val="none"/>
        </w:rPr>
        <w:t>……</w:t>
      </w:r>
    </w:p>
    <w:p>
      <w:pPr>
        <w:pStyle w:val="26"/>
        <w:snapToGrid w:val="0"/>
        <w:spacing w:line="360" w:lineRule="auto"/>
        <w:ind w:firstLine="413" w:firstLineChars="196"/>
        <w:rPr>
          <w:rFonts w:hAnsi="宋体"/>
          <w:b/>
          <w:color w:val="auto"/>
          <w:szCs w:val="21"/>
          <w:highlight w:val="none"/>
        </w:rPr>
      </w:pPr>
      <w:r>
        <w:rPr>
          <w:rFonts w:hint="eastAsia" w:hAnsi="宋体"/>
          <w:b/>
          <w:color w:val="auto"/>
          <w:szCs w:val="21"/>
          <w:highlight w:val="none"/>
        </w:rPr>
        <w:t>第二条</w:t>
      </w:r>
      <w:r>
        <w:rPr>
          <w:rFonts w:hAnsi="宋体"/>
          <w:b/>
          <w:color w:val="auto"/>
          <w:szCs w:val="21"/>
          <w:highlight w:val="none"/>
        </w:rPr>
        <w:t>、合同履行时间、履行方式及履行地点</w:t>
      </w:r>
    </w:p>
    <w:p>
      <w:pPr>
        <w:pStyle w:val="26"/>
        <w:snapToGrid w:val="0"/>
        <w:spacing w:line="360" w:lineRule="auto"/>
        <w:ind w:firstLine="411" w:firstLineChars="196"/>
        <w:rPr>
          <w:rFonts w:hAnsi="宋体"/>
          <w:bCs/>
          <w:color w:val="auto"/>
          <w:szCs w:val="21"/>
          <w:highlight w:val="none"/>
        </w:rPr>
      </w:pPr>
      <w:r>
        <w:rPr>
          <w:rFonts w:hAnsi="宋体"/>
          <w:bCs/>
          <w:color w:val="auto"/>
          <w:szCs w:val="21"/>
          <w:highlight w:val="none"/>
        </w:rPr>
        <w:t>1</w:t>
      </w:r>
      <w:r>
        <w:rPr>
          <w:rFonts w:hint="eastAsia" w:hAnsi="宋体"/>
          <w:bCs/>
          <w:color w:val="auto"/>
          <w:szCs w:val="21"/>
          <w:highlight w:val="none"/>
        </w:rPr>
        <w:t>、</w:t>
      </w:r>
      <w:r>
        <w:rPr>
          <w:rFonts w:hAnsi="宋体"/>
          <w:color w:val="auto"/>
          <w:szCs w:val="21"/>
          <w:highlight w:val="none"/>
        </w:rPr>
        <w:t>履行时间</w:t>
      </w:r>
      <w:r>
        <w:rPr>
          <w:rFonts w:hAnsi="宋体"/>
          <w:bCs/>
          <w:color w:val="auto"/>
          <w:szCs w:val="21"/>
          <w:highlight w:val="none"/>
        </w:rPr>
        <w:t>：</w:t>
      </w:r>
    </w:p>
    <w:p>
      <w:pPr>
        <w:pStyle w:val="26"/>
        <w:snapToGrid w:val="0"/>
        <w:spacing w:line="360" w:lineRule="auto"/>
        <w:ind w:firstLine="411" w:firstLineChars="196"/>
        <w:rPr>
          <w:rFonts w:hAnsi="宋体"/>
          <w:bCs/>
          <w:color w:val="auto"/>
          <w:szCs w:val="21"/>
          <w:highlight w:val="none"/>
        </w:rPr>
      </w:pPr>
      <w:r>
        <w:rPr>
          <w:rFonts w:hAnsi="宋体"/>
          <w:bCs/>
          <w:color w:val="auto"/>
          <w:szCs w:val="21"/>
          <w:highlight w:val="none"/>
        </w:rPr>
        <w:t>2</w:t>
      </w:r>
      <w:r>
        <w:rPr>
          <w:rFonts w:hint="eastAsia" w:hAnsi="宋体"/>
          <w:bCs/>
          <w:color w:val="auto"/>
          <w:szCs w:val="21"/>
          <w:highlight w:val="none"/>
        </w:rPr>
        <w:t>、</w:t>
      </w:r>
      <w:r>
        <w:rPr>
          <w:rFonts w:hAnsi="宋体"/>
          <w:color w:val="auto"/>
          <w:szCs w:val="21"/>
          <w:highlight w:val="none"/>
        </w:rPr>
        <w:t>履行方式</w:t>
      </w:r>
      <w:r>
        <w:rPr>
          <w:rFonts w:hAnsi="宋体"/>
          <w:bCs/>
          <w:color w:val="auto"/>
          <w:szCs w:val="21"/>
          <w:highlight w:val="none"/>
        </w:rPr>
        <w:t>：</w:t>
      </w:r>
    </w:p>
    <w:p>
      <w:pPr>
        <w:pStyle w:val="26"/>
        <w:snapToGrid w:val="0"/>
        <w:spacing w:line="360" w:lineRule="auto"/>
        <w:ind w:firstLine="420" w:firstLineChars="200"/>
        <w:rPr>
          <w:rFonts w:hAnsi="宋体"/>
          <w:bCs/>
          <w:color w:val="auto"/>
          <w:szCs w:val="21"/>
          <w:highlight w:val="none"/>
        </w:rPr>
      </w:pPr>
      <w:r>
        <w:rPr>
          <w:rFonts w:hAnsi="宋体"/>
          <w:bCs/>
          <w:color w:val="auto"/>
          <w:szCs w:val="21"/>
          <w:highlight w:val="none"/>
        </w:rPr>
        <w:t>3</w:t>
      </w:r>
      <w:r>
        <w:rPr>
          <w:rFonts w:hint="eastAsia" w:hAnsi="宋体"/>
          <w:bCs/>
          <w:color w:val="auto"/>
          <w:szCs w:val="21"/>
          <w:highlight w:val="none"/>
        </w:rPr>
        <w:t>、</w:t>
      </w:r>
      <w:r>
        <w:rPr>
          <w:rFonts w:hAnsi="宋体"/>
          <w:color w:val="auto"/>
          <w:szCs w:val="21"/>
          <w:highlight w:val="none"/>
        </w:rPr>
        <w:t>履行地点</w:t>
      </w:r>
      <w:r>
        <w:rPr>
          <w:rFonts w:hAnsi="宋体"/>
          <w:bCs/>
          <w:color w:val="auto"/>
          <w:szCs w:val="21"/>
          <w:highlight w:val="none"/>
        </w:rPr>
        <w:t>：</w:t>
      </w:r>
    </w:p>
    <w:p>
      <w:pPr>
        <w:pStyle w:val="26"/>
        <w:snapToGrid w:val="0"/>
        <w:spacing w:line="360" w:lineRule="auto"/>
        <w:ind w:firstLine="422" w:firstLineChars="200"/>
        <w:rPr>
          <w:rFonts w:hAnsi="宋体"/>
          <w:b/>
          <w:color w:val="auto"/>
          <w:szCs w:val="21"/>
          <w:highlight w:val="none"/>
        </w:rPr>
      </w:pPr>
      <w:r>
        <w:rPr>
          <w:rFonts w:hint="eastAsia" w:hAnsi="宋体"/>
          <w:b/>
          <w:color w:val="auto"/>
          <w:szCs w:val="21"/>
          <w:highlight w:val="none"/>
        </w:rPr>
        <w:t>第</w:t>
      </w:r>
      <w:r>
        <w:rPr>
          <w:rFonts w:hAnsi="宋体"/>
          <w:b/>
          <w:color w:val="auto"/>
          <w:szCs w:val="21"/>
          <w:highlight w:val="none"/>
        </w:rPr>
        <w:t>三</w:t>
      </w:r>
      <w:r>
        <w:rPr>
          <w:rFonts w:hint="eastAsia" w:hAnsi="宋体"/>
          <w:b/>
          <w:color w:val="auto"/>
          <w:szCs w:val="21"/>
          <w:highlight w:val="none"/>
        </w:rPr>
        <w:t>条</w:t>
      </w:r>
      <w:r>
        <w:rPr>
          <w:rFonts w:hAnsi="宋体"/>
          <w:b/>
          <w:color w:val="auto"/>
          <w:szCs w:val="21"/>
          <w:highlight w:val="none"/>
        </w:rPr>
        <w:t>、技术资料</w:t>
      </w:r>
    </w:p>
    <w:p>
      <w:pPr>
        <w:pStyle w:val="26"/>
        <w:snapToGrid w:val="0"/>
        <w:spacing w:line="360" w:lineRule="auto"/>
        <w:ind w:firstLine="420" w:firstLineChars="200"/>
        <w:rPr>
          <w:rFonts w:hAnsi="宋体"/>
          <w:color w:val="auto"/>
          <w:szCs w:val="21"/>
          <w:highlight w:val="none"/>
        </w:rPr>
      </w:pPr>
      <w:r>
        <w:rPr>
          <w:rFonts w:hAnsi="宋体"/>
          <w:color w:val="auto"/>
          <w:szCs w:val="21"/>
          <w:highlight w:val="none"/>
        </w:rPr>
        <w:t>1</w:t>
      </w:r>
      <w:r>
        <w:rPr>
          <w:rFonts w:hint="eastAsia" w:hAnsi="宋体"/>
          <w:color w:val="auto"/>
          <w:szCs w:val="21"/>
          <w:highlight w:val="none"/>
        </w:rPr>
        <w:t>、中标方</w:t>
      </w:r>
      <w:r>
        <w:rPr>
          <w:rFonts w:hAnsi="宋体"/>
          <w:color w:val="auto"/>
          <w:szCs w:val="21"/>
          <w:highlight w:val="none"/>
        </w:rPr>
        <w:t>应按招标文件规定的时间向</w:t>
      </w:r>
      <w:r>
        <w:rPr>
          <w:rFonts w:hint="eastAsia" w:hAnsi="宋体"/>
          <w:color w:val="auto"/>
          <w:szCs w:val="21"/>
          <w:highlight w:val="none"/>
        </w:rPr>
        <w:t>招标方</w:t>
      </w:r>
      <w:r>
        <w:rPr>
          <w:rFonts w:hAnsi="宋体"/>
          <w:color w:val="auto"/>
          <w:szCs w:val="21"/>
          <w:highlight w:val="none"/>
        </w:rPr>
        <w:t>提供有关技术资料。</w:t>
      </w:r>
    </w:p>
    <w:p>
      <w:pPr>
        <w:pStyle w:val="26"/>
        <w:snapToGrid w:val="0"/>
        <w:spacing w:line="360" w:lineRule="auto"/>
        <w:ind w:firstLine="420" w:firstLineChars="200"/>
        <w:rPr>
          <w:rFonts w:hAnsi="宋体"/>
          <w:color w:val="auto"/>
          <w:szCs w:val="21"/>
          <w:highlight w:val="none"/>
        </w:rPr>
      </w:pPr>
      <w:r>
        <w:rPr>
          <w:rFonts w:hAnsi="宋体"/>
          <w:color w:val="auto"/>
          <w:szCs w:val="21"/>
          <w:highlight w:val="none"/>
        </w:rPr>
        <w:t>2</w:t>
      </w:r>
      <w:r>
        <w:rPr>
          <w:rFonts w:hint="eastAsia" w:hAnsi="宋体"/>
          <w:color w:val="auto"/>
          <w:szCs w:val="21"/>
          <w:highlight w:val="none"/>
        </w:rPr>
        <w:t>、</w:t>
      </w:r>
      <w:r>
        <w:rPr>
          <w:rFonts w:hAnsi="宋体"/>
          <w:color w:val="auto"/>
          <w:szCs w:val="21"/>
          <w:highlight w:val="none"/>
        </w:rPr>
        <w:t>没有</w:t>
      </w:r>
      <w:r>
        <w:rPr>
          <w:rFonts w:hint="eastAsia" w:hAnsi="宋体"/>
          <w:color w:val="auto"/>
          <w:szCs w:val="21"/>
          <w:highlight w:val="none"/>
        </w:rPr>
        <w:t>招标方</w:t>
      </w:r>
      <w:r>
        <w:rPr>
          <w:rFonts w:hAnsi="宋体"/>
          <w:color w:val="auto"/>
          <w:szCs w:val="21"/>
          <w:highlight w:val="none"/>
        </w:rPr>
        <w:t>事先书面同意，</w:t>
      </w:r>
      <w:r>
        <w:rPr>
          <w:rFonts w:hint="eastAsia" w:hAnsi="宋体"/>
          <w:color w:val="auto"/>
          <w:szCs w:val="21"/>
          <w:highlight w:val="none"/>
        </w:rPr>
        <w:t>中标方</w:t>
      </w:r>
      <w:r>
        <w:rPr>
          <w:rFonts w:hAnsi="宋体"/>
          <w:color w:val="auto"/>
          <w:szCs w:val="21"/>
          <w:highlight w:val="none"/>
        </w:rPr>
        <w:t>不得将由</w:t>
      </w:r>
      <w:r>
        <w:rPr>
          <w:rFonts w:hint="eastAsia" w:hAnsi="宋体"/>
          <w:color w:val="auto"/>
          <w:szCs w:val="21"/>
          <w:highlight w:val="none"/>
        </w:rPr>
        <w:t>招标方</w:t>
      </w:r>
      <w:r>
        <w:rPr>
          <w:rFonts w:hAnsi="宋体"/>
          <w:color w:val="auto"/>
          <w:szCs w:val="21"/>
          <w:highlight w:val="none"/>
        </w:rPr>
        <w:t>提供的有关合同或任何合同条文、规格、计划、图纸、样品或资料提供给与履行本合同无关的任何其他人。即使向履行本合同有关的人员提供，也应注意保密并限于履行合同的必需范围。</w:t>
      </w:r>
    </w:p>
    <w:p>
      <w:pPr>
        <w:pStyle w:val="26"/>
        <w:snapToGrid w:val="0"/>
        <w:spacing w:line="360" w:lineRule="auto"/>
        <w:ind w:firstLine="422" w:firstLineChars="200"/>
        <w:rPr>
          <w:rFonts w:hAnsi="宋体"/>
          <w:b/>
          <w:color w:val="auto"/>
          <w:szCs w:val="21"/>
          <w:highlight w:val="none"/>
        </w:rPr>
      </w:pPr>
      <w:r>
        <w:rPr>
          <w:rFonts w:hint="eastAsia" w:hAnsi="宋体"/>
          <w:b/>
          <w:color w:val="auto"/>
          <w:szCs w:val="21"/>
          <w:highlight w:val="none"/>
        </w:rPr>
        <w:t>第</w:t>
      </w:r>
      <w:r>
        <w:rPr>
          <w:rFonts w:hAnsi="宋体"/>
          <w:b/>
          <w:color w:val="auto"/>
          <w:szCs w:val="21"/>
          <w:highlight w:val="none"/>
        </w:rPr>
        <w:t>四</w:t>
      </w:r>
      <w:r>
        <w:rPr>
          <w:rFonts w:hint="eastAsia" w:hAnsi="宋体"/>
          <w:b/>
          <w:color w:val="auto"/>
          <w:szCs w:val="21"/>
          <w:highlight w:val="none"/>
        </w:rPr>
        <w:t>条</w:t>
      </w:r>
      <w:r>
        <w:rPr>
          <w:rFonts w:hAnsi="宋体"/>
          <w:b/>
          <w:color w:val="auto"/>
          <w:szCs w:val="21"/>
          <w:highlight w:val="none"/>
        </w:rPr>
        <w:t>、知识产权</w:t>
      </w:r>
    </w:p>
    <w:p>
      <w:pPr>
        <w:pStyle w:val="26"/>
        <w:snapToGrid w:val="0"/>
        <w:spacing w:line="360" w:lineRule="auto"/>
        <w:ind w:firstLine="420" w:firstLineChars="200"/>
        <w:rPr>
          <w:rFonts w:hAnsi="宋体"/>
          <w:b/>
          <w:bCs/>
          <w:color w:val="auto"/>
          <w:szCs w:val="21"/>
          <w:highlight w:val="none"/>
        </w:rPr>
      </w:pPr>
      <w:r>
        <w:rPr>
          <w:rFonts w:hint="eastAsia" w:hAnsi="宋体"/>
          <w:color w:val="auto"/>
          <w:szCs w:val="21"/>
          <w:highlight w:val="none"/>
        </w:rPr>
        <w:t>中标方</w:t>
      </w:r>
      <w:r>
        <w:rPr>
          <w:rFonts w:hAnsi="宋体"/>
          <w:color w:val="auto"/>
          <w:szCs w:val="21"/>
          <w:highlight w:val="none"/>
        </w:rPr>
        <w:t>应保证提供服务过程中不会侵犯任何第三方的</w:t>
      </w:r>
      <w:r>
        <w:rPr>
          <w:rFonts w:hAnsi="宋体"/>
          <w:b/>
          <w:color w:val="auto"/>
          <w:szCs w:val="21"/>
          <w:highlight w:val="none"/>
        </w:rPr>
        <w:t>知识产权</w:t>
      </w:r>
      <w:r>
        <w:rPr>
          <w:rFonts w:hAnsi="宋体"/>
          <w:b/>
          <w:bCs/>
          <w:color w:val="auto"/>
          <w:szCs w:val="21"/>
          <w:highlight w:val="none"/>
        </w:rPr>
        <w:t>。</w:t>
      </w:r>
    </w:p>
    <w:p>
      <w:pPr>
        <w:pStyle w:val="26"/>
        <w:snapToGrid w:val="0"/>
        <w:spacing w:line="360" w:lineRule="auto"/>
        <w:ind w:firstLine="422" w:firstLineChars="200"/>
        <w:rPr>
          <w:rFonts w:hAnsi="宋体"/>
          <w:b/>
          <w:color w:val="auto"/>
          <w:szCs w:val="21"/>
          <w:highlight w:val="none"/>
        </w:rPr>
      </w:pPr>
      <w:r>
        <w:rPr>
          <w:rFonts w:hint="eastAsia" w:hAnsi="宋体"/>
          <w:b/>
          <w:color w:val="auto"/>
          <w:szCs w:val="21"/>
          <w:highlight w:val="none"/>
        </w:rPr>
        <w:t>第五条</w:t>
      </w:r>
      <w:r>
        <w:rPr>
          <w:rFonts w:hAnsi="宋体"/>
          <w:b/>
          <w:color w:val="auto"/>
          <w:szCs w:val="21"/>
          <w:highlight w:val="none"/>
        </w:rPr>
        <w:t>、履约保证金</w:t>
      </w:r>
    </w:p>
    <w:p>
      <w:pPr>
        <w:spacing w:line="360" w:lineRule="auto"/>
        <w:ind w:left="420" w:leftChars="200" w:firstLine="210" w:firstLineChars="100"/>
        <w:contextualSpacing/>
        <w:rPr>
          <w:rFonts w:ascii="宋体" w:hAnsi="宋体"/>
          <w:color w:val="auto"/>
          <w:szCs w:val="21"/>
          <w:highlight w:val="none"/>
        </w:rPr>
      </w:pPr>
      <w:r>
        <w:rPr>
          <w:rFonts w:hint="eastAsia" w:ascii="宋体" w:hAnsi="宋体"/>
          <w:color w:val="auto"/>
          <w:szCs w:val="21"/>
          <w:highlight w:val="none"/>
          <w:lang w:val="en-US" w:eastAsia="zh-CN"/>
        </w:rPr>
        <w:t>乙方</w:t>
      </w:r>
      <w:r>
        <w:rPr>
          <w:rFonts w:hint="eastAsia" w:ascii="宋体" w:hAnsi="宋体"/>
          <w:color w:val="auto"/>
          <w:szCs w:val="21"/>
          <w:highlight w:val="none"/>
        </w:rPr>
        <w:t>应在中标通知书发出后30日内前到</w:t>
      </w:r>
      <w:r>
        <w:rPr>
          <w:rFonts w:hint="eastAsia" w:ascii="宋体" w:hAnsi="宋体"/>
          <w:color w:val="auto"/>
          <w:szCs w:val="21"/>
          <w:highlight w:val="none"/>
          <w:lang w:val="en-US" w:eastAsia="zh-CN"/>
        </w:rPr>
        <w:t>甲方</w:t>
      </w:r>
      <w:r>
        <w:rPr>
          <w:rFonts w:hint="eastAsia" w:ascii="宋体" w:hAnsi="宋体"/>
          <w:color w:val="auto"/>
          <w:szCs w:val="21"/>
          <w:highlight w:val="none"/>
        </w:rPr>
        <w:t>处签订合同，</w:t>
      </w:r>
      <w:r>
        <w:rPr>
          <w:rFonts w:hint="eastAsia" w:ascii="宋体" w:hAnsi="宋体"/>
          <w:color w:val="auto"/>
          <w:szCs w:val="21"/>
          <w:highlight w:val="none"/>
          <w:lang w:val="en-US" w:eastAsia="zh-CN"/>
        </w:rPr>
        <w:t>项1：13000</w:t>
      </w:r>
      <w:r>
        <w:rPr>
          <w:rFonts w:hint="eastAsia" w:ascii="宋体" w:hAnsi="宋体"/>
          <w:color w:val="auto"/>
          <w:szCs w:val="21"/>
          <w:highlight w:val="none"/>
        </w:rPr>
        <w:t>.00元</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标项2:13000.00元；标项3:9500.00元</w:t>
      </w:r>
      <w:r>
        <w:rPr>
          <w:rFonts w:hint="eastAsia" w:ascii="宋体" w:hAnsi="宋体"/>
          <w:color w:val="auto"/>
          <w:szCs w:val="21"/>
          <w:highlight w:val="none"/>
        </w:rPr>
        <w:t>的履约保证金。</w:t>
      </w:r>
    </w:p>
    <w:p>
      <w:pPr>
        <w:spacing w:line="360" w:lineRule="auto"/>
        <w:ind w:left="420" w:leftChars="200" w:firstLine="0" w:firstLineChars="0"/>
        <w:contextualSpacing/>
        <w:rPr>
          <w:rFonts w:ascii="宋体" w:hAnsi="宋体"/>
          <w:color w:val="auto"/>
          <w:szCs w:val="21"/>
          <w:highlight w:val="none"/>
        </w:rPr>
      </w:pPr>
      <w:r>
        <w:rPr>
          <w:rFonts w:hint="eastAsia" w:ascii="宋体" w:hAnsi="宋体"/>
          <w:color w:val="auto"/>
          <w:szCs w:val="21"/>
          <w:highlight w:val="none"/>
        </w:rPr>
        <w:t>履约担保的形式为：银行保函（格式以出具保函的银行为准）或现金或</w:t>
      </w:r>
      <w:r>
        <w:rPr>
          <w:rFonts w:hint="eastAsia" w:ascii="宋体" w:hAnsi="宋体"/>
          <w:color w:val="auto"/>
          <w:szCs w:val="21"/>
          <w:highlight w:val="none"/>
          <w:lang w:val="en-US" w:eastAsia="zh-CN"/>
        </w:rPr>
        <w:t>甲方</w:t>
      </w:r>
      <w:r>
        <w:rPr>
          <w:rFonts w:hint="eastAsia" w:ascii="宋体" w:hAnsi="宋体"/>
          <w:color w:val="auto"/>
          <w:szCs w:val="21"/>
          <w:highlight w:val="none"/>
        </w:rPr>
        <w:t>认可的其他形式。</w:t>
      </w:r>
    </w:p>
    <w:p>
      <w:pPr>
        <w:spacing w:line="360" w:lineRule="auto"/>
        <w:ind w:firstLine="630" w:firstLineChars="300"/>
        <w:contextualSpacing/>
        <w:rPr>
          <w:rFonts w:ascii="宋体" w:hAnsi="宋体"/>
          <w:color w:val="auto"/>
          <w:szCs w:val="21"/>
          <w:highlight w:val="none"/>
        </w:rPr>
      </w:pPr>
      <w:r>
        <w:rPr>
          <w:rFonts w:hint="eastAsia" w:ascii="宋体" w:hAnsi="宋体"/>
          <w:color w:val="auto"/>
          <w:szCs w:val="21"/>
          <w:highlight w:val="none"/>
        </w:rPr>
        <w:t>出具履约担保的银行级别：国有或股份制商业银行县（区、市）级及以上银行；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jc w:val="left"/>
        <w:rPr>
          <w:rFonts w:hint="eastAsia" w:ascii="宋体" w:hAnsi="宋体"/>
          <w:color w:val="auto"/>
          <w:szCs w:val="21"/>
          <w:highlight w:val="none"/>
        </w:rPr>
      </w:pPr>
      <w:r>
        <w:rPr>
          <w:rFonts w:hint="eastAsia" w:ascii="宋体" w:hAnsi="宋体"/>
          <w:color w:val="auto"/>
          <w:szCs w:val="21"/>
          <w:highlight w:val="none"/>
        </w:rPr>
        <w:t>履约担保的退还：合同期满后，无质量问题10日内无息退还。</w:t>
      </w:r>
    </w:p>
    <w:p>
      <w:pPr>
        <w:snapToGrid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第六条、税费</w:t>
      </w:r>
    </w:p>
    <w:p>
      <w:pPr>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本合同执行中相关的一切税费均由中标方负担。</w:t>
      </w:r>
    </w:p>
    <w:p>
      <w:pPr>
        <w:pStyle w:val="26"/>
        <w:snapToGrid w:val="0"/>
        <w:spacing w:line="360" w:lineRule="auto"/>
        <w:ind w:firstLine="413" w:firstLineChars="196"/>
        <w:rPr>
          <w:rFonts w:hAnsi="宋体"/>
          <w:b/>
          <w:color w:val="auto"/>
          <w:szCs w:val="21"/>
          <w:highlight w:val="none"/>
        </w:rPr>
      </w:pPr>
      <w:r>
        <w:rPr>
          <w:rFonts w:hint="eastAsia" w:hAnsi="宋体"/>
          <w:b/>
          <w:color w:val="auto"/>
          <w:szCs w:val="21"/>
          <w:highlight w:val="none"/>
        </w:rPr>
        <w:t>第七条</w:t>
      </w:r>
      <w:r>
        <w:rPr>
          <w:rFonts w:hAnsi="宋体"/>
          <w:b/>
          <w:color w:val="auto"/>
          <w:szCs w:val="21"/>
          <w:highlight w:val="none"/>
        </w:rPr>
        <w:t>、违约责任</w:t>
      </w:r>
    </w:p>
    <w:p>
      <w:pPr>
        <w:pStyle w:val="26"/>
        <w:snapToGrid w:val="0"/>
        <w:spacing w:line="360" w:lineRule="auto"/>
        <w:ind w:firstLine="411" w:firstLineChars="196"/>
        <w:rPr>
          <w:rFonts w:hAnsi="宋体"/>
          <w:color w:val="auto"/>
          <w:szCs w:val="21"/>
          <w:highlight w:val="none"/>
        </w:rPr>
      </w:pPr>
      <w:r>
        <w:rPr>
          <w:rFonts w:hint="eastAsia" w:hAnsi="宋体"/>
          <w:color w:val="auto"/>
          <w:szCs w:val="21"/>
          <w:highlight w:val="none"/>
        </w:rPr>
        <w:t>1、招标方</w:t>
      </w:r>
      <w:r>
        <w:rPr>
          <w:rFonts w:hAnsi="宋体"/>
          <w:color w:val="auto"/>
          <w:szCs w:val="21"/>
          <w:highlight w:val="none"/>
        </w:rPr>
        <w:t>无正当理由拒收接受服务的，</w:t>
      </w:r>
      <w:r>
        <w:rPr>
          <w:rFonts w:hint="eastAsia" w:hAnsi="宋体"/>
          <w:color w:val="auto"/>
          <w:szCs w:val="21"/>
          <w:highlight w:val="none"/>
        </w:rPr>
        <w:t>招标方</w:t>
      </w:r>
      <w:r>
        <w:rPr>
          <w:rFonts w:hAnsi="宋体"/>
          <w:color w:val="auto"/>
          <w:szCs w:val="21"/>
          <w:highlight w:val="none"/>
        </w:rPr>
        <w:t>向</w:t>
      </w:r>
      <w:r>
        <w:rPr>
          <w:rFonts w:hint="eastAsia" w:hAnsi="宋体"/>
          <w:color w:val="auto"/>
          <w:szCs w:val="21"/>
          <w:highlight w:val="none"/>
        </w:rPr>
        <w:t>中标方</w:t>
      </w:r>
      <w:r>
        <w:rPr>
          <w:rFonts w:hAnsi="宋体"/>
          <w:color w:val="auto"/>
          <w:szCs w:val="21"/>
          <w:highlight w:val="none"/>
        </w:rPr>
        <w:t>偿付合同款项百分之五作为违约金。</w:t>
      </w:r>
    </w:p>
    <w:p>
      <w:pPr>
        <w:pStyle w:val="26"/>
        <w:snapToGrid w:val="0"/>
        <w:spacing w:line="360" w:lineRule="auto"/>
        <w:ind w:firstLine="420" w:firstLineChars="200"/>
        <w:rPr>
          <w:rFonts w:hAnsi="宋体"/>
          <w:color w:val="auto"/>
          <w:szCs w:val="21"/>
          <w:highlight w:val="none"/>
        </w:rPr>
      </w:pPr>
      <w:r>
        <w:rPr>
          <w:rFonts w:hint="eastAsia" w:hAnsi="宋体"/>
          <w:color w:val="auto"/>
          <w:szCs w:val="21"/>
          <w:highlight w:val="none"/>
        </w:rPr>
        <w:t>2、招标方</w:t>
      </w:r>
      <w:r>
        <w:rPr>
          <w:rFonts w:hAnsi="宋体"/>
          <w:color w:val="auto"/>
          <w:szCs w:val="21"/>
          <w:highlight w:val="none"/>
        </w:rPr>
        <w:t>无故逾期验收和办理款项支付手续的,</w:t>
      </w:r>
      <w:r>
        <w:rPr>
          <w:rFonts w:hint="eastAsia" w:hAnsi="宋体"/>
          <w:color w:val="auto"/>
          <w:szCs w:val="21"/>
          <w:highlight w:val="none"/>
        </w:rPr>
        <w:t>招标方</w:t>
      </w:r>
      <w:r>
        <w:rPr>
          <w:rFonts w:hAnsi="宋体"/>
          <w:color w:val="auto"/>
          <w:szCs w:val="21"/>
          <w:highlight w:val="none"/>
        </w:rPr>
        <w:t>应按逾期付款总额每日万分之五向</w:t>
      </w:r>
      <w:r>
        <w:rPr>
          <w:rFonts w:hint="eastAsia" w:hAnsi="宋体"/>
          <w:color w:val="auto"/>
          <w:szCs w:val="21"/>
          <w:highlight w:val="none"/>
        </w:rPr>
        <w:t>中标方</w:t>
      </w:r>
      <w:r>
        <w:rPr>
          <w:rFonts w:hAnsi="宋体"/>
          <w:color w:val="auto"/>
          <w:szCs w:val="21"/>
          <w:highlight w:val="none"/>
        </w:rPr>
        <w:t>支付违约金。</w:t>
      </w:r>
    </w:p>
    <w:p>
      <w:pPr>
        <w:pStyle w:val="26"/>
        <w:snapToGrid w:val="0"/>
        <w:spacing w:line="360" w:lineRule="auto"/>
        <w:ind w:firstLine="420" w:firstLineChars="200"/>
        <w:rPr>
          <w:rFonts w:hAnsi="宋体"/>
          <w:color w:val="auto"/>
          <w:szCs w:val="21"/>
          <w:highlight w:val="none"/>
        </w:rPr>
      </w:pPr>
      <w:r>
        <w:rPr>
          <w:rFonts w:hAnsi="宋体"/>
          <w:color w:val="auto"/>
          <w:szCs w:val="21"/>
          <w:highlight w:val="none"/>
        </w:rPr>
        <w:t>3</w:t>
      </w:r>
      <w:r>
        <w:rPr>
          <w:rFonts w:hint="eastAsia" w:hAnsi="宋体"/>
          <w:color w:val="auto"/>
          <w:szCs w:val="21"/>
          <w:highlight w:val="none"/>
        </w:rPr>
        <w:t>、中标方未能如</w:t>
      </w:r>
      <w:r>
        <w:rPr>
          <w:rFonts w:hAnsi="宋体"/>
          <w:color w:val="auto"/>
          <w:szCs w:val="21"/>
          <w:highlight w:val="none"/>
        </w:rPr>
        <w:t>期提供服务的，</w:t>
      </w:r>
      <w:r>
        <w:rPr>
          <w:rFonts w:hint="eastAsia" w:hAnsi="宋体"/>
          <w:color w:val="auto"/>
          <w:szCs w:val="21"/>
          <w:highlight w:val="none"/>
        </w:rPr>
        <w:t>按招标文件约定的金额作为</w:t>
      </w:r>
      <w:r>
        <w:rPr>
          <w:rFonts w:hAnsi="宋体"/>
          <w:color w:val="auto"/>
          <w:szCs w:val="21"/>
          <w:highlight w:val="none"/>
        </w:rPr>
        <w:t>违约金。</w:t>
      </w:r>
      <w:r>
        <w:rPr>
          <w:rFonts w:hint="eastAsia" w:hAnsi="宋体"/>
          <w:color w:val="auto"/>
          <w:szCs w:val="21"/>
          <w:highlight w:val="none"/>
        </w:rPr>
        <w:t>中标方</w:t>
      </w:r>
      <w:r>
        <w:rPr>
          <w:rFonts w:hAnsi="宋体"/>
          <w:color w:val="auto"/>
          <w:szCs w:val="21"/>
          <w:highlight w:val="none"/>
        </w:rPr>
        <w:t>超过约定日期10个工作日</w:t>
      </w:r>
      <w:r>
        <w:rPr>
          <w:rFonts w:hint="eastAsia" w:hAnsi="宋体"/>
          <w:color w:val="auto"/>
          <w:szCs w:val="21"/>
          <w:highlight w:val="none"/>
        </w:rPr>
        <w:t>仍</w:t>
      </w:r>
      <w:r>
        <w:rPr>
          <w:rFonts w:hAnsi="宋体"/>
          <w:color w:val="auto"/>
          <w:szCs w:val="21"/>
          <w:highlight w:val="none"/>
        </w:rPr>
        <w:t>不能</w:t>
      </w:r>
      <w:r>
        <w:rPr>
          <w:rFonts w:hint="eastAsia" w:hAnsi="宋体"/>
          <w:color w:val="auto"/>
          <w:szCs w:val="21"/>
          <w:highlight w:val="none"/>
        </w:rPr>
        <w:t>提供服务</w:t>
      </w:r>
      <w:r>
        <w:rPr>
          <w:rFonts w:hAnsi="宋体"/>
          <w:color w:val="auto"/>
          <w:szCs w:val="21"/>
          <w:highlight w:val="none"/>
        </w:rPr>
        <w:t>的，</w:t>
      </w:r>
      <w:r>
        <w:rPr>
          <w:rFonts w:hint="eastAsia" w:hAnsi="宋体"/>
          <w:color w:val="auto"/>
          <w:szCs w:val="21"/>
          <w:highlight w:val="none"/>
        </w:rPr>
        <w:t>招标方</w:t>
      </w:r>
      <w:r>
        <w:rPr>
          <w:rFonts w:hAnsi="宋体"/>
          <w:color w:val="auto"/>
          <w:szCs w:val="21"/>
          <w:highlight w:val="none"/>
        </w:rPr>
        <w:t>可解除本合同。</w:t>
      </w:r>
      <w:r>
        <w:rPr>
          <w:rFonts w:hint="eastAsia" w:hAnsi="宋体"/>
          <w:color w:val="auto"/>
          <w:szCs w:val="21"/>
          <w:highlight w:val="none"/>
        </w:rPr>
        <w:t>中标方</w:t>
      </w:r>
      <w:r>
        <w:rPr>
          <w:rFonts w:hAnsi="宋体"/>
          <w:color w:val="auto"/>
          <w:szCs w:val="21"/>
          <w:highlight w:val="none"/>
        </w:rPr>
        <w:t>因</w:t>
      </w:r>
      <w:r>
        <w:rPr>
          <w:rFonts w:hint="eastAsia" w:hAnsi="宋体"/>
          <w:color w:val="auto"/>
          <w:szCs w:val="21"/>
          <w:highlight w:val="none"/>
        </w:rPr>
        <w:t>未能如</w:t>
      </w:r>
      <w:r>
        <w:rPr>
          <w:rFonts w:hAnsi="宋体"/>
          <w:color w:val="auto"/>
          <w:szCs w:val="21"/>
          <w:highlight w:val="none"/>
        </w:rPr>
        <w:t>期提供服务或因其他违约行为导致</w:t>
      </w:r>
      <w:r>
        <w:rPr>
          <w:rFonts w:hint="eastAsia" w:hAnsi="宋体"/>
          <w:color w:val="auto"/>
          <w:szCs w:val="21"/>
          <w:highlight w:val="none"/>
        </w:rPr>
        <w:t>招标方</w:t>
      </w:r>
      <w:r>
        <w:rPr>
          <w:rFonts w:hAnsi="宋体"/>
          <w:color w:val="auto"/>
          <w:szCs w:val="21"/>
          <w:highlight w:val="none"/>
        </w:rPr>
        <w:t>解除合同的，</w:t>
      </w:r>
      <w:r>
        <w:rPr>
          <w:rFonts w:hint="eastAsia" w:hAnsi="宋体"/>
          <w:color w:val="auto"/>
          <w:szCs w:val="21"/>
          <w:highlight w:val="none"/>
        </w:rPr>
        <w:t>中标方</w:t>
      </w:r>
      <w:r>
        <w:rPr>
          <w:rFonts w:hAnsi="宋体"/>
          <w:color w:val="auto"/>
          <w:szCs w:val="21"/>
          <w:highlight w:val="none"/>
        </w:rPr>
        <w:t>应向</w:t>
      </w:r>
      <w:r>
        <w:rPr>
          <w:rFonts w:hint="eastAsia" w:hAnsi="宋体"/>
          <w:color w:val="auto"/>
          <w:szCs w:val="21"/>
          <w:highlight w:val="none"/>
        </w:rPr>
        <w:t>招标方</w:t>
      </w:r>
      <w:r>
        <w:rPr>
          <w:rFonts w:hAnsi="宋体"/>
          <w:color w:val="auto"/>
          <w:szCs w:val="21"/>
          <w:highlight w:val="none"/>
        </w:rPr>
        <w:t>支付合同总值5%的违约金，如造成</w:t>
      </w:r>
      <w:r>
        <w:rPr>
          <w:rFonts w:hint="eastAsia" w:hAnsi="宋体"/>
          <w:color w:val="auto"/>
          <w:szCs w:val="21"/>
          <w:highlight w:val="none"/>
        </w:rPr>
        <w:t>招标方</w:t>
      </w:r>
      <w:r>
        <w:rPr>
          <w:rFonts w:hAnsi="宋体"/>
          <w:color w:val="auto"/>
          <w:szCs w:val="21"/>
          <w:highlight w:val="none"/>
        </w:rPr>
        <w:t>损失超过违约金的，超出部分由</w:t>
      </w:r>
      <w:r>
        <w:rPr>
          <w:rFonts w:hint="eastAsia" w:hAnsi="宋体"/>
          <w:color w:val="auto"/>
          <w:szCs w:val="21"/>
          <w:highlight w:val="none"/>
        </w:rPr>
        <w:t>中标方</w:t>
      </w:r>
      <w:r>
        <w:rPr>
          <w:rFonts w:hAnsi="宋体"/>
          <w:color w:val="auto"/>
          <w:szCs w:val="21"/>
          <w:highlight w:val="none"/>
        </w:rPr>
        <w:t xml:space="preserve">继续承担赔偿责任。 </w:t>
      </w:r>
    </w:p>
    <w:p>
      <w:pPr>
        <w:pStyle w:val="26"/>
        <w:snapToGrid w:val="0"/>
        <w:spacing w:line="360" w:lineRule="auto"/>
        <w:ind w:firstLine="413" w:firstLineChars="196"/>
        <w:rPr>
          <w:rFonts w:hAnsi="宋体"/>
          <w:b/>
          <w:color w:val="auto"/>
          <w:szCs w:val="21"/>
          <w:highlight w:val="none"/>
        </w:rPr>
      </w:pPr>
      <w:r>
        <w:rPr>
          <w:rFonts w:hint="eastAsia" w:hAnsi="宋体"/>
          <w:b/>
          <w:color w:val="auto"/>
          <w:szCs w:val="21"/>
          <w:highlight w:val="none"/>
        </w:rPr>
        <w:t>第八条</w:t>
      </w:r>
      <w:r>
        <w:rPr>
          <w:rFonts w:hAnsi="宋体"/>
          <w:b/>
          <w:color w:val="auto"/>
          <w:szCs w:val="21"/>
          <w:highlight w:val="none"/>
        </w:rPr>
        <w:t>、不可抗力事件处理</w:t>
      </w:r>
    </w:p>
    <w:p>
      <w:pPr>
        <w:pStyle w:val="26"/>
        <w:snapToGrid w:val="0"/>
        <w:spacing w:line="360" w:lineRule="auto"/>
        <w:ind w:firstLine="420" w:firstLineChars="200"/>
        <w:rPr>
          <w:rFonts w:hAnsi="宋体"/>
          <w:color w:val="auto"/>
          <w:szCs w:val="21"/>
          <w:highlight w:val="none"/>
        </w:rPr>
      </w:pPr>
      <w:r>
        <w:rPr>
          <w:rFonts w:hAnsi="宋体"/>
          <w:color w:val="auto"/>
          <w:szCs w:val="21"/>
          <w:highlight w:val="none"/>
        </w:rPr>
        <w:t>1</w:t>
      </w:r>
      <w:r>
        <w:rPr>
          <w:rFonts w:hint="eastAsia" w:hAnsi="宋体"/>
          <w:color w:val="auto"/>
          <w:szCs w:val="21"/>
          <w:highlight w:val="none"/>
        </w:rPr>
        <w:t>、</w:t>
      </w:r>
      <w:r>
        <w:rPr>
          <w:rFonts w:hAnsi="宋体"/>
          <w:color w:val="auto"/>
          <w:szCs w:val="21"/>
          <w:highlight w:val="none"/>
        </w:rPr>
        <w:t>在合同有效期内，任何一方因不可抗力事件导致不能履行合同，则合同履行期可延长，其延长期与不可抗力影响期相同。</w:t>
      </w:r>
    </w:p>
    <w:p>
      <w:pPr>
        <w:pStyle w:val="26"/>
        <w:snapToGrid w:val="0"/>
        <w:spacing w:line="360" w:lineRule="auto"/>
        <w:ind w:firstLine="420" w:firstLineChars="200"/>
        <w:rPr>
          <w:rFonts w:hAnsi="宋体"/>
          <w:color w:val="auto"/>
          <w:szCs w:val="21"/>
          <w:highlight w:val="none"/>
        </w:rPr>
      </w:pPr>
      <w:r>
        <w:rPr>
          <w:rFonts w:hAnsi="宋体"/>
          <w:color w:val="auto"/>
          <w:szCs w:val="21"/>
          <w:highlight w:val="none"/>
        </w:rPr>
        <w:t>2</w:t>
      </w:r>
      <w:r>
        <w:rPr>
          <w:rFonts w:hint="eastAsia" w:hAnsi="宋体"/>
          <w:color w:val="auto"/>
          <w:szCs w:val="21"/>
          <w:highlight w:val="none"/>
        </w:rPr>
        <w:t>、</w:t>
      </w:r>
      <w:r>
        <w:rPr>
          <w:rFonts w:hAnsi="宋体"/>
          <w:color w:val="auto"/>
          <w:szCs w:val="21"/>
          <w:highlight w:val="none"/>
        </w:rPr>
        <w:t>不可抗力事件发生后，应立即通知对方，并寄送有关权威机构出具的证明。</w:t>
      </w:r>
    </w:p>
    <w:p>
      <w:pPr>
        <w:pStyle w:val="26"/>
        <w:snapToGrid w:val="0"/>
        <w:spacing w:line="360" w:lineRule="auto"/>
        <w:ind w:firstLine="420" w:firstLineChars="200"/>
        <w:rPr>
          <w:rFonts w:hAnsi="宋体"/>
          <w:color w:val="auto"/>
          <w:szCs w:val="21"/>
          <w:highlight w:val="none"/>
        </w:rPr>
      </w:pPr>
      <w:r>
        <w:rPr>
          <w:rFonts w:hAnsi="宋体"/>
          <w:color w:val="auto"/>
          <w:szCs w:val="21"/>
          <w:highlight w:val="none"/>
        </w:rPr>
        <w:t>3</w:t>
      </w:r>
      <w:r>
        <w:rPr>
          <w:rFonts w:hint="eastAsia" w:hAnsi="宋体"/>
          <w:color w:val="auto"/>
          <w:szCs w:val="21"/>
          <w:highlight w:val="none"/>
        </w:rPr>
        <w:t>、</w:t>
      </w:r>
      <w:r>
        <w:rPr>
          <w:rFonts w:hAnsi="宋体"/>
          <w:color w:val="auto"/>
          <w:szCs w:val="21"/>
          <w:highlight w:val="none"/>
        </w:rPr>
        <w:t>不可抗力事件延续120天以上，双方应通过友好协商，确定是否继续履行合同。</w:t>
      </w:r>
    </w:p>
    <w:p>
      <w:pPr>
        <w:pStyle w:val="26"/>
        <w:snapToGrid w:val="0"/>
        <w:spacing w:line="360" w:lineRule="auto"/>
        <w:ind w:firstLine="422" w:firstLineChars="200"/>
        <w:rPr>
          <w:rFonts w:hAnsi="宋体"/>
          <w:b/>
          <w:color w:val="auto"/>
          <w:szCs w:val="21"/>
          <w:highlight w:val="none"/>
        </w:rPr>
      </w:pPr>
      <w:r>
        <w:rPr>
          <w:rFonts w:hint="eastAsia" w:hAnsi="宋体"/>
          <w:b/>
          <w:color w:val="auto"/>
          <w:szCs w:val="21"/>
          <w:highlight w:val="none"/>
        </w:rPr>
        <w:t>第九条</w:t>
      </w:r>
      <w:r>
        <w:rPr>
          <w:rFonts w:hAnsi="宋体"/>
          <w:b/>
          <w:color w:val="auto"/>
          <w:szCs w:val="21"/>
          <w:highlight w:val="none"/>
        </w:rPr>
        <w:t>、诉讼</w:t>
      </w:r>
    </w:p>
    <w:p>
      <w:pPr>
        <w:pStyle w:val="26"/>
        <w:snapToGrid w:val="0"/>
        <w:spacing w:line="360" w:lineRule="auto"/>
        <w:ind w:firstLine="420" w:firstLineChars="200"/>
        <w:rPr>
          <w:rFonts w:hAnsi="宋体"/>
          <w:color w:val="auto"/>
          <w:szCs w:val="21"/>
          <w:highlight w:val="none"/>
        </w:rPr>
      </w:pPr>
      <w:r>
        <w:rPr>
          <w:rFonts w:hAnsi="宋体"/>
          <w:color w:val="auto"/>
          <w:szCs w:val="21"/>
          <w:highlight w:val="none"/>
        </w:rPr>
        <w:t xml:space="preserve"> 双方在执行合同中所发生的一切争议，应通过协商解决。如协商不成，可向</w:t>
      </w:r>
      <w:r>
        <w:rPr>
          <w:rFonts w:hint="eastAsia" w:hAnsi="宋体"/>
          <w:color w:val="auto"/>
          <w:szCs w:val="21"/>
          <w:highlight w:val="none"/>
        </w:rPr>
        <w:t>招标方所在</w:t>
      </w:r>
      <w:r>
        <w:rPr>
          <w:rFonts w:hAnsi="宋体"/>
          <w:color w:val="auto"/>
          <w:szCs w:val="21"/>
          <w:highlight w:val="none"/>
        </w:rPr>
        <w:t>地法院起诉。</w:t>
      </w:r>
    </w:p>
    <w:p>
      <w:pPr>
        <w:pStyle w:val="26"/>
        <w:snapToGrid w:val="0"/>
        <w:spacing w:line="360" w:lineRule="auto"/>
        <w:ind w:firstLine="422" w:firstLineChars="200"/>
        <w:rPr>
          <w:rFonts w:hAnsi="宋体"/>
          <w:b/>
          <w:color w:val="auto"/>
          <w:szCs w:val="21"/>
          <w:highlight w:val="none"/>
        </w:rPr>
      </w:pPr>
      <w:r>
        <w:rPr>
          <w:rFonts w:hint="eastAsia" w:hAnsi="宋体"/>
          <w:b/>
          <w:color w:val="auto"/>
          <w:szCs w:val="21"/>
          <w:highlight w:val="none"/>
        </w:rPr>
        <w:t>第十条</w:t>
      </w:r>
      <w:r>
        <w:rPr>
          <w:rFonts w:hAnsi="宋体"/>
          <w:b/>
          <w:color w:val="auto"/>
          <w:szCs w:val="21"/>
          <w:highlight w:val="none"/>
        </w:rPr>
        <w:t>、合同生效及其它</w:t>
      </w:r>
    </w:p>
    <w:p>
      <w:pPr>
        <w:autoSpaceDE w:val="0"/>
        <w:autoSpaceDN w:val="0"/>
        <w:adjustRightInd w:val="0"/>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合同经双方法定代表人或授权委托代理人签字并加盖单位公章后生效。</w:t>
      </w:r>
    </w:p>
    <w:p>
      <w:pPr>
        <w:autoSpaceDE w:val="0"/>
        <w:autoSpaceDN w:val="0"/>
        <w:adjustRightIn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本合同未尽事宜，遵照《</w:t>
      </w:r>
      <w:r>
        <w:rPr>
          <w:rFonts w:ascii="宋体" w:hAnsi="宋体"/>
          <w:color w:val="auto"/>
          <w:kern w:val="0"/>
          <w:szCs w:val="21"/>
          <w:highlight w:val="none"/>
        </w:rPr>
        <w:t>中华人民共和国</w:t>
      </w:r>
      <w:r>
        <w:rPr>
          <w:rFonts w:ascii="宋体" w:hAnsi="宋体"/>
          <w:color w:val="auto"/>
          <w:szCs w:val="21"/>
          <w:highlight w:val="none"/>
        </w:rPr>
        <w:t>民法典》有关条文执行。</w:t>
      </w:r>
    </w:p>
    <w:p>
      <w:pPr>
        <w:pStyle w:val="26"/>
        <w:snapToGrid w:val="0"/>
        <w:spacing w:line="360" w:lineRule="auto"/>
        <w:ind w:left="449" w:leftChars="114" w:hanging="210" w:hangingChars="100"/>
        <w:rPr>
          <w:rFonts w:hAnsi="宋体"/>
          <w:color w:val="auto"/>
          <w:szCs w:val="21"/>
          <w:highlight w:val="none"/>
        </w:rPr>
      </w:pPr>
    </w:p>
    <w:p>
      <w:pPr>
        <w:pStyle w:val="26"/>
        <w:snapToGrid w:val="0"/>
        <w:spacing w:line="360" w:lineRule="auto"/>
        <w:ind w:left="420" w:hanging="420" w:hangingChars="200"/>
        <w:rPr>
          <w:rFonts w:hAnsi="宋体"/>
          <w:color w:val="auto"/>
          <w:szCs w:val="21"/>
          <w:highlight w:val="none"/>
        </w:rPr>
      </w:pPr>
      <w:r>
        <w:rPr>
          <w:rFonts w:hint="eastAsia" w:hAnsi="宋体"/>
          <w:color w:val="auto"/>
          <w:szCs w:val="21"/>
          <w:highlight w:val="none"/>
        </w:rPr>
        <w:t>招标方</w:t>
      </w:r>
      <w:r>
        <w:rPr>
          <w:rFonts w:hAnsi="宋体"/>
          <w:color w:val="auto"/>
          <w:szCs w:val="21"/>
          <w:highlight w:val="none"/>
        </w:rPr>
        <w:t xml:space="preserve">：                                   </w:t>
      </w:r>
      <w:r>
        <w:rPr>
          <w:rFonts w:hint="eastAsia" w:hAnsi="宋体"/>
          <w:color w:val="auto"/>
          <w:szCs w:val="21"/>
          <w:highlight w:val="none"/>
        </w:rPr>
        <w:t>中标方</w:t>
      </w:r>
      <w:r>
        <w:rPr>
          <w:rFonts w:hAnsi="宋体"/>
          <w:color w:val="auto"/>
          <w:szCs w:val="21"/>
          <w:highlight w:val="none"/>
        </w:rPr>
        <w:t xml:space="preserve">： </w:t>
      </w:r>
    </w:p>
    <w:p>
      <w:pPr>
        <w:pStyle w:val="26"/>
        <w:snapToGrid w:val="0"/>
        <w:spacing w:line="360" w:lineRule="auto"/>
        <w:rPr>
          <w:rFonts w:hAnsi="宋体"/>
          <w:color w:val="auto"/>
          <w:szCs w:val="21"/>
          <w:highlight w:val="none"/>
        </w:rPr>
      </w:pPr>
      <w:r>
        <w:rPr>
          <w:rFonts w:hAnsi="宋体"/>
          <w:color w:val="auto"/>
          <w:szCs w:val="21"/>
          <w:highlight w:val="none"/>
        </w:rPr>
        <w:t xml:space="preserve">  地址：                                   地址： </w:t>
      </w:r>
    </w:p>
    <w:p>
      <w:pPr>
        <w:pStyle w:val="26"/>
        <w:snapToGrid w:val="0"/>
        <w:spacing w:line="360" w:lineRule="auto"/>
        <w:rPr>
          <w:rFonts w:hAnsi="宋体"/>
          <w:color w:val="auto"/>
          <w:szCs w:val="21"/>
          <w:highlight w:val="none"/>
        </w:rPr>
      </w:pPr>
      <w:r>
        <w:rPr>
          <w:rFonts w:hAnsi="宋体"/>
          <w:color w:val="auto"/>
          <w:szCs w:val="21"/>
          <w:highlight w:val="none"/>
        </w:rPr>
        <w:t xml:space="preserve">  法定</w:t>
      </w:r>
      <w:r>
        <w:rPr>
          <w:rFonts w:hint="eastAsia" w:hAnsi="宋体"/>
          <w:color w:val="auto"/>
          <w:szCs w:val="21"/>
          <w:highlight w:val="none"/>
        </w:rPr>
        <w:t>（授权）</w:t>
      </w:r>
      <w:r>
        <w:rPr>
          <w:rFonts w:hAnsi="宋体"/>
          <w:color w:val="auto"/>
          <w:szCs w:val="21"/>
          <w:highlight w:val="none"/>
        </w:rPr>
        <w:t>代表人：                     法定</w:t>
      </w:r>
      <w:r>
        <w:rPr>
          <w:rFonts w:hint="eastAsia" w:hAnsi="宋体"/>
          <w:color w:val="auto"/>
          <w:szCs w:val="21"/>
          <w:highlight w:val="none"/>
        </w:rPr>
        <w:t>（授权）</w:t>
      </w:r>
      <w:r>
        <w:rPr>
          <w:rFonts w:hAnsi="宋体"/>
          <w:color w:val="auto"/>
          <w:szCs w:val="21"/>
          <w:highlight w:val="none"/>
        </w:rPr>
        <w:t>代表人：</w:t>
      </w:r>
    </w:p>
    <w:p>
      <w:pPr>
        <w:pStyle w:val="26"/>
        <w:snapToGrid w:val="0"/>
        <w:spacing w:line="360" w:lineRule="auto"/>
        <w:rPr>
          <w:rFonts w:hAnsi="宋体"/>
          <w:color w:val="auto"/>
          <w:szCs w:val="21"/>
          <w:highlight w:val="none"/>
        </w:rPr>
      </w:pPr>
      <w:r>
        <w:rPr>
          <w:rFonts w:hAnsi="宋体"/>
          <w:color w:val="auto"/>
          <w:szCs w:val="21"/>
          <w:highlight w:val="none"/>
        </w:rPr>
        <w:t xml:space="preserve">  签</w:t>
      </w:r>
      <w:r>
        <w:rPr>
          <w:rFonts w:hint="eastAsia" w:hAnsi="宋体"/>
          <w:color w:val="auto"/>
          <w:szCs w:val="21"/>
          <w:highlight w:val="none"/>
        </w:rPr>
        <w:t>字日期</w:t>
      </w:r>
      <w:r>
        <w:rPr>
          <w:rFonts w:hAnsi="宋体"/>
          <w:color w:val="auto"/>
          <w:szCs w:val="21"/>
          <w:highlight w:val="none"/>
        </w:rPr>
        <w:t>：      年  月  日       签</w:t>
      </w:r>
      <w:r>
        <w:rPr>
          <w:rFonts w:hint="eastAsia" w:hAnsi="宋体"/>
          <w:color w:val="auto"/>
          <w:szCs w:val="21"/>
          <w:highlight w:val="none"/>
        </w:rPr>
        <w:t>字</w:t>
      </w:r>
      <w:r>
        <w:rPr>
          <w:rFonts w:hAnsi="宋体"/>
          <w:color w:val="auto"/>
          <w:szCs w:val="21"/>
          <w:highlight w:val="none"/>
        </w:rPr>
        <w:t>日期：      年  月  日</w:t>
      </w:r>
    </w:p>
    <w:p>
      <w:pPr>
        <w:pStyle w:val="26"/>
        <w:snapToGrid w:val="0"/>
        <w:spacing w:line="360" w:lineRule="auto"/>
        <w:rPr>
          <w:rFonts w:ascii="微软雅黑" w:hAnsi="微软雅黑" w:eastAsia="微软雅黑"/>
          <w:color w:val="auto"/>
          <w:szCs w:val="21"/>
          <w:highlight w:val="none"/>
        </w:rPr>
      </w:pPr>
    </w:p>
    <w:p>
      <w:pPr>
        <w:autoSpaceDE w:val="0"/>
        <w:autoSpaceDN w:val="0"/>
        <w:adjustRightInd w:val="0"/>
        <w:spacing w:line="360" w:lineRule="auto"/>
        <w:rPr>
          <w:rFonts w:ascii="微软雅黑" w:hAnsi="微软雅黑" w:eastAsia="微软雅黑"/>
          <w:color w:val="auto"/>
          <w:szCs w:val="21"/>
          <w:highlight w:val="none"/>
        </w:rPr>
      </w:pPr>
    </w:p>
    <w:p>
      <w:pPr>
        <w:autoSpaceDE w:val="0"/>
        <w:autoSpaceDN w:val="0"/>
        <w:adjustRightInd w:val="0"/>
        <w:spacing w:line="360" w:lineRule="auto"/>
        <w:rPr>
          <w:rFonts w:ascii="微软雅黑" w:hAnsi="微软雅黑" w:eastAsia="微软雅黑"/>
          <w:color w:val="auto"/>
          <w:szCs w:val="21"/>
          <w:highlight w:val="none"/>
        </w:rPr>
      </w:pPr>
    </w:p>
    <w:p>
      <w:pPr>
        <w:pStyle w:val="4"/>
        <w:rPr>
          <w:rFonts w:ascii="微软雅黑" w:hAnsi="微软雅黑" w:eastAsia="微软雅黑"/>
          <w:color w:val="auto"/>
          <w:szCs w:val="21"/>
          <w:highlight w:val="none"/>
        </w:rPr>
      </w:pPr>
    </w:p>
    <w:p>
      <w:pPr>
        <w:pStyle w:val="5"/>
        <w:rPr>
          <w:rFonts w:ascii="微软雅黑" w:hAnsi="微软雅黑" w:eastAsia="微软雅黑"/>
          <w:color w:val="auto"/>
          <w:szCs w:val="21"/>
          <w:highlight w:val="none"/>
        </w:rPr>
      </w:pPr>
    </w:p>
    <w:p>
      <w:pPr>
        <w:pStyle w:val="5"/>
        <w:rPr>
          <w:rFonts w:ascii="微软雅黑" w:hAnsi="微软雅黑" w:eastAsia="微软雅黑"/>
          <w:color w:val="auto"/>
          <w:szCs w:val="21"/>
          <w:highlight w:val="none"/>
        </w:rPr>
      </w:pPr>
    </w:p>
    <w:p>
      <w:pPr>
        <w:pStyle w:val="5"/>
        <w:rPr>
          <w:rFonts w:ascii="微软雅黑" w:hAnsi="微软雅黑" w:eastAsia="微软雅黑"/>
          <w:color w:val="auto"/>
          <w:szCs w:val="21"/>
          <w:highlight w:val="none"/>
        </w:rPr>
      </w:pPr>
    </w:p>
    <w:p>
      <w:pPr>
        <w:pStyle w:val="59"/>
        <w:rPr>
          <w:color w:val="auto"/>
          <w:highlight w:val="none"/>
        </w:rPr>
      </w:pPr>
    </w:p>
    <w:p>
      <w:pPr>
        <w:pStyle w:val="26"/>
        <w:snapToGrid w:val="0"/>
        <w:spacing w:line="360" w:lineRule="auto"/>
        <w:ind w:firstLine="420" w:firstLineChars="200"/>
        <w:jc w:val="left"/>
        <w:rPr>
          <w:rFonts w:hAnsi="宋体"/>
          <w:color w:val="auto"/>
          <w:szCs w:val="21"/>
          <w:highlight w:val="none"/>
        </w:rPr>
      </w:pPr>
    </w:p>
    <w:bookmarkEnd w:id="263"/>
    <w:p>
      <w:pPr>
        <w:pStyle w:val="4"/>
        <w:rPr>
          <w:rFonts w:ascii="宋体" w:hAnsi="宋体" w:eastAsia="宋体" w:cs="微软雅黑"/>
          <w:color w:val="auto"/>
          <w:highlight w:val="none"/>
        </w:rPr>
      </w:pPr>
      <w:bookmarkStart w:id="268" w:name="_Toc493511828"/>
      <w:bookmarkStart w:id="269" w:name="_Toc5531"/>
      <w:r>
        <w:rPr>
          <w:rFonts w:hint="eastAsia" w:ascii="宋体" w:hAnsi="宋体" w:eastAsia="宋体" w:cs="微软雅黑"/>
          <w:color w:val="auto"/>
          <w:highlight w:val="none"/>
        </w:rPr>
        <w:t>第六章　投标文件相关格式</w:t>
      </w:r>
      <w:bookmarkEnd w:id="268"/>
      <w:bookmarkEnd w:id="269"/>
    </w:p>
    <w:p>
      <w:pPr>
        <w:spacing w:line="360" w:lineRule="auto"/>
        <w:ind w:firstLine="420" w:firstLineChars="200"/>
        <w:jc w:val="left"/>
        <w:rPr>
          <w:rFonts w:ascii="宋体" w:hAnsi="宋体"/>
          <w:color w:val="auto"/>
          <w:szCs w:val="21"/>
          <w:highlight w:val="none"/>
        </w:rPr>
      </w:pPr>
    </w:p>
    <w:p>
      <w:pPr>
        <w:spacing w:line="360" w:lineRule="auto"/>
        <w:jc w:val="center"/>
        <w:rPr>
          <w:rFonts w:hint="eastAsia" w:ascii="宋体" w:hAnsi="宋体" w:eastAsia="宋体"/>
          <w:b/>
          <w:color w:val="auto"/>
          <w:highlight w:val="none"/>
          <w:lang w:eastAsia="zh-CN"/>
        </w:rPr>
      </w:pPr>
      <w:bookmarkStart w:id="270" w:name="_Toc50012909"/>
      <w:bookmarkStart w:id="271" w:name="_Toc430786287"/>
      <w:r>
        <w:rPr>
          <w:rFonts w:hint="eastAsia" w:ascii="宋体" w:hAnsi="宋体"/>
          <w:b/>
          <w:color w:val="auto"/>
          <w:highlight w:val="none"/>
          <w:lang w:eastAsia="zh-CN"/>
        </w:rPr>
        <w:t>嘉兴海关综合技术服务中心食堂食材采购项目</w:t>
      </w:r>
    </w:p>
    <w:p>
      <w:pPr>
        <w:spacing w:line="360" w:lineRule="auto"/>
        <w:jc w:val="center"/>
        <w:rPr>
          <w:rFonts w:ascii="宋体" w:hAnsi="宋体"/>
          <w:b/>
          <w:color w:val="auto"/>
          <w:szCs w:val="21"/>
          <w:highlight w:val="none"/>
        </w:rPr>
      </w:pPr>
      <w:r>
        <w:rPr>
          <w:rFonts w:hint="eastAsia" w:ascii="宋体" w:hAnsi="宋体"/>
          <w:b/>
          <w:color w:val="auto"/>
          <w:szCs w:val="21"/>
          <w:highlight w:val="none"/>
        </w:rPr>
        <w:t>资格投标文件/商务技术文件/报价文件</w:t>
      </w:r>
      <w:bookmarkEnd w:id="270"/>
    </w:p>
    <w:p>
      <w:pPr>
        <w:spacing w:line="360" w:lineRule="auto"/>
        <w:jc w:val="center"/>
        <w:rPr>
          <w:rFonts w:ascii="宋体" w:hAnsi="宋体"/>
          <w:b/>
          <w:color w:val="auto"/>
          <w:szCs w:val="21"/>
          <w:highlight w:val="none"/>
        </w:rPr>
      </w:pPr>
      <w:bookmarkStart w:id="272" w:name="_Toc50012910"/>
      <w:r>
        <w:rPr>
          <w:rFonts w:hint="eastAsia" w:ascii="宋体" w:hAnsi="宋体"/>
          <w:b/>
          <w:color w:val="auto"/>
          <w:szCs w:val="21"/>
          <w:highlight w:val="none"/>
        </w:rPr>
        <w:t>项目编号：</w:t>
      </w:r>
      <w:bookmarkEnd w:id="272"/>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bookmarkStart w:id="273" w:name="_Toc50012911"/>
      <w:r>
        <w:rPr>
          <w:rFonts w:hint="eastAsia" w:ascii="宋体" w:hAnsi="宋体"/>
          <w:b/>
          <w:color w:val="auto"/>
          <w:szCs w:val="21"/>
          <w:highlight w:val="none"/>
        </w:rPr>
        <w:t>投</w:t>
      </w:r>
      <w:bookmarkEnd w:id="273"/>
    </w:p>
    <w:p>
      <w:pPr>
        <w:spacing w:line="360" w:lineRule="auto"/>
        <w:jc w:val="center"/>
        <w:rPr>
          <w:rFonts w:ascii="宋体" w:hAnsi="宋体"/>
          <w:b/>
          <w:color w:val="auto"/>
          <w:szCs w:val="21"/>
          <w:highlight w:val="none"/>
        </w:rPr>
      </w:pPr>
      <w:bookmarkStart w:id="274" w:name="_Toc50012912"/>
      <w:r>
        <w:rPr>
          <w:rFonts w:hint="eastAsia" w:ascii="宋体" w:hAnsi="宋体"/>
          <w:b/>
          <w:color w:val="auto"/>
          <w:szCs w:val="21"/>
          <w:highlight w:val="none"/>
        </w:rPr>
        <w:t>标</w:t>
      </w:r>
      <w:bookmarkEnd w:id="274"/>
    </w:p>
    <w:p>
      <w:pPr>
        <w:spacing w:line="360" w:lineRule="auto"/>
        <w:jc w:val="center"/>
        <w:rPr>
          <w:rFonts w:ascii="宋体" w:hAnsi="宋体"/>
          <w:b/>
          <w:color w:val="auto"/>
          <w:szCs w:val="21"/>
          <w:highlight w:val="none"/>
        </w:rPr>
      </w:pPr>
      <w:bookmarkStart w:id="275" w:name="_Toc50012913"/>
      <w:r>
        <w:rPr>
          <w:rFonts w:hint="eastAsia" w:ascii="宋体" w:hAnsi="宋体"/>
          <w:b/>
          <w:color w:val="auto"/>
          <w:szCs w:val="21"/>
          <w:highlight w:val="none"/>
        </w:rPr>
        <w:t>文</w:t>
      </w:r>
      <w:bookmarkEnd w:id="275"/>
    </w:p>
    <w:p>
      <w:pPr>
        <w:spacing w:line="360" w:lineRule="auto"/>
        <w:jc w:val="center"/>
        <w:rPr>
          <w:rFonts w:ascii="宋体" w:hAnsi="宋体"/>
          <w:b/>
          <w:color w:val="auto"/>
          <w:szCs w:val="21"/>
          <w:highlight w:val="none"/>
        </w:rPr>
      </w:pPr>
      <w:bookmarkStart w:id="276" w:name="_Toc50012914"/>
      <w:r>
        <w:rPr>
          <w:rFonts w:hint="eastAsia" w:ascii="宋体" w:hAnsi="宋体"/>
          <w:b/>
          <w:color w:val="auto"/>
          <w:szCs w:val="21"/>
          <w:highlight w:val="none"/>
        </w:rPr>
        <w:t>件</w:t>
      </w:r>
      <w:bookmarkEnd w:id="276"/>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pacing w:line="360" w:lineRule="auto"/>
        <w:ind w:firstLine="2319" w:firstLineChars="1100"/>
        <w:rPr>
          <w:rFonts w:ascii="宋体" w:hAnsi="宋体"/>
          <w:b/>
          <w:color w:val="auto"/>
          <w:szCs w:val="21"/>
          <w:highlight w:val="none"/>
        </w:rPr>
      </w:pPr>
      <w:bookmarkStart w:id="277" w:name="_Toc50012915"/>
      <w:r>
        <w:rPr>
          <w:rFonts w:hint="eastAsia" w:ascii="宋体" w:hAnsi="宋体"/>
          <w:b/>
          <w:color w:val="auto"/>
          <w:szCs w:val="21"/>
          <w:highlight w:val="none"/>
        </w:rPr>
        <w:t>投标人全称：（加盖单位公章）</w:t>
      </w:r>
      <w:bookmarkEnd w:id="277"/>
    </w:p>
    <w:p>
      <w:pPr>
        <w:spacing w:line="360" w:lineRule="auto"/>
        <w:rPr>
          <w:rFonts w:ascii="宋体" w:hAnsi="宋体"/>
          <w:b/>
          <w:color w:val="auto"/>
          <w:szCs w:val="21"/>
          <w:highlight w:val="none"/>
        </w:rPr>
      </w:pPr>
    </w:p>
    <w:p>
      <w:pPr>
        <w:spacing w:line="360" w:lineRule="auto"/>
        <w:ind w:right="560"/>
        <w:jc w:val="center"/>
        <w:rPr>
          <w:rFonts w:ascii="宋体" w:hAnsi="宋体"/>
          <w:b/>
          <w:color w:val="auto"/>
          <w:szCs w:val="21"/>
          <w:highlight w:val="none"/>
        </w:rPr>
      </w:pPr>
      <w:bookmarkStart w:id="278" w:name="_Toc50012916"/>
      <w:r>
        <w:rPr>
          <w:rFonts w:hint="eastAsia" w:ascii="宋体" w:hAnsi="宋体"/>
          <w:b/>
          <w:color w:val="auto"/>
          <w:szCs w:val="21"/>
          <w:highlight w:val="none"/>
        </w:rPr>
        <w:t>年   月   日</w:t>
      </w:r>
      <w:bookmarkEnd w:id="278"/>
    </w:p>
    <w:bookmarkEnd w:id="271"/>
    <w:p>
      <w:pPr>
        <w:snapToGrid w:val="0"/>
        <w:spacing w:line="360" w:lineRule="auto"/>
        <w:ind w:right="420" w:firstLine="422" w:firstLineChars="200"/>
        <w:jc w:val="center"/>
        <w:rPr>
          <w:rFonts w:ascii="宋体" w:hAnsi="宋体"/>
          <w:b/>
          <w:color w:val="auto"/>
          <w:szCs w:val="21"/>
          <w:highlight w:val="none"/>
        </w:rPr>
      </w:pPr>
      <w:r>
        <w:rPr>
          <w:rFonts w:hint="eastAsia" w:ascii="宋体" w:hAnsi="宋体"/>
          <w:b/>
          <w:color w:val="auto"/>
          <w:szCs w:val="21"/>
          <w:highlight w:val="none"/>
        </w:rPr>
        <w:br w:type="page"/>
      </w:r>
    </w:p>
    <w:p>
      <w:pPr>
        <w:snapToGri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投标声明书格式：</w:t>
      </w:r>
    </w:p>
    <w:p>
      <w:pPr>
        <w:snapToGrid w:val="0"/>
        <w:spacing w:line="360" w:lineRule="auto"/>
        <w:ind w:firstLine="422" w:firstLineChars="200"/>
        <w:jc w:val="center"/>
        <w:rPr>
          <w:rFonts w:ascii="宋体" w:hAnsi="宋体"/>
          <w:b/>
          <w:color w:val="auto"/>
          <w:szCs w:val="21"/>
          <w:highlight w:val="none"/>
        </w:rPr>
      </w:pPr>
      <w:r>
        <w:rPr>
          <w:rFonts w:hint="eastAsia" w:ascii="宋体" w:hAnsi="宋体"/>
          <w:b/>
          <w:color w:val="auto"/>
          <w:szCs w:val="21"/>
          <w:highlight w:val="none"/>
        </w:rPr>
        <w:t>投标声明书</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致：</w:t>
      </w:r>
      <w:r>
        <w:rPr>
          <w:rFonts w:hint="eastAsia" w:ascii="宋体" w:hAnsi="宋体" w:cs="Arial"/>
          <w:color w:val="auto"/>
          <w:kern w:val="0"/>
          <w:szCs w:val="21"/>
          <w:highlight w:val="none"/>
          <w:u w:val="single"/>
        </w:rPr>
        <w:t>嘉兴海关综合技术服务中心</w:t>
      </w:r>
      <w:r>
        <w:rPr>
          <w:rFonts w:hint="eastAsia" w:ascii="宋体" w:hAnsi="宋体"/>
          <w:color w:val="auto"/>
          <w:szCs w:val="21"/>
          <w:highlight w:val="none"/>
        </w:rPr>
        <w:t>（招标采购单位名称）：</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（投标人名称）</w:t>
      </w:r>
      <w:r>
        <w:rPr>
          <w:rFonts w:hint="eastAsia" w:ascii="宋体" w:hAnsi="宋体"/>
          <w:color w:val="auto"/>
          <w:szCs w:val="21"/>
          <w:highlight w:val="none"/>
        </w:rPr>
        <w:t>系中华人民共和国合法企业，经营地址</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我</w:t>
      </w:r>
      <w:r>
        <w:rPr>
          <w:rFonts w:hint="eastAsia" w:ascii="宋体" w:hAnsi="宋体"/>
          <w:color w:val="auto"/>
          <w:szCs w:val="21"/>
          <w:highlight w:val="none"/>
          <w:u w:val="single"/>
        </w:rPr>
        <w:t>（姓名）</w:t>
      </w:r>
      <w:r>
        <w:rPr>
          <w:rFonts w:hint="eastAsia" w:ascii="宋体" w:hAnsi="宋体"/>
          <w:color w:val="auto"/>
          <w:szCs w:val="21"/>
          <w:highlight w:val="none"/>
        </w:rPr>
        <w:t>系</w:t>
      </w:r>
      <w:r>
        <w:rPr>
          <w:rFonts w:hint="eastAsia" w:ascii="宋体" w:hAnsi="宋体"/>
          <w:color w:val="auto"/>
          <w:szCs w:val="21"/>
          <w:highlight w:val="none"/>
          <w:u w:val="single"/>
        </w:rPr>
        <w:t>（投标人名称）</w:t>
      </w:r>
      <w:r>
        <w:rPr>
          <w:rFonts w:hint="eastAsia" w:ascii="宋体" w:hAnsi="宋体"/>
          <w:color w:val="auto"/>
          <w:szCs w:val="21"/>
          <w:highlight w:val="none"/>
        </w:rPr>
        <w:t>的法定代表人，我方愿意参加贵方组织的项目的投标，为便于贵方公正、择优地确定中标人及其投标产品和服务，我方就本次投标有关事项郑重声明如下：</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我方向贵方提交的所有投标文件、资料都是准确的和真实的</w:t>
      </w:r>
      <w:r>
        <w:rPr>
          <w:rFonts w:hint="eastAsia" w:ascii="宋体" w:hAnsi="宋体"/>
          <w:color w:val="auto"/>
          <w:szCs w:val="21"/>
          <w:highlight w:val="none"/>
        </w:rPr>
        <w:t>。</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我方不是采购人的附属机构；在获知本项目采购信息后，与采购人聘请的为此项目提供咨询服务的公司及其附属机构没有任何联系。</w:t>
      </w:r>
    </w:p>
    <w:p>
      <w:pPr>
        <w:snapToGrid w:val="0"/>
        <w:spacing w:line="360" w:lineRule="auto"/>
        <w:ind w:firstLine="480" w:firstLineChars="200"/>
        <w:jc w:val="left"/>
        <w:rPr>
          <w:rFonts w:ascii="宋体" w:hAnsi="宋体"/>
          <w:color w:val="auto"/>
          <w:szCs w:val="21"/>
          <w:highlight w:val="none"/>
        </w:rPr>
      </w:pPr>
      <w:r>
        <w:rPr>
          <w:rFonts w:ascii="宋体" w:hAnsi="宋体"/>
          <w:color w:val="auto"/>
          <w:spacing w:val="15"/>
          <w:kern w:val="0"/>
          <w:szCs w:val="21"/>
          <w:highlight w:val="none"/>
        </w:rPr>
        <w:t>3</w:t>
      </w:r>
      <w:r>
        <w:rPr>
          <w:rFonts w:hint="eastAsia" w:ascii="宋体" w:hAnsi="宋体"/>
          <w:color w:val="auto"/>
          <w:spacing w:val="15"/>
          <w:kern w:val="0"/>
          <w:szCs w:val="21"/>
          <w:highlight w:val="none"/>
        </w:rPr>
        <w:t>、</w:t>
      </w:r>
      <w:r>
        <w:rPr>
          <w:rFonts w:ascii="宋体" w:hAnsi="宋体"/>
          <w:color w:val="auto"/>
          <w:spacing w:val="15"/>
          <w:kern w:val="0"/>
          <w:szCs w:val="21"/>
          <w:highlight w:val="none"/>
        </w:rPr>
        <w:t>我方此次向贵方提供的</w:t>
      </w:r>
      <w:r>
        <w:rPr>
          <w:rFonts w:hint="eastAsia" w:ascii="宋体" w:hAnsi="宋体"/>
          <w:color w:val="auto"/>
          <w:spacing w:val="15"/>
          <w:kern w:val="0"/>
          <w:szCs w:val="21"/>
          <w:highlight w:val="none"/>
        </w:rPr>
        <w:t>服务内容为</w:t>
      </w:r>
      <w:r>
        <w:rPr>
          <w:rFonts w:hint="eastAsia" w:ascii="宋体" w:hAnsi="宋体"/>
          <w:color w:val="auto"/>
          <w:szCs w:val="21"/>
          <w:highlight w:val="none"/>
        </w:rPr>
        <w:t>。</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我方诚意提请贵方关注：</w:t>
      </w:r>
      <w:r>
        <w:rPr>
          <w:rFonts w:hint="eastAsia" w:ascii="宋体" w:hAnsi="宋体"/>
          <w:color w:val="auto"/>
          <w:szCs w:val="21"/>
          <w:highlight w:val="none"/>
        </w:rPr>
        <w:t>近期</w:t>
      </w:r>
      <w:r>
        <w:rPr>
          <w:rFonts w:ascii="宋体" w:hAnsi="宋体"/>
          <w:color w:val="auto"/>
          <w:szCs w:val="21"/>
          <w:highlight w:val="none"/>
        </w:rPr>
        <w:t>有关</w:t>
      </w:r>
      <w:r>
        <w:rPr>
          <w:rFonts w:hint="eastAsia" w:ascii="宋体" w:hAnsi="宋体"/>
          <w:color w:val="auto"/>
          <w:szCs w:val="21"/>
          <w:highlight w:val="none"/>
        </w:rPr>
        <w:t>项目的售后服务等方面的重大决策和事项有：</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u w:val="single"/>
        </w:rPr>
        <w:t>　　　　　　　　　　　　　　　　　　　　　　　　　　</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、我方及由本人担任法定代表人的其他机构</w:t>
      </w:r>
      <w:r>
        <w:rPr>
          <w:rFonts w:ascii="宋体" w:hAnsi="宋体"/>
          <w:color w:val="auto"/>
          <w:szCs w:val="21"/>
          <w:highlight w:val="none"/>
        </w:rPr>
        <w:t>最近三年内被</w:t>
      </w:r>
      <w:r>
        <w:rPr>
          <w:rFonts w:hint="eastAsia" w:ascii="宋体" w:hAnsi="宋体"/>
          <w:color w:val="auto"/>
          <w:szCs w:val="21"/>
          <w:highlight w:val="none"/>
        </w:rPr>
        <w:t>通报或者被处罚的</w:t>
      </w:r>
      <w:r>
        <w:rPr>
          <w:rFonts w:ascii="宋体" w:hAnsi="宋体"/>
          <w:color w:val="auto"/>
          <w:szCs w:val="21"/>
          <w:highlight w:val="none"/>
        </w:rPr>
        <w:t>违法行为有：</w:t>
      </w:r>
    </w:p>
    <w:p>
      <w:pPr>
        <w:snapToGri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　　　　　　　　　　　　　　　　　　　　　　　　　　　</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6、以上事项如有虚假或隐瞒，我方愿意承担一切后果，并不再寻求任何旨在减轻或免除法律责任的辩解。</w:t>
      </w:r>
    </w:p>
    <w:p>
      <w:pPr>
        <w:snapToGrid w:val="0"/>
        <w:spacing w:line="360" w:lineRule="auto"/>
        <w:ind w:firstLine="420" w:firstLineChars="200"/>
        <w:jc w:val="left"/>
        <w:rPr>
          <w:rFonts w:ascii="宋体" w:hAnsi="宋体"/>
          <w:color w:val="auto"/>
          <w:szCs w:val="21"/>
          <w:highlight w:val="none"/>
        </w:rPr>
      </w:pPr>
    </w:p>
    <w:p>
      <w:pPr>
        <w:snapToGri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法定代表人或其授权代表签字（或盖章）：</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shd w:val="clear" w:color="auto" w:fill="FFFFFF"/>
        </w:rPr>
        <w:t>投标人名称：（盖章）</w:t>
      </w:r>
      <w:r>
        <w:rPr>
          <w:rFonts w:hint="eastAsia" w:ascii="宋体" w:hAnsi="宋体"/>
          <w:color w:val="auto"/>
          <w:szCs w:val="21"/>
          <w:highlight w:val="none"/>
        </w:rPr>
        <w:t>：</w:t>
      </w:r>
      <w:r>
        <w:rPr>
          <w:rFonts w:ascii="宋体" w:hAnsi="宋体"/>
          <w:color w:val="auto"/>
          <w:szCs w:val="21"/>
          <w:highlight w:val="none"/>
        </w:rPr>
        <w:t xml:space="preserve">                      年    月    日</w:t>
      </w:r>
    </w:p>
    <w:p>
      <w:pPr>
        <w:snapToGri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br w:type="page"/>
      </w:r>
      <w:r>
        <w:rPr>
          <w:rFonts w:hint="eastAsia" w:ascii="宋体" w:hAnsi="宋体"/>
          <w:b/>
          <w:color w:val="auto"/>
          <w:szCs w:val="21"/>
          <w:highlight w:val="none"/>
        </w:rPr>
        <w:t>法定代表人授权委托书格式：</w:t>
      </w:r>
    </w:p>
    <w:p>
      <w:pPr>
        <w:snapToGrid w:val="0"/>
        <w:spacing w:line="360" w:lineRule="auto"/>
        <w:ind w:firstLine="422" w:firstLineChars="200"/>
        <w:jc w:val="center"/>
        <w:rPr>
          <w:rFonts w:ascii="宋体" w:hAnsi="宋体"/>
          <w:b/>
          <w:color w:val="auto"/>
          <w:szCs w:val="21"/>
          <w:highlight w:val="none"/>
        </w:rPr>
      </w:pPr>
      <w:r>
        <w:rPr>
          <w:rFonts w:hint="eastAsia" w:ascii="宋体" w:hAnsi="宋体"/>
          <w:b/>
          <w:color w:val="auto"/>
          <w:szCs w:val="21"/>
          <w:highlight w:val="none"/>
        </w:rPr>
        <w:t>法定代表人授权委托书</w:t>
      </w:r>
    </w:p>
    <w:p>
      <w:pPr>
        <w:snapToGrid w:val="0"/>
        <w:spacing w:line="360" w:lineRule="auto"/>
        <w:ind w:firstLine="420" w:firstLineChars="200"/>
        <w:jc w:val="left"/>
        <w:rPr>
          <w:rFonts w:ascii="宋体" w:hAnsi="宋体"/>
          <w:bCs/>
          <w:color w:val="auto"/>
          <w:szCs w:val="21"/>
          <w:highlight w:val="none"/>
        </w:rPr>
      </w:pPr>
    </w:p>
    <w:p>
      <w:pPr>
        <w:snapToGrid w:val="0"/>
        <w:spacing w:line="360" w:lineRule="auto"/>
        <w:ind w:firstLine="420" w:firstLineChars="200"/>
        <w:jc w:val="left"/>
        <w:rPr>
          <w:rFonts w:ascii="宋体" w:hAnsi="宋体"/>
          <w:b/>
          <w:bCs/>
          <w:color w:val="auto"/>
          <w:szCs w:val="21"/>
          <w:highlight w:val="none"/>
        </w:rPr>
      </w:pPr>
      <w:r>
        <w:rPr>
          <w:rFonts w:hint="eastAsia" w:ascii="宋体" w:hAnsi="宋体"/>
          <w:bCs/>
          <w:color w:val="auto"/>
          <w:szCs w:val="21"/>
          <w:highlight w:val="none"/>
        </w:rPr>
        <w:t>致：</w:t>
      </w:r>
      <w:r>
        <w:rPr>
          <w:rFonts w:hint="eastAsia" w:ascii="宋体" w:hAnsi="宋体" w:cs="Arial"/>
          <w:color w:val="auto"/>
          <w:kern w:val="0"/>
          <w:szCs w:val="21"/>
          <w:highlight w:val="none"/>
          <w:u w:val="single"/>
        </w:rPr>
        <w:t>嘉兴海关综合技术服务中心</w:t>
      </w:r>
      <w:r>
        <w:rPr>
          <w:rFonts w:hint="eastAsia" w:ascii="宋体" w:hAnsi="宋体"/>
          <w:color w:val="auto"/>
          <w:szCs w:val="21"/>
          <w:highlight w:val="none"/>
        </w:rPr>
        <w:t>（招标采购单位名称）：</w:t>
      </w:r>
    </w:p>
    <w:p>
      <w:pPr>
        <w:shd w:val="clear" w:color="auto" w:fill="FFFFFF"/>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lang w:val="zh-CN"/>
        </w:rPr>
        <w:t xml:space="preserve"> 兹委派我公司 </w:t>
      </w:r>
      <w:r>
        <w:rPr>
          <w:rFonts w:hint="eastAsia" w:ascii="宋体" w:hAnsi="宋体"/>
          <w:color w:val="auto"/>
          <w:szCs w:val="21"/>
          <w:highlight w:val="none"/>
          <w:u w:val="single"/>
          <w:lang w:val="en-US" w:eastAsia="zh-CN"/>
        </w:rPr>
        <w:t xml:space="preserve">            </w:t>
      </w:r>
      <w:r>
        <w:rPr>
          <w:rFonts w:hint="eastAsia" w:ascii="宋体" w:hAnsi="宋体" w:cs="宋体"/>
          <w:color w:val="auto"/>
          <w:kern w:val="0"/>
          <w:szCs w:val="21"/>
          <w:highlight w:val="none"/>
          <w:lang w:val="zh-CN"/>
        </w:rPr>
        <w:t>先生/女士(其在本公司的职务是：</w:t>
      </w:r>
      <w:r>
        <w:rPr>
          <w:rFonts w:hint="eastAsia" w:ascii="宋体" w:hAnsi="宋体"/>
          <w:color w:val="auto"/>
          <w:szCs w:val="21"/>
          <w:highlight w:val="none"/>
          <w:u w:val="single"/>
          <w:lang w:val="en-US" w:eastAsia="zh-CN"/>
        </w:rPr>
        <w:t xml:space="preserve">            </w:t>
      </w:r>
      <w:r>
        <w:rPr>
          <w:rFonts w:hint="eastAsia" w:ascii="宋体" w:hAnsi="宋体" w:cs="宋体"/>
          <w:color w:val="auto"/>
          <w:kern w:val="0"/>
          <w:szCs w:val="21"/>
          <w:highlight w:val="none"/>
          <w:lang w:val="zh-CN"/>
        </w:rPr>
        <w:t>，联系电话：</w:t>
      </w:r>
      <w:r>
        <w:rPr>
          <w:rFonts w:hint="eastAsia" w:ascii="宋体" w:hAnsi="宋体"/>
          <w:color w:val="auto"/>
          <w:szCs w:val="21"/>
          <w:highlight w:val="none"/>
          <w:u w:val="single"/>
          <w:lang w:val="en-US" w:eastAsia="zh-CN"/>
        </w:rPr>
        <w:t xml:space="preserve">            </w:t>
      </w:r>
      <w:r>
        <w:rPr>
          <w:rFonts w:hint="eastAsia" w:ascii="宋体" w:hAnsi="宋体" w:cs="宋体"/>
          <w:color w:val="auto"/>
          <w:kern w:val="0"/>
          <w:szCs w:val="21"/>
          <w:highlight w:val="none"/>
          <w:lang w:val="zh-CN"/>
        </w:rPr>
        <w:t>手机：</w:t>
      </w:r>
      <w:r>
        <w:rPr>
          <w:rFonts w:hint="eastAsia" w:ascii="宋体" w:hAnsi="宋体"/>
          <w:color w:val="auto"/>
          <w:szCs w:val="21"/>
          <w:highlight w:val="none"/>
          <w:u w:val="single"/>
          <w:lang w:val="en-US" w:eastAsia="zh-CN"/>
        </w:rPr>
        <w:t xml:space="preserve">            </w:t>
      </w:r>
      <w:r>
        <w:rPr>
          <w:rFonts w:hint="eastAsia" w:ascii="宋体" w:hAnsi="宋体" w:cs="宋体"/>
          <w:color w:val="auto"/>
          <w:kern w:val="0"/>
          <w:szCs w:val="21"/>
          <w:highlight w:val="none"/>
          <w:lang w:val="zh-CN"/>
        </w:rPr>
        <w:t>传真：</w:t>
      </w:r>
      <w:r>
        <w:rPr>
          <w:rFonts w:hint="eastAsia" w:ascii="宋体" w:hAnsi="宋体"/>
          <w:color w:val="auto"/>
          <w:szCs w:val="21"/>
          <w:highlight w:val="none"/>
          <w:u w:val="single"/>
          <w:lang w:val="en-US" w:eastAsia="zh-CN"/>
        </w:rPr>
        <w:t xml:space="preserve">            </w:t>
      </w:r>
      <w:r>
        <w:rPr>
          <w:rFonts w:hint="eastAsia" w:ascii="宋体" w:hAnsi="宋体" w:cs="宋体"/>
          <w:color w:val="auto"/>
          <w:kern w:val="0"/>
          <w:szCs w:val="21"/>
          <w:highlight w:val="none"/>
          <w:lang w:val="zh-CN"/>
        </w:rPr>
        <w:t>)，代表我公司全权处理</w:t>
      </w:r>
      <w:r>
        <w:rPr>
          <w:rFonts w:hint="eastAsia" w:ascii="宋体" w:hAnsi="宋体"/>
          <w:b/>
          <w:bCs/>
          <w:color w:val="auto"/>
          <w:szCs w:val="21"/>
          <w:highlight w:val="none"/>
          <w:u w:val="single"/>
          <w:lang w:eastAsia="zh-CN"/>
        </w:rPr>
        <w:t>嘉兴海关综合技术服务中心食堂食材采购项目</w:t>
      </w:r>
      <w:r>
        <w:rPr>
          <w:rFonts w:hint="eastAsia" w:ascii="宋体" w:hAnsi="宋体" w:cs="宋体"/>
          <w:color w:val="auto"/>
          <w:szCs w:val="21"/>
          <w:highlight w:val="none"/>
        </w:rPr>
        <w:t>(编号：</w:t>
      </w:r>
      <w:r>
        <w:rPr>
          <w:rFonts w:hint="eastAsia" w:ascii="宋体" w:hAnsi="宋体" w:cs="宋体"/>
          <w:color w:val="auto"/>
          <w:szCs w:val="21"/>
          <w:highlight w:val="none"/>
          <w:lang w:eastAsia="zh-CN"/>
        </w:rPr>
        <w:t>大地-DDZX-JX（2024）第23号</w:t>
      </w:r>
      <w:r>
        <w:rPr>
          <w:rFonts w:hint="eastAsia" w:ascii="宋体" w:hAnsi="宋体" w:cs="宋体"/>
          <w:color w:val="auto"/>
          <w:szCs w:val="21"/>
          <w:highlight w:val="none"/>
        </w:rPr>
        <w:t>)政府采购投标的一切事项</w:t>
      </w:r>
      <w:r>
        <w:rPr>
          <w:rFonts w:hint="eastAsia" w:ascii="宋体" w:hAnsi="宋体" w:cs="宋体"/>
          <w:color w:val="auto"/>
          <w:kern w:val="0"/>
          <w:szCs w:val="21"/>
          <w:highlight w:val="none"/>
          <w:lang w:val="zh-CN"/>
        </w:rPr>
        <w:t>。</w:t>
      </w:r>
    </w:p>
    <w:p>
      <w:pPr>
        <w:shd w:val="clear" w:color="auto" w:fill="FFFFFF"/>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zh-CN"/>
        </w:rPr>
        <w:t xml:space="preserve">    特此告知。</w:t>
      </w:r>
    </w:p>
    <w:p>
      <w:pPr>
        <w:shd w:val="clear" w:color="auto" w:fill="FFFFFF"/>
        <w:snapToGrid w:val="0"/>
        <w:spacing w:line="360" w:lineRule="auto"/>
        <w:ind w:firstLine="420" w:firstLineChars="200"/>
        <w:jc w:val="left"/>
        <w:rPr>
          <w:rFonts w:ascii="宋体" w:hAnsi="宋体" w:cs="宋体"/>
          <w:color w:val="auto"/>
          <w:kern w:val="0"/>
          <w:szCs w:val="21"/>
          <w:highlight w:val="none"/>
        </w:rPr>
      </w:pPr>
    </w:p>
    <w:p>
      <w:pPr>
        <w:shd w:val="clear" w:color="auto" w:fill="FFFFFF"/>
        <w:snapToGrid w:val="0"/>
        <w:spacing w:line="360" w:lineRule="auto"/>
        <w:ind w:firstLine="420" w:firstLineChars="200"/>
        <w:jc w:val="left"/>
        <w:rPr>
          <w:rFonts w:ascii="宋体" w:hAnsi="宋体" w:cs="宋体"/>
          <w:color w:val="auto"/>
          <w:kern w:val="0"/>
          <w:szCs w:val="21"/>
          <w:highlight w:val="none"/>
          <w:lang w:val="zh-CN"/>
        </w:rPr>
      </w:pPr>
    </w:p>
    <w:p>
      <w:pPr>
        <w:snapToGrid w:val="0"/>
        <w:spacing w:line="360" w:lineRule="auto"/>
        <w:ind w:firstLine="420" w:firstLineChars="200"/>
        <w:jc w:val="left"/>
        <w:rPr>
          <w:rFonts w:ascii="宋体" w:hAnsi="宋体"/>
          <w:color w:val="auto"/>
          <w:szCs w:val="21"/>
          <w:highlight w:val="none"/>
        </w:rPr>
      </w:pPr>
    </w:p>
    <w:p>
      <w:pPr>
        <w:snapToGri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被授权人签字（或盖章）：法定代表人签字（或盖章）：</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职务：职务：</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被授权人身份证号码：</w:t>
      </w:r>
    </w:p>
    <w:p>
      <w:pPr>
        <w:snapToGrid w:val="0"/>
        <w:spacing w:line="360" w:lineRule="auto"/>
        <w:ind w:firstLine="420" w:firstLineChars="200"/>
        <w:jc w:val="left"/>
        <w:rPr>
          <w:rFonts w:ascii="宋体" w:hAnsi="宋体"/>
          <w:color w:val="auto"/>
          <w:szCs w:val="21"/>
          <w:highlight w:val="none"/>
        </w:rPr>
      </w:pP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shd w:val="clear" w:color="auto" w:fill="FFFFFF"/>
        </w:rPr>
        <w:t>投标人名称：（盖章）</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年月日</w:t>
      </w:r>
    </w:p>
    <w:p>
      <w:pPr>
        <w:snapToGrid w:val="0"/>
        <w:spacing w:line="360" w:lineRule="auto"/>
        <w:ind w:firstLine="420" w:firstLineChars="200"/>
        <w:jc w:val="left"/>
        <w:rPr>
          <w:rFonts w:ascii="宋体" w:hAnsi="宋体"/>
          <w:color w:val="auto"/>
          <w:szCs w:val="21"/>
          <w:highlight w:val="none"/>
        </w:rPr>
      </w:pPr>
    </w:p>
    <w:p>
      <w:pPr>
        <w:pStyle w:val="26"/>
        <w:snapToGrid w:val="0"/>
        <w:spacing w:line="360" w:lineRule="auto"/>
        <w:ind w:firstLine="420" w:firstLineChars="200"/>
        <w:jc w:val="left"/>
        <w:rPr>
          <w:rFonts w:hAnsi="宋体"/>
          <w:color w:val="auto"/>
          <w:szCs w:val="21"/>
          <w:highlight w:val="none"/>
        </w:rPr>
      </w:pPr>
    </w:p>
    <w:p>
      <w:pPr>
        <w:spacing w:line="360" w:lineRule="auto"/>
        <w:ind w:right="42" w:rightChars="20" w:firstLine="420" w:firstLineChars="200"/>
        <w:jc w:val="center"/>
        <w:rPr>
          <w:rFonts w:asciiTheme="minorEastAsia" w:hAnsiTheme="minorEastAsia" w:eastAsiaTheme="minorEastAsia"/>
          <w:b/>
          <w:color w:val="auto"/>
          <w:szCs w:val="21"/>
          <w:highlight w:val="none"/>
        </w:rPr>
      </w:pPr>
      <w:r>
        <w:rPr>
          <w:rFonts w:ascii="宋体" w:hAnsi="宋体"/>
          <w:color w:val="auto"/>
          <w:szCs w:val="21"/>
          <w:highlight w:val="none"/>
        </w:rPr>
        <w:br w:type="page"/>
      </w:r>
      <w:r>
        <w:rPr>
          <w:rFonts w:hint="eastAsia" w:asciiTheme="minorEastAsia" w:hAnsiTheme="minorEastAsia" w:eastAsiaTheme="minorEastAsia"/>
          <w:b/>
          <w:color w:val="auto"/>
          <w:szCs w:val="21"/>
          <w:highlight w:val="none"/>
        </w:rPr>
        <w:t>承诺函</w:t>
      </w:r>
    </w:p>
    <w:p>
      <w:pPr>
        <w:snapToGrid w:val="0"/>
        <w:spacing w:line="360" w:lineRule="auto"/>
        <w:ind w:right="42" w:rightChars="20" w:firstLine="422" w:firstLineChars="200"/>
        <w:jc w:val="both"/>
        <w:rPr>
          <w:rFonts w:hint="eastAsia" w:cs="Times New Roman" w:asciiTheme="minorEastAsia" w:hAnsiTheme="minorEastAsia" w:eastAsiaTheme="minorEastAsia"/>
          <w:b/>
          <w:color w:val="auto"/>
          <w:highlight w:val="none"/>
          <w:lang w:eastAsia="zh-CN"/>
        </w:rPr>
      </w:pPr>
      <w:r>
        <w:rPr>
          <w:rFonts w:hint="eastAsia" w:cs="Times New Roman" w:asciiTheme="minorEastAsia" w:hAnsiTheme="minorEastAsia" w:eastAsiaTheme="minorEastAsia"/>
          <w:b/>
          <w:color w:val="auto"/>
          <w:highlight w:val="none"/>
          <w:lang w:eastAsia="zh-CN"/>
        </w:rPr>
        <w:t>嘉兴海关综合技术服务中心：</w:t>
      </w:r>
    </w:p>
    <w:p>
      <w:pPr>
        <w:snapToGrid w:val="0"/>
        <w:spacing w:line="360" w:lineRule="auto"/>
        <w:ind w:right="42" w:rightChars="20" w:firstLine="420" w:firstLineChars="200"/>
        <w:jc w:val="left"/>
        <w:rPr>
          <w:rFonts w:asciiTheme="minorEastAsia" w:hAnsiTheme="minorEastAsia" w:eastAsiaTheme="minorEastAsia"/>
          <w:color w:val="auto"/>
          <w:szCs w:val="21"/>
          <w:highlight w:val="none"/>
          <w:shd w:val="clear" w:color="auto" w:fill="FFFFFF"/>
        </w:rPr>
      </w:pPr>
    </w:p>
    <w:p>
      <w:pPr>
        <w:snapToGrid w:val="0"/>
        <w:spacing w:line="360" w:lineRule="auto"/>
        <w:ind w:right="42" w:rightChars="20" w:firstLine="420" w:firstLineChars="200"/>
        <w:jc w:val="both"/>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shd w:val="clear" w:color="auto" w:fill="FFFFFF"/>
        </w:rPr>
        <w:t>本公司（公司名称）参加</w:t>
      </w:r>
      <w:r>
        <w:rPr>
          <w:rFonts w:hint="eastAsia" w:ascii="宋体" w:hAnsi="宋体" w:cs="Arial"/>
          <w:b/>
          <w:bCs/>
          <w:color w:val="auto"/>
          <w:kern w:val="0"/>
          <w:szCs w:val="21"/>
          <w:highlight w:val="none"/>
          <w:u w:val="single"/>
          <w:lang w:eastAsia="zh-CN"/>
        </w:rPr>
        <w:t>嘉兴海关综合技术服务中心食堂食材采购项目</w:t>
      </w:r>
      <w:r>
        <w:rPr>
          <w:rFonts w:hint="eastAsia" w:asciiTheme="minorEastAsia" w:hAnsiTheme="minorEastAsia" w:eastAsiaTheme="minorEastAsia"/>
          <w:color w:val="auto"/>
          <w:szCs w:val="21"/>
          <w:highlight w:val="none"/>
          <w:shd w:val="clear" w:color="auto" w:fill="FFFFFF"/>
        </w:rPr>
        <w:t>投标活动，现承诺如下：</w:t>
      </w:r>
      <w:r>
        <w:rPr>
          <w:rFonts w:hint="eastAsia" w:asciiTheme="minorEastAsia" w:hAnsiTheme="minorEastAsia" w:eastAsiaTheme="minorEastAsia"/>
          <w:color w:val="auto"/>
          <w:szCs w:val="21"/>
          <w:highlight w:val="none"/>
        </w:rPr>
        <w:br w:type="textWrapping"/>
      </w:r>
      <w:r>
        <w:rPr>
          <w:rFonts w:hint="eastAsia" w:asciiTheme="minorEastAsia" w:hAnsiTheme="minorEastAsia" w:eastAsiaTheme="minorEastAsia"/>
          <w:color w:val="auto"/>
          <w:szCs w:val="21"/>
          <w:highlight w:val="none"/>
        </w:rPr>
        <w:br w:type="textWrapping"/>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1</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提供</w:t>
      </w:r>
      <w:r>
        <w:rPr>
          <w:rFonts w:hint="eastAsia" w:asciiTheme="minorEastAsia" w:hAnsiTheme="minorEastAsia" w:eastAsiaTheme="minorEastAsia"/>
          <w:color w:val="auto"/>
          <w:szCs w:val="21"/>
          <w:highlight w:val="none"/>
        </w:rPr>
        <w:t>具有独立承担民事责任的能力</w:t>
      </w:r>
      <w:r>
        <w:rPr>
          <w:rFonts w:hint="eastAsia" w:asciiTheme="minorEastAsia" w:hAnsiTheme="minorEastAsia" w:eastAsiaTheme="minorEastAsia"/>
          <w:color w:val="auto"/>
          <w:szCs w:val="21"/>
          <w:highlight w:val="none"/>
          <w:lang w:eastAsia="zh-CN"/>
        </w:rPr>
        <w:t>；</w:t>
      </w:r>
    </w:p>
    <w:p>
      <w:pPr>
        <w:numPr>
          <w:ilvl w:val="0"/>
          <w:numId w:val="0"/>
        </w:numPr>
        <w:snapToGrid w:val="0"/>
        <w:spacing w:line="360" w:lineRule="auto"/>
        <w:ind w:right="42" w:rightChars="20"/>
        <w:jc w:val="both"/>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具有良好的商业信誉和健全的财务会计制度</w:t>
      </w:r>
      <w:r>
        <w:rPr>
          <w:rFonts w:hint="eastAsia" w:asciiTheme="minorEastAsia" w:hAnsiTheme="minorEastAsia" w:eastAsiaTheme="minorEastAsia"/>
          <w:color w:val="auto"/>
          <w:szCs w:val="21"/>
          <w:highlight w:val="none"/>
          <w:lang w:eastAsia="zh-CN"/>
        </w:rPr>
        <w:t>；</w:t>
      </w:r>
    </w:p>
    <w:p>
      <w:pPr>
        <w:numPr>
          <w:ilvl w:val="0"/>
          <w:numId w:val="0"/>
        </w:numPr>
        <w:snapToGrid w:val="0"/>
        <w:spacing w:line="360" w:lineRule="auto"/>
        <w:ind w:right="42" w:rightChars="20"/>
        <w:jc w:val="both"/>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具有履行合同所必需的设备和专业技术能力</w:t>
      </w:r>
      <w:r>
        <w:rPr>
          <w:rFonts w:hint="eastAsia" w:asciiTheme="minorEastAsia" w:hAnsiTheme="minorEastAsia" w:eastAsiaTheme="minorEastAsia"/>
          <w:color w:val="auto"/>
          <w:szCs w:val="21"/>
          <w:highlight w:val="none"/>
          <w:lang w:eastAsia="zh-CN"/>
        </w:rPr>
        <w:t>；</w:t>
      </w:r>
    </w:p>
    <w:p>
      <w:pPr>
        <w:numPr>
          <w:ilvl w:val="0"/>
          <w:numId w:val="0"/>
        </w:numPr>
        <w:snapToGrid w:val="0"/>
        <w:spacing w:line="360" w:lineRule="auto"/>
        <w:ind w:right="42" w:rightChars="20"/>
        <w:jc w:val="both"/>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4</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有依法缴纳税收和社会保障资金的良好记录</w:t>
      </w:r>
      <w:r>
        <w:rPr>
          <w:rFonts w:hint="eastAsia" w:asciiTheme="minorEastAsia" w:hAnsiTheme="minorEastAsia" w:eastAsiaTheme="minorEastAsia"/>
          <w:color w:val="auto"/>
          <w:szCs w:val="21"/>
          <w:highlight w:val="none"/>
          <w:lang w:eastAsia="zh-CN"/>
        </w:rPr>
        <w:t>；</w:t>
      </w:r>
    </w:p>
    <w:p>
      <w:pPr>
        <w:numPr>
          <w:ilvl w:val="0"/>
          <w:numId w:val="0"/>
        </w:numPr>
        <w:snapToGrid w:val="0"/>
        <w:spacing w:line="360" w:lineRule="auto"/>
        <w:ind w:right="42" w:rightChars="20"/>
        <w:jc w:val="both"/>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5</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参加政府采购活动前三年，在经营活动中没有重大违法记录</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自招标公告发布之日起至投标截止日内任意时间的“信用中国”网站（www.creditchina.gov.cn）（未被信用中国网站</w:t>
      </w:r>
      <w:r>
        <w:rPr>
          <w:color w:val="auto"/>
          <w:highlight w:val="none"/>
        </w:rPr>
        <w:fldChar w:fldCharType="begin"/>
      </w:r>
      <w:r>
        <w:rPr>
          <w:color w:val="auto"/>
          <w:highlight w:val="none"/>
        </w:rPr>
        <w:instrText xml:space="preserve"> HYPERLINK \t "_blank" </w:instrText>
      </w:r>
      <w:r>
        <w:rPr>
          <w:color w:val="auto"/>
          <w:highlight w:val="none"/>
        </w:rPr>
        <w:fldChar w:fldCharType="separate"/>
      </w:r>
      <w:r>
        <w:rPr>
          <w:rFonts w:hint="eastAsia" w:asciiTheme="minorEastAsia" w:hAnsiTheme="minorEastAsia" w:eastAsiaTheme="minorEastAsia"/>
          <w:color w:val="auto"/>
          <w:highlight w:val="none"/>
        </w:rPr>
        <w:t>列入失信被执行人、重大税收违法案件当事人名单</w:t>
      </w:r>
      <w:r>
        <w:rPr>
          <w:rFonts w:hint="eastAsia" w:asciiTheme="minorEastAsia" w:hAnsiTheme="minorEastAsia" w:eastAsiaTheme="minorEastAsia"/>
          <w:color w:val="auto"/>
          <w:highlight w:val="none"/>
        </w:rPr>
        <w:fldChar w:fldCharType="end"/>
      </w:r>
      <w:r>
        <w:rPr>
          <w:rFonts w:asciiTheme="minorEastAsia" w:hAnsiTheme="minorEastAsia" w:eastAsiaTheme="minorEastAsia"/>
          <w:color w:val="auto"/>
          <w:szCs w:val="21"/>
          <w:highlight w:val="none"/>
        </w:rPr>
        <w:t>的）</w:t>
      </w:r>
      <w:r>
        <w:rPr>
          <w:rFonts w:hint="eastAsia" w:asciiTheme="minorEastAsia" w:hAnsiTheme="minorEastAsia" w:eastAsiaTheme="minorEastAsia"/>
          <w:color w:val="auto"/>
          <w:szCs w:val="21"/>
          <w:highlight w:val="none"/>
        </w:rPr>
        <w:t>、中国政府采购网（www.ccgp.gov.cn）（未被中国政府采购网</w:t>
      </w:r>
      <w:r>
        <w:rPr>
          <w:color w:val="auto"/>
          <w:highlight w:val="none"/>
        </w:rPr>
        <w:fldChar w:fldCharType="begin"/>
      </w:r>
      <w:r>
        <w:rPr>
          <w:color w:val="auto"/>
          <w:highlight w:val="none"/>
        </w:rPr>
        <w:instrText xml:space="preserve"> HYPERLINK \t "_blank" </w:instrText>
      </w:r>
      <w:r>
        <w:rPr>
          <w:color w:val="auto"/>
          <w:highlight w:val="none"/>
        </w:rPr>
        <w:fldChar w:fldCharType="separate"/>
      </w:r>
      <w:r>
        <w:rPr>
          <w:rFonts w:hint="eastAsia" w:asciiTheme="minorEastAsia" w:hAnsiTheme="minorEastAsia" w:eastAsiaTheme="minorEastAsia"/>
          <w:color w:val="auto"/>
          <w:highlight w:val="none"/>
        </w:rPr>
        <w:t>列入政府采购严重违法失信行为记录名单</w:t>
      </w:r>
      <w:r>
        <w:rPr>
          <w:rFonts w:hint="eastAsia" w:asciiTheme="minorEastAsia" w:hAnsiTheme="minorEastAsia" w:eastAsiaTheme="minorEastAsia"/>
          <w:color w:val="auto"/>
          <w:highlight w:val="none"/>
        </w:rPr>
        <w:fldChar w:fldCharType="end"/>
      </w:r>
      <w:r>
        <w:rPr>
          <w:rFonts w:asciiTheme="minorEastAsia" w:hAnsiTheme="minorEastAsia" w:eastAsiaTheme="minorEastAsia"/>
          <w:color w:val="auto"/>
          <w:szCs w:val="21"/>
          <w:highlight w:val="none"/>
        </w:rPr>
        <w:t>的</w:t>
      </w:r>
      <w:r>
        <w:rPr>
          <w:rFonts w:hint="eastAsia" w:asciiTheme="minorEastAsia" w:hAnsiTheme="minorEastAsia" w:eastAsiaTheme="minorEastAsia"/>
          <w:color w:val="auto"/>
          <w:szCs w:val="21"/>
          <w:highlight w:val="none"/>
        </w:rPr>
        <w:t>）也没有因违反《浙江省政府采购投标人注册及诚信管理暂行办法》被列入“黑名单”，正在处罚有效期；</w:t>
      </w:r>
    </w:p>
    <w:p>
      <w:pPr>
        <w:snapToGrid w:val="0"/>
        <w:spacing w:line="360" w:lineRule="auto"/>
        <w:ind w:right="42" w:rightChars="20" w:firstLine="420" w:firstLineChars="200"/>
        <w:jc w:val="left"/>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br w:type="textWrapping"/>
      </w:r>
      <w:r>
        <w:rPr>
          <w:rFonts w:hint="eastAsia" w:asciiTheme="minorEastAsia" w:hAnsiTheme="minorEastAsia" w:eastAsiaTheme="minorEastAsia"/>
          <w:color w:val="auto"/>
          <w:szCs w:val="21"/>
          <w:highlight w:val="none"/>
        </w:rPr>
        <w:br w:type="textWrapping"/>
      </w:r>
      <w:r>
        <w:rPr>
          <w:rFonts w:hint="eastAsia" w:asciiTheme="minorEastAsia" w:hAnsiTheme="minorEastAsia" w:eastAsiaTheme="minorEastAsia"/>
          <w:color w:val="auto"/>
          <w:szCs w:val="21"/>
          <w:highlight w:val="none"/>
          <w:shd w:val="clear" w:color="auto" w:fill="FFFFFF"/>
        </w:rPr>
        <w:t>如违反以上承诺，本公司愿承担一切法律责任。</w:t>
      </w:r>
      <w:r>
        <w:rPr>
          <w:rFonts w:hint="eastAsia" w:asciiTheme="minorEastAsia" w:hAnsiTheme="minorEastAsia" w:eastAsiaTheme="minorEastAsia"/>
          <w:color w:val="auto"/>
          <w:szCs w:val="21"/>
          <w:highlight w:val="none"/>
        </w:rPr>
        <w:br w:type="textWrapping"/>
      </w:r>
      <w:r>
        <w:rPr>
          <w:rFonts w:hint="eastAsia" w:asciiTheme="minorEastAsia" w:hAnsiTheme="minorEastAsia" w:eastAsiaTheme="minorEastAsia"/>
          <w:color w:val="auto"/>
          <w:szCs w:val="21"/>
          <w:highlight w:val="none"/>
        </w:rPr>
        <w:br w:type="textWrapping"/>
      </w:r>
      <w:r>
        <w:rPr>
          <w:rFonts w:hint="eastAsia" w:asciiTheme="minorEastAsia" w:hAnsiTheme="minorEastAsia" w:eastAsiaTheme="minorEastAsia"/>
          <w:color w:val="auto"/>
          <w:szCs w:val="21"/>
          <w:highlight w:val="none"/>
        </w:rPr>
        <w:br w:type="textWrapping"/>
      </w:r>
      <w:r>
        <w:rPr>
          <w:rFonts w:hint="eastAsia" w:asciiTheme="minorEastAsia" w:hAnsiTheme="minorEastAsia" w:eastAsiaTheme="minorEastAsia"/>
          <w:color w:val="auto"/>
          <w:szCs w:val="21"/>
          <w:highlight w:val="none"/>
        </w:rPr>
        <w:br w:type="textWrapping"/>
      </w:r>
      <w:r>
        <w:rPr>
          <w:rFonts w:hint="eastAsia" w:ascii="微软雅黑" w:hAnsi="微软雅黑"/>
          <w:color w:val="auto"/>
          <w:szCs w:val="21"/>
          <w:highlight w:val="none"/>
        </w:rPr>
        <w:t xml:space="preserve">  </w:t>
      </w:r>
      <w:r>
        <w:rPr>
          <w:rFonts w:hint="eastAsia" w:ascii="宋体" w:hAnsi="宋体"/>
          <w:color w:val="auto"/>
          <w:szCs w:val="21"/>
          <w:highlight w:val="none"/>
          <w:shd w:val="clear" w:color="auto" w:fill="FFFFFF"/>
        </w:rPr>
        <w:t>投标人名称：（盖章）</w:t>
      </w:r>
      <w:r>
        <w:rPr>
          <w:rFonts w:hint="eastAsia" w:asciiTheme="minorEastAsia" w:hAnsiTheme="minorEastAsia" w:eastAsiaTheme="minorEastAsia"/>
          <w:color w:val="auto"/>
          <w:szCs w:val="21"/>
          <w:highlight w:val="none"/>
        </w:rPr>
        <w:br w:type="textWrapping"/>
      </w:r>
      <w:r>
        <w:rPr>
          <w:rFonts w:hint="eastAsia" w:asciiTheme="minorEastAsia" w:hAnsiTheme="minorEastAsia" w:eastAsiaTheme="minorEastAsia"/>
          <w:color w:val="auto"/>
          <w:szCs w:val="21"/>
          <w:highlight w:val="none"/>
        </w:rPr>
        <w:br w:type="textWrapping"/>
      </w:r>
      <w:r>
        <w:rPr>
          <w:rFonts w:hint="eastAsia" w:asciiTheme="minorEastAsia" w:hAnsiTheme="minorEastAsia" w:eastAsiaTheme="minorEastAsia"/>
          <w:color w:val="auto"/>
          <w:szCs w:val="21"/>
          <w:highlight w:val="none"/>
        </w:rPr>
        <w:t>法定代表人或其授权代表签字（或盖章）</w:t>
      </w:r>
      <w:r>
        <w:rPr>
          <w:rFonts w:hint="eastAsia" w:asciiTheme="minorEastAsia" w:hAnsiTheme="minorEastAsia" w:eastAsiaTheme="minorEastAsia"/>
          <w:color w:val="auto"/>
          <w:szCs w:val="21"/>
          <w:highlight w:val="none"/>
          <w:shd w:val="clear" w:color="auto" w:fill="FFFFFF"/>
        </w:rPr>
        <w:t>：</w:t>
      </w:r>
      <w:r>
        <w:rPr>
          <w:rFonts w:hint="eastAsia" w:asciiTheme="minorEastAsia" w:hAnsiTheme="minorEastAsia" w:eastAsiaTheme="minorEastAsia"/>
          <w:color w:val="auto"/>
          <w:szCs w:val="21"/>
          <w:highlight w:val="none"/>
        </w:rPr>
        <w:br w:type="textWrapping"/>
      </w:r>
      <w:r>
        <w:rPr>
          <w:rFonts w:hint="eastAsia" w:asciiTheme="minorEastAsia" w:hAnsiTheme="minorEastAsia" w:eastAsiaTheme="minorEastAsia"/>
          <w:color w:val="auto"/>
          <w:szCs w:val="21"/>
          <w:highlight w:val="none"/>
        </w:rPr>
        <w:br w:type="textWrapping"/>
      </w:r>
      <w:r>
        <w:rPr>
          <w:rFonts w:hint="eastAsia" w:asciiTheme="minorEastAsia" w:hAnsiTheme="minorEastAsia" w:eastAsiaTheme="minorEastAsia"/>
          <w:color w:val="auto"/>
          <w:szCs w:val="21"/>
          <w:highlight w:val="none"/>
          <w:shd w:val="clear" w:color="auto" w:fill="FFFFFF"/>
        </w:rPr>
        <w:t>投标日期： 年 月 日</w:t>
      </w:r>
    </w:p>
    <w:p>
      <w:pPr>
        <w:snapToGrid w:val="0"/>
        <w:spacing w:line="360" w:lineRule="auto"/>
        <w:ind w:right="42" w:rightChars="20" w:firstLine="420" w:firstLineChars="200"/>
        <w:jc w:val="left"/>
        <w:rPr>
          <w:rFonts w:asciiTheme="minorEastAsia" w:hAnsiTheme="minorEastAsia" w:eastAsiaTheme="minorEastAsia"/>
          <w:color w:val="auto"/>
          <w:szCs w:val="21"/>
          <w:highlight w:val="none"/>
        </w:rPr>
      </w:pPr>
    </w:p>
    <w:p>
      <w:pPr>
        <w:pStyle w:val="3"/>
        <w:rPr>
          <w:rFonts w:asciiTheme="minorEastAsia" w:hAnsiTheme="minorEastAsia" w:eastAsiaTheme="minorEastAsia"/>
          <w:color w:val="auto"/>
          <w:szCs w:val="21"/>
          <w:highlight w:val="none"/>
        </w:rPr>
      </w:pPr>
    </w:p>
    <w:p>
      <w:pPr>
        <w:rPr>
          <w:color w:val="auto"/>
          <w:highlight w:val="none"/>
        </w:rPr>
      </w:pPr>
    </w:p>
    <w:p>
      <w:pPr>
        <w:rPr>
          <w:rFonts w:asciiTheme="minorEastAsia" w:hAnsiTheme="minorEastAsia" w:eastAsiaTheme="minorEastAsia"/>
          <w:color w:val="auto"/>
          <w:szCs w:val="21"/>
          <w:highlight w:val="none"/>
        </w:rPr>
      </w:pPr>
    </w:p>
    <w:p>
      <w:pPr>
        <w:snapToGrid w:val="0"/>
        <w:ind w:right="42" w:rightChars="20" w:firstLine="420" w:firstLineChars="200"/>
        <w:jc w:val="left"/>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廉政承诺书格式：</w:t>
      </w:r>
    </w:p>
    <w:p>
      <w:pPr>
        <w:pStyle w:val="4"/>
        <w:ind w:right="42" w:rightChars="20"/>
        <w:contextualSpacing/>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廉政承诺书</w:t>
      </w:r>
    </w:p>
    <w:p>
      <w:pPr>
        <w:autoSpaceDE w:val="0"/>
        <w:autoSpaceDN w:val="0"/>
        <w:adjustRightInd w:val="0"/>
        <w:spacing w:line="360" w:lineRule="auto"/>
        <w:ind w:right="42" w:rightChars="20"/>
        <w:contextualSpacing/>
        <w:rPr>
          <w:rFonts w:ascii="宋体" w:hAnsi="宋体" w:cs="宋体"/>
          <w:color w:val="auto"/>
          <w:kern w:val="0"/>
          <w:szCs w:val="21"/>
          <w:highlight w:val="none"/>
          <w:lang w:val="zh-CN"/>
        </w:rPr>
      </w:pPr>
      <w:r>
        <w:rPr>
          <w:rFonts w:hint="eastAsia" w:ascii="宋体" w:hAnsi="宋体" w:cs="宋体"/>
          <w:color w:val="auto"/>
          <w:szCs w:val="21"/>
          <w:highlight w:val="none"/>
        </w:rPr>
        <w:t>致：（招标采购单位名称）</w:t>
      </w:r>
    </w:p>
    <w:p>
      <w:pPr>
        <w:autoSpaceDE w:val="0"/>
        <w:autoSpaceDN w:val="0"/>
        <w:adjustRightInd w:val="0"/>
        <w:spacing w:line="360" w:lineRule="auto"/>
        <w:ind w:right="42" w:rightChars="20" w:firstLine="420" w:firstLineChars="200"/>
        <w:contextualSpacing/>
        <w:rPr>
          <w:rFonts w:ascii="宋体" w:hAnsi="宋体" w:cs="宋体"/>
          <w:color w:val="auto"/>
          <w:kern w:val="0"/>
          <w:szCs w:val="21"/>
          <w:highlight w:val="none"/>
        </w:rPr>
      </w:pPr>
      <w:r>
        <w:rPr>
          <w:rFonts w:hint="eastAsia" w:ascii="宋体" w:hAnsi="宋体" w:cs="宋体"/>
          <w:color w:val="auto"/>
          <w:kern w:val="0"/>
          <w:szCs w:val="21"/>
          <w:highlight w:val="none"/>
          <w:lang w:val="zh-CN"/>
        </w:rPr>
        <w:t>我单位响应项目采购要求参加投标。在这次投标过程中和中标后，我们将严格遵守国家法律法规的要求，并郑重承诺：</w:t>
      </w:r>
    </w:p>
    <w:p>
      <w:pPr>
        <w:autoSpaceDE w:val="0"/>
        <w:autoSpaceDN w:val="0"/>
        <w:adjustRightInd w:val="0"/>
        <w:spacing w:line="360" w:lineRule="auto"/>
        <w:ind w:right="42" w:rightChars="20" w:firstLine="420" w:firstLineChars="200"/>
        <w:contextualSpacing/>
        <w:rPr>
          <w:rFonts w:ascii="宋体" w:hAnsi="宋体"/>
          <w:color w:val="auto"/>
          <w:szCs w:val="21"/>
          <w:highlight w:val="none"/>
        </w:rPr>
      </w:pPr>
      <w:r>
        <w:rPr>
          <w:rFonts w:hint="eastAsia" w:ascii="宋体" w:hAnsi="宋体"/>
          <w:color w:val="auto"/>
          <w:szCs w:val="21"/>
          <w:highlight w:val="none"/>
        </w:rPr>
        <w:t xml:space="preserve">一、不向项目有关人员及部门赠送礼金礼物、有价证券、回扣以及中介费、介绍费、咨询费等好处费；    </w:t>
      </w:r>
    </w:p>
    <w:p>
      <w:pPr>
        <w:autoSpaceDE w:val="0"/>
        <w:autoSpaceDN w:val="0"/>
        <w:adjustRightInd w:val="0"/>
        <w:spacing w:line="360" w:lineRule="auto"/>
        <w:ind w:right="42" w:rightChars="20" w:firstLine="420" w:firstLineChars="200"/>
        <w:contextualSpacing/>
        <w:rPr>
          <w:rFonts w:ascii="宋体" w:hAnsi="宋体"/>
          <w:color w:val="auto"/>
          <w:szCs w:val="21"/>
          <w:highlight w:val="none"/>
        </w:rPr>
      </w:pPr>
      <w:r>
        <w:rPr>
          <w:rFonts w:hint="eastAsia" w:ascii="宋体" w:hAnsi="宋体"/>
          <w:color w:val="auto"/>
          <w:szCs w:val="21"/>
          <w:highlight w:val="none"/>
        </w:rPr>
        <w:t xml:space="preserve">二、不为项目有关人员及部门报销应由你方单位或个人支付的费用；    </w:t>
      </w:r>
    </w:p>
    <w:p>
      <w:pPr>
        <w:autoSpaceDE w:val="0"/>
        <w:autoSpaceDN w:val="0"/>
        <w:adjustRightInd w:val="0"/>
        <w:spacing w:line="360" w:lineRule="auto"/>
        <w:ind w:right="42" w:rightChars="20" w:firstLine="420" w:firstLineChars="200"/>
        <w:contextualSpacing/>
        <w:rPr>
          <w:rFonts w:ascii="宋体" w:hAnsi="宋体"/>
          <w:color w:val="auto"/>
          <w:szCs w:val="21"/>
          <w:highlight w:val="none"/>
        </w:rPr>
      </w:pPr>
      <w:r>
        <w:rPr>
          <w:rFonts w:hint="eastAsia" w:ascii="宋体" w:hAnsi="宋体"/>
          <w:color w:val="auto"/>
          <w:szCs w:val="21"/>
          <w:highlight w:val="none"/>
        </w:rPr>
        <w:t xml:space="preserve">三、不向项目有关人员及部门提供有可能影响公正的宴请和健身娱乐等活动；    </w:t>
      </w:r>
    </w:p>
    <w:p>
      <w:pPr>
        <w:autoSpaceDE w:val="0"/>
        <w:autoSpaceDN w:val="0"/>
        <w:adjustRightInd w:val="0"/>
        <w:spacing w:line="360" w:lineRule="auto"/>
        <w:ind w:right="42" w:rightChars="20" w:firstLine="420" w:firstLineChars="200"/>
        <w:contextualSpacing/>
        <w:rPr>
          <w:rFonts w:ascii="宋体" w:hAnsi="宋体"/>
          <w:color w:val="auto"/>
          <w:szCs w:val="21"/>
          <w:highlight w:val="none"/>
        </w:rPr>
      </w:pPr>
      <w:r>
        <w:rPr>
          <w:rFonts w:hint="eastAsia" w:ascii="宋体" w:hAnsi="宋体"/>
          <w:color w:val="auto"/>
          <w:szCs w:val="21"/>
          <w:highlight w:val="none"/>
        </w:rPr>
        <w:t xml:space="preserve">四、不为项目有关人员及部门出国（境）、旅游等提供方便；    </w:t>
      </w:r>
    </w:p>
    <w:p>
      <w:pPr>
        <w:autoSpaceDE w:val="0"/>
        <w:autoSpaceDN w:val="0"/>
        <w:adjustRightInd w:val="0"/>
        <w:spacing w:line="360" w:lineRule="auto"/>
        <w:ind w:right="42" w:rightChars="20" w:firstLine="420" w:firstLineChars="200"/>
        <w:contextualSpacing/>
        <w:rPr>
          <w:rFonts w:ascii="宋体" w:hAnsi="宋体"/>
          <w:color w:val="auto"/>
          <w:szCs w:val="21"/>
          <w:highlight w:val="none"/>
        </w:rPr>
      </w:pPr>
      <w:r>
        <w:rPr>
          <w:rFonts w:hint="eastAsia" w:ascii="宋体" w:hAnsi="宋体"/>
          <w:color w:val="auto"/>
          <w:szCs w:val="21"/>
          <w:highlight w:val="none"/>
        </w:rPr>
        <w:t xml:space="preserve">五、不为项目有关人员个人装修住房、婚丧嫁娶、配偶子女工作安排等提供好处；    </w:t>
      </w:r>
    </w:p>
    <w:p>
      <w:pPr>
        <w:autoSpaceDE w:val="0"/>
        <w:autoSpaceDN w:val="0"/>
        <w:adjustRightInd w:val="0"/>
        <w:spacing w:line="360" w:lineRule="auto"/>
        <w:ind w:right="42" w:rightChars="20" w:firstLine="420" w:firstLineChars="200"/>
        <w:contextualSpacing/>
        <w:rPr>
          <w:rFonts w:ascii="宋体" w:hAnsi="宋体"/>
          <w:color w:val="auto"/>
          <w:szCs w:val="21"/>
          <w:highlight w:val="none"/>
        </w:rPr>
      </w:pPr>
      <w:r>
        <w:rPr>
          <w:rFonts w:hint="eastAsia" w:ascii="宋体" w:hAnsi="宋体"/>
          <w:color w:val="auto"/>
          <w:szCs w:val="21"/>
          <w:highlight w:val="none"/>
        </w:rPr>
        <w:t>六、严格遵守政府采购法、招标投标法、合同法等法律，诚实守信，合法经营，坚决抵制各种违法违纪行为。</w:t>
      </w:r>
    </w:p>
    <w:p>
      <w:pPr>
        <w:autoSpaceDE w:val="0"/>
        <w:autoSpaceDN w:val="0"/>
        <w:adjustRightInd w:val="0"/>
        <w:spacing w:line="360" w:lineRule="auto"/>
        <w:ind w:right="42" w:rightChars="20" w:firstLine="420" w:firstLineChars="200"/>
        <w:contextualSpacing/>
        <w:rPr>
          <w:rFonts w:ascii="宋体" w:hAnsi="宋体"/>
          <w:color w:val="auto"/>
          <w:szCs w:val="21"/>
          <w:highlight w:val="none"/>
        </w:rPr>
      </w:pPr>
      <w:r>
        <w:rPr>
          <w:rFonts w:hint="eastAsia" w:ascii="宋体" w:hAnsi="宋体"/>
          <w:color w:val="auto"/>
          <w:szCs w:val="21"/>
          <w:highlight w:val="none"/>
        </w:rPr>
        <w:t>如违反上述承诺，你单位有权立即取消我单位投标、中标或在建项目的建设资格，有权拒绝我单位在一定时期内进入你单位进行项目建设或其他经营活动，并通报政府采购监督管理部门。由此引起的相应损失均由我单位承担。</w:t>
      </w:r>
    </w:p>
    <w:p>
      <w:pPr>
        <w:tabs>
          <w:tab w:val="left" w:pos="1418"/>
        </w:tabs>
        <w:spacing w:line="360" w:lineRule="auto"/>
        <w:ind w:right="42" w:rightChars="20"/>
        <w:contextualSpacing/>
        <w:rPr>
          <w:rFonts w:ascii="宋体" w:hAnsi="宋体"/>
          <w:color w:val="auto"/>
          <w:szCs w:val="21"/>
          <w:highlight w:val="none"/>
        </w:rPr>
      </w:pPr>
    </w:p>
    <w:p>
      <w:pPr>
        <w:pStyle w:val="83"/>
        <w:snapToGrid w:val="0"/>
        <w:spacing w:line="360" w:lineRule="auto"/>
        <w:ind w:right="42" w:rightChars="2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法定代表人或其授权代表签字（或盖章）</w:t>
      </w:r>
      <w:r>
        <w:rPr>
          <w:rFonts w:asciiTheme="minorEastAsia" w:hAnsiTheme="minorEastAsia" w:eastAsiaTheme="minorEastAsia"/>
          <w:color w:val="auto"/>
          <w:sz w:val="21"/>
          <w:szCs w:val="21"/>
          <w:highlight w:val="none"/>
        </w:rPr>
        <w:t>：</w:t>
      </w:r>
    </w:p>
    <w:p>
      <w:pPr>
        <w:tabs>
          <w:tab w:val="left" w:pos="1418"/>
        </w:tabs>
        <w:spacing w:line="360" w:lineRule="auto"/>
        <w:ind w:right="42" w:rightChars="20"/>
        <w:contextualSpacing/>
        <w:rPr>
          <w:rFonts w:ascii="宋体" w:hAnsi="宋体"/>
          <w:color w:val="auto"/>
          <w:szCs w:val="21"/>
          <w:highlight w:val="none"/>
        </w:rPr>
      </w:pPr>
    </w:p>
    <w:p>
      <w:pPr>
        <w:tabs>
          <w:tab w:val="left" w:pos="1418"/>
        </w:tabs>
        <w:spacing w:line="360" w:lineRule="auto"/>
        <w:ind w:right="42" w:rightChars="20"/>
        <w:contextualSpacing/>
        <w:rPr>
          <w:rFonts w:ascii="宋体" w:hAnsi="宋体"/>
          <w:color w:val="auto"/>
          <w:szCs w:val="21"/>
          <w:highlight w:val="none"/>
        </w:rPr>
      </w:pPr>
      <w:r>
        <w:rPr>
          <w:rFonts w:hint="eastAsia" w:ascii="宋体" w:hAnsi="宋体"/>
          <w:color w:val="auto"/>
          <w:szCs w:val="21"/>
          <w:highlight w:val="none"/>
          <w:shd w:val="clear" w:color="auto" w:fill="FFFFFF"/>
        </w:rPr>
        <w:t>投标人名称：（盖章）</w:t>
      </w:r>
      <w:r>
        <w:rPr>
          <w:rFonts w:hint="eastAsia" w:ascii="宋体" w:hAnsi="宋体"/>
          <w:color w:val="auto"/>
          <w:szCs w:val="21"/>
          <w:highlight w:val="none"/>
        </w:rPr>
        <w:t xml:space="preserve">                           </w:t>
      </w:r>
    </w:p>
    <w:p>
      <w:pPr>
        <w:tabs>
          <w:tab w:val="left" w:pos="1418"/>
        </w:tabs>
        <w:spacing w:line="360" w:lineRule="auto"/>
        <w:ind w:right="42" w:rightChars="20"/>
        <w:contextualSpacing/>
        <w:rPr>
          <w:rFonts w:ascii="宋体" w:hAnsi="宋体" w:cs="宋体"/>
          <w:bCs/>
          <w:color w:val="auto"/>
          <w:szCs w:val="21"/>
          <w:highlight w:val="none"/>
        </w:rPr>
      </w:pPr>
    </w:p>
    <w:p>
      <w:pPr>
        <w:tabs>
          <w:tab w:val="left" w:pos="1418"/>
        </w:tabs>
        <w:spacing w:line="360" w:lineRule="auto"/>
        <w:ind w:right="42" w:rightChars="20"/>
        <w:contextualSpacing/>
        <w:jc w:val="right"/>
        <w:rPr>
          <w:rFonts w:ascii="宋体" w:hAnsi="宋体" w:cs="宋体"/>
          <w:b/>
          <w:bCs/>
          <w:color w:val="auto"/>
          <w:szCs w:val="21"/>
          <w:highlight w:val="none"/>
        </w:rPr>
      </w:pPr>
      <w:r>
        <w:rPr>
          <w:rFonts w:hint="eastAsia" w:ascii="宋体" w:hAnsi="宋体" w:cs="宋体"/>
          <w:bCs/>
          <w:color w:val="auto"/>
          <w:szCs w:val="21"/>
          <w:highlight w:val="none"/>
        </w:rPr>
        <w:t xml:space="preserve">  年  月  日</w:t>
      </w:r>
    </w:p>
    <w:p>
      <w:pPr>
        <w:pStyle w:val="3"/>
        <w:spacing w:line="360" w:lineRule="auto"/>
        <w:ind w:right="42" w:rightChars="20"/>
        <w:contextualSpacing/>
        <w:rPr>
          <w:color w:val="auto"/>
          <w:highlight w:val="none"/>
        </w:rPr>
        <w:sectPr>
          <w:headerReference r:id="rId3" w:type="default"/>
          <w:footerReference r:id="rId4" w:type="default"/>
          <w:pgSz w:w="11906" w:h="16838"/>
          <w:pgMar w:top="1474" w:right="1842" w:bottom="1247" w:left="1797" w:header="851" w:footer="851" w:gutter="0"/>
          <w:pgBorders>
            <w:top w:val="none" w:sz="0" w:space="0"/>
            <w:left w:val="none" w:sz="0" w:space="0"/>
            <w:bottom w:val="none" w:sz="0" w:space="0"/>
            <w:right w:val="none" w:sz="0" w:space="0"/>
          </w:pgBorders>
          <w:cols w:space="720" w:num="1"/>
          <w:docGrid w:linePitch="312" w:charSpace="0"/>
        </w:sectPr>
      </w:pPr>
    </w:p>
    <w:p>
      <w:pPr>
        <w:snapToGrid w:val="0"/>
        <w:spacing w:line="360" w:lineRule="auto"/>
        <w:ind w:firstLine="422" w:firstLineChars="200"/>
        <w:jc w:val="left"/>
        <w:rPr>
          <w:rFonts w:hint="eastAsia" w:ascii="宋体" w:hAnsi="宋体"/>
          <w:b/>
          <w:color w:val="auto"/>
          <w:szCs w:val="21"/>
          <w:highlight w:val="none"/>
        </w:rPr>
      </w:pPr>
    </w:p>
    <w:p>
      <w:pPr>
        <w:snapToGri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参加政府采购活动前三年，在经营活动中没有重大违法记录（承诺函）</w:t>
      </w:r>
    </w:p>
    <w:p>
      <w:pPr>
        <w:spacing w:line="360" w:lineRule="auto"/>
        <w:ind w:firstLine="420" w:firstLineChars="200"/>
        <w:jc w:val="left"/>
        <w:rPr>
          <w:rFonts w:ascii="宋体" w:hAnsi="宋体"/>
          <w:color w:val="auto"/>
          <w:szCs w:val="21"/>
          <w:highlight w:val="none"/>
          <w:u w:val="single"/>
        </w:rPr>
      </w:pPr>
    </w:p>
    <w:p>
      <w:pPr>
        <w:spacing w:line="360" w:lineRule="auto"/>
        <w:ind w:firstLine="422" w:firstLineChars="200"/>
        <w:jc w:val="left"/>
        <w:rPr>
          <w:rFonts w:ascii="宋体" w:hAnsi="宋体"/>
          <w:color w:val="auto"/>
          <w:szCs w:val="21"/>
          <w:highlight w:val="none"/>
        </w:rPr>
      </w:pPr>
      <w:r>
        <w:rPr>
          <w:rFonts w:hint="eastAsia" w:ascii="宋体" w:hAnsi="宋体" w:cs="Arial"/>
          <w:b/>
          <w:color w:val="auto"/>
          <w:kern w:val="0"/>
          <w:szCs w:val="21"/>
          <w:highlight w:val="none"/>
          <w:u w:val="single"/>
        </w:rPr>
        <w:t>嘉兴海关综合技术服务中心</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我公司声明截止投标时间近三年以来，在经营活动中没有重大违法记录；也没有因违反《浙江省政府采购投标人注册及诚信管理暂行办法》被列入“黑名单”，正在处罚有效期。</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特此承诺。</w:t>
      </w:r>
    </w:p>
    <w:p>
      <w:pPr>
        <w:spacing w:line="360" w:lineRule="auto"/>
        <w:ind w:firstLine="420" w:firstLineChars="200"/>
        <w:jc w:val="left"/>
        <w:rPr>
          <w:rFonts w:ascii="宋体" w:hAnsi="宋体"/>
          <w:color w:val="auto"/>
          <w:szCs w:val="21"/>
          <w:highlight w:val="none"/>
        </w:rPr>
      </w:pPr>
    </w:p>
    <w:p>
      <w:pPr>
        <w:spacing w:line="360" w:lineRule="auto"/>
        <w:ind w:firstLine="420" w:firstLineChars="200"/>
        <w:jc w:val="left"/>
        <w:rPr>
          <w:rFonts w:ascii="宋体" w:hAnsi="宋体"/>
          <w:color w:val="auto"/>
          <w:szCs w:val="21"/>
          <w:highlight w:val="none"/>
        </w:rPr>
      </w:pPr>
    </w:p>
    <w:p>
      <w:pPr>
        <w:pStyle w:val="83"/>
        <w:snapToGrid w:val="0"/>
        <w:spacing w:line="360" w:lineRule="auto"/>
        <w:ind w:right="42" w:rightChars="20"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法定代表人或其授权代表签字（或盖章）</w:t>
      </w:r>
      <w:r>
        <w:rPr>
          <w:rFonts w:asciiTheme="minorEastAsia" w:hAnsiTheme="minorEastAsia" w:eastAsiaTheme="minorEastAsia"/>
          <w:color w:val="auto"/>
          <w:sz w:val="21"/>
          <w:szCs w:val="21"/>
          <w:highlight w:val="none"/>
        </w:rPr>
        <w:t>：</w:t>
      </w:r>
    </w:p>
    <w:p>
      <w:pPr>
        <w:tabs>
          <w:tab w:val="left" w:pos="1418"/>
        </w:tabs>
        <w:spacing w:line="360" w:lineRule="auto"/>
        <w:ind w:right="42" w:rightChars="20"/>
        <w:contextualSpacing/>
        <w:rPr>
          <w:rFonts w:ascii="宋体" w:hAnsi="宋体"/>
          <w:color w:val="auto"/>
          <w:szCs w:val="21"/>
          <w:highlight w:val="none"/>
        </w:rPr>
      </w:pP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shd w:val="clear" w:color="auto" w:fill="FFFFFF"/>
        </w:rPr>
        <w:t>投标人名称：（盖章）</w:t>
      </w:r>
      <w:r>
        <w:rPr>
          <w:rFonts w:hint="eastAsia" w:ascii="宋体" w:hAnsi="宋体"/>
          <w:color w:val="auto"/>
          <w:szCs w:val="21"/>
          <w:highlight w:val="none"/>
        </w:rPr>
        <w:t xml:space="preserve">    </w:t>
      </w:r>
    </w:p>
    <w:p>
      <w:pPr>
        <w:snapToGrid w:val="0"/>
        <w:spacing w:line="360" w:lineRule="auto"/>
        <w:ind w:firstLine="420" w:firstLineChars="200"/>
        <w:jc w:val="left"/>
        <w:rPr>
          <w:rFonts w:hint="eastAsia" w:ascii="宋体" w:hAnsi="宋体"/>
          <w:color w:val="auto"/>
          <w:szCs w:val="21"/>
          <w:highlight w:val="none"/>
          <w:shd w:val="clear" w:color="auto" w:fill="FFFFFF"/>
        </w:rPr>
      </w:pPr>
    </w:p>
    <w:p>
      <w:pPr>
        <w:snapToGri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shd w:val="clear" w:color="auto" w:fill="FFFFFF"/>
        </w:rPr>
        <w:t>投标日期： 年 月 日</w:t>
      </w:r>
    </w:p>
    <w:p>
      <w:pPr>
        <w:snapToGrid w:val="0"/>
        <w:spacing w:line="360" w:lineRule="auto"/>
        <w:ind w:firstLine="420" w:firstLineChars="200"/>
        <w:jc w:val="left"/>
        <w:rPr>
          <w:rFonts w:ascii="宋体" w:hAnsi="宋体"/>
          <w:color w:val="auto"/>
          <w:szCs w:val="21"/>
          <w:highlight w:val="none"/>
        </w:rPr>
        <w:sectPr>
          <w:headerReference r:id="rId5" w:type="default"/>
          <w:footerReference r:id="rId6" w:type="default"/>
          <w:pgSz w:w="11906" w:h="16838"/>
          <w:pgMar w:top="1474" w:right="1797" w:bottom="1247" w:left="1797" w:header="851" w:footer="851" w:gutter="0"/>
          <w:pgBorders>
            <w:top w:val="none" w:sz="0" w:space="0"/>
            <w:left w:val="none" w:sz="0" w:space="0"/>
            <w:bottom w:val="none" w:sz="0" w:space="0"/>
            <w:right w:val="none" w:sz="0" w:space="0"/>
          </w:pgBorders>
          <w:cols w:space="720" w:num="1"/>
          <w:docGrid w:linePitch="312" w:charSpace="0"/>
        </w:sectPr>
      </w:pP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投标人的类似成功案例的业绩证明文件：</w:t>
      </w:r>
    </w:p>
    <w:p>
      <w:pPr>
        <w:pStyle w:val="38"/>
        <w:snapToGrid w:val="0"/>
        <w:spacing w:line="360" w:lineRule="auto"/>
        <w:ind w:left="0" w:firstLine="420" w:firstLineChars="200"/>
        <w:jc w:val="left"/>
        <w:rPr>
          <w:rFonts w:ascii="宋体" w:hAnsi="宋体"/>
          <w:color w:val="auto"/>
          <w:szCs w:val="21"/>
          <w:highlight w:val="none"/>
        </w:rPr>
      </w:pPr>
      <w:r>
        <w:rPr>
          <w:rFonts w:ascii="宋体" w:hAnsi="宋体"/>
          <w:color w:val="auto"/>
          <w:szCs w:val="21"/>
          <w:highlight w:val="none"/>
        </w:rPr>
        <w:t>投标人同类项目实施情况一览表格式：（投标人同类项目合同复印件）</w:t>
      </w:r>
    </w:p>
    <w:tbl>
      <w:tblPr>
        <w:tblStyle w:val="49"/>
        <w:tblW w:w="1428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517"/>
        <w:gridCol w:w="31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71" w:hRule="atLeast"/>
        </w:trPr>
        <w:tc>
          <w:tcPr>
            <w:tcW w:w="26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采购单位名称</w:t>
            </w:r>
          </w:p>
        </w:tc>
        <w:tc>
          <w:tcPr>
            <w:tcW w:w="34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设备或项目名称</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采购</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金额</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（万元）</w:t>
            </w:r>
          </w:p>
        </w:tc>
        <w:tc>
          <w:tcPr>
            <w:tcW w:w="1517" w:type="dxa"/>
            <w:tcBorders>
              <w:top w:val="single" w:color="auto" w:sz="4" w:space="0"/>
              <w:left w:val="single" w:color="auto" w:sz="4" w:space="0"/>
              <w:right w:val="single" w:color="auto" w:sz="4" w:space="0"/>
            </w:tcBorders>
            <w:vAlign w:val="center"/>
          </w:tcPr>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附件页码</w:t>
            </w:r>
          </w:p>
          <w:p>
            <w:pPr>
              <w:snapToGrid w:val="0"/>
              <w:spacing w:line="360" w:lineRule="auto"/>
              <w:ind w:firstLine="420" w:firstLineChars="200"/>
              <w:jc w:val="left"/>
              <w:rPr>
                <w:rFonts w:ascii="宋体" w:hAnsi="宋体"/>
                <w:color w:val="auto"/>
                <w:szCs w:val="21"/>
                <w:highlight w:val="none"/>
              </w:rPr>
            </w:pP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采购单位联系人及</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51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3118"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51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3118"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51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3118"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51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3118"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517"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3118"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r>
    </w:tbl>
    <w:p>
      <w:pPr>
        <w:pStyle w:val="17"/>
        <w:snapToGrid w:val="0"/>
        <w:spacing w:before="0" w:after="0" w:line="360" w:lineRule="auto"/>
        <w:ind w:firstLine="420" w:firstLineChars="200"/>
        <w:jc w:val="left"/>
        <w:rPr>
          <w:rFonts w:ascii="宋体" w:hAnsi="宋体" w:eastAsia="宋体"/>
          <w:color w:val="auto"/>
          <w:sz w:val="21"/>
          <w:szCs w:val="21"/>
          <w:highlight w:val="none"/>
        </w:rPr>
      </w:pPr>
    </w:p>
    <w:p>
      <w:pPr>
        <w:pStyle w:val="83"/>
        <w:snapToGrid w:val="0"/>
        <w:spacing w:line="360" w:lineRule="auto"/>
        <w:ind w:right="42" w:rightChars="20"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法定代表人或其授权代表签字（或盖章）</w:t>
      </w:r>
      <w:r>
        <w:rPr>
          <w:rFonts w:asciiTheme="minorEastAsia" w:hAnsiTheme="minorEastAsia" w:eastAsiaTheme="minorEastAsia"/>
          <w:color w:val="auto"/>
          <w:sz w:val="21"/>
          <w:szCs w:val="21"/>
          <w:highlight w:val="none"/>
        </w:rPr>
        <w:t>：</w:t>
      </w:r>
    </w:p>
    <w:p>
      <w:pPr>
        <w:tabs>
          <w:tab w:val="left" w:pos="1418"/>
        </w:tabs>
        <w:spacing w:line="360" w:lineRule="auto"/>
        <w:ind w:right="42" w:rightChars="20"/>
        <w:contextualSpacing/>
        <w:rPr>
          <w:rFonts w:ascii="宋体" w:hAnsi="宋体"/>
          <w:color w:val="auto"/>
          <w:szCs w:val="21"/>
          <w:highlight w:val="none"/>
        </w:rPr>
      </w:pP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shd w:val="clear" w:color="auto" w:fill="FFFFFF"/>
        </w:rPr>
        <w:t>投标人名称：（盖章）</w:t>
      </w:r>
      <w:r>
        <w:rPr>
          <w:rFonts w:hint="eastAsia" w:ascii="宋体" w:hAnsi="宋体"/>
          <w:color w:val="auto"/>
          <w:szCs w:val="21"/>
          <w:highlight w:val="none"/>
        </w:rPr>
        <w:t xml:space="preserve">    </w:t>
      </w:r>
    </w:p>
    <w:p>
      <w:pPr>
        <w:snapToGrid w:val="0"/>
        <w:spacing w:line="360" w:lineRule="auto"/>
        <w:ind w:firstLine="420" w:firstLineChars="200"/>
        <w:jc w:val="left"/>
        <w:rPr>
          <w:rFonts w:ascii="宋体" w:hAnsi="宋体"/>
          <w:color w:val="auto"/>
          <w:szCs w:val="21"/>
          <w:highlight w:val="none"/>
        </w:rPr>
        <w:sectPr>
          <w:pgSz w:w="16838" w:h="11906" w:orient="landscape"/>
          <w:pgMar w:top="1797" w:right="1474" w:bottom="1797" w:left="1247" w:header="851" w:footer="851" w:gutter="0"/>
          <w:pgBorders>
            <w:top w:val="none" w:sz="0" w:space="0"/>
            <w:left w:val="none" w:sz="0" w:space="0"/>
            <w:bottom w:val="none" w:sz="0" w:space="0"/>
            <w:right w:val="none" w:sz="0" w:space="0"/>
          </w:pgBorders>
          <w:cols w:space="720" w:num="1"/>
          <w:docGrid w:linePitch="312" w:charSpace="0"/>
        </w:sectPr>
      </w:pP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商务响应表格式：</w:t>
      </w:r>
    </w:p>
    <w:tbl>
      <w:tblPr>
        <w:tblStyle w:val="49"/>
        <w:tblW w:w="856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76"/>
        <w:gridCol w:w="1891"/>
        <w:gridCol w:w="1653"/>
        <w:gridCol w:w="26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237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项目</w:t>
            </w:r>
          </w:p>
        </w:tc>
        <w:tc>
          <w:tcPr>
            <w:tcW w:w="1891"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招标文件要求</w:t>
            </w:r>
          </w:p>
        </w:tc>
        <w:tc>
          <w:tcPr>
            <w:tcW w:w="1653"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是否响应</w:t>
            </w:r>
          </w:p>
        </w:tc>
        <w:tc>
          <w:tcPr>
            <w:tcW w:w="264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37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60" w:lineRule="auto"/>
              <w:jc w:val="center"/>
              <w:textAlignment w:val="baseline"/>
              <w:rPr>
                <w:rFonts w:ascii="宋体" w:hAnsi="宋体"/>
                <w:color w:val="auto"/>
                <w:szCs w:val="21"/>
                <w:highlight w:val="none"/>
              </w:rPr>
            </w:pPr>
            <w:r>
              <w:rPr>
                <w:rFonts w:hint="eastAsia" w:ascii="宋体" w:hAnsi="宋体"/>
                <w:color w:val="auto"/>
                <w:szCs w:val="21"/>
                <w:highlight w:val="none"/>
              </w:rPr>
              <w:t>交货时间</w:t>
            </w:r>
          </w:p>
        </w:tc>
        <w:tc>
          <w:tcPr>
            <w:tcW w:w="1891"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653"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2645"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37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60" w:lineRule="auto"/>
              <w:jc w:val="center"/>
              <w:textAlignment w:val="baseline"/>
              <w:rPr>
                <w:rFonts w:ascii="宋体" w:hAnsi="宋体"/>
                <w:color w:val="auto"/>
                <w:szCs w:val="21"/>
                <w:highlight w:val="none"/>
              </w:rPr>
            </w:pPr>
            <w:r>
              <w:rPr>
                <w:rFonts w:hint="eastAsia" w:ascii="宋体" w:hAnsi="宋体"/>
                <w:color w:val="auto"/>
                <w:szCs w:val="21"/>
                <w:highlight w:val="none"/>
              </w:rPr>
              <w:t>付款条件</w:t>
            </w:r>
          </w:p>
        </w:tc>
        <w:tc>
          <w:tcPr>
            <w:tcW w:w="1891"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653"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2645"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37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60" w:lineRule="auto"/>
              <w:jc w:val="center"/>
              <w:textAlignment w:val="baseline"/>
              <w:rPr>
                <w:rFonts w:ascii="宋体" w:hAnsi="宋体"/>
                <w:color w:val="auto"/>
                <w:szCs w:val="21"/>
                <w:highlight w:val="none"/>
              </w:rPr>
            </w:pPr>
            <w:r>
              <w:rPr>
                <w:rFonts w:hint="eastAsia" w:ascii="宋体" w:hAnsi="宋体"/>
                <w:color w:val="auto"/>
                <w:szCs w:val="21"/>
                <w:highlight w:val="none"/>
              </w:rPr>
              <w:t>报价要求</w:t>
            </w:r>
          </w:p>
        </w:tc>
        <w:tc>
          <w:tcPr>
            <w:tcW w:w="1891"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653"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2645"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3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质保期</w:t>
            </w:r>
          </w:p>
        </w:tc>
        <w:tc>
          <w:tcPr>
            <w:tcW w:w="1891"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1653"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c>
          <w:tcPr>
            <w:tcW w:w="2645"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left"/>
              <w:rPr>
                <w:rFonts w:ascii="宋体" w:hAnsi="宋体"/>
                <w:color w:val="auto"/>
                <w:szCs w:val="21"/>
                <w:highlight w:val="none"/>
              </w:rPr>
            </w:pPr>
          </w:p>
        </w:tc>
      </w:tr>
    </w:tbl>
    <w:p>
      <w:pPr>
        <w:pStyle w:val="26"/>
        <w:spacing w:line="360" w:lineRule="auto"/>
        <w:ind w:firstLine="420" w:firstLineChars="200"/>
        <w:jc w:val="left"/>
        <w:rPr>
          <w:rFonts w:hAnsi="宋体"/>
          <w:color w:val="auto"/>
          <w:szCs w:val="21"/>
          <w:highlight w:val="none"/>
        </w:rPr>
      </w:pPr>
    </w:p>
    <w:p>
      <w:pPr>
        <w:pStyle w:val="26"/>
        <w:spacing w:line="360" w:lineRule="auto"/>
        <w:ind w:firstLine="420" w:firstLineChars="200"/>
        <w:jc w:val="left"/>
        <w:rPr>
          <w:rFonts w:hAnsi="宋体"/>
          <w:color w:val="auto"/>
          <w:szCs w:val="21"/>
          <w:highlight w:val="none"/>
        </w:rPr>
      </w:pPr>
      <w:r>
        <w:rPr>
          <w:rFonts w:hint="eastAsia" w:hAnsi="宋体"/>
          <w:color w:val="auto"/>
          <w:szCs w:val="21"/>
          <w:highlight w:val="none"/>
        </w:rPr>
        <w:t>注：本表不允许负偏离；</w:t>
      </w:r>
    </w:p>
    <w:p>
      <w:pPr>
        <w:pStyle w:val="26"/>
        <w:spacing w:line="360" w:lineRule="auto"/>
        <w:ind w:firstLine="420" w:firstLineChars="200"/>
        <w:jc w:val="left"/>
        <w:rPr>
          <w:rFonts w:hAnsi="宋体"/>
          <w:color w:val="auto"/>
          <w:szCs w:val="21"/>
          <w:highlight w:val="none"/>
        </w:rPr>
      </w:pPr>
      <w:r>
        <w:rPr>
          <w:rFonts w:hint="eastAsia" w:hAnsi="宋体"/>
          <w:color w:val="auto"/>
          <w:szCs w:val="21"/>
          <w:highlight w:val="none"/>
        </w:rPr>
        <w:t>▲不提供本表视为完全响应招标文件要求。</w:t>
      </w:r>
    </w:p>
    <w:p>
      <w:pPr>
        <w:pStyle w:val="26"/>
        <w:spacing w:line="360" w:lineRule="auto"/>
        <w:ind w:firstLine="420" w:firstLineChars="200"/>
        <w:jc w:val="left"/>
        <w:rPr>
          <w:rFonts w:hAnsi="宋体"/>
          <w:color w:val="auto"/>
          <w:szCs w:val="21"/>
          <w:highlight w:val="none"/>
        </w:rPr>
      </w:pPr>
      <w:r>
        <w:rPr>
          <w:rFonts w:hint="eastAsia" w:hAnsi="宋体"/>
          <w:color w:val="auto"/>
          <w:szCs w:val="21"/>
          <w:highlight w:val="none"/>
        </w:rPr>
        <w:t xml:space="preserve">法定代表人或其委托代理人签名（或盖章）：                </w:t>
      </w:r>
    </w:p>
    <w:p>
      <w:pPr>
        <w:pStyle w:val="26"/>
        <w:spacing w:line="360" w:lineRule="auto"/>
        <w:ind w:firstLine="420" w:firstLineChars="200"/>
        <w:jc w:val="left"/>
        <w:rPr>
          <w:rFonts w:hAnsi="宋体"/>
          <w:color w:val="auto"/>
          <w:szCs w:val="21"/>
          <w:highlight w:val="none"/>
        </w:rPr>
      </w:pPr>
      <w:r>
        <w:rPr>
          <w:rFonts w:hint="eastAsia" w:hAnsi="宋体"/>
          <w:color w:val="auto"/>
          <w:szCs w:val="21"/>
          <w:highlight w:val="none"/>
        </w:rPr>
        <w:t>投标人：（单位公章）</w:t>
      </w:r>
    </w:p>
    <w:p>
      <w:pPr>
        <w:pStyle w:val="26"/>
        <w:spacing w:line="360" w:lineRule="auto"/>
        <w:ind w:firstLine="420" w:firstLineChars="200"/>
        <w:jc w:val="left"/>
        <w:rPr>
          <w:rFonts w:hAnsi="宋体"/>
          <w:color w:val="auto"/>
          <w:szCs w:val="21"/>
          <w:highlight w:val="none"/>
        </w:rPr>
      </w:pPr>
      <w:r>
        <w:rPr>
          <w:rFonts w:hint="eastAsia" w:hAnsi="宋体"/>
          <w:color w:val="auto"/>
          <w:szCs w:val="21"/>
          <w:highlight w:val="none"/>
        </w:rPr>
        <w:t>日期：年月  日</w:t>
      </w:r>
    </w:p>
    <w:p>
      <w:pPr>
        <w:snapToGrid w:val="0"/>
        <w:spacing w:line="360" w:lineRule="auto"/>
        <w:ind w:firstLine="422" w:firstLineChars="200"/>
        <w:jc w:val="left"/>
        <w:rPr>
          <w:rFonts w:ascii="宋体" w:hAnsi="宋体"/>
          <w:b/>
          <w:bCs/>
          <w:color w:val="auto"/>
          <w:szCs w:val="21"/>
          <w:highlight w:val="none"/>
        </w:rPr>
      </w:pPr>
    </w:p>
    <w:p>
      <w:pPr>
        <w:pStyle w:val="59"/>
        <w:rPr>
          <w:color w:val="auto"/>
          <w:highlight w:val="none"/>
        </w:rPr>
      </w:pPr>
    </w:p>
    <w:p>
      <w:pPr>
        <w:snapToGrid w:val="0"/>
        <w:spacing w:before="50" w:afterLines="50" w:line="360" w:lineRule="auto"/>
        <w:jc w:val="left"/>
        <w:rPr>
          <w:rFonts w:ascii="宋体" w:hAnsi="宋体"/>
          <w:color w:val="auto"/>
          <w:szCs w:val="21"/>
          <w:highlight w:val="none"/>
        </w:rPr>
      </w:pPr>
      <w:r>
        <w:rPr>
          <w:rFonts w:hint="eastAsia" w:ascii="宋体" w:hAnsi="宋体"/>
          <w:color w:val="auto"/>
          <w:szCs w:val="21"/>
          <w:highlight w:val="none"/>
        </w:rPr>
        <w:t>技术响应表格式</w:t>
      </w:r>
    </w:p>
    <w:tbl>
      <w:tblPr>
        <w:tblStyle w:val="49"/>
        <w:tblW w:w="89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7"/>
        <w:gridCol w:w="2475"/>
        <w:gridCol w:w="1583"/>
        <w:gridCol w:w="1849"/>
        <w:gridCol w:w="14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6" w:hRule="atLeast"/>
          <w:jc w:val="center"/>
        </w:trPr>
        <w:tc>
          <w:tcPr>
            <w:tcW w:w="4052" w:type="dxa"/>
            <w:gridSpan w:val="2"/>
            <w:tcBorders>
              <w:top w:val="single" w:color="auto" w:sz="4" w:space="0"/>
              <w:left w:val="single" w:color="auto" w:sz="4" w:space="0"/>
              <w:bottom w:val="single" w:color="auto" w:sz="4" w:space="0"/>
              <w:right w:val="single" w:color="auto" w:sz="4" w:space="0"/>
            </w:tcBorders>
          </w:tcPr>
          <w:p>
            <w:pPr>
              <w:snapToGrid w:val="0"/>
              <w:spacing w:line="360" w:lineRule="auto"/>
              <w:jc w:val="center"/>
              <w:outlineLvl w:val="0"/>
              <w:rPr>
                <w:rFonts w:ascii="宋体" w:hAnsi="宋体"/>
                <w:color w:val="auto"/>
                <w:szCs w:val="21"/>
                <w:highlight w:val="none"/>
              </w:rPr>
            </w:pPr>
            <w:bookmarkStart w:id="279" w:name="_Toc402963128"/>
            <w:bookmarkStart w:id="280" w:name="_Toc382928236"/>
            <w:bookmarkStart w:id="281" w:name="_Toc377653976"/>
            <w:bookmarkStart w:id="282" w:name="_Toc377028119"/>
            <w:bookmarkStart w:id="283" w:name="_Toc381081903"/>
            <w:bookmarkStart w:id="284" w:name="_Toc401570290"/>
            <w:bookmarkStart w:id="285" w:name="_Toc406402957"/>
            <w:bookmarkStart w:id="286" w:name="_Toc62745298"/>
            <w:bookmarkStart w:id="287" w:name="_Toc385854156"/>
            <w:bookmarkStart w:id="288" w:name="_Toc385854110"/>
            <w:bookmarkStart w:id="289" w:name="_Toc377028057"/>
            <w:bookmarkStart w:id="290" w:name="_Toc402963095"/>
            <w:bookmarkStart w:id="291" w:name="_Toc401570314"/>
            <w:bookmarkStart w:id="292" w:name="_Toc382928118"/>
            <w:bookmarkStart w:id="293" w:name="_Toc406403001"/>
            <w:r>
              <w:rPr>
                <w:rFonts w:hint="eastAsia" w:ascii="宋体" w:hAnsi="宋体"/>
                <w:color w:val="auto"/>
                <w:szCs w:val="21"/>
                <w:highlight w:val="none"/>
              </w:rPr>
              <w:t>招标文件要求</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tc>
        <w:tc>
          <w:tcPr>
            <w:tcW w:w="3432" w:type="dxa"/>
            <w:gridSpan w:val="2"/>
            <w:tcBorders>
              <w:top w:val="single" w:color="auto" w:sz="4" w:space="0"/>
              <w:left w:val="single" w:color="auto" w:sz="4" w:space="0"/>
              <w:bottom w:val="single" w:color="auto" w:sz="4" w:space="0"/>
              <w:right w:val="single" w:color="auto" w:sz="4" w:space="0"/>
            </w:tcBorders>
          </w:tcPr>
          <w:p>
            <w:pPr>
              <w:snapToGrid w:val="0"/>
              <w:spacing w:line="360" w:lineRule="auto"/>
              <w:jc w:val="center"/>
              <w:outlineLvl w:val="0"/>
              <w:rPr>
                <w:rFonts w:ascii="宋体" w:hAnsi="宋体"/>
                <w:color w:val="auto"/>
                <w:szCs w:val="21"/>
                <w:highlight w:val="none"/>
              </w:rPr>
            </w:pPr>
            <w:bookmarkStart w:id="294" w:name="_Toc406402958"/>
            <w:bookmarkStart w:id="295" w:name="_Toc382928119"/>
            <w:bookmarkStart w:id="296" w:name="_Toc385854111"/>
            <w:bookmarkStart w:id="297" w:name="_Toc382928237"/>
            <w:bookmarkStart w:id="298" w:name="_Toc62745299"/>
            <w:bookmarkStart w:id="299" w:name="_Toc377653977"/>
            <w:bookmarkStart w:id="300" w:name="_Toc402963129"/>
            <w:bookmarkStart w:id="301" w:name="_Toc406403002"/>
            <w:bookmarkStart w:id="302" w:name="_Toc385854157"/>
            <w:bookmarkStart w:id="303" w:name="_Toc402963096"/>
            <w:bookmarkStart w:id="304" w:name="_Toc401570315"/>
            <w:bookmarkStart w:id="305" w:name="_Toc401570291"/>
            <w:bookmarkStart w:id="306" w:name="_Toc377028058"/>
            <w:bookmarkStart w:id="307" w:name="_Toc377028120"/>
            <w:bookmarkStart w:id="308" w:name="_Toc381081904"/>
            <w:r>
              <w:rPr>
                <w:rFonts w:hint="eastAsia" w:ascii="宋体" w:hAnsi="宋体"/>
                <w:color w:val="auto"/>
                <w:szCs w:val="21"/>
                <w:highlight w:val="none"/>
              </w:rPr>
              <w:t>投标文件响应</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tc>
        <w:tc>
          <w:tcPr>
            <w:tcW w:w="145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outlineLvl w:val="0"/>
              <w:rPr>
                <w:rFonts w:ascii="宋体" w:hAnsi="宋体"/>
                <w:color w:val="auto"/>
                <w:szCs w:val="21"/>
                <w:highlight w:val="none"/>
              </w:rPr>
            </w:pPr>
            <w:bookmarkStart w:id="309" w:name="_Toc382928238"/>
            <w:bookmarkStart w:id="310" w:name="_Toc385854158"/>
            <w:bookmarkStart w:id="311" w:name="_Toc406403003"/>
            <w:bookmarkStart w:id="312" w:name="_Toc401570292"/>
            <w:bookmarkStart w:id="313" w:name="_Toc382928120"/>
            <w:bookmarkStart w:id="314" w:name="_Toc381081905"/>
            <w:bookmarkStart w:id="315" w:name="_Toc62745300"/>
            <w:bookmarkStart w:id="316" w:name="_Toc401570316"/>
            <w:bookmarkStart w:id="317" w:name="_Toc402963097"/>
            <w:bookmarkStart w:id="318" w:name="_Toc377028121"/>
            <w:bookmarkStart w:id="319" w:name="_Toc402963130"/>
            <w:bookmarkStart w:id="320" w:name="_Toc377653978"/>
            <w:bookmarkStart w:id="321" w:name="_Toc385854112"/>
            <w:bookmarkStart w:id="322" w:name="_Toc377028059"/>
            <w:bookmarkStart w:id="323" w:name="_Toc406402959"/>
            <w:r>
              <w:rPr>
                <w:rFonts w:hint="eastAsia" w:ascii="宋体" w:hAnsi="宋体"/>
                <w:color w:val="auto"/>
                <w:szCs w:val="21"/>
                <w:highlight w:val="none"/>
              </w:rPr>
              <w:t>偏离情况</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1577" w:type="dxa"/>
            <w:tcBorders>
              <w:top w:val="single" w:color="auto" w:sz="4" w:space="0"/>
              <w:left w:val="single" w:color="auto" w:sz="4" w:space="0"/>
              <w:bottom w:val="single" w:color="auto" w:sz="4" w:space="0"/>
              <w:right w:val="single" w:color="auto" w:sz="4" w:space="0"/>
            </w:tcBorders>
          </w:tcPr>
          <w:p>
            <w:pPr>
              <w:snapToGrid w:val="0"/>
              <w:spacing w:line="360" w:lineRule="auto"/>
              <w:jc w:val="center"/>
              <w:outlineLvl w:val="0"/>
              <w:rPr>
                <w:rFonts w:ascii="宋体" w:hAnsi="宋体"/>
                <w:color w:val="auto"/>
                <w:szCs w:val="21"/>
                <w:highlight w:val="none"/>
              </w:rPr>
            </w:pPr>
            <w:bookmarkStart w:id="324" w:name="_Toc385854159"/>
            <w:bookmarkStart w:id="325" w:name="_Toc406402960"/>
            <w:bookmarkStart w:id="326" w:name="_Toc406403004"/>
            <w:bookmarkStart w:id="327" w:name="_Toc381081906"/>
            <w:bookmarkStart w:id="328" w:name="_Toc382928239"/>
            <w:bookmarkStart w:id="329" w:name="_Toc62745301"/>
            <w:bookmarkStart w:id="330" w:name="_Toc377028122"/>
            <w:bookmarkStart w:id="331" w:name="_Toc401570317"/>
            <w:bookmarkStart w:id="332" w:name="_Toc377028060"/>
            <w:bookmarkStart w:id="333" w:name="_Toc377653979"/>
            <w:bookmarkStart w:id="334" w:name="_Toc382928121"/>
            <w:bookmarkStart w:id="335" w:name="_Toc385854113"/>
            <w:bookmarkStart w:id="336" w:name="_Toc402963131"/>
            <w:bookmarkStart w:id="337" w:name="_Toc402963098"/>
            <w:bookmarkStart w:id="338" w:name="_Toc401570293"/>
            <w:r>
              <w:rPr>
                <w:rFonts w:hint="eastAsia" w:ascii="宋体" w:hAnsi="宋体"/>
                <w:color w:val="auto"/>
                <w:szCs w:val="21"/>
                <w:highlight w:val="none"/>
              </w:rPr>
              <w:t>项目</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tc>
        <w:tc>
          <w:tcPr>
            <w:tcW w:w="2475" w:type="dxa"/>
            <w:tcBorders>
              <w:top w:val="single" w:color="auto" w:sz="4" w:space="0"/>
              <w:left w:val="single" w:color="auto" w:sz="4" w:space="0"/>
              <w:bottom w:val="single" w:color="auto" w:sz="4" w:space="0"/>
              <w:right w:val="single" w:color="auto" w:sz="4" w:space="0"/>
            </w:tcBorders>
          </w:tcPr>
          <w:p>
            <w:pPr>
              <w:snapToGrid w:val="0"/>
              <w:spacing w:line="360" w:lineRule="auto"/>
              <w:jc w:val="center"/>
              <w:outlineLvl w:val="0"/>
              <w:rPr>
                <w:rFonts w:ascii="宋体" w:hAnsi="宋体"/>
                <w:color w:val="auto"/>
                <w:szCs w:val="21"/>
                <w:highlight w:val="none"/>
              </w:rPr>
            </w:pPr>
            <w:bookmarkStart w:id="339" w:name="_Toc382928122"/>
            <w:bookmarkStart w:id="340" w:name="_Toc377028061"/>
            <w:bookmarkStart w:id="341" w:name="_Toc401570318"/>
            <w:bookmarkStart w:id="342" w:name="_Toc377653980"/>
            <w:bookmarkStart w:id="343" w:name="_Toc402963099"/>
            <w:bookmarkStart w:id="344" w:name="_Toc381081907"/>
            <w:bookmarkStart w:id="345" w:name="_Toc406402961"/>
            <w:bookmarkStart w:id="346" w:name="_Toc402963132"/>
            <w:bookmarkStart w:id="347" w:name="_Toc401570294"/>
            <w:bookmarkStart w:id="348" w:name="_Toc385854160"/>
            <w:bookmarkStart w:id="349" w:name="_Toc406403005"/>
            <w:bookmarkStart w:id="350" w:name="_Toc382928240"/>
            <w:bookmarkStart w:id="351" w:name="_Toc62745302"/>
            <w:bookmarkStart w:id="352" w:name="_Toc385854114"/>
            <w:bookmarkStart w:id="353" w:name="_Toc377028123"/>
            <w:r>
              <w:rPr>
                <w:rFonts w:hint="eastAsia" w:ascii="宋体" w:hAnsi="宋体"/>
                <w:color w:val="auto"/>
                <w:szCs w:val="21"/>
                <w:highlight w:val="none"/>
              </w:rPr>
              <w:t>要求</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tc>
        <w:tc>
          <w:tcPr>
            <w:tcW w:w="1583" w:type="dxa"/>
            <w:tcBorders>
              <w:top w:val="single" w:color="auto" w:sz="4" w:space="0"/>
              <w:left w:val="single" w:color="auto" w:sz="4" w:space="0"/>
              <w:bottom w:val="single" w:color="auto" w:sz="4" w:space="0"/>
              <w:right w:val="single" w:color="auto" w:sz="4" w:space="0"/>
            </w:tcBorders>
          </w:tcPr>
          <w:p>
            <w:pPr>
              <w:snapToGrid w:val="0"/>
              <w:spacing w:line="360" w:lineRule="auto"/>
              <w:jc w:val="center"/>
              <w:outlineLvl w:val="0"/>
              <w:rPr>
                <w:rFonts w:ascii="宋体" w:hAnsi="宋体"/>
                <w:color w:val="auto"/>
                <w:szCs w:val="21"/>
                <w:highlight w:val="none"/>
              </w:rPr>
            </w:pPr>
            <w:bookmarkStart w:id="354" w:name="_Toc402963100"/>
            <w:bookmarkStart w:id="355" w:name="_Toc377028062"/>
            <w:bookmarkStart w:id="356" w:name="_Toc406403006"/>
            <w:bookmarkStart w:id="357" w:name="_Toc382928123"/>
            <w:bookmarkStart w:id="358" w:name="_Toc377653981"/>
            <w:bookmarkStart w:id="359" w:name="_Toc381081908"/>
            <w:bookmarkStart w:id="360" w:name="_Toc382928241"/>
            <w:bookmarkStart w:id="361" w:name="_Toc401570319"/>
            <w:bookmarkStart w:id="362" w:name="_Toc401570295"/>
            <w:bookmarkStart w:id="363" w:name="_Toc385854161"/>
            <w:bookmarkStart w:id="364" w:name="_Toc402963133"/>
            <w:bookmarkStart w:id="365" w:name="_Toc62745303"/>
            <w:bookmarkStart w:id="366" w:name="_Toc406402962"/>
            <w:bookmarkStart w:id="367" w:name="_Toc377028124"/>
            <w:bookmarkStart w:id="368" w:name="_Toc385854115"/>
            <w:r>
              <w:rPr>
                <w:rFonts w:hint="eastAsia" w:ascii="宋体" w:hAnsi="宋体"/>
                <w:color w:val="auto"/>
                <w:szCs w:val="21"/>
                <w:highlight w:val="none"/>
              </w:rPr>
              <w:t>设备名称</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tc>
        <w:tc>
          <w:tcPr>
            <w:tcW w:w="1849" w:type="dxa"/>
            <w:tcBorders>
              <w:top w:val="single" w:color="auto" w:sz="4" w:space="0"/>
              <w:left w:val="single" w:color="auto" w:sz="4" w:space="0"/>
              <w:bottom w:val="single" w:color="auto" w:sz="4" w:space="0"/>
              <w:right w:val="single" w:color="auto" w:sz="4" w:space="0"/>
            </w:tcBorders>
          </w:tcPr>
          <w:p>
            <w:pPr>
              <w:snapToGrid w:val="0"/>
              <w:spacing w:line="360" w:lineRule="auto"/>
              <w:jc w:val="center"/>
              <w:outlineLvl w:val="0"/>
              <w:rPr>
                <w:rFonts w:ascii="宋体" w:hAnsi="宋体"/>
                <w:color w:val="auto"/>
                <w:szCs w:val="21"/>
                <w:highlight w:val="none"/>
              </w:rPr>
            </w:pPr>
            <w:bookmarkStart w:id="369" w:name="_Toc401570320"/>
            <w:bookmarkStart w:id="370" w:name="_Toc406402963"/>
            <w:bookmarkStart w:id="371" w:name="_Toc385854162"/>
            <w:bookmarkStart w:id="372" w:name="_Toc406403007"/>
            <w:bookmarkStart w:id="373" w:name="_Toc382928124"/>
            <w:bookmarkStart w:id="374" w:name="_Toc377028125"/>
            <w:bookmarkStart w:id="375" w:name="_Toc381081909"/>
            <w:bookmarkStart w:id="376" w:name="_Toc377028063"/>
            <w:bookmarkStart w:id="377" w:name="_Toc401570296"/>
            <w:bookmarkStart w:id="378" w:name="_Toc402963134"/>
            <w:bookmarkStart w:id="379" w:name="_Toc402963101"/>
            <w:bookmarkStart w:id="380" w:name="_Toc382928242"/>
            <w:bookmarkStart w:id="381" w:name="_Toc385854116"/>
            <w:bookmarkStart w:id="382" w:name="_Toc62745304"/>
            <w:bookmarkStart w:id="383" w:name="_Toc377653982"/>
            <w:r>
              <w:rPr>
                <w:rFonts w:hint="eastAsia" w:ascii="宋体" w:hAnsi="宋体"/>
                <w:color w:val="auto"/>
                <w:szCs w:val="21"/>
                <w:highlight w:val="none"/>
              </w:rPr>
              <w:t>性能及指标</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Fonts w:hint="eastAsia" w:ascii="宋体" w:hAnsi="宋体"/>
                <w:color w:val="auto"/>
                <w:szCs w:val="21"/>
                <w:highlight w:val="none"/>
              </w:rPr>
              <w:t>（具体指标附表后）</w:t>
            </w:r>
          </w:p>
        </w:tc>
        <w:tc>
          <w:tcPr>
            <w:tcW w:w="14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jc w:val="center"/>
        </w:trPr>
        <w:tc>
          <w:tcPr>
            <w:tcW w:w="157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360" w:lineRule="auto"/>
              <w:outlineLvl w:val="0"/>
              <w:rPr>
                <w:rFonts w:ascii="宋体" w:hAnsi="宋体"/>
                <w:color w:val="auto"/>
                <w:szCs w:val="21"/>
                <w:highlight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outlineLvl w:val="0"/>
              <w:rPr>
                <w:rFonts w:ascii="宋体" w:hAnsi="宋体"/>
                <w:color w:val="auto"/>
                <w:szCs w:val="21"/>
                <w:highlight w:val="none"/>
              </w:rPr>
            </w:pPr>
          </w:p>
        </w:tc>
        <w:tc>
          <w:tcPr>
            <w:tcW w:w="1583" w:type="dxa"/>
            <w:tcBorders>
              <w:top w:val="single" w:color="auto" w:sz="4" w:space="0"/>
              <w:left w:val="single" w:color="auto" w:sz="4" w:space="0"/>
              <w:bottom w:val="single" w:color="auto" w:sz="4" w:space="0"/>
              <w:right w:val="single" w:color="auto" w:sz="4" w:space="0"/>
            </w:tcBorders>
          </w:tcPr>
          <w:p>
            <w:pPr>
              <w:snapToGrid w:val="0"/>
              <w:spacing w:line="360" w:lineRule="auto"/>
              <w:outlineLvl w:val="0"/>
              <w:rPr>
                <w:rFonts w:ascii="宋体" w:hAnsi="宋体"/>
                <w:color w:val="auto"/>
                <w:szCs w:val="21"/>
                <w:highlight w:val="none"/>
              </w:rPr>
            </w:pPr>
          </w:p>
        </w:tc>
        <w:tc>
          <w:tcPr>
            <w:tcW w:w="1849" w:type="dxa"/>
            <w:tcBorders>
              <w:top w:val="single" w:color="auto" w:sz="4" w:space="0"/>
              <w:left w:val="single" w:color="auto" w:sz="4" w:space="0"/>
              <w:bottom w:val="single" w:color="auto" w:sz="4" w:space="0"/>
              <w:right w:val="single" w:color="auto" w:sz="4" w:space="0"/>
            </w:tcBorders>
          </w:tcPr>
          <w:p>
            <w:pPr>
              <w:snapToGrid w:val="0"/>
              <w:spacing w:line="360" w:lineRule="auto"/>
              <w:outlineLvl w:val="0"/>
              <w:rPr>
                <w:rFonts w:ascii="宋体" w:hAnsi="宋体"/>
                <w:color w:val="auto"/>
                <w:szCs w:val="21"/>
                <w:highlight w:val="none"/>
              </w:rPr>
            </w:pPr>
          </w:p>
        </w:tc>
        <w:tc>
          <w:tcPr>
            <w:tcW w:w="1456" w:type="dxa"/>
            <w:tcBorders>
              <w:top w:val="single" w:color="auto" w:sz="4" w:space="0"/>
              <w:left w:val="single" w:color="auto" w:sz="4" w:space="0"/>
              <w:bottom w:val="single" w:color="auto" w:sz="4" w:space="0"/>
              <w:right w:val="single" w:color="auto" w:sz="4" w:space="0"/>
            </w:tcBorders>
          </w:tcPr>
          <w:p>
            <w:pPr>
              <w:snapToGrid w:val="0"/>
              <w:spacing w:line="360" w:lineRule="auto"/>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jc w:val="center"/>
        </w:trPr>
        <w:tc>
          <w:tcPr>
            <w:tcW w:w="15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olor w:val="auto"/>
                <w:szCs w:val="21"/>
                <w:highlight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outlineLvl w:val="0"/>
              <w:rPr>
                <w:rFonts w:ascii="宋体" w:hAnsi="宋体"/>
                <w:color w:val="auto"/>
                <w:szCs w:val="21"/>
                <w:highlight w:val="none"/>
              </w:rPr>
            </w:pPr>
          </w:p>
        </w:tc>
        <w:tc>
          <w:tcPr>
            <w:tcW w:w="1583" w:type="dxa"/>
            <w:tcBorders>
              <w:top w:val="single" w:color="auto" w:sz="4" w:space="0"/>
              <w:left w:val="single" w:color="auto" w:sz="4" w:space="0"/>
              <w:bottom w:val="single" w:color="auto" w:sz="4" w:space="0"/>
              <w:right w:val="single" w:color="auto" w:sz="4" w:space="0"/>
            </w:tcBorders>
          </w:tcPr>
          <w:p>
            <w:pPr>
              <w:snapToGrid w:val="0"/>
              <w:spacing w:line="360" w:lineRule="auto"/>
              <w:outlineLvl w:val="0"/>
              <w:rPr>
                <w:rFonts w:ascii="宋体" w:hAnsi="宋体"/>
                <w:color w:val="auto"/>
                <w:szCs w:val="21"/>
                <w:highlight w:val="none"/>
              </w:rPr>
            </w:pPr>
          </w:p>
        </w:tc>
        <w:tc>
          <w:tcPr>
            <w:tcW w:w="1849" w:type="dxa"/>
            <w:tcBorders>
              <w:top w:val="single" w:color="auto" w:sz="4" w:space="0"/>
              <w:left w:val="single" w:color="auto" w:sz="4" w:space="0"/>
              <w:bottom w:val="single" w:color="auto" w:sz="4" w:space="0"/>
              <w:right w:val="single" w:color="auto" w:sz="4" w:space="0"/>
            </w:tcBorders>
          </w:tcPr>
          <w:p>
            <w:pPr>
              <w:snapToGrid w:val="0"/>
              <w:spacing w:line="360" w:lineRule="auto"/>
              <w:outlineLvl w:val="0"/>
              <w:rPr>
                <w:rFonts w:ascii="宋体" w:hAnsi="宋体"/>
                <w:color w:val="auto"/>
                <w:szCs w:val="21"/>
                <w:highlight w:val="none"/>
              </w:rPr>
            </w:pPr>
          </w:p>
        </w:tc>
        <w:tc>
          <w:tcPr>
            <w:tcW w:w="1456" w:type="dxa"/>
            <w:tcBorders>
              <w:top w:val="single" w:color="auto" w:sz="4" w:space="0"/>
              <w:left w:val="single" w:color="auto" w:sz="4" w:space="0"/>
              <w:bottom w:val="single" w:color="auto" w:sz="4" w:space="0"/>
              <w:right w:val="single" w:color="auto" w:sz="4" w:space="0"/>
            </w:tcBorders>
          </w:tcPr>
          <w:p>
            <w:pPr>
              <w:snapToGrid w:val="0"/>
              <w:spacing w:line="360" w:lineRule="auto"/>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jc w:val="center"/>
        </w:trPr>
        <w:tc>
          <w:tcPr>
            <w:tcW w:w="157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360" w:lineRule="auto"/>
              <w:outlineLvl w:val="0"/>
              <w:rPr>
                <w:rFonts w:ascii="宋体" w:hAnsi="宋体"/>
                <w:color w:val="auto"/>
                <w:szCs w:val="21"/>
                <w:highlight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outlineLvl w:val="0"/>
              <w:rPr>
                <w:rFonts w:ascii="宋体" w:hAnsi="宋体"/>
                <w:color w:val="auto"/>
                <w:szCs w:val="21"/>
                <w:highlight w:val="none"/>
              </w:rPr>
            </w:pPr>
          </w:p>
        </w:tc>
        <w:tc>
          <w:tcPr>
            <w:tcW w:w="1583" w:type="dxa"/>
            <w:tcBorders>
              <w:top w:val="single" w:color="auto" w:sz="4" w:space="0"/>
              <w:left w:val="single" w:color="auto" w:sz="4" w:space="0"/>
              <w:bottom w:val="single" w:color="auto" w:sz="4" w:space="0"/>
              <w:right w:val="single" w:color="auto" w:sz="4" w:space="0"/>
            </w:tcBorders>
          </w:tcPr>
          <w:p>
            <w:pPr>
              <w:snapToGrid w:val="0"/>
              <w:spacing w:line="360" w:lineRule="auto"/>
              <w:outlineLvl w:val="0"/>
              <w:rPr>
                <w:rFonts w:ascii="宋体" w:hAnsi="宋体"/>
                <w:color w:val="auto"/>
                <w:szCs w:val="21"/>
                <w:highlight w:val="none"/>
              </w:rPr>
            </w:pPr>
          </w:p>
        </w:tc>
        <w:tc>
          <w:tcPr>
            <w:tcW w:w="1849" w:type="dxa"/>
            <w:tcBorders>
              <w:top w:val="single" w:color="auto" w:sz="4" w:space="0"/>
              <w:left w:val="single" w:color="auto" w:sz="4" w:space="0"/>
              <w:bottom w:val="single" w:color="auto" w:sz="4" w:space="0"/>
              <w:right w:val="single" w:color="auto" w:sz="4" w:space="0"/>
            </w:tcBorders>
          </w:tcPr>
          <w:p>
            <w:pPr>
              <w:snapToGrid w:val="0"/>
              <w:spacing w:line="360" w:lineRule="auto"/>
              <w:outlineLvl w:val="0"/>
              <w:rPr>
                <w:rFonts w:ascii="宋体" w:hAnsi="宋体"/>
                <w:color w:val="auto"/>
                <w:szCs w:val="21"/>
                <w:highlight w:val="none"/>
              </w:rPr>
            </w:pPr>
          </w:p>
        </w:tc>
        <w:tc>
          <w:tcPr>
            <w:tcW w:w="1456" w:type="dxa"/>
            <w:tcBorders>
              <w:top w:val="single" w:color="auto" w:sz="4" w:space="0"/>
              <w:left w:val="single" w:color="auto" w:sz="4" w:space="0"/>
              <w:bottom w:val="single" w:color="auto" w:sz="4" w:space="0"/>
              <w:right w:val="single" w:color="auto" w:sz="4" w:space="0"/>
            </w:tcBorders>
          </w:tcPr>
          <w:p>
            <w:pPr>
              <w:snapToGrid w:val="0"/>
              <w:spacing w:line="360" w:lineRule="auto"/>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jc w:val="center"/>
        </w:trPr>
        <w:tc>
          <w:tcPr>
            <w:tcW w:w="157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360" w:lineRule="auto"/>
              <w:outlineLvl w:val="0"/>
              <w:rPr>
                <w:rFonts w:ascii="宋体" w:hAnsi="宋体"/>
                <w:color w:val="auto"/>
                <w:szCs w:val="21"/>
                <w:highlight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outlineLvl w:val="0"/>
              <w:rPr>
                <w:rFonts w:ascii="宋体" w:hAnsi="宋体"/>
                <w:color w:val="auto"/>
                <w:szCs w:val="21"/>
                <w:highlight w:val="none"/>
              </w:rPr>
            </w:pPr>
          </w:p>
        </w:tc>
        <w:tc>
          <w:tcPr>
            <w:tcW w:w="1583" w:type="dxa"/>
            <w:tcBorders>
              <w:top w:val="single" w:color="auto" w:sz="4" w:space="0"/>
              <w:left w:val="single" w:color="auto" w:sz="4" w:space="0"/>
              <w:bottom w:val="single" w:color="auto" w:sz="4" w:space="0"/>
              <w:right w:val="single" w:color="auto" w:sz="4" w:space="0"/>
            </w:tcBorders>
          </w:tcPr>
          <w:p>
            <w:pPr>
              <w:snapToGrid w:val="0"/>
              <w:spacing w:line="360" w:lineRule="auto"/>
              <w:outlineLvl w:val="0"/>
              <w:rPr>
                <w:rFonts w:ascii="宋体" w:hAnsi="宋体"/>
                <w:color w:val="auto"/>
                <w:szCs w:val="21"/>
                <w:highlight w:val="none"/>
              </w:rPr>
            </w:pPr>
          </w:p>
        </w:tc>
        <w:tc>
          <w:tcPr>
            <w:tcW w:w="1849" w:type="dxa"/>
            <w:tcBorders>
              <w:top w:val="single" w:color="auto" w:sz="4" w:space="0"/>
              <w:left w:val="single" w:color="auto" w:sz="4" w:space="0"/>
              <w:bottom w:val="single" w:color="auto" w:sz="4" w:space="0"/>
              <w:right w:val="single" w:color="auto" w:sz="4" w:space="0"/>
            </w:tcBorders>
          </w:tcPr>
          <w:p>
            <w:pPr>
              <w:snapToGrid w:val="0"/>
              <w:spacing w:line="360" w:lineRule="auto"/>
              <w:outlineLvl w:val="0"/>
              <w:rPr>
                <w:rFonts w:ascii="宋体" w:hAnsi="宋体"/>
                <w:color w:val="auto"/>
                <w:szCs w:val="21"/>
                <w:highlight w:val="none"/>
              </w:rPr>
            </w:pPr>
          </w:p>
        </w:tc>
        <w:tc>
          <w:tcPr>
            <w:tcW w:w="1456" w:type="dxa"/>
            <w:tcBorders>
              <w:top w:val="single" w:color="auto" w:sz="4" w:space="0"/>
              <w:left w:val="single" w:color="auto" w:sz="4" w:space="0"/>
              <w:bottom w:val="single" w:color="auto" w:sz="4" w:space="0"/>
              <w:right w:val="single" w:color="auto" w:sz="4" w:space="0"/>
            </w:tcBorders>
          </w:tcPr>
          <w:p>
            <w:pPr>
              <w:snapToGrid w:val="0"/>
              <w:spacing w:line="360" w:lineRule="auto"/>
              <w:outlineLvl w:val="0"/>
              <w:rPr>
                <w:rFonts w:ascii="宋体" w:hAnsi="宋体"/>
                <w:color w:val="auto"/>
                <w:szCs w:val="21"/>
                <w:highlight w:val="none"/>
              </w:rPr>
            </w:pPr>
          </w:p>
        </w:tc>
      </w:tr>
    </w:tbl>
    <w:p>
      <w:pPr>
        <w:pStyle w:val="20"/>
        <w:spacing w:line="360" w:lineRule="auto"/>
        <w:rPr>
          <w:rFonts w:ascii="宋体" w:hAnsi="宋体"/>
          <w:color w:val="auto"/>
          <w:sz w:val="21"/>
          <w:szCs w:val="21"/>
          <w:highlight w:val="none"/>
        </w:rPr>
      </w:pPr>
      <w:r>
        <w:rPr>
          <w:rFonts w:ascii="宋体" w:hAnsi="宋体"/>
          <w:color w:val="auto"/>
          <w:sz w:val="21"/>
          <w:szCs w:val="21"/>
          <w:highlight w:val="none"/>
        </w:rPr>
        <w:t>注：</w:t>
      </w:r>
      <w:r>
        <w:rPr>
          <w:rFonts w:hint="eastAsia" w:ascii="宋体" w:hAnsi="宋体"/>
          <w:color w:val="auto"/>
          <w:sz w:val="21"/>
          <w:szCs w:val="21"/>
          <w:highlight w:val="none"/>
        </w:rPr>
        <w:t>1.</w:t>
      </w:r>
      <w:r>
        <w:rPr>
          <w:rFonts w:ascii="宋体" w:hAnsi="宋体"/>
          <w:color w:val="auto"/>
          <w:sz w:val="21"/>
          <w:szCs w:val="21"/>
          <w:highlight w:val="none"/>
        </w:rPr>
        <w:t>投标人应根据</w:t>
      </w:r>
      <w:r>
        <w:rPr>
          <w:rFonts w:hint="eastAsia" w:ascii="宋体" w:hAnsi="宋体"/>
          <w:color w:val="auto"/>
          <w:sz w:val="21"/>
          <w:szCs w:val="21"/>
          <w:highlight w:val="none"/>
        </w:rPr>
        <w:t>投标产品</w:t>
      </w:r>
      <w:r>
        <w:rPr>
          <w:rFonts w:ascii="宋体" w:hAnsi="宋体"/>
          <w:color w:val="auto"/>
          <w:sz w:val="21"/>
          <w:szCs w:val="21"/>
          <w:highlight w:val="none"/>
        </w:rPr>
        <w:t>的性能指标、对照招标文件要求在“偏离情况”栏注明“正偏离”、“负偏离”或“无偏离”。</w:t>
      </w:r>
    </w:p>
    <w:p>
      <w:pPr>
        <w:pStyle w:val="20"/>
        <w:spacing w:line="360" w:lineRule="auto"/>
        <w:rPr>
          <w:rFonts w:ascii="宋体" w:hAnsi="宋体"/>
          <w:color w:val="auto"/>
          <w:sz w:val="21"/>
          <w:szCs w:val="21"/>
          <w:highlight w:val="none"/>
        </w:rPr>
      </w:pPr>
      <w:r>
        <w:rPr>
          <w:rFonts w:hint="eastAsia" w:ascii="宋体" w:hAnsi="宋体"/>
          <w:color w:val="auto"/>
          <w:sz w:val="21"/>
          <w:szCs w:val="21"/>
          <w:highlight w:val="none"/>
        </w:rPr>
        <w:t>2.投标人需对上述偏离情况负责，不得虚假应标。</w:t>
      </w:r>
    </w:p>
    <w:p>
      <w:pPr>
        <w:snapToGrid w:val="0"/>
        <w:spacing w:before="50" w:after="50" w:line="360" w:lineRule="auto"/>
        <w:rPr>
          <w:rFonts w:ascii="宋体" w:hAnsi="宋体"/>
          <w:color w:val="auto"/>
          <w:szCs w:val="21"/>
          <w:highlight w:val="none"/>
        </w:rPr>
      </w:pPr>
      <w:r>
        <w:rPr>
          <w:rFonts w:hint="eastAsia" w:ascii="宋体" w:hAnsi="宋体"/>
          <w:color w:val="auto"/>
          <w:szCs w:val="21"/>
          <w:highlight w:val="none"/>
        </w:rPr>
        <w:t>被授权人签字（或盖章）：</w:t>
      </w:r>
    </w:p>
    <w:p>
      <w:pPr>
        <w:adjustRightInd w:val="0"/>
        <w:spacing w:line="360" w:lineRule="auto"/>
        <w:ind w:right="480"/>
        <w:textAlignment w:val="baseline"/>
        <w:rPr>
          <w:rFonts w:ascii="宋体" w:hAnsi="宋体"/>
          <w:color w:val="auto"/>
          <w:szCs w:val="21"/>
          <w:highlight w:val="none"/>
        </w:rPr>
      </w:pPr>
      <w:r>
        <w:rPr>
          <w:rFonts w:hint="eastAsia" w:ascii="宋体" w:hAnsi="宋体"/>
          <w:color w:val="auto"/>
          <w:szCs w:val="21"/>
          <w:highlight w:val="none"/>
        </w:rPr>
        <w:t>投标人公章： 年  月  日</w:t>
      </w:r>
    </w:p>
    <w:p>
      <w:pPr>
        <w:pStyle w:val="59"/>
        <w:rPr>
          <w:color w:val="auto"/>
          <w:highlight w:val="none"/>
        </w:rPr>
        <w:sectPr>
          <w:pgSz w:w="11906" w:h="16838"/>
          <w:pgMar w:top="1474" w:right="1797" w:bottom="1247" w:left="1797" w:header="851" w:footer="851" w:gutter="0"/>
          <w:pgBorders>
            <w:top w:val="none" w:sz="0" w:space="0"/>
            <w:left w:val="none" w:sz="0" w:space="0"/>
            <w:bottom w:val="none" w:sz="0" w:space="0"/>
            <w:right w:val="none" w:sz="0" w:space="0"/>
          </w:pgBorders>
          <w:cols w:space="720" w:num="1"/>
          <w:docGrid w:linePitch="312" w:charSpace="0"/>
        </w:sectPr>
      </w:pP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项目实施人员一览表</w:t>
      </w:r>
    </w:p>
    <w:p>
      <w:pPr>
        <w:snapToGrid w:val="0"/>
        <w:spacing w:line="360" w:lineRule="auto"/>
        <w:ind w:firstLine="422" w:firstLineChars="200"/>
        <w:jc w:val="center"/>
        <w:rPr>
          <w:rFonts w:ascii="宋体" w:hAnsi="宋体"/>
          <w:b/>
          <w:color w:val="auto"/>
          <w:szCs w:val="21"/>
          <w:highlight w:val="none"/>
        </w:rPr>
      </w:pPr>
      <w:r>
        <w:rPr>
          <w:rFonts w:hint="eastAsia" w:ascii="宋体" w:hAnsi="宋体"/>
          <w:b/>
          <w:color w:val="auto"/>
          <w:szCs w:val="21"/>
          <w:highlight w:val="none"/>
        </w:rPr>
        <w:t>项目实施人员（主要从业人员及其技术资格）一览表</w:t>
      </w:r>
    </w:p>
    <w:tbl>
      <w:tblPr>
        <w:tblStyle w:val="49"/>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274"/>
        <w:gridCol w:w="1559"/>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证书编号</w:t>
            </w: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参加本单位工作时间</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劳动合同编号</w:t>
            </w:r>
          </w:p>
        </w:tc>
        <w:tc>
          <w:tcPr>
            <w:tcW w:w="1134"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本项目中担任职务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pStyle w:val="29"/>
              <w:snapToGrid w:val="0"/>
              <w:spacing w:line="360" w:lineRule="auto"/>
              <w:ind w:leftChars="0" w:firstLine="420" w:firstLineChars="200"/>
              <w:jc w:val="center"/>
              <w:rPr>
                <w:rFonts w:ascii="宋体" w:hAnsi="宋体" w:eastAsia="宋体"/>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360" w:lineRule="auto"/>
              <w:ind w:firstLine="420" w:firstLineChars="200"/>
              <w:jc w:val="center"/>
              <w:rPr>
                <w:rFonts w:ascii="宋体" w:hAnsi="宋体"/>
                <w:color w:val="auto"/>
                <w:szCs w:val="21"/>
                <w:highlight w:val="none"/>
              </w:rPr>
            </w:pPr>
          </w:p>
        </w:tc>
      </w:tr>
    </w:tbl>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注：在填写时，如本表格不适合投标单位的实际情况，可根据本表格式自行划表填写。</w:t>
      </w:r>
    </w:p>
    <w:p>
      <w:pPr>
        <w:snapToGrid w:val="0"/>
        <w:spacing w:line="360" w:lineRule="auto"/>
        <w:ind w:firstLine="500" w:firstLineChars="200"/>
        <w:jc w:val="left"/>
        <w:rPr>
          <w:rFonts w:ascii="宋体" w:hAnsi="宋体"/>
          <w:color w:val="auto"/>
          <w:spacing w:val="20"/>
          <w:szCs w:val="21"/>
          <w:highlight w:val="none"/>
          <w:u w:val="single"/>
        </w:rPr>
      </w:pPr>
      <w:r>
        <w:rPr>
          <w:rFonts w:hint="eastAsia" w:ascii="宋体" w:hAnsi="宋体"/>
          <w:color w:val="auto"/>
          <w:spacing w:val="20"/>
          <w:szCs w:val="21"/>
          <w:highlight w:val="none"/>
        </w:rPr>
        <w:t>授权代表签名：</w:t>
      </w:r>
    </w:p>
    <w:p>
      <w:pPr>
        <w:snapToGrid w:val="0"/>
        <w:spacing w:line="360" w:lineRule="auto"/>
        <w:ind w:firstLine="500" w:firstLineChars="200"/>
        <w:jc w:val="left"/>
        <w:rPr>
          <w:rFonts w:ascii="宋体" w:hAnsi="宋体"/>
          <w:color w:val="auto"/>
          <w:spacing w:val="20"/>
          <w:szCs w:val="21"/>
          <w:highlight w:val="none"/>
        </w:rPr>
      </w:pPr>
      <w:r>
        <w:rPr>
          <w:rFonts w:hint="eastAsia" w:ascii="宋体" w:hAnsi="宋体"/>
          <w:color w:val="auto"/>
          <w:spacing w:val="20"/>
          <w:szCs w:val="21"/>
          <w:highlight w:val="none"/>
        </w:rPr>
        <w:t>投标人盖章：</w:t>
      </w:r>
    </w:p>
    <w:p>
      <w:pPr>
        <w:snapToGrid w:val="0"/>
        <w:spacing w:line="360" w:lineRule="auto"/>
        <w:ind w:firstLine="500" w:firstLineChars="200"/>
        <w:jc w:val="left"/>
        <w:rPr>
          <w:rFonts w:ascii="宋体" w:hAnsi="宋体"/>
          <w:color w:val="auto"/>
          <w:spacing w:val="20"/>
          <w:szCs w:val="21"/>
          <w:highlight w:val="none"/>
          <w:u w:val="single"/>
        </w:rPr>
      </w:pPr>
      <w:r>
        <w:rPr>
          <w:rFonts w:hint="eastAsia" w:ascii="宋体" w:hAnsi="宋体"/>
          <w:color w:val="auto"/>
          <w:spacing w:val="20"/>
          <w:szCs w:val="21"/>
          <w:highlight w:val="none"/>
        </w:rPr>
        <w:t>日期：</w:t>
      </w:r>
    </w:p>
    <w:p>
      <w:pPr>
        <w:snapToGrid w:val="0"/>
        <w:spacing w:line="360" w:lineRule="auto"/>
        <w:ind w:firstLine="422" w:firstLineChars="200"/>
        <w:jc w:val="left"/>
        <w:rPr>
          <w:rFonts w:ascii="宋体" w:hAnsi="宋体" w:cs="微软雅黑"/>
          <w:b/>
          <w:color w:val="auto"/>
          <w:szCs w:val="21"/>
          <w:highlight w:val="none"/>
        </w:rPr>
      </w:pPr>
    </w:p>
    <w:p>
      <w:pPr>
        <w:snapToGrid w:val="0"/>
        <w:spacing w:line="360" w:lineRule="auto"/>
        <w:ind w:firstLine="422" w:firstLineChars="200"/>
        <w:jc w:val="left"/>
        <w:rPr>
          <w:rFonts w:ascii="宋体" w:hAnsi="宋体" w:cs="微软雅黑"/>
          <w:b/>
          <w:color w:val="auto"/>
          <w:szCs w:val="21"/>
          <w:highlight w:val="none"/>
        </w:rPr>
      </w:pPr>
    </w:p>
    <w:p>
      <w:pPr>
        <w:snapToGrid w:val="0"/>
        <w:spacing w:line="360" w:lineRule="auto"/>
        <w:ind w:firstLine="422" w:firstLineChars="200"/>
        <w:jc w:val="left"/>
        <w:rPr>
          <w:rFonts w:ascii="宋体" w:hAnsi="宋体" w:cs="微软雅黑"/>
          <w:b/>
          <w:color w:val="auto"/>
          <w:szCs w:val="21"/>
          <w:highlight w:val="none"/>
        </w:rPr>
      </w:pPr>
    </w:p>
    <w:p>
      <w:pPr>
        <w:snapToGrid w:val="0"/>
        <w:spacing w:line="360" w:lineRule="auto"/>
        <w:ind w:firstLine="422" w:firstLineChars="200"/>
        <w:jc w:val="left"/>
        <w:rPr>
          <w:rFonts w:ascii="宋体" w:hAnsi="宋体" w:cs="微软雅黑"/>
          <w:b/>
          <w:color w:val="auto"/>
          <w:szCs w:val="21"/>
          <w:highlight w:val="none"/>
        </w:rPr>
      </w:pPr>
    </w:p>
    <w:p>
      <w:pPr>
        <w:snapToGrid w:val="0"/>
        <w:spacing w:line="360" w:lineRule="auto"/>
        <w:ind w:firstLine="422" w:firstLineChars="200"/>
        <w:jc w:val="left"/>
        <w:rPr>
          <w:rFonts w:ascii="宋体" w:hAnsi="宋体" w:cs="微软雅黑"/>
          <w:b/>
          <w:color w:val="auto"/>
          <w:szCs w:val="21"/>
          <w:highlight w:val="none"/>
        </w:rPr>
      </w:pPr>
    </w:p>
    <w:p>
      <w:pPr>
        <w:snapToGrid w:val="0"/>
        <w:spacing w:line="360" w:lineRule="auto"/>
        <w:ind w:firstLine="422" w:firstLineChars="200"/>
        <w:jc w:val="left"/>
        <w:rPr>
          <w:rFonts w:ascii="宋体" w:hAnsi="宋体" w:cs="微软雅黑"/>
          <w:b/>
          <w:color w:val="auto"/>
          <w:szCs w:val="21"/>
          <w:highlight w:val="none"/>
        </w:rPr>
      </w:pPr>
    </w:p>
    <w:p>
      <w:pPr>
        <w:snapToGrid w:val="0"/>
        <w:spacing w:line="360" w:lineRule="auto"/>
        <w:ind w:firstLine="422" w:firstLineChars="200"/>
        <w:jc w:val="left"/>
        <w:rPr>
          <w:rFonts w:ascii="宋体" w:hAnsi="宋体" w:cs="微软雅黑"/>
          <w:b/>
          <w:color w:val="auto"/>
          <w:szCs w:val="21"/>
          <w:highlight w:val="none"/>
        </w:rPr>
      </w:pPr>
    </w:p>
    <w:p>
      <w:pPr>
        <w:snapToGrid w:val="0"/>
        <w:spacing w:line="360" w:lineRule="auto"/>
        <w:ind w:firstLine="422" w:firstLineChars="200"/>
        <w:jc w:val="left"/>
        <w:rPr>
          <w:rFonts w:ascii="宋体" w:hAnsi="宋体" w:cs="微软雅黑"/>
          <w:b/>
          <w:color w:val="auto"/>
          <w:szCs w:val="21"/>
          <w:highlight w:val="none"/>
        </w:rPr>
        <w:sectPr>
          <w:headerReference r:id="rId7" w:type="first"/>
          <w:footerReference r:id="rId9" w:type="first"/>
          <w:footerReference r:id="rId8" w:type="even"/>
          <w:pgSz w:w="11907" w:h="16839"/>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投标函格式：</w:t>
      </w:r>
    </w:p>
    <w:p>
      <w:pPr>
        <w:snapToGrid w:val="0"/>
        <w:spacing w:line="360" w:lineRule="auto"/>
        <w:ind w:firstLine="422" w:firstLineChars="200"/>
        <w:jc w:val="center"/>
        <w:rPr>
          <w:rFonts w:ascii="宋体" w:hAnsi="宋体"/>
          <w:b/>
          <w:color w:val="auto"/>
          <w:szCs w:val="21"/>
          <w:highlight w:val="none"/>
        </w:rPr>
      </w:pPr>
      <w:r>
        <w:rPr>
          <w:rFonts w:hint="eastAsia" w:ascii="宋体" w:hAnsi="宋体"/>
          <w:b/>
          <w:color w:val="auto"/>
          <w:szCs w:val="21"/>
          <w:highlight w:val="none"/>
        </w:rPr>
        <w:t>投标函</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（招标采购单位名称）</w:t>
      </w:r>
      <w:r>
        <w:rPr>
          <w:rFonts w:hint="eastAsia" w:ascii="宋体" w:hAnsi="宋体"/>
          <w:color w:val="auto"/>
          <w:szCs w:val="21"/>
          <w:highlight w:val="none"/>
        </w:rPr>
        <w:t>：</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根据贵方为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项目的招标公告</w:t>
      </w:r>
      <w:r>
        <w:rPr>
          <w:rFonts w:ascii="宋体" w:hAnsi="宋体"/>
          <w:color w:val="auto"/>
          <w:szCs w:val="21"/>
          <w:highlight w:val="none"/>
        </w:rPr>
        <w:t>/</w:t>
      </w:r>
      <w:r>
        <w:rPr>
          <w:rFonts w:hint="eastAsia" w:ascii="宋体" w:hAnsi="宋体"/>
          <w:color w:val="auto"/>
          <w:szCs w:val="21"/>
          <w:highlight w:val="none"/>
        </w:rPr>
        <w:t>投标邀请书（项目编号：</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），签字代表</w:t>
      </w:r>
      <w:r>
        <w:rPr>
          <w:rFonts w:hint="eastAsia" w:ascii="宋体" w:hAnsi="宋体"/>
          <w:color w:val="auto"/>
          <w:szCs w:val="21"/>
          <w:highlight w:val="none"/>
          <w:u w:val="single"/>
        </w:rPr>
        <w:t>（全名）</w:t>
      </w:r>
      <w:r>
        <w:rPr>
          <w:rFonts w:hint="eastAsia" w:ascii="宋体" w:hAnsi="宋体"/>
          <w:color w:val="auto"/>
          <w:szCs w:val="21"/>
          <w:highlight w:val="none"/>
        </w:rPr>
        <w:t>经正式授权并代表投标人</w:t>
      </w:r>
      <w:r>
        <w:rPr>
          <w:rFonts w:hint="eastAsia" w:ascii="宋体" w:hAnsi="宋体"/>
          <w:color w:val="auto"/>
          <w:szCs w:val="21"/>
          <w:highlight w:val="none"/>
          <w:u w:val="single"/>
        </w:rPr>
        <w:t>（投标人名称）</w:t>
      </w:r>
      <w:r>
        <w:rPr>
          <w:rFonts w:hint="eastAsia" w:ascii="宋体" w:hAnsi="宋体"/>
          <w:color w:val="auto"/>
          <w:szCs w:val="21"/>
          <w:highlight w:val="none"/>
        </w:rPr>
        <w:t>提交资信商务文件、技术文件份；投标报价文件份。</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据此函，签字代表宣布同意如下：</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、投标人在投标之前已经与贵方进行了充分的沟通，完全理解并接受招标文件的各项规定和要求，对招标文件的合理性、合法性不再有异议。</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、本投标有效期自开标日起</w:t>
      </w:r>
      <w:r>
        <w:rPr>
          <w:rFonts w:ascii="宋体" w:hAnsi="宋体"/>
          <w:color w:val="auto"/>
          <w:szCs w:val="21"/>
          <w:highlight w:val="none"/>
        </w:rPr>
        <w:t xml:space="preserve"> ______</w:t>
      </w:r>
      <w:r>
        <w:rPr>
          <w:rFonts w:hint="eastAsia" w:ascii="宋体" w:hAnsi="宋体"/>
          <w:color w:val="auto"/>
          <w:szCs w:val="21"/>
          <w:highlight w:val="none"/>
        </w:rPr>
        <w:t>个日。</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、如中标，本投标文件至本项目合同履行完毕止均保持有效，本投标人将按“招标文件”及政府采购法律、法规的规定履行合同责任和义务。</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、投标人同意按照贵方要求提供与投标有关的一切数据或资料。</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、与本投标有关的一切正式往来信函请寄：</w:t>
      </w:r>
    </w:p>
    <w:p>
      <w:pPr>
        <w:snapToGrid w:val="0"/>
        <w:spacing w:line="360" w:lineRule="auto"/>
        <w:ind w:firstLine="420" w:firstLineChars="200"/>
        <w:jc w:val="left"/>
        <w:rPr>
          <w:rFonts w:ascii="宋体" w:hAnsi="宋体"/>
          <w:color w:val="auto"/>
          <w:szCs w:val="21"/>
          <w:highlight w:val="none"/>
        </w:rPr>
      </w:pP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地址： 邮编：</w:t>
      </w:r>
      <w:r>
        <w:rPr>
          <w:rFonts w:ascii="宋体" w:hAnsi="宋体"/>
          <w:color w:val="auto"/>
          <w:szCs w:val="21"/>
          <w:highlight w:val="none"/>
        </w:rPr>
        <w:t xml:space="preserve">__________   </w:t>
      </w:r>
      <w:r>
        <w:rPr>
          <w:rFonts w:hint="eastAsia" w:ascii="宋体" w:hAnsi="宋体"/>
          <w:color w:val="auto"/>
          <w:szCs w:val="21"/>
          <w:highlight w:val="none"/>
        </w:rPr>
        <w:t>电话：</w:t>
      </w:r>
      <w:r>
        <w:rPr>
          <w:rFonts w:ascii="宋体" w:hAnsi="宋体"/>
          <w:color w:val="auto"/>
          <w:szCs w:val="21"/>
          <w:highlight w:val="none"/>
        </w:rPr>
        <w:t>______________</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传真：</w:t>
      </w:r>
      <w:r>
        <w:rPr>
          <w:rFonts w:ascii="宋体" w:hAnsi="宋体"/>
          <w:color w:val="auto"/>
          <w:szCs w:val="21"/>
          <w:highlight w:val="none"/>
        </w:rPr>
        <w:t>______________</w:t>
      </w:r>
      <w:r>
        <w:rPr>
          <w:rFonts w:hint="eastAsia" w:ascii="宋体" w:hAnsi="宋体"/>
          <w:color w:val="auto"/>
          <w:szCs w:val="21"/>
          <w:highlight w:val="none"/>
        </w:rPr>
        <w:t>投标人代表姓名</w:t>
      </w:r>
      <w:r>
        <w:rPr>
          <w:rFonts w:ascii="宋体" w:hAnsi="宋体"/>
          <w:color w:val="auto"/>
          <w:szCs w:val="21"/>
          <w:highlight w:val="none"/>
        </w:rPr>
        <w:t xml:space="preserve"> ___________  </w:t>
      </w:r>
      <w:r>
        <w:rPr>
          <w:rFonts w:hint="eastAsia" w:ascii="宋体" w:hAnsi="宋体"/>
          <w:color w:val="auto"/>
          <w:szCs w:val="21"/>
          <w:highlight w:val="none"/>
        </w:rPr>
        <w:t>职务：</w:t>
      </w:r>
      <w:r>
        <w:rPr>
          <w:rFonts w:ascii="宋体" w:hAnsi="宋体"/>
          <w:color w:val="auto"/>
          <w:szCs w:val="21"/>
          <w:highlight w:val="none"/>
        </w:rPr>
        <w:t>_____________</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投标人名称</w:t>
      </w:r>
      <w:r>
        <w:rPr>
          <w:rFonts w:ascii="宋体" w:hAnsi="宋体"/>
          <w:color w:val="auto"/>
          <w:szCs w:val="21"/>
          <w:highlight w:val="none"/>
        </w:rPr>
        <w:t>(</w:t>
      </w:r>
      <w:r>
        <w:rPr>
          <w:rFonts w:hint="eastAsia" w:ascii="宋体" w:hAnsi="宋体"/>
          <w:color w:val="auto"/>
          <w:szCs w:val="21"/>
          <w:highlight w:val="none"/>
        </w:rPr>
        <w:t>公章</w:t>
      </w:r>
      <w:r>
        <w:rPr>
          <w:rFonts w:ascii="宋体" w:hAnsi="宋体"/>
          <w:color w:val="auto"/>
          <w:szCs w:val="21"/>
          <w:highlight w:val="none"/>
        </w:rPr>
        <w:t>): _____________</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开户银行：银行帐号：</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法定代表人或其委托代理人签名（或盖章）</w:t>
      </w:r>
      <w:r>
        <w:rPr>
          <w:rFonts w:ascii="宋体" w:hAnsi="宋体"/>
          <w:color w:val="auto"/>
          <w:szCs w:val="21"/>
          <w:highlight w:val="none"/>
        </w:rPr>
        <w:t xml:space="preserve">:___________                      </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rPr>
        <w:t>:_____</w:t>
      </w:r>
      <w:r>
        <w:rPr>
          <w:rFonts w:hint="eastAsia" w:ascii="宋体" w:hAnsi="宋体"/>
          <w:color w:val="auto"/>
          <w:szCs w:val="21"/>
          <w:highlight w:val="none"/>
        </w:rPr>
        <w:t>年</w:t>
      </w:r>
      <w:r>
        <w:rPr>
          <w:rFonts w:ascii="宋体" w:hAnsi="宋体"/>
          <w:color w:val="auto"/>
          <w:szCs w:val="21"/>
          <w:highlight w:val="none"/>
        </w:rPr>
        <w:t>___</w:t>
      </w:r>
      <w:r>
        <w:rPr>
          <w:rFonts w:hint="eastAsia" w:ascii="宋体" w:hAnsi="宋体"/>
          <w:color w:val="auto"/>
          <w:szCs w:val="21"/>
          <w:highlight w:val="none"/>
        </w:rPr>
        <w:t>月</w:t>
      </w:r>
      <w:r>
        <w:rPr>
          <w:rFonts w:ascii="宋体" w:hAnsi="宋体"/>
          <w:color w:val="auto"/>
          <w:szCs w:val="21"/>
          <w:highlight w:val="none"/>
        </w:rPr>
        <w:t>___</w:t>
      </w:r>
      <w:r>
        <w:rPr>
          <w:rFonts w:hint="eastAsia" w:ascii="宋体" w:hAnsi="宋体"/>
          <w:color w:val="auto"/>
          <w:szCs w:val="21"/>
          <w:highlight w:val="none"/>
        </w:rPr>
        <w:t>日</w:t>
      </w:r>
    </w:p>
    <w:p>
      <w:pPr>
        <w:pStyle w:val="48"/>
        <w:ind w:firstLine="464"/>
        <w:rPr>
          <w:rFonts w:hAnsi="宋体"/>
          <w:color w:val="auto"/>
          <w:szCs w:val="21"/>
          <w:highlight w:val="none"/>
        </w:rPr>
      </w:pPr>
    </w:p>
    <w:p>
      <w:pPr>
        <w:pStyle w:val="48"/>
        <w:ind w:firstLine="464"/>
        <w:rPr>
          <w:rFonts w:hAnsi="宋体"/>
          <w:color w:val="auto"/>
          <w:szCs w:val="21"/>
          <w:highlight w:val="none"/>
        </w:rPr>
      </w:pPr>
    </w:p>
    <w:p>
      <w:pPr>
        <w:pStyle w:val="48"/>
        <w:ind w:firstLine="464"/>
        <w:rPr>
          <w:rFonts w:hAnsi="宋体"/>
          <w:color w:val="auto"/>
          <w:szCs w:val="21"/>
          <w:highlight w:val="none"/>
        </w:rPr>
      </w:pPr>
    </w:p>
    <w:p>
      <w:pPr>
        <w:pStyle w:val="48"/>
        <w:ind w:firstLine="464"/>
        <w:rPr>
          <w:rFonts w:hAnsi="宋体"/>
          <w:color w:val="auto"/>
          <w:szCs w:val="21"/>
          <w:highlight w:val="none"/>
        </w:rPr>
      </w:pPr>
    </w:p>
    <w:p>
      <w:pPr>
        <w:pStyle w:val="48"/>
        <w:ind w:firstLine="464"/>
        <w:rPr>
          <w:rFonts w:hAnsi="宋体"/>
          <w:color w:val="auto"/>
          <w:szCs w:val="21"/>
          <w:highlight w:val="none"/>
        </w:rPr>
      </w:pPr>
    </w:p>
    <w:p>
      <w:pPr>
        <w:pStyle w:val="48"/>
        <w:ind w:firstLine="464"/>
        <w:rPr>
          <w:rFonts w:hAnsi="宋体"/>
          <w:color w:val="auto"/>
          <w:szCs w:val="21"/>
          <w:highlight w:val="none"/>
        </w:rPr>
      </w:pPr>
    </w:p>
    <w:p>
      <w:pPr>
        <w:pStyle w:val="48"/>
        <w:ind w:firstLine="464"/>
        <w:rPr>
          <w:rFonts w:hAnsi="宋体"/>
          <w:color w:val="auto"/>
          <w:szCs w:val="21"/>
          <w:highlight w:val="none"/>
        </w:rPr>
      </w:pPr>
    </w:p>
    <w:p>
      <w:pPr>
        <w:snapToGrid w:val="0"/>
        <w:spacing w:line="360" w:lineRule="auto"/>
        <w:rPr>
          <w:rFonts w:ascii="宋体" w:hAnsi="宋体"/>
          <w:color w:val="auto"/>
          <w:szCs w:val="21"/>
          <w:highlight w:val="none"/>
        </w:rPr>
      </w:pPr>
    </w:p>
    <w:p>
      <w:pPr>
        <w:snapToGrid w:val="0"/>
        <w:spacing w:line="360" w:lineRule="auto"/>
        <w:ind w:firstLine="420" w:firstLineChars="200"/>
        <w:jc w:val="center"/>
        <w:rPr>
          <w:rFonts w:hint="eastAsia" w:ascii="宋体" w:hAnsi="宋体" w:eastAsia="宋体"/>
          <w:color w:val="auto"/>
          <w:szCs w:val="21"/>
          <w:highlight w:val="none"/>
          <w:lang w:eastAsia="zh-CN"/>
        </w:rPr>
      </w:pPr>
      <w:r>
        <w:rPr>
          <w:rFonts w:hint="eastAsia" w:ascii="宋体" w:hAnsi="宋体"/>
          <w:color w:val="auto"/>
          <w:szCs w:val="21"/>
          <w:highlight w:val="none"/>
        </w:rPr>
        <w:t>开标一览表</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标项1</w:t>
      </w:r>
      <w:r>
        <w:rPr>
          <w:rFonts w:hint="eastAsia" w:ascii="宋体" w:hAnsi="宋体"/>
          <w:color w:val="auto"/>
          <w:szCs w:val="21"/>
          <w:highlight w:val="none"/>
          <w:lang w:eastAsia="zh-CN"/>
        </w:rPr>
        <w:t>）</w:t>
      </w:r>
    </w:p>
    <w:p>
      <w:pPr>
        <w:snapToGrid w:val="0"/>
        <w:spacing w:line="360" w:lineRule="auto"/>
        <w:ind w:firstLine="420" w:firstLineChars="200"/>
        <w:jc w:val="left"/>
        <w:rPr>
          <w:rFonts w:ascii="宋体" w:hAnsi="宋体"/>
          <w:color w:val="auto"/>
          <w:szCs w:val="21"/>
          <w:highlight w:val="none"/>
        </w:rPr>
      </w:pPr>
    </w:p>
    <w:p>
      <w:pPr>
        <w:snapToGrid w:val="0"/>
        <w:spacing w:line="360" w:lineRule="auto"/>
        <w:rPr>
          <w:rFonts w:ascii="宋体" w:hAnsi="宋体"/>
          <w:color w:val="auto"/>
          <w:szCs w:val="21"/>
          <w:highlight w:val="none"/>
        </w:rPr>
      </w:pPr>
      <w:r>
        <w:rPr>
          <w:rFonts w:ascii="宋体" w:hAnsi="宋体"/>
          <w:color w:val="auto"/>
          <w:szCs w:val="21"/>
          <w:highlight w:val="none"/>
        </w:rPr>
        <w:t>招标编号： 投标人名称：</w:t>
      </w:r>
    </w:p>
    <w:tbl>
      <w:tblPr>
        <w:tblStyle w:val="49"/>
        <w:tblpPr w:leftFromText="180" w:rightFromText="180" w:vertAnchor="text" w:horzAnchor="page" w:tblpX="1393" w:tblpY="307"/>
        <w:tblOverlap w:val="never"/>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50"/>
        <w:gridCol w:w="2265"/>
        <w:gridCol w:w="3000"/>
        <w:gridCol w:w="1601"/>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3" w:hRule="atLeast"/>
        </w:trPr>
        <w:tc>
          <w:tcPr>
            <w:tcW w:w="650" w:type="dxa"/>
            <w:tcBorders>
              <w:tl2br w:val="nil"/>
              <w:tr2bl w:val="nil"/>
            </w:tcBorders>
            <w:vAlign w:val="center"/>
          </w:tcPr>
          <w:p>
            <w:pPr>
              <w:snapToGrid w:val="0"/>
              <w:jc w:val="center"/>
              <w:rPr>
                <w:rFonts w:ascii="宋体" w:cs="宋体"/>
                <w:b/>
                <w:bCs/>
                <w:color w:val="auto"/>
                <w:sz w:val="18"/>
                <w:szCs w:val="18"/>
                <w:highlight w:val="none"/>
              </w:rPr>
            </w:pPr>
            <w:r>
              <w:rPr>
                <w:rFonts w:hint="eastAsia" w:ascii="宋体" w:hAnsi="宋体" w:cs="宋体"/>
                <w:b/>
                <w:bCs/>
                <w:color w:val="auto"/>
                <w:sz w:val="18"/>
                <w:szCs w:val="18"/>
                <w:highlight w:val="none"/>
              </w:rPr>
              <w:t>序号</w:t>
            </w:r>
          </w:p>
        </w:tc>
        <w:tc>
          <w:tcPr>
            <w:tcW w:w="2265" w:type="dxa"/>
            <w:tcBorders>
              <w:tl2br w:val="nil"/>
              <w:tr2bl w:val="nil"/>
            </w:tcBorders>
            <w:vAlign w:val="center"/>
          </w:tcPr>
          <w:p>
            <w:pPr>
              <w:snapToGrid w:val="0"/>
              <w:jc w:val="center"/>
              <w:rPr>
                <w:rFonts w:ascii="宋体" w:cs="宋体"/>
                <w:b/>
                <w:bCs/>
                <w:color w:val="auto"/>
                <w:sz w:val="18"/>
                <w:szCs w:val="18"/>
                <w:highlight w:val="none"/>
              </w:rPr>
            </w:pPr>
            <w:r>
              <w:rPr>
                <w:rFonts w:hint="eastAsia" w:ascii="宋体" w:hAnsi="宋体" w:cs="宋体"/>
                <w:b/>
                <w:bCs/>
                <w:color w:val="auto"/>
                <w:sz w:val="18"/>
                <w:szCs w:val="18"/>
                <w:highlight w:val="none"/>
              </w:rPr>
              <w:t>采购内容</w:t>
            </w:r>
          </w:p>
        </w:tc>
        <w:tc>
          <w:tcPr>
            <w:tcW w:w="3000" w:type="dxa"/>
            <w:tcBorders>
              <w:tl2br w:val="nil"/>
              <w:tr2bl w:val="nil"/>
            </w:tcBorders>
            <w:vAlign w:val="center"/>
          </w:tcPr>
          <w:p>
            <w:pPr>
              <w:snapToGrid w:val="0"/>
              <w:jc w:val="center"/>
              <w:rPr>
                <w:rFonts w:ascii="宋体" w:cs="宋体"/>
                <w:b/>
                <w:bCs/>
                <w:color w:val="auto"/>
                <w:sz w:val="18"/>
                <w:szCs w:val="18"/>
                <w:highlight w:val="none"/>
              </w:rPr>
            </w:pPr>
            <w:r>
              <w:rPr>
                <w:rFonts w:hint="eastAsia" w:ascii="宋体" w:hAnsi="宋体" w:cs="宋体"/>
                <w:b/>
                <w:bCs/>
                <w:color w:val="auto"/>
                <w:sz w:val="18"/>
                <w:szCs w:val="18"/>
                <w:highlight w:val="none"/>
              </w:rPr>
              <w:t>投标报价</w:t>
            </w:r>
          </w:p>
        </w:tc>
        <w:tc>
          <w:tcPr>
            <w:tcW w:w="1601" w:type="dxa"/>
            <w:tcBorders>
              <w:tl2br w:val="nil"/>
              <w:tr2bl w:val="nil"/>
            </w:tcBorders>
            <w:vAlign w:val="center"/>
          </w:tcPr>
          <w:p>
            <w:pPr>
              <w:snapToGrid w:val="0"/>
              <w:jc w:val="center"/>
              <w:rPr>
                <w:rFonts w:hint="eastAsia" w:ascii="宋体" w:hAnsi="宋体" w:eastAsia="宋体" w:cs="宋体"/>
                <w:b/>
                <w:bCs/>
                <w:color w:val="auto"/>
                <w:sz w:val="18"/>
                <w:szCs w:val="18"/>
                <w:highlight w:val="none"/>
                <w:lang w:val="en-US" w:eastAsia="zh-CN"/>
              </w:rPr>
            </w:pPr>
            <w:r>
              <w:rPr>
                <w:rFonts w:hint="eastAsia" w:ascii="宋体" w:hAnsi="宋体" w:cs="宋体"/>
                <w:b/>
                <w:bCs/>
                <w:color w:val="auto"/>
                <w:sz w:val="18"/>
                <w:szCs w:val="18"/>
                <w:highlight w:val="none"/>
                <w:lang w:val="en-US" w:eastAsia="zh-CN"/>
              </w:rPr>
              <w:t>服务期</w:t>
            </w:r>
          </w:p>
        </w:tc>
        <w:tc>
          <w:tcPr>
            <w:tcW w:w="1601" w:type="dxa"/>
            <w:tcBorders>
              <w:tl2br w:val="nil"/>
              <w:tr2bl w:val="nil"/>
            </w:tcBorders>
            <w:vAlign w:val="center"/>
          </w:tcPr>
          <w:p>
            <w:pPr>
              <w:snapToGrid w:val="0"/>
              <w:jc w:val="center"/>
              <w:rPr>
                <w:rFonts w:hint="default" w:ascii="宋体" w:hAnsi="宋体" w:cs="宋体"/>
                <w:b/>
                <w:bCs/>
                <w:color w:val="auto"/>
                <w:sz w:val="18"/>
                <w:szCs w:val="18"/>
                <w:highlight w:val="none"/>
                <w:lang w:val="en-US" w:eastAsia="zh-CN"/>
              </w:rPr>
            </w:pPr>
            <w:r>
              <w:rPr>
                <w:rFonts w:hint="eastAsia" w:ascii="宋体" w:hAnsi="宋体" w:cs="宋体"/>
                <w:b/>
                <w:bCs/>
                <w:color w:val="auto"/>
                <w:sz w:val="18"/>
                <w:szCs w:val="1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1" w:hRule="atLeast"/>
        </w:trPr>
        <w:tc>
          <w:tcPr>
            <w:tcW w:w="650" w:type="dxa"/>
            <w:tcBorders>
              <w:tl2br w:val="nil"/>
              <w:tr2bl w:val="nil"/>
            </w:tcBorders>
            <w:vAlign w:val="center"/>
          </w:tcPr>
          <w:p>
            <w:pPr>
              <w:spacing w:line="360" w:lineRule="auto"/>
              <w:jc w:val="center"/>
              <w:rPr>
                <w:rFonts w:ascii="宋体" w:cs="宋体"/>
                <w:color w:val="auto"/>
                <w:sz w:val="22"/>
                <w:szCs w:val="22"/>
                <w:highlight w:val="none"/>
              </w:rPr>
            </w:pPr>
            <w:r>
              <w:rPr>
                <w:rFonts w:hint="eastAsia" w:ascii="宋体" w:hAnsi="宋体" w:cs="宋体"/>
                <w:color w:val="auto"/>
                <w:szCs w:val="21"/>
                <w:highlight w:val="none"/>
                <w:lang w:val="en-US" w:eastAsia="zh-CN"/>
              </w:rPr>
              <w:t>1</w:t>
            </w:r>
          </w:p>
        </w:tc>
        <w:tc>
          <w:tcPr>
            <w:tcW w:w="2265" w:type="dxa"/>
            <w:tcBorders>
              <w:tl2br w:val="nil"/>
              <w:tr2bl w:val="nil"/>
            </w:tcBorders>
            <w:vAlign w:val="center"/>
          </w:tcPr>
          <w:p>
            <w:pPr>
              <w:spacing w:line="360" w:lineRule="auto"/>
              <w:ind w:firstLine="420" w:firstLineChars="200"/>
              <w:jc w:val="center"/>
              <w:rPr>
                <w:rFonts w:hint="default" w:ascii="宋体" w:hAnsi="宋体" w:eastAsia="宋体" w:cs="Times New Roman"/>
                <w:color w:val="auto"/>
                <w:szCs w:val="21"/>
                <w:highlight w:val="none"/>
                <w:lang w:val="en-US" w:eastAsia="zh-CN"/>
              </w:rPr>
            </w:pPr>
            <w:r>
              <w:rPr>
                <w:rFonts w:hint="eastAsia" w:ascii="宋体" w:hAnsi="宋体" w:cs="宋体"/>
                <w:color w:val="auto"/>
                <w:szCs w:val="21"/>
                <w:highlight w:val="none"/>
                <w:lang w:val="en-US" w:eastAsia="zh-CN"/>
              </w:rPr>
              <w:t>粮油调味品类</w:t>
            </w:r>
          </w:p>
        </w:tc>
        <w:tc>
          <w:tcPr>
            <w:tcW w:w="3000" w:type="dxa"/>
            <w:tcBorders>
              <w:tl2br w:val="nil"/>
              <w:tr2bl w:val="nil"/>
            </w:tcBorders>
            <w:vAlign w:val="center"/>
          </w:tcPr>
          <w:p>
            <w:pPr>
              <w:snapToGrid w:val="0"/>
              <w:spacing w:line="360" w:lineRule="auto"/>
              <w:ind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p>
        </w:tc>
        <w:tc>
          <w:tcPr>
            <w:tcW w:w="1601" w:type="dxa"/>
            <w:vMerge w:val="restart"/>
            <w:tcBorders>
              <w:tl2br w:val="nil"/>
              <w:tr2bl w:val="nil"/>
            </w:tcBorders>
            <w:vAlign w:val="center"/>
          </w:tcPr>
          <w:p>
            <w:pPr>
              <w:snapToGrid w:val="0"/>
              <w:spacing w:line="360" w:lineRule="auto"/>
              <w:ind w:firstLine="420" w:firstLineChars="200"/>
              <w:jc w:val="left"/>
              <w:rPr>
                <w:rFonts w:hint="eastAsia" w:ascii="宋体" w:hAnsi="宋体" w:eastAsia="宋体" w:cs="Times New Roman"/>
                <w:color w:val="auto"/>
                <w:szCs w:val="21"/>
                <w:highlight w:val="none"/>
              </w:rPr>
            </w:pPr>
          </w:p>
        </w:tc>
        <w:tc>
          <w:tcPr>
            <w:tcW w:w="1601" w:type="dxa"/>
            <w:vMerge w:val="restart"/>
            <w:tcBorders>
              <w:tl2br w:val="nil"/>
              <w:tr2bl w:val="nil"/>
            </w:tcBorders>
            <w:vAlign w:val="center"/>
          </w:tcPr>
          <w:p>
            <w:pPr>
              <w:snapToGrid w:val="0"/>
              <w:spacing w:line="360" w:lineRule="auto"/>
              <w:ind w:firstLine="420" w:firstLineChars="200"/>
              <w:jc w:val="left"/>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1" w:hRule="atLeast"/>
        </w:trPr>
        <w:tc>
          <w:tcPr>
            <w:tcW w:w="650" w:type="dxa"/>
            <w:tcBorders>
              <w:tl2br w:val="nil"/>
              <w:tr2bl w:val="nil"/>
            </w:tcBorders>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Cs w:val="21"/>
                <w:highlight w:val="none"/>
                <w:lang w:val="en-US" w:eastAsia="zh-CN"/>
              </w:rPr>
              <w:t>2</w:t>
            </w:r>
          </w:p>
        </w:tc>
        <w:tc>
          <w:tcPr>
            <w:tcW w:w="2265" w:type="dxa"/>
            <w:tcBorders>
              <w:tl2br w:val="nil"/>
              <w:tr2bl w:val="nil"/>
            </w:tcBorders>
            <w:vAlign w:val="center"/>
          </w:tcPr>
          <w:p>
            <w:pPr>
              <w:spacing w:line="360" w:lineRule="auto"/>
              <w:ind w:firstLine="420" w:firstLineChars="200"/>
              <w:jc w:val="center"/>
              <w:rPr>
                <w:rFonts w:hint="eastAsia" w:ascii="宋体" w:hAnsi="宋体" w:eastAsia="宋体" w:cs="Times New Roman"/>
                <w:color w:val="auto"/>
                <w:szCs w:val="21"/>
                <w:highlight w:val="none"/>
              </w:rPr>
            </w:pPr>
            <w:r>
              <w:rPr>
                <w:rFonts w:hint="eastAsia" w:ascii="宋体" w:hAnsi="宋体" w:cs="宋体"/>
                <w:color w:val="auto"/>
                <w:szCs w:val="21"/>
                <w:highlight w:val="none"/>
                <w:lang w:val="en-US" w:eastAsia="zh-CN"/>
              </w:rPr>
              <w:t>肉禽水产冻品类</w:t>
            </w:r>
          </w:p>
        </w:tc>
        <w:tc>
          <w:tcPr>
            <w:tcW w:w="3000" w:type="dxa"/>
            <w:tcBorders>
              <w:tl2br w:val="nil"/>
              <w:tr2bl w:val="nil"/>
            </w:tcBorders>
            <w:vAlign w:val="center"/>
          </w:tcPr>
          <w:p>
            <w:pPr>
              <w:snapToGrid w:val="0"/>
              <w:spacing w:line="360" w:lineRule="auto"/>
              <w:ind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p>
        </w:tc>
        <w:tc>
          <w:tcPr>
            <w:tcW w:w="1601" w:type="dxa"/>
            <w:vMerge w:val="continue"/>
            <w:tcBorders>
              <w:tl2br w:val="nil"/>
              <w:tr2bl w:val="nil"/>
            </w:tcBorders>
            <w:vAlign w:val="center"/>
          </w:tcPr>
          <w:p>
            <w:pPr>
              <w:snapToGrid w:val="0"/>
              <w:spacing w:line="360" w:lineRule="auto"/>
              <w:ind w:firstLine="420" w:firstLineChars="200"/>
              <w:jc w:val="left"/>
              <w:rPr>
                <w:rFonts w:hint="eastAsia" w:ascii="宋体" w:hAnsi="宋体" w:eastAsia="宋体" w:cs="Times New Roman"/>
                <w:color w:val="auto"/>
                <w:szCs w:val="21"/>
                <w:highlight w:val="none"/>
              </w:rPr>
            </w:pPr>
          </w:p>
        </w:tc>
        <w:tc>
          <w:tcPr>
            <w:tcW w:w="1601" w:type="dxa"/>
            <w:vMerge w:val="continue"/>
            <w:tcBorders>
              <w:tl2br w:val="nil"/>
              <w:tr2bl w:val="nil"/>
            </w:tcBorders>
            <w:vAlign w:val="center"/>
          </w:tcPr>
          <w:p>
            <w:pPr>
              <w:snapToGrid w:val="0"/>
              <w:spacing w:line="360" w:lineRule="auto"/>
              <w:ind w:firstLine="420" w:firstLineChars="200"/>
              <w:jc w:val="left"/>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1" w:hRule="atLeast"/>
        </w:trPr>
        <w:tc>
          <w:tcPr>
            <w:tcW w:w="650" w:type="dxa"/>
            <w:tcBorders>
              <w:tl2br w:val="nil"/>
              <w:tr2bl w:val="nil"/>
            </w:tcBorders>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Cs w:val="21"/>
                <w:highlight w:val="none"/>
                <w:lang w:val="en-US" w:eastAsia="zh-CN"/>
              </w:rPr>
              <w:t>3</w:t>
            </w:r>
          </w:p>
        </w:tc>
        <w:tc>
          <w:tcPr>
            <w:tcW w:w="2265" w:type="dxa"/>
            <w:tcBorders>
              <w:tl2br w:val="nil"/>
              <w:tr2bl w:val="nil"/>
            </w:tcBorders>
            <w:vAlign w:val="center"/>
          </w:tcPr>
          <w:p>
            <w:pPr>
              <w:spacing w:line="360" w:lineRule="auto"/>
              <w:ind w:firstLine="420" w:firstLineChars="200"/>
              <w:jc w:val="center"/>
              <w:rPr>
                <w:rFonts w:hint="eastAsia" w:ascii="宋体" w:hAnsi="宋体" w:eastAsia="宋体" w:cs="Times New Roman"/>
                <w:color w:val="auto"/>
                <w:szCs w:val="21"/>
                <w:highlight w:val="none"/>
              </w:rPr>
            </w:pPr>
            <w:r>
              <w:rPr>
                <w:rFonts w:hint="eastAsia" w:ascii="宋体" w:hAnsi="宋体" w:cs="宋体"/>
                <w:color w:val="auto"/>
                <w:szCs w:val="21"/>
                <w:highlight w:val="none"/>
                <w:lang w:val="en-US" w:eastAsia="zh-CN"/>
              </w:rPr>
              <w:t>水果蔬菜奶制品类</w:t>
            </w:r>
          </w:p>
        </w:tc>
        <w:tc>
          <w:tcPr>
            <w:tcW w:w="3000" w:type="dxa"/>
            <w:tcBorders>
              <w:tl2br w:val="nil"/>
              <w:tr2bl w:val="nil"/>
            </w:tcBorders>
            <w:vAlign w:val="center"/>
          </w:tcPr>
          <w:p>
            <w:pPr>
              <w:snapToGrid w:val="0"/>
              <w:spacing w:line="360" w:lineRule="auto"/>
              <w:ind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p>
        </w:tc>
        <w:tc>
          <w:tcPr>
            <w:tcW w:w="1601" w:type="dxa"/>
            <w:vMerge w:val="continue"/>
            <w:tcBorders>
              <w:tl2br w:val="nil"/>
              <w:tr2bl w:val="nil"/>
            </w:tcBorders>
            <w:vAlign w:val="center"/>
          </w:tcPr>
          <w:p>
            <w:pPr>
              <w:snapToGrid w:val="0"/>
              <w:spacing w:line="360" w:lineRule="auto"/>
              <w:ind w:firstLine="420" w:firstLineChars="200"/>
              <w:jc w:val="left"/>
              <w:rPr>
                <w:rFonts w:hint="eastAsia" w:ascii="宋体" w:hAnsi="宋体" w:eastAsia="宋体" w:cs="Times New Roman"/>
                <w:color w:val="auto"/>
                <w:szCs w:val="21"/>
                <w:highlight w:val="none"/>
              </w:rPr>
            </w:pPr>
          </w:p>
        </w:tc>
        <w:tc>
          <w:tcPr>
            <w:tcW w:w="1601" w:type="dxa"/>
            <w:vMerge w:val="continue"/>
            <w:tcBorders>
              <w:tl2br w:val="nil"/>
              <w:tr2bl w:val="nil"/>
            </w:tcBorders>
            <w:vAlign w:val="center"/>
          </w:tcPr>
          <w:p>
            <w:pPr>
              <w:snapToGrid w:val="0"/>
              <w:spacing w:line="360" w:lineRule="auto"/>
              <w:ind w:firstLine="420" w:firstLineChars="200"/>
              <w:jc w:val="left"/>
              <w:rPr>
                <w:rFonts w:hint="eastAsia" w:ascii="宋体" w:hAnsi="宋体" w:eastAsia="宋体" w:cs="Times New Roman"/>
                <w:color w:val="auto"/>
                <w:szCs w:val="21"/>
                <w:highlight w:val="none"/>
              </w:rPr>
            </w:pPr>
          </w:p>
        </w:tc>
      </w:tr>
    </w:tbl>
    <w:p>
      <w:pPr>
        <w:rPr>
          <w:color w:val="auto"/>
          <w:highlight w:val="none"/>
        </w:rPr>
      </w:pPr>
    </w:p>
    <w:p>
      <w:pPr>
        <w:pStyle w:val="59"/>
        <w:spacing w:line="360" w:lineRule="auto"/>
        <w:rPr>
          <w:rFonts w:ascii="宋体" w:hAnsi="宋体"/>
          <w:color w:val="auto"/>
          <w:highlight w:val="none"/>
        </w:rPr>
      </w:pPr>
    </w:p>
    <w:p>
      <w:pPr>
        <w:snapToGrid w:val="0"/>
        <w:spacing w:line="360" w:lineRule="auto"/>
        <w:rPr>
          <w:rFonts w:ascii="宋体" w:hAnsi="宋体"/>
          <w:color w:val="auto"/>
          <w:szCs w:val="21"/>
          <w:highlight w:val="none"/>
        </w:rPr>
      </w:pPr>
    </w:p>
    <w:p>
      <w:pPr>
        <w:pStyle w:val="26"/>
        <w:snapToGrid w:val="0"/>
        <w:spacing w:line="360" w:lineRule="auto"/>
        <w:ind w:left="420" w:hanging="420"/>
        <w:contextualSpacing/>
        <w:rPr>
          <w:rFonts w:hAnsi="宋体"/>
          <w:color w:val="auto"/>
          <w:szCs w:val="21"/>
          <w:highlight w:val="none"/>
        </w:rPr>
      </w:pPr>
      <w:r>
        <w:rPr>
          <w:rFonts w:hAnsi="宋体"/>
          <w:color w:val="auto"/>
          <w:szCs w:val="21"/>
          <w:highlight w:val="none"/>
        </w:rPr>
        <w:t>注: 1、报价一经涂改，应在涂改处加盖单位公章或者由法定代表人或授权委托人签字或盖章，否则其投标作无效标处理。</w:t>
      </w:r>
    </w:p>
    <w:p>
      <w:pPr>
        <w:autoSpaceDE w:val="0"/>
        <w:autoSpaceDN w:val="0"/>
        <w:snapToGrid w:val="0"/>
        <w:spacing w:line="360" w:lineRule="auto"/>
        <w:contextualSpacing/>
        <w:jc w:val="left"/>
        <w:textAlignment w:val="bottom"/>
        <w:rPr>
          <w:rFonts w:ascii="宋体" w:hAnsi="宋体"/>
          <w:b/>
          <w:bCs/>
          <w:color w:val="auto"/>
          <w:szCs w:val="21"/>
          <w:highlight w:val="none"/>
        </w:rPr>
      </w:pPr>
      <w:r>
        <w:rPr>
          <w:rFonts w:hint="eastAsia" w:ascii="宋体" w:hAnsi="宋体"/>
          <w:b/>
          <w:color w:val="auto"/>
          <w:szCs w:val="21"/>
          <w:highlight w:val="none"/>
        </w:rPr>
        <w:t xml:space="preserve">    </w:t>
      </w:r>
      <w:r>
        <w:rPr>
          <w:rFonts w:hint="eastAsia" w:ascii="宋体" w:hAnsi="宋体"/>
          <w:color w:val="auto"/>
          <w:szCs w:val="21"/>
          <w:highlight w:val="none"/>
        </w:rPr>
        <w:t>▲</w:t>
      </w:r>
      <w:r>
        <w:rPr>
          <w:rFonts w:hint="eastAsia" w:ascii="宋体" w:hAnsi="宋体"/>
          <w:b/>
          <w:color w:val="auto"/>
          <w:szCs w:val="21"/>
          <w:highlight w:val="none"/>
        </w:rPr>
        <w:t>2、</w:t>
      </w:r>
      <w:r>
        <w:rPr>
          <w:rFonts w:hint="eastAsia" w:ascii="宋体" w:hAnsi="宋体" w:cs="宋体"/>
          <w:b/>
          <w:bCs/>
          <w:color w:val="auto"/>
          <w:szCs w:val="21"/>
          <w:highlight w:val="none"/>
          <w:lang w:val="en-US" w:eastAsia="zh-CN"/>
        </w:rPr>
        <w:t>预算金额373.6万元（其中标项1：137.4万元；标项2:137.4万元；标项3：98.8万元）</w:t>
      </w:r>
      <w:r>
        <w:rPr>
          <w:rFonts w:hint="eastAsia" w:ascii="宋体" w:hAnsi="宋体"/>
          <w:color w:val="auto"/>
          <w:szCs w:val="21"/>
          <w:highlight w:val="none"/>
          <w:lang w:val="en-US" w:eastAsia="zh-CN"/>
        </w:rPr>
        <w:t>。</w:t>
      </w:r>
      <w:r>
        <w:rPr>
          <w:rFonts w:hint="eastAsia" w:ascii="宋体" w:hAnsi="宋体"/>
          <w:color w:val="auto"/>
          <w:szCs w:val="21"/>
          <w:highlight w:val="none"/>
        </w:rPr>
        <w:t>投标费率上限价</w:t>
      </w:r>
      <w:r>
        <w:rPr>
          <w:rFonts w:hint="eastAsia" w:ascii="宋体" w:hAnsi="宋体"/>
          <w:color w:val="auto"/>
          <w:szCs w:val="21"/>
          <w:highlight w:val="none"/>
          <w:lang w:val="en-US" w:eastAsia="zh-CN"/>
        </w:rPr>
        <w:t>标项1，标项2</w:t>
      </w:r>
      <w:r>
        <w:rPr>
          <w:rFonts w:hint="eastAsia" w:ascii="宋体" w:hAnsi="宋体"/>
          <w:color w:val="auto"/>
          <w:szCs w:val="21"/>
          <w:highlight w:val="none"/>
        </w:rPr>
        <w:t>为100%</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标项3为90%</w:t>
      </w:r>
      <w:r>
        <w:rPr>
          <w:rFonts w:hint="eastAsia" w:ascii="宋体" w:hAnsi="宋体"/>
          <w:color w:val="auto"/>
          <w:szCs w:val="21"/>
          <w:highlight w:val="none"/>
        </w:rPr>
        <w:t>。报价超过上限</w:t>
      </w:r>
      <w:r>
        <w:rPr>
          <w:rFonts w:hint="eastAsia" w:ascii="宋体" w:hAnsi="宋体"/>
          <w:color w:val="auto"/>
          <w:szCs w:val="21"/>
          <w:highlight w:val="none"/>
          <w:lang w:val="en-US" w:eastAsia="zh-CN"/>
        </w:rPr>
        <w:t>费率</w:t>
      </w:r>
      <w:r>
        <w:rPr>
          <w:rFonts w:hint="eastAsia" w:ascii="宋体" w:hAnsi="宋体"/>
          <w:color w:val="auto"/>
          <w:szCs w:val="21"/>
          <w:highlight w:val="none"/>
        </w:rPr>
        <w:t>的作无效标处理</w:t>
      </w:r>
      <w:r>
        <w:rPr>
          <w:rFonts w:hint="eastAsia" w:ascii="宋体" w:hAnsi="宋体"/>
          <w:b/>
          <w:bCs/>
          <w:color w:val="auto"/>
          <w:szCs w:val="21"/>
          <w:highlight w:val="none"/>
        </w:rPr>
        <w:t>。</w:t>
      </w:r>
    </w:p>
    <w:p>
      <w:pPr>
        <w:pStyle w:val="26"/>
        <w:snapToGrid w:val="0"/>
        <w:spacing w:line="360" w:lineRule="auto"/>
        <w:rPr>
          <w:rFonts w:hAnsi="宋体"/>
          <w:color w:val="auto"/>
          <w:szCs w:val="21"/>
          <w:highlight w:val="none"/>
          <w:shd w:val="clear" w:color="auto" w:fill="FFFFFF"/>
        </w:rPr>
      </w:pPr>
      <w:r>
        <w:rPr>
          <w:rFonts w:hint="eastAsia" w:hAnsi="宋体"/>
          <w:color w:val="auto"/>
          <w:szCs w:val="21"/>
          <w:highlight w:val="none"/>
        </w:rPr>
        <w:t xml:space="preserve">   </w:t>
      </w:r>
      <w:r>
        <w:rPr>
          <w:rFonts w:hint="eastAsia" w:hAnsi="宋体"/>
          <w:color w:val="auto"/>
          <w:szCs w:val="21"/>
          <w:highlight w:val="none"/>
          <w:shd w:val="clear" w:color="auto" w:fill="FFFFFF"/>
        </w:rPr>
        <w:t xml:space="preserve"> 3、报价及结算方式：投标人按费率进行报价，结算时根据大润发超市对应产品挂牌价（结算日前一天的挂牌价（若前一天挂牌价为促销价则按促销价计算），若结算前一天大润发无该产品的则参考常秀街菜场对应品种的挂牌价）×中标费率确定结算单价。</w:t>
      </w:r>
    </w:p>
    <w:p>
      <w:pPr>
        <w:pStyle w:val="26"/>
        <w:snapToGrid w:val="0"/>
        <w:spacing w:line="360" w:lineRule="auto"/>
        <w:rPr>
          <w:rFonts w:hAnsi="宋体"/>
          <w:color w:val="auto"/>
          <w:szCs w:val="21"/>
          <w:highlight w:val="none"/>
          <w:shd w:val="clear" w:color="auto" w:fill="FFFFFF"/>
        </w:rPr>
      </w:pPr>
      <w:r>
        <w:rPr>
          <w:rFonts w:hint="eastAsia" w:hAnsi="宋体"/>
          <w:color w:val="auto"/>
          <w:szCs w:val="21"/>
          <w:highlight w:val="none"/>
          <w:shd w:val="clear" w:color="auto" w:fill="FFFFFF"/>
        </w:rPr>
        <w:t xml:space="preserve">    4、本项目投标报价为包装、运输、搬运、保险、税金等一切费用，即运送至使用嘉兴海关两个办公区食堂仓库内的包干价格。</w:t>
      </w:r>
    </w:p>
    <w:p>
      <w:pPr>
        <w:pStyle w:val="26"/>
        <w:snapToGrid w:val="0"/>
        <w:spacing w:line="360" w:lineRule="auto"/>
        <w:contextualSpacing/>
        <w:rPr>
          <w:rFonts w:hAnsi="宋体"/>
          <w:color w:val="auto"/>
          <w:szCs w:val="21"/>
          <w:highlight w:val="none"/>
        </w:rPr>
      </w:pPr>
    </w:p>
    <w:p>
      <w:pPr>
        <w:pStyle w:val="26"/>
        <w:snapToGrid w:val="0"/>
        <w:spacing w:line="360" w:lineRule="auto"/>
        <w:rPr>
          <w:rFonts w:hAnsi="宋体"/>
          <w:color w:val="auto"/>
          <w:szCs w:val="21"/>
          <w:highlight w:val="none"/>
          <w:shd w:val="clear" w:color="auto" w:fill="FFFFFF"/>
        </w:rPr>
      </w:pPr>
    </w:p>
    <w:p>
      <w:pPr>
        <w:pStyle w:val="26"/>
        <w:snapToGrid w:val="0"/>
        <w:spacing w:line="360" w:lineRule="auto"/>
        <w:rPr>
          <w:rFonts w:hAnsi="宋体"/>
          <w:color w:val="auto"/>
          <w:szCs w:val="21"/>
          <w:highlight w:val="none"/>
          <w:shd w:val="clear" w:color="auto" w:fill="FFFFFF"/>
        </w:rPr>
      </w:pPr>
    </w:p>
    <w:p>
      <w:pPr>
        <w:pStyle w:val="26"/>
        <w:snapToGrid w:val="0"/>
        <w:spacing w:line="360" w:lineRule="auto"/>
        <w:rPr>
          <w:rFonts w:hAnsi="宋体"/>
          <w:color w:val="auto"/>
          <w:szCs w:val="21"/>
          <w:highlight w:val="none"/>
          <w:shd w:val="clear" w:color="auto" w:fill="FFFFFF"/>
        </w:rPr>
      </w:pPr>
      <w:r>
        <w:rPr>
          <w:rFonts w:hAnsi="宋体"/>
          <w:color w:val="auto"/>
          <w:szCs w:val="21"/>
          <w:highlight w:val="none"/>
          <w:shd w:val="clear" w:color="auto" w:fill="FFFFFF"/>
        </w:rPr>
        <w:t xml:space="preserve">法定代表人或授权代表（签字或盖章）： </w:t>
      </w:r>
    </w:p>
    <w:p>
      <w:pPr>
        <w:pStyle w:val="26"/>
        <w:snapToGrid w:val="0"/>
        <w:spacing w:line="360" w:lineRule="auto"/>
        <w:rPr>
          <w:rFonts w:hAnsi="宋体"/>
          <w:color w:val="auto"/>
          <w:szCs w:val="21"/>
          <w:highlight w:val="none"/>
          <w:shd w:val="clear" w:color="auto" w:fill="FFFFFF"/>
        </w:rPr>
      </w:pPr>
    </w:p>
    <w:p>
      <w:pPr>
        <w:pStyle w:val="26"/>
        <w:snapToGrid w:val="0"/>
        <w:spacing w:line="360" w:lineRule="auto"/>
        <w:rPr>
          <w:rFonts w:hAnsi="宋体"/>
          <w:color w:val="auto"/>
          <w:szCs w:val="21"/>
          <w:highlight w:val="none"/>
          <w:shd w:val="clear" w:color="auto" w:fill="FFFFFF"/>
        </w:rPr>
      </w:pPr>
      <w:r>
        <w:rPr>
          <w:rFonts w:hint="eastAsia" w:hAnsi="宋体"/>
          <w:color w:val="auto"/>
          <w:szCs w:val="21"/>
          <w:highlight w:val="none"/>
          <w:shd w:val="clear" w:color="auto" w:fill="FFFFFF"/>
        </w:rPr>
        <w:t>投标人名称：（盖章）</w:t>
      </w:r>
      <w:r>
        <w:rPr>
          <w:rFonts w:hAnsi="宋体"/>
          <w:color w:val="auto"/>
          <w:szCs w:val="21"/>
          <w:highlight w:val="none"/>
          <w:shd w:val="clear" w:color="auto" w:fill="FFFFFF"/>
        </w:rPr>
        <w:t>：</w:t>
      </w:r>
    </w:p>
    <w:p>
      <w:pPr>
        <w:pStyle w:val="26"/>
        <w:snapToGrid w:val="0"/>
        <w:spacing w:line="360" w:lineRule="auto"/>
        <w:rPr>
          <w:rFonts w:hAnsi="宋体"/>
          <w:color w:val="auto"/>
          <w:szCs w:val="21"/>
          <w:highlight w:val="none"/>
        </w:rPr>
      </w:pPr>
    </w:p>
    <w:p>
      <w:pPr>
        <w:pStyle w:val="26"/>
        <w:snapToGrid w:val="0"/>
        <w:spacing w:line="360" w:lineRule="auto"/>
        <w:rPr>
          <w:rFonts w:hAnsi="宋体"/>
          <w:color w:val="auto"/>
          <w:szCs w:val="21"/>
          <w:highlight w:val="none"/>
          <w:shd w:val="clear" w:color="auto" w:fill="FFFFFF"/>
        </w:rPr>
      </w:pPr>
      <w:r>
        <w:rPr>
          <w:rFonts w:hint="eastAsia" w:hAnsi="宋体"/>
          <w:color w:val="auto"/>
          <w:szCs w:val="21"/>
          <w:highlight w:val="none"/>
          <w:shd w:val="clear" w:color="auto" w:fill="FFFFFF"/>
        </w:rPr>
        <w:t>日期：</w:t>
      </w:r>
    </w:p>
    <w:p>
      <w:pPr>
        <w:pStyle w:val="8"/>
        <w:rPr>
          <w:rFonts w:hint="eastAsia" w:hAnsi="宋体"/>
          <w:color w:val="auto"/>
          <w:szCs w:val="21"/>
          <w:highlight w:val="none"/>
          <w:shd w:val="clear" w:color="auto" w:fill="FFFFFF"/>
        </w:rPr>
      </w:pPr>
    </w:p>
    <w:p>
      <w:pPr>
        <w:snapToGrid w:val="0"/>
        <w:spacing w:line="360" w:lineRule="auto"/>
        <w:ind w:firstLine="420" w:firstLineChars="200"/>
        <w:jc w:val="center"/>
        <w:rPr>
          <w:rFonts w:hint="eastAsia" w:ascii="宋体" w:hAnsi="宋体" w:eastAsia="宋体"/>
          <w:color w:val="auto"/>
          <w:szCs w:val="21"/>
          <w:highlight w:val="none"/>
          <w:lang w:eastAsia="zh-CN"/>
        </w:rPr>
      </w:pPr>
      <w:r>
        <w:rPr>
          <w:rFonts w:hint="eastAsia" w:ascii="宋体" w:hAnsi="宋体"/>
          <w:color w:val="auto"/>
          <w:szCs w:val="21"/>
          <w:highlight w:val="none"/>
        </w:rPr>
        <w:t>开标一览表</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标项2</w:t>
      </w:r>
      <w:r>
        <w:rPr>
          <w:rFonts w:hint="eastAsia" w:ascii="宋体" w:hAnsi="宋体"/>
          <w:color w:val="auto"/>
          <w:szCs w:val="21"/>
          <w:highlight w:val="none"/>
          <w:lang w:eastAsia="zh-CN"/>
        </w:rPr>
        <w:t>）</w:t>
      </w:r>
    </w:p>
    <w:p>
      <w:pPr>
        <w:snapToGrid w:val="0"/>
        <w:spacing w:line="360" w:lineRule="auto"/>
        <w:ind w:firstLine="420" w:firstLineChars="200"/>
        <w:jc w:val="left"/>
        <w:rPr>
          <w:rFonts w:ascii="宋体" w:hAnsi="宋体"/>
          <w:color w:val="auto"/>
          <w:szCs w:val="21"/>
          <w:highlight w:val="none"/>
        </w:rPr>
      </w:pPr>
    </w:p>
    <w:p>
      <w:pPr>
        <w:snapToGrid w:val="0"/>
        <w:spacing w:line="360" w:lineRule="auto"/>
        <w:rPr>
          <w:rFonts w:ascii="宋体" w:hAnsi="宋体"/>
          <w:color w:val="auto"/>
          <w:szCs w:val="21"/>
          <w:highlight w:val="none"/>
        </w:rPr>
      </w:pPr>
      <w:r>
        <w:rPr>
          <w:rFonts w:ascii="宋体" w:hAnsi="宋体"/>
          <w:color w:val="auto"/>
          <w:szCs w:val="21"/>
          <w:highlight w:val="none"/>
        </w:rPr>
        <w:t>招标编号： 投标人名称：</w:t>
      </w:r>
    </w:p>
    <w:tbl>
      <w:tblPr>
        <w:tblStyle w:val="49"/>
        <w:tblpPr w:leftFromText="180" w:rightFromText="180" w:vertAnchor="text" w:horzAnchor="page" w:tblpX="1393" w:tblpY="307"/>
        <w:tblOverlap w:val="never"/>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50"/>
        <w:gridCol w:w="2265"/>
        <w:gridCol w:w="3000"/>
        <w:gridCol w:w="1601"/>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3" w:hRule="atLeast"/>
        </w:trPr>
        <w:tc>
          <w:tcPr>
            <w:tcW w:w="650" w:type="dxa"/>
            <w:tcBorders>
              <w:tl2br w:val="nil"/>
              <w:tr2bl w:val="nil"/>
            </w:tcBorders>
            <w:vAlign w:val="center"/>
          </w:tcPr>
          <w:p>
            <w:pPr>
              <w:snapToGrid w:val="0"/>
              <w:jc w:val="center"/>
              <w:rPr>
                <w:rFonts w:ascii="宋体" w:cs="宋体"/>
                <w:b/>
                <w:bCs/>
                <w:color w:val="auto"/>
                <w:sz w:val="18"/>
                <w:szCs w:val="18"/>
                <w:highlight w:val="none"/>
              </w:rPr>
            </w:pPr>
            <w:r>
              <w:rPr>
                <w:rFonts w:hint="eastAsia" w:ascii="宋体" w:hAnsi="宋体" w:cs="宋体"/>
                <w:b/>
                <w:bCs/>
                <w:color w:val="auto"/>
                <w:sz w:val="18"/>
                <w:szCs w:val="18"/>
                <w:highlight w:val="none"/>
              </w:rPr>
              <w:t>序号</w:t>
            </w:r>
          </w:p>
        </w:tc>
        <w:tc>
          <w:tcPr>
            <w:tcW w:w="2265" w:type="dxa"/>
            <w:tcBorders>
              <w:tl2br w:val="nil"/>
              <w:tr2bl w:val="nil"/>
            </w:tcBorders>
            <w:vAlign w:val="center"/>
          </w:tcPr>
          <w:p>
            <w:pPr>
              <w:snapToGrid w:val="0"/>
              <w:jc w:val="center"/>
              <w:rPr>
                <w:rFonts w:ascii="宋体" w:cs="宋体"/>
                <w:b/>
                <w:bCs/>
                <w:color w:val="auto"/>
                <w:sz w:val="18"/>
                <w:szCs w:val="18"/>
                <w:highlight w:val="none"/>
              </w:rPr>
            </w:pPr>
            <w:r>
              <w:rPr>
                <w:rFonts w:hint="eastAsia" w:ascii="宋体" w:hAnsi="宋体" w:cs="宋体"/>
                <w:b/>
                <w:bCs/>
                <w:color w:val="auto"/>
                <w:sz w:val="18"/>
                <w:szCs w:val="18"/>
                <w:highlight w:val="none"/>
              </w:rPr>
              <w:t>采购内容</w:t>
            </w:r>
          </w:p>
        </w:tc>
        <w:tc>
          <w:tcPr>
            <w:tcW w:w="3000" w:type="dxa"/>
            <w:tcBorders>
              <w:tl2br w:val="nil"/>
              <w:tr2bl w:val="nil"/>
            </w:tcBorders>
            <w:vAlign w:val="center"/>
          </w:tcPr>
          <w:p>
            <w:pPr>
              <w:snapToGrid w:val="0"/>
              <w:jc w:val="center"/>
              <w:rPr>
                <w:rFonts w:ascii="宋体" w:cs="宋体"/>
                <w:b/>
                <w:bCs/>
                <w:color w:val="auto"/>
                <w:sz w:val="18"/>
                <w:szCs w:val="18"/>
                <w:highlight w:val="none"/>
              </w:rPr>
            </w:pPr>
            <w:r>
              <w:rPr>
                <w:rFonts w:hint="eastAsia" w:ascii="宋体" w:hAnsi="宋体" w:cs="宋体"/>
                <w:b/>
                <w:bCs/>
                <w:color w:val="auto"/>
                <w:sz w:val="18"/>
                <w:szCs w:val="18"/>
                <w:highlight w:val="none"/>
              </w:rPr>
              <w:t>投标报价</w:t>
            </w:r>
          </w:p>
        </w:tc>
        <w:tc>
          <w:tcPr>
            <w:tcW w:w="1601" w:type="dxa"/>
            <w:tcBorders>
              <w:tl2br w:val="nil"/>
              <w:tr2bl w:val="nil"/>
            </w:tcBorders>
            <w:vAlign w:val="center"/>
          </w:tcPr>
          <w:p>
            <w:pPr>
              <w:snapToGrid w:val="0"/>
              <w:jc w:val="center"/>
              <w:rPr>
                <w:rFonts w:hint="eastAsia" w:ascii="宋体" w:hAnsi="宋体" w:eastAsia="宋体" w:cs="宋体"/>
                <w:b/>
                <w:bCs/>
                <w:color w:val="auto"/>
                <w:sz w:val="18"/>
                <w:szCs w:val="18"/>
                <w:highlight w:val="none"/>
                <w:lang w:val="en-US" w:eastAsia="zh-CN"/>
              </w:rPr>
            </w:pPr>
            <w:r>
              <w:rPr>
                <w:rFonts w:hint="eastAsia" w:ascii="宋体" w:hAnsi="宋体" w:cs="宋体"/>
                <w:b/>
                <w:bCs/>
                <w:color w:val="auto"/>
                <w:sz w:val="18"/>
                <w:szCs w:val="18"/>
                <w:highlight w:val="none"/>
                <w:lang w:val="en-US" w:eastAsia="zh-CN"/>
              </w:rPr>
              <w:t>服务期</w:t>
            </w:r>
          </w:p>
        </w:tc>
        <w:tc>
          <w:tcPr>
            <w:tcW w:w="1601" w:type="dxa"/>
            <w:tcBorders>
              <w:tl2br w:val="nil"/>
              <w:tr2bl w:val="nil"/>
            </w:tcBorders>
            <w:vAlign w:val="center"/>
          </w:tcPr>
          <w:p>
            <w:pPr>
              <w:snapToGrid w:val="0"/>
              <w:jc w:val="center"/>
              <w:rPr>
                <w:rFonts w:hint="default" w:ascii="宋体" w:hAnsi="宋体" w:cs="宋体"/>
                <w:b/>
                <w:bCs/>
                <w:color w:val="auto"/>
                <w:sz w:val="18"/>
                <w:szCs w:val="18"/>
                <w:highlight w:val="none"/>
                <w:lang w:val="en-US" w:eastAsia="zh-CN"/>
              </w:rPr>
            </w:pPr>
            <w:r>
              <w:rPr>
                <w:rFonts w:hint="eastAsia" w:ascii="宋体" w:hAnsi="宋体" w:cs="宋体"/>
                <w:b/>
                <w:bCs/>
                <w:color w:val="auto"/>
                <w:sz w:val="18"/>
                <w:szCs w:val="1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1" w:hRule="atLeast"/>
        </w:trPr>
        <w:tc>
          <w:tcPr>
            <w:tcW w:w="650" w:type="dxa"/>
            <w:tcBorders>
              <w:tl2br w:val="nil"/>
              <w:tr2bl w:val="nil"/>
            </w:tcBorders>
            <w:vAlign w:val="center"/>
          </w:tcPr>
          <w:p>
            <w:pPr>
              <w:spacing w:line="360" w:lineRule="auto"/>
              <w:jc w:val="center"/>
              <w:rPr>
                <w:rFonts w:ascii="宋体" w:cs="宋体"/>
                <w:color w:val="auto"/>
                <w:sz w:val="22"/>
                <w:szCs w:val="22"/>
                <w:highlight w:val="none"/>
              </w:rPr>
            </w:pPr>
            <w:r>
              <w:rPr>
                <w:rFonts w:hint="eastAsia" w:ascii="宋体" w:hAnsi="宋体" w:cs="宋体"/>
                <w:color w:val="auto"/>
                <w:szCs w:val="21"/>
                <w:highlight w:val="none"/>
                <w:lang w:val="en-US" w:eastAsia="zh-CN"/>
              </w:rPr>
              <w:t>1</w:t>
            </w:r>
          </w:p>
        </w:tc>
        <w:tc>
          <w:tcPr>
            <w:tcW w:w="2265" w:type="dxa"/>
            <w:tcBorders>
              <w:tl2br w:val="nil"/>
              <w:tr2bl w:val="nil"/>
            </w:tcBorders>
            <w:vAlign w:val="center"/>
          </w:tcPr>
          <w:p>
            <w:pPr>
              <w:spacing w:line="360" w:lineRule="auto"/>
              <w:ind w:firstLine="420" w:firstLineChars="200"/>
              <w:jc w:val="center"/>
              <w:rPr>
                <w:rFonts w:hint="default" w:ascii="宋体" w:hAnsi="宋体" w:eastAsia="宋体" w:cs="Times New Roman"/>
                <w:color w:val="auto"/>
                <w:szCs w:val="21"/>
                <w:highlight w:val="none"/>
                <w:lang w:val="en-US" w:eastAsia="zh-CN"/>
              </w:rPr>
            </w:pPr>
            <w:r>
              <w:rPr>
                <w:rFonts w:hint="eastAsia" w:ascii="宋体" w:hAnsi="宋体" w:cs="宋体"/>
                <w:color w:val="auto"/>
                <w:szCs w:val="21"/>
                <w:highlight w:val="none"/>
                <w:lang w:val="en-US" w:eastAsia="zh-CN"/>
              </w:rPr>
              <w:t>粮油调味品类</w:t>
            </w:r>
          </w:p>
        </w:tc>
        <w:tc>
          <w:tcPr>
            <w:tcW w:w="3000" w:type="dxa"/>
            <w:tcBorders>
              <w:tl2br w:val="nil"/>
              <w:tr2bl w:val="nil"/>
            </w:tcBorders>
            <w:vAlign w:val="center"/>
          </w:tcPr>
          <w:p>
            <w:pPr>
              <w:snapToGrid w:val="0"/>
              <w:spacing w:line="360" w:lineRule="auto"/>
              <w:ind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p>
        </w:tc>
        <w:tc>
          <w:tcPr>
            <w:tcW w:w="1601" w:type="dxa"/>
            <w:vMerge w:val="restart"/>
            <w:tcBorders>
              <w:tl2br w:val="nil"/>
              <w:tr2bl w:val="nil"/>
            </w:tcBorders>
            <w:vAlign w:val="center"/>
          </w:tcPr>
          <w:p>
            <w:pPr>
              <w:snapToGrid w:val="0"/>
              <w:spacing w:line="360" w:lineRule="auto"/>
              <w:ind w:firstLine="420" w:firstLineChars="200"/>
              <w:jc w:val="left"/>
              <w:rPr>
                <w:rFonts w:hint="eastAsia" w:ascii="宋体" w:hAnsi="宋体" w:eastAsia="宋体" w:cs="Times New Roman"/>
                <w:color w:val="auto"/>
                <w:szCs w:val="21"/>
                <w:highlight w:val="none"/>
              </w:rPr>
            </w:pPr>
          </w:p>
        </w:tc>
        <w:tc>
          <w:tcPr>
            <w:tcW w:w="1601" w:type="dxa"/>
            <w:vMerge w:val="restart"/>
            <w:tcBorders>
              <w:tl2br w:val="nil"/>
              <w:tr2bl w:val="nil"/>
            </w:tcBorders>
            <w:vAlign w:val="center"/>
          </w:tcPr>
          <w:p>
            <w:pPr>
              <w:snapToGrid w:val="0"/>
              <w:spacing w:line="360" w:lineRule="auto"/>
              <w:ind w:firstLine="420" w:firstLineChars="200"/>
              <w:jc w:val="left"/>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1" w:hRule="atLeast"/>
        </w:trPr>
        <w:tc>
          <w:tcPr>
            <w:tcW w:w="650" w:type="dxa"/>
            <w:tcBorders>
              <w:tl2br w:val="nil"/>
              <w:tr2bl w:val="nil"/>
            </w:tcBorders>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Cs w:val="21"/>
                <w:highlight w:val="none"/>
                <w:lang w:val="en-US" w:eastAsia="zh-CN"/>
              </w:rPr>
              <w:t>2</w:t>
            </w:r>
          </w:p>
        </w:tc>
        <w:tc>
          <w:tcPr>
            <w:tcW w:w="2265" w:type="dxa"/>
            <w:tcBorders>
              <w:tl2br w:val="nil"/>
              <w:tr2bl w:val="nil"/>
            </w:tcBorders>
            <w:vAlign w:val="center"/>
          </w:tcPr>
          <w:p>
            <w:pPr>
              <w:spacing w:line="360" w:lineRule="auto"/>
              <w:ind w:firstLine="420" w:firstLineChars="200"/>
              <w:jc w:val="center"/>
              <w:rPr>
                <w:rFonts w:hint="eastAsia" w:ascii="宋体" w:hAnsi="宋体" w:eastAsia="宋体" w:cs="Times New Roman"/>
                <w:color w:val="auto"/>
                <w:szCs w:val="21"/>
                <w:highlight w:val="none"/>
              </w:rPr>
            </w:pPr>
            <w:r>
              <w:rPr>
                <w:rFonts w:hint="eastAsia" w:ascii="宋体" w:hAnsi="宋体" w:cs="宋体"/>
                <w:color w:val="auto"/>
                <w:szCs w:val="21"/>
                <w:highlight w:val="none"/>
                <w:lang w:val="en-US" w:eastAsia="zh-CN"/>
              </w:rPr>
              <w:t>肉禽水产冻品类</w:t>
            </w:r>
          </w:p>
        </w:tc>
        <w:tc>
          <w:tcPr>
            <w:tcW w:w="3000" w:type="dxa"/>
            <w:tcBorders>
              <w:tl2br w:val="nil"/>
              <w:tr2bl w:val="nil"/>
            </w:tcBorders>
            <w:vAlign w:val="center"/>
          </w:tcPr>
          <w:p>
            <w:pPr>
              <w:snapToGrid w:val="0"/>
              <w:spacing w:line="360" w:lineRule="auto"/>
              <w:ind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p>
        </w:tc>
        <w:tc>
          <w:tcPr>
            <w:tcW w:w="1601" w:type="dxa"/>
            <w:vMerge w:val="continue"/>
            <w:tcBorders>
              <w:tl2br w:val="nil"/>
              <w:tr2bl w:val="nil"/>
            </w:tcBorders>
            <w:vAlign w:val="center"/>
          </w:tcPr>
          <w:p>
            <w:pPr>
              <w:snapToGrid w:val="0"/>
              <w:spacing w:line="360" w:lineRule="auto"/>
              <w:ind w:firstLine="420" w:firstLineChars="200"/>
              <w:jc w:val="left"/>
              <w:rPr>
                <w:rFonts w:hint="eastAsia" w:ascii="宋体" w:hAnsi="宋体" w:eastAsia="宋体" w:cs="Times New Roman"/>
                <w:color w:val="auto"/>
                <w:szCs w:val="21"/>
                <w:highlight w:val="none"/>
              </w:rPr>
            </w:pPr>
          </w:p>
        </w:tc>
        <w:tc>
          <w:tcPr>
            <w:tcW w:w="1601" w:type="dxa"/>
            <w:vMerge w:val="continue"/>
            <w:tcBorders>
              <w:tl2br w:val="nil"/>
              <w:tr2bl w:val="nil"/>
            </w:tcBorders>
            <w:vAlign w:val="center"/>
          </w:tcPr>
          <w:p>
            <w:pPr>
              <w:snapToGrid w:val="0"/>
              <w:spacing w:line="360" w:lineRule="auto"/>
              <w:ind w:firstLine="420" w:firstLineChars="200"/>
              <w:jc w:val="left"/>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1" w:hRule="atLeast"/>
        </w:trPr>
        <w:tc>
          <w:tcPr>
            <w:tcW w:w="650" w:type="dxa"/>
            <w:tcBorders>
              <w:tl2br w:val="nil"/>
              <w:tr2bl w:val="nil"/>
            </w:tcBorders>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Cs w:val="21"/>
                <w:highlight w:val="none"/>
                <w:lang w:val="en-US" w:eastAsia="zh-CN"/>
              </w:rPr>
              <w:t>3</w:t>
            </w:r>
          </w:p>
        </w:tc>
        <w:tc>
          <w:tcPr>
            <w:tcW w:w="2265" w:type="dxa"/>
            <w:tcBorders>
              <w:tl2br w:val="nil"/>
              <w:tr2bl w:val="nil"/>
            </w:tcBorders>
            <w:vAlign w:val="center"/>
          </w:tcPr>
          <w:p>
            <w:pPr>
              <w:spacing w:line="360" w:lineRule="auto"/>
              <w:ind w:firstLine="420" w:firstLineChars="200"/>
              <w:jc w:val="center"/>
              <w:rPr>
                <w:rFonts w:hint="eastAsia" w:ascii="宋体" w:hAnsi="宋体" w:eastAsia="宋体" w:cs="Times New Roman"/>
                <w:color w:val="auto"/>
                <w:szCs w:val="21"/>
                <w:highlight w:val="none"/>
              </w:rPr>
            </w:pPr>
            <w:r>
              <w:rPr>
                <w:rFonts w:hint="eastAsia" w:ascii="宋体" w:hAnsi="宋体" w:cs="宋体"/>
                <w:color w:val="auto"/>
                <w:szCs w:val="21"/>
                <w:highlight w:val="none"/>
                <w:lang w:val="en-US" w:eastAsia="zh-CN"/>
              </w:rPr>
              <w:t>水果蔬菜奶制品类</w:t>
            </w:r>
          </w:p>
        </w:tc>
        <w:tc>
          <w:tcPr>
            <w:tcW w:w="3000" w:type="dxa"/>
            <w:tcBorders>
              <w:tl2br w:val="nil"/>
              <w:tr2bl w:val="nil"/>
            </w:tcBorders>
            <w:vAlign w:val="center"/>
          </w:tcPr>
          <w:p>
            <w:pPr>
              <w:snapToGrid w:val="0"/>
              <w:spacing w:line="360" w:lineRule="auto"/>
              <w:ind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p>
        </w:tc>
        <w:tc>
          <w:tcPr>
            <w:tcW w:w="1601" w:type="dxa"/>
            <w:vMerge w:val="continue"/>
            <w:tcBorders>
              <w:tl2br w:val="nil"/>
              <w:tr2bl w:val="nil"/>
            </w:tcBorders>
            <w:vAlign w:val="center"/>
          </w:tcPr>
          <w:p>
            <w:pPr>
              <w:snapToGrid w:val="0"/>
              <w:spacing w:line="360" w:lineRule="auto"/>
              <w:ind w:firstLine="420" w:firstLineChars="200"/>
              <w:jc w:val="left"/>
              <w:rPr>
                <w:rFonts w:hint="eastAsia" w:ascii="宋体" w:hAnsi="宋体" w:eastAsia="宋体" w:cs="Times New Roman"/>
                <w:color w:val="auto"/>
                <w:szCs w:val="21"/>
                <w:highlight w:val="none"/>
              </w:rPr>
            </w:pPr>
          </w:p>
        </w:tc>
        <w:tc>
          <w:tcPr>
            <w:tcW w:w="1601" w:type="dxa"/>
            <w:vMerge w:val="continue"/>
            <w:tcBorders>
              <w:tl2br w:val="nil"/>
              <w:tr2bl w:val="nil"/>
            </w:tcBorders>
            <w:vAlign w:val="center"/>
          </w:tcPr>
          <w:p>
            <w:pPr>
              <w:snapToGrid w:val="0"/>
              <w:spacing w:line="360" w:lineRule="auto"/>
              <w:ind w:firstLine="420" w:firstLineChars="200"/>
              <w:jc w:val="left"/>
              <w:rPr>
                <w:rFonts w:hint="eastAsia" w:ascii="宋体" w:hAnsi="宋体" w:eastAsia="宋体" w:cs="Times New Roman"/>
                <w:color w:val="auto"/>
                <w:szCs w:val="21"/>
                <w:highlight w:val="none"/>
              </w:rPr>
            </w:pPr>
          </w:p>
        </w:tc>
      </w:tr>
    </w:tbl>
    <w:p>
      <w:pPr>
        <w:pStyle w:val="59"/>
        <w:spacing w:line="360" w:lineRule="auto"/>
        <w:rPr>
          <w:rFonts w:ascii="宋体" w:hAnsi="宋体"/>
          <w:color w:val="auto"/>
          <w:highlight w:val="none"/>
        </w:rPr>
      </w:pPr>
    </w:p>
    <w:p>
      <w:pPr>
        <w:snapToGrid w:val="0"/>
        <w:spacing w:line="360" w:lineRule="auto"/>
        <w:rPr>
          <w:rFonts w:ascii="宋体" w:hAnsi="宋体"/>
          <w:color w:val="auto"/>
          <w:szCs w:val="21"/>
          <w:highlight w:val="none"/>
        </w:rPr>
      </w:pPr>
    </w:p>
    <w:p>
      <w:pPr>
        <w:pStyle w:val="26"/>
        <w:snapToGrid w:val="0"/>
        <w:spacing w:line="360" w:lineRule="auto"/>
        <w:ind w:left="420" w:hanging="420"/>
        <w:contextualSpacing/>
        <w:rPr>
          <w:rFonts w:hAnsi="宋体"/>
          <w:color w:val="auto"/>
          <w:szCs w:val="21"/>
          <w:highlight w:val="none"/>
        </w:rPr>
      </w:pPr>
      <w:r>
        <w:rPr>
          <w:rFonts w:hAnsi="宋体"/>
          <w:color w:val="auto"/>
          <w:szCs w:val="21"/>
          <w:highlight w:val="none"/>
        </w:rPr>
        <w:t>注: 1、报价一经涂改，应在涂改处加盖单位公章或者由法定代表人或授权委托人签字或盖章，否则其投标作无效标处理。</w:t>
      </w:r>
    </w:p>
    <w:p>
      <w:pPr>
        <w:autoSpaceDE w:val="0"/>
        <w:autoSpaceDN w:val="0"/>
        <w:snapToGrid w:val="0"/>
        <w:spacing w:line="360" w:lineRule="auto"/>
        <w:contextualSpacing/>
        <w:jc w:val="left"/>
        <w:textAlignment w:val="bottom"/>
        <w:rPr>
          <w:rFonts w:ascii="宋体" w:hAnsi="宋体"/>
          <w:b/>
          <w:bCs/>
          <w:color w:val="auto"/>
          <w:szCs w:val="21"/>
          <w:highlight w:val="none"/>
        </w:rPr>
      </w:pPr>
      <w:r>
        <w:rPr>
          <w:rFonts w:hint="eastAsia" w:ascii="宋体" w:hAnsi="宋体"/>
          <w:b/>
          <w:color w:val="auto"/>
          <w:szCs w:val="21"/>
          <w:highlight w:val="none"/>
        </w:rPr>
        <w:t xml:space="preserve">    </w:t>
      </w:r>
      <w:r>
        <w:rPr>
          <w:rFonts w:hint="eastAsia" w:ascii="宋体" w:hAnsi="宋体"/>
          <w:color w:val="auto"/>
          <w:szCs w:val="21"/>
          <w:highlight w:val="none"/>
        </w:rPr>
        <w:t>▲</w:t>
      </w:r>
      <w:r>
        <w:rPr>
          <w:rFonts w:hint="eastAsia" w:ascii="宋体" w:hAnsi="宋体"/>
          <w:b/>
          <w:color w:val="auto"/>
          <w:szCs w:val="21"/>
          <w:highlight w:val="none"/>
        </w:rPr>
        <w:t>2、</w:t>
      </w:r>
      <w:r>
        <w:rPr>
          <w:rFonts w:hint="eastAsia" w:ascii="宋体" w:hAnsi="宋体" w:cs="宋体"/>
          <w:b/>
          <w:bCs/>
          <w:color w:val="auto"/>
          <w:szCs w:val="21"/>
          <w:highlight w:val="none"/>
          <w:lang w:val="en-US" w:eastAsia="zh-CN"/>
        </w:rPr>
        <w:t>预算金额373.6万元（其中标项1：137.4万元；标项2:137.4万元；标项3：98.8万元）</w:t>
      </w:r>
      <w:r>
        <w:rPr>
          <w:rFonts w:hint="eastAsia" w:ascii="宋体" w:hAnsi="宋体"/>
          <w:color w:val="auto"/>
          <w:szCs w:val="21"/>
          <w:highlight w:val="none"/>
          <w:lang w:val="en-US" w:eastAsia="zh-CN"/>
        </w:rPr>
        <w:t>。</w:t>
      </w:r>
      <w:r>
        <w:rPr>
          <w:rFonts w:hint="eastAsia" w:ascii="宋体" w:hAnsi="宋体"/>
          <w:color w:val="auto"/>
          <w:szCs w:val="21"/>
          <w:highlight w:val="none"/>
        </w:rPr>
        <w:t>投标费率上限价</w:t>
      </w:r>
      <w:r>
        <w:rPr>
          <w:rFonts w:hint="eastAsia" w:ascii="宋体" w:hAnsi="宋体"/>
          <w:color w:val="auto"/>
          <w:szCs w:val="21"/>
          <w:highlight w:val="none"/>
          <w:lang w:val="en-US" w:eastAsia="zh-CN"/>
        </w:rPr>
        <w:t>标项1，标项2</w:t>
      </w:r>
      <w:r>
        <w:rPr>
          <w:rFonts w:hint="eastAsia" w:ascii="宋体" w:hAnsi="宋体"/>
          <w:color w:val="auto"/>
          <w:szCs w:val="21"/>
          <w:highlight w:val="none"/>
        </w:rPr>
        <w:t>为100%</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标项3为90%</w:t>
      </w:r>
      <w:r>
        <w:rPr>
          <w:rFonts w:hint="eastAsia" w:ascii="宋体" w:hAnsi="宋体"/>
          <w:color w:val="auto"/>
          <w:szCs w:val="21"/>
          <w:highlight w:val="none"/>
        </w:rPr>
        <w:t>。报价超过上限</w:t>
      </w:r>
      <w:r>
        <w:rPr>
          <w:rFonts w:hint="eastAsia" w:ascii="宋体" w:hAnsi="宋体"/>
          <w:color w:val="auto"/>
          <w:szCs w:val="21"/>
          <w:highlight w:val="none"/>
          <w:lang w:val="en-US" w:eastAsia="zh-CN"/>
        </w:rPr>
        <w:t>费率</w:t>
      </w:r>
      <w:r>
        <w:rPr>
          <w:rFonts w:hint="eastAsia" w:ascii="宋体" w:hAnsi="宋体"/>
          <w:color w:val="auto"/>
          <w:szCs w:val="21"/>
          <w:highlight w:val="none"/>
        </w:rPr>
        <w:t>的作无效标处理</w:t>
      </w:r>
      <w:r>
        <w:rPr>
          <w:rFonts w:hint="eastAsia" w:ascii="宋体" w:hAnsi="宋体"/>
          <w:b/>
          <w:bCs/>
          <w:color w:val="auto"/>
          <w:szCs w:val="21"/>
          <w:highlight w:val="none"/>
        </w:rPr>
        <w:t>。</w:t>
      </w:r>
    </w:p>
    <w:p>
      <w:pPr>
        <w:pStyle w:val="26"/>
        <w:snapToGrid w:val="0"/>
        <w:spacing w:line="360" w:lineRule="auto"/>
        <w:rPr>
          <w:rFonts w:hAnsi="宋体"/>
          <w:color w:val="auto"/>
          <w:szCs w:val="21"/>
          <w:highlight w:val="none"/>
          <w:shd w:val="clear" w:color="auto" w:fill="FFFFFF"/>
        </w:rPr>
      </w:pPr>
      <w:r>
        <w:rPr>
          <w:rFonts w:hint="eastAsia" w:hAnsi="宋体"/>
          <w:color w:val="auto"/>
          <w:szCs w:val="21"/>
          <w:highlight w:val="none"/>
        </w:rPr>
        <w:t xml:space="preserve">   </w:t>
      </w:r>
      <w:r>
        <w:rPr>
          <w:rFonts w:hint="eastAsia" w:hAnsi="宋体"/>
          <w:color w:val="auto"/>
          <w:szCs w:val="21"/>
          <w:highlight w:val="none"/>
          <w:shd w:val="clear" w:color="auto" w:fill="FFFFFF"/>
        </w:rPr>
        <w:t xml:space="preserve"> 3、报价及结算方式：投标人按费率进行报价，结算时根据大润发超市对应产品挂牌价（结算日前一天的挂牌价（若前一天挂牌价为促销价则按促销价计算），若结算前一天大润发无该产品的则参考常秀街菜场对应品种的挂牌价）×中标费率确定结算单价。</w:t>
      </w:r>
    </w:p>
    <w:p>
      <w:pPr>
        <w:pStyle w:val="26"/>
        <w:snapToGrid w:val="0"/>
        <w:spacing w:line="360" w:lineRule="auto"/>
        <w:rPr>
          <w:rFonts w:hAnsi="宋体"/>
          <w:color w:val="auto"/>
          <w:szCs w:val="21"/>
          <w:highlight w:val="none"/>
          <w:shd w:val="clear" w:color="auto" w:fill="FFFFFF"/>
        </w:rPr>
      </w:pPr>
      <w:r>
        <w:rPr>
          <w:rFonts w:hint="eastAsia" w:hAnsi="宋体"/>
          <w:color w:val="auto"/>
          <w:szCs w:val="21"/>
          <w:highlight w:val="none"/>
          <w:shd w:val="clear" w:color="auto" w:fill="FFFFFF"/>
        </w:rPr>
        <w:t xml:space="preserve">    4、本项目投标报价为包装、运输、搬运、保险、税金等一切费用，即运送至使用嘉兴海关两个办公区食堂仓库内的包干价格。</w:t>
      </w:r>
    </w:p>
    <w:p>
      <w:pPr>
        <w:pStyle w:val="26"/>
        <w:snapToGrid w:val="0"/>
        <w:spacing w:line="360" w:lineRule="auto"/>
        <w:contextualSpacing/>
        <w:rPr>
          <w:rFonts w:hAnsi="宋体"/>
          <w:color w:val="auto"/>
          <w:szCs w:val="21"/>
          <w:highlight w:val="none"/>
        </w:rPr>
      </w:pPr>
    </w:p>
    <w:p>
      <w:pPr>
        <w:pStyle w:val="26"/>
        <w:snapToGrid w:val="0"/>
        <w:spacing w:line="360" w:lineRule="auto"/>
        <w:rPr>
          <w:rFonts w:hAnsi="宋体"/>
          <w:color w:val="auto"/>
          <w:szCs w:val="21"/>
          <w:highlight w:val="none"/>
          <w:shd w:val="clear" w:color="auto" w:fill="FFFFFF"/>
        </w:rPr>
      </w:pPr>
    </w:p>
    <w:p>
      <w:pPr>
        <w:pStyle w:val="26"/>
        <w:snapToGrid w:val="0"/>
        <w:spacing w:line="360" w:lineRule="auto"/>
        <w:rPr>
          <w:rFonts w:hAnsi="宋体"/>
          <w:color w:val="auto"/>
          <w:szCs w:val="21"/>
          <w:highlight w:val="none"/>
          <w:shd w:val="clear" w:color="auto" w:fill="FFFFFF"/>
        </w:rPr>
      </w:pPr>
    </w:p>
    <w:p>
      <w:pPr>
        <w:pStyle w:val="26"/>
        <w:snapToGrid w:val="0"/>
        <w:spacing w:line="360" w:lineRule="auto"/>
        <w:rPr>
          <w:rFonts w:hAnsi="宋体"/>
          <w:color w:val="auto"/>
          <w:szCs w:val="21"/>
          <w:highlight w:val="none"/>
          <w:shd w:val="clear" w:color="auto" w:fill="FFFFFF"/>
        </w:rPr>
      </w:pPr>
      <w:r>
        <w:rPr>
          <w:rFonts w:hAnsi="宋体"/>
          <w:color w:val="auto"/>
          <w:szCs w:val="21"/>
          <w:highlight w:val="none"/>
          <w:shd w:val="clear" w:color="auto" w:fill="FFFFFF"/>
        </w:rPr>
        <w:t xml:space="preserve">法定代表人或授权代表（签字或盖章）： </w:t>
      </w:r>
    </w:p>
    <w:p>
      <w:pPr>
        <w:pStyle w:val="26"/>
        <w:snapToGrid w:val="0"/>
        <w:spacing w:line="360" w:lineRule="auto"/>
        <w:rPr>
          <w:rFonts w:hAnsi="宋体"/>
          <w:color w:val="auto"/>
          <w:szCs w:val="21"/>
          <w:highlight w:val="none"/>
          <w:shd w:val="clear" w:color="auto" w:fill="FFFFFF"/>
        </w:rPr>
      </w:pPr>
    </w:p>
    <w:p>
      <w:pPr>
        <w:pStyle w:val="26"/>
        <w:snapToGrid w:val="0"/>
        <w:spacing w:line="360" w:lineRule="auto"/>
        <w:rPr>
          <w:rFonts w:hAnsi="宋体"/>
          <w:color w:val="auto"/>
          <w:szCs w:val="21"/>
          <w:highlight w:val="none"/>
          <w:shd w:val="clear" w:color="auto" w:fill="FFFFFF"/>
        </w:rPr>
      </w:pPr>
      <w:r>
        <w:rPr>
          <w:rFonts w:hint="eastAsia" w:hAnsi="宋体"/>
          <w:color w:val="auto"/>
          <w:szCs w:val="21"/>
          <w:highlight w:val="none"/>
          <w:shd w:val="clear" w:color="auto" w:fill="FFFFFF"/>
        </w:rPr>
        <w:t>投标人名称：（盖章）</w:t>
      </w:r>
      <w:r>
        <w:rPr>
          <w:rFonts w:hAnsi="宋体"/>
          <w:color w:val="auto"/>
          <w:szCs w:val="21"/>
          <w:highlight w:val="none"/>
          <w:shd w:val="clear" w:color="auto" w:fill="FFFFFF"/>
        </w:rPr>
        <w:t>：</w:t>
      </w:r>
    </w:p>
    <w:p>
      <w:pPr>
        <w:pStyle w:val="26"/>
        <w:snapToGrid w:val="0"/>
        <w:spacing w:line="360" w:lineRule="auto"/>
        <w:rPr>
          <w:rFonts w:hAnsi="宋体"/>
          <w:color w:val="auto"/>
          <w:szCs w:val="21"/>
          <w:highlight w:val="none"/>
        </w:rPr>
      </w:pPr>
    </w:p>
    <w:p>
      <w:pPr>
        <w:pStyle w:val="26"/>
        <w:snapToGrid w:val="0"/>
        <w:spacing w:line="360" w:lineRule="auto"/>
        <w:rPr>
          <w:rFonts w:hAnsi="宋体"/>
          <w:color w:val="auto"/>
          <w:szCs w:val="21"/>
          <w:highlight w:val="none"/>
          <w:shd w:val="clear" w:color="auto" w:fill="FFFFFF"/>
        </w:rPr>
      </w:pPr>
      <w:r>
        <w:rPr>
          <w:rFonts w:hint="eastAsia" w:hAnsi="宋体"/>
          <w:color w:val="auto"/>
          <w:szCs w:val="21"/>
          <w:highlight w:val="none"/>
          <w:shd w:val="clear" w:color="auto" w:fill="FFFFFF"/>
        </w:rPr>
        <w:t>日期：</w:t>
      </w:r>
    </w:p>
    <w:p>
      <w:pPr>
        <w:rPr>
          <w:rFonts w:hint="eastAsia" w:hAnsi="宋体"/>
          <w:color w:val="auto"/>
          <w:szCs w:val="21"/>
          <w:highlight w:val="none"/>
          <w:shd w:val="clear" w:color="auto" w:fill="FFFFFF"/>
        </w:rPr>
      </w:pPr>
    </w:p>
    <w:p>
      <w:pPr>
        <w:pStyle w:val="8"/>
        <w:rPr>
          <w:rFonts w:hint="eastAsia" w:hAnsi="宋体"/>
          <w:color w:val="auto"/>
          <w:szCs w:val="21"/>
          <w:highlight w:val="none"/>
          <w:shd w:val="clear" w:color="auto" w:fill="FFFFFF"/>
        </w:rPr>
      </w:pPr>
    </w:p>
    <w:p>
      <w:pPr>
        <w:snapToGrid w:val="0"/>
        <w:spacing w:line="360" w:lineRule="auto"/>
        <w:ind w:firstLine="420" w:firstLineChars="200"/>
        <w:jc w:val="center"/>
        <w:rPr>
          <w:rFonts w:hint="eastAsia" w:ascii="宋体" w:hAnsi="宋体" w:eastAsia="宋体"/>
          <w:color w:val="auto"/>
          <w:szCs w:val="21"/>
          <w:highlight w:val="none"/>
          <w:lang w:eastAsia="zh-CN"/>
        </w:rPr>
      </w:pPr>
      <w:r>
        <w:rPr>
          <w:rFonts w:hint="eastAsia" w:ascii="宋体" w:hAnsi="宋体"/>
          <w:color w:val="auto"/>
          <w:szCs w:val="21"/>
          <w:highlight w:val="none"/>
        </w:rPr>
        <w:t>开标一览表</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标项3</w:t>
      </w:r>
      <w:r>
        <w:rPr>
          <w:rFonts w:hint="eastAsia" w:ascii="宋体" w:hAnsi="宋体"/>
          <w:color w:val="auto"/>
          <w:szCs w:val="21"/>
          <w:highlight w:val="none"/>
          <w:lang w:eastAsia="zh-CN"/>
        </w:rPr>
        <w:t>）</w:t>
      </w:r>
    </w:p>
    <w:p>
      <w:pPr>
        <w:snapToGrid w:val="0"/>
        <w:spacing w:line="360" w:lineRule="auto"/>
        <w:ind w:firstLine="420" w:firstLineChars="200"/>
        <w:jc w:val="left"/>
        <w:rPr>
          <w:rFonts w:ascii="宋体" w:hAnsi="宋体"/>
          <w:color w:val="auto"/>
          <w:szCs w:val="21"/>
          <w:highlight w:val="none"/>
        </w:rPr>
      </w:pPr>
    </w:p>
    <w:p>
      <w:pPr>
        <w:snapToGrid w:val="0"/>
        <w:spacing w:line="360" w:lineRule="auto"/>
        <w:rPr>
          <w:rFonts w:ascii="宋体" w:hAnsi="宋体"/>
          <w:color w:val="auto"/>
          <w:szCs w:val="21"/>
          <w:highlight w:val="none"/>
        </w:rPr>
      </w:pPr>
      <w:r>
        <w:rPr>
          <w:rFonts w:ascii="宋体" w:hAnsi="宋体"/>
          <w:color w:val="auto"/>
          <w:szCs w:val="21"/>
          <w:highlight w:val="none"/>
        </w:rPr>
        <w:t>招标编号： 投标人名称：</w:t>
      </w:r>
    </w:p>
    <w:tbl>
      <w:tblPr>
        <w:tblStyle w:val="49"/>
        <w:tblpPr w:leftFromText="180" w:rightFromText="180" w:vertAnchor="text" w:horzAnchor="page" w:tblpX="1393" w:tblpY="307"/>
        <w:tblOverlap w:val="never"/>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50"/>
        <w:gridCol w:w="2265"/>
        <w:gridCol w:w="3000"/>
        <w:gridCol w:w="1601"/>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3" w:hRule="atLeast"/>
        </w:trPr>
        <w:tc>
          <w:tcPr>
            <w:tcW w:w="650" w:type="dxa"/>
            <w:tcBorders>
              <w:tl2br w:val="nil"/>
              <w:tr2bl w:val="nil"/>
            </w:tcBorders>
            <w:vAlign w:val="center"/>
          </w:tcPr>
          <w:p>
            <w:pPr>
              <w:snapToGrid w:val="0"/>
              <w:jc w:val="center"/>
              <w:rPr>
                <w:rFonts w:ascii="宋体" w:cs="宋体"/>
                <w:b/>
                <w:bCs/>
                <w:color w:val="auto"/>
                <w:sz w:val="18"/>
                <w:szCs w:val="18"/>
                <w:highlight w:val="none"/>
              </w:rPr>
            </w:pPr>
            <w:r>
              <w:rPr>
                <w:rFonts w:hint="eastAsia" w:ascii="宋体" w:hAnsi="宋体" w:cs="宋体"/>
                <w:b/>
                <w:bCs/>
                <w:color w:val="auto"/>
                <w:sz w:val="18"/>
                <w:szCs w:val="18"/>
                <w:highlight w:val="none"/>
              </w:rPr>
              <w:t>序号</w:t>
            </w:r>
          </w:p>
        </w:tc>
        <w:tc>
          <w:tcPr>
            <w:tcW w:w="2265" w:type="dxa"/>
            <w:tcBorders>
              <w:tl2br w:val="nil"/>
              <w:tr2bl w:val="nil"/>
            </w:tcBorders>
            <w:vAlign w:val="center"/>
          </w:tcPr>
          <w:p>
            <w:pPr>
              <w:snapToGrid w:val="0"/>
              <w:jc w:val="center"/>
              <w:rPr>
                <w:rFonts w:ascii="宋体" w:cs="宋体"/>
                <w:b/>
                <w:bCs/>
                <w:color w:val="auto"/>
                <w:sz w:val="18"/>
                <w:szCs w:val="18"/>
                <w:highlight w:val="none"/>
              </w:rPr>
            </w:pPr>
            <w:r>
              <w:rPr>
                <w:rFonts w:hint="eastAsia" w:ascii="宋体" w:hAnsi="宋体" w:cs="宋体"/>
                <w:b/>
                <w:bCs/>
                <w:color w:val="auto"/>
                <w:sz w:val="18"/>
                <w:szCs w:val="18"/>
                <w:highlight w:val="none"/>
              </w:rPr>
              <w:t>采购内容</w:t>
            </w:r>
          </w:p>
        </w:tc>
        <w:tc>
          <w:tcPr>
            <w:tcW w:w="3000" w:type="dxa"/>
            <w:tcBorders>
              <w:tl2br w:val="nil"/>
              <w:tr2bl w:val="nil"/>
            </w:tcBorders>
            <w:vAlign w:val="center"/>
          </w:tcPr>
          <w:p>
            <w:pPr>
              <w:snapToGrid w:val="0"/>
              <w:jc w:val="center"/>
              <w:rPr>
                <w:rFonts w:ascii="宋体" w:cs="宋体"/>
                <w:b/>
                <w:bCs/>
                <w:color w:val="auto"/>
                <w:sz w:val="18"/>
                <w:szCs w:val="18"/>
                <w:highlight w:val="none"/>
              </w:rPr>
            </w:pPr>
            <w:r>
              <w:rPr>
                <w:rFonts w:hint="eastAsia" w:ascii="宋体" w:hAnsi="宋体" w:cs="宋体"/>
                <w:b/>
                <w:bCs/>
                <w:color w:val="auto"/>
                <w:sz w:val="18"/>
                <w:szCs w:val="18"/>
                <w:highlight w:val="none"/>
              </w:rPr>
              <w:t>投标报价</w:t>
            </w:r>
          </w:p>
        </w:tc>
        <w:tc>
          <w:tcPr>
            <w:tcW w:w="1601" w:type="dxa"/>
            <w:tcBorders>
              <w:tl2br w:val="nil"/>
              <w:tr2bl w:val="nil"/>
            </w:tcBorders>
            <w:vAlign w:val="center"/>
          </w:tcPr>
          <w:p>
            <w:pPr>
              <w:snapToGrid w:val="0"/>
              <w:jc w:val="center"/>
              <w:rPr>
                <w:rFonts w:hint="eastAsia" w:ascii="宋体" w:hAnsi="宋体" w:eastAsia="宋体" w:cs="宋体"/>
                <w:b/>
                <w:bCs/>
                <w:color w:val="auto"/>
                <w:sz w:val="18"/>
                <w:szCs w:val="18"/>
                <w:highlight w:val="none"/>
                <w:lang w:val="en-US" w:eastAsia="zh-CN"/>
              </w:rPr>
            </w:pPr>
            <w:r>
              <w:rPr>
                <w:rFonts w:hint="eastAsia" w:ascii="宋体" w:hAnsi="宋体" w:cs="宋体"/>
                <w:b/>
                <w:bCs/>
                <w:color w:val="auto"/>
                <w:sz w:val="18"/>
                <w:szCs w:val="18"/>
                <w:highlight w:val="none"/>
                <w:lang w:val="en-US" w:eastAsia="zh-CN"/>
              </w:rPr>
              <w:t>服务期</w:t>
            </w:r>
          </w:p>
        </w:tc>
        <w:tc>
          <w:tcPr>
            <w:tcW w:w="1601" w:type="dxa"/>
            <w:tcBorders>
              <w:tl2br w:val="nil"/>
              <w:tr2bl w:val="nil"/>
            </w:tcBorders>
            <w:vAlign w:val="center"/>
          </w:tcPr>
          <w:p>
            <w:pPr>
              <w:snapToGrid w:val="0"/>
              <w:jc w:val="center"/>
              <w:rPr>
                <w:rFonts w:hint="default" w:ascii="宋体" w:hAnsi="宋体" w:cs="宋体"/>
                <w:b/>
                <w:bCs/>
                <w:color w:val="auto"/>
                <w:sz w:val="18"/>
                <w:szCs w:val="18"/>
                <w:highlight w:val="none"/>
                <w:lang w:val="en-US" w:eastAsia="zh-CN"/>
              </w:rPr>
            </w:pPr>
            <w:r>
              <w:rPr>
                <w:rFonts w:hint="eastAsia" w:ascii="宋体" w:hAnsi="宋体" w:cs="宋体"/>
                <w:b/>
                <w:bCs/>
                <w:color w:val="auto"/>
                <w:sz w:val="18"/>
                <w:szCs w:val="1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1" w:hRule="atLeast"/>
        </w:trPr>
        <w:tc>
          <w:tcPr>
            <w:tcW w:w="650" w:type="dxa"/>
            <w:tcBorders>
              <w:tl2br w:val="nil"/>
              <w:tr2bl w:val="nil"/>
            </w:tcBorders>
            <w:vAlign w:val="center"/>
          </w:tcPr>
          <w:p>
            <w:pPr>
              <w:spacing w:line="360" w:lineRule="auto"/>
              <w:jc w:val="center"/>
              <w:rPr>
                <w:rFonts w:ascii="宋体" w:cs="宋体"/>
                <w:color w:val="auto"/>
                <w:sz w:val="22"/>
                <w:szCs w:val="22"/>
                <w:highlight w:val="none"/>
              </w:rPr>
            </w:pPr>
            <w:r>
              <w:rPr>
                <w:rFonts w:hint="eastAsia" w:ascii="宋体" w:hAnsi="宋体" w:cs="宋体"/>
                <w:color w:val="auto"/>
                <w:szCs w:val="21"/>
                <w:highlight w:val="none"/>
                <w:lang w:val="en-US" w:eastAsia="zh-CN"/>
              </w:rPr>
              <w:t>1</w:t>
            </w:r>
          </w:p>
        </w:tc>
        <w:tc>
          <w:tcPr>
            <w:tcW w:w="2265" w:type="dxa"/>
            <w:tcBorders>
              <w:tl2br w:val="nil"/>
              <w:tr2bl w:val="nil"/>
            </w:tcBorders>
            <w:vAlign w:val="center"/>
          </w:tcPr>
          <w:p>
            <w:pPr>
              <w:spacing w:line="360" w:lineRule="auto"/>
              <w:jc w:val="both"/>
              <w:rPr>
                <w:rFonts w:hint="default" w:ascii="宋体" w:hAnsi="宋体" w:eastAsia="宋体" w:cs="Times New Roman"/>
                <w:color w:val="auto"/>
                <w:szCs w:val="21"/>
                <w:highlight w:val="none"/>
                <w:lang w:val="en-US" w:eastAsia="zh-CN"/>
              </w:rPr>
            </w:pPr>
            <w:r>
              <w:rPr>
                <w:rFonts w:hint="eastAsia" w:ascii="宋体" w:hAnsi="宋体" w:cs="宋体"/>
                <w:color w:val="auto"/>
                <w:szCs w:val="21"/>
                <w:highlight w:val="none"/>
                <w:lang w:val="en-US" w:eastAsia="zh-CN"/>
              </w:rPr>
              <w:t>日用品副食品奶制品类</w:t>
            </w:r>
          </w:p>
        </w:tc>
        <w:tc>
          <w:tcPr>
            <w:tcW w:w="3000" w:type="dxa"/>
            <w:tcBorders>
              <w:tl2br w:val="nil"/>
              <w:tr2bl w:val="nil"/>
            </w:tcBorders>
            <w:vAlign w:val="center"/>
          </w:tcPr>
          <w:p>
            <w:pPr>
              <w:snapToGrid w:val="0"/>
              <w:spacing w:line="360" w:lineRule="auto"/>
              <w:ind w:firstLine="420" w:firstLineChars="200"/>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p>
        </w:tc>
        <w:tc>
          <w:tcPr>
            <w:tcW w:w="1601" w:type="dxa"/>
            <w:tcBorders>
              <w:tl2br w:val="nil"/>
              <w:tr2bl w:val="nil"/>
            </w:tcBorders>
            <w:vAlign w:val="center"/>
          </w:tcPr>
          <w:p>
            <w:pPr>
              <w:snapToGrid w:val="0"/>
              <w:spacing w:line="360" w:lineRule="auto"/>
              <w:ind w:firstLine="420" w:firstLineChars="200"/>
              <w:jc w:val="left"/>
              <w:rPr>
                <w:rFonts w:hint="eastAsia" w:ascii="宋体" w:hAnsi="宋体" w:eastAsia="宋体" w:cs="Times New Roman"/>
                <w:color w:val="auto"/>
                <w:szCs w:val="21"/>
                <w:highlight w:val="none"/>
              </w:rPr>
            </w:pPr>
          </w:p>
        </w:tc>
        <w:tc>
          <w:tcPr>
            <w:tcW w:w="1601" w:type="dxa"/>
            <w:tcBorders>
              <w:tl2br w:val="nil"/>
              <w:tr2bl w:val="nil"/>
            </w:tcBorders>
            <w:vAlign w:val="center"/>
          </w:tcPr>
          <w:p>
            <w:pPr>
              <w:snapToGrid w:val="0"/>
              <w:spacing w:line="360" w:lineRule="auto"/>
              <w:ind w:firstLine="420" w:firstLineChars="200"/>
              <w:jc w:val="left"/>
              <w:rPr>
                <w:rFonts w:hint="eastAsia" w:ascii="宋体" w:hAnsi="宋体" w:eastAsia="宋体" w:cs="Times New Roman"/>
                <w:color w:val="auto"/>
                <w:szCs w:val="21"/>
                <w:highlight w:val="none"/>
              </w:rPr>
            </w:pPr>
          </w:p>
        </w:tc>
      </w:tr>
    </w:tbl>
    <w:p>
      <w:pPr>
        <w:pStyle w:val="59"/>
        <w:spacing w:line="360" w:lineRule="auto"/>
        <w:rPr>
          <w:rFonts w:ascii="宋体" w:hAnsi="宋体"/>
          <w:color w:val="auto"/>
          <w:highlight w:val="none"/>
        </w:rPr>
      </w:pPr>
    </w:p>
    <w:p>
      <w:pPr>
        <w:snapToGrid w:val="0"/>
        <w:spacing w:line="360" w:lineRule="auto"/>
        <w:rPr>
          <w:rFonts w:ascii="宋体" w:hAnsi="宋体"/>
          <w:color w:val="auto"/>
          <w:szCs w:val="21"/>
          <w:highlight w:val="none"/>
        </w:rPr>
      </w:pPr>
    </w:p>
    <w:p>
      <w:pPr>
        <w:pStyle w:val="26"/>
        <w:snapToGrid w:val="0"/>
        <w:spacing w:line="360" w:lineRule="auto"/>
        <w:ind w:left="420" w:hanging="420"/>
        <w:contextualSpacing/>
        <w:rPr>
          <w:rFonts w:hAnsi="宋体"/>
          <w:color w:val="auto"/>
          <w:szCs w:val="21"/>
          <w:highlight w:val="none"/>
        </w:rPr>
      </w:pPr>
      <w:r>
        <w:rPr>
          <w:rFonts w:hAnsi="宋体"/>
          <w:color w:val="auto"/>
          <w:szCs w:val="21"/>
          <w:highlight w:val="none"/>
        </w:rPr>
        <w:t>注: 1、报价一经涂改，应在涂改处加盖单位公章或者由法定代表人或授权委托人签字或盖章，否则其投标作无效标处理。</w:t>
      </w:r>
    </w:p>
    <w:p>
      <w:pPr>
        <w:autoSpaceDE w:val="0"/>
        <w:autoSpaceDN w:val="0"/>
        <w:snapToGrid w:val="0"/>
        <w:spacing w:line="360" w:lineRule="auto"/>
        <w:contextualSpacing/>
        <w:jc w:val="left"/>
        <w:textAlignment w:val="bottom"/>
        <w:rPr>
          <w:rFonts w:ascii="宋体" w:hAnsi="宋体"/>
          <w:b/>
          <w:bCs/>
          <w:color w:val="auto"/>
          <w:szCs w:val="21"/>
          <w:highlight w:val="none"/>
        </w:rPr>
      </w:pPr>
      <w:r>
        <w:rPr>
          <w:rFonts w:hint="eastAsia" w:ascii="宋体" w:hAnsi="宋体"/>
          <w:b/>
          <w:color w:val="auto"/>
          <w:szCs w:val="21"/>
          <w:highlight w:val="none"/>
        </w:rPr>
        <w:t xml:space="preserve">    </w:t>
      </w:r>
      <w:r>
        <w:rPr>
          <w:rFonts w:hint="eastAsia" w:ascii="宋体" w:hAnsi="宋体"/>
          <w:color w:val="auto"/>
          <w:szCs w:val="21"/>
          <w:highlight w:val="none"/>
        </w:rPr>
        <w:t>▲</w:t>
      </w:r>
      <w:r>
        <w:rPr>
          <w:rFonts w:hint="eastAsia" w:ascii="宋体" w:hAnsi="宋体"/>
          <w:b/>
          <w:color w:val="auto"/>
          <w:szCs w:val="21"/>
          <w:highlight w:val="none"/>
        </w:rPr>
        <w:t>2、</w:t>
      </w:r>
      <w:r>
        <w:rPr>
          <w:rFonts w:hint="eastAsia" w:ascii="宋体" w:hAnsi="宋体" w:cs="宋体"/>
          <w:b/>
          <w:bCs/>
          <w:color w:val="auto"/>
          <w:szCs w:val="21"/>
          <w:highlight w:val="none"/>
          <w:lang w:val="en-US" w:eastAsia="zh-CN"/>
        </w:rPr>
        <w:t>预算金额373.6万元（其中标项1：137.4万元；标项2:137.4万元；标项3：98.8万元）</w:t>
      </w:r>
      <w:r>
        <w:rPr>
          <w:rFonts w:hint="eastAsia" w:ascii="宋体" w:hAnsi="宋体"/>
          <w:color w:val="auto"/>
          <w:szCs w:val="21"/>
          <w:highlight w:val="none"/>
          <w:lang w:val="en-US" w:eastAsia="zh-CN"/>
        </w:rPr>
        <w:t>。</w:t>
      </w:r>
      <w:r>
        <w:rPr>
          <w:rFonts w:hint="eastAsia" w:ascii="宋体" w:hAnsi="宋体"/>
          <w:color w:val="auto"/>
          <w:szCs w:val="21"/>
          <w:highlight w:val="none"/>
        </w:rPr>
        <w:t>投标费率上限价</w:t>
      </w:r>
      <w:r>
        <w:rPr>
          <w:rFonts w:hint="eastAsia" w:ascii="宋体" w:hAnsi="宋体"/>
          <w:color w:val="auto"/>
          <w:szCs w:val="21"/>
          <w:highlight w:val="none"/>
          <w:lang w:val="en-US" w:eastAsia="zh-CN"/>
        </w:rPr>
        <w:t>标项1，标项2</w:t>
      </w:r>
      <w:r>
        <w:rPr>
          <w:rFonts w:hint="eastAsia" w:ascii="宋体" w:hAnsi="宋体"/>
          <w:color w:val="auto"/>
          <w:szCs w:val="21"/>
          <w:highlight w:val="none"/>
        </w:rPr>
        <w:t>为100%</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标项3为90%</w:t>
      </w:r>
      <w:r>
        <w:rPr>
          <w:rFonts w:hint="eastAsia" w:ascii="宋体" w:hAnsi="宋体"/>
          <w:color w:val="auto"/>
          <w:szCs w:val="21"/>
          <w:highlight w:val="none"/>
        </w:rPr>
        <w:t>。报价超过上限</w:t>
      </w:r>
      <w:r>
        <w:rPr>
          <w:rFonts w:hint="eastAsia" w:ascii="宋体" w:hAnsi="宋体"/>
          <w:color w:val="auto"/>
          <w:szCs w:val="21"/>
          <w:highlight w:val="none"/>
          <w:lang w:val="en-US" w:eastAsia="zh-CN"/>
        </w:rPr>
        <w:t>费率</w:t>
      </w:r>
      <w:r>
        <w:rPr>
          <w:rFonts w:hint="eastAsia" w:ascii="宋体" w:hAnsi="宋体"/>
          <w:color w:val="auto"/>
          <w:szCs w:val="21"/>
          <w:highlight w:val="none"/>
        </w:rPr>
        <w:t>的作无效标处理</w:t>
      </w:r>
      <w:r>
        <w:rPr>
          <w:rFonts w:hint="eastAsia" w:ascii="宋体" w:hAnsi="宋体"/>
          <w:b/>
          <w:bCs/>
          <w:color w:val="auto"/>
          <w:szCs w:val="21"/>
          <w:highlight w:val="none"/>
        </w:rPr>
        <w:t>。</w:t>
      </w:r>
    </w:p>
    <w:p>
      <w:pPr>
        <w:pStyle w:val="26"/>
        <w:snapToGrid w:val="0"/>
        <w:spacing w:line="360" w:lineRule="auto"/>
        <w:rPr>
          <w:rFonts w:hAnsi="宋体"/>
          <w:color w:val="auto"/>
          <w:szCs w:val="21"/>
          <w:highlight w:val="none"/>
          <w:shd w:val="clear" w:color="auto" w:fill="FFFFFF"/>
        </w:rPr>
      </w:pPr>
      <w:r>
        <w:rPr>
          <w:rFonts w:hint="eastAsia" w:hAnsi="宋体"/>
          <w:color w:val="auto"/>
          <w:szCs w:val="21"/>
          <w:highlight w:val="none"/>
        </w:rPr>
        <w:t xml:space="preserve">   </w:t>
      </w:r>
      <w:r>
        <w:rPr>
          <w:rFonts w:hint="eastAsia" w:hAnsi="宋体"/>
          <w:color w:val="auto"/>
          <w:szCs w:val="21"/>
          <w:highlight w:val="none"/>
          <w:shd w:val="clear" w:color="auto" w:fill="FFFFFF"/>
        </w:rPr>
        <w:t xml:space="preserve"> 3、报价及结算方式：投标人按费率进行报价，结算时根据大润发超市对应产品挂牌价（结算日前一天的挂牌价（若前一天挂牌价为促销价则按促销价计算），若结算前一天大润发无该产品的则参考常秀街菜场对应品种的挂牌价）×中标费率确定结算单价。</w:t>
      </w:r>
    </w:p>
    <w:p>
      <w:pPr>
        <w:pStyle w:val="26"/>
        <w:snapToGrid w:val="0"/>
        <w:spacing w:line="360" w:lineRule="auto"/>
        <w:rPr>
          <w:rFonts w:hAnsi="宋体"/>
          <w:color w:val="auto"/>
          <w:szCs w:val="21"/>
          <w:highlight w:val="none"/>
          <w:shd w:val="clear" w:color="auto" w:fill="FFFFFF"/>
        </w:rPr>
      </w:pPr>
      <w:r>
        <w:rPr>
          <w:rFonts w:hint="eastAsia" w:hAnsi="宋体"/>
          <w:color w:val="auto"/>
          <w:szCs w:val="21"/>
          <w:highlight w:val="none"/>
          <w:shd w:val="clear" w:color="auto" w:fill="FFFFFF"/>
        </w:rPr>
        <w:t xml:space="preserve">    4、本项目投标报价为包装、运输、搬运、保险、税金等一切费用，即运送至使用嘉兴海关两个办公区食堂仓库内的包干价格。</w:t>
      </w:r>
    </w:p>
    <w:p>
      <w:pPr>
        <w:pStyle w:val="26"/>
        <w:snapToGrid w:val="0"/>
        <w:spacing w:line="360" w:lineRule="auto"/>
        <w:contextualSpacing/>
        <w:rPr>
          <w:rFonts w:hAnsi="宋体"/>
          <w:color w:val="auto"/>
          <w:szCs w:val="21"/>
          <w:highlight w:val="none"/>
        </w:rPr>
      </w:pPr>
    </w:p>
    <w:p>
      <w:pPr>
        <w:pStyle w:val="26"/>
        <w:snapToGrid w:val="0"/>
        <w:spacing w:line="360" w:lineRule="auto"/>
        <w:rPr>
          <w:rFonts w:hAnsi="宋体"/>
          <w:color w:val="auto"/>
          <w:szCs w:val="21"/>
          <w:highlight w:val="none"/>
          <w:shd w:val="clear" w:color="auto" w:fill="FFFFFF"/>
        </w:rPr>
      </w:pPr>
    </w:p>
    <w:p>
      <w:pPr>
        <w:pStyle w:val="26"/>
        <w:snapToGrid w:val="0"/>
        <w:spacing w:line="360" w:lineRule="auto"/>
        <w:rPr>
          <w:rFonts w:hAnsi="宋体"/>
          <w:color w:val="auto"/>
          <w:szCs w:val="21"/>
          <w:highlight w:val="none"/>
          <w:shd w:val="clear" w:color="auto" w:fill="FFFFFF"/>
        </w:rPr>
      </w:pPr>
    </w:p>
    <w:p>
      <w:pPr>
        <w:pStyle w:val="26"/>
        <w:snapToGrid w:val="0"/>
        <w:spacing w:line="360" w:lineRule="auto"/>
        <w:rPr>
          <w:rFonts w:hAnsi="宋体"/>
          <w:color w:val="auto"/>
          <w:szCs w:val="21"/>
          <w:highlight w:val="none"/>
          <w:shd w:val="clear" w:color="auto" w:fill="FFFFFF"/>
        </w:rPr>
      </w:pPr>
      <w:r>
        <w:rPr>
          <w:rFonts w:hAnsi="宋体"/>
          <w:color w:val="auto"/>
          <w:szCs w:val="21"/>
          <w:highlight w:val="none"/>
          <w:shd w:val="clear" w:color="auto" w:fill="FFFFFF"/>
        </w:rPr>
        <w:t xml:space="preserve">法定代表人或授权代表（签字或盖章）： </w:t>
      </w:r>
    </w:p>
    <w:p>
      <w:pPr>
        <w:pStyle w:val="26"/>
        <w:snapToGrid w:val="0"/>
        <w:spacing w:line="360" w:lineRule="auto"/>
        <w:rPr>
          <w:rFonts w:hAnsi="宋体"/>
          <w:color w:val="auto"/>
          <w:szCs w:val="21"/>
          <w:highlight w:val="none"/>
          <w:shd w:val="clear" w:color="auto" w:fill="FFFFFF"/>
        </w:rPr>
      </w:pPr>
    </w:p>
    <w:p>
      <w:pPr>
        <w:pStyle w:val="26"/>
        <w:snapToGrid w:val="0"/>
        <w:spacing w:line="360" w:lineRule="auto"/>
        <w:rPr>
          <w:rFonts w:hAnsi="宋体"/>
          <w:color w:val="auto"/>
          <w:szCs w:val="21"/>
          <w:highlight w:val="none"/>
          <w:shd w:val="clear" w:color="auto" w:fill="FFFFFF"/>
        </w:rPr>
      </w:pPr>
      <w:r>
        <w:rPr>
          <w:rFonts w:hint="eastAsia" w:hAnsi="宋体"/>
          <w:color w:val="auto"/>
          <w:szCs w:val="21"/>
          <w:highlight w:val="none"/>
          <w:shd w:val="clear" w:color="auto" w:fill="FFFFFF"/>
        </w:rPr>
        <w:t>投标人名称：（盖章）</w:t>
      </w:r>
      <w:r>
        <w:rPr>
          <w:rFonts w:hAnsi="宋体"/>
          <w:color w:val="auto"/>
          <w:szCs w:val="21"/>
          <w:highlight w:val="none"/>
          <w:shd w:val="clear" w:color="auto" w:fill="FFFFFF"/>
        </w:rPr>
        <w:t>：</w:t>
      </w:r>
    </w:p>
    <w:p>
      <w:pPr>
        <w:pStyle w:val="26"/>
        <w:snapToGrid w:val="0"/>
        <w:spacing w:line="360" w:lineRule="auto"/>
        <w:rPr>
          <w:rFonts w:hAnsi="宋体"/>
          <w:color w:val="auto"/>
          <w:szCs w:val="21"/>
          <w:highlight w:val="none"/>
        </w:rPr>
      </w:pPr>
    </w:p>
    <w:p>
      <w:pPr>
        <w:pStyle w:val="26"/>
        <w:snapToGrid w:val="0"/>
        <w:spacing w:line="360" w:lineRule="auto"/>
        <w:rPr>
          <w:rFonts w:hAnsi="宋体"/>
          <w:color w:val="auto"/>
          <w:szCs w:val="21"/>
          <w:highlight w:val="none"/>
          <w:shd w:val="clear" w:color="auto" w:fill="FFFFFF"/>
        </w:rPr>
      </w:pPr>
      <w:r>
        <w:rPr>
          <w:rFonts w:hint="eastAsia" w:hAnsi="宋体"/>
          <w:color w:val="auto"/>
          <w:szCs w:val="21"/>
          <w:highlight w:val="none"/>
          <w:shd w:val="clear" w:color="auto" w:fill="FFFFFF"/>
        </w:rPr>
        <w:t>日期：</w:t>
      </w:r>
    </w:p>
    <w:p>
      <w:pPr>
        <w:pStyle w:val="2"/>
        <w:rPr>
          <w:rFonts w:hint="eastAsia"/>
          <w:color w:val="auto"/>
          <w:highlight w:val="none"/>
        </w:rPr>
      </w:pPr>
    </w:p>
    <w:p>
      <w:pPr>
        <w:pStyle w:val="2"/>
        <w:rPr>
          <w:rFonts w:hint="eastAsia" w:hAnsi="宋体"/>
          <w:color w:val="auto"/>
          <w:szCs w:val="21"/>
          <w:highlight w:val="none"/>
          <w:shd w:val="clear" w:color="auto" w:fill="FFFFFF"/>
        </w:rPr>
      </w:pPr>
    </w:p>
    <w:p>
      <w:pPr>
        <w:rPr>
          <w:rFonts w:hint="eastAsia" w:hAnsi="宋体"/>
          <w:color w:val="auto"/>
          <w:szCs w:val="21"/>
          <w:highlight w:val="none"/>
          <w:shd w:val="clear" w:color="auto" w:fill="FFFFFF"/>
        </w:rPr>
      </w:pPr>
    </w:p>
    <w:p>
      <w:pPr>
        <w:pStyle w:val="2"/>
        <w:rPr>
          <w:rFonts w:hint="eastAsia"/>
          <w:color w:val="auto"/>
          <w:highlight w:val="none"/>
        </w:rPr>
      </w:pPr>
    </w:p>
    <w:p>
      <w:pPr>
        <w:pStyle w:val="26"/>
        <w:snapToGrid w:val="0"/>
        <w:spacing w:before="120" w:after="120" w:line="360" w:lineRule="auto"/>
        <w:jc w:val="center"/>
        <w:rPr>
          <w:rFonts w:hAnsi="宋体"/>
          <w:b/>
          <w:color w:val="auto"/>
          <w:szCs w:val="21"/>
          <w:highlight w:val="none"/>
        </w:rPr>
      </w:pPr>
      <w:r>
        <w:rPr>
          <w:rFonts w:hint="eastAsia" w:hAnsi="宋体"/>
          <w:b/>
          <w:color w:val="auto"/>
          <w:szCs w:val="21"/>
          <w:highlight w:val="none"/>
        </w:rPr>
        <w:t>中小企业声明函</w:t>
      </w:r>
    </w:p>
    <w:p>
      <w:pPr>
        <w:snapToGrid w:val="0"/>
        <w:spacing w:line="360" w:lineRule="auto"/>
        <w:ind w:left="105" w:leftChars="50" w:right="-210" w:rightChars="-100" w:firstLine="444" w:firstLineChars="200"/>
        <w:rPr>
          <w:rFonts w:ascii="宋体" w:hAnsi="宋体"/>
          <w:color w:val="auto"/>
          <w:spacing w:val="6"/>
          <w:szCs w:val="21"/>
          <w:highlight w:val="none"/>
        </w:rPr>
      </w:pPr>
      <w:r>
        <w:rPr>
          <w:rFonts w:hint="eastAsia" w:ascii="宋体" w:hAnsi="宋体"/>
          <w:color w:val="auto"/>
          <w:spacing w:val="6"/>
          <w:szCs w:val="21"/>
          <w:highlight w:val="none"/>
        </w:rPr>
        <w:t>本公司郑重声明，根据《政府采购促进中小企业发展管理办法》（财库[2020]46号）的规定，本公司</w:t>
      </w:r>
      <w:bookmarkStart w:id="384" w:name="OLE_LINK5"/>
      <w:bookmarkStart w:id="385" w:name="OLE_LINK2"/>
      <w:r>
        <w:rPr>
          <w:rFonts w:hint="eastAsia" w:ascii="宋体" w:hAnsi="宋体"/>
          <w:color w:val="auto"/>
          <w:spacing w:val="6"/>
          <w:szCs w:val="21"/>
          <w:highlight w:val="none"/>
        </w:rPr>
        <w:t>参加</w:t>
      </w:r>
      <w:r>
        <w:rPr>
          <w:rFonts w:hint="eastAsia" w:ascii="宋体" w:hAnsi="宋体"/>
          <w:color w:val="auto"/>
          <w:spacing w:val="6"/>
          <w:szCs w:val="21"/>
          <w:highlight w:val="none"/>
          <w:u w:val="single"/>
        </w:rPr>
        <w:t>（单位名称）</w:t>
      </w:r>
      <w:r>
        <w:rPr>
          <w:rFonts w:hint="eastAsia" w:ascii="宋体" w:hAnsi="宋体"/>
          <w:color w:val="auto"/>
          <w:spacing w:val="6"/>
          <w:szCs w:val="21"/>
          <w:highlight w:val="none"/>
        </w:rPr>
        <w:t>的</w:t>
      </w:r>
      <w:r>
        <w:rPr>
          <w:rFonts w:hint="eastAsia" w:ascii="宋体" w:hAnsi="宋体"/>
          <w:color w:val="auto"/>
          <w:spacing w:val="6"/>
          <w:szCs w:val="21"/>
          <w:highlight w:val="none"/>
          <w:u w:val="single"/>
        </w:rPr>
        <w:t>（项目名称）</w:t>
      </w:r>
      <w:r>
        <w:rPr>
          <w:rFonts w:hint="eastAsia" w:ascii="宋体" w:hAnsi="宋体"/>
          <w:color w:val="auto"/>
          <w:spacing w:val="6"/>
          <w:szCs w:val="21"/>
          <w:highlight w:val="none"/>
        </w:rPr>
        <w:t>采购活动，服务全部由符合政策要求的中小企业承接。相关企业（含联合体中的中小企业、签订分包意向协议的中小企业）的具体情况如下</w:t>
      </w:r>
      <w:bookmarkEnd w:id="384"/>
      <w:bookmarkEnd w:id="385"/>
      <w:r>
        <w:rPr>
          <w:rFonts w:hint="eastAsia" w:ascii="宋体" w:hAnsi="宋体"/>
          <w:color w:val="auto"/>
          <w:spacing w:val="6"/>
          <w:szCs w:val="21"/>
          <w:highlight w:val="none"/>
        </w:rPr>
        <w:t>：</w:t>
      </w:r>
    </w:p>
    <w:p>
      <w:pPr>
        <w:snapToGrid w:val="0"/>
        <w:spacing w:line="360" w:lineRule="auto"/>
        <w:ind w:left="395" w:leftChars="188" w:right="-210" w:rightChars="-100" w:firstLine="111" w:firstLineChars="50"/>
        <w:rPr>
          <w:rFonts w:ascii="宋体" w:hAnsi="宋体"/>
          <w:color w:val="auto"/>
          <w:spacing w:val="6"/>
          <w:szCs w:val="21"/>
          <w:highlight w:val="none"/>
        </w:rPr>
      </w:pPr>
      <w:r>
        <w:rPr>
          <w:rFonts w:hint="eastAsia" w:ascii="宋体" w:hAnsi="宋体"/>
          <w:color w:val="auto"/>
          <w:spacing w:val="6"/>
          <w:szCs w:val="21"/>
          <w:highlight w:val="none"/>
        </w:rPr>
        <w:t>1.</w:t>
      </w:r>
      <w:r>
        <w:rPr>
          <w:rFonts w:hint="eastAsia" w:ascii="宋体" w:hAnsi="宋体"/>
          <w:color w:val="auto"/>
          <w:spacing w:val="6"/>
          <w:szCs w:val="21"/>
          <w:highlight w:val="none"/>
          <w:u w:val="single"/>
        </w:rPr>
        <w:t>（标的名称）</w:t>
      </w:r>
      <w:r>
        <w:rPr>
          <w:rFonts w:hint="eastAsia" w:ascii="宋体" w:hAnsi="宋体"/>
          <w:color w:val="auto"/>
          <w:spacing w:val="6"/>
          <w:szCs w:val="21"/>
          <w:highlight w:val="none"/>
        </w:rPr>
        <w:t>，属于</w:t>
      </w:r>
      <w:r>
        <w:rPr>
          <w:rFonts w:hint="eastAsia" w:ascii="宋体" w:hAnsi="宋体"/>
          <w:color w:val="auto"/>
          <w:spacing w:val="6"/>
          <w:szCs w:val="21"/>
          <w:highlight w:val="none"/>
          <w:u w:val="single"/>
        </w:rPr>
        <w:t>（采购文件中明确的所属行业）</w:t>
      </w:r>
      <w:r>
        <w:rPr>
          <w:rFonts w:hint="eastAsia" w:ascii="宋体" w:hAnsi="宋体"/>
          <w:color w:val="auto"/>
          <w:spacing w:val="6"/>
          <w:szCs w:val="21"/>
          <w:highlight w:val="none"/>
        </w:rPr>
        <w:t>；承接企业为</w:t>
      </w:r>
      <w:r>
        <w:rPr>
          <w:rFonts w:hint="eastAsia" w:ascii="宋体" w:hAnsi="宋体"/>
          <w:color w:val="auto"/>
          <w:spacing w:val="6"/>
          <w:szCs w:val="21"/>
          <w:highlight w:val="none"/>
          <w:u w:val="single"/>
        </w:rPr>
        <w:t>（企业名称）</w:t>
      </w:r>
      <w:r>
        <w:rPr>
          <w:rFonts w:hint="eastAsia" w:ascii="宋体" w:hAnsi="宋体"/>
          <w:color w:val="auto"/>
          <w:spacing w:val="6"/>
          <w:szCs w:val="21"/>
          <w:highlight w:val="none"/>
        </w:rPr>
        <w:t>，从业人员____人，营业收入为</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万元，资产总额为</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万元，属于</w:t>
      </w:r>
      <w:r>
        <w:rPr>
          <w:rFonts w:hint="eastAsia" w:ascii="宋体" w:hAnsi="宋体"/>
          <w:color w:val="auto"/>
          <w:spacing w:val="6"/>
          <w:szCs w:val="21"/>
          <w:highlight w:val="none"/>
          <w:u w:val="single"/>
        </w:rPr>
        <w:t>（中型企业、小型企业、微型企业）</w:t>
      </w:r>
      <w:r>
        <w:rPr>
          <w:rFonts w:hint="eastAsia" w:ascii="宋体" w:hAnsi="宋体"/>
          <w:color w:val="auto"/>
          <w:spacing w:val="6"/>
          <w:szCs w:val="21"/>
          <w:highlight w:val="none"/>
        </w:rPr>
        <w:t>；</w:t>
      </w:r>
    </w:p>
    <w:p>
      <w:pPr>
        <w:snapToGrid w:val="0"/>
        <w:spacing w:line="360" w:lineRule="auto"/>
        <w:ind w:left="395" w:leftChars="188" w:right="-210" w:rightChars="-100" w:firstLine="111" w:firstLineChars="50"/>
        <w:rPr>
          <w:rFonts w:ascii="宋体" w:hAnsi="宋体"/>
          <w:color w:val="auto"/>
          <w:spacing w:val="6"/>
          <w:szCs w:val="21"/>
          <w:highlight w:val="none"/>
        </w:rPr>
      </w:pPr>
      <w:r>
        <w:rPr>
          <w:rFonts w:hint="eastAsia" w:ascii="宋体" w:hAnsi="宋体"/>
          <w:color w:val="auto"/>
          <w:spacing w:val="6"/>
          <w:szCs w:val="21"/>
          <w:highlight w:val="none"/>
        </w:rPr>
        <w:t>2.</w:t>
      </w:r>
      <w:r>
        <w:rPr>
          <w:rFonts w:hint="eastAsia" w:ascii="宋体" w:hAnsi="宋体"/>
          <w:color w:val="auto"/>
          <w:spacing w:val="6"/>
          <w:szCs w:val="21"/>
          <w:highlight w:val="none"/>
          <w:u w:val="single"/>
        </w:rPr>
        <w:t>（标的名称）</w:t>
      </w:r>
      <w:r>
        <w:rPr>
          <w:rFonts w:hint="eastAsia" w:ascii="宋体" w:hAnsi="宋体"/>
          <w:color w:val="auto"/>
          <w:spacing w:val="6"/>
          <w:szCs w:val="21"/>
          <w:highlight w:val="none"/>
        </w:rPr>
        <w:t>，属于</w:t>
      </w:r>
      <w:r>
        <w:rPr>
          <w:rFonts w:hint="eastAsia" w:ascii="宋体" w:hAnsi="宋体"/>
          <w:color w:val="auto"/>
          <w:spacing w:val="6"/>
          <w:szCs w:val="21"/>
          <w:highlight w:val="none"/>
          <w:u w:val="single"/>
        </w:rPr>
        <w:t>（采购文件中明确的所属行业）</w:t>
      </w:r>
      <w:r>
        <w:rPr>
          <w:rFonts w:hint="eastAsia" w:ascii="宋体" w:hAnsi="宋体"/>
          <w:color w:val="auto"/>
          <w:spacing w:val="6"/>
          <w:szCs w:val="21"/>
          <w:highlight w:val="none"/>
        </w:rPr>
        <w:t>；承接企业为</w:t>
      </w:r>
      <w:r>
        <w:rPr>
          <w:rFonts w:hint="eastAsia" w:ascii="宋体" w:hAnsi="宋体"/>
          <w:color w:val="auto"/>
          <w:spacing w:val="6"/>
          <w:szCs w:val="21"/>
          <w:highlight w:val="none"/>
          <w:u w:val="single"/>
        </w:rPr>
        <w:t>（企业名称）</w:t>
      </w:r>
      <w:r>
        <w:rPr>
          <w:rFonts w:hint="eastAsia" w:ascii="宋体" w:hAnsi="宋体"/>
          <w:color w:val="auto"/>
          <w:spacing w:val="6"/>
          <w:szCs w:val="21"/>
          <w:highlight w:val="none"/>
        </w:rPr>
        <w:t>，从业人员____人，营业收入为</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万元，资产总额为</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万元，属于</w:t>
      </w:r>
      <w:r>
        <w:rPr>
          <w:rFonts w:hint="eastAsia" w:ascii="宋体" w:hAnsi="宋体"/>
          <w:color w:val="auto"/>
          <w:spacing w:val="6"/>
          <w:szCs w:val="21"/>
          <w:highlight w:val="none"/>
          <w:u w:val="single"/>
        </w:rPr>
        <w:t>（中型企业、小型企业、微型企业）</w:t>
      </w:r>
      <w:r>
        <w:rPr>
          <w:rFonts w:hint="eastAsia" w:ascii="宋体" w:hAnsi="宋体"/>
          <w:color w:val="auto"/>
          <w:spacing w:val="6"/>
          <w:szCs w:val="21"/>
          <w:highlight w:val="none"/>
        </w:rPr>
        <w:t>；</w:t>
      </w:r>
    </w:p>
    <w:p>
      <w:pPr>
        <w:snapToGrid w:val="0"/>
        <w:spacing w:line="360" w:lineRule="auto"/>
        <w:ind w:left="105" w:leftChars="50" w:right="-210" w:rightChars="-100" w:firstLine="444" w:firstLineChars="200"/>
        <w:rPr>
          <w:rFonts w:ascii="宋体" w:hAnsi="宋体"/>
          <w:color w:val="auto"/>
          <w:spacing w:val="6"/>
          <w:szCs w:val="21"/>
          <w:highlight w:val="none"/>
        </w:rPr>
      </w:pPr>
      <w:r>
        <w:rPr>
          <w:rFonts w:hint="eastAsia" w:ascii="宋体" w:hAnsi="宋体"/>
          <w:color w:val="auto"/>
          <w:spacing w:val="6"/>
          <w:szCs w:val="21"/>
          <w:highlight w:val="none"/>
        </w:rPr>
        <w:t>……</w:t>
      </w:r>
    </w:p>
    <w:p>
      <w:pPr>
        <w:snapToGrid w:val="0"/>
        <w:spacing w:line="360" w:lineRule="auto"/>
        <w:ind w:left="105" w:leftChars="50" w:right="-210" w:rightChars="-100" w:firstLine="444" w:firstLineChars="200"/>
        <w:rPr>
          <w:rFonts w:ascii="宋体" w:hAnsi="宋体"/>
          <w:color w:val="auto"/>
          <w:spacing w:val="6"/>
          <w:szCs w:val="21"/>
          <w:highlight w:val="none"/>
        </w:rPr>
      </w:pPr>
      <w:r>
        <w:rPr>
          <w:rFonts w:hint="eastAsia" w:ascii="宋体" w:hAnsi="宋体"/>
          <w:color w:val="auto"/>
          <w:spacing w:val="6"/>
          <w:szCs w:val="21"/>
          <w:highlight w:val="none"/>
        </w:rPr>
        <w:t>以上企业，不属于大企业的分支机构，不存在控股股东为大企业的情形，也不存在与大企业的负责人为同一人的情形。</w:t>
      </w:r>
    </w:p>
    <w:p>
      <w:pPr>
        <w:snapToGrid w:val="0"/>
        <w:spacing w:line="360" w:lineRule="auto"/>
        <w:ind w:left="105" w:leftChars="50" w:right="-210" w:rightChars="-100" w:firstLine="444" w:firstLineChars="200"/>
        <w:rPr>
          <w:rFonts w:ascii="宋体" w:hAnsi="宋体"/>
          <w:color w:val="auto"/>
          <w:spacing w:val="6"/>
          <w:szCs w:val="21"/>
          <w:highlight w:val="none"/>
        </w:rPr>
      </w:pPr>
      <w:r>
        <w:rPr>
          <w:rFonts w:hint="eastAsia" w:ascii="宋体" w:hAnsi="宋体"/>
          <w:color w:val="auto"/>
          <w:spacing w:val="6"/>
          <w:szCs w:val="21"/>
          <w:highlight w:val="none"/>
        </w:rPr>
        <w:t>本企业对上述声明内容的真实性负责。如有虚假，将依法承担相应责任。</w:t>
      </w:r>
    </w:p>
    <w:p>
      <w:pPr>
        <w:snapToGrid w:val="0"/>
        <w:ind w:left="105" w:leftChars="50" w:right="-210" w:rightChars="-100" w:firstLine="444" w:firstLineChars="200"/>
        <w:rPr>
          <w:rFonts w:ascii="宋体" w:hAnsi="宋体"/>
          <w:color w:val="auto"/>
          <w:spacing w:val="6"/>
          <w:szCs w:val="21"/>
          <w:highlight w:val="none"/>
        </w:rPr>
      </w:pPr>
    </w:p>
    <w:p>
      <w:pPr>
        <w:snapToGrid w:val="0"/>
        <w:ind w:left="105" w:leftChars="50" w:right="-210" w:rightChars="-100"/>
        <w:rPr>
          <w:rFonts w:ascii="宋体" w:hAnsi="宋体"/>
          <w:color w:val="auto"/>
          <w:szCs w:val="21"/>
          <w:highlight w:val="none"/>
        </w:rPr>
      </w:pPr>
      <w:r>
        <w:rPr>
          <w:rFonts w:hint="eastAsia" w:ascii="宋体" w:hAnsi="宋体"/>
          <w:color w:val="auto"/>
          <w:szCs w:val="21"/>
          <w:highlight w:val="none"/>
        </w:rPr>
        <w:t>企业名称（盖章）：</w:t>
      </w:r>
    </w:p>
    <w:p>
      <w:pPr>
        <w:snapToGrid w:val="0"/>
        <w:ind w:left="105" w:leftChars="50" w:right="-210" w:rightChars="-100"/>
        <w:rPr>
          <w:rFonts w:ascii="宋体" w:hAnsi="宋体"/>
          <w:color w:val="auto"/>
          <w:szCs w:val="21"/>
          <w:highlight w:val="none"/>
        </w:rPr>
      </w:pPr>
    </w:p>
    <w:p>
      <w:pPr>
        <w:snapToGrid w:val="0"/>
        <w:ind w:left="105" w:leftChars="50" w:right="-210" w:rightChars="-100"/>
        <w:rPr>
          <w:rFonts w:ascii="宋体" w:hAnsi="宋体"/>
          <w:color w:val="auto"/>
          <w:szCs w:val="21"/>
          <w:highlight w:val="none"/>
        </w:rPr>
      </w:pPr>
      <w:r>
        <w:rPr>
          <w:rFonts w:hint="eastAsia" w:ascii="宋体" w:hAnsi="宋体"/>
          <w:color w:val="auto"/>
          <w:szCs w:val="21"/>
          <w:highlight w:val="none"/>
        </w:rPr>
        <w:t>日   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26"/>
        <w:snapToGrid w:val="0"/>
        <w:ind w:left="105" w:leftChars="50" w:right="-210" w:rightChars="-100"/>
        <w:jc w:val="center"/>
        <w:rPr>
          <w:rFonts w:hAnsi="宋体"/>
          <w:color w:val="auto"/>
          <w:szCs w:val="21"/>
          <w:highlight w:val="none"/>
        </w:rPr>
      </w:pPr>
    </w:p>
    <w:p>
      <w:pPr>
        <w:pStyle w:val="224"/>
        <w:snapToGrid w:val="0"/>
        <w:spacing w:line="240" w:lineRule="auto"/>
        <w:ind w:left="105" w:leftChars="50" w:right="-210" w:rightChars="-100" w:firstLine="0" w:firstLineChars="0"/>
        <w:rPr>
          <w:rFonts w:ascii="宋体" w:eastAsia="宋体"/>
          <w:b/>
          <w:bCs/>
          <w:color w:val="auto"/>
          <w:sz w:val="21"/>
          <w:szCs w:val="21"/>
          <w:highlight w:val="none"/>
        </w:rPr>
      </w:pPr>
      <w:r>
        <w:rPr>
          <w:rFonts w:hint="eastAsia" w:ascii="宋体" w:eastAsia="宋体"/>
          <w:b/>
          <w:bCs/>
          <w:color w:val="auto"/>
          <w:sz w:val="21"/>
          <w:szCs w:val="21"/>
          <w:highlight w:val="none"/>
        </w:rPr>
        <w:t>注：1、本项目采购标的对应的中小企业划分标准所属行业为：</w:t>
      </w:r>
      <w:r>
        <w:rPr>
          <w:rFonts w:hint="eastAsia" w:ascii="宋体" w:eastAsia="宋体"/>
          <w:b/>
          <w:bCs/>
          <w:color w:val="auto"/>
          <w:sz w:val="21"/>
          <w:szCs w:val="21"/>
          <w:highlight w:val="none"/>
          <w:u w:val="single"/>
          <w:lang w:val="en-US" w:eastAsia="zh-CN"/>
        </w:rPr>
        <w:t>批发业</w:t>
      </w:r>
      <w:r>
        <w:rPr>
          <w:rFonts w:hint="eastAsia" w:ascii="宋体" w:eastAsia="宋体"/>
          <w:b/>
          <w:bCs/>
          <w:color w:val="auto"/>
          <w:sz w:val="21"/>
          <w:szCs w:val="21"/>
          <w:highlight w:val="none"/>
          <w:u w:val="single"/>
        </w:rPr>
        <w:t>；</w:t>
      </w:r>
    </w:p>
    <w:p>
      <w:pPr>
        <w:pStyle w:val="224"/>
        <w:snapToGrid w:val="0"/>
        <w:spacing w:line="240" w:lineRule="auto"/>
        <w:ind w:left="105" w:leftChars="50" w:right="-210" w:rightChars="-100" w:firstLine="413" w:firstLineChars="196"/>
        <w:rPr>
          <w:rFonts w:ascii="宋体" w:eastAsia="宋体"/>
          <w:b/>
          <w:bCs/>
          <w:color w:val="auto"/>
          <w:sz w:val="21"/>
          <w:szCs w:val="21"/>
          <w:highlight w:val="none"/>
        </w:rPr>
      </w:pPr>
      <w:r>
        <w:rPr>
          <w:rFonts w:hint="eastAsia" w:ascii="宋体" w:eastAsia="宋体"/>
          <w:b/>
          <w:bCs/>
          <w:color w:val="auto"/>
          <w:sz w:val="21"/>
          <w:szCs w:val="21"/>
          <w:highlight w:val="none"/>
        </w:rPr>
        <w:t>2、从业人员、营业收入、资产总额填报上一年度数据，无上一年度数据的新成立企业可不填报</w:t>
      </w:r>
    </w:p>
    <w:p>
      <w:pPr>
        <w:pStyle w:val="26"/>
        <w:snapToGrid w:val="0"/>
        <w:spacing w:line="360" w:lineRule="auto"/>
        <w:ind w:right="42" w:rightChars="20" w:firstLine="422" w:firstLineChars="200"/>
        <w:jc w:val="left"/>
        <w:rPr>
          <w:rFonts w:asciiTheme="minorEastAsia" w:hAnsiTheme="minorEastAsia" w:eastAsiaTheme="minorEastAsia"/>
          <w:b/>
          <w:color w:val="auto"/>
          <w:szCs w:val="21"/>
          <w:highlight w:val="none"/>
        </w:rPr>
      </w:pPr>
    </w:p>
    <w:p>
      <w:pPr>
        <w:pStyle w:val="26"/>
        <w:snapToGrid w:val="0"/>
        <w:spacing w:line="360" w:lineRule="auto"/>
        <w:ind w:right="42" w:rightChars="20" w:firstLine="422" w:firstLineChars="200"/>
        <w:jc w:val="left"/>
        <w:rPr>
          <w:rFonts w:asciiTheme="minorEastAsia" w:hAnsiTheme="minorEastAsia" w:eastAsiaTheme="minorEastAsia"/>
          <w:b/>
          <w:color w:val="auto"/>
          <w:szCs w:val="21"/>
          <w:highlight w:val="none"/>
        </w:rPr>
      </w:pPr>
    </w:p>
    <w:p>
      <w:pPr>
        <w:pStyle w:val="27"/>
        <w:rPr>
          <w:color w:val="auto"/>
          <w:highlight w:val="none"/>
        </w:rPr>
      </w:pPr>
    </w:p>
    <w:p>
      <w:pPr>
        <w:pStyle w:val="26"/>
        <w:snapToGrid w:val="0"/>
        <w:spacing w:line="360" w:lineRule="auto"/>
        <w:ind w:right="42" w:rightChars="20" w:firstLine="422" w:firstLineChars="200"/>
        <w:jc w:val="left"/>
        <w:rPr>
          <w:rFonts w:asciiTheme="minorEastAsia" w:hAnsiTheme="minorEastAsia" w:eastAsiaTheme="minorEastAsia"/>
          <w:b/>
          <w:color w:val="auto"/>
          <w:szCs w:val="21"/>
          <w:highlight w:val="none"/>
        </w:rPr>
      </w:pPr>
    </w:p>
    <w:p>
      <w:pPr>
        <w:pStyle w:val="27"/>
        <w:rPr>
          <w:rFonts w:asciiTheme="minorEastAsia" w:hAnsiTheme="minorEastAsia" w:eastAsiaTheme="minorEastAsia"/>
          <w:b/>
          <w:color w:val="auto"/>
          <w:szCs w:val="21"/>
          <w:highlight w:val="none"/>
        </w:rPr>
      </w:pPr>
    </w:p>
    <w:p>
      <w:pPr>
        <w:rPr>
          <w:rFonts w:asciiTheme="minorEastAsia" w:hAnsiTheme="minorEastAsia" w:eastAsiaTheme="minorEastAsia"/>
          <w:b/>
          <w:color w:val="auto"/>
          <w:szCs w:val="21"/>
          <w:highlight w:val="none"/>
        </w:rPr>
      </w:pPr>
    </w:p>
    <w:p>
      <w:pPr>
        <w:pStyle w:val="4"/>
        <w:rPr>
          <w:rFonts w:asciiTheme="minorEastAsia" w:hAnsiTheme="minorEastAsia" w:eastAsiaTheme="minorEastAsia"/>
          <w:b/>
          <w:color w:val="auto"/>
          <w:szCs w:val="21"/>
          <w:highlight w:val="none"/>
        </w:rPr>
      </w:pPr>
    </w:p>
    <w:p>
      <w:pPr>
        <w:pStyle w:val="5"/>
        <w:rPr>
          <w:rFonts w:asciiTheme="minorEastAsia" w:hAnsiTheme="minorEastAsia" w:eastAsiaTheme="minorEastAsia"/>
          <w:b/>
          <w:color w:val="auto"/>
          <w:szCs w:val="21"/>
          <w:highlight w:val="none"/>
        </w:rPr>
      </w:pPr>
    </w:p>
    <w:p>
      <w:pPr>
        <w:pStyle w:val="5"/>
        <w:rPr>
          <w:rFonts w:asciiTheme="minorEastAsia" w:hAnsiTheme="minorEastAsia" w:eastAsiaTheme="minorEastAsia"/>
          <w:b/>
          <w:color w:val="auto"/>
          <w:szCs w:val="21"/>
          <w:highlight w:val="none"/>
        </w:rPr>
      </w:pPr>
    </w:p>
    <w:p>
      <w:pPr>
        <w:pStyle w:val="5"/>
        <w:rPr>
          <w:rFonts w:asciiTheme="minorEastAsia" w:hAnsiTheme="minorEastAsia" w:eastAsiaTheme="minorEastAsia"/>
          <w:b/>
          <w:color w:val="auto"/>
          <w:szCs w:val="21"/>
          <w:highlight w:val="none"/>
        </w:rPr>
      </w:pPr>
    </w:p>
    <w:p>
      <w:pPr>
        <w:pStyle w:val="5"/>
        <w:rPr>
          <w:rFonts w:asciiTheme="minorEastAsia" w:hAnsiTheme="minorEastAsia" w:eastAsiaTheme="minorEastAsia"/>
          <w:b/>
          <w:color w:val="auto"/>
          <w:szCs w:val="21"/>
          <w:highlight w:val="none"/>
        </w:rPr>
      </w:pPr>
    </w:p>
    <w:p>
      <w:pPr>
        <w:pStyle w:val="26"/>
        <w:snapToGrid w:val="0"/>
        <w:rPr>
          <w:rFonts w:ascii="微软雅黑" w:hAnsi="微软雅黑"/>
          <w:b/>
          <w:color w:val="auto"/>
          <w:szCs w:val="21"/>
          <w:highlight w:val="none"/>
        </w:rPr>
      </w:pPr>
      <w:r>
        <w:rPr>
          <w:rFonts w:hint="eastAsia" w:ascii="微软雅黑" w:hAnsi="微软雅黑"/>
          <w:b/>
          <w:color w:val="auto"/>
          <w:szCs w:val="21"/>
          <w:highlight w:val="none"/>
        </w:rPr>
        <w:t>残疾人福利性单位声明函</w:t>
      </w:r>
    </w:p>
    <w:p>
      <w:pPr>
        <w:widowControl/>
        <w:ind w:firstLine="420"/>
        <w:rPr>
          <w:rFonts w:ascii="微软雅黑" w:hAnsi="微软雅黑"/>
          <w:b/>
          <w:color w:val="auto"/>
          <w:szCs w:val="21"/>
          <w:highlight w:val="none"/>
        </w:rPr>
      </w:pPr>
    </w:p>
    <w:p>
      <w:pPr>
        <w:widowControl/>
        <w:ind w:firstLine="420"/>
        <w:jc w:val="center"/>
        <w:rPr>
          <w:rFonts w:ascii="微软雅黑" w:hAnsi="微软雅黑"/>
          <w:b/>
          <w:color w:val="auto"/>
          <w:szCs w:val="21"/>
          <w:highlight w:val="none"/>
        </w:rPr>
      </w:pPr>
      <w:r>
        <w:rPr>
          <w:rFonts w:hint="eastAsia" w:ascii="微软雅黑" w:hAnsi="微软雅黑"/>
          <w:b/>
          <w:color w:val="auto"/>
          <w:szCs w:val="21"/>
          <w:highlight w:val="none"/>
        </w:rPr>
        <w:t>残疾人福利性单位声明函</w:t>
      </w:r>
    </w:p>
    <w:p>
      <w:pPr>
        <w:widowControl/>
        <w:ind w:firstLine="420"/>
        <w:rPr>
          <w:rFonts w:ascii="微软雅黑" w:hAnsi="微软雅黑"/>
          <w:color w:val="auto"/>
          <w:szCs w:val="21"/>
          <w:highlight w:val="none"/>
        </w:rPr>
      </w:pPr>
      <w:r>
        <w:rPr>
          <w:rFonts w:hint="eastAsia" w:ascii="微软雅黑" w:hAnsi="微软雅黑"/>
          <w:color w:val="auto"/>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ind w:firstLine="420"/>
        <w:rPr>
          <w:rFonts w:ascii="微软雅黑" w:hAnsi="微软雅黑"/>
          <w:color w:val="auto"/>
          <w:szCs w:val="21"/>
          <w:highlight w:val="none"/>
        </w:rPr>
      </w:pPr>
      <w:r>
        <w:rPr>
          <w:rFonts w:hint="eastAsia" w:ascii="微软雅黑" w:hAnsi="微软雅黑"/>
          <w:color w:val="auto"/>
          <w:szCs w:val="21"/>
          <w:highlight w:val="none"/>
        </w:rPr>
        <w:t xml:space="preserve">  本单位对上述声明的真实性负责。如有虚假，将依法承担相应责任。</w:t>
      </w:r>
    </w:p>
    <w:p>
      <w:pPr>
        <w:widowControl/>
        <w:ind w:firstLine="420"/>
        <w:rPr>
          <w:rFonts w:ascii="微软雅黑" w:hAnsi="微软雅黑"/>
          <w:color w:val="auto"/>
          <w:szCs w:val="21"/>
          <w:highlight w:val="none"/>
        </w:rPr>
      </w:pPr>
      <w:r>
        <w:rPr>
          <w:rFonts w:hint="eastAsia" w:ascii="微软雅黑" w:hAnsi="微软雅黑"/>
          <w:color w:val="auto"/>
          <w:szCs w:val="21"/>
          <w:highlight w:val="none"/>
        </w:rPr>
        <w:t xml:space="preserve">         </w:t>
      </w:r>
      <w:r>
        <w:rPr>
          <w:rFonts w:hint="eastAsia" w:ascii="宋体" w:hAnsi="宋体"/>
          <w:color w:val="auto"/>
          <w:szCs w:val="21"/>
          <w:highlight w:val="none"/>
          <w:shd w:val="clear" w:color="auto" w:fill="FFFFFF"/>
        </w:rPr>
        <w:t>投标人名称：（盖章）</w:t>
      </w:r>
      <w:r>
        <w:rPr>
          <w:rFonts w:ascii="宋体" w:hAnsi="宋体"/>
          <w:color w:val="auto"/>
          <w:szCs w:val="21"/>
          <w:highlight w:val="none"/>
        </w:rPr>
        <w:t>：</w:t>
      </w:r>
    </w:p>
    <w:p>
      <w:pPr>
        <w:widowControl/>
        <w:ind w:firstLine="420"/>
        <w:rPr>
          <w:rFonts w:ascii="微软雅黑" w:hAnsi="微软雅黑"/>
          <w:color w:val="auto"/>
          <w:szCs w:val="21"/>
          <w:highlight w:val="none"/>
        </w:rPr>
      </w:pPr>
      <w:r>
        <w:rPr>
          <w:rFonts w:hint="eastAsia" w:ascii="微软雅黑" w:hAnsi="微软雅黑"/>
          <w:color w:val="auto"/>
          <w:szCs w:val="21"/>
          <w:highlight w:val="none"/>
        </w:rPr>
        <w:t xml:space="preserve">                  日 期：</w:t>
      </w:r>
    </w:p>
    <w:p>
      <w:pPr>
        <w:ind w:firstLine="420"/>
        <w:rPr>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ind w:firstLine="420"/>
        <w:rPr>
          <w:color w:val="auto"/>
          <w:highlight w:val="none"/>
        </w:rPr>
      </w:pPr>
      <w:r>
        <w:rPr>
          <w:rFonts w:hint="eastAsia"/>
          <w:color w:val="auto"/>
          <w:highlight w:val="none"/>
        </w:rPr>
        <w:t>监狱企业证明文件</w:t>
      </w:r>
    </w:p>
    <w:p>
      <w:pPr>
        <w:ind w:firstLine="420"/>
        <w:jc w:val="center"/>
        <w:rPr>
          <w:rFonts w:ascii="微软雅黑" w:hAnsi="微软雅黑"/>
          <w:b/>
          <w:color w:val="auto"/>
          <w:szCs w:val="21"/>
          <w:highlight w:val="none"/>
        </w:rPr>
      </w:pPr>
      <w:r>
        <w:rPr>
          <w:rFonts w:hint="eastAsia" w:ascii="微软雅黑" w:hAnsi="微软雅黑"/>
          <w:b/>
          <w:color w:val="auto"/>
          <w:szCs w:val="21"/>
          <w:highlight w:val="none"/>
        </w:rPr>
        <w:t>监狱企业证明文件</w:t>
      </w:r>
    </w:p>
    <w:tbl>
      <w:tblPr>
        <w:tblStyle w:val="49"/>
        <w:tblW w:w="7533" w:type="dxa"/>
        <w:tblInd w:w="108"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7533"/>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6516" w:hRule="atLeast"/>
        </w:trPr>
        <w:tc>
          <w:tcPr>
            <w:tcW w:w="7533" w:type="dxa"/>
            <w:vAlign w:val="center"/>
          </w:tcPr>
          <w:p>
            <w:pPr>
              <w:ind w:firstLine="420"/>
              <w:jc w:val="center"/>
              <w:rPr>
                <w:rFonts w:ascii="微软雅黑" w:hAnsi="微软雅黑"/>
                <w:b/>
                <w:color w:val="auto"/>
                <w:szCs w:val="21"/>
                <w:highlight w:val="none"/>
              </w:rPr>
            </w:pPr>
            <w:r>
              <w:rPr>
                <w:rFonts w:hint="eastAsia" w:ascii="微软雅黑" w:hAnsi="微软雅黑"/>
                <w:b/>
                <w:color w:val="auto"/>
                <w:szCs w:val="21"/>
                <w:highlight w:val="none"/>
              </w:rPr>
              <w:t>相关部门出具的监狱企业证明文件</w:t>
            </w:r>
          </w:p>
          <w:p>
            <w:pPr>
              <w:ind w:firstLine="420"/>
              <w:jc w:val="center"/>
              <w:rPr>
                <w:rFonts w:ascii="微软雅黑" w:hAnsi="微软雅黑" w:cs="Arial"/>
                <w:b/>
                <w:i/>
                <w:color w:val="auto"/>
                <w:kern w:val="0"/>
                <w:szCs w:val="21"/>
                <w:highlight w:val="none"/>
              </w:rPr>
            </w:pPr>
            <w:r>
              <w:rPr>
                <w:rFonts w:hint="eastAsia" w:ascii="微软雅黑" w:hAnsi="微软雅黑"/>
                <w:color w:val="auto"/>
                <w:szCs w:val="21"/>
                <w:highlight w:val="none"/>
              </w:rPr>
              <w:t>（如是，提供</w:t>
            </w:r>
            <w:r>
              <w:rPr>
                <w:rFonts w:hint="eastAsia" w:ascii="微软雅黑" w:hAnsi="微软雅黑" w:cs="Arial"/>
                <w:color w:val="auto"/>
                <w:kern w:val="0"/>
                <w:szCs w:val="21"/>
                <w:highlight w:val="none"/>
              </w:rPr>
              <w:t>复印件加盖投标供应商公章）</w:t>
            </w:r>
          </w:p>
        </w:tc>
      </w:tr>
    </w:tbl>
    <w:p>
      <w:pPr>
        <w:ind w:firstLine="420"/>
        <w:rPr>
          <w:rFonts w:ascii="微软雅黑" w:hAnsi="微软雅黑" w:cs="Arial"/>
          <w:i/>
          <w:color w:val="auto"/>
          <w:szCs w:val="21"/>
          <w:highlight w:val="none"/>
        </w:rPr>
      </w:pPr>
    </w:p>
    <w:p>
      <w:pPr>
        <w:snapToGrid w:val="0"/>
        <w:rPr>
          <w:rFonts w:hint="eastAsia" w:ascii="微软雅黑" w:hAnsi="微软雅黑"/>
          <w:color w:val="auto"/>
          <w:szCs w:val="21"/>
          <w:highlight w:val="none"/>
          <w:shd w:val="clear" w:color="auto" w:fill="FFFFFF"/>
        </w:rPr>
      </w:pPr>
      <w:r>
        <w:rPr>
          <w:rFonts w:hint="eastAsia" w:ascii="宋体" w:hAnsi="宋体"/>
          <w:color w:val="auto"/>
          <w:szCs w:val="21"/>
          <w:highlight w:val="none"/>
          <w:shd w:val="clear" w:color="auto" w:fill="FFFFFF"/>
        </w:rPr>
        <w:t>投标人名称：（盖章）</w:t>
      </w:r>
      <w:r>
        <w:rPr>
          <w:rFonts w:hint="eastAsia" w:ascii="微软雅黑" w:hAnsi="微软雅黑"/>
          <w:color w:val="auto"/>
          <w:szCs w:val="21"/>
          <w:highlight w:val="none"/>
          <w:shd w:val="clear" w:color="auto" w:fill="FFFFFF"/>
        </w:rPr>
        <w:t>：</w:t>
      </w:r>
      <w:r>
        <w:rPr>
          <w:rFonts w:hint="eastAsia" w:ascii="微软雅黑" w:hAnsi="微软雅黑"/>
          <w:color w:val="auto"/>
          <w:szCs w:val="21"/>
          <w:highlight w:val="none"/>
        </w:rPr>
        <w:br w:type="textWrapping"/>
      </w:r>
      <w:r>
        <w:rPr>
          <w:rFonts w:hint="eastAsia" w:ascii="微软雅黑" w:hAnsi="微软雅黑"/>
          <w:color w:val="auto"/>
          <w:szCs w:val="21"/>
          <w:highlight w:val="none"/>
          <w:shd w:val="clear" w:color="auto" w:fill="FFFFFF"/>
        </w:rPr>
        <w:t>投标日期： 年 月 日</w:t>
      </w:r>
    </w:p>
    <w:p>
      <w:pPr>
        <w:pStyle w:val="3"/>
        <w:rPr>
          <w:rFonts w:hint="eastAsia" w:ascii="微软雅黑" w:hAnsi="微软雅黑"/>
          <w:color w:val="auto"/>
          <w:szCs w:val="21"/>
          <w:highlight w:val="none"/>
          <w:shd w:val="clear" w:color="auto" w:fill="FFFFFF"/>
        </w:rPr>
      </w:pPr>
    </w:p>
    <w:p>
      <w:pPr>
        <w:rPr>
          <w:rFonts w:hint="eastAsia" w:ascii="微软雅黑" w:hAnsi="微软雅黑"/>
          <w:color w:val="auto"/>
          <w:szCs w:val="21"/>
          <w:highlight w:val="none"/>
          <w:shd w:val="clear" w:color="auto" w:fill="FFFFFF"/>
        </w:rPr>
      </w:pPr>
    </w:p>
    <w:p>
      <w:pPr>
        <w:pStyle w:val="3"/>
        <w:rPr>
          <w:rFonts w:hint="eastAsia" w:ascii="微软雅黑" w:hAnsi="微软雅黑"/>
          <w:color w:val="auto"/>
          <w:szCs w:val="21"/>
          <w:highlight w:val="none"/>
          <w:shd w:val="clear" w:color="auto" w:fill="FFFFFF"/>
        </w:rPr>
      </w:pPr>
    </w:p>
    <w:p>
      <w:pPr>
        <w:rPr>
          <w:rFonts w:hint="eastAsia" w:ascii="微软雅黑" w:hAnsi="微软雅黑"/>
          <w:color w:val="auto"/>
          <w:szCs w:val="21"/>
          <w:highlight w:val="none"/>
          <w:shd w:val="clear" w:color="auto" w:fill="FFFFFF"/>
        </w:rPr>
      </w:pPr>
    </w:p>
    <w:p>
      <w:pPr>
        <w:pStyle w:val="48"/>
        <w:rPr>
          <w:rFonts w:hint="eastAsia" w:ascii="微软雅黑" w:hAnsi="微软雅黑"/>
          <w:color w:val="auto"/>
          <w:szCs w:val="21"/>
          <w:highlight w:val="none"/>
          <w:shd w:val="clear" w:color="auto" w:fill="FFFFFF"/>
        </w:rPr>
      </w:pPr>
    </w:p>
    <w:p>
      <w:pPr>
        <w:rPr>
          <w:rFonts w:hint="eastAsia" w:ascii="微软雅黑" w:hAnsi="微软雅黑"/>
          <w:color w:val="auto"/>
          <w:szCs w:val="21"/>
          <w:highlight w:val="none"/>
          <w:shd w:val="clear" w:color="auto" w:fill="FFFFFF"/>
        </w:rPr>
      </w:pPr>
    </w:p>
    <w:p>
      <w:pPr>
        <w:shd w:val="clear" w:color="auto" w:fill="FFFFFF"/>
        <w:spacing w:before="156" w:line="330" w:lineRule="atLeast"/>
        <w:rPr>
          <w:rFonts w:ascii="宋体" w:hAnsi="宋体" w:cs="宋体"/>
          <w:b/>
          <w:color w:val="auto"/>
          <w:sz w:val="24"/>
          <w:highlight w:val="none"/>
        </w:rPr>
      </w:pPr>
      <w:r>
        <w:rPr>
          <w:rFonts w:hint="eastAsia" w:ascii="宋体" w:hAnsi="宋体" w:cs="宋体"/>
          <w:b/>
          <w:color w:val="auto"/>
          <w:sz w:val="24"/>
          <w:highlight w:val="none"/>
        </w:rPr>
        <w:t>附件：</w:t>
      </w:r>
    </w:p>
    <w:p>
      <w:pPr>
        <w:shd w:val="clear" w:color="auto" w:fill="FFFFFF"/>
        <w:spacing w:before="156" w:line="330" w:lineRule="atLeast"/>
        <w:ind w:firstLine="482"/>
        <w:jc w:val="center"/>
        <w:rPr>
          <w:rFonts w:ascii="宋体" w:hAnsi="宋体" w:cs="宋体"/>
          <w:b/>
          <w:color w:val="auto"/>
          <w:sz w:val="24"/>
          <w:highlight w:val="none"/>
        </w:rPr>
      </w:pPr>
    </w:p>
    <w:p>
      <w:pPr>
        <w:shd w:val="clear" w:color="auto" w:fill="FFFFFF"/>
        <w:spacing w:before="156" w:line="330" w:lineRule="atLeast"/>
        <w:ind w:firstLine="482"/>
        <w:jc w:val="center"/>
        <w:rPr>
          <w:rFonts w:ascii="宋体" w:hAnsi="宋体" w:cs="宋体"/>
          <w:bCs/>
          <w:color w:val="auto"/>
          <w:sz w:val="24"/>
          <w:highlight w:val="none"/>
        </w:rPr>
      </w:pPr>
      <w:r>
        <w:rPr>
          <w:rFonts w:hint="eastAsia" w:ascii="宋体" w:hAnsi="宋体" w:cs="宋体"/>
          <w:b/>
          <w:color w:val="auto"/>
          <w:sz w:val="24"/>
          <w:highlight w:val="none"/>
        </w:rPr>
        <w:t>国家统计局关于印发统计上大中小微型企业划分办法的通知</w:t>
      </w:r>
    </w:p>
    <w:p>
      <w:pPr>
        <w:shd w:val="clear" w:color="auto" w:fill="FFFFFF"/>
        <w:spacing w:line="330" w:lineRule="atLeast"/>
        <w:jc w:val="center"/>
        <w:rPr>
          <w:rFonts w:ascii="宋体" w:hAnsi="宋体" w:cs="宋体"/>
          <w:bCs/>
          <w:color w:val="auto"/>
          <w:sz w:val="24"/>
          <w:highlight w:val="none"/>
        </w:rPr>
      </w:pPr>
      <w:r>
        <w:rPr>
          <w:rFonts w:hint="eastAsia" w:ascii="宋体" w:hAnsi="宋体" w:cs="宋体"/>
          <w:color w:val="auto"/>
          <w:sz w:val="24"/>
          <w:highlight w:val="none"/>
        </w:rPr>
        <w:t>国统字〔</w:t>
      </w:r>
      <w:r>
        <w:rPr>
          <w:color w:val="auto"/>
          <w:sz w:val="24"/>
          <w:highlight w:val="none"/>
        </w:rPr>
        <w:t>2011</w:t>
      </w:r>
      <w:r>
        <w:rPr>
          <w:rFonts w:hint="eastAsia" w:ascii="宋体" w:hAnsi="宋体" w:cs="宋体"/>
          <w:color w:val="auto"/>
          <w:sz w:val="24"/>
          <w:highlight w:val="none"/>
        </w:rPr>
        <w:t>〕</w:t>
      </w:r>
      <w:r>
        <w:rPr>
          <w:color w:val="auto"/>
          <w:sz w:val="24"/>
          <w:highlight w:val="none"/>
        </w:rPr>
        <w:t>75</w:t>
      </w:r>
      <w:r>
        <w:rPr>
          <w:rFonts w:hint="eastAsia" w:ascii="宋体" w:hAnsi="宋体" w:cs="宋体"/>
          <w:color w:val="auto"/>
          <w:sz w:val="24"/>
          <w:highlight w:val="none"/>
        </w:rPr>
        <w:t>号</w:t>
      </w:r>
    </w:p>
    <w:p>
      <w:pPr>
        <w:shd w:val="clear" w:color="auto" w:fill="FFFFFF"/>
        <w:spacing w:line="330" w:lineRule="atLeast"/>
        <w:rPr>
          <w:rFonts w:ascii="宋体" w:hAnsi="宋体" w:cs="宋体"/>
          <w:bCs/>
          <w:color w:val="auto"/>
          <w:sz w:val="24"/>
          <w:highlight w:val="none"/>
        </w:rPr>
      </w:pPr>
      <w:r>
        <w:rPr>
          <w:color w:val="auto"/>
          <w:sz w:val="24"/>
          <w:highlight w:val="none"/>
        </w:rPr>
        <w:t> </w:t>
      </w:r>
    </w:p>
    <w:p>
      <w:pPr>
        <w:shd w:val="clear" w:color="auto" w:fill="FFFFFF"/>
        <w:spacing w:line="330" w:lineRule="atLeast"/>
        <w:rPr>
          <w:rFonts w:ascii="宋体" w:hAnsi="宋体" w:cs="宋体"/>
          <w:bCs/>
          <w:color w:val="auto"/>
          <w:sz w:val="24"/>
          <w:highlight w:val="none"/>
        </w:rPr>
      </w:pPr>
      <w:r>
        <w:rPr>
          <w:rFonts w:hint="eastAsia" w:ascii="宋体" w:hAnsi="宋体" w:cs="宋体"/>
          <w:color w:val="auto"/>
          <w:sz w:val="24"/>
          <w:highlight w:val="none"/>
        </w:rPr>
        <w:t>各省、自治区、直辖市统计局，新疆生产建设兵团统计局，国家统计局各调查总队，国务院有关部门：</w:t>
      </w:r>
    </w:p>
    <w:p>
      <w:pPr>
        <w:shd w:val="clear" w:color="auto" w:fill="FFFFFF"/>
        <w:spacing w:line="330" w:lineRule="atLeast"/>
        <w:rPr>
          <w:rFonts w:ascii="宋体" w:hAnsi="宋体" w:cs="宋体"/>
          <w:bCs/>
          <w:color w:val="auto"/>
          <w:sz w:val="24"/>
          <w:highlight w:val="none"/>
        </w:rPr>
      </w:pPr>
      <w:r>
        <w:rPr>
          <w:color w:val="auto"/>
          <w:sz w:val="24"/>
          <w:highlight w:val="none"/>
        </w:rPr>
        <w:t> </w:t>
      </w:r>
    </w:p>
    <w:p>
      <w:pPr>
        <w:shd w:val="clear" w:color="auto" w:fill="FFFFFF"/>
        <w:spacing w:line="330" w:lineRule="atLeast"/>
        <w:rPr>
          <w:rFonts w:ascii="宋体" w:hAnsi="宋体" w:cs="宋体"/>
          <w:bCs/>
          <w:color w:val="auto"/>
          <w:sz w:val="24"/>
          <w:highlight w:val="none"/>
        </w:rPr>
      </w:pPr>
      <w:r>
        <w:rPr>
          <w:rFonts w:hint="eastAsia" w:ascii="宋体" w:hAnsi="宋体" w:cs="宋体"/>
          <w:color w:val="auto"/>
          <w:sz w:val="24"/>
          <w:highlight w:val="none"/>
        </w:rPr>
        <w:t>　　为贯彻落实工业和信息化部、国家统计局、国家发展改革委、财政部《关于印发中小企业划型标准规定的通知》（工信部联企业〔</w:t>
      </w:r>
      <w:r>
        <w:rPr>
          <w:color w:val="auto"/>
          <w:sz w:val="24"/>
          <w:highlight w:val="none"/>
        </w:rPr>
        <w:t>2011</w:t>
      </w:r>
      <w:r>
        <w:rPr>
          <w:rFonts w:hint="eastAsia" w:ascii="宋体" w:hAnsi="宋体" w:cs="宋体"/>
          <w:color w:val="auto"/>
          <w:sz w:val="24"/>
          <w:highlight w:val="none"/>
        </w:rPr>
        <w:t>〕</w:t>
      </w:r>
      <w:r>
        <w:rPr>
          <w:color w:val="auto"/>
          <w:sz w:val="24"/>
          <w:highlight w:val="none"/>
        </w:rPr>
        <w:t>300</w:t>
      </w:r>
      <w:r>
        <w:rPr>
          <w:rFonts w:hint="eastAsia" w:ascii="宋体" w:hAnsi="宋体" w:cs="宋体"/>
          <w:color w:val="auto"/>
          <w:sz w:val="24"/>
          <w:highlight w:val="none"/>
        </w:rPr>
        <w:t>号），结合统计工作的实际情况，我们制定了《统计上大中小微型企业划分办法》。现印发给你们，请遵照执行。</w:t>
      </w:r>
    </w:p>
    <w:p>
      <w:pPr>
        <w:shd w:val="clear" w:color="auto" w:fill="FFFFFF"/>
        <w:spacing w:line="330" w:lineRule="atLeast"/>
        <w:rPr>
          <w:rFonts w:ascii="宋体" w:hAnsi="宋体" w:cs="宋体"/>
          <w:bCs/>
          <w:color w:val="auto"/>
          <w:sz w:val="24"/>
          <w:highlight w:val="none"/>
        </w:rPr>
      </w:pPr>
      <w:r>
        <w:rPr>
          <w:color w:val="auto"/>
          <w:sz w:val="24"/>
          <w:highlight w:val="none"/>
        </w:rPr>
        <w:t> </w:t>
      </w:r>
    </w:p>
    <w:p>
      <w:pPr>
        <w:shd w:val="clear" w:color="auto" w:fill="FFFFFF"/>
        <w:wordWrap w:val="0"/>
        <w:spacing w:line="330" w:lineRule="atLeast"/>
        <w:jc w:val="right"/>
        <w:rPr>
          <w:rFonts w:ascii="宋体" w:hAnsi="宋体" w:cs="宋体"/>
          <w:bCs/>
          <w:color w:val="auto"/>
          <w:sz w:val="24"/>
          <w:highlight w:val="none"/>
        </w:rPr>
      </w:pPr>
      <w:r>
        <w:rPr>
          <w:rFonts w:hint="eastAsia" w:ascii="宋体" w:hAnsi="宋体" w:cs="宋体"/>
          <w:color w:val="auto"/>
          <w:sz w:val="24"/>
          <w:highlight w:val="none"/>
        </w:rPr>
        <w:t>　　国家统计局</w:t>
      </w:r>
      <w:r>
        <w:rPr>
          <w:color w:val="auto"/>
          <w:sz w:val="24"/>
          <w:highlight w:val="none"/>
        </w:rPr>
        <w:t> </w:t>
      </w:r>
    </w:p>
    <w:p>
      <w:pPr>
        <w:shd w:val="clear" w:color="auto" w:fill="FFFFFF"/>
        <w:spacing w:line="330" w:lineRule="atLeast"/>
        <w:jc w:val="right"/>
        <w:rPr>
          <w:rFonts w:ascii="宋体" w:hAnsi="宋体" w:cs="宋体"/>
          <w:bCs/>
          <w:color w:val="auto"/>
          <w:sz w:val="24"/>
          <w:highlight w:val="none"/>
        </w:rPr>
      </w:pPr>
      <w:r>
        <w:rPr>
          <w:rFonts w:hint="eastAsia" w:ascii="宋体" w:hAnsi="宋体" w:cs="宋体"/>
          <w:color w:val="auto"/>
          <w:sz w:val="24"/>
          <w:highlight w:val="none"/>
        </w:rPr>
        <w:t>　　二〇一一年九月二日</w:t>
      </w:r>
    </w:p>
    <w:p>
      <w:pPr>
        <w:shd w:val="clear" w:color="auto" w:fill="FFFFFF"/>
        <w:spacing w:line="330" w:lineRule="atLeast"/>
        <w:rPr>
          <w:rFonts w:ascii="宋体" w:hAnsi="宋体" w:cs="宋体"/>
          <w:bCs/>
          <w:color w:val="auto"/>
          <w:sz w:val="24"/>
          <w:highlight w:val="none"/>
        </w:rPr>
      </w:pPr>
      <w:r>
        <w:rPr>
          <w:color w:val="auto"/>
          <w:sz w:val="24"/>
          <w:highlight w:val="none"/>
        </w:rPr>
        <w:t> </w:t>
      </w:r>
    </w:p>
    <w:p>
      <w:pPr>
        <w:shd w:val="clear" w:color="auto" w:fill="FFFFFF"/>
        <w:spacing w:line="330" w:lineRule="atLeast"/>
        <w:ind w:firstLine="482"/>
        <w:jc w:val="center"/>
        <w:rPr>
          <w:rFonts w:ascii="宋体" w:hAnsi="宋体" w:cs="宋体"/>
          <w:bCs/>
          <w:color w:val="auto"/>
          <w:sz w:val="24"/>
          <w:highlight w:val="none"/>
        </w:rPr>
      </w:pPr>
      <w:r>
        <w:rPr>
          <w:rFonts w:hint="eastAsia" w:ascii="宋体" w:hAnsi="宋体" w:cs="宋体"/>
          <w:b/>
          <w:color w:val="auto"/>
          <w:sz w:val="24"/>
          <w:highlight w:val="none"/>
        </w:rPr>
        <w:t>统计上大中小微型企业划分办法</w:t>
      </w:r>
    </w:p>
    <w:p>
      <w:pPr>
        <w:shd w:val="clear" w:color="auto" w:fill="FFFFFF"/>
        <w:spacing w:line="330" w:lineRule="atLeast"/>
        <w:rPr>
          <w:rFonts w:ascii="宋体" w:hAnsi="宋体" w:cs="宋体"/>
          <w:bCs/>
          <w:color w:val="auto"/>
          <w:sz w:val="24"/>
          <w:highlight w:val="none"/>
        </w:rPr>
      </w:pPr>
      <w:r>
        <w:rPr>
          <w:rFonts w:hint="eastAsia" w:ascii="宋体" w:hAnsi="宋体" w:cs="宋体"/>
          <w:color w:val="auto"/>
          <w:sz w:val="24"/>
          <w:highlight w:val="none"/>
        </w:rPr>
        <w:t> </w:t>
      </w:r>
    </w:p>
    <w:p>
      <w:pPr>
        <w:shd w:val="clear" w:color="auto" w:fill="FFFFFF"/>
        <w:spacing w:line="330" w:lineRule="atLeast"/>
        <w:rPr>
          <w:rFonts w:ascii="宋体" w:hAnsi="宋体" w:cs="宋体"/>
          <w:bCs/>
          <w:color w:val="auto"/>
          <w:sz w:val="24"/>
          <w:highlight w:val="none"/>
        </w:rPr>
      </w:pPr>
      <w:r>
        <w:rPr>
          <w:rFonts w:hint="eastAsia" w:ascii="宋体" w:hAnsi="宋体" w:cs="宋体"/>
          <w:color w:val="auto"/>
          <w:sz w:val="24"/>
          <w:highlight w:val="none"/>
        </w:rPr>
        <w:t>一、根据工业和信息化部、国家统计局、国家发展改革委、财政部《关于印发中小企业划型标准规定的通知》（工信部联企业〔</w:t>
      </w:r>
      <w:r>
        <w:rPr>
          <w:color w:val="auto"/>
          <w:sz w:val="24"/>
          <w:highlight w:val="none"/>
        </w:rPr>
        <w:t>2011</w:t>
      </w:r>
      <w:r>
        <w:rPr>
          <w:rFonts w:hint="eastAsia" w:ascii="宋体" w:hAnsi="宋体" w:cs="宋体"/>
          <w:color w:val="auto"/>
          <w:sz w:val="24"/>
          <w:highlight w:val="none"/>
        </w:rPr>
        <w:t>〕</w:t>
      </w:r>
      <w:r>
        <w:rPr>
          <w:color w:val="auto"/>
          <w:sz w:val="24"/>
          <w:highlight w:val="none"/>
        </w:rPr>
        <w:t>300</w:t>
      </w:r>
      <w:r>
        <w:rPr>
          <w:rFonts w:hint="eastAsia" w:ascii="宋体" w:hAnsi="宋体" w:cs="宋体"/>
          <w:color w:val="auto"/>
          <w:sz w:val="24"/>
          <w:highlight w:val="none"/>
        </w:rPr>
        <w:t>号），结合统计工作的实际情况，特制定本办法。</w:t>
      </w:r>
    </w:p>
    <w:p>
      <w:pPr>
        <w:shd w:val="clear" w:color="auto" w:fill="FFFFFF"/>
        <w:spacing w:line="330" w:lineRule="atLeast"/>
        <w:rPr>
          <w:rFonts w:ascii="宋体" w:hAnsi="宋体" w:cs="宋体"/>
          <w:bCs/>
          <w:color w:val="auto"/>
          <w:sz w:val="24"/>
          <w:highlight w:val="none"/>
        </w:rPr>
      </w:pPr>
      <w:r>
        <w:rPr>
          <w:color w:val="auto"/>
          <w:sz w:val="24"/>
          <w:highlight w:val="none"/>
        </w:rPr>
        <w:t> </w:t>
      </w:r>
    </w:p>
    <w:p>
      <w:pPr>
        <w:shd w:val="clear" w:color="auto" w:fill="FFFFFF"/>
        <w:spacing w:line="330" w:lineRule="atLeast"/>
        <w:rPr>
          <w:rFonts w:ascii="宋体" w:hAnsi="宋体" w:cs="宋体"/>
          <w:bCs/>
          <w:color w:val="auto"/>
          <w:sz w:val="24"/>
          <w:highlight w:val="none"/>
        </w:rPr>
      </w:pPr>
      <w:r>
        <w:rPr>
          <w:rFonts w:hint="eastAsia" w:ascii="宋体" w:hAnsi="宋体" w:cs="宋体"/>
          <w:color w:val="auto"/>
          <w:sz w:val="24"/>
          <w:highlight w:val="none"/>
        </w:rPr>
        <w:t>二、本办法适用对象为在中华人民共和国境内依法设立的各种组织形式的法人企业或单位。个体工商户参照本办法进行划分。</w:t>
      </w:r>
    </w:p>
    <w:p>
      <w:pPr>
        <w:shd w:val="clear" w:color="auto" w:fill="FFFFFF"/>
        <w:spacing w:line="330" w:lineRule="atLeast"/>
        <w:rPr>
          <w:rFonts w:ascii="宋体" w:hAnsi="宋体" w:cs="宋体"/>
          <w:bCs/>
          <w:color w:val="auto"/>
          <w:sz w:val="24"/>
          <w:highlight w:val="none"/>
        </w:rPr>
      </w:pPr>
      <w:r>
        <w:rPr>
          <w:color w:val="auto"/>
          <w:sz w:val="24"/>
          <w:highlight w:val="none"/>
        </w:rPr>
        <w:t> </w:t>
      </w:r>
    </w:p>
    <w:p>
      <w:pPr>
        <w:shd w:val="clear" w:color="auto" w:fill="FFFFFF"/>
        <w:spacing w:line="330" w:lineRule="atLeast"/>
        <w:rPr>
          <w:rFonts w:ascii="宋体" w:hAnsi="宋体" w:cs="宋体"/>
          <w:bCs/>
          <w:color w:val="auto"/>
          <w:sz w:val="24"/>
          <w:highlight w:val="none"/>
        </w:rPr>
      </w:pPr>
      <w:r>
        <w:rPr>
          <w:rFonts w:hint="eastAsia" w:ascii="宋体" w:hAnsi="宋体" w:cs="宋体"/>
          <w:color w:val="auto"/>
          <w:sz w:val="24"/>
          <w:highlight w:val="none"/>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Pr>
          <w:color w:val="auto"/>
          <w:sz w:val="24"/>
          <w:highlight w:val="none"/>
        </w:rPr>
        <w:t>15</w:t>
      </w:r>
      <w:r>
        <w:rPr>
          <w:rFonts w:hint="eastAsia" w:ascii="宋体" w:hAnsi="宋体" w:cs="宋体"/>
          <w:color w:val="auto"/>
          <w:sz w:val="24"/>
          <w:highlight w:val="none"/>
        </w:rPr>
        <w:t>个行业门类以及社会工作行业大类。</w:t>
      </w:r>
    </w:p>
    <w:p>
      <w:pPr>
        <w:shd w:val="clear" w:color="auto" w:fill="FFFFFF"/>
        <w:spacing w:line="330" w:lineRule="atLeast"/>
        <w:rPr>
          <w:rFonts w:ascii="宋体" w:hAnsi="宋体" w:cs="宋体"/>
          <w:bCs/>
          <w:color w:val="auto"/>
          <w:sz w:val="24"/>
          <w:highlight w:val="none"/>
        </w:rPr>
      </w:pPr>
      <w:r>
        <w:rPr>
          <w:color w:val="auto"/>
          <w:sz w:val="24"/>
          <w:highlight w:val="none"/>
        </w:rPr>
        <w:t> </w:t>
      </w:r>
    </w:p>
    <w:p>
      <w:pPr>
        <w:shd w:val="clear" w:color="auto" w:fill="FFFFFF"/>
        <w:spacing w:line="330" w:lineRule="atLeast"/>
        <w:rPr>
          <w:rFonts w:ascii="宋体" w:hAnsi="宋体" w:cs="宋体"/>
          <w:bCs/>
          <w:color w:val="auto"/>
          <w:sz w:val="24"/>
          <w:highlight w:val="none"/>
        </w:rPr>
      </w:pPr>
      <w:r>
        <w:rPr>
          <w:rFonts w:hint="eastAsia" w:ascii="宋体" w:hAnsi="宋体" w:cs="宋体"/>
          <w:color w:val="auto"/>
          <w:sz w:val="24"/>
          <w:highlight w:val="none"/>
        </w:rPr>
        <w:t>四、本办法按照行业门类、大类、中类和组合类别，依据从业人员、营业收入、资产总额等指标或替代指标，将我国的企业划分为大型、中型、小型、微型等四种类型。具体划分标准见附表。</w:t>
      </w:r>
    </w:p>
    <w:p>
      <w:pPr>
        <w:shd w:val="clear" w:color="auto" w:fill="FFFFFF"/>
        <w:spacing w:line="330" w:lineRule="atLeast"/>
        <w:rPr>
          <w:rFonts w:ascii="宋体" w:hAnsi="宋体" w:cs="宋体"/>
          <w:bCs/>
          <w:color w:val="auto"/>
          <w:sz w:val="24"/>
          <w:highlight w:val="none"/>
        </w:rPr>
      </w:pPr>
      <w:r>
        <w:rPr>
          <w:color w:val="auto"/>
          <w:sz w:val="24"/>
          <w:highlight w:val="none"/>
        </w:rPr>
        <w:t> </w:t>
      </w:r>
    </w:p>
    <w:p>
      <w:pPr>
        <w:shd w:val="clear" w:color="auto" w:fill="FFFFFF"/>
        <w:spacing w:line="330" w:lineRule="atLeast"/>
        <w:rPr>
          <w:rFonts w:ascii="宋体" w:hAnsi="宋体" w:cs="宋体"/>
          <w:bCs/>
          <w:color w:val="auto"/>
          <w:sz w:val="24"/>
          <w:highlight w:val="none"/>
        </w:rPr>
      </w:pPr>
      <w:r>
        <w:rPr>
          <w:rFonts w:hint="eastAsia" w:ascii="宋体" w:hAnsi="宋体" w:cs="宋体"/>
          <w:color w:val="auto"/>
          <w:sz w:val="24"/>
          <w:highlight w:val="none"/>
        </w:rPr>
        <w:t>五、企业划分由政府综合统计部门根据统计年报每年确定一次，定报统计原则上不进行调整。</w:t>
      </w:r>
    </w:p>
    <w:p>
      <w:pPr>
        <w:shd w:val="clear" w:color="auto" w:fill="FFFFFF"/>
        <w:spacing w:line="330" w:lineRule="atLeast"/>
        <w:rPr>
          <w:rFonts w:ascii="宋体" w:hAnsi="宋体" w:cs="宋体"/>
          <w:bCs/>
          <w:color w:val="auto"/>
          <w:sz w:val="24"/>
          <w:highlight w:val="none"/>
        </w:rPr>
      </w:pPr>
      <w:r>
        <w:rPr>
          <w:color w:val="auto"/>
          <w:sz w:val="24"/>
          <w:highlight w:val="none"/>
        </w:rPr>
        <w:t> </w:t>
      </w:r>
    </w:p>
    <w:p>
      <w:pPr>
        <w:shd w:val="clear" w:color="auto" w:fill="FFFFFF"/>
        <w:spacing w:line="330" w:lineRule="atLeast"/>
        <w:rPr>
          <w:rFonts w:ascii="宋体" w:hAnsi="宋体" w:cs="宋体"/>
          <w:bCs/>
          <w:color w:val="auto"/>
          <w:sz w:val="24"/>
          <w:highlight w:val="none"/>
        </w:rPr>
      </w:pPr>
      <w:r>
        <w:rPr>
          <w:rFonts w:hint="eastAsia" w:ascii="宋体" w:hAnsi="宋体" w:cs="宋体"/>
          <w:color w:val="auto"/>
          <w:sz w:val="24"/>
          <w:highlight w:val="none"/>
        </w:rPr>
        <w:t>六、本办法自印发之日起执行，国家统计局</w:t>
      </w:r>
      <w:r>
        <w:rPr>
          <w:color w:val="auto"/>
          <w:sz w:val="24"/>
          <w:highlight w:val="none"/>
        </w:rPr>
        <w:t>2003</w:t>
      </w:r>
      <w:r>
        <w:rPr>
          <w:rFonts w:hint="eastAsia" w:ascii="宋体" w:hAnsi="宋体" w:cs="宋体"/>
          <w:color w:val="auto"/>
          <w:sz w:val="24"/>
          <w:highlight w:val="none"/>
        </w:rPr>
        <w:t>年印发的《统计上大中小型企业划分办法（暂行）》（国统字〔</w:t>
      </w:r>
      <w:r>
        <w:rPr>
          <w:color w:val="auto"/>
          <w:sz w:val="24"/>
          <w:highlight w:val="none"/>
        </w:rPr>
        <w:t>2003</w:t>
      </w:r>
      <w:r>
        <w:rPr>
          <w:rFonts w:hint="eastAsia" w:ascii="宋体" w:hAnsi="宋体" w:cs="宋体"/>
          <w:color w:val="auto"/>
          <w:sz w:val="24"/>
          <w:highlight w:val="none"/>
        </w:rPr>
        <w:t>〕</w:t>
      </w:r>
      <w:r>
        <w:rPr>
          <w:color w:val="auto"/>
          <w:sz w:val="24"/>
          <w:highlight w:val="none"/>
        </w:rPr>
        <w:t>17</w:t>
      </w:r>
      <w:r>
        <w:rPr>
          <w:rFonts w:hint="eastAsia" w:ascii="宋体" w:hAnsi="宋体" w:cs="宋体"/>
          <w:color w:val="auto"/>
          <w:sz w:val="24"/>
          <w:highlight w:val="none"/>
        </w:rPr>
        <w:t>号）同时废止。</w:t>
      </w:r>
    </w:p>
    <w:p>
      <w:pPr>
        <w:shd w:val="clear" w:color="auto" w:fill="FFFFFF"/>
        <w:spacing w:line="330" w:lineRule="atLeast"/>
        <w:ind w:firstLine="482"/>
        <w:rPr>
          <w:rFonts w:ascii="宋体" w:hAnsi="宋体" w:cs="宋体"/>
          <w:bCs/>
          <w:color w:val="auto"/>
          <w:sz w:val="24"/>
          <w:highlight w:val="none"/>
        </w:rPr>
      </w:pPr>
      <w:r>
        <w:rPr>
          <w:b/>
          <w:color w:val="auto"/>
          <w:sz w:val="24"/>
          <w:highlight w:val="none"/>
        </w:rPr>
        <w:t> </w:t>
      </w:r>
    </w:p>
    <w:p>
      <w:pPr>
        <w:shd w:val="clear" w:color="auto" w:fill="FFFFFF"/>
        <w:spacing w:line="330" w:lineRule="atLeast"/>
        <w:rPr>
          <w:rFonts w:ascii="宋体" w:hAnsi="宋体" w:cs="宋体"/>
          <w:bCs/>
          <w:color w:val="auto"/>
          <w:sz w:val="24"/>
          <w:highlight w:val="none"/>
        </w:rPr>
      </w:pPr>
      <w:r>
        <w:rPr>
          <w:rFonts w:hint="eastAsia" w:ascii="宋体" w:hAnsi="宋体" w:cs="宋体"/>
          <w:color w:val="auto"/>
          <w:sz w:val="24"/>
          <w:highlight w:val="none"/>
        </w:rPr>
        <w:t>　　附表：</w:t>
      </w:r>
    </w:p>
    <w:p>
      <w:pPr>
        <w:shd w:val="clear" w:color="auto" w:fill="FFFFFF"/>
        <w:spacing w:line="330" w:lineRule="atLeast"/>
        <w:rPr>
          <w:rFonts w:ascii="宋体" w:hAnsi="宋体" w:cs="宋体"/>
          <w:bCs/>
          <w:color w:val="auto"/>
          <w:sz w:val="24"/>
          <w:highlight w:val="none"/>
        </w:rPr>
      </w:pPr>
      <w:r>
        <w:rPr>
          <w:color w:val="auto"/>
          <w:sz w:val="24"/>
          <w:highlight w:val="none"/>
        </w:rPr>
        <w:t> </w:t>
      </w:r>
    </w:p>
    <w:p>
      <w:pPr>
        <w:shd w:val="clear" w:color="auto" w:fill="FFFFFF"/>
        <w:spacing w:line="330" w:lineRule="atLeast"/>
        <w:ind w:firstLine="482"/>
        <w:jc w:val="center"/>
        <w:rPr>
          <w:rFonts w:ascii="宋体" w:hAnsi="宋体" w:cs="宋体"/>
          <w:bCs/>
          <w:color w:val="auto"/>
          <w:sz w:val="24"/>
          <w:highlight w:val="none"/>
        </w:rPr>
      </w:pPr>
      <w:r>
        <w:rPr>
          <w:rFonts w:hint="eastAsia" w:ascii="宋体" w:hAnsi="宋体" w:cs="宋体"/>
          <w:b/>
          <w:color w:val="auto"/>
          <w:sz w:val="24"/>
          <w:highlight w:val="none"/>
        </w:rPr>
        <w:t>统计上大中小微型企业划分标准</w:t>
      </w:r>
    </w:p>
    <w:p>
      <w:pPr>
        <w:shd w:val="clear" w:color="auto" w:fill="FFFFFF"/>
        <w:spacing w:line="330" w:lineRule="atLeast"/>
        <w:rPr>
          <w:rFonts w:ascii="宋体" w:hAnsi="宋体" w:cs="宋体"/>
          <w:bCs/>
          <w:color w:val="auto"/>
          <w:sz w:val="24"/>
          <w:highlight w:val="none"/>
        </w:rPr>
      </w:pPr>
      <w:r>
        <w:rPr>
          <w:color w:val="auto"/>
          <w:sz w:val="24"/>
          <w:highlight w:val="none"/>
        </w:rPr>
        <w:t> </w:t>
      </w:r>
    </w:p>
    <w:tbl>
      <w:tblPr>
        <w:tblStyle w:val="49"/>
        <w:tblW w:w="0" w:type="auto"/>
        <w:jc w:val="center"/>
        <w:tblLayout w:type="autofit"/>
        <w:tblCellMar>
          <w:top w:w="0" w:type="dxa"/>
          <w:left w:w="0" w:type="dxa"/>
          <w:bottom w:w="0" w:type="dxa"/>
          <w:right w:w="0" w:type="dxa"/>
        </w:tblCellMar>
      </w:tblPr>
      <w:tblGrid>
        <w:gridCol w:w="1560"/>
        <w:gridCol w:w="1281"/>
        <w:gridCol w:w="758"/>
        <w:gridCol w:w="993"/>
        <w:gridCol w:w="1491"/>
        <w:gridCol w:w="1315"/>
        <w:gridCol w:w="908"/>
      </w:tblGrid>
      <w:tr>
        <w:tblPrEx>
          <w:tblCellMar>
            <w:top w:w="0" w:type="dxa"/>
            <w:left w:w="0" w:type="dxa"/>
            <w:bottom w:w="0" w:type="dxa"/>
            <w:right w:w="0" w:type="dxa"/>
          </w:tblCellMar>
        </w:tblPrEx>
        <w:trPr>
          <w:trHeight w:val="454" w:hRule="atLeast"/>
          <w:jc w:val="center"/>
        </w:trPr>
        <w:tc>
          <w:tcPr>
            <w:tcW w:w="15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40" w:lineRule="atLeast"/>
              <w:jc w:val="center"/>
              <w:rPr>
                <w:rFonts w:ascii="宋体" w:hAnsi="宋体" w:cs="宋体"/>
                <w:bCs/>
                <w:color w:val="auto"/>
                <w:sz w:val="24"/>
                <w:highlight w:val="none"/>
              </w:rPr>
            </w:pPr>
            <w:r>
              <w:rPr>
                <w:rFonts w:hint="eastAsia" w:ascii="宋体" w:hAnsi="宋体" w:cs="宋体"/>
                <w:b/>
                <w:color w:val="auto"/>
                <w:sz w:val="18"/>
                <w:szCs w:val="18"/>
                <w:highlight w:val="none"/>
              </w:rPr>
              <w:t>行业名称</w:t>
            </w:r>
          </w:p>
        </w:tc>
        <w:tc>
          <w:tcPr>
            <w:tcW w:w="12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bCs/>
                <w:color w:val="auto"/>
                <w:sz w:val="24"/>
                <w:highlight w:val="none"/>
              </w:rPr>
            </w:pPr>
            <w:r>
              <w:rPr>
                <w:rFonts w:hint="eastAsia" w:ascii="宋体" w:hAnsi="宋体" w:cs="宋体"/>
                <w:b/>
                <w:color w:val="auto"/>
                <w:sz w:val="18"/>
                <w:szCs w:val="18"/>
                <w:highlight w:val="none"/>
              </w:rPr>
              <w:t>指标名称</w:t>
            </w:r>
          </w:p>
        </w:tc>
        <w:tc>
          <w:tcPr>
            <w:tcW w:w="7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bCs/>
                <w:color w:val="auto"/>
                <w:sz w:val="24"/>
                <w:highlight w:val="none"/>
              </w:rPr>
            </w:pPr>
            <w:r>
              <w:rPr>
                <w:rFonts w:hint="eastAsia" w:ascii="宋体" w:hAnsi="宋体" w:cs="宋体"/>
                <w:b/>
                <w:color w:val="auto"/>
                <w:sz w:val="18"/>
                <w:szCs w:val="18"/>
                <w:highlight w:val="none"/>
              </w:rPr>
              <w:t>计量</w:t>
            </w:r>
            <w:r>
              <w:rPr>
                <w:rFonts w:hint="eastAsia" w:ascii="宋体" w:hAnsi="宋体" w:cs="宋体"/>
                <w:b/>
                <w:color w:val="auto"/>
                <w:sz w:val="18"/>
                <w:szCs w:val="18"/>
                <w:highlight w:val="none"/>
              </w:rPr>
              <w:br w:type="textWrapping"/>
            </w:r>
            <w:r>
              <w:rPr>
                <w:rFonts w:hint="eastAsia" w:ascii="宋体" w:hAnsi="宋体" w:cs="宋体"/>
                <w:b/>
                <w:color w:val="auto"/>
                <w:sz w:val="18"/>
                <w:szCs w:val="18"/>
                <w:highlight w:val="none"/>
              </w:rPr>
              <w:t>单位</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bCs/>
                <w:color w:val="auto"/>
                <w:sz w:val="24"/>
                <w:highlight w:val="none"/>
              </w:rPr>
            </w:pPr>
            <w:r>
              <w:rPr>
                <w:rFonts w:hint="eastAsia" w:ascii="宋体" w:hAnsi="宋体" w:cs="宋体"/>
                <w:b/>
                <w:color w:val="auto"/>
                <w:sz w:val="18"/>
                <w:szCs w:val="18"/>
                <w:highlight w:val="none"/>
              </w:rPr>
              <w:t>大型</w:t>
            </w:r>
          </w:p>
        </w:tc>
        <w:tc>
          <w:tcPr>
            <w:tcW w:w="149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bCs/>
                <w:color w:val="auto"/>
                <w:sz w:val="24"/>
                <w:highlight w:val="none"/>
              </w:rPr>
            </w:pPr>
            <w:r>
              <w:rPr>
                <w:rFonts w:hint="eastAsia" w:ascii="宋体" w:hAnsi="宋体" w:cs="宋体"/>
                <w:b/>
                <w:color w:val="auto"/>
                <w:sz w:val="18"/>
                <w:szCs w:val="18"/>
                <w:highlight w:val="none"/>
              </w:rPr>
              <w:t>中型</w:t>
            </w:r>
          </w:p>
        </w:tc>
        <w:tc>
          <w:tcPr>
            <w:tcW w:w="13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bCs/>
                <w:color w:val="auto"/>
                <w:sz w:val="24"/>
                <w:highlight w:val="none"/>
              </w:rPr>
            </w:pPr>
            <w:r>
              <w:rPr>
                <w:rFonts w:hint="eastAsia" w:ascii="宋体" w:hAnsi="宋体" w:cs="宋体"/>
                <w:b/>
                <w:color w:val="auto"/>
                <w:sz w:val="18"/>
                <w:szCs w:val="18"/>
                <w:highlight w:val="none"/>
              </w:rPr>
              <w:t>小型</w:t>
            </w:r>
          </w:p>
        </w:tc>
        <w:tc>
          <w:tcPr>
            <w:tcW w:w="908" w:type="dxa"/>
            <w:tcBorders>
              <w:top w:val="single" w:color="auto" w:sz="8" w:space="0"/>
              <w:left w:val="nil"/>
              <w:bottom w:val="single" w:color="auto" w:sz="8" w:space="0"/>
              <w:right w:val="nil"/>
            </w:tcBorders>
            <w:tcMar>
              <w:top w:w="0" w:type="dxa"/>
              <w:left w:w="108" w:type="dxa"/>
              <w:bottom w:w="0" w:type="dxa"/>
              <w:right w:w="108" w:type="dxa"/>
            </w:tcMar>
            <w:vAlign w:val="center"/>
          </w:tcPr>
          <w:p>
            <w:pPr>
              <w:jc w:val="center"/>
              <w:rPr>
                <w:rFonts w:ascii="宋体" w:hAnsi="宋体" w:cs="宋体"/>
                <w:bCs/>
                <w:color w:val="auto"/>
                <w:sz w:val="24"/>
                <w:highlight w:val="none"/>
              </w:rPr>
            </w:pPr>
            <w:r>
              <w:rPr>
                <w:rFonts w:hint="eastAsia" w:ascii="宋体" w:hAnsi="宋体" w:cs="宋体"/>
                <w:b/>
                <w:color w:val="auto"/>
                <w:sz w:val="18"/>
                <w:szCs w:val="18"/>
                <w:highlight w:val="none"/>
              </w:rPr>
              <w:t>微型</w:t>
            </w:r>
          </w:p>
        </w:tc>
      </w:tr>
      <w:tr>
        <w:tblPrEx>
          <w:tblCellMar>
            <w:top w:w="0" w:type="dxa"/>
            <w:left w:w="0" w:type="dxa"/>
            <w:bottom w:w="0" w:type="dxa"/>
            <w:right w:w="0" w:type="dxa"/>
          </w:tblCellMar>
        </w:tblPrEx>
        <w:trPr>
          <w:trHeight w:val="397" w:hRule="atLeast"/>
          <w:jc w:val="center"/>
        </w:trPr>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农、林、牧、渔业</w:t>
            </w: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营业收入(Y)</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Y≥20000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500≤Y＜20000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50≤Y＜500</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Y＜50</w:t>
            </w:r>
          </w:p>
        </w:tc>
      </w:tr>
      <w:tr>
        <w:tblPrEx>
          <w:tblCellMar>
            <w:top w:w="0" w:type="dxa"/>
            <w:left w:w="0" w:type="dxa"/>
            <w:bottom w:w="0" w:type="dxa"/>
            <w:right w:w="0" w:type="dxa"/>
          </w:tblCellMar>
        </w:tblPrEx>
        <w:trPr>
          <w:trHeight w:val="397" w:hRule="atLeast"/>
          <w:jc w:val="center"/>
        </w:trPr>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工业 *</w:t>
            </w:r>
          </w:p>
        </w:tc>
        <w:tc>
          <w:tcPr>
            <w:tcW w:w="128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从业人员(X)</w:t>
            </w:r>
          </w:p>
        </w:tc>
        <w:tc>
          <w:tcPr>
            <w:tcW w:w="758"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人</w:t>
            </w:r>
          </w:p>
        </w:tc>
        <w:tc>
          <w:tcPr>
            <w:tcW w:w="993"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X≥1000</w:t>
            </w:r>
          </w:p>
        </w:tc>
        <w:tc>
          <w:tcPr>
            <w:tcW w:w="149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300≤X＜1000</w:t>
            </w:r>
          </w:p>
        </w:tc>
        <w:tc>
          <w:tcPr>
            <w:tcW w:w="1315"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20≤X＜300</w:t>
            </w:r>
          </w:p>
        </w:tc>
        <w:tc>
          <w:tcPr>
            <w:tcW w:w="908" w:type="dxa"/>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X＜20</w:t>
            </w:r>
          </w:p>
        </w:tc>
      </w:tr>
      <w:tr>
        <w:tblPrEx>
          <w:tblCellMar>
            <w:top w:w="0" w:type="dxa"/>
            <w:left w:w="0" w:type="dxa"/>
            <w:bottom w:w="0" w:type="dxa"/>
            <w:right w:w="0" w:type="dxa"/>
          </w:tblCellMar>
        </w:tblPrEx>
        <w:trPr>
          <w:trHeight w:val="397" w:hRule="atLeast"/>
          <w:jc w:val="center"/>
        </w:trPr>
        <w:tc>
          <w:tcPr>
            <w:tcW w:w="0" w:type="auto"/>
            <w:vMerge w:val="continue"/>
            <w:tcBorders>
              <w:top w:val="nil"/>
              <w:left w:val="nil"/>
              <w:bottom w:val="single" w:color="auto" w:sz="8" w:space="0"/>
              <w:right w:val="single" w:color="auto" w:sz="8" w:space="0"/>
            </w:tcBorders>
            <w:vAlign w:val="center"/>
          </w:tcPr>
          <w:p>
            <w:pPr>
              <w:widowControl/>
              <w:rPr>
                <w:rFonts w:ascii="宋体" w:hAnsi="宋体" w:cs="宋体"/>
                <w:bCs/>
                <w:color w:val="auto"/>
                <w:sz w:val="24"/>
                <w:highlight w:val="none"/>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营业收入(Y)</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Y≥40000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2000≤Y＜40000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300≤Y＜2000</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Y＜300</w:t>
            </w:r>
          </w:p>
        </w:tc>
      </w:tr>
      <w:tr>
        <w:tblPrEx>
          <w:tblCellMar>
            <w:top w:w="0" w:type="dxa"/>
            <w:left w:w="0" w:type="dxa"/>
            <w:bottom w:w="0" w:type="dxa"/>
            <w:right w:w="0" w:type="dxa"/>
          </w:tblCellMar>
        </w:tblPrEx>
        <w:trPr>
          <w:trHeight w:val="397" w:hRule="atLeast"/>
          <w:jc w:val="center"/>
        </w:trPr>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建筑业</w:t>
            </w:r>
          </w:p>
        </w:tc>
        <w:tc>
          <w:tcPr>
            <w:tcW w:w="128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营业收入(Y)</w:t>
            </w:r>
          </w:p>
        </w:tc>
        <w:tc>
          <w:tcPr>
            <w:tcW w:w="758"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Y≥80000</w:t>
            </w:r>
          </w:p>
        </w:tc>
        <w:tc>
          <w:tcPr>
            <w:tcW w:w="149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6000≤Y＜80000</w:t>
            </w:r>
          </w:p>
        </w:tc>
        <w:tc>
          <w:tcPr>
            <w:tcW w:w="1315"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300≤Y＜6000</w:t>
            </w:r>
          </w:p>
        </w:tc>
        <w:tc>
          <w:tcPr>
            <w:tcW w:w="908" w:type="dxa"/>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Y＜300</w:t>
            </w:r>
          </w:p>
        </w:tc>
      </w:tr>
      <w:tr>
        <w:tblPrEx>
          <w:tblCellMar>
            <w:top w:w="0" w:type="dxa"/>
            <w:left w:w="0" w:type="dxa"/>
            <w:bottom w:w="0" w:type="dxa"/>
            <w:right w:w="0" w:type="dxa"/>
          </w:tblCellMar>
        </w:tblPrEx>
        <w:trPr>
          <w:trHeight w:val="397" w:hRule="atLeast"/>
          <w:jc w:val="center"/>
        </w:trPr>
        <w:tc>
          <w:tcPr>
            <w:tcW w:w="0" w:type="auto"/>
            <w:vMerge w:val="continue"/>
            <w:tcBorders>
              <w:top w:val="nil"/>
              <w:left w:val="nil"/>
              <w:bottom w:val="single" w:color="auto" w:sz="8" w:space="0"/>
              <w:right w:val="single" w:color="auto" w:sz="8" w:space="0"/>
            </w:tcBorders>
            <w:vAlign w:val="center"/>
          </w:tcPr>
          <w:p>
            <w:pPr>
              <w:widowControl/>
              <w:rPr>
                <w:rFonts w:ascii="宋体" w:hAnsi="宋体" w:cs="宋体"/>
                <w:bCs/>
                <w:color w:val="auto"/>
                <w:sz w:val="24"/>
                <w:highlight w:val="none"/>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资产总额(Z)</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Z≥80000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5000≤Z＜80000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300≤Z＜5000</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Z＜300</w:t>
            </w:r>
          </w:p>
        </w:tc>
      </w:tr>
      <w:tr>
        <w:tblPrEx>
          <w:tblCellMar>
            <w:top w:w="0" w:type="dxa"/>
            <w:left w:w="0" w:type="dxa"/>
            <w:bottom w:w="0" w:type="dxa"/>
            <w:right w:w="0" w:type="dxa"/>
          </w:tblCellMar>
        </w:tblPrEx>
        <w:trPr>
          <w:trHeight w:val="397" w:hRule="atLeast"/>
          <w:jc w:val="center"/>
        </w:trPr>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批发业</w:t>
            </w:r>
          </w:p>
        </w:tc>
        <w:tc>
          <w:tcPr>
            <w:tcW w:w="128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从业人员(X)</w:t>
            </w:r>
          </w:p>
        </w:tc>
        <w:tc>
          <w:tcPr>
            <w:tcW w:w="758"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人</w:t>
            </w:r>
          </w:p>
        </w:tc>
        <w:tc>
          <w:tcPr>
            <w:tcW w:w="993"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X≥200</w:t>
            </w:r>
          </w:p>
        </w:tc>
        <w:tc>
          <w:tcPr>
            <w:tcW w:w="149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20≤X＜200</w:t>
            </w:r>
          </w:p>
        </w:tc>
        <w:tc>
          <w:tcPr>
            <w:tcW w:w="1315"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5≤X＜20</w:t>
            </w:r>
          </w:p>
        </w:tc>
        <w:tc>
          <w:tcPr>
            <w:tcW w:w="908" w:type="dxa"/>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X＜5</w:t>
            </w:r>
          </w:p>
        </w:tc>
      </w:tr>
      <w:tr>
        <w:tblPrEx>
          <w:tblCellMar>
            <w:top w:w="0" w:type="dxa"/>
            <w:left w:w="0" w:type="dxa"/>
            <w:bottom w:w="0" w:type="dxa"/>
            <w:right w:w="0" w:type="dxa"/>
          </w:tblCellMar>
        </w:tblPrEx>
        <w:trPr>
          <w:trHeight w:val="397" w:hRule="atLeast"/>
          <w:jc w:val="center"/>
        </w:trPr>
        <w:tc>
          <w:tcPr>
            <w:tcW w:w="0" w:type="auto"/>
            <w:vMerge w:val="continue"/>
            <w:tcBorders>
              <w:top w:val="nil"/>
              <w:left w:val="nil"/>
              <w:bottom w:val="single" w:color="auto" w:sz="8" w:space="0"/>
              <w:right w:val="single" w:color="auto" w:sz="8" w:space="0"/>
            </w:tcBorders>
            <w:vAlign w:val="center"/>
          </w:tcPr>
          <w:p>
            <w:pPr>
              <w:widowControl/>
              <w:rPr>
                <w:rFonts w:ascii="宋体" w:hAnsi="宋体" w:cs="宋体"/>
                <w:bCs/>
                <w:color w:val="auto"/>
                <w:sz w:val="24"/>
                <w:highlight w:val="none"/>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营业收入(Y)</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Y≥40000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5000≤Y＜40000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ind w:left="-1"/>
              <w:rPr>
                <w:rFonts w:ascii="宋体" w:hAnsi="宋体" w:cs="宋体"/>
                <w:bCs/>
                <w:color w:val="auto"/>
                <w:sz w:val="24"/>
                <w:highlight w:val="none"/>
              </w:rPr>
            </w:pPr>
            <w:r>
              <w:rPr>
                <w:rFonts w:hint="eastAsia" w:ascii="宋体" w:hAnsi="宋体" w:cs="宋体"/>
                <w:color w:val="auto"/>
                <w:sz w:val="18"/>
                <w:szCs w:val="18"/>
                <w:highlight w:val="none"/>
              </w:rPr>
              <w:t>1000≤Y＜5000</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Y＜1000</w:t>
            </w:r>
          </w:p>
        </w:tc>
      </w:tr>
      <w:tr>
        <w:tblPrEx>
          <w:tblCellMar>
            <w:top w:w="0" w:type="dxa"/>
            <w:left w:w="0" w:type="dxa"/>
            <w:bottom w:w="0" w:type="dxa"/>
            <w:right w:w="0" w:type="dxa"/>
          </w:tblCellMar>
        </w:tblPrEx>
        <w:trPr>
          <w:trHeight w:val="397" w:hRule="atLeast"/>
          <w:jc w:val="center"/>
        </w:trPr>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零售业</w:t>
            </w:r>
          </w:p>
        </w:tc>
        <w:tc>
          <w:tcPr>
            <w:tcW w:w="128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从业人员(X)</w:t>
            </w:r>
          </w:p>
        </w:tc>
        <w:tc>
          <w:tcPr>
            <w:tcW w:w="758"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人</w:t>
            </w:r>
          </w:p>
        </w:tc>
        <w:tc>
          <w:tcPr>
            <w:tcW w:w="993"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X≥300</w:t>
            </w:r>
          </w:p>
        </w:tc>
        <w:tc>
          <w:tcPr>
            <w:tcW w:w="149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50≤X＜300</w:t>
            </w:r>
          </w:p>
        </w:tc>
        <w:tc>
          <w:tcPr>
            <w:tcW w:w="1315" w:type="dxa"/>
            <w:tcBorders>
              <w:top w:val="nil"/>
              <w:left w:val="nil"/>
              <w:bottom w:val="nil"/>
              <w:right w:val="single" w:color="auto" w:sz="8" w:space="0"/>
            </w:tcBorders>
            <w:tcMar>
              <w:top w:w="0" w:type="dxa"/>
              <w:left w:w="108" w:type="dxa"/>
              <w:bottom w:w="0" w:type="dxa"/>
              <w:right w:w="108" w:type="dxa"/>
            </w:tcMar>
            <w:vAlign w:val="center"/>
          </w:tcPr>
          <w:p>
            <w:pPr>
              <w:ind w:left="-1"/>
              <w:rPr>
                <w:rFonts w:ascii="宋体" w:hAnsi="宋体" w:cs="宋体"/>
                <w:bCs/>
                <w:color w:val="auto"/>
                <w:sz w:val="24"/>
                <w:highlight w:val="none"/>
              </w:rPr>
            </w:pPr>
            <w:r>
              <w:rPr>
                <w:rFonts w:hint="eastAsia" w:ascii="宋体" w:hAnsi="宋体" w:cs="宋体"/>
                <w:color w:val="auto"/>
                <w:sz w:val="18"/>
                <w:szCs w:val="18"/>
                <w:highlight w:val="none"/>
              </w:rPr>
              <w:t>10≤X＜50</w:t>
            </w:r>
          </w:p>
        </w:tc>
        <w:tc>
          <w:tcPr>
            <w:tcW w:w="908" w:type="dxa"/>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X＜10</w:t>
            </w:r>
          </w:p>
        </w:tc>
      </w:tr>
      <w:tr>
        <w:tblPrEx>
          <w:tblCellMar>
            <w:top w:w="0" w:type="dxa"/>
            <w:left w:w="0" w:type="dxa"/>
            <w:bottom w:w="0" w:type="dxa"/>
            <w:right w:w="0" w:type="dxa"/>
          </w:tblCellMar>
        </w:tblPrEx>
        <w:trPr>
          <w:trHeight w:val="397" w:hRule="atLeast"/>
          <w:jc w:val="center"/>
        </w:trPr>
        <w:tc>
          <w:tcPr>
            <w:tcW w:w="0" w:type="auto"/>
            <w:vMerge w:val="continue"/>
            <w:tcBorders>
              <w:top w:val="nil"/>
              <w:left w:val="nil"/>
              <w:bottom w:val="single" w:color="auto" w:sz="8" w:space="0"/>
              <w:right w:val="single" w:color="auto" w:sz="8" w:space="0"/>
            </w:tcBorders>
            <w:vAlign w:val="center"/>
          </w:tcPr>
          <w:p>
            <w:pPr>
              <w:widowControl/>
              <w:rPr>
                <w:rFonts w:ascii="宋体" w:hAnsi="宋体" w:cs="宋体"/>
                <w:bCs/>
                <w:color w:val="auto"/>
                <w:sz w:val="24"/>
                <w:highlight w:val="none"/>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营业收入(Y)</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Y≥20000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500≤Y＜20000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ind w:left="-1"/>
              <w:rPr>
                <w:rFonts w:ascii="宋体" w:hAnsi="宋体" w:cs="宋体"/>
                <w:bCs/>
                <w:color w:val="auto"/>
                <w:sz w:val="24"/>
                <w:highlight w:val="none"/>
              </w:rPr>
            </w:pPr>
            <w:r>
              <w:rPr>
                <w:rFonts w:hint="eastAsia" w:ascii="宋体" w:hAnsi="宋体" w:cs="宋体"/>
                <w:color w:val="auto"/>
                <w:sz w:val="18"/>
                <w:szCs w:val="18"/>
                <w:highlight w:val="none"/>
              </w:rPr>
              <w:t>100≤Y＜500</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Y＜100</w:t>
            </w:r>
          </w:p>
        </w:tc>
      </w:tr>
      <w:tr>
        <w:tblPrEx>
          <w:tblCellMar>
            <w:top w:w="0" w:type="dxa"/>
            <w:left w:w="0" w:type="dxa"/>
            <w:bottom w:w="0" w:type="dxa"/>
            <w:right w:w="0" w:type="dxa"/>
          </w:tblCellMar>
        </w:tblPrEx>
        <w:trPr>
          <w:trHeight w:val="397" w:hRule="atLeast"/>
          <w:jc w:val="center"/>
        </w:trPr>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交通运输业 *</w:t>
            </w:r>
          </w:p>
        </w:tc>
        <w:tc>
          <w:tcPr>
            <w:tcW w:w="128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从业人员(X)</w:t>
            </w:r>
          </w:p>
        </w:tc>
        <w:tc>
          <w:tcPr>
            <w:tcW w:w="758"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人</w:t>
            </w:r>
          </w:p>
        </w:tc>
        <w:tc>
          <w:tcPr>
            <w:tcW w:w="993"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X≥1000</w:t>
            </w:r>
          </w:p>
        </w:tc>
        <w:tc>
          <w:tcPr>
            <w:tcW w:w="149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300≤X＜1000</w:t>
            </w:r>
          </w:p>
        </w:tc>
        <w:tc>
          <w:tcPr>
            <w:tcW w:w="1315"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20≤X＜300</w:t>
            </w:r>
          </w:p>
        </w:tc>
        <w:tc>
          <w:tcPr>
            <w:tcW w:w="908" w:type="dxa"/>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X＜20</w:t>
            </w:r>
          </w:p>
        </w:tc>
      </w:tr>
      <w:tr>
        <w:tblPrEx>
          <w:tblCellMar>
            <w:top w:w="0" w:type="dxa"/>
            <w:left w:w="0" w:type="dxa"/>
            <w:bottom w:w="0" w:type="dxa"/>
            <w:right w:w="0" w:type="dxa"/>
          </w:tblCellMar>
        </w:tblPrEx>
        <w:trPr>
          <w:trHeight w:val="397" w:hRule="atLeast"/>
          <w:jc w:val="center"/>
        </w:trPr>
        <w:tc>
          <w:tcPr>
            <w:tcW w:w="0" w:type="auto"/>
            <w:vMerge w:val="continue"/>
            <w:tcBorders>
              <w:top w:val="nil"/>
              <w:left w:val="nil"/>
              <w:bottom w:val="single" w:color="auto" w:sz="8" w:space="0"/>
              <w:right w:val="single" w:color="auto" w:sz="8" w:space="0"/>
            </w:tcBorders>
            <w:vAlign w:val="center"/>
          </w:tcPr>
          <w:p>
            <w:pPr>
              <w:widowControl/>
              <w:rPr>
                <w:rFonts w:ascii="宋体" w:hAnsi="宋体" w:cs="宋体"/>
                <w:bCs/>
                <w:color w:val="auto"/>
                <w:sz w:val="24"/>
                <w:highlight w:val="none"/>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营业收入(Y)</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Y≥30000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3000≤Y＜30000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200≤Y＜3000</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Y＜200</w:t>
            </w:r>
          </w:p>
        </w:tc>
      </w:tr>
      <w:tr>
        <w:tblPrEx>
          <w:tblCellMar>
            <w:top w:w="0" w:type="dxa"/>
            <w:left w:w="0" w:type="dxa"/>
            <w:bottom w:w="0" w:type="dxa"/>
            <w:right w:w="0" w:type="dxa"/>
          </w:tblCellMar>
        </w:tblPrEx>
        <w:trPr>
          <w:trHeight w:val="397" w:hRule="atLeast"/>
          <w:jc w:val="center"/>
        </w:trPr>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仓储业</w:t>
            </w:r>
          </w:p>
        </w:tc>
        <w:tc>
          <w:tcPr>
            <w:tcW w:w="128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从业人员(X)</w:t>
            </w:r>
          </w:p>
        </w:tc>
        <w:tc>
          <w:tcPr>
            <w:tcW w:w="758"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人</w:t>
            </w:r>
          </w:p>
        </w:tc>
        <w:tc>
          <w:tcPr>
            <w:tcW w:w="993"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X≥200</w:t>
            </w:r>
          </w:p>
        </w:tc>
        <w:tc>
          <w:tcPr>
            <w:tcW w:w="1491" w:type="dxa"/>
            <w:tcBorders>
              <w:top w:val="nil"/>
              <w:left w:val="nil"/>
              <w:bottom w:val="nil"/>
              <w:right w:val="single" w:color="auto" w:sz="8" w:space="0"/>
            </w:tcBorders>
            <w:tcMar>
              <w:top w:w="0" w:type="dxa"/>
              <w:left w:w="108" w:type="dxa"/>
              <w:bottom w:w="0" w:type="dxa"/>
              <w:right w:w="108" w:type="dxa"/>
            </w:tcMar>
            <w:vAlign w:val="center"/>
          </w:tcPr>
          <w:p>
            <w:pPr>
              <w:ind w:left="1"/>
              <w:rPr>
                <w:rFonts w:ascii="宋体" w:hAnsi="宋体" w:cs="宋体"/>
                <w:bCs/>
                <w:color w:val="auto"/>
                <w:sz w:val="24"/>
                <w:highlight w:val="none"/>
              </w:rPr>
            </w:pPr>
            <w:r>
              <w:rPr>
                <w:rFonts w:hint="eastAsia" w:ascii="宋体" w:hAnsi="宋体" w:cs="宋体"/>
                <w:color w:val="auto"/>
                <w:sz w:val="18"/>
                <w:szCs w:val="18"/>
                <w:highlight w:val="none"/>
              </w:rPr>
              <w:t>100≤X＜200</w:t>
            </w:r>
          </w:p>
        </w:tc>
        <w:tc>
          <w:tcPr>
            <w:tcW w:w="1315"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20≤X＜100</w:t>
            </w:r>
          </w:p>
        </w:tc>
        <w:tc>
          <w:tcPr>
            <w:tcW w:w="908" w:type="dxa"/>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X＜20</w:t>
            </w:r>
          </w:p>
        </w:tc>
      </w:tr>
      <w:tr>
        <w:tblPrEx>
          <w:tblCellMar>
            <w:top w:w="0" w:type="dxa"/>
            <w:left w:w="0" w:type="dxa"/>
            <w:bottom w:w="0" w:type="dxa"/>
            <w:right w:w="0" w:type="dxa"/>
          </w:tblCellMar>
        </w:tblPrEx>
        <w:trPr>
          <w:trHeight w:val="397" w:hRule="atLeast"/>
          <w:jc w:val="center"/>
        </w:trPr>
        <w:tc>
          <w:tcPr>
            <w:tcW w:w="0" w:type="auto"/>
            <w:vMerge w:val="continue"/>
            <w:tcBorders>
              <w:top w:val="nil"/>
              <w:left w:val="nil"/>
              <w:bottom w:val="single" w:color="auto" w:sz="8" w:space="0"/>
              <w:right w:val="single" w:color="auto" w:sz="8" w:space="0"/>
            </w:tcBorders>
            <w:vAlign w:val="center"/>
          </w:tcPr>
          <w:p>
            <w:pPr>
              <w:widowControl/>
              <w:rPr>
                <w:rFonts w:ascii="宋体" w:hAnsi="宋体" w:cs="宋体"/>
                <w:bCs/>
                <w:color w:val="auto"/>
                <w:sz w:val="24"/>
                <w:highlight w:val="none"/>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营业收入(Y)</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Y≥30000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1000≤Y＜30000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100≤Y＜1000</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Y＜100</w:t>
            </w:r>
          </w:p>
        </w:tc>
      </w:tr>
      <w:tr>
        <w:tblPrEx>
          <w:tblCellMar>
            <w:top w:w="0" w:type="dxa"/>
            <w:left w:w="0" w:type="dxa"/>
            <w:bottom w:w="0" w:type="dxa"/>
            <w:right w:w="0" w:type="dxa"/>
          </w:tblCellMar>
        </w:tblPrEx>
        <w:trPr>
          <w:trHeight w:val="397" w:hRule="atLeast"/>
          <w:jc w:val="center"/>
        </w:trPr>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邮政业</w:t>
            </w:r>
          </w:p>
        </w:tc>
        <w:tc>
          <w:tcPr>
            <w:tcW w:w="128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从业人员(X)</w:t>
            </w:r>
          </w:p>
        </w:tc>
        <w:tc>
          <w:tcPr>
            <w:tcW w:w="758"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人</w:t>
            </w:r>
          </w:p>
        </w:tc>
        <w:tc>
          <w:tcPr>
            <w:tcW w:w="993"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X≥1000</w:t>
            </w:r>
          </w:p>
        </w:tc>
        <w:tc>
          <w:tcPr>
            <w:tcW w:w="149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300≤X＜1000</w:t>
            </w:r>
          </w:p>
        </w:tc>
        <w:tc>
          <w:tcPr>
            <w:tcW w:w="1315"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20≤X＜300</w:t>
            </w:r>
          </w:p>
        </w:tc>
        <w:tc>
          <w:tcPr>
            <w:tcW w:w="908" w:type="dxa"/>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X＜20</w:t>
            </w:r>
          </w:p>
        </w:tc>
      </w:tr>
      <w:tr>
        <w:tblPrEx>
          <w:tblCellMar>
            <w:top w:w="0" w:type="dxa"/>
            <w:left w:w="0" w:type="dxa"/>
            <w:bottom w:w="0" w:type="dxa"/>
            <w:right w:w="0" w:type="dxa"/>
          </w:tblCellMar>
        </w:tblPrEx>
        <w:trPr>
          <w:trHeight w:val="397" w:hRule="atLeast"/>
          <w:jc w:val="center"/>
        </w:trPr>
        <w:tc>
          <w:tcPr>
            <w:tcW w:w="0" w:type="auto"/>
            <w:vMerge w:val="continue"/>
            <w:tcBorders>
              <w:top w:val="nil"/>
              <w:left w:val="nil"/>
              <w:bottom w:val="single" w:color="auto" w:sz="8" w:space="0"/>
              <w:right w:val="single" w:color="auto" w:sz="8" w:space="0"/>
            </w:tcBorders>
            <w:vAlign w:val="center"/>
          </w:tcPr>
          <w:p>
            <w:pPr>
              <w:widowControl/>
              <w:rPr>
                <w:rFonts w:ascii="宋体" w:hAnsi="宋体" w:cs="宋体"/>
                <w:bCs/>
                <w:color w:val="auto"/>
                <w:sz w:val="24"/>
                <w:highlight w:val="none"/>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营业收入(Y)</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Y≥30000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2000≤Y＜30000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100≤Y＜2000</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Y＜100</w:t>
            </w:r>
          </w:p>
        </w:tc>
      </w:tr>
      <w:tr>
        <w:tblPrEx>
          <w:tblCellMar>
            <w:top w:w="0" w:type="dxa"/>
            <w:left w:w="0" w:type="dxa"/>
            <w:bottom w:w="0" w:type="dxa"/>
            <w:right w:w="0" w:type="dxa"/>
          </w:tblCellMar>
        </w:tblPrEx>
        <w:trPr>
          <w:trHeight w:val="397" w:hRule="atLeast"/>
          <w:jc w:val="center"/>
        </w:trPr>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住宿业</w:t>
            </w:r>
          </w:p>
        </w:tc>
        <w:tc>
          <w:tcPr>
            <w:tcW w:w="128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从业人员(X)</w:t>
            </w:r>
          </w:p>
        </w:tc>
        <w:tc>
          <w:tcPr>
            <w:tcW w:w="758"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人</w:t>
            </w:r>
          </w:p>
        </w:tc>
        <w:tc>
          <w:tcPr>
            <w:tcW w:w="993"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X≥300</w:t>
            </w:r>
          </w:p>
        </w:tc>
        <w:tc>
          <w:tcPr>
            <w:tcW w:w="1491" w:type="dxa"/>
            <w:tcBorders>
              <w:top w:val="nil"/>
              <w:left w:val="nil"/>
              <w:bottom w:val="nil"/>
              <w:right w:val="single" w:color="auto" w:sz="8" w:space="0"/>
            </w:tcBorders>
            <w:tcMar>
              <w:top w:w="0" w:type="dxa"/>
              <w:left w:w="108" w:type="dxa"/>
              <w:bottom w:w="0" w:type="dxa"/>
              <w:right w:w="108" w:type="dxa"/>
            </w:tcMar>
            <w:vAlign w:val="center"/>
          </w:tcPr>
          <w:p>
            <w:pPr>
              <w:ind w:left="1"/>
              <w:rPr>
                <w:rFonts w:ascii="宋体" w:hAnsi="宋体" w:cs="宋体"/>
                <w:bCs/>
                <w:color w:val="auto"/>
                <w:sz w:val="24"/>
                <w:highlight w:val="none"/>
              </w:rPr>
            </w:pPr>
            <w:r>
              <w:rPr>
                <w:rFonts w:hint="eastAsia" w:ascii="宋体" w:hAnsi="宋体" w:cs="宋体"/>
                <w:color w:val="auto"/>
                <w:sz w:val="18"/>
                <w:szCs w:val="18"/>
                <w:highlight w:val="none"/>
              </w:rPr>
              <w:t>100≤X＜300</w:t>
            </w:r>
          </w:p>
        </w:tc>
        <w:tc>
          <w:tcPr>
            <w:tcW w:w="1315"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10≤X＜100</w:t>
            </w:r>
          </w:p>
        </w:tc>
        <w:tc>
          <w:tcPr>
            <w:tcW w:w="908" w:type="dxa"/>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X＜10</w:t>
            </w:r>
          </w:p>
        </w:tc>
      </w:tr>
      <w:tr>
        <w:tblPrEx>
          <w:tblCellMar>
            <w:top w:w="0" w:type="dxa"/>
            <w:left w:w="0" w:type="dxa"/>
            <w:bottom w:w="0" w:type="dxa"/>
            <w:right w:w="0" w:type="dxa"/>
          </w:tblCellMar>
        </w:tblPrEx>
        <w:trPr>
          <w:trHeight w:val="397" w:hRule="atLeast"/>
          <w:jc w:val="center"/>
        </w:trPr>
        <w:tc>
          <w:tcPr>
            <w:tcW w:w="0" w:type="auto"/>
            <w:vMerge w:val="continue"/>
            <w:tcBorders>
              <w:top w:val="nil"/>
              <w:left w:val="nil"/>
              <w:bottom w:val="single" w:color="auto" w:sz="8" w:space="0"/>
              <w:right w:val="single" w:color="auto" w:sz="8" w:space="0"/>
            </w:tcBorders>
            <w:vAlign w:val="center"/>
          </w:tcPr>
          <w:p>
            <w:pPr>
              <w:widowControl/>
              <w:rPr>
                <w:rFonts w:ascii="宋体" w:hAnsi="宋体" w:cs="宋体"/>
                <w:bCs/>
                <w:color w:val="auto"/>
                <w:sz w:val="24"/>
                <w:highlight w:val="none"/>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营业收入(Y)</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Y≥10000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2000≤Y＜10000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100≤Y＜2000</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Y＜100</w:t>
            </w:r>
          </w:p>
        </w:tc>
      </w:tr>
      <w:tr>
        <w:tblPrEx>
          <w:tblCellMar>
            <w:top w:w="0" w:type="dxa"/>
            <w:left w:w="0" w:type="dxa"/>
            <w:bottom w:w="0" w:type="dxa"/>
            <w:right w:w="0" w:type="dxa"/>
          </w:tblCellMar>
        </w:tblPrEx>
        <w:trPr>
          <w:trHeight w:val="397" w:hRule="atLeast"/>
          <w:jc w:val="center"/>
        </w:trPr>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餐饮业</w:t>
            </w:r>
          </w:p>
        </w:tc>
        <w:tc>
          <w:tcPr>
            <w:tcW w:w="128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从业人员(X)</w:t>
            </w:r>
          </w:p>
        </w:tc>
        <w:tc>
          <w:tcPr>
            <w:tcW w:w="758"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人</w:t>
            </w:r>
          </w:p>
        </w:tc>
        <w:tc>
          <w:tcPr>
            <w:tcW w:w="993"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X≥300</w:t>
            </w:r>
          </w:p>
        </w:tc>
        <w:tc>
          <w:tcPr>
            <w:tcW w:w="1491" w:type="dxa"/>
            <w:tcBorders>
              <w:top w:val="nil"/>
              <w:left w:val="nil"/>
              <w:bottom w:val="nil"/>
              <w:right w:val="single" w:color="auto" w:sz="8" w:space="0"/>
            </w:tcBorders>
            <w:tcMar>
              <w:top w:w="0" w:type="dxa"/>
              <w:left w:w="108" w:type="dxa"/>
              <w:bottom w:w="0" w:type="dxa"/>
              <w:right w:w="108" w:type="dxa"/>
            </w:tcMar>
            <w:vAlign w:val="center"/>
          </w:tcPr>
          <w:p>
            <w:pPr>
              <w:ind w:left="1"/>
              <w:rPr>
                <w:rFonts w:ascii="宋体" w:hAnsi="宋体" w:cs="宋体"/>
                <w:bCs/>
                <w:color w:val="auto"/>
                <w:sz w:val="24"/>
                <w:highlight w:val="none"/>
              </w:rPr>
            </w:pPr>
            <w:r>
              <w:rPr>
                <w:rFonts w:hint="eastAsia" w:ascii="宋体" w:hAnsi="宋体" w:cs="宋体"/>
                <w:color w:val="auto"/>
                <w:sz w:val="18"/>
                <w:szCs w:val="18"/>
                <w:highlight w:val="none"/>
              </w:rPr>
              <w:t>100≤X＜300</w:t>
            </w:r>
          </w:p>
        </w:tc>
        <w:tc>
          <w:tcPr>
            <w:tcW w:w="1315"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10≤X＜100</w:t>
            </w:r>
          </w:p>
        </w:tc>
        <w:tc>
          <w:tcPr>
            <w:tcW w:w="908" w:type="dxa"/>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X＜10</w:t>
            </w:r>
          </w:p>
        </w:tc>
      </w:tr>
      <w:tr>
        <w:tblPrEx>
          <w:tblCellMar>
            <w:top w:w="0" w:type="dxa"/>
            <w:left w:w="0" w:type="dxa"/>
            <w:bottom w:w="0" w:type="dxa"/>
            <w:right w:w="0" w:type="dxa"/>
          </w:tblCellMar>
        </w:tblPrEx>
        <w:trPr>
          <w:trHeight w:val="397" w:hRule="atLeast"/>
          <w:jc w:val="center"/>
        </w:trPr>
        <w:tc>
          <w:tcPr>
            <w:tcW w:w="0" w:type="auto"/>
            <w:vMerge w:val="continue"/>
            <w:tcBorders>
              <w:top w:val="nil"/>
              <w:left w:val="nil"/>
              <w:bottom w:val="single" w:color="auto" w:sz="8" w:space="0"/>
              <w:right w:val="single" w:color="auto" w:sz="8" w:space="0"/>
            </w:tcBorders>
            <w:vAlign w:val="center"/>
          </w:tcPr>
          <w:p>
            <w:pPr>
              <w:widowControl/>
              <w:rPr>
                <w:rFonts w:ascii="宋体" w:hAnsi="宋体" w:cs="宋体"/>
                <w:bCs/>
                <w:color w:val="auto"/>
                <w:sz w:val="24"/>
                <w:highlight w:val="none"/>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营业收入(Y)</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Y≥10000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2000≤Y＜10000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both"/>
              <w:rPr>
                <w:rFonts w:ascii="宋体" w:hAnsi="宋体" w:cs="宋体"/>
                <w:bCs/>
                <w:color w:val="auto"/>
                <w:sz w:val="24"/>
                <w:highlight w:val="none"/>
              </w:rPr>
            </w:pPr>
            <w:r>
              <w:rPr>
                <w:rFonts w:hint="eastAsia" w:ascii="宋体" w:hAnsi="宋体" w:cs="宋体"/>
                <w:color w:val="auto"/>
                <w:sz w:val="18"/>
                <w:szCs w:val="18"/>
                <w:highlight w:val="none"/>
              </w:rPr>
              <w:t>100≤Y＜2000</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Y＜100</w:t>
            </w:r>
          </w:p>
        </w:tc>
      </w:tr>
      <w:tr>
        <w:tblPrEx>
          <w:tblCellMar>
            <w:top w:w="0" w:type="dxa"/>
            <w:left w:w="0" w:type="dxa"/>
            <w:bottom w:w="0" w:type="dxa"/>
            <w:right w:w="0" w:type="dxa"/>
          </w:tblCellMar>
        </w:tblPrEx>
        <w:trPr>
          <w:trHeight w:val="397" w:hRule="atLeast"/>
          <w:jc w:val="center"/>
        </w:trPr>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信息传输业 *</w:t>
            </w:r>
          </w:p>
        </w:tc>
        <w:tc>
          <w:tcPr>
            <w:tcW w:w="128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从业人员(X)</w:t>
            </w:r>
          </w:p>
        </w:tc>
        <w:tc>
          <w:tcPr>
            <w:tcW w:w="758"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人</w:t>
            </w:r>
          </w:p>
        </w:tc>
        <w:tc>
          <w:tcPr>
            <w:tcW w:w="993"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X≥2000</w:t>
            </w:r>
          </w:p>
        </w:tc>
        <w:tc>
          <w:tcPr>
            <w:tcW w:w="149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100≤X＜2000</w:t>
            </w:r>
          </w:p>
        </w:tc>
        <w:tc>
          <w:tcPr>
            <w:tcW w:w="1315"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10≤X＜100</w:t>
            </w:r>
          </w:p>
        </w:tc>
        <w:tc>
          <w:tcPr>
            <w:tcW w:w="908" w:type="dxa"/>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X＜10</w:t>
            </w:r>
          </w:p>
        </w:tc>
      </w:tr>
      <w:tr>
        <w:tblPrEx>
          <w:tblCellMar>
            <w:top w:w="0" w:type="dxa"/>
            <w:left w:w="0" w:type="dxa"/>
            <w:bottom w:w="0" w:type="dxa"/>
            <w:right w:w="0" w:type="dxa"/>
          </w:tblCellMar>
        </w:tblPrEx>
        <w:trPr>
          <w:trHeight w:val="397" w:hRule="atLeast"/>
          <w:jc w:val="center"/>
        </w:trPr>
        <w:tc>
          <w:tcPr>
            <w:tcW w:w="0" w:type="auto"/>
            <w:vMerge w:val="continue"/>
            <w:tcBorders>
              <w:top w:val="nil"/>
              <w:left w:val="nil"/>
              <w:bottom w:val="single" w:color="auto" w:sz="8" w:space="0"/>
              <w:right w:val="single" w:color="auto" w:sz="8" w:space="0"/>
            </w:tcBorders>
            <w:vAlign w:val="center"/>
          </w:tcPr>
          <w:p>
            <w:pPr>
              <w:widowControl/>
              <w:rPr>
                <w:rFonts w:ascii="宋体" w:hAnsi="宋体" w:cs="宋体"/>
                <w:bCs/>
                <w:color w:val="auto"/>
                <w:sz w:val="24"/>
                <w:highlight w:val="none"/>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营业收入(Y)</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Y≥100000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1000≤Y＜100000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100≤Y＜1000</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Y＜100</w:t>
            </w:r>
          </w:p>
        </w:tc>
      </w:tr>
      <w:tr>
        <w:tblPrEx>
          <w:tblCellMar>
            <w:top w:w="0" w:type="dxa"/>
            <w:left w:w="0" w:type="dxa"/>
            <w:bottom w:w="0" w:type="dxa"/>
            <w:right w:w="0" w:type="dxa"/>
          </w:tblCellMar>
        </w:tblPrEx>
        <w:trPr>
          <w:trHeight w:val="340" w:hRule="atLeast"/>
          <w:jc w:val="center"/>
        </w:trPr>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pacing w:val="-12"/>
                <w:sz w:val="18"/>
                <w:szCs w:val="18"/>
                <w:highlight w:val="none"/>
              </w:rPr>
              <w:t>软件和信息技术服</w:t>
            </w:r>
            <w:r>
              <w:rPr>
                <w:rFonts w:hint="eastAsia" w:ascii="宋体" w:hAnsi="宋体" w:cs="宋体"/>
                <w:color w:val="auto"/>
                <w:sz w:val="18"/>
                <w:szCs w:val="18"/>
                <w:highlight w:val="none"/>
              </w:rPr>
              <w:t>务业</w:t>
            </w:r>
          </w:p>
        </w:tc>
        <w:tc>
          <w:tcPr>
            <w:tcW w:w="128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从业人员(X)</w:t>
            </w:r>
          </w:p>
        </w:tc>
        <w:tc>
          <w:tcPr>
            <w:tcW w:w="758"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人</w:t>
            </w:r>
          </w:p>
        </w:tc>
        <w:tc>
          <w:tcPr>
            <w:tcW w:w="993"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X≥300</w:t>
            </w:r>
          </w:p>
        </w:tc>
        <w:tc>
          <w:tcPr>
            <w:tcW w:w="1491" w:type="dxa"/>
            <w:tcBorders>
              <w:top w:val="nil"/>
              <w:left w:val="nil"/>
              <w:bottom w:val="nil"/>
              <w:right w:val="single" w:color="auto" w:sz="8" w:space="0"/>
            </w:tcBorders>
            <w:tcMar>
              <w:top w:w="0" w:type="dxa"/>
              <w:left w:w="108" w:type="dxa"/>
              <w:bottom w:w="0" w:type="dxa"/>
              <w:right w:w="108" w:type="dxa"/>
            </w:tcMar>
            <w:vAlign w:val="center"/>
          </w:tcPr>
          <w:p>
            <w:pPr>
              <w:ind w:left="1"/>
              <w:rPr>
                <w:rFonts w:ascii="宋体" w:hAnsi="宋体" w:cs="宋体"/>
                <w:bCs/>
                <w:color w:val="auto"/>
                <w:sz w:val="24"/>
                <w:highlight w:val="none"/>
              </w:rPr>
            </w:pPr>
            <w:r>
              <w:rPr>
                <w:rFonts w:hint="eastAsia" w:ascii="宋体" w:hAnsi="宋体" w:cs="宋体"/>
                <w:color w:val="auto"/>
                <w:sz w:val="18"/>
                <w:szCs w:val="18"/>
                <w:highlight w:val="none"/>
              </w:rPr>
              <w:t>100≤X＜300</w:t>
            </w:r>
          </w:p>
        </w:tc>
        <w:tc>
          <w:tcPr>
            <w:tcW w:w="1315"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10≤X＜100</w:t>
            </w:r>
          </w:p>
        </w:tc>
        <w:tc>
          <w:tcPr>
            <w:tcW w:w="908" w:type="dxa"/>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X＜10</w:t>
            </w:r>
          </w:p>
        </w:tc>
      </w:tr>
      <w:tr>
        <w:tblPrEx>
          <w:tblCellMar>
            <w:top w:w="0" w:type="dxa"/>
            <w:left w:w="0" w:type="dxa"/>
            <w:bottom w:w="0" w:type="dxa"/>
            <w:right w:w="0" w:type="dxa"/>
          </w:tblCellMar>
        </w:tblPrEx>
        <w:trPr>
          <w:trHeight w:val="340" w:hRule="atLeast"/>
          <w:jc w:val="center"/>
        </w:trPr>
        <w:tc>
          <w:tcPr>
            <w:tcW w:w="0" w:type="auto"/>
            <w:vMerge w:val="continue"/>
            <w:tcBorders>
              <w:top w:val="nil"/>
              <w:left w:val="nil"/>
              <w:bottom w:val="single" w:color="auto" w:sz="8" w:space="0"/>
              <w:right w:val="single" w:color="auto" w:sz="8" w:space="0"/>
            </w:tcBorders>
            <w:vAlign w:val="center"/>
          </w:tcPr>
          <w:p>
            <w:pPr>
              <w:widowControl/>
              <w:rPr>
                <w:rFonts w:ascii="宋体" w:hAnsi="宋体" w:cs="宋体"/>
                <w:bCs/>
                <w:color w:val="auto"/>
                <w:sz w:val="24"/>
                <w:highlight w:val="none"/>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营业收入(Y)</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Y≥10000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1000≤Y＜10000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50≤Y＜1000</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Y＜50</w:t>
            </w:r>
          </w:p>
        </w:tc>
      </w:tr>
      <w:tr>
        <w:tblPrEx>
          <w:tblCellMar>
            <w:top w:w="0" w:type="dxa"/>
            <w:left w:w="0" w:type="dxa"/>
            <w:bottom w:w="0" w:type="dxa"/>
            <w:right w:w="0" w:type="dxa"/>
          </w:tblCellMar>
        </w:tblPrEx>
        <w:trPr>
          <w:trHeight w:val="340" w:hRule="atLeast"/>
          <w:jc w:val="center"/>
        </w:trPr>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房地产开发经营</w:t>
            </w:r>
          </w:p>
        </w:tc>
        <w:tc>
          <w:tcPr>
            <w:tcW w:w="128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营业收入(Y)</w:t>
            </w:r>
          </w:p>
        </w:tc>
        <w:tc>
          <w:tcPr>
            <w:tcW w:w="758"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Y≥200000</w:t>
            </w:r>
          </w:p>
        </w:tc>
        <w:tc>
          <w:tcPr>
            <w:tcW w:w="149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1000≤Y＜200000</w:t>
            </w:r>
          </w:p>
        </w:tc>
        <w:tc>
          <w:tcPr>
            <w:tcW w:w="1315"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100≤Y＜1000</w:t>
            </w:r>
          </w:p>
        </w:tc>
        <w:tc>
          <w:tcPr>
            <w:tcW w:w="908" w:type="dxa"/>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Y＜100</w:t>
            </w:r>
          </w:p>
        </w:tc>
      </w:tr>
      <w:tr>
        <w:tblPrEx>
          <w:tblCellMar>
            <w:top w:w="0" w:type="dxa"/>
            <w:left w:w="0" w:type="dxa"/>
            <w:bottom w:w="0" w:type="dxa"/>
            <w:right w:w="0" w:type="dxa"/>
          </w:tblCellMar>
        </w:tblPrEx>
        <w:trPr>
          <w:trHeight w:val="340" w:hRule="atLeast"/>
          <w:jc w:val="center"/>
        </w:trPr>
        <w:tc>
          <w:tcPr>
            <w:tcW w:w="0" w:type="auto"/>
            <w:vMerge w:val="continue"/>
            <w:tcBorders>
              <w:top w:val="nil"/>
              <w:left w:val="nil"/>
              <w:bottom w:val="single" w:color="auto" w:sz="8" w:space="0"/>
              <w:right w:val="single" w:color="auto" w:sz="8" w:space="0"/>
            </w:tcBorders>
            <w:vAlign w:val="center"/>
          </w:tcPr>
          <w:p>
            <w:pPr>
              <w:widowControl/>
              <w:rPr>
                <w:rFonts w:ascii="宋体" w:hAnsi="宋体" w:cs="宋体"/>
                <w:bCs/>
                <w:color w:val="auto"/>
                <w:sz w:val="24"/>
                <w:highlight w:val="none"/>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资产总额(Z)</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Z≥10000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ind w:firstLine="360"/>
              <w:jc w:val="center"/>
              <w:rPr>
                <w:rFonts w:ascii="宋体" w:hAnsi="宋体" w:cs="宋体"/>
                <w:bCs/>
                <w:color w:val="auto"/>
                <w:sz w:val="24"/>
                <w:highlight w:val="none"/>
              </w:rPr>
            </w:pPr>
            <w:r>
              <w:rPr>
                <w:rFonts w:hint="eastAsia" w:ascii="宋体" w:hAnsi="宋体" w:cs="宋体"/>
                <w:color w:val="auto"/>
                <w:sz w:val="18"/>
                <w:szCs w:val="18"/>
                <w:highlight w:val="none"/>
              </w:rPr>
              <w:t>5000≤Z＜10000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2000≤Z＜5000  </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Z＜2000</w:t>
            </w:r>
          </w:p>
        </w:tc>
      </w:tr>
      <w:tr>
        <w:tblPrEx>
          <w:tblCellMar>
            <w:top w:w="0" w:type="dxa"/>
            <w:left w:w="0" w:type="dxa"/>
            <w:bottom w:w="0" w:type="dxa"/>
            <w:right w:w="0" w:type="dxa"/>
          </w:tblCellMar>
        </w:tblPrEx>
        <w:trPr>
          <w:trHeight w:val="340" w:hRule="atLeast"/>
          <w:jc w:val="center"/>
        </w:trPr>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物业管理</w:t>
            </w:r>
          </w:p>
        </w:tc>
        <w:tc>
          <w:tcPr>
            <w:tcW w:w="128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从业人员(X)</w:t>
            </w:r>
          </w:p>
        </w:tc>
        <w:tc>
          <w:tcPr>
            <w:tcW w:w="758"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人</w:t>
            </w:r>
          </w:p>
        </w:tc>
        <w:tc>
          <w:tcPr>
            <w:tcW w:w="993"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X≥1000</w:t>
            </w:r>
          </w:p>
        </w:tc>
        <w:tc>
          <w:tcPr>
            <w:tcW w:w="149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300≤X＜1000</w:t>
            </w:r>
          </w:p>
        </w:tc>
        <w:tc>
          <w:tcPr>
            <w:tcW w:w="1315"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100≤X＜300</w:t>
            </w:r>
          </w:p>
        </w:tc>
        <w:tc>
          <w:tcPr>
            <w:tcW w:w="908" w:type="dxa"/>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X＜100</w:t>
            </w:r>
          </w:p>
        </w:tc>
      </w:tr>
      <w:tr>
        <w:tblPrEx>
          <w:tblCellMar>
            <w:top w:w="0" w:type="dxa"/>
            <w:left w:w="0" w:type="dxa"/>
            <w:bottom w:w="0" w:type="dxa"/>
            <w:right w:w="0" w:type="dxa"/>
          </w:tblCellMar>
        </w:tblPrEx>
        <w:trPr>
          <w:trHeight w:val="340" w:hRule="atLeast"/>
          <w:jc w:val="center"/>
        </w:trPr>
        <w:tc>
          <w:tcPr>
            <w:tcW w:w="0" w:type="auto"/>
            <w:vMerge w:val="continue"/>
            <w:tcBorders>
              <w:top w:val="nil"/>
              <w:left w:val="nil"/>
              <w:bottom w:val="single" w:color="auto" w:sz="8" w:space="0"/>
              <w:right w:val="single" w:color="auto" w:sz="8" w:space="0"/>
            </w:tcBorders>
            <w:vAlign w:val="center"/>
          </w:tcPr>
          <w:p>
            <w:pPr>
              <w:widowControl/>
              <w:rPr>
                <w:rFonts w:ascii="宋体" w:hAnsi="宋体" w:cs="宋体"/>
                <w:bCs/>
                <w:color w:val="auto"/>
                <w:sz w:val="24"/>
                <w:highlight w:val="none"/>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营业收入(Y)</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Y≥5000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ind w:left="1"/>
              <w:rPr>
                <w:rFonts w:ascii="宋体" w:hAnsi="宋体" w:cs="宋体"/>
                <w:bCs/>
                <w:color w:val="auto"/>
                <w:sz w:val="24"/>
                <w:highlight w:val="none"/>
              </w:rPr>
            </w:pPr>
            <w:r>
              <w:rPr>
                <w:rFonts w:hint="eastAsia" w:ascii="宋体" w:hAnsi="宋体" w:cs="宋体"/>
                <w:color w:val="auto"/>
                <w:sz w:val="18"/>
                <w:szCs w:val="18"/>
                <w:highlight w:val="none"/>
              </w:rPr>
              <w:t>1000≤Y＜5000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500≤Y＜1000</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Y＜500</w:t>
            </w:r>
          </w:p>
        </w:tc>
      </w:tr>
      <w:tr>
        <w:tblPrEx>
          <w:tblCellMar>
            <w:top w:w="0" w:type="dxa"/>
            <w:left w:w="0" w:type="dxa"/>
            <w:bottom w:w="0" w:type="dxa"/>
            <w:right w:w="0" w:type="dxa"/>
          </w:tblCellMar>
        </w:tblPrEx>
        <w:trPr>
          <w:trHeight w:val="340" w:hRule="atLeast"/>
          <w:jc w:val="center"/>
        </w:trPr>
        <w:tc>
          <w:tcPr>
            <w:tcW w:w="15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租赁和商务服务业</w:t>
            </w:r>
          </w:p>
        </w:tc>
        <w:tc>
          <w:tcPr>
            <w:tcW w:w="1281"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从业人员(X)</w:t>
            </w:r>
          </w:p>
        </w:tc>
        <w:tc>
          <w:tcPr>
            <w:tcW w:w="758"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人</w:t>
            </w:r>
          </w:p>
        </w:tc>
        <w:tc>
          <w:tcPr>
            <w:tcW w:w="993"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X≥300</w:t>
            </w:r>
          </w:p>
        </w:tc>
        <w:tc>
          <w:tcPr>
            <w:tcW w:w="1491" w:type="dxa"/>
            <w:tcBorders>
              <w:top w:val="nil"/>
              <w:left w:val="nil"/>
              <w:bottom w:val="nil"/>
              <w:right w:val="single" w:color="auto" w:sz="8" w:space="0"/>
            </w:tcBorders>
            <w:tcMar>
              <w:top w:w="0" w:type="dxa"/>
              <w:left w:w="108" w:type="dxa"/>
              <w:bottom w:w="0" w:type="dxa"/>
              <w:right w:w="108" w:type="dxa"/>
            </w:tcMar>
            <w:vAlign w:val="center"/>
          </w:tcPr>
          <w:p>
            <w:pPr>
              <w:ind w:left="1"/>
              <w:rPr>
                <w:rFonts w:ascii="宋体" w:hAnsi="宋体" w:cs="宋体"/>
                <w:bCs/>
                <w:color w:val="auto"/>
                <w:sz w:val="24"/>
                <w:highlight w:val="none"/>
              </w:rPr>
            </w:pPr>
            <w:r>
              <w:rPr>
                <w:rFonts w:hint="eastAsia" w:ascii="宋体" w:hAnsi="宋体" w:cs="宋体"/>
                <w:color w:val="auto"/>
                <w:sz w:val="18"/>
                <w:szCs w:val="18"/>
                <w:highlight w:val="none"/>
              </w:rPr>
              <w:t>100≤X＜300</w:t>
            </w:r>
          </w:p>
        </w:tc>
        <w:tc>
          <w:tcPr>
            <w:tcW w:w="1315" w:type="dxa"/>
            <w:tcBorders>
              <w:top w:val="nil"/>
              <w:left w:val="nil"/>
              <w:bottom w:val="nil"/>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10≤X＜100</w:t>
            </w:r>
          </w:p>
        </w:tc>
        <w:tc>
          <w:tcPr>
            <w:tcW w:w="908" w:type="dxa"/>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X＜10</w:t>
            </w:r>
          </w:p>
        </w:tc>
      </w:tr>
      <w:tr>
        <w:tblPrEx>
          <w:tblCellMar>
            <w:top w:w="0" w:type="dxa"/>
            <w:left w:w="0" w:type="dxa"/>
            <w:bottom w:w="0" w:type="dxa"/>
            <w:right w:w="0" w:type="dxa"/>
          </w:tblCellMar>
        </w:tblPrEx>
        <w:trPr>
          <w:trHeight w:val="340" w:hRule="atLeast"/>
          <w:jc w:val="center"/>
        </w:trPr>
        <w:tc>
          <w:tcPr>
            <w:tcW w:w="0" w:type="auto"/>
            <w:vMerge w:val="continue"/>
            <w:tcBorders>
              <w:top w:val="nil"/>
              <w:left w:val="nil"/>
              <w:bottom w:val="single" w:color="auto" w:sz="8" w:space="0"/>
              <w:right w:val="single" w:color="auto" w:sz="8" w:space="0"/>
            </w:tcBorders>
            <w:vAlign w:val="center"/>
          </w:tcPr>
          <w:p>
            <w:pPr>
              <w:widowControl/>
              <w:rPr>
                <w:rFonts w:ascii="宋体" w:hAnsi="宋体" w:cs="宋体"/>
                <w:bCs/>
                <w:color w:val="auto"/>
                <w:sz w:val="24"/>
                <w:highlight w:val="none"/>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rPr>
              <w:t>资产总额(Z)</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万元</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Z≥120000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8000≤Z＜120000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100≤Z＜8000</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Z＜100</w:t>
            </w:r>
          </w:p>
        </w:tc>
      </w:tr>
      <w:tr>
        <w:tblPrEx>
          <w:tblCellMar>
            <w:top w:w="0" w:type="dxa"/>
            <w:left w:w="0" w:type="dxa"/>
            <w:bottom w:w="0" w:type="dxa"/>
            <w:right w:w="0" w:type="dxa"/>
          </w:tblCellMar>
        </w:tblPrEx>
        <w:trPr>
          <w:trHeight w:val="397" w:hRule="atLeast"/>
          <w:jc w:val="center"/>
        </w:trPr>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tLeast"/>
              <w:rPr>
                <w:rFonts w:ascii="宋体" w:hAnsi="宋体" w:cs="宋体"/>
                <w:bCs/>
                <w:color w:val="auto"/>
                <w:sz w:val="24"/>
                <w:highlight w:val="none"/>
              </w:rPr>
            </w:pPr>
            <w:r>
              <w:rPr>
                <w:rFonts w:hint="eastAsia" w:ascii="宋体" w:hAnsi="宋体" w:cs="宋体"/>
                <w:color w:val="auto"/>
                <w:sz w:val="18"/>
                <w:szCs w:val="18"/>
                <w:highlight w:val="none"/>
                <w:lang w:eastAsia="zh-CN"/>
              </w:rPr>
              <w:t>工业</w:t>
            </w:r>
            <w:r>
              <w:rPr>
                <w:rFonts w:hint="eastAsia" w:ascii="宋体" w:hAnsi="宋体" w:cs="宋体"/>
                <w:color w:val="auto"/>
                <w:sz w:val="18"/>
                <w:szCs w:val="18"/>
                <w:highlight w:val="none"/>
              </w:rPr>
              <w:t> *</w:t>
            </w:r>
          </w:p>
        </w:tc>
        <w:tc>
          <w:tcPr>
            <w:tcW w:w="128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从业人员(X)</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人</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X≥300</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ind w:left="1"/>
              <w:rPr>
                <w:rFonts w:ascii="宋体" w:hAnsi="宋体" w:cs="宋体"/>
                <w:bCs/>
                <w:color w:val="auto"/>
                <w:sz w:val="24"/>
                <w:highlight w:val="none"/>
              </w:rPr>
            </w:pPr>
            <w:r>
              <w:rPr>
                <w:rFonts w:hint="eastAsia" w:ascii="宋体" w:hAnsi="宋体" w:cs="宋体"/>
                <w:color w:val="auto"/>
                <w:sz w:val="18"/>
                <w:szCs w:val="18"/>
                <w:highlight w:val="none"/>
              </w:rPr>
              <w:t>100≤X＜300</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10≤X＜100</w:t>
            </w:r>
          </w:p>
        </w:tc>
        <w:tc>
          <w:tcPr>
            <w:tcW w:w="908" w:type="dxa"/>
            <w:tcBorders>
              <w:top w:val="nil"/>
              <w:left w:val="nil"/>
              <w:bottom w:val="single" w:color="auto" w:sz="8" w:space="0"/>
              <w:right w:val="nil"/>
            </w:tcBorders>
            <w:tcMar>
              <w:top w:w="0" w:type="dxa"/>
              <w:left w:w="108" w:type="dxa"/>
              <w:bottom w:w="0" w:type="dxa"/>
              <w:right w:w="108" w:type="dxa"/>
            </w:tcMar>
            <w:vAlign w:val="center"/>
          </w:tcPr>
          <w:p>
            <w:pPr>
              <w:rPr>
                <w:rFonts w:ascii="宋体" w:hAnsi="宋体" w:cs="宋体"/>
                <w:bCs/>
                <w:color w:val="auto"/>
                <w:sz w:val="24"/>
                <w:highlight w:val="none"/>
              </w:rPr>
            </w:pPr>
            <w:r>
              <w:rPr>
                <w:rFonts w:hint="eastAsia" w:ascii="宋体" w:hAnsi="宋体" w:cs="宋体"/>
                <w:color w:val="auto"/>
                <w:sz w:val="18"/>
                <w:szCs w:val="18"/>
                <w:highlight w:val="none"/>
              </w:rPr>
              <w:t>X＜10</w:t>
            </w:r>
          </w:p>
        </w:tc>
      </w:tr>
    </w:tbl>
    <w:p>
      <w:pPr>
        <w:shd w:val="clear" w:color="auto" w:fill="FFFFFF"/>
        <w:spacing w:line="375" w:lineRule="atLeast"/>
        <w:ind w:firstLine="600"/>
        <w:rPr>
          <w:rFonts w:ascii="宋体" w:hAnsi="宋体" w:cs="宋体"/>
          <w:bCs/>
          <w:color w:val="auto"/>
          <w:sz w:val="18"/>
          <w:szCs w:val="18"/>
          <w:highlight w:val="none"/>
        </w:rPr>
      </w:pPr>
      <w:r>
        <w:rPr>
          <w:rFonts w:hint="eastAsia" w:ascii="仿宋_GB2312" w:hAnsi="宋体" w:eastAsia="仿宋_GB2312" w:cs="宋体"/>
          <w:color w:val="auto"/>
          <w:sz w:val="30"/>
          <w:szCs w:val="30"/>
          <w:highlight w:val="none"/>
        </w:rPr>
        <w:br w:type="textWrapping" w:clear="all"/>
      </w:r>
      <w:r>
        <w:rPr>
          <w:rFonts w:hint="eastAsia" w:ascii="宋体" w:hAnsi="宋体" w:cs="宋体"/>
          <w:color w:val="auto"/>
          <w:sz w:val="18"/>
          <w:szCs w:val="18"/>
          <w:highlight w:val="none"/>
        </w:rPr>
        <w:t> </w:t>
      </w:r>
    </w:p>
    <w:p>
      <w:pPr>
        <w:shd w:val="clear" w:color="auto" w:fill="FFFFFF"/>
        <w:spacing w:line="330" w:lineRule="atLeast"/>
        <w:ind w:firstLine="512"/>
        <w:rPr>
          <w:rFonts w:ascii="宋体" w:hAnsi="宋体" w:cs="宋体"/>
          <w:bCs/>
          <w:color w:val="auto"/>
          <w:sz w:val="24"/>
          <w:highlight w:val="none"/>
        </w:rPr>
      </w:pPr>
      <w:r>
        <w:rPr>
          <w:rFonts w:hint="eastAsia" w:ascii="宋体" w:hAnsi="宋体" w:cs="宋体"/>
          <w:color w:val="auto"/>
          <w:spacing w:val="8"/>
          <w:sz w:val="24"/>
          <w:highlight w:val="none"/>
        </w:rPr>
        <w:t>　　说明：</w:t>
      </w:r>
    </w:p>
    <w:p>
      <w:pPr>
        <w:shd w:val="clear" w:color="auto" w:fill="FFFFFF"/>
        <w:spacing w:line="330" w:lineRule="atLeast"/>
        <w:ind w:firstLine="512"/>
        <w:rPr>
          <w:rFonts w:ascii="宋体" w:hAnsi="宋体" w:cs="宋体"/>
          <w:bCs/>
          <w:color w:val="auto"/>
          <w:sz w:val="24"/>
          <w:highlight w:val="none"/>
        </w:rPr>
      </w:pPr>
      <w:r>
        <w:rPr>
          <w:color w:val="auto"/>
          <w:spacing w:val="8"/>
          <w:sz w:val="24"/>
          <w:highlight w:val="none"/>
        </w:rPr>
        <w:t> </w:t>
      </w:r>
    </w:p>
    <w:p>
      <w:pPr>
        <w:shd w:val="clear" w:color="auto" w:fill="FFFFFF"/>
        <w:spacing w:line="330" w:lineRule="atLeast"/>
        <w:ind w:firstLine="512"/>
        <w:rPr>
          <w:rFonts w:ascii="宋体" w:hAnsi="宋体" w:cs="宋体"/>
          <w:bCs/>
          <w:color w:val="auto"/>
          <w:sz w:val="24"/>
          <w:highlight w:val="none"/>
        </w:rPr>
      </w:pPr>
      <w:r>
        <w:rPr>
          <w:rFonts w:hint="eastAsia" w:ascii="宋体" w:hAnsi="宋体" w:cs="宋体"/>
          <w:color w:val="auto"/>
          <w:spacing w:val="8"/>
          <w:sz w:val="24"/>
          <w:highlight w:val="none"/>
        </w:rPr>
        <w:t>　　</w:t>
      </w:r>
      <w:r>
        <w:rPr>
          <w:color w:val="auto"/>
          <w:spacing w:val="8"/>
          <w:sz w:val="24"/>
          <w:highlight w:val="none"/>
        </w:rPr>
        <w:t>1.</w:t>
      </w:r>
      <w:r>
        <w:rPr>
          <w:rFonts w:hint="eastAsia" w:ascii="宋体" w:hAnsi="宋体" w:cs="宋体"/>
          <w:color w:val="auto"/>
          <w:spacing w:val="8"/>
          <w:sz w:val="24"/>
          <w:highlight w:val="none"/>
        </w:rPr>
        <w:t>大型、中型和小型企业须同时满足所列指标的下限，否则下划一档；微型企业只须满足所列指标中的一项即可。</w:t>
      </w:r>
    </w:p>
    <w:p>
      <w:pPr>
        <w:shd w:val="clear" w:color="auto" w:fill="FFFFFF"/>
        <w:spacing w:line="330" w:lineRule="atLeast"/>
        <w:ind w:firstLine="512"/>
        <w:rPr>
          <w:rFonts w:ascii="宋体" w:hAnsi="宋体" w:cs="宋体"/>
          <w:bCs/>
          <w:color w:val="auto"/>
          <w:sz w:val="24"/>
          <w:highlight w:val="none"/>
        </w:rPr>
      </w:pPr>
      <w:r>
        <w:rPr>
          <w:color w:val="auto"/>
          <w:spacing w:val="8"/>
          <w:sz w:val="24"/>
          <w:highlight w:val="none"/>
        </w:rPr>
        <w:t> </w:t>
      </w:r>
    </w:p>
    <w:p>
      <w:pPr>
        <w:shd w:val="clear" w:color="auto" w:fill="FFFFFF"/>
        <w:spacing w:line="330" w:lineRule="atLeast"/>
        <w:ind w:firstLine="512"/>
        <w:rPr>
          <w:rFonts w:ascii="宋体" w:hAnsi="宋体" w:cs="宋体"/>
          <w:bCs/>
          <w:color w:val="auto"/>
          <w:sz w:val="24"/>
          <w:highlight w:val="none"/>
        </w:rPr>
      </w:pPr>
      <w:r>
        <w:rPr>
          <w:rFonts w:hint="eastAsia" w:ascii="宋体" w:hAnsi="宋体" w:cs="宋体"/>
          <w:color w:val="auto"/>
          <w:spacing w:val="8"/>
          <w:sz w:val="24"/>
          <w:highlight w:val="none"/>
        </w:rPr>
        <w:t>　　</w:t>
      </w:r>
      <w:r>
        <w:rPr>
          <w:color w:val="auto"/>
          <w:spacing w:val="8"/>
          <w:sz w:val="24"/>
          <w:highlight w:val="none"/>
        </w:rPr>
        <w:t>2.</w:t>
      </w:r>
      <w:r>
        <w:rPr>
          <w:rFonts w:hint="eastAsia" w:ascii="宋体" w:hAnsi="宋体" w:cs="宋体"/>
          <w:color w:val="auto"/>
          <w:spacing w:val="8"/>
          <w:sz w:val="24"/>
          <w:highlight w:val="none"/>
        </w:rPr>
        <w:t>附表中各行业的范围以《国民经济行业分类》（</w:t>
      </w:r>
      <w:r>
        <w:rPr>
          <w:color w:val="auto"/>
          <w:spacing w:val="8"/>
          <w:sz w:val="24"/>
          <w:highlight w:val="none"/>
        </w:rPr>
        <w:t>GB/T4754-2011</w:t>
      </w:r>
      <w:r>
        <w:rPr>
          <w:rFonts w:hint="eastAsia" w:ascii="宋体" w:hAnsi="宋体" w:cs="宋体"/>
          <w:color w:val="auto"/>
          <w:spacing w:val="8"/>
          <w:sz w:val="24"/>
          <w:highlight w:val="none"/>
        </w:rPr>
        <w:t>）为准。带</w:t>
      </w:r>
      <w:r>
        <w:rPr>
          <w:color w:val="auto"/>
          <w:spacing w:val="8"/>
          <w:sz w:val="24"/>
          <w:highlight w:val="none"/>
        </w:rPr>
        <w:t>*</w:t>
      </w:r>
      <w:r>
        <w:rPr>
          <w:rFonts w:hint="eastAsia" w:ascii="宋体" w:hAnsi="宋体" w:cs="宋体"/>
          <w:color w:val="auto"/>
          <w:spacing w:val="8"/>
          <w:sz w:val="24"/>
          <w:highlight w:val="none"/>
        </w:rPr>
        <w:t>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w:t>
      </w:r>
      <w:r>
        <w:rPr>
          <w:rFonts w:hint="eastAsia" w:ascii="宋体" w:hAnsi="宋体" w:cs="宋体"/>
          <w:color w:val="auto"/>
          <w:spacing w:val="8"/>
          <w:sz w:val="24"/>
          <w:highlight w:val="none"/>
          <w:lang w:eastAsia="zh-CN"/>
        </w:rPr>
        <w:t>工业</w:t>
      </w:r>
      <w:r>
        <w:rPr>
          <w:rFonts w:hint="eastAsia" w:ascii="宋体" w:hAnsi="宋体" w:cs="宋体"/>
          <w:color w:val="auto"/>
          <w:spacing w:val="8"/>
          <w:sz w:val="24"/>
          <w:highlight w:val="none"/>
        </w:rPr>
        <w:t>包括科学研究和技术服务业，水利、环境和公共设施管理业，居民服务、修理和其他服务业，社会工作，文化、体育和娱乐业，以及房地产中介服务，其他房地产业等，不包括自有房地产经营活动。</w:t>
      </w:r>
    </w:p>
    <w:p>
      <w:pPr>
        <w:shd w:val="clear" w:color="auto" w:fill="FFFFFF"/>
        <w:spacing w:line="330" w:lineRule="atLeast"/>
        <w:ind w:firstLine="512"/>
        <w:rPr>
          <w:rFonts w:ascii="宋体" w:hAnsi="宋体" w:cs="宋体"/>
          <w:bCs/>
          <w:color w:val="auto"/>
          <w:sz w:val="24"/>
          <w:highlight w:val="none"/>
        </w:rPr>
      </w:pPr>
      <w:r>
        <w:rPr>
          <w:color w:val="auto"/>
          <w:spacing w:val="8"/>
          <w:sz w:val="24"/>
          <w:highlight w:val="none"/>
        </w:rPr>
        <w:t> </w:t>
      </w:r>
    </w:p>
    <w:p>
      <w:pPr>
        <w:shd w:val="clear" w:color="auto" w:fill="FFFFFF"/>
        <w:spacing w:line="330" w:lineRule="atLeast"/>
        <w:ind w:firstLine="512"/>
        <w:rPr>
          <w:rFonts w:ascii="宋体" w:hAnsi="宋体" w:cs="宋体"/>
          <w:bCs/>
          <w:color w:val="auto"/>
          <w:sz w:val="24"/>
          <w:highlight w:val="none"/>
        </w:rPr>
      </w:pPr>
      <w:r>
        <w:rPr>
          <w:rFonts w:hint="eastAsia" w:ascii="宋体" w:hAnsi="宋体" w:cs="宋体"/>
          <w:color w:val="auto"/>
          <w:spacing w:val="8"/>
          <w:sz w:val="24"/>
          <w:highlight w:val="none"/>
        </w:rPr>
        <w:t>　　</w:t>
      </w:r>
      <w:r>
        <w:rPr>
          <w:color w:val="auto"/>
          <w:spacing w:val="8"/>
          <w:sz w:val="24"/>
          <w:highlight w:val="none"/>
        </w:rPr>
        <w:t>3.</w:t>
      </w:r>
      <w:r>
        <w:rPr>
          <w:rFonts w:hint="eastAsia" w:ascii="宋体" w:hAnsi="宋体" w:cs="宋体"/>
          <w:color w:val="auto"/>
          <w:spacing w:val="8"/>
          <w:sz w:val="24"/>
          <w:highlight w:val="none"/>
        </w:rPr>
        <w:t>企业划分指标以现行统计制度为准。（</w:t>
      </w:r>
      <w:r>
        <w:rPr>
          <w:color w:val="auto"/>
          <w:spacing w:val="8"/>
          <w:sz w:val="24"/>
          <w:highlight w:val="none"/>
        </w:rPr>
        <w:t>1</w:t>
      </w:r>
      <w:r>
        <w:rPr>
          <w:rFonts w:hint="eastAsia" w:ascii="宋体" w:hAnsi="宋体" w:cs="宋体"/>
          <w:color w:val="auto"/>
          <w:spacing w:val="8"/>
          <w:sz w:val="24"/>
          <w:highlight w:val="none"/>
        </w:rPr>
        <w:t>）从业人员，是指期末从业人员数，没有期末从业人员数的，采用全年平均人员数代替。（</w:t>
      </w:r>
      <w:r>
        <w:rPr>
          <w:color w:val="auto"/>
          <w:spacing w:val="8"/>
          <w:sz w:val="24"/>
          <w:highlight w:val="none"/>
        </w:rPr>
        <w:t>2</w:t>
      </w:r>
      <w:r>
        <w:rPr>
          <w:rFonts w:hint="eastAsia" w:ascii="宋体" w:hAnsi="宋体" w:cs="宋体"/>
          <w:color w:val="auto"/>
          <w:spacing w:val="8"/>
          <w:sz w:val="24"/>
          <w:highlight w:val="none"/>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color w:val="auto"/>
          <w:spacing w:val="8"/>
          <w:sz w:val="24"/>
          <w:highlight w:val="none"/>
        </w:rPr>
        <w:t>3</w:t>
      </w:r>
      <w:r>
        <w:rPr>
          <w:rFonts w:hint="eastAsia" w:ascii="宋体" w:hAnsi="宋体" w:cs="宋体"/>
          <w:color w:val="auto"/>
          <w:spacing w:val="8"/>
          <w:sz w:val="24"/>
          <w:highlight w:val="none"/>
        </w:rPr>
        <w:t>）资产总额，采用资产总计代替。</w:t>
      </w:r>
    </w:p>
    <w:p>
      <w:pPr>
        <w:pStyle w:val="26"/>
        <w:snapToGrid w:val="0"/>
        <w:ind w:firstLine="420"/>
        <w:rPr>
          <w:rFonts w:ascii="微软雅黑" w:hAnsi="微软雅黑"/>
          <w:color w:val="auto"/>
          <w:szCs w:val="21"/>
          <w:highlight w:val="none"/>
        </w:rPr>
      </w:pPr>
    </w:p>
    <w:p>
      <w:pPr>
        <w:pStyle w:val="26"/>
        <w:snapToGrid w:val="0"/>
        <w:ind w:firstLine="420"/>
        <w:rPr>
          <w:rFonts w:ascii="微软雅黑" w:hAnsi="微软雅黑"/>
          <w:color w:val="auto"/>
          <w:szCs w:val="21"/>
          <w:highlight w:val="none"/>
        </w:rPr>
      </w:pPr>
    </w:p>
    <w:p>
      <w:pPr>
        <w:pStyle w:val="48"/>
        <w:rPr>
          <w:rFonts w:hint="eastAsia"/>
          <w:color w:val="auto"/>
          <w:highlight w:val="none"/>
        </w:rPr>
      </w:pPr>
    </w:p>
    <w:p>
      <w:pPr>
        <w:rPr>
          <w:color w:val="auto"/>
          <w:highlight w:val="none"/>
        </w:rPr>
      </w:pPr>
    </w:p>
    <w:p>
      <w:pPr>
        <w:pStyle w:val="59"/>
        <w:rPr>
          <w:rFonts w:ascii="微软雅黑" w:hAnsi="微软雅黑" w:eastAsia="微软雅黑"/>
          <w:color w:val="auto"/>
          <w:szCs w:val="21"/>
          <w:highlight w:val="none"/>
        </w:rPr>
      </w:pPr>
    </w:p>
    <w:p>
      <w:pPr>
        <w:pStyle w:val="7"/>
        <w:rPr>
          <w:color w:val="auto"/>
          <w:highlight w:val="none"/>
        </w:rPr>
      </w:pPr>
    </w:p>
    <w:sectPr>
      <w:pgSz w:w="11907" w:h="16839"/>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
    <w:altName w:val="微软雅黑"/>
    <w:panose1 w:val="00000000000000000000"/>
    <w:charset w:val="00"/>
    <w:family w:val="auto"/>
    <w:pitch w:val="default"/>
    <w:sig w:usb0="00000000" w:usb1="00000000" w:usb2="00000000"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Courier">
    <w:altName w:val="Courier New"/>
    <w:panose1 w:val="02070409020205020404"/>
    <w:charset w:val="00"/>
    <w:family w:val="modern"/>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2"/>
                            <w:jc w:val="center"/>
                          </w:pPr>
                          <w:r>
                            <w:fldChar w:fldCharType="begin"/>
                          </w:r>
                          <w:r>
                            <w:instrText xml:space="preserve"> PAGE   \* MERGEFORMAT </w:instrText>
                          </w:r>
                          <w:r>
                            <w:fldChar w:fldCharType="separate"/>
                          </w:r>
                          <w:r>
                            <w:rPr>
                              <w:lang w:val="zh-CN"/>
                            </w:rPr>
                            <w:t>47</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2"/>
                      <w:jc w:val="center"/>
                    </w:pPr>
                    <w:r>
                      <w:fldChar w:fldCharType="begin"/>
                    </w:r>
                    <w:r>
                      <w:instrText xml:space="preserve"> PAGE   \* MERGEFORMAT </w:instrText>
                    </w:r>
                    <w:r>
                      <w:fldChar w:fldCharType="separate"/>
                    </w:r>
                    <w:r>
                      <w:rPr>
                        <w:lang w:val="zh-CN"/>
                      </w:rPr>
                      <w:t>47</w:t>
                    </w:r>
                    <w:r>
                      <w:rPr>
                        <w:lang w:val="zh-CN"/>
                      </w:rPr>
                      <w:fldChar w:fldCharType="end"/>
                    </w:r>
                  </w:p>
                </w:txbxContent>
              </v:textbox>
            </v:shape>
          </w:pict>
        </mc:Fallback>
      </mc:AlternateContent>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outside" w:y="1"/>
      <w:rPr>
        <w:rStyle w:val="54"/>
      </w:rPr>
    </w:pPr>
    <w:r>
      <w:fldChar w:fldCharType="begin"/>
    </w:r>
    <w:r>
      <w:rPr>
        <w:rStyle w:val="54"/>
      </w:rPr>
      <w:instrText xml:space="preserve">PAGE  </w:instrText>
    </w:r>
    <w:r>
      <w:fldChar w:fldCharType="end"/>
    </w:r>
  </w:p>
  <w:p>
    <w:pPr>
      <w:pStyle w:val="3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right"/>
      <w:rPr>
        <w:rFonts w:ascii="微软雅黑" w:hAnsi="微软雅黑" w:eastAsia="微软雅黑"/>
      </w:rPr>
    </w:pPr>
    <w:r>
      <w:rPr>
        <w:rFonts w:hint="eastAsia" w:cs="Arial" w:asciiTheme="minorEastAsia" w:hAnsiTheme="minorEastAsia" w:eastAsiaTheme="minorEastAsia"/>
        <w:kern w:val="0"/>
        <w:szCs w:val="21"/>
        <w:lang w:eastAsia="zh-CN"/>
      </w:rPr>
      <w:t>嘉兴海关综合技术服务中心食堂食材采购项目</w:t>
    </w:r>
    <w:r>
      <w:rPr>
        <w:rFonts w:hint="eastAsia" w:cs="Arial" w:asciiTheme="minorEastAsia" w:hAnsiTheme="minorEastAsia" w:eastAsiaTheme="minorEastAsia"/>
        <w:kern w:val="0"/>
        <w:szCs w:val="21"/>
      </w:rPr>
      <w:t>.招标文</w:t>
    </w:r>
    <w:r>
      <w:rPr>
        <w:rFonts w:cs="Arial" w:asciiTheme="minorEastAsia" w:hAnsiTheme="minorEastAsia" w:eastAsiaTheme="minorEastAsia"/>
        <w:kern w:val="0"/>
        <w:szCs w:val="21"/>
      </w:rPr>
      <w:t>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right"/>
      <w:rPr>
        <w:rFonts w:ascii="微软雅黑" w:hAnsi="微软雅黑" w:eastAsia="微软雅黑"/>
      </w:rPr>
    </w:pPr>
    <w:r>
      <w:rPr>
        <w:rFonts w:hint="eastAsia" w:ascii="宋体" w:hAnsi="宋体" w:cs="Arial"/>
        <w:kern w:val="0"/>
        <w:szCs w:val="21"/>
        <w:lang w:eastAsia="zh-CN"/>
      </w:rPr>
      <w:t>嘉兴海关综合技术服务中心食堂食材采购项目</w:t>
    </w:r>
    <w:r>
      <w:rPr>
        <w:rFonts w:hint="eastAsia" w:ascii="宋体" w:hAnsi="宋体" w:cs="Arial"/>
        <w:kern w:val="0"/>
        <w:szCs w:val="21"/>
      </w:rPr>
      <w:t>.招标文</w:t>
    </w:r>
    <w:r>
      <w:rPr>
        <w:rFonts w:ascii="宋体" w:hAnsi="宋体" w:cs="Arial"/>
        <w:kern w:val="0"/>
        <w:szCs w:val="21"/>
      </w:rPr>
      <w:t>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7575D"/>
    <w:multiLevelType w:val="singleLevel"/>
    <w:tmpl w:val="AEC7575D"/>
    <w:lvl w:ilvl="0" w:tentative="0">
      <w:start w:val="13"/>
      <w:numFmt w:val="decimal"/>
      <w:suff w:val="nothing"/>
      <w:lvlText w:val="%1、"/>
      <w:lvlJc w:val="left"/>
    </w:lvl>
  </w:abstractNum>
  <w:abstractNum w:abstractNumId="1">
    <w:nsid w:val="D195AEBC"/>
    <w:multiLevelType w:val="singleLevel"/>
    <w:tmpl w:val="D195AEBC"/>
    <w:lvl w:ilvl="0" w:tentative="0">
      <w:start w:val="1"/>
      <w:numFmt w:val="decimal"/>
      <w:lvlText w:val="%1."/>
      <w:lvlJc w:val="left"/>
      <w:pPr>
        <w:tabs>
          <w:tab w:val="left" w:pos="312"/>
        </w:tabs>
      </w:pPr>
    </w:lvl>
  </w:abstractNum>
  <w:abstractNum w:abstractNumId="2">
    <w:nsid w:val="4036637C"/>
    <w:multiLevelType w:val="singleLevel"/>
    <w:tmpl w:val="4036637C"/>
    <w:lvl w:ilvl="0" w:tentative="0">
      <w:start w:val="2"/>
      <w:numFmt w:val="chineseCounting"/>
      <w:suff w:val="nothing"/>
      <w:lvlText w:val="（%1）"/>
      <w:lvlJc w:val="left"/>
      <w:rPr>
        <w:rFonts w:hint="eastAsia"/>
      </w:rPr>
    </w:lvl>
  </w:abstractNum>
  <w:abstractNum w:abstractNumId="3">
    <w:nsid w:val="551E3405"/>
    <w:multiLevelType w:val="multilevel"/>
    <w:tmpl w:val="551E3405"/>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6594F439"/>
    <w:multiLevelType w:val="singleLevel"/>
    <w:tmpl w:val="6594F439"/>
    <w:lvl w:ilvl="0" w:tentative="0">
      <w:start w:val="6"/>
      <w:numFmt w:val="decimal"/>
      <w:suff w:val="nothing"/>
      <w:lvlText w:val="%1、"/>
      <w:lvlJc w:val="left"/>
    </w:lvl>
  </w:abstractNum>
  <w:abstractNum w:abstractNumId="5">
    <w:nsid w:val="6F05BE2E"/>
    <w:multiLevelType w:val="singleLevel"/>
    <w:tmpl w:val="6F05BE2E"/>
    <w:lvl w:ilvl="0" w:tentative="0">
      <w:start w:val="1"/>
      <w:numFmt w:val="chineseCounting"/>
      <w:suff w:val="nothing"/>
      <w:lvlText w:val="%1、"/>
      <w:lvlJc w:val="left"/>
      <w:rPr>
        <w:rFonts w:hint="eastAsia"/>
      </w:rPr>
    </w:lvl>
  </w:abstractNum>
  <w:abstractNum w:abstractNumId="6">
    <w:nsid w:val="73501D6F"/>
    <w:multiLevelType w:val="multilevel"/>
    <w:tmpl w:val="73501D6F"/>
    <w:lvl w:ilvl="0" w:tentative="0">
      <w:start w:val="1"/>
      <w:numFmt w:val="japaneseCounting"/>
      <w:lvlText w:val="%1、"/>
      <w:lvlJc w:val="left"/>
      <w:pPr>
        <w:tabs>
          <w:tab w:val="left" w:pos="946"/>
        </w:tabs>
        <w:ind w:left="946" w:hanging="480"/>
      </w:pPr>
      <w:rPr>
        <w:rFonts w:hint="default"/>
      </w:rPr>
    </w:lvl>
    <w:lvl w:ilvl="1" w:tentative="0">
      <w:start w:val="1"/>
      <w:numFmt w:val="lowerLetter"/>
      <w:lvlText w:val="%2)"/>
      <w:lvlJc w:val="left"/>
      <w:pPr>
        <w:tabs>
          <w:tab w:val="left" w:pos="1306"/>
        </w:tabs>
        <w:ind w:left="1306" w:hanging="420"/>
      </w:pPr>
    </w:lvl>
    <w:lvl w:ilvl="2" w:tentative="0">
      <w:start w:val="1"/>
      <w:numFmt w:val="lowerRoman"/>
      <w:lvlText w:val="%3."/>
      <w:lvlJc w:val="right"/>
      <w:pPr>
        <w:tabs>
          <w:tab w:val="left" w:pos="1726"/>
        </w:tabs>
        <w:ind w:left="1726" w:hanging="420"/>
      </w:pPr>
    </w:lvl>
    <w:lvl w:ilvl="3" w:tentative="0">
      <w:start w:val="1"/>
      <w:numFmt w:val="decimal"/>
      <w:lvlText w:val="%4."/>
      <w:lvlJc w:val="left"/>
      <w:pPr>
        <w:tabs>
          <w:tab w:val="left" w:pos="2146"/>
        </w:tabs>
        <w:ind w:left="2146" w:hanging="420"/>
      </w:pPr>
    </w:lvl>
    <w:lvl w:ilvl="4" w:tentative="0">
      <w:start w:val="1"/>
      <w:numFmt w:val="lowerLetter"/>
      <w:lvlText w:val="%5)"/>
      <w:lvlJc w:val="left"/>
      <w:pPr>
        <w:tabs>
          <w:tab w:val="left" w:pos="2566"/>
        </w:tabs>
        <w:ind w:left="2566" w:hanging="420"/>
      </w:pPr>
    </w:lvl>
    <w:lvl w:ilvl="5" w:tentative="0">
      <w:start w:val="1"/>
      <w:numFmt w:val="lowerRoman"/>
      <w:lvlText w:val="%6."/>
      <w:lvlJc w:val="right"/>
      <w:pPr>
        <w:tabs>
          <w:tab w:val="left" w:pos="2986"/>
        </w:tabs>
        <w:ind w:left="2986" w:hanging="420"/>
      </w:pPr>
    </w:lvl>
    <w:lvl w:ilvl="6" w:tentative="0">
      <w:start w:val="1"/>
      <w:numFmt w:val="decimal"/>
      <w:lvlText w:val="%7."/>
      <w:lvlJc w:val="left"/>
      <w:pPr>
        <w:tabs>
          <w:tab w:val="left" w:pos="3406"/>
        </w:tabs>
        <w:ind w:left="3406" w:hanging="420"/>
      </w:pPr>
    </w:lvl>
    <w:lvl w:ilvl="7" w:tentative="0">
      <w:start w:val="1"/>
      <w:numFmt w:val="lowerLetter"/>
      <w:lvlText w:val="%8)"/>
      <w:lvlJc w:val="left"/>
      <w:pPr>
        <w:tabs>
          <w:tab w:val="left" w:pos="3826"/>
        </w:tabs>
        <w:ind w:left="3826" w:hanging="420"/>
      </w:pPr>
    </w:lvl>
    <w:lvl w:ilvl="8" w:tentative="0">
      <w:start w:val="1"/>
      <w:numFmt w:val="lowerRoman"/>
      <w:lvlText w:val="%9."/>
      <w:lvlJc w:val="right"/>
      <w:pPr>
        <w:tabs>
          <w:tab w:val="left" w:pos="4246"/>
        </w:tabs>
        <w:ind w:left="4246" w:hanging="420"/>
      </w:pPr>
    </w:lvl>
  </w:abstractNum>
  <w:abstractNum w:abstractNumId="7">
    <w:nsid w:val="7DAA347A"/>
    <w:multiLevelType w:val="multilevel"/>
    <w:tmpl w:val="7DAA347A"/>
    <w:lvl w:ilvl="0" w:tentative="0">
      <w:start w:val="1"/>
      <w:numFmt w:val="japaneseCounting"/>
      <w:lvlText w:val="第%1条"/>
      <w:lvlJc w:val="left"/>
      <w:pPr>
        <w:tabs>
          <w:tab w:val="left" w:pos="1157"/>
        </w:tabs>
        <w:ind w:left="1157" w:hanging="735"/>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0NjEwMTJlYmM2ODk2NDkwNDFjNjAzMTYxODUxOGMifQ=="/>
  </w:docVars>
  <w:rsids>
    <w:rsidRoot w:val="00C67595"/>
    <w:rsid w:val="00000868"/>
    <w:rsid w:val="00002FF3"/>
    <w:rsid w:val="0000398F"/>
    <w:rsid w:val="00003C3C"/>
    <w:rsid w:val="000044F4"/>
    <w:rsid w:val="000050D6"/>
    <w:rsid w:val="00005B6A"/>
    <w:rsid w:val="0000613F"/>
    <w:rsid w:val="00006676"/>
    <w:rsid w:val="00007A59"/>
    <w:rsid w:val="000101D3"/>
    <w:rsid w:val="00010B34"/>
    <w:rsid w:val="00010C43"/>
    <w:rsid w:val="000112E4"/>
    <w:rsid w:val="00011499"/>
    <w:rsid w:val="00011EDD"/>
    <w:rsid w:val="00012415"/>
    <w:rsid w:val="00014435"/>
    <w:rsid w:val="00015B12"/>
    <w:rsid w:val="00015C8C"/>
    <w:rsid w:val="00015EBA"/>
    <w:rsid w:val="00016F84"/>
    <w:rsid w:val="00017123"/>
    <w:rsid w:val="0001712E"/>
    <w:rsid w:val="0001791B"/>
    <w:rsid w:val="00020A3B"/>
    <w:rsid w:val="00023EA6"/>
    <w:rsid w:val="00023F05"/>
    <w:rsid w:val="000249F2"/>
    <w:rsid w:val="00024B81"/>
    <w:rsid w:val="00026C81"/>
    <w:rsid w:val="0003103E"/>
    <w:rsid w:val="0003146C"/>
    <w:rsid w:val="00031953"/>
    <w:rsid w:val="0003293E"/>
    <w:rsid w:val="00034D4D"/>
    <w:rsid w:val="00035725"/>
    <w:rsid w:val="000365CB"/>
    <w:rsid w:val="0003713E"/>
    <w:rsid w:val="000377BF"/>
    <w:rsid w:val="00037CD8"/>
    <w:rsid w:val="0004008C"/>
    <w:rsid w:val="000401D5"/>
    <w:rsid w:val="00041B2D"/>
    <w:rsid w:val="00042977"/>
    <w:rsid w:val="00042AFD"/>
    <w:rsid w:val="00043120"/>
    <w:rsid w:val="00043142"/>
    <w:rsid w:val="00045492"/>
    <w:rsid w:val="000462B4"/>
    <w:rsid w:val="0004692F"/>
    <w:rsid w:val="00047D1E"/>
    <w:rsid w:val="0005070C"/>
    <w:rsid w:val="000510C6"/>
    <w:rsid w:val="000518B8"/>
    <w:rsid w:val="00051FC1"/>
    <w:rsid w:val="00052F01"/>
    <w:rsid w:val="00055784"/>
    <w:rsid w:val="00055D20"/>
    <w:rsid w:val="00056CBF"/>
    <w:rsid w:val="000573EF"/>
    <w:rsid w:val="00057835"/>
    <w:rsid w:val="00060047"/>
    <w:rsid w:val="00060905"/>
    <w:rsid w:val="000623FD"/>
    <w:rsid w:val="00062990"/>
    <w:rsid w:val="00062AFE"/>
    <w:rsid w:val="00063364"/>
    <w:rsid w:val="00064222"/>
    <w:rsid w:val="00064829"/>
    <w:rsid w:val="00065016"/>
    <w:rsid w:val="000651F4"/>
    <w:rsid w:val="00065E41"/>
    <w:rsid w:val="000661E3"/>
    <w:rsid w:val="000662AD"/>
    <w:rsid w:val="00066842"/>
    <w:rsid w:val="00066EC4"/>
    <w:rsid w:val="000709B0"/>
    <w:rsid w:val="000718A7"/>
    <w:rsid w:val="00072638"/>
    <w:rsid w:val="000736C9"/>
    <w:rsid w:val="00073C4C"/>
    <w:rsid w:val="00074E55"/>
    <w:rsid w:val="00074FC4"/>
    <w:rsid w:val="00076500"/>
    <w:rsid w:val="00076C16"/>
    <w:rsid w:val="0007718F"/>
    <w:rsid w:val="0007759B"/>
    <w:rsid w:val="0007790A"/>
    <w:rsid w:val="00080288"/>
    <w:rsid w:val="0008113B"/>
    <w:rsid w:val="00081912"/>
    <w:rsid w:val="00083285"/>
    <w:rsid w:val="00083E93"/>
    <w:rsid w:val="000845F6"/>
    <w:rsid w:val="00085D08"/>
    <w:rsid w:val="0008643D"/>
    <w:rsid w:val="000871CB"/>
    <w:rsid w:val="00087413"/>
    <w:rsid w:val="00087869"/>
    <w:rsid w:val="00087F2C"/>
    <w:rsid w:val="000901E0"/>
    <w:rsid w:val="00091F55"/>
    <w:rsid w:val="00092DE6"/>
    <w:rsid w:val="000932B2"/>
    <w:rsid w:val="00093B7D"/>
    <w:rsid w:val="00093EB5"/>
    <w:rsid w:val="000941A5"/>
    <w:rsid w:val="00095712"/>
    <w:rsid w:val="00096C1B"/>
    <w:rsid w:val="0009734B"/>
    <w:rsid w:val="000A0027"/>
    <w:rsid w:val="000A137F"/>
    <w:rsid w:val="000A20E5"/>
    <w:rsid w:val="000A24D3"/>
    <w:rsid w:val="000A29D9"/>
    <w:rsid w:val="000A326A"/>
    <w:rsid w:val="000A4323"/>
    <w:rsid w:val="000A4FF5"/>
    <w:rsid w:val="000A6697"/>
    <w:rsid w:val="000A69C1"/>
    <w:rsid w:val="000A74D9"/>
    <w:rsid w:val="000B09AE"/>
    <w:rsid w:val="000B0A3A"/>
    <w:rsid w:val="000B177F"/>
    <w:rsid w:val="000B22F5"/>
    <w:rsid w:val="000B2508"/>
    <w:rsid w:val="000B2E80"/>
    <w:rsid w:val="000B3796"/>
    <w:rsid w:val="000B39C4"/>
    <w:rsid w:val="000B4EDA"/>
    <w:rsid w:val="000B5BDD"/>
    <w:rsid w:val="000B60F2"/>
    <w:rsid w:val="000B688B"/>
    <w:rsid w:val="000C0619"/>
    <w:rsid w:val="000C0796"/>
    <w:rsid w:val="000C1788"/>
    <w:rsid w:val="000C1894"/>
    <w:rsid w:val="000C1950"/>
    <w:rsid w:val="000C1952"/>
    <w:rsid w:val="000C2450"/>
    <w:rsid w:val="000C34D1"/>
    <w:rsid w:val="000C3CB6"/>
    <w:rsid w:val="000C400E"/>
    <w:rsid w:val="000C4E12"/>
    <w:rsid w:val="000C51F1"/>
    <w:rsid w:val="000C52F4"/>
    <w:rsid w:val="000C62D7"/>
    <w:rsid w:val="000C743A"/>
    <w:rsid w:val="000C7992"/>
    <w:rsid w:val="000D00D5"/>
    <w:rsid w:val="000D0A89"/>
    <w:rsid w:val="000D0CCE"/>
    <w:rsid w:val="000D1BEF"/>
    <w:rsid w:val="000D1E8B"/>
    <w:rsid w:val="000D270C"/>
    <w:rsid w:val="000D3375"/>
    <w:rsid w:val="000D3BD8"/>
    <w:rsid w:val="000D3CA8"/>
    <w:rsid w:val="000D3DBC"/>
    <w:rsid w:val="000D3E83"/>
    <w:rsid w:val="000D4194"/>
    <w:rsid w:val="000D4E06"/>
    <w:rsid w:val="000D51BB"/>
    <w:rsid w:val="000D5879"/>
    <w:rsid w:val="000D73FD"/>
    <w:rsid w:val="000E0758"/>
    <w:rsid w:val="000E0C03"/>
    <w:rsid w:val="000E1631"/>
    <w:rsid w:val="000E1EB6"/>
    <w:rsid w:val="000E1F01"/>
    <w:rsid w:val="000E2330"/>
    <w:rsid w:val="000E2A99"/>
    <w:rsid w:val="000E4833"/>
    <w:rsid w:val="000E5B07"/>
    <w:rsid w:val="000E5BED"/>
    <w:rsid w:val="000E63B3"/>
    <w:rsid w:val="000E67CC"/>
    <w:rsid w:val="000F00C6"/>
    <w:rsid w:val="000F03BE"/>
    <w:rsid w:val="000F1174"/>
    <w:rsid w:val="000F200A"/>
    <w:rsid w:val="000F2A44"/>
    <w:rsid w:val="000F2E02"/>
    <w:rsid w:val="000F41DC"/>
    <w:rsid w:val="000F79F2"/>
    <w:rsid w:val="000F7AE1"/>
    <w:rsid w:val="00102946"/>
    <w:rsid w:val="001029B5"/>
    <w:rsid w:val="00104A23"/>
    <w:rsid w:val="00104D7B"/>
    <w:rsid w:val="00104E7B"/>
    <w:rsid w:val="001056B0"/>
    <w:rsid w:val="00106261"/>
    <w:rsid w:val="00106CA0"/>
    <w:rsid w:val="00111AC6"/>
    <w:rsid w:val="00111C03"/>
    <w:rsid w:val="001127C2"/>
    <w:rsid w:val="00112C9C"/>
    <w:rsid w:val="001136F2"/>
    <w:rsid w:val="001140A1"/>
    <w:rsid w:val="0011453D"/>
    <w:rsid w:val="001157FF"/>
    <w:rsid w:val="00115C70"/>
    <w:rsid w:val="00117042"/>
    <w:rsid w:val="0012000F"/>
    <w:rsid w:val="00120031"/>
    <w:rsid w:val="001204E0"/>
    <w:rsid w:val="0012571C"/>
    <w:rsid w:val="00131164"/>
    <w:rsid w:val="0013190C"/>
    <w:rsid w:val="00131EB3"/>
    <w:rsid w:val="00132367"/>
    <w:rsid w:val="0013276A"/>
    <w:rsid w:val="0013300D"/>
    <w:rsid w:val="001331D8"/>
    <w:rsid w:val="0013637D"/>
    <w:rsid w:val="00136E52"/>
    <w:rsid w:val="001411A8"/>
    <w:rsid w:val="001433CF"/>
    <w:rsid w:val="0014548E"/>
    <w:rsid w:val="00150C59"/>
    <w:rsid w:val="001512EB"/>
    <w:rsid w:val="00152126"/>
    <w:rsid w:val="00152408"/>
    <w:rsid w:val="00152CF7"/>
    <w:rsid w:val="00155680"/>
    <w:rsid w:val="00155885"/>
    <w:rsid w:val="0015627F"/>
    <w:rsid w:val="0015639E"/>
    <w:rsid w:val="00157136"/>
    <w:rsid w:val="00157DAD"/>
    <w:rsid w:val="001601E1"/>
    <w:rsid w:val="001608DD"/>
    <w:rsid w:val="00160CB6"/>
    <w:rsid w:val="001619B3"/>
    <w:rsid w:val="00162AB9"/>
    <w:rsid w:val="001663C1"/>
    <w:rsid w:val="00171130"/>
    <w:rsid w:val="001749E9"/>
    <w:rsid w:val="001749EA"/>
    <w:rsid w:val="00175FF0"/>
    <w:rsid w:val="001760F8"/>
    <w:rsid w:val="00180135"/>
    <w:rsid w:val="001807AC"/>
    <w:rsid w:val="0018080D"/>
    <w:rsid w:val="00180B6C"/>
    <w:rsid w:val="00183E56"/>
    <w:rsid w:val="00184A25"/>
    <w:rsid w:val="00185BE6"/>
    <w:rsid w:val="00186C73"/>
    <w:rsid w:val="00187CA6"/>
    <w:rsid w:val="00190584"/>
    <w:rsid w:val="00190A51"/>
    <w:rsid w:val="001916F1"/>
    <w:rsid w:val="00191C4B"/>
    <w:rsid w:val="001930F4"/>
    <w:rsid w:val="00194ECF"/>
    <w:rsid w:val="001961BA"/>
    <w:rsid w:val="001963C7"/>
    <w:rsid w:val="00196943"/>
    <w:rsid w:val="00196E8A"/>
    <w:rsid w:val="001A3799"/>
    <w:rsid w:val="001A385B"/>
    <w:rsid w:val="001A3D66"/>
    <w:rsid w:val="001A45C5"/>
    <w:rsid w:val="001A5907"/>
    <w:rsid w:val="001A6FF0"/>
    <w:rsid w:val="001A7535"/>
    <w:rsid w:val="001A78E7"/>
    <w:rsid w:val="001B024B"/>
    <w:rsid w:val="001B31E0"/>
    <w:rsid w:val="001B333B"/>
    <w:rsid w:val="001B4756"/>
    <w:rsid w:val="001B4BD3"/>
    <w:rsid w:val="001B52C5"/>
    <w:rsid w:val="001B598A"/>
    <w:rsid w:val="001B6161"/>
    <w:rsid w:val="001B6DF8"/>
    <w:rsid w:val="001B7633"/>
    <w:rsid w:val="001B7C02"/>
    <w:rsid w:val="001C01C4"/>
    <w:rsid w:val="001C1990"/>
    <w:rsid w:val="001C2AE0"/>
    <w:rsid w:val="001C2C06"/>
    <w:rsid w:val="001C2E1A"/>
    <w:rsid w:val="001C2F33"/>
    <w:rsid w:val="001C531A"/>
    <w:rsid w:val="001C585A"/>
    <w:rsid w:val="001C5F4C"/>
    <w:rsid w:val="001C70F2"/>
    <w:rsid w:val="001D0E96"/>
    <w:rsid w:val="001D15FA"/>
    <w:rsid w:val="001D1BEF"/>
    <w:rsid w:val="001D3D2D"/>
    <w:rsid w:val="001D6C3A"/>
    <w:rsid w:val="001E01DD"/>
    <w:rsid w:val="001E0DAD"/>
    <w:rsid w:val="001E0ED4"/>
    <w:rsid w:val="001E14EA"/>
    <w:rsid w:val="001E23F2"/>
    <w:rsid w:val="001E2F45"/>
    <w:rsid w:val="001E31F8"/>
    <w:rsid w:val="001E3FCE"/>
    <w:rsid w:val="001E4776"/>
    <w:rsid w:val="001E550F"/>
    <w:rsid w:val="001F020B"/>
    <w:rsid w:val="001F02A5"/>
    <w:rsid w:val="001F2692"/>
    <w:rsid w:val="001F32E4"/>
    <w:rsid w:val="001F3957"/>
    <w:rsid w:val="001F4D21"/>
    <w:rsid w:val="001F6A15"/>
    <w:rsid w:val="001F7336"/>
    <w:rsid w:val="002001BC"/>
    <w:rsid w:val="002004C0"/>
    <w:rsid w:val="00200E8E"/>
    <w:rsid w:val="002012BC"/>
    <w:rsid w:val="002033CF"/>
    <w:rsid w:val="00203D55"/>
    <w:rsid w:val="00204712"/>
    <w:rsid w:val="00204AFB"/>
    <w:rsid w:val="00205048"/>
    <w:rsid w:val="0020630C"/>
    <w:rsid w:val="00206B06"/>
    <w:rsid w:val="00210A6D"/>
    <w:rsid w:val="00211B35"/>
    <w:rsid w:val="00212194"/>
    <w:rsid w:val="002122A4"/>
    <w:rsid w:val="00213BB2"/>
    <w:rsid w:val="00214014"/>
    <w:rsid w:val="0021426B"/>
    <w:rsid w:val="00214F3B"/>
    <w:rsid w:val="00215167"/>
    <w:rsid w:val="00215261"/>
    <w:rsid w:val="0021582A"/>
    <w:rsid w:val="00216455"/>
    <w:rsid w:val="00216784"/>
    <w:rsid w:val="00216AF8"/>
    <w:rsid w:val="002172A3"/>
    <w:rsid w:val="002202C1"/>
    <w:rsid w:val="0022043B"/>
    <w:rsid w:val="0022120F"/>
    <w:rsid w:val="00221406"/>
    <w:rsid w:val="002214C3"/>
    <w:rsid w:val="00221609"/>
    <w:rsid w:val="00221DE0"/>
    <w:rsid w:val="00222725"/>
    <w:rsid w:val="00223C33"/>
    <w:rsid w:val="0022501A"/>
    <w:rsid w:val="00225680"/>
    <w:rsid w:val="00225B70"/>
    <w:rsid w:val="0022638E"/>
    <w:rsid w:val="002266AF"/>
    <w:rsid w:val="00226F31"/>
    <w:rsid w:val="00227079"/>
    <w:rsid w:val="002272CC"/>
    <w:rsid w:val="0022764B"/>
    <w:rsid w:val="002310E4"/>
    <w:rsid w:val="00231165"/>
    <w:rsid w:val="002321B2"/>
    <w:rsid w:val="00232532"/>
    <w:rsid w:val="002331D8"/>
    <w:rsid w:val="0023367C"/>
    <w:rsid w:val="0023556C"/>
    <w:rsid w:val="00235917"/>
    <w:rsid w:val="0023594C"/>
    <w:rsid w:val="0023766E"/>
    <w:rsid w:val="00240313"/>
    <w:rsid w:val="00244319"/>
    <w:rsid w:val="002450E8"/>
    <w:rsid w:val="00245739"/>
    <w:rsid w:val="0024712C"/>
    <w:rsid w:val="0024757D"/>
    <w:rsid w:val="00250561"/>
    <w:rsid w:val="0025074F"/>
    <w:rsid w:val="00250FF3"/>
    <w:rsid w:val="00251D1B"/>
    <w:rsid w:val="00251DDD"/>
    <w:rsid w:val="00254D47"/>
    <w:rsid w:val="00255D0F"/>
    <w:rsid w:val="0025717D"/>
    <w:rsid w:val="00257251"/>
    <w:rsid w:val="00260090"/>
    <w:rsid w:val="00260141"/>
    <w:rsid w:val="00260679"/>
    <w:rsid w:val="00261255"/>
    <w:rsid w:val="002615FC"/>
    <w:rsid w:val="00262313"/>
    <w:rsid w:val="0026292E"/>
    <w:rsid w:val="00266055"/>
    <w:rsid w:val="0026746C"/>
    <w:rsid w:val="002705BE"/>
    <w:rsid w:val="00270CF7"/>
    <w:rsid w:val="00270F20"/>
    <w:rsid w:val="00272EC3"/>
    <w:rsid w:val="00273015"/>
    <w:rsid w:val="0027308B"/>
    <w:rsid w:val="0027337F"/>
    <w:rsid w:val="00274258"/>
    <w:rsid w:val="0027449C"/>
    <w:rsid w:val="00274F22"/>
    <w:rsid w:val="002754FB"/>
    <w:rsid w:val="00275E3B"/>
    <w:rsid w:val="00276170"/>
    <w:rsid w:val="00276513"/>
    <w:rsid w:val="002800F9"/>
    <w:rsid w:val="00282B66"/>
    <w:rsid w:val="00284071"/>
    <w:rsid w:val="00284585"/>
    <w:rsid w:val="00284A51"/>
    <w:rsid w:val="0028553D"/>
    <w:rsid w:val="0028590F"/>
    <w:rsid w:val="0028632D"/>
    <w:rsid w:val="002864B8"/>
    <w:rsid w:val="002867E2"/>
    <w:rsid w:val="0029034A"/>
    <w:rsid w:val="00290975"/>
    <w:rsid w:val="00293D33"/>
    <w:rsid w:val="0029485F"/>
    <w:rsid w:val="0029609E"/>
    <w:rsid w:val="00297229"/>
    <w:rsid w:val="002A0977"/>
    <w:rsid w:val="002A0E86"/>
    <w:rsid w:val="002A5215"/>
    <w:rsid w:val="002A62CD"/>
    <w:rsid w:val="002A6348"/>
    <w:rsid w:val="002A673A"/>
    <w:rsid w:val="002A6D52"/>
    <w:rsid w:val="002A7816"/>
    <w:rsid w:val="002B0D8A"/>
    <w:rsid w:val="002B4339"/>
    <w:rsid w:val="002B5C0A"/>
    <w:rsid w:val="002B650F"/>
    <w:rsid w:val="002B73C5"/>
    <w:rsid w:val="002B7CC9"/>
    <w:rsid w:val="002C07F3"/>
    <w:rsid w:val="002C2BFF"/>
    <w:rsid w:val="002C2C79"/>
    <w:rsid w:val="002C2D68"/>
    <w:rsid w:val="002C30B4"/>
    <w:rsid w:val="002C3195"/>
    <w:rsid w:val="002C3490"/>
    <w:rsid w:val="002C4048"/>
    <w:rsid w:val="002C4195"/>
    <w:rsid w:val="002C49C2"/>
    <w:rsid w:val="002C4CA1"/>
    <w:rsid w:val="002C5920"/>
    <w:rsid w:val="002C5F4F"/>
    <w:rsid w:val="002C60A9"/>
    <w:rsid w:val="002C7739"/>
    <w:rsid w:val="002D0334"/>
    <w:rsid w:val="002D1096"/>
    <w:rsid w:val="002D1656"/>
    <w:rsid w:val="002D30D0"/>
    <w:rsid w:val="002D3A29"/>
    <w:rsid w:val="002D3DE7"/>
    <w:rsid w:val="002D40B4"/>
    <w:rsid w:val="002D4599"/>
    <w:rsid w:val="002D501A"/>
    <w:rsid w:val="002D5406"/>
    <w:rsid w:val="002D6047"/>
    <w:rsid w:val="002D6367"/>
    <w:rsid w:val="002D6ED5"/>
    <w:rsid w:val="002E0380"/>
    <w:rsid w:val="002E3DB0"/>
    <w:rsid w:val="002E4582"/>
    <w:rsid w:val="002E608E"/>
    <w:rsid w:val="002E6D2B"/>
    <w:rsid w:val="002E767C"/>
    <w:rsid w:val="002E7AFC"/>
    <w:rsid w:val="002E7CFC"/>
    <w:rsid w:val="002E7E1D"/>
    <w:rsid w:val="002F0B10"/>
    <w:rsid w:val="002F208F"/>
    <w:rsid w:val="002F22D6"/>
    <w:rsid w:val="002F46AD"/>
    <w:rsid w:val="002F4F9C"/>
    <w:rsid w:val="002F6AA7"/>
    <w:rsid w:val="002F6D21"/>
    <w:rsid w:val="002F6FCC"/>
    <w:rsid w:val="0030184C"/>
    <w:rsid w:val="003034C4"/>
    <w:rsid w:val="00303B30"/>
    <w:rsid w:val="003070E6"/>
    <w:rsid w:val="00307B9E"/>
    <w:rsid w:val="00311A46"/>
    <w:rsid w:val="00312FB3"/>
    <w:rsid w:val="003146C2"/>
    <w:rsid w:val="00314A13"/>
    <w:rsid w:val="00314F8A"/>
    <w:rsid w:val="00315A4D"/>
    <w:rsid w:val="003163D4"/>
    <w:rsid w:val="00316663"/>
    <w:rsid w:val="00316CBA"/>
    <w:rsid w:val="00320024"/>
    <w:rsid w:val="003207AE"/>
    <w:rsid w:val="0032270C"/>
    <w:rsid w:val="003235A5"/>
    <w:rsid w:val="00323E19"/>
    <w:rsid w:val="0032517A"/>
    <w:rsid w:val="00325482"/>
    <w:rsid w:val="00326214"/>
    <w:rsid w:val="003262E3"/>
    <w:rsid w:val="0032659B"/>
    <w:rsid w:val="00326C39"/>
    <w:rsid w:val="00326F34"/>
    <w:rsid w:val="00327B44"/>
    <w:rsid w:val="00330637"/>
    <w:rsid w:val="00331439"/>
    <w:rsid w:val="003314C8"/>
    <w:rsid w:val="0033382F"/>
    <w:rsid w:val="003339BF"/>
    <w:rsid w:val="0033557B"/>
    <w:rsid w:val="00340021"/>
    <w:rsid w:val="00340753"/>
    <w:rsid w:val="00340EF0"/>
    <w:rsid w:val="0034120C"/>
    <w:rsid w:val="00341BA6"/>
    <w:rsid w:val="0034220C"/>
    <w:rsid w:val="0034299D"/>
    <w:rsid w:val="00342C20"/>
    <w:rsid w:val="003446A7"/>
    <w:rsid w:val="00344AB4"/>
    <w:rsid w:val="003450C9"/>
    <w:rsid w:val="0034565D"/>
    <w:rsid w:val="003462B2"/>
    <w:rsid w:val="003471ED"/>
    <w:rsid w:val="00347CE9"/>
    <w:rsid w:val="00351958"/>
    <w:rsid w:val="0035270E"/>
    <w:rsid w:val="0035302D"/>
    <w:rsid w:val="00353D48"/>
    <w:rsid w:val="00353D4B"/>
    <w:rsid w:val="00353FD0"/>
    <w:rsid w:val="0035446D"/>
    <w:rsid w:val="00357213"/>
    <w:rsid w:val="00360259"/>
    <w:rsid w:val="00360275"/>
    <w:rsid w:val="003618C1"/>
    <w:rsid w:val="00361B16"/>
    <w:rsid w:val="00361F22"/>
    <w:rsid w:val="00362B52"/>
    <w:rsid w:val="00362B6B"/>
    <w:rsid w:val="003640AC"/>
    <w:rsid w:val="00364900"/>
    <w:rsid w:val="00367043"/>
    <w:rsid w:val="00367868"/>
    <w:rsid w:val="00367E68"/>
    <w:rsid w:val="003702DB"/>
    <w:rsid w:val="003726C9"/>
    <w:rsid w:val="00373F8D"/>
    <w:rsid w:val="00374437"/>
    <w:rsid w:val="00374661"/>
    <w:rsid w:val="00374AFA"/>
    <w:rsid w:val="00375F2E"/>
    <w:rsid w:val="0037623E"/>
    <w:rsid w:val="0037688E"/>
    <w:rsid w:val="00376CC4"/>
    <w:rsid w:val="00377A30"/>
    <w:rsid w:val="00380F76"/>
    <w:rsid w:val="00381601"/>
    <w:rsid w:val="003827C0"/>
    <w:rsid w:val="00382D2E"/>
    <w:rsid w:val="003831B5"/>
    <w:rsid w:val="003833E2"/>
    <w:rsid w:val="003857B1"/>
    <w:rsid w:val="0038631D"/>
    <w:rsid w:val="00386BBA"/>
    <w:rsid w:val="00387D85"/>
    <w:rsid w:val="00391146"/>
    <w:rsid w:val="0039180D"/>
    <w:rsid w:val="003938CA"/>
    <w:rsid w:val="00393B51"/>
    <w:rsid w:val="003940A9"/>
    <w:rsid w:val="003945FE"/>
    <w:rsid w:val="00394AE3"/>
    <w:rsid w:val="00395629"/>
    <w:rsid w:val="00396529"/>
    <w:rsid w:val="00397632"/>
    <w:rsid w:val="00397A22"/>
    <w:rsid w:val="003A11D5"/>
    <w:rsid w:val="003A35DE"/>
    <w:rsid w:val="003A368B"/>
    <w:rsid w:val="003A3F1A"/>
    <w:rsid w:val="003A55E2"/>
    <w:rsid w:val="003A5CBD"/>
    <w:rsid w:val="003A65FE"/>
    <w:rsid w:val="003A6EB4"/>
    <w:rsid w:val="003B296C"/>
    <w:rsid w:val="003B5979"/>
    <w:rsid w:val="003B5E24"/>
    <w:rsid w:val="003B6222"/>
    <w:rsid w:val="003C1488"/>
    <w:rsid w:val="003C2EF0"/>
    <w:rsid w:val="003C39A1"/>
    <w:rsid w:val="003C4C6A"/>
    <w:rsid w:val="003C542B"/>
    <w:rsid w:val="003C6088"/>
    <w:rsid w:val="003C6925"/>
    <w:rsid w:val="003C6A7D"/>
    <w:rsid w:val="003C704B"/>
    <w:rsid w:val="003C7C88"/>
    <w:rsid w:val="003D1D29"/>
    <w:rsid w:val="003D1E74"/>
    <w:rsid w:val="003D38BD"/>
    <w:rsid w:val="003D3F8F"/>
    <w:rsid w:val="003D44ED"/>
    <w:rsid w:val="003D5BE8"/>
    <w:rsid w:val="003D7B96"/>
    <w:rsid w:val="003E0C22"/>
    <w:rsid w:val="003E25C9"/>
    <w:rsid w:val="003E3291"/>
    <w:rsid w:val="003E3769"/>
    <w:rsid w:val="003E4A05"/>
    <w:rsid w:val="003E62A6"/>
    <w:rsid w:val="003E6BD1"/>
    <w:rsid w:val="003E76F5"/>
    <w:rsid w:val="003F00F1"/>
    <w:rsid w:val="003F08DD"/>
    <w:rsid w:val="003F095C"/>
    <w:rsid w:val="003F135A"/>
    <w:rsid w:val="003F32EA"/>
    <w:rsid w:val="003F3578"/>
    <w:rsid w:val="003F361B"/>
    <w:rsid w:val="003F3B43"/>
    <w:rsid w:val="003F47CC"/>
    <w:rsid w:val="003F6EA7"/>
    <w:rsid w:val="00401095"/>
    <w:rsid w:val="00401627"/>
    <w:rsid w:val="00401A1A"/>
    <w:rsid w:val="00403741"/>
    <w:rsid w:val="00404445"/>
    <w:rsid w:val="00404C20"/>
    <w:rsid w:val="00405C98"/>
    <w:rsid w:val="00407E08"/>
    <w:rsid w:val="00407ED7"/>
    <w:rsid w:val="00410A0F"/>
    <w:rsid w:val="00410FAF"/>
    <w:rsid w:val="004114AA"/>
    <w:rsid w:val="0041237D"/>
    <w:rsid w:val="00412CBD"/>
    <w:rsid w:val="00412CD1"/>
    <w:rsid w:val="00413F4C"/>
    <w:rsid w:val="00415698"/>
    <w:rsid w:val="004156B5"/>
    <w:rsid w:val="00415CB5"/>
    <w:rsid w:val="00415CD0"/>
    <w:rsid w:val="00417BE9"/>
    <w:rsid w:val="00420F8D"/>
    <w:rsid w:val="004214B5"/>
    <w:rsid w:val="004225B5"/>
    <w:rsid w:val="0042297C"/>
    <w:rsid w:val="00422B8C"/>
    <w:rsid w:val="00423F7F"/>
    <w:rsid w:val="004250BA"/>
    <w:rsid w:val="004256E8"/>
    <w:rsid w:val="00425B57"/>
    <w:rsid w:val="004267A0"/>
    <w:rsid w:val="00426EEF"/>
    <w:rsid w:val="00427047"/>
    <w:rsid w:val="00430924"/>
    <w:rsid w:val="0043115C"/>
    <w:rsid w:val="00431C25"/>
    <w:rsid w:val="00431CF0"/>
    <w:rsid w:val="0043214E"/>
    <w:rsid w:val="00433D02"/>
    <w:rsid w:val="00434060"/>
    <w:rsid w:val="00437762"/>
    <w:rsid w:val="00437C7D"/>
    <w:rsid w:val="00440432"/>
    <w:rsid w:val="00440709"/>
    <w:rsid w:val="004409B0"/>
    <w:rsid w:val="004410F2"/>
    <w:rsid w:val="0044176C"/>
    <w:rsid w:val="004426D3"/>
    <w:rsid w:val="004432C4"/>
    <w:rsid w:val="00444BDC"/>
    <w:rsid w:val="00444E81"/>
    <w:rsid w:val="00445C3B"/>
    <w:rsid w:val="004461E1"/>
    <w:rsid w:val="0044624A"/>
    <w:rsid w:val="004466ED"/>
    <w:rsid w:val="00450063"/>
    <w:rsid w:val="00451372"/>
    <w:rsid w:val="00451A69"/>
    <w:rsid w:val="00451D14"/>
    <w:rsid w:val="00453177"/>
    <w:rsid w:val="0045398A"/>
    <w:rsid w:val="004548E3"/>
    <w:rsid w:val="00454CAC"/>
    <w:rsid w:val="00454FEF"/>
    <w:rsid w:val="00455983"/>
    <w:rsid w:val="00455FB6"/>
    <w:rsid w:val="00456AB9"/>
    <w:rsid w:val="00456B40"/>
    <w:rsid w:val="00457A35"/>
    <w:rsid w:val="00463AE4"/>
    <w:rsid w:val="00466865"/>
    <w:rsid w:val="0047000B"/>
    <w:rsid w:val="00470411"/>
    <w:rsid w:val="00470989"/>
    <w:rsid w:val="0047269E"/>
    <w:rsid w:val="00472A6B"/>
    <w:rsid w:val="004730CD"/>
    <w:rsid w:val="004753EA"/>
    <w:rsid w:val="004756E5"/>
    <w:rsid w:val="00477067"/>
    <w:rsid w:val="0047747E"/>
    <w:rsid w:val="0047764D"/>
    <w:rsid w:val="00481C9A"/>
    <w:rsid w:val="00482362"/>
    <w:rsid w:val="004837DF"/>
    <w:rsid w:val="00483A8C"/>
    <w:rsid w:val="00483AF6"/>
    <w:rsid w:val="004845BA"/>
    <w:rsid w:val="00485E36"/>
    <w:rsid w:val="00486130"/>
    <w:rsid w:val="00487EA8"/>
    <w:rsid w:val="00491467"/>
    <w:rsid w:val="00491686"/>
    <w:rsid w:val="00492C3D"/>
    <w:rsid w:val="004935E2"/>
    <w:rsid w:val="004935F5"/>
    <w:rsid w:val="00493D52"/>
    <w:rsid w:val="00494311"/>
    <w:rsid w:val="00495508"/>
    <w:rsid w:val="00496347"/>
    <w:rsid w:val="0049757D"/>
    <w:rsid w:val="004A0749"/>
    <w:rsid w:val="004A074A"/>
    <w:rsid w:val="004A081C"/>
    <w:rsid w:val="004A08C4"/>
    <w:rsid w:val="004A0C79"/>
    <w:rsid w:val="004A193D"/>
    <w:rsid w:val="004A29C6"/>
    <w:rsid w:val="004A339A"/>
    <w:rsid w:val="004A33C5"/>
    <w:rsid w:val="004A3408"/>
    <w:rsid w:val="004A3427"/>
    <w:rsid w:val="004A35EC"/>
    <w:rsid w:val="004A3D67"/>
    <w:rsid w:val="004A5FE4"/>
    <w:rsid w:val="004A63AD"/>
    <w:rsid w:val="004A672E"/>
    <w:rsid w:val="004A6CD4"/>
    <w:rsid w:val="004A763F"/>
    <w:rsid w:val="004A7686"/>
    <w:rsid w:val="004B1146"/>
    <w:rsid w:val="004B1B25"/>
    <w:rsid w:val="004B3872"/>
    <w:rsid w:val="004B50D5"/>
    <w:rsid w:val="004B5BDD"/>
    <w:rsid w:val="004B76FA"/>
    <w:rsid w:val="004C024F"/>
    <w:rsid w:val="004C08D1"/>
    <w:rsid w:val="004C09A2"/>
    <w:rsid w:val="004C2CFD"/>
    <w:rsid w:val="004C30F4"/>
    <w:rsid w:val="004C34B1"/>
    <w:rsid w:val="004C490A"/>
    <w:rsid w:val="004C4F9B"/>
    <w:rsid w:val="004C7813"/>
    <w:rsid w:val="004D0473"/>
    <w:rsid w:val="004D07AC"/>
    <w:rsid w:val="004D1437"/>
    <w:rsid w:val="004D1876"/>
    <w:rsid w:val="004D3047"/>
    <w:rsid w:val="004D3105"/>
    <w:rsid w:val="004D352E"/>
    <w:rsid w:val="004D39A3"/>
    <w:rsid w:val="004D4F09"/>
    <w:rsid w:val="004D5556"/>
    <w:rsid w:val="004D5FBE"/>
    <w:rsid w:val="004D688A"/>
    <w:rsid w:val="004D7812"/>
    <w:rsid w:val="004D7E27"/>
    <w:rsid w:val="004E180E"/>
    <w:rsid w:val="004E1853"/>
    <w:rsid w:val="004E2801"/>
    <w:rsid w:val="004E3AAC"/>
    <w:rsid w:val="004E3F53"/>
    <w:rsid w:val="004E443A"/>
    <w:rsid w:val="004E49CF"/>
    <w:rsid w:val="004E7946"/>
    <w:rsid w:val="004F00CE"/>
    <w:rsid w:val="004F054E"/>
    <w:rsid w:val="004F14AA"/>
    <w:rsid w:val="004F28FF"/>
    <w:rsid w:val="004F2BE6"/>
    <w:rsid w:val="004F49C9"/>
    <w:rsid w:val="004F5EEB"/>
    <w:rsid w:val="004F6AAA"/>
    <w:rsid w:val="004F773C"/>
    <w:rsid w:val="004F7EA8"/>
    <w:rsid w:val="00500A89"/>
    <w:rsid w:val="00501FF8"/>
    <w:rsid w:val="0050272E"/>
    <w:rsid w:val="00504332"/>
    <w:rsid w:val="00504E3A"/>
    <w:rsid w:val="00507566"/>
    <w:rsid w:val="005101D0"/>
    <w:rsid w:val="00510C68"/>
    <w:rsid w:val="00511A73"/>
    <w:rsid w:val="0051205B"/>
    <w:rsid w:val="0051264D"/>
    <w:rsid w:val="00512C76"/>
    <w:rsid w:val="00512DE6"/>
    <w:rsid w:val="00513715"/>
    <w:rsid w:val="00513791"/>
    <w:rsid w:val="00513BF2"/>
    <w:rsid w:val="00513EE1"/>
    <w:rsid w:val="0051455D"/>
    <w:rsid w:val="005163A0"/>
    <w:rsid w:val="005167B7"/>
    <w:rsid w:val="00520BD0"/>
    <w:rsid w:val="00520EB6"/>
    <w:rsid w:val="00521558"/>
    <w:rsid w:val="00521C5E"/>
    <w:rsid w:val="00521FA8"/>
    <w:rsid w:val="00521FF6"/>
    <w:rsid w:val="00523056"/>
    <w:rsid w:val="0052346E"/>
    <w:rsid w:val="005235A4"/>
    <w:rsid w:val="00524F55"/>
    <w:rsid w:val="00525BDD"/>
    <w:rsid w:val="0052684A"/>
    <w:rsid w:val="00526FB9"/>
    <w:rsid w:val="005272BF"/>
    <w:rsid w:val="00527687"/>
    <w:rsid w:val="005309B4"/>
    <w:rsid w:val="005312BB"/>
    <w:rsid w:val="00532778"/>
    <w:rsid w:val="00532B2C"/>
    <w:rsid w:val="00533812"/>
    <w:rsid w:val="00534342"/>
    <w:rsid w:val="00534722"/>
    <w:rsid w:val="00535AFE"/>
    <w:rsid w:val="00535F25"/>
    <w:rsid w:val="00536684"/>
    <w:rsid w:val="00536B9E"/>
    <w:rsid w:val="00536EDE"/>
    <w:rsid w:val="00536FC0"/>
    <w:rsid w:val="00537646"/>
    <w:rsid w:val="005432E2"/>
    <w:rsid w:val="0054336E"/>
    <w:rsid w:val="00543F20"/>
    <w:rsid w:val="005445EF"/>
    <w:rsid w:val="00545D29"/>
    <w:rsid w:val="0054671E"/>
    <w:rsid w:val="00546ADF"/>
    <w:rsid w:val="00546C74"/>
    <w:rsid w:val="00547404"/>
    <w:rsid w:val="005474F2"/>
    <w:rsid w:val="00551A9F"/>
    <w:rsid w:val="00551FAE"/>
    <w:rsid w:val="005520FF"/>
    <w:rsid w:val="00553EF5"/>
    <w:rsid w:val="00555788"/>
    <w:rsid w:val="00556AAA"/>
    <w:rsid w:val="005574A3"/>
    <w:rsid w:val="005577EC"/>
    <w:rsid w:val="005579A1"/>
    <w:rsid w:val="00557B69"/>
    <w:rsid w:val="005608EF"/>
    <w:rsid w:val="00562FE2"/>
    <w:rsid w:val="00563D15"/>
    <w:rsid w:val="00564533"/>
    <w:rsid w:val="00566FF8"/>
    <w:rsid w:val="005676EC"/>
    <w:rsid w:val="0056771B"/>
    <w:rsid w:val="00567FD0"/>
    <w:rsid w:val="005719F3"/>
    <w:rsid w:val="00571C2F"/>
    <w:rsid w:val="00572072"/>
    <w:rsid w:val="00572649"/>
    <w:rsid w:val="005758C3"/>
    <w:rsid w:val="00576E0E"/>
    <w:rsid w:val="005774DA"/>
    <w:rsid w:val="00577BFD"/>
    <w:rsid w:val="00580329"/>
    <w:rsid w:val="00583887"/>
    <w:rsid w:val="00583E2C"/>
    <w:rsid w:val="00584144"/>
    <w:rsid w:val="005844A7"/>
    <w:rsid w:val="00584C25"/>
    <w:rsid w:val="0058506B"/>
    <w:rsid w:val="0058575C"/>
    <w:rsid w:val="00585FD8"/>
    <w:rsid w:val="00586296"/>
    <w:rsid w:val="0059061B"/>
    <w:rsid w:val="005907E4"/>
    <w:rsid w:val="00591922"/>
    <w:rsid w:val="00591C01"/>
    <w:rsid w:val="005955B8"/>
    <w:rsid w:val="00595BD6"/>
    <w:rsid w:val="005969CE"/>
    <w:rsid w:val="00596EB2"/>
    <w:rsid w:val="00597102"/>
    <w:rsid w:val="00597843"/>
    <w:rsid w:val="005979E9"/>
    <w:rsid w:val="00597A7A"/>
    <w:rsid w:val="005A102D"/>
    <w:rsid w:val="005A182D"/>
    <w:rsid w:val="005A1858"/>
    <w:rsid w:val="005A1DC0"/>
    <w:rsid w:val="005A2A66"/>
    <w:rsid w:val="005A422B"/>
    <w:rsid w:val="005A452F"/>
    <w:rsid w:val="005A4EA4"/>
    <w:rsid w:val="005A76B0"/>
    <w:rsid w:val="005B067A"/>
    <w:rsid w:val="005B26C5"/>
    <w:rsid w:val="005B3B45"/>
    <w:rsid w:val="005B6616"/>
    <w:rsid w:val="005B67AE"/>
    <w:rsid w:val="005B7C00"/>
    <w:rsid w:val="005B7F47"/>
    <w:rsid w:val="005C020F"/>
    <w:rsid w:val="005C0785"/>
    <w:rsid w:val="005C0E52"/>
    <w:rsid w:val="005C1351"/>
    <w:rsid w:val="005C1C87"/>
    <w:rsid w:val="005C2002"/>
    <w:rsid w:val="005C25DD"/>
    <w:rsid w:val="005C34B9"/>
    <w:rsid w:val="005C35FC"/>
    <w:rsid w:val="005C3A36"/>
    <w:rsid w:val="005C6DB7"/>
    <w:rsid w:val="005C75FA"/>
    <w:rsid w:val="005D09F3"/>
    <w:rsid w:val="005D2086"/>
    <w:rsid w:val="005D2694"/>
    <w:rsid w:val="005D2A4D"/>
    <w:rsid w:val="005D2A91"/>
    <w:rsid w:val="005D2B8F"/>
    <w:rsid w:val="005D32EA"/>
    <w:rsid w:val="005D3740"/>
    <w:rsid w:val="005D46E1"/>
    <w:rsid w:val="005D4DE6"/>
    <w:rsid w:val="005D547F"/>
    <w:rsid w:val="005D5639"/>
    <w:rsid w:val="005D5F44"/>
    <w:rsid w:val="005D6F33"/>
    <w:rsid w:val="005E250B"/>
    <w:rsid w:val="005E2D9D"/>
    <w:rsid w:val="005E30E2"/>
    <w:rsid w:val="005E3BE9"/>
    <w:rsid w:val="005E4B63"/>
    <w:rsid w:val="005E60BB"/>
    <w:rsid w:val="005E7161"/>
    <w:rsid w:val="005F05EE"/>
    <w:rsid w:val="005F0EA0"/>
    <w:rsid w:val="005F0F42"/>
    <w:rsid w:val="005F1237"/>
    <w:rsid w:val="005F17BB"/>
    <w:rsid w:val="005F22D0"/>
    <w:rsid w:val="005F27D0"/>
    <w:rsid w:val="005F357E"/>
    <w:rsid w:val="005F3F1A"/>
    <w:rsid w:val="005F51B4"/>
    <w:rsid w:val="005F5253"/>
    <w:rsid w:val="005F55D0"/>
    <w:rsid w:val="005F5636"/>
    <w:rsid w:val="005F6215"/>
    <w:rsid w:val="005F6F6C"/>
    <w:rsid w:val="005F7B25"/>
    <w:rsid w:val="006003FA"/>
    <w:rsid w:val="00600451"/>
    <w:rsid w:val="006016E9"/>
    <w:rsid w:val="006034DD"/>
    <w:rsid w:val="00603938"/>
    <w:rsid w:val="006057B7"/>
    <w:rsid w:val="006061EE"/>
    <w:rsid w:val="00610BBA"/>
    <w:rsid w:val="006122BB"/>
    <w:rsid w:val="006127E7"/>
    <w:rsid w:val="0061389F"/>
    <w:rsid w:val="00613CE4"/>
    <w:rsid w:val="00616792"/>
    <w:rsid w:val="00617CB5"/>
    <w:rsid w:val="00617E39"/>
    <w:rsid w:val="006212FF"/>
    <w:rsid w:val="006216C7"/>
    <w:rsid w:val="00623960"/>
    <w:rsid w:val="006239D2"/>
    <w:rsid w:val="0062434B"/>
    <w:rsid w:val="0062472F"/>
    <w:rsid w:val="00625664"/>
    <w:rsid w:val="00626086"/>
    <w:rsid w:val="006277E7"/>
    <w:rsid w:val="00627BB3"/>
    <w:rsid w:val="00630160"/>
    <w:rsid w:val="00631638"/>
    <w:rsid w:val="0063192E"/>
    <w:rsid w:val="00633F6D"/>
    <w:rsid w:val="006343E9"/>
    <w:rsid w:val="0063463C"/>
    <w:rsid w:val="006361F8"/>
    <w:rsid w:val="00636968"/>
    <w:rsid w:val="00636BB2"/>
    <w:rsid w:val="00637470"/>
    <w:rsid w:val="006374F5"/>
    <w:rsid w:val="00640596"/>
    <w:rsid w:val="00640D1D"/>
    <w:rsid w:val="00643083"/>
    <w:rsid w:val="00643839"/>
    <w:rsid w:val="0064553A"/>
    <w:rsid w:val="00647897"/>
    <w:rsid w:val="0065028A"/>
    <w:rsid w:val="00650D71"/>
    <w:rsid w:val="00650E2E"/>
    <w:rsid w:val="0065164A"/>
    <w:rsid w:val="00652459"/>
    <w:rsid w:val="006526B4"/>
    <w:rsid w:val="00656DA8"/>
    <w:rsid w:val="00660207"/>
    <w:rsid w:val="0066034E"/>
    <w:rsid w:val="00660B7E"/>
    <w:rsid w:val="00661A0B"/>
    <w:rsid w:val="00662379"/>
    <w:rsid w:val="006625F1"/>
    <w:rsid w:val="006626E8"/>
    <w:rsid w:val="00662D47"/>
    <w:rsid w:val="00663202"/>
    <w:rsid w:val="006636EA"/>
    <w:rsid w:val="0066420F"/>
    <w:rsid w:val="0066585A"/>
    <w:rsid w:val="00665C33"/>
    <w:rsid w:val="00665EA4"/>
    <w:rsid w:val="0066619B"/>
    <w:rsid w:val="006674FA"/>
    <w:rsid w:val="00670985"/>
    <w:rsid w:val="00670FB1"/>
    <w:rsid w:val="00671C13"/>
    <w:rsid w:val="00672FAE"/>
    <w:rsid w:val="0067304C"/>
    <w:rsid w:val="006731F3"/>
    <w:rsid w:val="0067332C"/>
    <w:rsid w:val="006733E5"/>
    <w:rsid w:val="00673758"/>
    <w:rsid w:val="006747C1"/>
    <w:rsid w:val="006756B6"/>
    <w:rsid w:val="00675EDC"/>
    <w:rsid w:val="00676B76"/>
    <w:rsid w:val="006770F9"/>
    <w:rsid w:val="006779C7"/>
    <w:rsid w:val="00680D84"/>
    <w:rsid w:val="00683635"/>
    <w:rsid w:val="0068446A"/>
    <w:rsid w:val="0068600C"/>
    <w:rsid w:val="006867FE"/>
    <w:rsid w:val="00686DEF"/>
    <w:rsid w:val="0069003B"/>
    <w:rsid w:val="00690265"/>
    <w:rsid w:val="006908CB"/>
    <w:rsid w:val="00693547"/>
    <w:rsid w:val="00693761"/>
    <w:rsid w:val="00694C0A"/>
    <w:rsid w:val="00695242"/>
    <w:rsid w:val="00696549"/>
    <w:rsid w:val="0069692F"/>
    <w:rsid w:val="00696C84"/>
    <w:rsid w:val="0069719C"/>
    <w:rsid w:val="006973C0"/>
    <w:rsid w:val="006A0193"/>
    <w:rsid w:val="006A0516"/>
    <w:rsid w:val="006A09E2"/>
    <w:rsid w:val="006A20B4"/>
    <w:rsid w:val="006A2CF4"/>
    <w:rsid w:val="006A3E17"/>
    <w:rsid w:val="006A506E"/>
    <w:rsid w:val="006A731A"/>
    <w:rsid w:val="006B2869"/>
    <w:rsid w:val="006B3051"/>
    <w:rsid w:val="006B429A"/>
    <w:rsid w:val="006B4904"/>
    <w:rsid w:val="006B526A"/>
    <w:rsid w:val="006B7799"/>
    <w:rsid w:val="006C029A"/>
    <w:rsid w:val="006C0ED1"/>
    <w:rsid w:val="006C119A"/>
    <w:rsid w:val="006C2E01"/>
    <w:rsid w:val="006C3040"/>
    <w:rsid w:val="006C37A6"/>
    <w:rsid w:val="006C39EE"/>
    <w:rsid w:val="006C4979"/>
    <w:rsid w:val="006C4CD4"/>
    <w:rsid w:val="006C51AB"/>
    <w:rsid w:val="006C574A"/>
    <w:rsid w:val="006C6554"/>
    <w:rsid w:val="006C7114"/>
    <w:rsid w:val="006C7366"/>
    <w:rsid w:val="006C769A"/>
    <w:rsid w:val="006C7F22"/>
    <w:rsid w:val="006D0625"/>
    <w:rsid w:val="006D0E7E"/>
    <w:rsid w:val="006D1AB5"/>
    <w:rsid w:val="006D1C10"/>
    <w:rsid w:val="006D3EC2"/>
    <w:rsid w:val="006D41C9"/>
    <w:rsid w:val="006D48EB"/>
    <w:rsid w:val="006D4D8B"/>
    <w:rsid w:val="006D6571"/>
    <w:rsid w:val="006D7AA7"/>
    <w:rsid w:val="006E0134"/>
    <w:rsid w:val="006E0DFA"/>
    <w:rsid w:val="006E0FD3"/>
    <w:rsid w:val="006E1BA5"/>
    <w:rsid w:val="006E1C93"/>
    <w:rsid w:val="006E1D94"/>
    <w:rsid w:val="006E20B4"/>
    <w:rsid w:val="006E23C2"/>
    <w:rsid w:val="006E2473"/>
    <w:rsid w:val="006E25AF"/>
    <w:rsid w:val="006E317D"/>
    <w:rsid w:val="006E3C08"/>
    <w:rsid w:val="006E46D1"/>
    <w:rsid w:val="006E4C23"/>
    <w:rsid w:val="006E6D37"/>
    <w:rsid w:val="006F1882"/>
    <w:rsid w:val="006F2296"/>
    <w:rsid w:val="006F271C"/>
    <w:rsid w:val="006F4BE4"/>
    <w:rsid w:val="006F55BF"/>
    <w:rsid w:val="006F5954"/>
    <w:rsid w:val="00700091"/>
    <w:rsid w:val="00700127"/>
    <w:rsid w:val="007003DE"/>
    <w:rsid w:val="007006A7"/>
    <w:rsid w:val="007035AF"/>
    <w:rsid w:val="007047D4"/>
    <w:rsid w:val="00704C7E"/>
    <w:rsid w:val="00704DB1"/>
    <w:rsid w:val="007103C4"/>
    <w:rsid w:val="00711632"/>
    <w:rsid w:val="007116D7"/>
    <w:rsid w:val="007122C6"/>
    <w:rsid w:val="00712E9E"/>
    <w:rsid w:val="00714040"/>
    <w:rsid w:val="00714D00"/>
    <w:rsid w:val="0071596C"/>
    <w:rsid w:val="00715C18"/>
    <w:rsid w:val="00720042"/>
    <w:rsid w:val="00720D68"/>
    <w:rsid w:val="00721233"/>
    <w:rsid w:val="0072159D"/>
    <w:rsid w:val="007224ED"/>
    <w:rsid w:val="007227A5"/>
    <w:rsid w:val="00724E21"/>
    <w:rsid w:val="007267BA"/>
    <w:rsid w:val="00726FB9"/>
    <w:rsid w:val="00727D8A"/>
    <w:rsid w:val="00731A35"/>
    <w:rsid w:val="00731C9A"/>
    <w:rsid w:val="00732101"/>
    <w:rsid w:val="007325C3"/>
    <w:rsid w:val="0073287D"/>
    <w:rsid w:val="00732BBD"/>
    <w:rsid w:val="00732C9D"/>
    <w:rsid w:val="00733274"/>
    <w:rsid w:val="00734C56"/>
    <w:rsid w:val="00734F91"/>
    <w:rsid w:val="007354DB"/>
    <w:rsid w:val="007355FD"/>
    <w:rsid w:val="007365F1"/>
    <w:rsid w:val="00736B47"/>
    <w:rsid w:val="0073703D"/>
    <w:rsid w:val="00737E26"/>
    <w:rsid w:val="00740E34"/>
    <w:rsid w:val="007428E1"/>
    <w:rsid w:val="0074472E"/>
    <w:rsid w:val="00746F7F"/>
    <w:rsid w:val="0075085C"/>
    <w:rsid w:val="00750C53"/>
    <w:rsid w:val="00751F77"/>
    <w:rsid w:val="0075542C"/>
    <w:rsid w:val="007556A3"/>
    <w:rsid w:val="00755EDC"/>
    <w:rsid w:val="0075681F"/>
    <w:rsid w:val="007602DE"/>
    <w:rsid w:val="00760AE5"/>
    <w:rsid w:val="00760D9F"/>
    <w:rsid w:val="0076277F"/>
    <w:rsid w:val="00765390"/>
    <w:rsid w:val="0076602C"/>
    <w:rsid w:val="007674A5"/>
    <w:rsid w:val="007677DB"/>
    <w:rsid w:val="00770F11"/>
    <w:rsid w:val="00771333"/>
    <w:rsid w:val="0077177C"/>
    <w:rsid w:val="00773806"/>
    <w:rsid w:val="007776CA"/>
    <w:rsid w:val="0078038B"/>
    <w:rsid w:val="007824BC"/>
    <w:rsid w:val="00782FEF"/>
    <w:rsid w:val="00783049"/>
    <w:rsid w:val="007831A0"/>
    <w:rsid w:val="00783A8A"/>
    <w:rsid w:val="0078417B"/>
    <w:rsid w:val="00786222"/>
    <w:rsid w:val="00786753"/>
    <w:rsid w:val="00787045"/>
    <w:rsid w:val="0079078D"/>
    <w:rsid w:val="00790F1A"/>
    <w:rsid w:val="00791058"/>
    <w:rsid w:val="007918EB"/>
    <w:rsid w:val="00792754"/>
    <w:rsid w:val="00792D5E"/>
    <w:rsid w:val="0079305E"/>
    <w:rsid w:val="00793CD6"/>
    <w:rsid w:val="00796CD3"/>
    <w:rsid w:val="007973CE"/>
    <w:rsid w:val="007A0048"/>
    <w:rsid w:val="007A1211"/>
    <w:rsid w:val="007A166C"/>
    <w:rsid w:val="007A1A85"/>
    <w:rsid w:val="007A2813"/>
    <w:rsid w:val="007A29E6"/>
    <w:rsid w:val="007A39FD"/>
    <w:rsid w:val="007A523F"/>
    <w:rsid w:val="007A5705"/>
    <w:rsid w:val="007A68F9"/>
    <w:rsid w:val="007A6FB4"/>
    <w:rsid w:val="007A7604"/>
    <w:rsid w:val="007B125D"/>
    <w:rsid w:val="007B158D"/>
    <w:rsid w:val="007B2033"/>
    <w:rsid w:val="007B2975"/>
    <w:rsid w:val="007B33D2"/>
    <w:rsid w:val="007B3A1C"/>
    <w:rsid w:val="007B4571"/>
    <w:rsid w:val="007B4DC3"/>
    <w:rsid w:val="007B5F6E"/>
    <w:rsid w:val="007B6DE8"/>
    <w:rsid w:val="007C038A"/>
    <w:rsid w:val="007C2BCC"/>
    <w:rsid w:val="007C3BD3"/>
    <w:rsid w:val="007C3D13"/>
    <w:rsid w:val="007C6F35"/>
    <w:rsid w:val="007C7003"/>
    <w:rsid w:val="007C712C"/>
    <w:rsid w:val="007D04E8"/>
    <w:rsid w:val="007D0D1C"/>
    <w:rsid w:val="007D17C7"/>
    <w:rsid w:val="007D1DD1"/>
    <w:rsid w:val="007D4CC7"/>
    <w:rsid w:val="007D4D43"/>
    <w:rsid w:val="007D4E6E"/>
    <w:rsid w:val="007D51DD"/>
    <w:rsid w:val="007D6377"/>
    <w:rsid w:val="007D69E1"/>
    <w:rsid w:val="007D6A5D"/>
    <w:rsid w:val="007D725A"/>
    <w:rsid w:val="007D72DD"/>
    <w:rsid w:val="007D799A"/>
    <w:rsid w:val="007E0CDD"/>
    <w:rsid w:val="007E145B"/>
    <w:rsid w:val="007E1BEB"/>
    <w:rsid w:val="007E59BC"/>
    <w:rsid w:val="007E59D4"/>
    <w:rsid w:val="007E6EAB"/>
    <w:rsid w:val="007E7296"/>
    <w:rsid w:val="007E7958"/>
    <w:rsid w:val="007F12CD"/>
    <w:rsid w:val="007F1C24"/>
    <w:rsid w:val="007F3C74"/>
    <w:rsid w:val="007F49DD"/>
    <w:rsid w:val="007F5EE7"/>
    <w:rsid w:val="007F6266"/>
    <w:rsid w:val="007F707D"/>
    <w:rsid w:val="007F757C"/>
    <w:rsid w:val="007F75BA"/>
    <w:rsid w:val="00801661"/>
    <w:rsid w:val="0080173B"/>
    <w:rsid w:val="00802B0C"/>
    <w:rsid w:val="00803D5B"/>
    <w:rsid w:val="00805CB6"/>
    <w:rsid w:val="00805DB5"/>
    <w:rsid w:val="008062BD"/>
    <w:rsid w:val="00807320"/>
    <w:rsid w:val="00807935"/>
    <w:rsid w:val="00807F93"/>
    <w:rsid w:val="008108E2"/>
    <w:rsid w:val="00810B53"/>
    <w:rsid w:val="0081145A"/>
    <w:rsid w:val="00811520"/>
    <w:rsid w:val="00812DA6"/>
    <w:rsid w:val="008139DA"/>
    <w:rsid w:val="008140DA"/>
    <w:rsid w:val="00814678"/>
    <w:rsid w:val="0081505A"/>
    <w:rsid w:val="008156B5"/>
    <w:rsid w:val="00815B82"/>
    <w:rsid w:val="00817109"/>
    <w:rsid w:val="008233B0"/>
    <w:rsid w:val="0082379B"/>
    <w:rsid w:val="00824E78"/>
    <w:rsid w:val="00825019"/>
    <w:rsid w:val="00826EDE"/>
    <w:rsid w:val="00826F90"/>
    <w:rsid w:val="00827283"/>
    <w:rsid w:val="0083230F"/>
    <w:rsid w:val="00832A0B"/>
    <w:rsid w:val="0083477D"/>
    <w:rsid w:val="00837D28"/>
    <w:rsid w:val="008400FE"/>
    <w:rsid w:val="00840409"/>
    <w:rsid w:val="00840E53"/>
    <w:rsid w:val="0084161D"/>
    <w:rsid w:val="00841E45"/>
    <w:rsid w:val="0084223A"/>
    <w:rsid w:val="00844133"/>
    <w:rsid w:val="0085149F"/>
    <w:rsid w:val="00852726"/>
    <w:rsid w:val="008529C4"/>
    <w:rsid w:val="00852AD5"/>
    <w:rsid w:val="00852D3F"/>
    <w:rsid w:val="00853144"/>
    <w:rsid w:val="00854462"/>
    <w:rsid w:val="008551D2"/>
    <w:rsid w:val="00856156"/>
    <w:rsid w:val="00857444"/>
    <w:rsid w:val="00857E65"/>
    <w:rsid w:val="00861AED"/>
    <w:rsid w:val="00861FE8"/>
    <w:rsid w:val="00862183"/>
    <w:rsid w:val="00863C21"/>
    <w:rsid w:val="00863EA8"/>
    <w:rsid w:val="00864368"/>
    <w:rsid w:val="00865389"/>
    <w:rsid w:val="00865BD0"/>
    <w:rsid w:val="008660BF"/>
    <w:rsid w:val="0086763B"/>
    <w:rsid w:val="00867695"/>
    <w:rsid w:val="00867C56"/>
    <w:rsid w:val="00867DB1"/>
    <w:rsid w:val="008715E2"/>
    <w:rsid w:val="0087228F"/>
    <w:rsid w:val="00873771"/>
    <w:rsid w:val="00875CB0"/>
    <w:rsid w:val="0087768F"/>
    <w:rsid w:val="0088024B"/>
    <w:rsid w:val="008802C1"/>
    <w:rsid w:val="00880ED4"/>
    <w:rsid w:val="00883807"/>
    <w:rsid w:val="00885F21"/>
    <w:rsid w:val="00886208"/>
    <w:rsid w:val="00887326"/>
    <w:rsid w:val="008874B0"/>
    <w:rsid w:val="008879CF"/>
    <w:rsid w:val="0089028E"/>
    <w:rsid w:val="00890A34"/>
    <w:rsid w:val="008911FC"/>
    <w:rsid w:val="00891708"/>
    <w:rsid w:val="00891A03"/>
    <w:rsid w:val="00892213"/>
    <w:rsid w:val="0089268E"/>
    <w:rsid w:val="00892F9F"/>
    <w:rsid w:val="008934C7"/>
    <w:rsid w:val="00894232"/>
    <w:rsid w:val="00895693"/>
    <w:rsid w:val="0089600B"/>
    <w:rsid w:val="008A13C0"/>
    <w:rsid w:val="008A1501"/>
    <w:rsid w:val="008A1D9B"/>
    <w:rsid w:val="008A263A"/>
    <w:rsid w:val="008A2D62"/>
    <w:rsid w:val="008A3834"/>
    <w:rsid w:val="008A3F5A"/>
    <w:rsid w:val="008A463B"/>
    <w:rsid w:val="008A7414"/>
    <w:rsid w:val="008B0A27"/>
    <w:rsid w:val="008B197C"/>
    <w:rsid w:val="008B1F00"/>
    <w:rsid w:val="008B2239"/>
    <w:rsid w:val="008B2446"/>
    <w:rsid w:val="008B333D"/>
    <w:rsid w:val="008B47ED"/>
    <w:rsid w:val="008B6EDB"/>
    <w:rsid w:val="008C1649"/>
    <w:rsid w:val="008C1B09"/>
    <w:rsid w:val="008C2E7B"/>
    <w:rsid w:val="008C3389"/>
    <w:rsid w:val="008C35F5"/>
    <w:rsid w:val="008C3B3E"/>
    <w:rsid w:val="008C462C"/>
    <w:rsid w:val="008C4831"/>
    <w:rsid w:val="008C486C"/>
    <w:rsid w:val="008C5778"/>
    <w:rsid w:val="008D0C8E"/>
    <w:rsid w:val="008D3C76"/>
    <w:rsid w:val="008D40FE"/>
    <w:rsid w:val="008D44A6"/>
    <w:rsid w:val="008D5502"/>
    <w:rsid w:val="008D6764"/>
    <w:rsid w:val="008D6AE9"/>
    <w:rsid w:val="008D792D"/>
    <w:rsid w:val="008E13D5"/>
    <w:rsid w:val="008E3C9E"/>
    <w:rsid w:val="008E4205"/>
    <w:rsid w:val="008E440F"/>
    <w:rsid w:val="008E459D"/>
    <w:rsid w:val="008E605F"/>
    <w:rsid w:val="008E7754"/>
    <w:rsid w:val="008F019A"/>
    <w:rsid w:val="008F3F27"/>
    <w:rsid w:val="008F425C"/>
    <w:rsid w:val="008F5D87"/>
    <w:rsid w:val="008F6541"/>
    <w:rsid w:val="008F669A"/>
    <w:rsid w:val="008F6AFA"/>
    <w:rsid w:val="008F7C92"/>
    <w:rsid w:val="008F7D1A"/>
    <w:rsid w:val="009002CF"/>
    <w:rsid w:val="009019EB"/>
    <w:rsid w:val="00902097"/>
    <w:rsid w:val="00903445"/>
    <w:rsid w:val="009035A2"/>
    <w:rsid w:val="00903CAD"/>
    <w:rsid w:val="00904F2D"/>
    <w:rsid w:val="009063E7"/>
    <w:rsid w:val="00907B36"/>
    <w:rsid w:val="00911E6D"/>
    <w:rsid w:val="00911EC2"/>
    <w:rsid w:val="0091372B"/>
    <w:rsid w:val="00913AFB"/>
    <w:rsid w:val="00915AEB"/>
    <w:rsid w:val="009172A2"/>
    <w:rsid w:val="00917857"/>
    <w:rsid w:val="00917F98"/>
    <w:rsid w:val="009219BC"/>
    <w:rsid w:val="009232BB"/>
    <w:rsid w:val="00923C17"/>
    <w:rsid w:val="00923DFD"/>
    <w:rsid w:val="00924527"/>
    <w:rsid w:val="00924F37"/>
    <w:rsid w:val="0092562D"/>
    <w:rsid w:val="00926352"/>
    <w:rsid w:val="00931AE8"/>
    <w:rsid w:val="00933D0C"/>
    <w:rsid w:val="00934086"/>
    <w:rsid w:val="0093431C"/>
    <w:rsid w:val="009356E6"/>
    <w:rsid w:val="0093634D"/>
    <w:rsid w:val="00936F4C"/>
    <w:rsid w:val="00937C7C"/>
    <w:rsid w:val="009401AB"/>
    <w:rsid w:val="0094096B"/>
    <w:rsid w:val="0094184E"/>
    <w:rsid w:val="00942355"/>
    <w:rsid w:val="00943155"/>
    <w:rsid w:val="00943B3E"/>
    <w:rsid w:val="00944743"/>
    <w:rsid w:val="00944E03"/>
    <w:rsid w:val="009455C7"/>
    <w:rsid w:val="00945A5A"/>
    <w:rsid w:val="00945D37"/>
    <w:rsid w:val="0095401B"/>
    <w:rsid w:val="009546FA"/>
    <w:rsid w:val="00954CC7"/>
    <w:rsid w:val="009550FB"/>
    <w:rsid w:val="00960F09"/>
    <w:rsid w:val="00961025"/>
    <w:rsid w:val="00961C89"/>
    <w:rsid w:val="00963E8A"/>
    <w:rsid w:val="0096408B"/>
    <w:rsid w:val="0096523F"/>
    <w:rsid w:val="0096577B"/>
    <w:rsid w:val="0096586A"/>
    <w:rsid w:val="009661D8"/>
    <w:rsid w:val="00966D62"/>
    <w:rsid w:val="0096772B"/>
    <w:rsid w:val="009707D3"/>
    <w:rsid w:val="009717DC"/>
    <w:rsid w:val="00971C84"/>
    <w:rsid w:val="00973D02"/>
    <w:rsid w:val="00973F57"/>
    <w:rsid w:val="0097408E"/>
    <w:rsid w:val="009757FB"/>
    <w:rsid w:val="0097581E"/>
    <w:rsid w:val="00977B42"/>
    <w:rsid w:val="009805B6"/>
    <w:rsid w:val="009812FB"/>
    <w:rsid w:val="00982CA1"/>
    <w:rsid w:val="00983BD8"/>
    <w:rsid w:val="00983EB7"/>
    <w:rsid w:val="009851CF"/>
    <w:rsid w:val="00987241"/>
    <w:rsid w:val="00987B72"/>
    <w:rsid w:val="00990ACE"/>
    <w:rsid w:val="0099119E"/>
    <w:rsid w:val="00991C50"/>
    <w:rsid w:val="00994E1C"/>
    <w:rsid w:val="009953DA"/>
    <w:rsid w:val="00997501"/>
    <w:rsid w:val="00997D48"/>
    <w:rsid w:val="009A01A1"/>
    <w:rsid w:val="009A05B4"/>
    <w:rsid w:val="009A1026"/>
    <w:rsid w:val="009A26DA"/>
    <w:rsid w:val="009A2F73"/>
    <w:rsid w:val="009A3D54"/>
    <w:rsid w:val="009A5858"/>
    <w:rsid w:val="009A5B9F"/>
    <w:rsid w:val="009A63DE"/>
    <w:rsid w:val="009A6D66"/>
    <w:rsid w:val="009B0745"/>
    <w:rsid w:val="009B1D19"/>
    <w:rsid w:val="009B2B19"/>
    <w:rsid w:val="009B44FE"/>
    <w:rsid w:val="009B65FF"/>
    <w:rsid w:val="009B6700"/>
    <w:rsid w:val="009B767E"/>
    <w:rsid w:val="009C1A76"/>
    <w:rsid w:val="009C1CD0"/>
    <w:rsid w:val="009C2218"/>
    <w:rsid w:val="009C317F"/>
    <w:rsid w:val="009C76CB"/>
    <w:rsid w:val="009D0F9C"/>
    <w:rsid w:val="009D12F8"/>
    <w:rsid w:val="009D15FF"/>
    <w:rsid w:val="009D2660"/>
    <w:rsid w:val="009D2C63"/>
    <w:rsid w:val="009D3830"/>
    <w:rsid w:val="009D39F5"/>
    <w:rsid w:val="009D3AEF"/>
    <w:rsid w:val="009D421B"/>
    <w:rsid w:val="009D454F"/>
    <w:rsid w:val="009D47FF"/>
    <w:rsid w:val="009D51A8"/>
    <w:rsid w:val="009E034E"/>
    <w:rsid w:val="009E03EC"/>
    <w:rsid w:val="009E0A7A"/>
    <w:rsid w:val="009E10C0"/>
    <w:rsid w:val="009E24CB"/>
    <w:rsid w:val="009E2B78"/>
    <w:rsid w:val="009E6421"/>
    <w:rsid w:val="009E6815"/>
    <w:rsid w:val="009E7148"/>
    <w:rsid w:val="009E7514"/>
    <w:rsid w:val="009F04B9"/>
    <w:rsid w:val="009F168F"/>
    <w:rsid w:val="009F19C3"/>
    <w:rsid w:val="009F2DC9"/>
    <w:rsid w:val="009F4180"/>
    <w:rsid w:val="009F5B28"/>
    <w:rsid w:val="009F5C2E"/>
    <w:rsid w:val="009F6DBF"/>
    <w:rsid w:val="009F757B"/>
    <w:rsid w:val="009F7948"/>
    <w:rsid w:val="00A009F7"/>
    <w:rsid w:val="00A01DFD"/>
    <w:rsid w:val="00A022AC"/>
    <w:rsid w:val="00A0423C"/>
    <w:rsid w:val="00A0505C"/>
    <w:rsid w:val="00A067B2"/>
    <w:rsid w:val="00A06AC4"/>
    <w:rsid w:val="00A0776D"/>
    <w:rsid w:val="00A07E6E"/>
    <w:rsid w:val="00A1039F"/>
    <w:rsid w:val="00A110CB"/>
    <w:rsid w:val="00A1297B"/>
    <w:rsid w:val="00A12FE6"/>
    <w:rsid w:val="00A1304B"/>
    <w:rsid w:val="00A133B3"/>
    <w:rsid w:val="00A135C1"/>
    <w:rsid w:val="00A13859"/>
    <w:rsid w:val="00A139BE"/>
    <w:rsid w:val="00A13EE0"/>
    <w:rsid w:val="00A140FC"/>
    <w:rsid w:val="00A14D57"/>
    <w:rsid w:val="00A14EBE"/>
    <w:rsid w:val="00A17DAF"/>
    <w:rsid w:val="00A206E5"/>
    <w:rsid w:val="00A20D42"/>
    <w:rsid w:val="00A20E15"/>
    <w:rsid w:val="00A22B19"/>
    <w:rsid w:val="00A22EDD"/>
    <w:rsid w:val="00A231AE"/>
    <w:rsid w:val="00A23A26"/>
    <w:rsid w:val="00A23CD6"/>
    <w:rsid w:val="00A25586"/>
    <w:rsid w:val="00A261BA"/>
    <w:rsid w:val="00A264D5"/>
    <w:rsid w:val="00A27898"/>
    <w:rsid w:val="00A33917"/>
    <w:rsid w:val="00A34B44"/>
    <w:rsid w:val="00A35282"/>
    <w:rsid w:val="00A373A4"/>
    <w:rsid w:val="00A40F71"/>
    <w:rsid w:val="00A415F5"/>
    <w:rsid w:val="00A41BCB"/>
    <w:rsid w:val="00A41E16"/>
    <w:rsid w:val="00A43832"/>
    <w:rsid w:val="00A43DC1"/>
    <w:rsid w:val="00A45515"/>
    <w:rsid w:val="00A4581F"/>
    <w:rsid w:val="00A4595F"/>
    <w:rsid w:val="00A466D3"/>
    <w:rsid w:val="00A50701"/>
    <w:rsid w:val="00A50AE8"/>
    <w:rsid w:val="00A50FD4"/>
    <w:rsid w:val="00A5175B"/>
    <w:rsid w:val="00A522E7"/>
    <w:rsid w:val="00A52CF5"/>
    <w:rsid w:val="00A53356"/>
    <w:rsid w:val="00A540FA"/>
    <w:rsid w:val="00A553B3"/>
    <w:rsid w:val="00A5586F"/>
    <w:rsid w:val="00A560B4"/>
    <w:rsid w:val="00A5672A"/>
    <w:rsid w:val="00A57653"/>
    <w:rsid w:val="00A601B6"/>
    <w:rsid w:val="00A60679"/>
    <w:rsid w:val="00A62224"/>
    <w:rsid w:val="00A62591"/>
    <w:rsid w:val="00A6391F"/>
    <w:rsid w:val="00A639F6"/>
    <w:rsid w:val="00A640C6"/>
    <w:rsid w:val="00A66BE6"/>
    <w:rsid w:val="00A67BF2"/>
    <w:rsid w:val="00A67DE3"/>
    <w:rsid w:val="00A70002"/>
    <w:rsid w:val="00A700DC"/>
    <w:rsid w:val="00A70891"/>
    <w:rsid w:val="00A71694"/>
    <w:rsid w:val="00A7173F"/>
    <w:rsid w:val="00A72211"/>
    <w:rsid w:val="00A73227"/>
    <w:rsid w:val="00A73EE2"/>
    <w:rsid w:val="00A740FB"/>
    <w:rsid w:val="00A74173"/>
    <w:rsid w:val="00A746A3"/>
    <w:rsid w:val="00A74B20"/>
    <w:rsid w:val="00A74C43"/>
    <w:rsid w:val="00A74D3D"/>
    <w:rsid w:val="00A74F9C"/>
    <w:rsid w:val="00A751B5"/>
    <w:rsid w:val="00A80F72"/>
    <w:rsid w:val="00A81798"/>
    <w:rsid w:val="00A83A12"/>
    <w:rsid w:val="00A83F83"/>
    <w:rsid w:val="00A84669"/>
    <w:rsid w:val="00A850BE"/>
    <w:rsid w:val="00A856C5"/>
    <w:rsid w:val="00A863DD"/>
    <w:rsid w:val="00A87C8C"/>
    <w:rsid w:val="00A903A3"/>
    <w:rsid w:val="00A9096F"/>
    <w:rsid w:val="00A90B18"/>
    <w:rsid w:val="00A921F2"/>
    <w:rsid w:val="00A92E4A"/>
    <w:rsid w:val="00A947D5"/>
    <w:rsid w:val="00A96260"/>
    <w:rsid w:val="00A96EE8"/>
    <w:rsid w:val="00AA030E"/>
    <w:rsid w:val="00AA09ED"/>
    <w:rsid w:val="00AA3143"/>
    <w:rsid w:val="00AA37B0"/>
    <w:rsid w:val="00AA3F9B"/>
    <w:rsid w:val="00AA42C7"/>
    <w:rsid w:val="00AA49CC"/>
    <w:rsid w:val="00AA5C83"/>
    <w:rsid w:val="00AA66B6"/>
    <w:rsid w:val="00AA6A0B"/>
    <w:rsid w:val="00AA7670"/>
    <w:rsid w:val="00AB555E"/>
    <w:rsid w:val="00AB5926"/>
    <w:rsid w:val="00AB758B"/>
    <w:rsid w:val="00AC0D28"/>
    <w:rsid w:val="00AC1327"/>
    <w:rsid w:val="00AC153F"/>
    <w:rsid w:val="00AC1A60"/>
    <w:rsid w:val="00AC2340"/>
    <w:rsid w:val="00AC3FD1"/>
    <w:rsid w:val="00AC424A"/>
    <w:rsid w:val="00AC5810"/>
    <w:rsid w:val="00AC5FFB"/>
    <w:rsid w:val="00AC695E"/>
    <w:rsid w:val="00AC7ECD"/>
    <w:rsid w:val="00AD0933"/>
    <w:rsid w:val="00AD210E"/>
    <w:rsid w:val="00AD226F"/>
    <w:rsid w:val="00AD2370"/>
    <w:rsid w:val="00AD28B6"/>
    <w:rsid w:val="00AD303A"/>
    <w:rsid w:val="00AD441C"/>
    <w:rsid w:val="00AD46DE"/>
    <w:rsid w:val="00AD4FDE"/>
    <w:rsid w:val="00AD6904"/>
    <w:rsid w:val="00AD694B"/>
    <w:rsid w:val="00AD70F7"/>
    <w:rsid w:val="00AE2548"/>
    <w:rsid w:val="00AE3B00"/>
    <w:rsid w:val="00AE42D3"/>
    <w:rsid w:val="00AE5870"/>
    <w:rsid w:val="00AE630A"/>
    <w:rsid w:val="00AE6B42"/>
    <w:rsid w:val="00AE782E"/>
    <w:rsid w:val="00AE7BC9"/>
    <w:rsid w:val="00AF0CED"/>
    <w:rsid w:val="00AF31BD"/>
    <w:rsid w:val="00AF3C70"/>
    <w:rsid w:val="00AF3D89"/>
    <w:rsid w:val="00AF443A"/>
    <w:rsid w:val="00AF453E"/>
    <w:rsid w:val="00AF6438"/>
    <w:rsid w:val="00AF77C0"/>
    <w:rsid w:val="00AF79AE"/>
    <w:rsid w:val="00B01019"/>
    <w:rsid w:val="00B0131C"/>
    <w:rsid w:val="00B01F1C"/>
    <w:rsid w:val="00B02D24"/>
    <w:rsid w:val="00B02EA7"/>
    <w:rsid w:val="00B031CB"/>
    <w:rsid w:val="00B058B5"/>
    <w:rsid w:val="00B059B1"/>
    <w:rsid w:val="00B07171"/>
    <w:rsid w:val="00B073BC"/>
    <w:rsid w:val="00B07739"/>
    <w:rsid w:val="00B07C8A"/>
    <w:rsid w:val="00B10013"/>
    <w:rsid w:val="00B10322"/>
    <w:rsid w:val="00B10E1E"/>
    <w:rsid w:val="00B11E3E"/>
    <w:rsid w:val="00B11F0D"/>
    <w:rsid w:val="00B11FF9"/>
    <w:rsid w:val="00B1217E"/>
    <w:rsid w:val="00B12333"/>
    <w:rsid w:val="00B1252E"/>
    <w:rsid w:val="00B12BE6"/>
    <w:rsid w:val="00B13A91"/>
    <w:rsid w:val="00B1419C"/>
    <w:rsid w:val="00B1687F"/>
    <w:rsid w:val="00B20276"/>
    <w:rsid w:val="00B20963"/>
    <w:rsid w:val="00B21DBF"/>
    <w:rsid w:val="00B221C0"/>
    <w:rsid w:val="00B24110"/>
    <w:rsid w:val="00B2434A"/>
    <w:rsid w:val="00B2464F"/>
    <w:rsid w:val="00B24C1A"/>
    <w:rsid w:val="00B2508D"/>
    <w:rsid w:val="00B258C4"/>
    <w:rsid w:val="00B27475"/>
    <w:rsid w:val="00B30AD4"/>
    <w:rsid w:val="00B30FF4"/>
    <w:rsid w:val="00B31AF4"/>
    <w:rsid w:val="00B31E2F"/>
    <w:rsid w:val="00B31EC3"/>
    <w:rsid w:val="00B3265D"/>
    <w:rsid w:val="00B329D3"/>
    <w:rsid w:val="00B33198"/>
    <w:rsid w:val="00B333F3"/>
    <w:rsid w:val="00B354FD"/>
    <w:rsid w:val="00B356C8"/>
    <w:rsid w:val="00B36A7C"/>
    <w:rsid w:val="00B400C5"/>
    <w:rsid w:val="00B4010B"/>
    <w:rsid w:val="00B413FD"/>
    <w:rsid w:val="00B41CCB"/>
    <w:rsid w:val="00B43544"/>
    <w:rsid w:val="00B43B34"/>
    <w:rsid w:val="00B4409E"/>
    <w:rsid w:val="00B450DE"/>
    <w:rsid w:val="00B458E5"/>
    <w:rsid w:val="00B46ADF"/>
    <w:rsid w:val="00B46B89"/>
    <w:rsid w:val="00B47B89"/>
    <w:rsid w:val="00B50697"/>
    <w:rsid w:val="00B50A8B"/>
    <w:rsid w:val="00B51BFB"/>
    <w:rsid w:val="00B52B3D"/>
    <w:rsid w:val="00B531F8"/>
    <w:rsid w:val="00B54B48"/>
    <w:rsid w:val="00B564FD"/>
    <w:rsid w:val="00B56C2B"/>
    <w:rsid w:val="00B56E20"/>
    <w:rsid w:val="00B57BD7"/>
    <w:rsid w:val="00B60FC4"/>
    <w:rsid w:val="00B61D63"/>
    <w:rsid w:val="00B6353F"/>
    <w:rsid w:val="00B63CA4"/>
    <w:rsid w:val="00B644CE"/>
    <w:rsid w:val="00B6478F"/>
    <w:rsid w:val="00B64E75"/>
    <w:rsid w:val="00B66126"/>
    <w:rsid w:val="00B678B6"/>
    <w:rsid w:val="00B705B5"/>
    <w:rsid w:val="00B70714"/>
    <w:rsid w:val="00B70C75"/>
    <w:rsid w:val="00B71709"/>
    <w:rsid w:val="00B717DC"/>
    <w:rsid w:val="00B720E3"/>
    <w:rsid w:val="00B727EA"/>
    <w:rsid w:val="00B7319D"/>
    <w:rsid w:val="00B73403"/>
    <w:rsid w:val="00B739A7"/>
    <w:rsid w:val="00B73E0B"/>
    <w:rsid w:val="00B755ED"/>
    <w:rsid w:val="00B77287"/>
    <w:rsid w:val="00B81DBE"/>
    <w:rsid w:val="00B82B91"/>
    <w:rsid w:val="00B833F4"/>
    <w:rsid w:val="00B8363B"/>
    <w:rsid w:val="00B8383F"/>
    <w:rsid w:val="00B83B74"/>
    <w:rsid w:val="00B85EF8"/>
    <w:rsid w:val="00B8668D"/>
    <w:rsid w:val="00B8687E"/>
    <w:rsid w:val="00B86D63"/>
    <w:rsid w:val="00B871D0"/>
    <w:rsid w:val="00B877E8"/>
    <w:rsid w:val="00B902DB"/>
    <w:rsid w:val="00B90445"/>
    <w:rsid w:val="00B90CE7"/>
    <w:rsid w:val="00B951D3"/>
    <w:rsid w:val="00B95A0E"/>
    <w:rsid w:val="00B96341"/>
    <w:rsid w:val="00B96AD3"/>
    <w:rsid w:val="00B97977"/>
    <w:rsid w:val="00B97F02"/>
    <w:rsid w:val="00BA148F"/>
    <w:rsid w:val="00BA252C"/>
    <w:rsid w:val="00BA36F9"/>
    <w:rsid w:val="00BA45F4"/>
    <w:rsid w:val="00BA4DB9"/>
    <w:rsid w:val="00BA4DE2"/>
    <w:rsid w:val="00BA7C9F"/>
    <w:rsid w:val="00BB06DD"/>
    <w:rsid w:val="00BB1A45"/>
    <w:rsid w:val="00BB241A"/>
    <w:rsid w:val="00BB27C8"/>
    <w:rsid w:val="00BB3868"/>
    <w:rsid w:val="00BB449E"/>
    <w:rsid w:val="00BB5041"/>
    <w:rsid w:val="00BB5419"/>
    <w:rsid w:val="00BB578C"/>
    <w:rsid w:val="00BB6398"/>
    <w:rsid w:val="00BB72E5"/>
    <w:rsid w:val="00BB77C6"/>
    <w:rsid w:val="00BB7AA9"/>
    <w:rsid w:val="00BB7CD1"/>
    <w:rsid w:val="00BC17B4"/>
    <w:rsid w:val="00BC206C"/>
    <w:rsid w:val="00BC2C8E"/>
    <w:rsid w:val="00BC34A4"/>
    <w:rsid w:val="00BC3B06"/>
    <w:rsid w:val="00BC4506"/>
    <w:rsid w:val="00BC4F53"/>
    <w:rsid w:val="00BC5E6F"/>
    <w:rsid w:val="00BC6B41"/>
    <w:rsid w:val="00BC7726"/>
    <w:rsid w:val="00BC784D"/>
    <w:rsid w:val="00BD00F3"/>
    <w:rsid w:val="00BD049D"/>
    <w:rsid w:val="00BD04F0"/>
    <w:rsid w:val="00BD068D"/>
    <w:rsid w:val="00BD11D3"/>
    <w:rsid w:val="00BD2170"/>
    <w:rsid w:val="00BD25B3"/>
    <w:rsid w:val="00BD3BC3"/>
    <w:rsid w:val="00BD4C0D"/>
    <w:rsid w:val="00BD6483"/>
    <w:rsid w:val="00BD75F9"/>
    <w:rsid w:val="00BE07A0"/>
    <w:rsid w:val="00BE1D65"/>
    <w:rsid w:val="00BE405F"/>
    <w:rsid w:val="00BE4129"/>
    <w:rsid w:val="00BE44E8"/>
    <w:rsid w:val="00BE471E"/>
    <w:rsid w:val="00BE5314"/>
    <w:rsid w:val="00BE5F2B"/>
    <w:rsid w:val="00BE66CD"/>
    <w:rsid w:val="00BE76E2"/>
    <w:rsid w:val="00BF0C84"/>
    <w:rsid w:val="00BF2121"/>
    <w:rsid w:val="00BF3222"/>
    <w:rsid w:val="00BF3445"/>
    <w:rsid w:val="00BF60AE"/>
    <w:rsid w:val="00BF6DA5"/>
    <w:rsid w:val="00BF6E09"/>
    <w:rsid w:val="00C03817"/>
    <w:rsid w:val="00C03ED8"/>
    <w:rsid w:val="00C040B6"/>
    <w:rsid w:val="00C04C8F"/>
    <w:rsid w:val="00C05C06"/>
    <w:rsid w:val="00C07536"/>
    <w:rsid w:val="00C07842"/>
    <w:rsid w:val="00C07925"/>
    <w:rsid w:val="00C101CD"/>
    <w:rsid w:val="00C11A1A"/>
    <w:rsid w:val="00C1205B"/>
    <w:rsid w:val="00C1212A"/>
    <w:rsid w:val="00C12356"/>
    <w:rsid w:val="00C13EF5"/>
    <w:rsid w:val="00C1583D"/>
    <w:rsid w:val="00C17027"/>
    <w:rsid w:val="00C1740C"/>
    <w:rsid w:val="00C174FC"/>
    <w:rsid w:val="00C17609"/>
    <w:rsid w:val="00C17F41"/>
    <w:rsid w:val="00C20367"/>
    <w:rsid w:val="00C204A1"/>
    <w:rsid w:val="00C232BC"/>
    <w:rsid w:val="00C24074"/>
    <w:rsid w:val="00C2493B"/>
    <w:rsid w:val="00C25ADA"/>
    <w:rsid w:val="00C26995"/>
    <w:rsid w:val="00C27678"/>
    <w:rsid w:val="00C30504"/>
    <w:rsid w:val="00C31177"/>
    <w:rsid w:val="00C31346"/>
    <w:rsid w:val="00C31DC1"/>
    <w:rsid w:val="00C33162"/>
    <w:rsid w:val="00C34216"/>
    <w:rsid w:val="00C3460D"/>
    <w:rsid w:val="00C349E0"/>
    <w:rsid w:val="00C36950"/>
    <w:rsid w:val="00C36FF2"/>
    <w:rsid w:val="00C41797"/>
    <w:rsid w:val="00C42C96"/>
    <w:rsid w:val="00C4415B"/>
    <w:rsid w:val="00C4452D"/>
    <w:rsid w:val="00C47DC3"/>
    <w:rsid w:val="00C51755"/>
    <w:rsid w:val="00C51E13"/>
    <w:rsid w:val="00C51E41"/>
    <w:rsid w:val="00C52765"/>
    <w:rsid w:val="00C53DB6"/>
    <w:rsid w:val="00C54167"/>
    <w:rsid w:val="00C541FB"/>
    <w:rsid w:val="00C54B89"/>
    <w:rsid w:val="00C54EB8"/>
    <w:rsid w:val="00C551E0"/>
    <w:rsid w:val="00C57C37"/>
    <w:rsid w:val="00C57E71"/>
    <w:rsid w:val="00C60816"/>
    <w:rsid w:val="00C60F04"/>
    <w:rsid w:val="00C61B31"/>
    <w:rsid w:val="00C61F0D"/>
    <w:rsid w:val="00C62285"/>
    <w:rsid w:val="00C635D2"/>
    <w:rsid w:val="00C63C49"/>
    <w:rsid w:val="00C6407F"/>
    <w:rsid w:val="00C65F2F"/>
    <w:rsid w:val="00C662A5"/>
    <w:rsid w:val="00C67595"/>
    <w:rsid w:val="00C677E7"/>
    <w:rsid w:val="00C70950"/>
    <w:rsid w:val="00C713EE"/>
    <w:rsid w:val="00C720E4"/>
    <w:rsid w:val="00C737F8"/>
    <w:rsid w:val="00C768CC"/>
    <w:rsid w:val="00C76ADF"/>
    <w:rsid w:val="00C76EBA"/>
    <w:rsid w:val="00C77E32"/>
    <w:rsid w:val="00C803CE"/>
    <w:rsid w:val="00C8084B"/>
    <w:rsid w:val="00C8193F"/>
    <w:rsid w:val="00C819F9"/>
    <w:rsid w:val="00C82BC8"/>
    <w:rsid w:val="00C82EDE"/>
    <w:rsid w:val="00C85AA3"/>
    <w:rsid w:val="00C85E77"/>
    <w:rsid w:val="00C86B5C"/>
    <w:rsid w:val="00C86E6D"/>
    <w:rsid w:val="00C911D4"/>
    <w:rsid w:val="00C91287"/>
    <w:rsid w:val="00C93521"/>
    <w:rsid w:val="00C93888"/>
    <w:rsid w:val="00C93BB4"/>
    <w:rsid w:val="00C93CE1"/>
    <w:rsid w:val="00C94090"/>
    <w:rsid w:val="00C947AD"/>
    <w:rsid w:val="00C94D3F"/>
    <w:rsid w:val="00C961D0"/>
    <w:rsid w:val="00C96459"/>
    <w:rsid w:val="00C96E38"/>
    <w:rsid w:val="00C9731B"/>
    <w:rsid w:val="00C97707"/>
    <w:rsid w:val="00C97C92"/>
    <w:rsid w:val="00CA0401"/>
    <w:rsid w:val="00CA0A89"/>
    <w:rsid w:val="00CA0B59"/>
    <w:rsid w:val="00CA1375"/>
    <w:rsid w:val="00CA179C"/>
    <w:rsid w:val="00CA48F1"/>
    <w:rsid w:val="00CA4C9C"/>
    <w:rsid w:val="00CA6289"/>
    <w:rsid w:val="00CA638C"/>
    <w:rsid w:val="00CA7C4D"/>
    <w:rsid w:val="00CB2777"/>
    <w:rsid w:val="00CB2825"/>
    <w:rsid w:val="00CB333C"/>
    <w:rsid w:val="00CB478B"/>
    <w:rsid w:val="00CB4805"/>
    <w:rsid w:val="00CB54C8"/>
    <w:rsid w:val="00CB6525"/>
    <w:rsid w:val="00CB68D2"/>
    <w:rsid w:val="00CB728B"/>
    <w:rsid w:val="00CB7A43"/>
    <w:rsid w:val="00CC027E"/>
    <w:rsid w:val="00CC26F5"/>
    <w:rsid w:val="00CC2C1B"/>
    <w:rsid w:val="00CC3B42"/>
    <w:rsid w:val="00CC40EA"/>
    <w:rsid w:val="00CC42AB"/>
    <w:rsid w:val="00CC44F4"/>
    <w:rsid w:val="00CC480D"/>
    <w:rsid w:val="00CC6461"/>
    <w:rsid w:val="00CC66B9"/>
    <w:rsid w:val="00CC6847"/>
    <w:rsid w:val="00CC6D78"/>
    <w:rsid w:val="00CC7E48"/>
    <w:rsid w:val="00CC7F46"/>
    <w:rsid w:val="00CC7F58"/>
    <w:rsid w:val="00CD088F"/>
    <w:rsid w:val="00CD14AE"/>
    <w:rsid w:val="00CD186C"/>
    <w:rsid w:val="00CD1FC9"/>
    <w:rsid w:val="00CD1FE4"/>
    <w:rsid w:val="00CD2E19"/>
    <w:rsid w:val="00CD2FC2"/>
    <w:rsid w:val="00CD3717"/>
    <w:rsid w:val="00CD3A53"/>
    <w:rsid w:val="00CD3B17"/>
    <w:rsid w:val="00CD3BC9"/>
    <w:rsid w:val="00CD4601"/>
    <w:rsid w:val="00CD4DF8"/>
    <w:rsid w:val="00CE0432"/>
    <w:rsid w:val="00CE1C4C"/>
    <w:rsid w:val="00CE3A57"/>
    <w:rsid w:val="00CE6F12"/>
    <w:rsid w:val="00CE7812"/>
    <w:rsid w:val="00CE7D04"/>
    <w:rsid w:val="00CF0EA2"/>
    <w:rsid w:val="00CF29E3"/>
    <w:rsid w:val="00CF34B8"/>
    <w:rsid w:val="00CF39BB"/>
    <w:rsid w:val="00CF42C9"/>
    <w:rsid w:val="00CF4957"/>
    <w:rsid w:val="00CF6FCE"/>
    <w:rsid w:val="00CF7043"/>
    <w:rsid w:val="00CF727C"/>
    <w:rsid w:val="00CF754D"/>
    <w:rsid w:val="00CF77E7"/>
    <w:rsid w:val="00D013C8"/>
    <w:rsid w:val="00D02DFC"/>
    <w:rsid w:val="00D04651"/>
    <w:rsid w:val="00D04E21"/>
    <w:rsid w:val="00D073F3"/>
    <w:rsid w:val="00D077B7"/>
    <w:rsid w:val="00D10427"/>
    <w:rsid w:val="00D10A35"/>
    <w:rsid w:val="00D1209F"/>
    <w:rsid w:val="00D12713"/>
    <w:rsid w:val="00D12EC1"/>
    <w:rsid w:val="00D138E6"/>
    <w:rsid w:val="00D166EA"/>
    <w:rsid w:val="00D16CFB"/>
    <w:rsid w:val="00D16DE6"/>
    <w:rsid w:val="00D2077A"/>
    <w:rsid w:val="00D208A6"/>
    <w:rsid w:val="00D213E6"/>
    <w:rsid w:val="00D213F4"/>
    <w:rsid w:val="00D228BB"/>
    <w:rsid w:val="00D22F77"/>
    <w:rsid w:val="00D243A2"/>
    <w:rsid w:val="00D25DF2"/>
    <w:rsid w:val="00D26BAA"/>
    <w:rsid w:val="00D26F7E"/>
    <w:rsid w:val="00D2720E"/>
    <w:rsid w:val="00D2788C"/>
    <w:rsid w:val="00D30090"/>
    <w:rsid w:val="00D31123"/>
    <w:rsid w:val="00D31207"/>
    <w:rsid w:val="00D3309D"/>
    <w:rsid w:val="00D335A0"/>
    <w:rsid w:val="00D337D4"/>
    <w:rsid w:val="00D34105"/>
    <w:rsid w:val="00D351A2"/>
    <w:rsid w:val="00D36209"/>
    <w:rsid w:val="00D36496"/>
    <w:rsid w:val="00D370DD"/>
    <w:rsid w:val="00D377D8"/>
    <w:rsid w:val="00D37D21"/>
    <w:rsid w:val="00D40186"/>
    <w:rsid w:val="00D40A92"/>
    <w:rsid w:val="00D435D8"/>
    <w:rsid w:val="00D460AC"/>
    <w:rsid w:val="00D460E5"/>
    <w:rsid w:val="00D46CD3"/>
    <w:rsid w:val="00D46D80"/>
    <w:rsid w:val="00D479A4"/>
    <w:rsid w:val="00D506E1"/>
    <w:rsid w:val="00D50CFD"/>
    <w:rsid w:val="00D510E0"/>
    <w:rsid w:val="00D534E2"/>
    <w:rsid w:val="00D54DEC"/>
    <w:rsid w:val="00D5534B"/>
    <w:rsid w:val="00D56E13"/>
    <w:rsid w:val="00D570F4"/>
    <w:rsid w:val="00D607C2"/>
    <w:rsid w:val="00D60871"/>
    <w:rsid w:val="00D61199"/>
    <w:rsid w:val="00D61F40"/>
    <w:rsid w:val="00D622EC"/>
    <w:rsid w:val="00D623AF"/>
    <w:rsid w:val="00D6284C"/>
    <w:rsid w:val="00D64197"/>
    <w:rsid w:val="00D65953"/>
    <w:rsid w:val="00D65A78"/>
    <w:rsid w:val="00D66F7E"/>
    <w:rsid w:val="00D73444"/>
    <w:rsid w:val="00D73633"/>
    <w:rsid w:val="00D73FDF"/>
    <w:rsid w:val="00D75813"/>
    <w:rsid w:val="00D76018"/>
    <w:rsid w:val="00D76083"/>
    <w:rsid w:val="00D76A87"/>
    <w:rsid w:val="00D7779A"/>
    <w:rsid w:val="00D8040E"/>
    <w:rsid w:val="00D808AE"/>
    <w:rsid w:val="00D82051"/>
    <w:rsid w:val="00D83251"/>
    <w:rsid w:val="00D85744"/>
    <w:rsid w:val="00D863F8"/>
    <w:rsid w:val="00D90456"/>
    <w:rsid w:val="00D90682"/>
    <w:rsid w:val="00D90FDA"/>
    <w:rsid w:val="00D92D20"/>
    <w:rsid w:val="00D92FAC"/>
    <w:rsid w:val="00D943A3"/>
    <w:rsid w:val="00D96D49"/>
    <w:rsid w:val="00D97408"/>
    <w:rsid w:val="00D9761B"/>
    <w:rsid w:val="00D9780E"/>
    <w:rsid w:val="00DA049C"/>
    <w:rsid w:val="00DA1430"/>
    <w:rsid w:val="00DA2F03"/>
    <w:rsid w:val="00DA3CB0"/>
    <w:rsid w:val="00DA4E28"/>
    <w:rsid w:val="00DA657E"/>
    <w:rsid w:val="00DA68F6"/>
    <w:rsid w:val="00DA6F72"/>
    <w:rsid w:val="00DB03D9"/>
    <w:rsid w:val="00DB0ED2"/>
    <w:rsid w:val="00DB1159"/>
    <w:rsid w:val="00DB2DCF"/>
    <w:rsid w:val="00DB3587"/>
    <w:rsid w:val="00DB4DC9"/>
    <w:rsid w:val="00DB52EA"/>
    <w:rsid w:val="00DB5427"/>
    <w:rsid w:val="00DB5510"/>
    <w:rsid w:val="00DB7330"/>
    <w:rsid w:val="00DB7BD6"/>
    <w:rsid w:val="00DC00D6"/>
    <w:rsid w:val="00DC01CF"/>
    <w:rsid w:val="00DC0304"/>
    <w:rsid w:val="00DC05AA"/>
    <w:rsid w:val="00DC05C9"/>
    <w:rsid w:val="00DC07E6"/>
    <w:rsid w:val="00DC2245"/>
    <w:rsid w:val="00DC3292"/>
    <w:rsid w:val="00DC34CA"/>
    <w:rsid w:val="00DC3758"/>
    <w:rsid w:val="00DC39F2"/>
    <w:rsid w:val="00DC5EF3"/>
    <w:rsid w:val="00DC7CD0"/>
    <w:rsid w:val="00DD0E73"/>
    <w:rsid w:val="00DD1CB4"/>
    <w:rsid w:val="00DD1D88"/>
    <w:rsid w:val="00DD1DFE"/>
    <w:rsid w:val="00DD22A5"/>
    <w:rsid w:val="00DD25AF"/>
    <w:rsid w:val="00DD4618"/>
    <w:rsid w:val="00DD4911"/>
    <w:rsid w:val="00DD4FA5"/>
    <w:rsid w:val="00DD63EA"/>
    <w:rsid w:val="00DD708E"/>
    <w:rsid w:val="00DD70C4"/>
    <w:rsid w:val="00DD7942"/>
    <w:rsid w:val="00DE0F91"/>
    <w:rsid w:val="00DE1EB2"/>
    <w:rsid w:val="00DE260A"/>
    <w:rsid w:val="00DE3126"/>
    <w:rsid w:val="00DE3142"/>
    <w:rsid w:val="00DE3271"/>
    <w:rsid w:val="00DE4336"/>
    <w:rsid w:val="00DE4F7E"/>
    <w:rsid w:val="00DE51AF"/>
    <w:rsid w:val="00DE54A2"/>
    <w:rsid w:val="00DE54E1"/>
    <w:rsid w:val="00DE60D8"/>
    <w:rsid w:val="00DE6415"/>
    <w:rsid w:val="00DE6BFE"/>
    <w:rsid w:val="00DE75CE"/>
    <w:rsid w:val="00DF02CF"/>
    <w:rsid w:val="00DF054C"/>
    <w:rsid w:val="00DF0696"/>
    <w:rsid w:val="00DF10DE"/>
    <w:rsid w:val="00DF2554"/>
    <w:rsid w:val="00DF42F2"/>
    <w:rsid w:val="00DF48EB"/>
    <w:rsid w:val="00DF4BFB"/>
    <w:rsid w:val="00DF51F1"/>
    <w:rsid w:val="00DF5223"/>
    <w:rsid w:val="00DF5C64"/>
    <w:rsid w:val="00DF5E5E"/>
    <w:rsid w:val="00DF665C"/>
    <w:rsid w:val="00DF713B"/>
    <w:rsid w:val="00DF7250"/>
    <w:rsid w:val="00DF72A5"/>
    <w:rsid w:val="00DF7776"/>
    <w:rsid w:val="00DF7CD8"/>
    <w:rsid w:val="00E00549"/>
    <w:rsid w:val="00E00BCE"/>
    <w:rsid w:val="00E04341"/>
    <w:rsid w:val="00E04D37"/>
    <w:rsid w:val="00E04F98"/>
    <w:rsid w:val="00E05BBE"/>
    <w:rsid w:val="00E060D6"/>
    <w:rsid w:val="00E06342"/>
    <w:rsid w:val="00E06AB9"/>
    <w:rsid w:val="00E07ED7"/>
    <w:rsid w:val="00E100B6"/>
    <w:rsid w:val="00E10188"/>
    <w:rsid w:val="00E10C8D"/>
    <w:rsid w:val="00E1153C"/>
    <w:rsid w:val="00E11A31"/>
    <w:rsid w:val="00E11B4B"/>
    <w:rsid w:val="00E13035"/>
    <w:rsid w:val="00E13287"/>
    <w:rsid w:val="00E13410"/>
    <w:rsid w:val="00E134B3"/>
    <w:rsid w:val="00E1363E"/>
    <w:rsid w:val="00E143C7"/>
    <w:rsid w:val="00E147E7"/>
    <w:rsid w:val="00E1529C"/>
    <w:rsid w:val="00E15D47"/>
    <w:rsid w:val="00E16995"/>
    <w:rsid w:val="00E16FE8"/>
    <w:rsid w:val="00E20949"/>
    <w:rsid w:val="00E21088"/>
    <w:rsid w:val="00E21B5B"/>
    <w:rsid w:val="00E22095"/>
    <w:rsid w:val="00E24F6E"/>
    <w:rsid w:val="00E25417"/>
    <w:rsid w:val="00E263BA"/>
    <w:rsid w:val="00E269EE"/>
    <w:rsid w:val="00E26FF4"/>
    <w:rsid w:val="00E271C1"/>
    <w:rsid w:val="00E2760F"/>
    <w:rsid w:val="00E27C67"/>
    <w:rsid w:val="00E3064D"/>
    <w:rsid w:val="00E33458"/>
    <w:rsid w:val="00E33AFA"/>
    <w:rsid w:val="00E34D99"/>
    <w:rsid w:val="00E352DF"/>
    <w:rsid w:val="00E36CA0"/>
    <w:rsid w:val="00E37057"/>
    <w:rsid w:val="00E40836"/>
    <w:rsid w:val="00E41464"/>
    <w:rsid w:val="00E4185F"/>
    <w:rsid w:val="00E418A7"/>
    <w:rsid w:val="00E41E7D"/>
    <w:rsid w:val="00E430C1"/>
    <w:rsid w:val="00E4395B"/>
    <w:rsid w:val="00E4417C"/>
    <w:rsid w:val="00E45518"/>
    <w:rsid w:val="00E45D67"/>
    <w:rsid w:val="00E50D22"/>
    <w:rsid w:val="00E514E1"/>
    <w:rsid w:val="00E51D03"/>
    <w:rsid w:val="00E52070"/>
    <w:rsid w:val="00E56118"/>
    <w:rsid w:val="00E60023"/>
    <w:rsid w:val="00E600D6"/>
    <w:rsid w:val="00E605AE"/>
    <w:rsid w:val="00E61031"/>
    <w:rsid w:val="00E613A0"/>
    <w:rsid w:val="00E6158A"/>
    <w:rsid w:val="00E6235E"/>
    <w:rsid w:val="00E636C0"/>
    <w:rsid w:val="00E64383"/>
    <w:rsid w:val="00E64406"/>
    <w:rsid w:val="00E66B49"/>
    <w:rsid w:val="00E66C45"/>
    <w:rsid w:val="00E674E5"/>
    <w:rsid w:val="00E675D0"/>
    <w:rsid w:val="00E67606"/>
    <w:rsid w:val="00E6774E"/>
    <w:rsid w:val="00E702C4"/>
    <w:rsid w:val="00E70B8C"/>
    <w:rsid w:val="00E71EFD"/>
    <w:rsid w:val="00E73F60"/>
    <w:rsid w:val="00E74412"/>
    <w:rsid w:val="00E74EEC"/>
    <w:rsid w:val="00E74FFA"/>
    <w:rsid w:val="00E75977"/>
    <w:rsid w:val="00E76683"/>
    <w:rsid w:val="00E76F57"/>
    <w:rsid w:val="00E77481"/>
    <w:rsid w:val="00E80BE8"/>
    <w:rsid w:val="00E81AB3"/>
    <w:rsid w:val="00E8330D"/>
    <w:rsid w:val="00E83F56"/>
    <w:rsid w:val="00E8455F"/>
    <w:rsid w:val="00E874B4"/>
    <w:rsid w:val="00E87AF9"/>
    <w:rsid w:val="00E90434"/>
    <w:rsid w:val="00E90F8A"/>
    <w:rsid w:val="00E9259D"/>
    <w:rsid w:val="00E93101"/>
    <w:rsid w:val="00E9313E"/>
    <w:rsid w:val="00E93761"/>
    <w:rsid w:val="00E948A5"/>
    <w:rsid w:val="00E95067"/>
    <w:rsid w:val="00E95E3E"/>
    <w:rsid w:val="00E95E76"/>
    <w:rsid w:val="00E962F2"/>
    <w:rsid w:val="00E973D5"/>
    <w:rsid w:val="00EA010D"/>
    <w:rsid w:val="00EA0ED1"/>
    <w:rsid w:val="00EA1523"/>
    <w:rsid w:val="00EA2731"/>
    <w:rsid w:val="00EA279A"/>
    <w:rsid w:val="00EA2F8B"/>
    <w:rsid w:val="00EA3A1D"/>
    <w:rsid w:val="00EA445A"/>
    <w:rsid w:val="00EA57D0"/>
    <w:rsid w:val="00EA6445"/>
    <w:rsid w:val="00EA70CB"/>
    <w:rsid w:val="00EA7D98"/>
    <w:rsid w:val="00EB2483"/>
    <w:rsid w:val="00EB5B14"/>
    <w:rsid w:val="00EB683C"/>
    <w:rsid w:val="00EB734F"/>
    <w:rsid w:val="00EB75C2"/>
    <w:rsid w:val="00EB7981"/>
    <w:rsid w:val="00EC0019"/>
    <w:rsid w:val="00EC02A2"/>
    <w:rsid w:val="00EC0520"/>
    <w:rsid w:val="00EC070C"/>
    <w:rsid w:val="00EC0E05"/>
    <w:rsid w:val="00EC17B5"/>
    <w:rsid w:val="00EC23BF"/>
    <w:rsid w:val="00EC3BFD"/>
    <w:rsid w:val="00EC3E45"/>
    <w:rsid w:val="00EC439B"/>
    <w:rsid w:val="00EC55ED"/>
    <w:rsid w:val="00EC7FDD"/>
    <w:rsid w:val="00ED0996"/>
    <w:rsid w:val="00ED1312"/>
    <w:rsid w:val="00ED1A64"/>
    <w:rsid w:val="00ED3E13"/>
    <w:rsid w:val="00ED6014"/>
    <w:rsid w:val="00ED64EE"/>
    <w:rsid w:val="00ED6A94"/>
    <w:rsid w:val="00EE0049"/>
    <w:rsid w:val="00EE01D0"/>
    <w:rsid w:val="00EE0E63"/>
    <w:rsid w:val="00EE10A5"/>
    <w:rsid w:val="00EE2AC6"/>
    <w:rsid w:val="00EE2EBF"/>
    <w:rsid w:val="00EE2EFE"/>
    <w:rsid w:val="00EE5274"/>
    <w:rsid w:val="00EE55CB"/>
    <w:rsid w:val="00EE6081"/>
    <w:rsid w:val="00EE6375"/>
    <w:rsid w:val="00EE6A96"/>
    <w:rsid w:val="00EF05FD"/>
    <w:rsid w:val="00EF1219"/>
    <w:rsid w:val="00EF1B3B"/>
    <w:rsid w:val="00EF231F"/>
    <w:rsid w:val="00EF3C22"/>
    <w:rsid w:val="00EF4428"/>
    <w:rsid w:val="00EF4657"/>
    <w:rsid w:val="00EF4C37"/>
    <w:rsid w:val="00EF5378"/>
    <w:rsid w:val="00EF54AC"/>
    <w:rsid w:val="00EF59F0"/>
    <w:rsid w:val="00EF7795"/>
    <w:rsid w:val="00F007BC"/>
    <w:rsid w:val="00F008C6"/>
    <w:rsid w:val="00F0224B"/>
    <w:rsid w:val="00F033F2"/>
    <w:rsid w:val="00F045F2"/>
    <w:rsid w:val="00F051A2"/>
    <w:rsid w:val="00F05AF4"/>
    <w:rsid w:val="00F05C68"/>
    <w:rsid w:val="00F10B41"/>
    <w:rsid w:val="00F10CB6"/>
    <w:rsid w:val="00F10FAF"/>
    <w:rsid w:val="00F113B5"/>
    <w:rsid w:val="00F1154F"/>
    <w:rsid w:val="00F11DDD"/>
    <w:rsid w:val="00F12106"/>
    <w:rsid w:val="00F13231"/>
    <w:rsid w:val="00F14039"/>
    <w:rsid w:val="00F15101"/>
    <w:rsid w:val="00F15307"/>
    <w:rsid w:val="00F1585E"/>
    <w:rsid w:val="00F15AB4"/>
    <w:rsid w:val="00F15ED8"/>
    <w:rsid w:val="00F16046"/>
    <w:rsid w:val="00F164E6"/>
    <w:rsid w:val="00F16DC2"/>
    <w:rsid w:val="00F178C8"/>
    <w:rsid w:val="00F17B63"/>
    <w:rsid w:val="00F17BE2"/>
    <w:rsid w:val="00F20119"/>
    <w:rsid w:val="00F20B5D"/>
    <w:rsid w:val="00F21756"/>
    <w:rsid w:val="00F2296F"/>
    <w:rsid w:val="00F22DC4"/>
    <w:rsid w:val="00F24D45"/>
    <w:rsid w:val="00F252E5"/>
    <w:rsid w:val="00F26804"/>
    <w:rsid w:val="00F302DA"/>
    <w:rsid w:val="00F30CF8"/>
    <w:rsid w:val="00F31C17"/>
    <w:rsid w:val="00F34292"/>
    <w:rsid w:val="00F35F54"/>
    <w:rsid w:val="00F362B5"/>
    <w:rsid w:val="00F36A77"/>
    <w:rsid w:val="00F36B91"/>
    <w:rsid w:val="00F37A4F"/>
    <w:rsid w:val="00F40A99"/>
    <w:rsid w:val="00F41060"/>
    <w:rsid w:val="00F41B6E"/>
    <w:rsid w:val="00F42C2D"/>
    <w:rsid w:val="00F43857"/>
    <w:rsid w:val="00F4438B"/>
    <w:rsid w:val="00F46E21"/>
    <w:rsid w:val="00F4723C"/>
    <w:rsid w:val="00F47F3F"/>
    <w:rsid w:val="00F50D7A"/>
    <w:rsid w:val="00F520A9"/>
    <w:rsid w:val="00F52F66"/>
    <w:rsid w:val="00F53AA0"/>
    <w:rsid w:val="00F54B7A"/>
    <w:rsid w:val="00F5519F"/>
    <w:rsid w:val="00F56FBA"/>
    <w:rsid w:val="00F5716E"/>
    <w:rsid w:val="00F57471"/>
    <w:rsid w:val="00F57672"/>
    <w:rsid w:val="00F57978"/>
    <w:rsid w:val="00F608E2"/>
    <w:rsid w:val="00F612B1"/>
    <w:rsid w:val="00F61E95"/>
    <w:rsid w:val="00F625BF"/>
    <w:rsid w:val="00F63934"/>
    <w:rsid w:val="00F64DD5"/>
    <w:rsid w:val="00F64F8E"/>
    <w:rsid w:val="00F65ED9"/>
    <w:rsid w:val="00F7014A"/>
    <w:rsid w:val="00F715BA"/>
    <w:rsid w:val="00F72CAC"/>
    <w:rsid w:val="00F750A2"/>
    <w:rsid w:val="00F76109"/>
    <w:rsid w:val="00F76B24"/>
    <w:rsid w:val="00F76B4C"/>
    <w:rsid w:val="00F7719C"/>
    <w:rsid w:val="00F777F3"/>
    <w:rsid w:val="00F80155"/>
    <w:rsid w:val="00F804F9"/>
    <w:rsid w:val="00F8118E"/>
    <w:rsid w:val="00F84C34"/>
    <w:rsid w:val="00F8609A"/>
    <w:rsid w:val="00F86B1B"/>
    <w:rsid w:val="00F86F70"/>
    <w:rsid w:val="00F873D2"/>
    <w:rsid w:val="00F8764E"/>
    <w:rsid w:val="00F877ED"/>
    <w:rsid w:val="00F878A5"/>
    <w:rsid w:val="00F90589"/>
    <w:rsid w:val="00F90A8F"/>
    <w:rsid w:val="00F91D2F"/>
    <w:rsid w:val="00F923DE"/>
    <w:rsid w:val="00F9332C"/>
    <w:rsid w:val="00F95529"/>
    <w:rsid w:val="00F96CC1"/>
    <w:rsid w:val="00F977F7"/>
    <w:rsid w:val="00FA108E"/>
    <w:rsid w:val="00FA2F73"/>
    <w:rsid w:val="00FA3EB0"/>
    <w:rsid w:val="00FA49D9"/>
    <w:rsid w:val="00FA4A08"/>
    <w:rsid w:val="00FA4DB9"/>
    <w:rsid w:val="00FA59B4"/>
    <w:rsid w:val="00FA60BF"/>
    <w:rsid w:val="00FA67E6"/>
    <w:rsid w:val="00FA7BA6"/>
    <w:rsid w:val="00FA7D6D"/>
    <w:rsid w:val="00FB13C0"/>
    <w:rsid w:val="00FB1622"/>
    <w:rsid w:val="00FB204D"/>
    <w:rsid w:val="00FB25FB"/>
    <w:rsid w:val="00FB296E"/>
    <w:rsid w:val="00FB2AE1"/>
    <w:rsid w:val="00FB2B7C"/>
    <w:rsid w:val="00FB338B"/>
    <w:rsid w:val="00FB3528"/>
    <w:rsid w:val="00FB38AF"/>
    <w:rsid w:val="00FB4486"/>
    <w:rsid w:val="00FB4BAB"/>
    <w:rsid w:val="00FB4C7F"/>
    <w:rsid w:val="00FB4DFC"/>
    <w:rsid w:val="00FB4E8D"/>
    <w:rsid w:val="00FB6F40"/>
    <w:rsid w:val="00FB6FB1"/>
    <w:rsid w:val="00FB7CD5"/>
    <w:rsid w:val="00FC057E"/>
    <w:rsid w:val="00FC09B6"/>
    <w:rsid w:val="00FC1ED9"/>
    <w:rsid w:val="00FC23EF"/>
    <w:rsid w:val="00FC55B3"/>
    <w:rsid w:val="00FC5AEB"/>
    <w:rsid w:val="00FC692E"/>
    <w:rsid w:val="00FD00AF"/>
    <w:rsid w:val="00FD0635"/>
    <w:rsid w:val="00FD2604"/>
    <w:rsid w:val="00FD2728"/>
    <w:rsid w:val="00FD2A1B"/>
    <w:rsid w:val="00FD326B"/>
    <w:rsid w:val="00FD5416"/>
    <w:rsid w:val="00FD6FA6"/>
    <w:rsid w:val="00FD7CE2"/>
    <w:rsid w:val="00FE0090"/>
    <w:rsid w:val="00FE0490"/>
    <w:rsid w:val="00FE14CB"/>
    <w:rsid w:val="00FE21E3"/>
    <w:rsid w:val="00FE25D0"/>
    <w:rsid w:val="00FE3C8C"/>
    <w:rsid w:val="00FE585E"/>
    <w:rsid w:val="00FE5999"/>
    <w:rsid w:val="00FE5A74"/>
    <w:rsid w:val="00FE5F13"/>
    <w:rsid w:val="00FE6508"/>
    <w:rsid w:val="00FE6905"/>
    <w:rsid w:val="00FE7EE4"/>
    <w:rsid w:val="00FF13A4"/>
    <w:rsid w:val="00FF1496"/>
    <w:rsid w:val="00FF32A1"/>
    <w:rsid w:val="00FF37E9"/>
    <w:rsid w:val="00FF3FA1"/>
    <w:rsid w:val="00FF5D23"/>
    <w:rsid w:val="00FF615D"/>
    <w:rsid w:val="00FF64BA"/>
    <w:rsid w:val="00FF6511"/>
    <w:rsid w:val="00FF7475"/>
    <w:rsid w:val="00FF7D2B"/>
    <w:rsid w:val="01142EFC"/>
    <w:rsid w:val="02AA5B7D"/>
    <w:rsid w:val="02DA0DDD"/>
    <w:rsid w:val="04132AE5"/>
    <w:rsid w:val="045875EE"/>
    <w:rsid w:val="04C97181"/>
    <w:rsid w:val="05645169"/>
    <w:rsid w:val="05860AA0"/>
    <w:rsid w:val="05B970E0"/>
    <w:rsid w:val="06311428"/>
    <w:rsid w:val="07344756"/>
    <w:rsid w:val="07702356"/>
    <w:rsid w:val="07E35A5B"/>
    <w:rsid w:val="08D10652"/>
    <w:rsid w:val="092A35DB"/>
    <w:rsid w:val="0A662F3D"/>
    <w:rsid w:val="0CDA4765"/>
    <w:rsid w:val="0E2E2851"/>
    <w:rsid w:val="0F3747BA"/>
    <w:rsid w:val="104A0632"/>
    <w:rsid w:val="10E05DEC"/>
    <w:rsid w:val="11EA0D70"/>
    <w:rsid w:val="132B2B4B"/>
    <w:rsid w:val="145662B8"/>
    <w:rsid w:val="146411B3"/>
    <w:rsid w:val="14770F16"/>
    <w:rsid w:val="14F52FE5"/>
    <w:rsid w:val="168A1B55"/>
    <w:rsid w:val="1804022B"/>
    <w:rsid w:val="182E2909"/>
    <w:rsid w:val="185C1FA2"/>
    <w:rsid w:val="18E960C0"/>
    <w:rsid w:val="1BC603E1"/>
    <w:rsid w:val="1C664A4D"/>
    <w:rsid w:val="1C8B623F"/>
    <w:rsid w:val="1D4E2C02"/>
    <w:rsid w:val="1D595063"/>
    <w:rsid w:val="1EEB72DF"/>
    <w:rsid w:val="1FBD185D"/>
    <w:rsid w:val="1FE1254C"/>
    <w:rsid w:val="20BD6AE5"/>
    <w:rsid w:val="221B069A"/>
    <w:rsid w:val="23CF617A"/>
    <w:rsid w:val="24085B1D"/>
    <w:rsid w:val="25015C3B"/>
    <w:rsid w:val="28373446"/>
    <w:rsid w:val="28A112BE"/>
    <w:rsid w:val="29055E8C"/>
    <w:rsid w:val="290B374A"/>
    <w:rsid w:val="2A710806"/>
    <w:rsid w:val="2AB772D9"/>
    <w:rsid w:val="2BCA663C"/>
    <w:rsid w:val="2E544BF6"/>
    <w:rsid w:val="304F1246"/>
    <w:rsid w:val="3121636C"/>
    <w:rsid w:val="31CF708E"/>
    <w:rsid w:val="31D57F7F"/>
    <w:rsid w:val="322B42CC"/>
    <w:rsid w:val="33351062"/>
    <w:rsid w:val="357B753E"/>
    <w:rsid w:val="35A23989"/>
    <w:rsid w:val="35B448CA"/>
    <w:rsid w:val="35DE19DF"/>
    <w:rsid w:val="365C43BA"/>
    <w:rsid w:val="36DC72F1"/>
    <w:rsid w:val="37340B1D"/>
    <w:rsid w:val="37F401F0"/>
    <w:rsid w:val="381E2B9F"/>
    <w:rsid w:val="38533508"/>
    <w:rsid w:val="385A3AD0"/>
    <w:rsid w:val="38A17ABD"/>
    <w:rsid w:val="39A16ACD"/>
    <w:rsid w:val="3A021A3D"/>
    <w:rsid w:val="3B494567"/>
    <w:rsid w:val="3B6002E9"/>
    <w:rsid w:val="3E1D596C"/>
    <w:rsid w:val="3F7C70EB"/>
    <w:rsid w:val="409436EC"/>
    <w:rsid w:val="418D1537"/>
    <w:rsid w:val="42DD0C8B"/>
    <w:rsid w:val="45235D66"/>
    <w:rsid w:val="454A3D0E"/>
    <w:rsid w:val="4763556D"/>
    <w:rsid w:val="476D1496"/>
    <w:rsid w:val="47811C1D"/>
    <w:rsid w:val="48325B48"/>
    <w:rsid w:val="4B3B30DB"/>
    <w:rsid w:val="4B421DA5"/>
    <w:rsid w:val="4BD65B89"/>
    <w:rsid w:val="4BE51AF1"/>
    <w:rsid w:val="4CA14F0B"/>
    <w:rsid w:val="4D516BF5"/>
    <w:rsid w:val="4D893F5F"/>
    <w:rsid w:val="4F6A50AB"/>
    <w:rsid w:val="4FA727D4"/>
    <w:rsid w:val="54957775"/>
    <w:rsid w:val="5508216F"/>
    <w:rsid w:val="55C0378F"/>
    <w:rsid w:val="56BA41C9"/>
    <w:rsid w:val="598377BF"/>
    <w:rsid w:val="59F83469"/>
    <w:rsid w:val="5A1610A0"/>
    <w:rsid w:val="5B570D42"/>
    <w:rsid w:val="5D27015D"/>
    <w:rsid w:val="5D4E3AE4"/>
    <w:rsid w:val="5D5B5065"/>
    <w:rsid w:val="5EB80508"/>
    <w:rsid w:val="61092A40"/>
    <w:rsid w:val="61BE21CF"/>
    <w:rsid w:val="622B1A18"/>
    <w:rsid w:val="62700640"/>
    <w:rsid w:val="628559C8"/>
    <w:rsid w:val="644C495D"/>
    <w:rsid w:val="64715C24"/>
    <w:rsid w:val="650414C0"/>
    <w:rsid w:val="65224C04"/>
    <w:rsid w:val="65FA31A1"/>
    <w:rsid w:val="665C267F"/>
    <w:rsid w:val="67F83836"/>
    <w:rsid w:val="68370338"/>
    <w:rsid w:val="68C46AF0"/>
    <w:rsid w:val="6B650C2F"/>
    <w:rsid w:val="6C520652"/>
    <w:rsid w:val="6D9E3B4A"/>
    <w:rsid w:val="6EA53FDE"/>
    <w:rsid w:val="6F0C1E15"/>
    <w:rsid w:val="6F4739DC"/>
    <w:rsid w:val="70650505"/>
    <w:rsid w:val="70651D96"/>
    <w:rsid w:val="70812704"/>
    <w:rsid w:val="715E23FC"/>
    <w:rsid w:val="722F3441"/>
    <w:rsid w:val="72A250BF"/>
    <w:rsid w:val="740F7653"/>
    <w:rsid w:val="748E78D8"/>
    <w:rsid w:val="750165BA"/>
    <w:rsid w:val="76D04E2A"/>
    <w:rsid w:val="76E76D03"/>
    <w:rsid w:val="77396964"/>
    <w:rsid w:val="77C600FB"/>
    <w:rsid w:val="7886508D"/>
    <w:rsid w:val="7A465CAC"/>
    <w:rsid w:val="7A5C3A6E"/>
    <w:rsid w:val="7B7A34C4"/>
    <w:rsid w:val="7D6350C7"/>
    <w:rsid w:val="7D8B4F86"/>
    <w:rsid w:val="7DC31F48"/>
    <w:rsid w:val="7E133FBA"/>
    <w:rsid w:val="7F186204"/>
    <w:rsid w:val="7F3A78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99"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2"/>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5"/>
    <w:link w:val="133"/>
    <w:autoRedefine/>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6">
    <w:name w:val="heading 3"/>
    <w:basedOn w:val="1"/>
    <w:next w:val="7"/>
    <w:link w:val="135"/>
    <w:autoRedefine/>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styleId="9">
    <w:name w:val="heading 4"/>
    <w:basedOn w:val="1"/>
    <w:next w:val="1"/>
    <w:link w:val="136"/>
    <w:autoRedefine/>
    <w:qFormat/>
    <w:uiPriority w:val="0"/>
    <w:pPr>
      <w:keepNext/>
      <w:keepLines/>
      <w:spacing w:before="280" w:after="290" w:line="376" w:lineRule="auto"/>
      <w:outlineLvl w:val="3"/>
    </w:pPr>
    <w:rPr>
      <w:rFonts w:ascii="Cambria" w:hAnsi="Cambria"/>
      <w:b/>
      <w:bCs/>
      <w:sz w:val="28"/>
      <w:szCs w:val="28"/>
    </w:rPr>
  </w:style>
  <w:style w:type="paragraph" w:styleId="10">
    <w:name w:val="heading 5"/>
    <w:basedOn w:val="1"/>
    <w:next w:val="1"/>
    <w:link w:val="137"/>
    <w:autoRedefine/>
    <w:qFormat/>
    <w:uiPriority w:val="0"/>
    <w:pPr>
      <w:keepNext/>
      <w:keepLines/>
      <w:spacing w:beforeLines="100" w:afterLines="100" w:line="360" w:lineRule="auto"/>
      <w:outlineLvl w:val="4"/>
    </w:pPr>
    <w:rPr>
      <w:b/>
      <w:bCs/>
      <w:sz w:val="28"/>
      <w:szCs w:val="28"/>
    </w:rPr>
  </w:style>
  <w:style w:type="paragraph" w:styleId="11">
    <w:name w:val="heading 6"/>
    <w:basedOn w:val="1"/>
    <w:next w:val="1"/>
    <w:link w:val="138"/>
    <w:autoRedefine/>
    <w:qFormat/>
    <w:uiPriority w:val="0"/>
    <w:pPr>
      <w:keepNext/>
      <w:keepLines/>
      <w:spacing w:beforeLines="100" w:afterLines="100" w:line="360" w:lineRule="auto"/>
      <w:outlineLvl w:val="5"/>
    </w:pPr>
    <w:rPr>
      <w:rFonts w:ascii="Cambria" w:hAnsi="Cambria"/>
      <w:b/>
      <w:bCs/>
      <w:sz w:val="24"/>
    </w:rPr>
  </w:style>
  <w:style w:type="paragraph" w:styleId="12">
    <w:name w:val="heading 7"/>
    <w:basedOn w:val="1"/>
    <w:next w:val="1"/>
    <w:link w:val="139"/>
    <w:autoRedefine/>
    <w:qFormat/>
    <w:uiPriority w:val="0"/>
    <w:pPr>
      <w:keepNext/>
      <w:keepLines/>
      <w:spacing w:beforeLines="100" w:afterLines="100" w:line="360" w:lineRule="auto"/>
      <w:outlineLvl w:val="6"/>
    </w:pPr>
    <w:rPr>
      <w:b/>
      <w:bCs/>
      <w:sz w:val="24"/>
    </w:rPr>
  </w:style>
  <w:style w:type="paragraph" w:styleId="13">
    <w:name w:val="heading 8"/>
    <w:basedOn w:val="1"/>
    <w:next w:val="1"/>
    <w:link w:val="140"/>
    <w:autoRedefine/>
    <w:qFormat/>
    <w:uiPriority w:val="0"/>
    <w:pPr>
      <w:keepNext/>
      <w:keepLines/>
      <w:spacing w:beforeLines="100" w:afterLines="100" w:line="360" w:lineRule="auto"/>
      <w:outlineLvl w:val="7"/>
    </w:pPr>
    <w:rPr>
      <w:rFonts w:ascii="Cambria" w:hAnsi="Cambria"/>
      <w:b/>
      <w:sz w:val="24"/>
    </w:rPr>
  </w:style>
  <w:style w:type="paragraph" w:styleId="14">
    <w:name w:val="heading 9"/>
    <w:basedOn w:val="1"/>
    <w:next w:val="1"/>
    <w:link w:val="141"/>
    <w:autoRedefine/>
    <w:qFormat/>
    <w:uiPriority w:val="0"/>
    <w:pPr>
      <w:keepNext/>
      <w:keepLines/>
      <w:spacing w:beforeLines="100" w:afterLines="100" w:line="360" w:lineRule="auto"/>
      <w:outlineLvl w:val="8"/>
    </w:pPr>
    <w:rPr>
      <w:rFonts w:ascii="Cambria" w:hAnsi="Cambria"/>
      <w:b/>
      <w:sz w:val="24"/>
      <w:szCs w:val="21"/>
    </w:rPr>
  </w:style>
  <w:style w:type="character" w:default="1" w:styleId="52">
    <w:name w:val="Default Paragraph Font"/>
    <w:autoRedefine/>
    <w:semiHidden/>
    <w:unhideWhenUsed/>
    <w:qFormat/>
    <w:uiPriority w:val="1"/>
  </w:style>
  <w:style w:type="table" w:default="1" w:styleId="49">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link w:val="159"/>
    <w:autoRedefine/>
    <w:qFormat/>
    <w:uiPriority w:val="0"/>
    <w:pPr>
      <w:spacing w:before="240" w:after="60"/>
      <w:jc w:val="center"/>
      <w:outlineLvl w:val="0"/>
    </w:pPr>
    <w:rPr>
      <w:rFonts w:ascii="Cambria" w:hAnsi="Cambria"/>
      <w:b/>
      <w:bCs/>
      <w:sz w:val="32"/>
      <w:szCs w:val="32"/>
    </w:rPr>
  </w:style>
  <w:style w:type="paragraph" w:customStyle="1" w:styleId="5">
    <w:name w:val="标准正文"/>
    <w:basedOn w:val="1"/>
    <w:autoRedefine/>
    <w:qFormat/>
    <w:uiPriority w:val="0"/>
    <w:pPr>
      <w:spacing w:line="360" w:lineRule="auto"/>
      <w:ind w:firstLine="200" w:firstLineChars="200"/>
    </w:pPr>
    <w:rPr>
      <w:sz w:val="24"/>
      <w:szCs w:val="20"/>
    </w:rPr>
  </w:style>
  <w:style w:type="paragraph" w:styleId="7">
    <w:name w:val="Normal Indent"/>
    <w:basedOn w:val="1"/>
    <w:next w:val="8"/>
    <w:link w:val="134"/>
    <w:autoRedefine/>
    <w:qFormat/>
    <w:uiPriority w:val="0"/>
    <w:pPr>
      <w:ind w:firstLine="420"/>
    </w:pPr>
    <w:rPr>
      <w:szCs w:val="20"/>
    </w:rPr>
  </w:style>
  <w:style w:type="paragraph" w:styleId="8">
    <w:name w:val="Body Text Indent"/>
    <w:basedOn w:val="1"/>
    <w:link w:val="147"/>
    <w:autoRedefine/>
    <w:qFormat/>
    <w:uiPriority w:val="0"/>
    <w:pPr>
      <w:spacing w:line="200" w:lineRule="exact"/>
      <w:ind w:firstLine="301"/>
    </w:pPr>
    <w:rPr>
      <w:rFonts w:ascii="宋体" w:hAnsi="Courier New"/>
      <w:spacing w:val="-4"/>
      <w:sz w:val="18"/>
      <w:szCs w:val="20"/>
    </w:rPr>
  </w:style>
  <w:style w:type="paragraph" w:styleId="15">
    <w:name w:val="toc 7"/>
    <w:basedOn w:val="1"/>
    <w:next w:val="1"/>
    <w:autoRedefine/>
    <w:unhideWhenUsed/>
    <w:qFormat/>
    <w:uiPriority w:val="39"/>
    <w:pPr>
      <w:ind w:left="2520" w:leftChars="1200"/>
    </w:pPr>
    <w:rPr>
      <w:rFonts w:ascii="Calibri" w:hAnsi="Calibri"/>
      <w:szCs w:val="22"/>
    </w:rPr>
  </w:style>
  <w:style w:type="paragraph" w:styleId="16">
    <w:name w:val="List Number"/>
    <w:basedOn w:val="1"/>
    <w:autoRedefine/>
    <w:qFormat/>
    <w:uiPriority w:val="0"/>
    <w:pPr>
      <w:widowControl/>
      <w:tabs>
        <w:tab w:val="left" w:pos="454"/>
        <w:tab w:val="left" w:pos="720"/>
      </w:tabs>
      <w:spacing w:afterLines="50"/>
      <w:ind w:left="720" w:hanging="720"/>
      <w:jc w:val="left"/>
    </w:pPr>
    <w:rPr>
      <w:kern w:val="0"/>
      <w:sz w:val="24"/>
      <w:szCs w:val="20"/>
    </w:rPr>
  </w:style>
  <w:style w:type="paragraph" w:styleId="17">
    <w:name w:val="caption"/>
    <w:basedOn w:val="1"/>
    <w:next w:val="1"/>
    <w:link w:val="142"/>
    <w:autoRedefine/>
    <w:qFormat/>
    <w:uiPriority w:val="0"/>
    <w:pPr>
      <w:spacing w:before="152" w:after="160"/>
    </w:pPr>
    <w:rPr>
      <w:rFonts w:ascii="Arial" w:hAnsi="Arial" w:eastAsia="黑体"/>
      <w:sz w:val="20"/>
      <w:szCs w:val="20"/>
    </w:rPr>
  </w:style>
  <w:style w:type="paragraph" w:styleId="18">
    <w:name w:val="Document Map"/>
    <w:basedOn w:val="1"/>
    <w:link w:val="143"/>
    <w:autoRedefine/>
    <w:qFormat/>
    <w:uiPriority w:val="0"/>
    <w:pPr>
      <w:shd w:val="clear" w:color="auto" w:fill="000080"/>
    </w:pPr>
  </w:style>
  <w:style w:type="paragraph" w:styleId="19">
    <w:name w:val="annotation text"/>
    <w:basedOn w:val="1"/>
    <w:link w:val="144"/>
    <w:autoRedefine/>
    <w:qFormat/>
    <w:uiPriority w:val="99"/>
    <w:pPr>
      <w:jc w:val="left"/>
    </w:pPr>
  </w:style>
  <w:style w:type="paragraph" w:styleId="20">
    <w:name w:val="Body Text 3"/>
    <w:basedOn w:val="1"/>
    <w:link w:val="145"/>
    <w:autoRedefine/>
    <w:qFormat/>
    <w:uiPriority w:val="0"/>
    <w:pPr>
      <w:spacing w:after="120"/>
    </w:pPr>
    <w:rPr>
      <w:sz w:val="16"/>
      <w:szCs w:val="16"/>
    </w:rPr>
  </w:style>
  <w:style w:type="paragraph" w:styleId="21">
    <w:name w:val="Body Text"/>
    <w:basedOn w:val="1"/>
    <w:link w:val="146"/>
    <w:autoRedefine/>
    <w:qFormat/>
    <w:uiPriority w:val="0"/>
    <w:pPr>
      <w:spacing w:after="120"/>
    </w:pPr>
  </w:style>
  <w:style w:type="paragraph" w:styleId="22">
    <w:name w:val="List Number 3"/>
    <w:basedOn w:val="1"/>
    <w:autoRedefine/>
    <w:qFormat/>
    <w:uiPriority w:val="0"/>
    <w:pPr>
      <w:tabs>
        <w:tab w:val="left" w:pos="1200"/>
      </w:tabs>
      <w:ind w:left="1200" w:hanging="360"/>
    </w:pPr>
  </w:style>
  <w:style w:type="paragraph" w:styleId="23">
    <w:name w:val="List 2"/>
    <w:basedOn w:val="1"/>
    <w:autoRedefine/>
    <w:qFormat/>
    <w:uiPriority w:val="0"/>
    <w:pPr>
      <w:ind w:left="566" w:hanging="283"/>
      <w:contextualSpacing/>
    </w:pPr>
  </w:style>
  <w:style w:type="paragraph" w:styleId="24">
    <w:name w:val="toc 5"/>
    <w:basedOn w:val="1"/>
    <w:next w:val="1"/>
    <w:autoRedefine/>
    <w:unhideWhenUsed/>
    <w:qFormat/>
    <w:uiPriority w:val="39"/>
    <w:pPr>
      <w:ind w:left="1680" w:leftChars="800"/>
    </w:pPr>
    <w:rPr>
      <w:rFonts w:ascii="Calibri" w:hAnsi="Calibri"/>
      <w:szCs w:val="22"/>
    </w:rPr>
  </w:style>
  <w:style w:type="paragraph" w:styleId="25">
    <w:name w:val="toc 3"/>
    <w:basedOn w:val="1"/>
    <w:next w:val="1"/>
    <w:autoRedefine/>
    <w:qFormat/>
    <w:uiPriority w:val="39"/>
    <w:pPr>
      <w:ind w:left="840" w:leftChars="400"/>
    </w:pPr>
  </w:style>
  <w:style w:type="paragraph" w:styleId="26">
    <w:name w:val="Plain Text"/>
    <w:basedOn w:val="1"/>
    <w:next w:val="27"/>
    <w:link w:val="148"/>
    <w:autoRedefine/>
    <w:qFormat/>
    <w:uiPriority w:val="99"/>
    <w:rPr>
      <w:rFonts w:ascii="宋体" w:hAnsi="Courier New"/>
      <w:szCs w:val="20"/>
    </w:rPr>
  </w:style>
  <w:style w:type="paragraph" w:styleId="27">
    <w:name w:val="toc 2"/>
    <w:basedOn w:val="1"/>
    <w:next w:val="1"/>
    <w:autoRedefine/>
    <w:qFormat/>
    <w:uiPriority w:val="39"/>
    <w:pPr>
      <w:ind w:left="420" w:leftChars="200"/>
    </w:pPr>
  </w:style>
  <w:style w:type="paragraph" w:styleId="28">
    <w:name w:val="toc 8"/>
    <w:basedOn w:val="1"/>
    <w:next w:val="1"/>
    <w:autoRedefine/>
    <w:unhideWhenUsed/>
    <w:qFormat/>
    <w:uiPriority w:val="39"/>
    <w:pPr>
      <w:ind w:left="2940" w:leftChars="1400"/>
    </w:pPr>
    <w:rPr>
      <w:rFonts w:ascii="Calibri" w:hAnsi="Calibri"/>
      <w:szCs w:val="22"/>
    </w:rPr>
  </w:style>
  <w:style w:type="paragraph" w:styleId="29">
    <w:name w:val="Date"/>
    <w:basedOn w:val="1"/>
    <w:next w:val="1"/>
    <w:link w:val="149"/>
    <w:autoRedefine/>
    <w:qFormat/>
    <w:uiPriority w:val="0"/>
    <w:pPr>
      <w:ind w:left="2500" w:leftChars="2500"/>
    </w:pPr>
    <w:rPr>
      <w:rFonts w:eastAsia="楷体_GB2312"/>
      <w:sz w:val="32"/>
      <w:szCs w:val="20"/>
    </w:rPr>
  </w:style>
  <w:style w:type="paragraph" w:styleId="30">
    <w:name w:val="Body Text Indent 2"/>
    <w:basedOn w:val="1"/>
    <w:link w:val="150"/>
    <w:autoRedefine/>
    <w:qFormat/>
    <w:uiPriority w:val="0"/>
    <w:pPr>
      <w:snapToGrid w:val="0"/>
      <w:ind w:firstLine="542" w:firstLineChars="225"/>
    </w:pPr>
    <w:rPr>
      <w:rFonts w:ascii="仿宋_GB2312" w:hAnsi="宋体"/>
      <w:b/>
      <w:bCs/>
      <w:color w:val="000000"/>
      <w:sz w:val="24"/>
    </w:rPr>
  </w:style>
  <w:style w:type="paragraph" w:styleId="31">
    <w:name w:val="Balloon Text"/>
    <w:basedOn w:val="1"/>
    <w:link w:val="151"/>
    <w:autoRedefine/>
    <w:qFormat/>
    <w:uiPriority w:val="0"/>
    <w:rPr>
      <w:sz w:val="18"/>
      <w:szCs w:val="18"/>
    </w:rPr>
  </w:style>
  <w:style w:type="paragraph" w:styleId="32">
    <w:name w:val="footer"/>
    <w:basedOn w:val="1"/>
    <w:link w:val="152"/>
    <w:autoRedefine/>
    <w:qFormat/>
    <w:uiPriority w:val="99"/>
    <w:pPr>
      <w:tabs>
        <w:tab w:val="center" w:pos="4153"/>
        <w:tab w:val="right" w:pos="8306"/>
      </w:tabs>
      <w:snapToGrid w:val="0"/>
      <w:jc w:val="left"/>
    </w:pPr>
    <w:rPr>
      <w:sz w:val="18"/>
      <w:szCs w:val="18"/>
    </w:rPr>
  </w:style>
  <w:style w:type="paragraph" w:styleId="33">
    <w:name w:val="envelope return"/>
    <w:basedOn w:val="1"/>
    <w:autoRedefine/>
    <w:qFormat/>
    <w:uiPriority w:val="99"/>
    <w:pPr>
      <w:snapToGrid w:val="0"/>
      <w:spacing w:line="240" w:lineRule="auto"/>
      <w:ind w:firstLine="0" w:firstLineChars="0"/>
      <w:jc w:val="both"/>
    </w:pPr>
    <w:rPr>
      <w:rFonts w:ascii="Arial" w:hAnsi="Arial" w:eastAsia="仿宋_GB2312" w:cs="Arial"/>
      <w:sz w:val="32"/>
      <w:szCs w:val="32"/>
    </w:rPr>
  </w:style>
  <w:style w:type="paragraph" w:styleId="34">
    <w:name w:val="header"/>
    <w:basedOn w:val="1"/>
    <w:link w:val="153"/>
    <w:autoRedefine/>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autoRedefine/>
    <w:qFormat/>
    <w:uiPriority w:val="39"/>
  </w:style>
  <w:style w:type="paragraph" w:styleId="36">
    <w:name w:val="toc 4"/>
    <w:basedOn w:val="1"/>
    <w:next w:val="1"/>
    <w:autoRedefine/>
    <w:unhideWhenUsed/>
    <w:qFormat/>
    <w:uiPriority w:val="39"/>
    <w:pPr>
      <w:ind w:left="1260" w:leftChars="600"/>
    </w:pPr>
    <w:rPr>
      <w:rFonts w:ascii="Calibri" w:hAnsi="Calibri"/>
      <w:szCs w:val="22"/>
    </w:rPr>
  </w:style>
  <w:style w:type="paragraph" w:styleId="37">
    <w:name w:val="Subtitle"/>
    <w:basedOn w:val="1"/>
    <w:next w:val="1"/>
    <w:link w:val="154"/>
    <w:autoRedefine/>
    <w:qFormat/>
    <w:uiPriority w:val="0"/>
    <w:pPr>
      <w:spacing w:before="240" w:after="60" w:line="312" w:lineRule="auto"/>
      <w:jc w:val="center"/>
      <w:outlineLvl w:val="1"/>
    </w:pPr>
    <w:rPr>
      <w:rFonts w:ascii="Cambria" w:hAnsi="Cambria"/>
      <w:b/>
      <w:bCs/>
      <w:kern w:val="28"/>
      <w:sz w:val="32"/>
      <w:szCs w:val="32"/>
    </w:rPr>
  </w:style>
  <w:style w:type="paragraph" w:styleId="38">
    <w:name w:val="List"/>
    <w:basedOn w:val="1"/>
    <w:autoRedefine/>
    <w:qFormat/>
    <w:uiPriority w:val="0"/>
    <w:pPr>
      <w:ind w:left="283" w:hanging="283"/>
      <w:contextualSpacing/>
    </w:pPr>
  </w:style>
  <w:style w:type="paragraph" w:styleId="39">
    <w:name w:val="footnote text"/>
    <w:basedOn w:val="1"/>
    <w:link w:val="155"/>
    <w:autoRedefine/>
    <w:qFormat/>
    <w:uiPriority w:val="99"/>
    <w:pPr>
      <w:jc w:val="left"/>
    </w:pPr>
    <w:rPr>
      <w:kern w:val="1"/>
      <w:sz w:val="18"/>
      <w:szCs w:val="18"/>
    </w:rPr>
  </w:style>
  <w:style w:type="paragraph" w:styleId="40">
    <w:name w:val="toc 6"/>
    <w:basedOn w:val="1"/>
    <w:next w:val="1"/>
    <w:autoRedefine/>
    <w:unhideWhenUsed/>
    <w:qFormat/>
    <w:uiPriority w:val="39"/>
    <w:pPr>
      <w:ind w:left="2100" w:leftChars="1000"/>
    </w:pPr>
    <w:rPr>
      <w:rFonts w:ascii="Calibri" w:hAnsi="Calibri"/>
      <w:szCs w:val="22"/>
    </w:rPr>
  </w:style>
  <w:style w:type="paragraph" w:styleId="41">
    <w:name w:val="Body Text Indent 3"/>
    <w:basedOn w:val="1"/>
    <w:link w:val="156"/>
    <w:autoRedefine/>
    <w:qFormat/>
    <w:uiPriority w:val="0"/>
    <w:pPr>
      <w:snapToGrid w:val="0"/>
      <w:ind w:firstLine="480" w:firstLineChars="200"/>
      <w:jc w:val="left"/>
    </w:pPr>
    <w:rPr>
      <w:rFonts w:ascii="仿宋_GB2312" w:hAnsi="宋体" w:eastAsia="仿宋_GB2312"/>
      <w:color w:val="000000"/>
      <w:sz w:val="24"/>
    </w:rPr>
  </w:style>
  <w:style w:type="paragraph" w:styleId="42">
    <w:name w:val="toc 9"/>
    <w:basedOn w:val="1"/>
    <w:next w:val="1"/>
    <w:autoRedefine/>
    <w:unhideWhenUsed/>
    <w:qFormat/>
    <w:uiPriority w:val="39"/>
    <w:pPr>
      <w:ind w:left="3360" w:leftChars="1600"/>
    </w:pPr>
    <w:rPr>
      <w:rFonts w:ascii="Calibri" w:hAnsi="Calibri"/>
      <w:szCs w:val="22"/>
    </w:rPr>
  </w:style>
  <w:style w:type="paragraph" w:styleId="43">
    <w:name w:val="Body Text 2"/>
    <w:basedOn w:val="1"/>
    <w:link w:val="157"/>
    <w:autoRedefine/>
    <w:qFormat/>
    <w:uiPriority w:val="0"/>
    <w:pPr>
      <w:widowControl/>
      <w:snapToGrid w:val="0"/>
      <w:spacing w:before="50" w:afterLines="50" w:line="400" w:lineRule="exact"/>
      <w:jc w:val="left"/>
    </w:pPr>
    <w:rPr>
      <w:rFonts w:ascii="宋体" w:hAnsi="宋体"/>
      <w:color w:val="000000"/>
      <w:sz w:val="24"/>
    </w:rPr>
  </w:style>
  <w:style w:type="paragraph" w:styleId="44">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5">
    <w:name w:val="Normal (Web)"/>
    <w:basedOn w:val="1"/>
    <w:link w:val="158"/>
    <w:autoRedefine/>
    <w:qFormat/>
    <w:uiPriority w:val="0"/>
    <w:pPr>
      <w:widowControl/>
      <w:spacing w:before="100" w:beforeAutospacing="1" w:after="100" w:afterAutospacing="1"/>
      <w:jc w:val="left"/>
    </w:pPr>
    <w:rPr>
      <w:rFonts w:ascii="宋体" w:hAnsi="宋体"/>
      <w:kern w:val="0"/>
      <w:sz w:val="24"/>
    </w:rPr>
  </w:style>
  <w:style w:type="paragraph" w:styleId="46">
    <w:name w:val="annotation subject"/>
    <w:basedOn w:val="19"/>
    <w:next w:val="19"/>
    <w:link w:val="160"/>
    <w:autoRedefine/>
    <w:qFormat/>
    <w:uiPriority w:val="0"/>
    <w:rPr>
      <w:b/>
      <w:bCs/>
    </w:rPr>
  </w:style>
  <w:style w:type="paragraph" w:styleId="47">
    <w:name w:val="Body Text First Indent"/>
    <w:basedOn w:val="21"/>
    <w:next w:val="1"/>
    <w:link w:val="161"/>
    <w:autoRedefine/>
    <w:qFormat/>
    <w:uiPriority w:val="0"/>
    <w:pPr>
      <w:ind w:firstLine="420" w:firstLineChars="100"/>
    </w:pPr>
  </w:style>
  <w:style w:type="paragraph" w:styleId="48">
    <w:name w:val="Body Text First Indent 2"/>
    <w:basedOn w:val="8"/>
    <w:link w:val="162"/>
    <w:autoRedefine/>
    <w:unhideWhenUsed/>
    <w:qFormat/>
    <w:uiPriority w:val="0"/>
    <w:pPr>
      <w:spacing w:after="120" w:line="360" w:lineRule="auto"/>
      <w:ind w:left="420" w:leftChars="200" w:firstLine="420" w:firstLineChars="200"/>
    </w:pPr>
    <w:rPr>
      <w:sz w:val="24"/>
    </w:rPr>
  </w:style>
  <w:style w:type="table" w:styleId="50">
    <w:name w:val="Table Grid"/>
    <w:basedOn w:val="49"/>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1">
    <w:name w:val="Table Grid 8"/>
    <w:basedOn w:val="49"/>
    <w:autoRedefine/>
    <w:qFormat/>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53">
    <w:name w:val="Strong"/>
    <w:autoRedefine/>
    <w:qFormat/>
    <w:uiPriority w:val="22"/>
    <w:rPr>
      <w:b/>
      <w:bCs/>
    </w:rPr>
  </w:style>
  <w:style w:type="character" w:styleId="54">
    <w:name w:val="page number"/>
    <w:basedOn w:val="52"/>
    <w:autoRedefine/>
    <w:qFormat/>
    <w:uiPriority w:val="0"/>
  </w:style>
  <w:style w:type="character" w:styleId="55">
    <w:name w:val="FollowedHyperlink"/>
    <w:autoRedefine/>
    <w:qFormat/>
    <w:uiPriority w:val="99"/>
    <w:rPr>
      <w:color w:val="800080"/>
      <w:u w:val="single"/>
    </w:rPr>
  </w:style>
  <w:style w:type="character" w:styleId="56">
    <w:name w:val="Hyperlink"/>
    <w:autoRedefine/>
    <w:qFormat/>
    <w:uiPriority w:val="99"/>
    <w:rPr>
      <w:color w:val="0000FF"/>
      <w:u w:val="single"/>
    </w:rPr>
  </w:style>
  <w:style w:type="character" w:styleId="57">
    <w:name w:val="annotation reference"/>
    <w:autoRedefine/>
    <w:qFormat/>
    <w:uiPriority w:val="0"/>
    <w:rPr>
      <w:sz w:val="21"/>
      <w:szCs w:val="21"/>
    </w:rPr>
  </w:style>
  <w:style w:type="character" w:styleId="58">
    <w:name w:val="footnote reference"/>
    <w:autoRedefine/>
    <w:qFormat/>
    <w:uiPriority w:val="0"/>
    <w:rPr>
      <w:position w:val="-2"/>
      <w:vertAlign w:val="superscript"/>
    </w:rPr>
  </w:style>
  <w:style w:type="paragraph" w:customStyle="1" w:styleId="59">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0">
    <w:name w:val="纯文本2"/>
    <w:basedOn w:val="1"/>
    <w:link w:val="183"/>
    <w:autoRedefine/>
    <w:qFormat/>
    <w:uiPriority w:val="0"/>
    <w:pPr>
      <w:spacing w:afterLines="50"/>
    </w:pPr>
    <w:rPr>
      <w:rFonts w:ascii="宋体" w:hAnsi="Courier New"/>
      <w:kern w:val="0"/>
      <w:sz w:val="24"/>
    </w:rPr>
  </w:style>
  <w:style w:type="paragraph" w:customStyle="1" w:styleId="61">
    <w:name w:val="*正文"/>
    <w:basedOn w:val="1"/>
    <w:link w:val="186"/>
    <w:autoRedefine/>
    <w:qFormat/>
    <w:uiPriority w:val="99"/>
    <w:pPr>
      <w:spacing w:line="360" w:lineRule="auto"/>
      <w:ind w:firstLine="482"/>
    </w:pPr>
    <w:rPr>
      <w:rFonts w:ascii="宋体" w:hAnsi="宋体"/>
      <w:kern w:val="0"/>
      <w:sz w:val="24"/>
      <w:szCs w:val="20"/>
    </w:rPr>
  </w:style>
  <w:style w:type="paragraph" w:customStyle="1" w:styleId="62">
    <w:name w:val="列出段落1"/>
    <w:basedOn w:val="1"/>
    <w:link w:val="195"/>
    <w:autoRedefine/>
    <w:qFormat/>
    <w:uiPriority w:val="34"/>
    <w:pPr>
      <w:ind w:firstLine="420" w:firstLineChars="200"/>
    </w:pPr>
    <w:rPr>
      <w:szCs w:val="22"/>
    </w:rPr>
  </w:style>
  <w:style w:type="paragraph" w:customStyle="1" w:styleId="63">
    <w:name w:val="GW-正文"/>
    <w:link w:val="200"/>
    <w:autoRedefine/>
    <w:qFormat/>
    <w:uiPriority w:val="0"/>
    <w:pPr>
      <w:spacing w:line="300" w:lineRule="auto"/>
      <w:ind w:firstLine="200" w:firstLineChars="200"/>
    </w:pPr>
    <w:rPr>
      <w:rFonts w:ascii="Times New Roman" w:hAnsi="Times New Roman" w:eastAsia="仿宋_GB2312" w:cs="Times New Roman"/>
      <w:sz w:val="24"/>
      <w:szCs w:val="24"/>
      <w:lang w:val="en-US" w:eastAsia="zh-CN" w:bidi="ar-SA"/>
    </w:rPr>
  </w:style>
  <w:style w:type="paragraph" w:customStyle="1" w:styleId="64">
    <w:name w:val="TOC 标题1"/>
    <w:basedOn w:val="3"/>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5">
    <w:name w:val="表头文本"/>
    <w:autoRedefine/>
    <w:qFormat/>
    <w:uiPriority w:val="0"/>
    <w:pPr>
      <w:jc w:val="center"/>
    </w:pPr>
    <w:rPr>
      <w:rFonts w:ascii="Arial" w:hAnsi="Arial" w:eastAsia="宋体" w:cs="Times New Roman"/>
      <w:b/>
      <w:sz w:val="21"/>
      <w:szCs w:val="21"/>
      <w:lang w:val="en-US" w:eastAsia="zh-CN" w:bidi="ar-SA"/>
    </w:rPr>
  </w:style>
  <w:style w:type="paragraph" w:customStyle="1" w:styleId="66">
    <w:name w:val="节"/>
    <w:basedOn w:val="4"/>
    <w:autoRedefine/>
    <w:qFormat/>
    <w:uiPriority w:val="99"/>
    <w:pPr>
      <w:keepLines/>
      <w:tabs>
        <w:tab w:val="left" w:pos="432"/>
        <w:tab w:val="left" w:pos="576"/>
      </w:tabs>
      <w:adjustRightInd/>
      <w:snapToGrid/>
      <w:spacing w:beforeLines="100" w:afterLines="100" w:line="240" w:lineRule="auto"/>
      <w:ind w:left="576" w:hanging="576"/>
      <w:jc w:val="both"/>
      <w:textAlignment w:val="auto"/>
    </w:pPr>
    <w:rPr>
      <w:rFonts w:ascii="黑体" w:hAnsi="Arial" w:eastAsia="黑体"/>
      <w:b w:val="0"/>
      <w:bCs/>
      <w:kern w:val="2"/>
      <w:sz w:val="28"/>
      <w:szCs w:val="28"/>
      <w:lang w:val="zh-CN"/>
    </w:rPr>
  </w:style>
  <w:style w:type="paragraph" w:customStyle="1" w:styleId="67">
    <w:name w:val="正文段"/>
    <w:basedOn w:val="1"/>
    <w:autoRedefine/>
    <w:qFormat/>
    <w:uiPriority w:val="0"/>
    <w:pPr>
      <w:widowControl/>
      <w:snapToGrid w:val="0"/>
      <w:spacing w:afterLines="50"/>
      <w:ind w:firstLine="200" w:firstLineChars="200"/>
    </w:pPr>
    <w:rPr>
      <w:kern w:val="0"/>
      <w:sz w:val="24"/>
      <w:szCs w:val="20"/>
    </w:rPr>
  </w:style>
  <w:style w:type="paragraph" w:customStyle="1" w:styleId="68">
    <w:name w:val="--规划正文"/>
    <w:basedOn w:val="1"/>
    <w:autoRedefine/>
    <w:qFormat/>
    <w:uiPriority w:val="0"/>
    <w:pPr>
      <w:widowControl/>
      <w:suppressAutoHyphens/>
      <w:spacing w:line="360" w:lineRule="auto"/>
      <w:ind w:firstLine="200"/>
      <w:jc w:val="left"/>
    </w:pPr>
    <w:rPr>
      <w:kern w:val="1"/>
      <w:szCs w:val="20"/>
      <w:lang w:eastAsia="ar-SA"/>
    </w:rPr>
  </w:style>
  <w:style w:type="paragraph" w:customStyle="1" w:styleId="69">
    <w:name w:val="Char Char Char Char Char Char Char"/>
    <w:basedOn w:val="1"/>
    <w:autoRedefine/>
    <w:qFormat/>
    <w:uiPriority w:val="0"/>
    <w:rPr>
      <w:szCs w:val="21"/>
    </w:rPr>
  </w:style>
  <w:style w:type="paragraph" w:customStyle="1" w:styleId="70">
    <w:name w:val="_Style 2"/>
    <w:basedOn w:val="1"/>
    <w:autoRedefine/>
    <w:qFormat/>
    <w:uiPriority w:val="0"/>
    <w:pPr>
      <w:adjustRightInd w:val="0"/>
      <w:snapToGrid w:val="0"/>
      <w:spacing w:line="360" w:lineRule="auto"/>
      <w:ind w:firstLine="200" w:firstLineChars="200"/>
      <w:jc w:val="center"/>
    </w:pPr>
    <w:rPr>
      <w:rFonts w:ascii="Calibri" w:hAnsi="Calibri" w:eastAsia="微软雅黑"/>
      <w:sz w:val="30"/>
    </w:rPr>
  </w:style>
  <w:style w:type="paragraph" w:customStyle="1" w:styleId="71">
    <w:name w:val="【正文】"/>
    <w:basedOn w:val="1"/>
    <w:autoRedefine/>
    <w:qFormat/>
    <w:uiPriority w:val="0"/>
    <w:pPr>
      <w:spacing w:beforeAutospacing="1" w:afterAutospacing="1" w:line="360" w:lineRule="auto"/>
      <w:ind w:firstLine="200" w:firstLineChars="200"/>
      <w:contextualSpacing/>
    </w:pPr>
    <w:rPr>
      <w:rFonts w:ascii="Calibri" w:hAnsi="Calibri" w:cs="黑体"/>
      <w:sz w:val="24"/>
      <w:szCs w:val="22"/>
    </w:rPr>
  </w:style>
  <w:style w:type="paragraph" w:customStyle="1" w:styleId="72">
    <w:name w:val="样式 正文1 + 段前: 0.1 行"/>
    <w:basedOn w:val="1"/>
    <w:autoRedefine/>
    <w:qFormat/>
    <w:uiPriority w:val="0"/>
    <w:pPr>
      <w:snapToGrid w:val="0"/>
      <w:spacing w:beforeLines="10" w:line="440" w:lineRule="atLeast"/>
      <w:ind w:firstLine="510"/>
    </w:pPr>
    <w:rPr>
      <w:sz w:val="24"/>
    </w:rPr>
  </w:style>
  <w:style w:type="paragraph" w:customStyle="1" w:styleId="73">
    <w:name w:val="图样式"/>
    <w:basedOn w:val="1"/>
    <w:autoRedefine/>
    <w:qFormat/>
    <w:uiPriority w:val="0"/>
    <w:pPr>
      <w:keepNext/>
      <w:widowControl/>
      <w:autoSpaceDE w:val="0"/>
      <w:autoSpaceDN w:val="0"/>
      <w:adjustRightInd w:val="0"/>
      <w:spacing w:before="80" w:after="80" w:line="360" w:lineRule="auto"/>
      <w:jc w:val="center"/>
    </w:pPr>
    <w:rPr>
      <w:snapToGrid w:val="0"/>
      <w:kern w:val="0"/>
      <w:sz w:val="24"/>
      <w:szCs w:val="21"/>
    </w:rPr>
  </w:style>
  <w:style w:type="paragraph" w:customStyle="1" w:styleId="74">
    <w:name w:val="正文2"/>
    <w:basedOn w:val="1"/>
    <w:link w:val="216"/>
    <w:autoRedefine/>
    <w:qFormat/>
    <w:uiPriority w:val="0"/>
    <w:pPr>
      <w:spacing w:before="156" w:line="360" w:lineRule="auto"/>
      <w:ind w:firstLine="510" w:firstLineChars="200"/>
    </w:pPr>
    <w:rPr>
      <w:sz w:val="24"/>
      <w:szCs w:val="20"/>
    </w:rPr>
  </w:style>
  <w:style w:type="paragraph" w:customStyle="1" w:styleId="75">
    <w:name w:val="列出段落111"/>
    <w:basedOn w:val="1"/>
    <w:link w:val="212"/>
    <w:autoRedefine/>
    <w:qFormat/>
    <w:uiPriority w:val="0"/>
    <w:pPr>
      <w:ind w:firstLine="420" w:firstLineChars="200"/>
    </w:pPr>
    <w:rPr>
      <w:szCs w:val="21"/>
    </w:rPr>
  </w:style>
  <w:style w:type="paragraph" w:customStyle="1" w:styleId="76">
    <w:name w:val="表格文本"/>
    <w:autoRedefine/>
    <w:qFormat/>
    <w:uiPriority w:val="0"/>
    <w:pPr>
      <w:tabs>
        <w:tab w:val="decimal" w:pos="0"/>
      </w:tabs>
    </w:pPr>
    <w:rPr>
      <w:rFonts w:ascii="Arial" w:hAnsi="Arial" w:eastAsia="宋体" w:cs="Times New Roman"/>
      <w:sz w:val="21"/>
      <w:szCs w:val="21"/>
      <w:lang w:val="en-US" w:eastAsia="zh-CN" w:bidi="ar-SA"/>
    </w:rPr>
  </w:style>
  <w:style w:type="paragraph" w:customStyle="1" w:styleId="77">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78">
    <w:name w:val="Char Char Char Char Char Char Char Char Char Char Char Char Char"/>
    <w:basedOn w:val="1"/>
    <w:autoRedefine/>
    <w:qFormat/>
    <w:uiPriority w:val="0"/>
    <w:pPr>
      <w:tabs>
        <w:tab w:val="left" w:pos="432"/>
      </w:tabs>
      <w:ind w:left="432" w:hanging="432"/>
    </w:pPr>
    <w:rPr>
      <w:rFonts w:ascii="Tahoma" w:hAnsi="Tahoma"/>
      <w:sz w:val="24"/>
      <w:szCs w:val="20"/>
    </w:rPr>
  </w:style>
  <w:style w:type="paragraph" w:customStyle="1" w:styleId="79">
    <w:name w:val="6级标题"/>
    <w:basedOn w:val="1"/>
    <w:autoRedefine/>
    <w:qFormat/>
    <w:uiPriority w:val="0"/>
    <w:pPr>
      <w:keepNext/>
      <w:spacing w:line="360" w:lineRule="auto"/>
      <w:ind w:left="1151" w:hanging="431"/>
      <w:jc w:val="center"/>
      <w:outlineLvl w:val="5"/>
    </w:pPr>
    <w:rPr>
      <w:rFonts w:ascii="黑体" w:hAnsi="宋体" w:eastAsia="微软雅黑"/>
      <w:b/>
      <w:bCs/>
      <w:sz w:val="24"/>
      <w:szCs w:val="52"/>
    </w:rPr>
  </w:style>
  <w:style w:type="paragraph" w:customStyle="1" w:styleId="80">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81">
    <w:name w:val="_Style 58"/>
    <w:basedOn w:val="1"/>
    <w:next w:val="62"/>
    <w:autoRedefine/>
    <w:qFormat/>
    <w:uiPriority w:val="0"/>
    <w:pPr>
      <w:ind w:firstLine="420" w:firstLineChars="200"/>
    </w:pPr>
    <w:rPr>
      <w:rFonts w:ascii="Calibri" w:hAnsi="Calibri"/>
      <w:szCs w:val="22"/>
    </w:rPr>
  </w:style>
  <w:style w:type="paragraph" w:customStyle="1" w:styleId="82">
    <w:name w:val="Body text|1"/>
    <w:basedOn w:val="1"/>
    <w:autoRedefine/>
    <w:qFormat/>
    <w:uiPriority w:val="0"/>
    <w:pPr>
      <w:autoSpaceDE w:val="0"/>
      <w:autoSpaceDN w:val="0"/>
      <w:adjustRightInd w:val="0"/>
      <w:spacing w:after="200" w:line="314" w:lineRule="auto"/>
      <w:jc w:val="left"/>
    </w:pPr>
    <w:rPr>
      <w:rFonts w:ascii="MingLiU" w:hAnsi="MingLiU" w:eastAsia="MingLiU" w:cs="MingLiU"/>
      <w:snapToGrid w:val="0"/>
      <w:color w:val="000963"/>
      <w:kern w:val="0"/>
      <w:sz w:val="19"/>
      <w:szCs w:val="19"/>
      <w:lang w:val="zh-TW" w:eastAsia="zh-TW" w:bidi="zh-TW"/>
    </w:rPr>
  </w:style>
  <w:style w:type="paragraph" w:customStyle="1" w:styleId="83">
    <w:name w:val="纯文本1"/>
    <w:basedOn w:val="1"/>
    <w:autoRedefine/>
    <w:qFormat/>
    <w:uiPriority w:val="0"/>
    <w:pPr>
      <w:adjustRightInd w:val="0"/>
      <w:textAlignment w:val="baseline"/>
    </w:pPr>
    <w:rPr>
      <w:rFonts w:ascii="宋体" w:hAnsi="Courier New" w:eastAsia="楷体_GB2312"/>
      <w:sz w:val="26"/>
      <w:szCs w:val="20"/>
    </w:rPr>
  </w:style>
  <w:style w:type="paragraph" w:customStyle="1" w:styleId="84">
    <w:name w:val="编写建议"/>
    <w:basedOn w:val="1"/>
    <w:autoRedefine/>
    <w:qFormat/>
    <w:uiPriority w:val="0"/>
    <w:pPr>
      <w:autoSpaceDE w:val="0"/>
      <w:autoSpaceDN w:val="0"/>
      <w:adjustRightInd w:val="0"/>
      <w:spacing w:line="360" w:lineRule="auto"/>
      <w:ind w:firstLine="420"/>
      <w:jc w:val="left"/>
    </w:pPr>
    <w:rPr>
      <w:rFonts w:ascii="Arial" w:hAnsi="Arial" w:cs="Arial"/>
      <w:i/>
      <w:snapToGrid w:val="0"/>
      <w:color w:val="0000FF"/>
      <w:kern w:val="0"/>
      <w:sz w:val="24"/>
      <w:szCs w:val="21"/>
    </w:rPr>
  </w:style>
  <w:style w:type="paragraph" w:customStyle="1" w:styleId="85">
    <w:name w:val="CM11"/>
    <w:basedOn w:val="86"/>
    <w:next w:val="86"/>
    <w:autoRedefine/>
    <w:unhideWhenUsed/>
    <w:qFormat/>
    <w:uiPriority w:val="99"/>
    <w:pPr>
      <w:spacing w:line="520" w:lineRule="atLeast"/>
    </w:pPr>
  </w:style>
  <w:style w:type="paragraph" w:customStyle="1" w:styleId="86">
    <w:name w:val="Default"/>
    <w:autoRedefine/>
    <w:unhideWhenUsed/>
    <w:qFormat/>
    <w:uiPriority w:val="0"/>
    <w:pPr>
      <w:widowControl w:val="0"/>
      <w:autoSpaceDE w:val="0"/>
      <w:autoSpaceDN w:val="0"/>
      <w:adjustRightInd w:val="0"/>
    </w:pPr>
    <w:rPr>
      <w:rFonts w:hint="eastAsia" w:ascii="仿宋" w:hAnsi="Times New Roman" w:eastAsia="仿宋" w:cs="Times New Roman"/>
      <w:color w:val="000000"/>
      <w:sz w:val="24"/>
      <w:lang w:val="en-US" w:eastAsia="zh-CN" w:bidi="ar-SA"/>
    </w:rPr>
  </w:style>
  <w:style w:type="paragraph" w:customStyle="1" w:styleId="87">
    <w:name w:val="正文11"/>
    <w:basedOn w:val="1"/>
    <w:next w:val="1"/>
    <w:autoRedefine/>
    <w:qFormat/>
    <w:uiPriority w:val="0"/>
    <w:pPr>
      <w:spacing w:before="120" w:line="360" w:lineRule="auto"/>
      <w:ind w:left="420" w:firstLine="527"/>
    </w:pPr>
    <w:rPr>
      <w:rFonts w:ascii="宋体" w:hAnsi="宋体"/>
    </w:rPr>
  </w:style>
  <w:style w:type="paragraph" w:customStyle="1" w:styleId="88">
    <w:name w:val="_Style 54"/>
    <w:basedOn w:val="1"/>
    <w:autoRedefine/>
    <w:qFormat/>
    <w:uiPriority w:val="0"/>
    <w:pPr>
      <w:adjustRightInd w:val="0"/>
      <w:snapToGrid w:val="0"/>
      <w:spacing w:line="360" w:lineRule="auto"/>
      <w:ind w:firstLine="420" w:firstLineChars="200"/>
    </w:pPr>
    <w:rPr>
      <w:rFonts w:ascii="Calibri" w:hAnsi="Calibri"/>
      <w:sz w:val="24"/>
    </w:rPr>
  </w:style>
  <w:style w:type="paragraph" w:customStyle="1" w:styleId="89">
    <w:name w:val="注示头"/>
    <w:basedOn w:val="1"/>
    <w:autoRedefine/>
    <w:qFormat/>
    <w:uiPriority w:val="0"/>
    <w:pPr>
      <w:pBdr>
        <w:top w:val="single" w:color="000000" w:sz="4" w:space="1"/>
      </w:pBdr>
      <w:autoSpaceDE w:val="0"/>
      <w:autoSpaceDN w:val="0"/>
      <w:adjustRightInd w:val="0"/>
      <w:spacing w:line="360" w:lineRule="auto"/>
    </w:pPr>
    <w:rPr>
      <w:rFonts w:ascii="Arial" w:hAnsi="Arial" w:eastAsia="黑体"/>
      <w:snapToGrid w:val="0"/>
      <w:kern w:val="0"/>
      <w:sz w:val="18"/>
      <w:szCs w:val="21"/>
    </w:rPr>
  </w:style>
  <w:style w:type="paragraph" w:customStyle="1" w:styleId="90">
    <w:name w:val="5级标题"/>
    <w:basedOn w:val="1"/>
    <w:autoRedefine/>
    <w:qFormat/>
    <w:uiPriority w:val="0"/>
    <w:pPr>
      <w:keepNext/>
      <w:ind w:left="148" w:leftChars="-52" w:right="-7" w:rightChars="-7" w:hanging="200" w:hangingChars="200"/>
      <w:jc w:val="left"/>
      <w:outlineLvl w:val="4"/>
    </w:pPr>
    <w:rPr>
      <w:rFonts w:ascii="宋体" w:hAnsi="宋体"/>
      <w:bCs/>
      <w:sz w:val="24"/>
      <w:szCs w:val="30"/>
    </w:rPr>
  </w:style>
  <w:style w:type="paragraph" w:customStyle="1" w:styleId="91">
    <w:name w:val="表内文字"/>
    <w:basedOn w:val="1"/>
    <w:autoRedefine/>
    <w:qFormat/>
    <w:uiPriority w:val="0"/>
    <w:pPr>
      <w:jc w:val="center"/>
    </w:pPr>
    <w:rPr>
      <w:rFonts w:ascii="仿宋_GB2312" w:eastAsia="仿宋_GB2312"/>
      <w:sz w:val="24"/>
    </w:rPr>
  </w:style>
  <w:style w:type="paragraph" w:customStyle="1" w:styleId="92">
    <w:name w:val="Char Char9 Char Char"/>
    <w:basedOn w:val="1"/>
    <w:autoRedefine/>
    <w:qFormat/>
    <w:uiPriority w:val="0"/>
    <w:pPr>
      <w:tabs>
        <w:tab w:val="left" w:pos="360"/>
      </w:tabs>
    </w:pPr>
  </w:style>
  <w:style w:type="paragraph" w:customStyle="1" w:styleId="93">
    <w:name w:val="纯文本11"/>
    <w:basedOn w:val="1"/>
    <w:autoRedefine/>
    <w:qFormat/>
    <w:uiPriority w:val="0"/>
    <w:pPr>
      <w:adjustRightInd w:val="0"/>
      <w:textAlignment w:val="baseline"/>
    </w:pPr>
    <w:rPr>
      <w:rFonts w:ascii="宋体" w:hAnsi="Courier New" w:eastAsia="楷体_GB2312"/>
      <w:sz w:val="26"/>
      <w:szCs w:val="20"/>
    </w:rPr>
  </w:style>
  <w:style w:type="paragraph" w:customStyle="1" w:styleId="94">
    <w:name w:val="正文（首行不缩进）"/>
    <w:basedOn w:val="1"/>
    <w:autoRedefine/>
    <w:qFormat/>
    <w:uiPriority w:val="0"/>
    <w:pPr>
      <w:autoSpaceDE w:val="0"/>
      <w:autoSpaceDN w:val="0"/>
      <w:adjustRightInd w:val="0"/>
      <w:spacing w:line="360" w:lineRule="auto"/>
      <w:jc w:val="left"/>
    </w:pPr>
    <w:rPr>
      <w:snapToGrid w:val="0"/>
      <w:kern w:val="0"/>
      <w:sz w:val="24"/>
      <w:szCs w:val="21"/>
    </w:rPr>
  </w:style>
  <w:style w:type="paragraph" w:customStyle="1" w:styleId="95">
    <w:name w:val="封面标题"/>
    <w:autoRedefine/>
    <w:qFormat/>
    <w:uiPriority w:val="0"/>
    <w:pPr>
      <w:spacing w:beforeLines="500" w:afterLines="300"/>
      <w:jc w:val="center"/>
    </w:pPr>
    <w:rPr>
      <w:rFonts w:ascii="Times New Roman" w:hAnsi="Times New Roman" w:eastAsia="黑体" w:cs="Times New Roman"/>
      <w:b/>
      <w:kern w:val="2"/>
      <w:sz w:val="52"/>
      <w:szCs w:val="22"/>
      <w:lang w:val="en-US" w:eastAsia="zh-CN" w:bidi="ar-SA"/>
    </w:rPr>
  </w:style>
  <w:style w:type="paragraph" w:customStyle="1" w:styleId="96">
    <w:name w:val="列出段落11"/>
    <w:basedOn w:val="1"/>
    <w:autoRedefine/>
    <w:qFormat/>
    <w:uiPriority w:val="0"/>
    <w:pPr>
      <w:ind w:firstLine="420" w:firstLineChars="200"/>
    </w:pPr>
    <w:rPr>
      <w:rFonts w:ascii="Calibri" w:hAnsi="Calibri"/>
      <w:szCs w:val="20"/>
    </w:rPr>
  </w:style>
  <w:style w:type="paragraph" w:customStyle="1" w:styleId="97">
    <w:name w:val="FBY-表格文字"/>
    <w:basedOn w:val="1"/>
    <w:autoRedefine/>
    <w:qFormat/>
    <w:uiPriority w:val="99"/>
    <w:pPr>
      <w:adjustRightInd w:val="0"/>
      <w:jc w:val="left"/>
      <w:textAlignment w:val="top"/>
    </w:pPr>
    <w:rPr>
      <w:szCs w:val="20"/>
    </w:rPr>
  </w:style>
  <w:style w:type="paragraph" w:customStyle="1" w:styleId="98">
    <w:name w:val="默认段落字体 Para Char Char Char Char Char Char Char Char Char1 Char Char Char Char"/>
    <w:basedOn w:val="1"/>
    <w:autoRedefine/>
    <w:qFormat/>
    <w:uiPriority w:val="0"/>
    <w:rPr>
      <w:rFonts w:ascii="Tahoma" w:hAnsi="Tahoma"/>
      <w:sz w:val="24"/>
      <w:szCs w:val="20"/>
    </w:rPr>
  </w:style>
  <w:style w:type="paragraph" w:customStyle="1" w:styleId="99">
    <w:name w:val="文档标题"/>
    <w:basedOn w:val="1"/>
    <w:autoRedefine/>
    <w:qFormat/>
    <w:uiPriority w:val="0"/>
    <w:pPr>
      <w:tabs>
        <w:tab w:val="left" w:pos="0"/>
      </w:tabs>
      <w:autoSpaceDE w:val="0"/>
      <w:autoSpaceDN w:val="0"/>
      <w:adjustRightInd w:val="0"/>
      <w:spacing w:before="300" w:after="300" w:line="360" w:lineRule="auto"/>
      <w:jc w:val="center"/>
    </w:pPr>
    <w:rPr>
      <w:rFonts w:ascii="Arial" w:hAnsi="Arial" w:eastAsia="黑体"/>
      <w:snapToGrid w:val="0"/>
      <w:kern w:val="0"/>
      <w:sz w:val="36"/>
      <w:szCs w:val="36"/>
    </w:rPr>
  </w:style>
  <w:style w:type="paragraph" w:customStyle="1" w:styleId="100">
    <w:name w:val="1 Char Char Char Char"/>
    <w:basedOn w:val="1"/>
    <w:autoRedefine/>
    <w:qFormat/>
    <w:uiPriority w:val="0"/>
    <w:rPr>
      <w:rFonts w:ascii="Tahoma" w:hAnsi="Tahoma"/>
      <w:sz w:val="24"/>
      <w:szCs w:val="20"/>
    </w:rPr>
  </w:style>
  <w:style w:type="paragraph" w:customStyle="1" w:styleId="101">
    <w:name w:val="默认段落字体 Para Char Char Char Char"/>
    <w:basedOn w:val="1"/>
    <w:autoRedefine/>
    <w:qFormat/>
    <w:uiPriority w:val="0"/>
    <w:rPr>
      <w:rFonts w:ascii="Arial" w:hAnsi="Arial" w:cs="Arial"/>
      <w:szCs w:val="21"/>
    </w:rPr>
  </w:style>
  <w:style w:type="paragraph" w:customStyle="1" w:styleId="102">
    <w:name w:val="注示文本"/>
    <w:basedOn w:val="1"/>
    <w:autoRedefine/>
    <w:qFormat/>
    <w:uiPriority w:val="0"/>
    <w:pPr>
      <w:pBdr>
        <w:bottom w:val="single" w:color="000000" w:sz="4" w:space="1"/>
      </w:pBdr>
      <w:autoSpaceDE w:val="0"/>
      <w:autoSpaceDN w:val="0"/>
      <w:adjustRightInd w:val="0"/>
      <w:spacing w:line="360" w:lineRule="auto"/>
      <w:ind w:firstLine="360"/>
    </w:pPr>
    <w:rPr>
      <w:rFonts w:ascii="Arial" w:hAnsi="Arial" w:eastAsia="楷体_GB2312"/>
      <w:snapToGrid w:val="0"/>
      <w:kern w:val="0"/>
      <w:sz w:val="18"/>
      <w:szCs w:val="18"/>
    </w:rPr>
  </w:style>
  <w:style w:type="paragraph" w:customStyle="1" w:styleId="103">
    <w:name w:val="插图题注"/>
    <w:next w:val="1"/>
    <w:autoRedefine/>
    <w:qFormat/>
    <w:uiPriority w:val="0"/>
    <w:pPr>
      <w:spacing w:afterLines="100"/>
      <w:ind w:left="1089" w:hanging="369"/>
      <w:jc w:val="center"/>
    </w:pPr>
    <w:rPr>
      <w:rFonts w:ascii="Arial" w:hAnsi="Arial" w:eastAsia="宋体" w:cs="Times New Roman"/>
      <w:sz w:val="18"/>
      <w:szCs w:val="18"/>
      <w:lang w:val="en-US" w:eastAsia="zh-CN" w:bidi="ar-SA"/>
    </w:rPr>
  </w:style>
  <w:style w:type="paragraph" w:customStyle="1" w:styleId="104">
    <w:name w:val="TOC 标题11"/>
    <w:basedOn w:val="3"/>
    <w:next w:val="1"/>
    <w:autoRedefine/>
    <w:unhideWhenUsed/>
    <w:qFormat/>
    <w:uiPriority w:val="39"/>
    <w:pPr>
      <w:widowControl/>
      <w:spacing w:beforeLines="100" w:afterLines="100" w:line="259" w:lineRule="auto"/>
      <w:jc w:val="left"/>
      <w:outlineLvl w:val="9"/>
    </w:pPr>
    <w:rPr>
      <w:rFonts w:ascii="Cambria" w:hAnsi="Cambria"/>
      <w:b w:val="0"/>
      <w:bCs w:val="0"/>
      <w:color w:val="365F91"/>
      <w:kern w:val="0"/>
      <w:sz w:val="32"/>
      <w:szCs w:val="32"/>
    </w:rPr>
  </w:style>
  <w:style w:type="paragraph" w:customStyle="1" w:styleId="105">
    <w:name w:val="表格题注"/>
    <w:next w:val="1"/>
    <w:autoRedefine/>
    <w:qFormat/>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106">
    <w:name w:val="122222222"/>
    <w:basedOn w:val="7"/>
    <w:autoRedefine/>
    <w:qFormat/>
    <w:uiPriority w:val="0"/>
    <w:pPr>
      <w:autoSpaceDE w:val="0"/>
      <w:autoSpaceDN w:val="0"/>
      <w:adjustRightInd w:val="0"/>
      <w:spacing w:line="360" w:lineRule="auto"/>
      <w:ind w:firstLine="552" w:firstLineChars="197"/>
      <w:textAlignment w:val="baseline"/>
    </w:pPr>
    <w:rPr>
      <w:rFonts w:ascii="Calibri" w:hAnsi="Calibri"/>
      <w:color w:val="000000"/>
    </w:rPr>
  </w:style>
  <w:style w:type="paragraph" w:customStyle="1" w:styleId="107">
    <w:name w:val="无间隔1"/>
    <w:link w:val="207"/>
    <w:autoRedefine/>
    <w:qFormat/>
    <w:uiPriority w:val="1"/>
    <w:pPr>
      <w:widowControl w:val="0"/>
    </w:pPr>
    <w:rPr>
      <w:rFonts w:ascii="Times New Roman" w:hAnsi="Times New Roman" w:eastAsia="宋体" w:cs="Times New Roman"/>
      <w:kern w:val="2"/>
      <w:sz w:val="21"/>
      <w:szCs w:val="22"/>
      <w:lang w:val="en-US" w:eastAsia="zh-CN" w:bidi="ar-SA"/>
    </w:rPr>
  </w:style>
  <w:style w:type="paragraph" w:customStyle="1" w:styleId="108">
    <w:name w:val="表格文字"/>
    <w:basedOn w:val="109"/>
    <w:next w:val="21"/>
    <w:link w:val="208"/>
    <w:autoRedefine/>
    <w:qFormat/>
    <w:uiPriority w:val="0"/>
    <w:pPr>
      <w:jc w:val="left"/>
      <w:textAlignment w:val="top"/>
    </w:pPr>
    <w:rPr>
      <w:sz w:val="18"/>
    </w:rPr>
  </w:style>
  <w:style w:type="paragraph" w:customStyle="1" w:styleId="109">
    <w:name w:val="表格文字（两侧对齐）"/>
    <w:basedOn w:val="1"/>
    <w:autoRedefine/>
    <w:qFormat/>
    <w:uiPriority w:val="0"/>
    <w:pPr>
      <w:snapToGrid w:val="0"/>
    </w:pPr>
    <w:rPr>
      <w:rFonts w:eastAsia="宋体"/>
      <w:sz w:val="20"/>
    </w:rPr>
  </w:style>
  <w:style w:type="paragraph" w:customStyle="1" w:styleId="110">
    <w:name w:val="金保标题2"/>
    <w:basedOn w:val="4"/>
    <w:next w:val="1"/>
    <w:link w:val="210"/>
    <w:autoRedefine/>
    <w:qFormat/>
    <w:uiPriority w:val="0"/>
    <w:pPr>
      <w:keepLines/>
      <w:tabs>
        <w:tab w:val="left" w:pos="709"/>
      </w:tabs>
      <w:adjustRightInd/>
      <w:snapToGrid/>
      <w:spacing w:before="240" w:after="0"/>
      <w:jc w:val="both"/>
      <w:textAlignment w:val="auto"/>
    </w:pPr>
    <w:rPr>
      <w:rFonts w:ascii="宋体" w:hAnsi="宋体" w:eastAsia="宋体"/>
      <w:sz w:val="24"/>
      <w:szCs w:val="24"/>
    </w:rPr>
  </w:style>
  <w:style w:type="paragraph" w:customStyle="1" w:styleId="111">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12">
    <w:name w:val="方案正文-样式 小四 行距: 1.5 倍行距"/>
    <w:basedOn w:val="1"/>
    <w:link w:val="213"/>
    <w:autoRedefine/>
    <w:qFormat/>
    <w:uiPriority w:val="0"/>
    <w:pPr>
      <w:spacing w:line="360" w:lineRule="auto"/>
      <w:ind w:firstLine="480" w:firstLineChars="200"/>
    </w:pPr>
    <w:rPr>
      <w:sz w:val="24"/>
      <w:szCs w:val="20"/>
    </w:rPr>
  </w:style>
  <w:style w:type="paragraph" w:customStyle="1" w:styleId="113">
    <w:name w:val="正文JK"/>
    <w:basedOn w:val="1"/>
    <w:link w:val="214"/>
    <w:autoRedefine/>
    <w:qFormat/>
    <w:uiPriority w:val="0"/>
    <w:pPr>
      <w:spacing w:line="360" w:lineRule="auto"/>
      <w:ind w:firstLine="200" w:firstLineChars="200"/>
    </w:pPr>
    <w:rPr>
      <w:rFonts w:ascii="Calibri" w:hAnsi="Calibri"/>
      <w:szCs w:val="21"/>
    </w:rPr>
  </w:style>
  <w:style w:type="paragraph" w:customStyle="1" w:styleId="114">
    <w:name w:val="投标书正文无序编号"/>
    <w:basedOn w:val="115"/>
    <w:link w:val="215"/>
    <w:autoRedefine/>
    <w:qFormat/>
    <w:uiPriority w:val="0"/>
    <w:pPr>
      <w:tabs>
        <w:tab w:val="left" w:pos="780"/>
        <w:tab w:val="left" w:pos="902"/>
      </w:tabs>
      <w:adjustRightInd w:val="0"/>
      <w:ind w:left="1282" w:firstLine="0" w:firstLineChars="0"/>
    </w:pPr>
    <w:rPr>
      <w:rFonts w:eastAsia="宋体"/>
    </w:rPr>
  </w:style>
  <w:style w:type="paragraph" w:customStyle="1" w:styleId="115">
    <w:name w:val="投标书正文"/>
    <w:link w:val="217"/>
    <w:autoRedefine/>
    <w:qFormat/>
    <w:uiPriority w:val="0"/>
    <w:pPr>
      <w:autoSpaceDE w:val="0"/>
      <w:spacing w:line="360" w:lineRule="auto"/>
      <w:ind w:firstLine="200" w:firstLineChars="200"/>
    </w:pPr>
    <w:rPr>
      <w:rFonts w:ascii="Times New Roman" w:hAnsi="Times New Roman" w:eastAsia="Times New Roman" w:cs="Times New Roman"/>
      <w:kern w:val="2"/>
      <w:sz w:val="24"/>
      <w:szCs w:val="24"/>
      <w:lang w:val="en-US" w:eastAsia="zh-CN" w:bidi="ar-SA"/>
    </w:rPr>
  </w:style>
  <w:style w:type="paragraph" w:customStyle="1" w:styleId="116">
    <w:name w:val="_Style 19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p16"/>
    <w:basedOn w:val="1"/>
    <w:autoRedefine/>
    <w:qFormat/>
    <w:uiPriority w:val="0"/>
    <w:pPr>
      <w:widowControl/>
    </w:pPr>
    <w:rPr>
      <w:rFonts w:ascii="Calibri" w:hAnsi="Calibri"/>
      <w:kern w:val="0"/>
      <w:szCs w:val="21"/>
    </w:rPr>
  </w:style>
  <w:style w:type="paragraph" w:customStyle="1" w:styleId="118">
    <w:name w:val="z-窗体顶端1"/>
    <w:basedOn w:val="1"/>
    <w:next w:val="1"/>
    <w:link w:val="218"/>
    <w:autoRedefine/>
    <w:qFormat/>
    <w:uiPriority w:val="0"/>
    <w:pPr>
      <w:pBdr>
        <w:bottom w:val="single" w:color="auto" w:sz="6" w:space="1"/>
      </w:pBdr>
      <w:jc w:val="center"/>
    </w:pPr>
    <w:rPr>
      <w:rFonts w:ascii="Arial" w:hAnsi="Calibri"/>
      <w:vanish/>
      <w:sz w:val="16"/>
    </w:rPr>
  </w:style>
  <w:style w:type="paragraph" w:customStyle="1" w:styleId="119">
    <w:name w:val="Char"/>
    <w:basedOn w:val="1"/>
    <w:autoRedefine/>
    <w:qFormat/>
    <w:uiPriority w:val="0"/>
    <w:pPr>
      <w:tabs>
        <w:tab w:val="left" w:pos="360"/>
      </w:tabs>
    </w:pPr>
    <w:rPr>
      <w:rFonts w:ascii="Calibri" w:hAnsi="Calibri"/>
      <w:sz w:val="24"/>
    </w:rPr>
  </w:style>
  <w:style w:type="paragraph" w:customStyle="1" w:styleId="120">
    <w:name w:val="样式 标题 3 + 小三"/>
    <w:basedOn w:val="6"/>
    <w:next w:val="1"/>
    <w:autoRedefine/>
    <w:qFormat/>
    <w:uiPriority w:val="0"/>
    <w:pPr>
      <w:tabs>
        <w:tab w:val="left" w:pos="540"/>
      </w:tabs>
      <w:ind w:firstLine="0" w:firstLineChars="0"/>
    </w:pPr>
    <w:rPr>
      <w:rFonts w:ascii="宋体" w:hAnsi="宋体" w:eastAsia="宋体"/>
      <w:sz w:val="28"/>
      <w:szCs w:val="28"/>
    </w:rPr>
  </w:style>
  <w:style w:type="paragraph" w:customStyle="1" w:styleId="121">
    <w:name w:val="TOC 标题2"/>
    <w:basedOn w:val="3"/>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2">
    <w:name w:val="Char Char Char Char Char Char Char Char Char Char Char Char Char Char Char1 Char"/>
    <w:basedOn w:val="1"/>
    <w:autoRedefine/>
    <w:qFormat/>
    <w:uiPriority w:val="0"/>
    <w:rPr>
      <w:rFonts w:ascii="Calibri" w:hAnsi="Calibri"/>
      <w:sz w:val="28"/>
      <w:szCs w:val="20"/>
    </w:rPr>
  </w:style>
  <w:style w:type="paragraph" w:customStyle="1" w:styleId="123">
    <w:name w:val="p17"/>
    <w:basedOn w:val="1"/>
    <w:autoRedefine/>
    <w:qFormat/>
    <w:uiPriority w:val="0"/>
    <w:pPr>
      <w:widowControl/>
    </w:pPr>
    <w:rPr>
      <w:rFonts w:ascii="Calibri" w:hAnsi="Calibri"/>
      <w:kern w:val="0"/>
      <w:szCs w:val="21"/>
    </w:rPr>
  </w:style>
  <w:style w:type="paragraph" w:customStyle="1" w:styleId="124">
    <w:name w:val="无间隔111"/>
    <w:autoRedefine/>
    <w:qFormat/>
    <w:uiPriority w:val="0"/>
    <w:rPr>
      <w:rFonts w:ascii="Calibri" w:hAnsi="Calibri" w:eastAsia="??" w:cs="宋体"/>
      <w:sz w:val="22"/>
      <w:szCs w:val="22"/>
      <w:lang w:val="en-US" w:eastAsia="en-US" w:bidi="ar-SA"/>
    </w:rPr>
  </w:style>
  <w:style w:type="paragraph" w:customStyle="1" w:styleId="125">
    <w:name w:val="z-窗体底端1"/>
    <w:basedOn w:val="1"/>
    <w:next w:val="1"/>
    <w:link w:val="219"/>
    <w:autoRedefine/>
    <w:qFormat/>
    <w:uiPriority w:val="0"/>
    <w:pPr>
      <w:pBdr>
        <w:top w:val="single" w:color="auto" w:sz="6" w:space="1"/>
      </w:pBdr>
      <w:jc w:val="center"/>
    </w:pPr>
    <w:rPr>
      <w:rFonts w:ascii="Arial" w:hAnsi="Calibri"/>
      <w:vanish/>
      <w:sz w:val="16"/>
    </w:rPr>
  </w:style>
  <w:style w:type="paragraph" w:customStyle="1" w:styleId="126">
    <w:name w:val="无间隔11"/>
    <w:autoRedefine/>
    <w:qFormat/>
    <w:uiPriority w:val="0"/>
    <w:rPr>
      <w:rFonts w:ascii="Calibri" w:hAnsi="Calibri" w:eastAsia="宋体" w:cs="Times New Roman"/>
      <w:sz w:val="22"/>
      <w:szCs w:val="22"/>
      <w:lang w:val="en-US" w:eastAsia="en-US" w:bidi="ar-SA"/>
    </w:rPr>
  </w:style>
  <w:style w:type="paragraph" w:customStyle="1" w:styleId="127">
    <w:name w:val="TableTitle"/>
    <w:basedOn w:val="21"/>
    <w:autoRedefine/>
    <w:qFormat/>
    <w:uiPriority w:val="0"/>
    <w:pPr>
      <w:keepNext/>
      <w:widowControl/>
      <w:tabs>
        <w:tab w:val="left" w:pos="2558"/>
      </w:tabs>
      <w:spacing w:before="120"/>
      <w:jc w:val="center"/>
    </w:pPr>
    <w:rPr>
      <w:rFonts w:ascii="Calibri" w:hAnsi="Calibri"/>
      <w:b/>
      <w:kern w:val="0"/>
      <w:sz w:val="24"/>
      <w:szCs w:val="20"/>
    </w:rPr>
  </w:style>
  <w:style w:type="paragraph" w:customStyle="1" w:styleId="128">
    <w:name w:val="ParaAttribute6"/>
    <w:autoRedefine/>
    <w:qFormat/>
    <w:uiPriority w:val="0"/>
    <w:pPr>
      <w:wordWrap w:val="0"/>
      <w:ind w:firstLine="941"/>
    </w:pPr>
    <w:rPr>
      <w:rFonts w:ascii="Calibri" w:hAnsi="Calibri" w:eastAsia="Batang" w:cs="Times New Roman"/>
      <w:sz w:val="21"/>
      <w:szCs w:val="22"/>
      <w:lang w:val="en-US" w:eastAsia="zh-CN" w:bidi="ar-SA"/>
    </w:rPr>
  </w:style>
  <w:style w:type="paragraph" w:customStyle="1" w:styleId="129">
    <w:name w:val="条款正文"/>
    <w:basedOn w:val="1"/>
    <w:autoRedefine/>
    <w:qFormat/>
    <w:uiPriority w:val="0"/>
    <w:pPr>
      <w:adjustRightInd w:val="0"/>
      <w:snapToGrid w:val="0"/>
      <w:spacing w:line="360" w:lineRule="auto"/>
      <w:jc w:val="left"/>
    </w:pPr>
    <w:rPr>
      <w:sz w:val="28"/>
    </w:rPr>
  </w:style>
  <w:style w:type="paragraph" w:customStyle="1" w:styleId="130">
    <w:name w:val="列出段落2"/>
    <w:basedOn w:val="1"/>
    <w:autoRedefine/>
    <w:qFormat/>
    <w:uiPriority w:val="99"/>
    <w:pPr>
      <w:ind w:firstLine="420" w:firstLineChars="200"/>
    </w:pPr>
  </w:style>
  <w:style w:type="paragraph" w:customStyle="1" w:styleId="131">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2">
    <w:name w:val="标题 1 Char"/>
    <w:link w:val="3"/>
    <w:autoRedefine/>
    <w:qFormat/>
    <w:uiPriority w:val="0"/>
    <w:rPr>
      <w:b/>
      <w:bCs/>
      <w:kern w:val="44"/>
      <w:sz w:val="44"/>
      <w:szCs w:val="44"/>
    </w:rPr>
  </w:style>
  <w:style w:type="character" w:customStyle="1" w:styleId="133">
    <w:name w:val="标题 2 Char"/>
    <w:link w:val="4"/>
    <w:autoRedefine/>
    <w:qFormat/>
    <w:uiPriority w:val="9"/>
    <w:rPr>
      <w:rFonts w:ascii="仿宋_GB2312" w:eastAsia="仿宋_GB2312"/>
      <w:b/>
      <w:sz w:val="36"/>
    </w:rPr>
  </w:style>
  <w:style w:type="character" w:customStyle="1" w:styleId="134">
    <w:name w:val="正文缩进 Char"/>
    <w:link w:val="7"/>
    <w:autoRedefine/>
    <w:qFormat/>
    <w:uiPriority w:val="0"/>
    <w:rPr>
      <w:kern w:val="2"/>
      <w:sz w:val="21"/>
    </w:rPr>
  </w:style>
  <w:style w:type="character" w:customStyle="1" w:styleId="135">
    <w:name w:val="标题 3 Char"/>
    <w:link w:val="6"/>
    <w:autoRedefine/>
    <w:qFormat/>
    <w:uiPriority w:val="0"/>
    <w:rPr>
      <w:rFonts w:ascii="仿宋_GB2312" w:eastAsia="仿宋_GB2312"/>
      <w:b/>
      <w:bCs/>
      <w:kern w:val="2"/>
      <w:sz w:val="30"/>
    </w:rPr>
  </w:style>
  <w:style w:type="character" w:customStyle="1" w:styleId="136">
    <w:name w:val="标题 4 Char"/>
    <w:link w:val="9"/>
    <w:autoRedefine/>
    <w:qFormat/>
    <w:uiPriority w:val="0"/>
    <w:rPr>
      <w:rFonts w:ascii="Cambria" w:hAnsi="Cambria" w:eastAsia="宋体" w:cs="Times New Roman"/>
      <w:b/>
      <w:bCs/>
      <w:kern w:val="2"/>
      <w:sz w:val="28"/>
      <w:szCs w:val="28"/>
    </w:rPr>
  </w:style>
  <w:style w:type="character" w:customStyle="1" w:styleId="137">
    <w:name w:val="标题 5 Char"/>
    <w:link w:val="10"/>
    <w:autoRedefine/>
    <w:qFormat/>
    <w:uiPriority w:val="0"/>
    <w:rPr>
      <w:rFonts w:eastAsia="宋体"/>
      <w:b/>
      <w:bCs/>
      <w:kern w:val="2"/>
      <w:sz w:val="28"/>
      <w:szCs w:val="28"/>
    </w:rPr>
  </w:style>
  <w:style w:type="character" w:customStyle="1" w:styleId="138">
    <w:name w:val="标题 6 Char"/>
    <w:link w:val="11"/>
    <w:autoRedefine/>
    <w:qFormat/>
    <w:uiPriority w:val="0"/>
    <w:rPr>
      <w:rFonts w:ascii="Cambria" w:hAnsi="Cambria" w:eastAsia="宋体" w:cs="Times New Roman"/>
      <w:b/>
      <w:bCs/>
      <w:kern w:val="2"/>
      <w:sz w:val="24"/>
      <w:szCs w:val="24"/>
    </w:rPr>
  </w:style>
  <w:style w:type="character" w:customStyle="1" w:styleId="139">
    <w:name w:val="标题 7 Char"/>
    <w:link w:val="12"/>
    <w:autoRedefine/>
    <w:qFormat/>
    <w:uiPriority w:val="0"/>
    <w:rPr>
      <w:rFonts w:eastAsia="宋体"/>
      <w:b/>
      <w:bCs/>
      <w:kern w:val="2"/>
      <w:sz w:val="24"/>
      <w:szCs w:val="24"/>
    </w:rPr>
  </w:style>
  <w:style w:type="character" w:customStyle="1" w:styleId="140">
    <w:name w:val="标题 8 Char"/>
    <w:link w:val="13"/>
    <w:autoRedefine/>
    <w:qFormat/>
    <w:uiPriority w:val="0"/>
    <w:rPr>
      <w:rFonts w:ascii="Cambria" w:hAnsi="Cambria" w:eastAsia="宋体" w:cs="Times New Roman"/>
      <w:b/>
      <w:kern w:val="2"/>
      <w:sz w:val="24"/>
      <w:szCs w:val="24"/>
    </w:rPr>
  </w:style>
  <w:style w:type="character" w:customStyle="1" w:styleId="141">
    <w:name w:val="标题 9 Char"/>
    <w:link w:val="14"/>
    <w:autoRedefine/>
    <w:qFormat/>
    <w:uiPriority w:val="0"/>
    <w:rPr>
      <w:rFonts w:ascii="Cambria" w:hAnsi="Cambria" w:eastAsia="宋体" w:cs="Times New Roman"/>
      <w:b/>
      <w:kern w:val="2"/>
      <w:sz w:val="24"/>
      <w:szCs w:val="21"/>
    </w:rPr>
  </w:style>
  <w:style w:type="character" w:customStyle="1" w:styleId="142">
    <w:name w:val="题注 Char"/>
    <w:link w:val="17"/>
    <w:autoRedefine/>
    <w:qFormat/>
    <w:locked/>
    <w:uiPriority w:val="0"/>
    <w:rPr>
      <w:rFonts w:ascii="Arial" w:hAnsi="Arial" w:eastAsia="黑体" w:cs="Arial"/>
      <w:kern w:val="2"/>
    </w:rPr>
  </w:style>
  <w:style w:type="character" w:customStyle="1" w:styleId="143">
    <w:name w:val="文档结构图 Char"/>
    <w:link w:val="18"/>
    <w:autoRedefine/>
    <w:qFormat/>
    <w:uiPriority w:val="0"/>
    <w:rPr>
      <w:kern w:val="2"/>
      <w:sz w:val="21"/>
      <w:szCs w:val="24"/>
      <w:shd w:val="clear" w:color="auto" w:fill="000080"/>
    </w:rPr>
  </w:style>
  <w:style w:type="character" w:customStyle="1" w:styleId="144">
    <w:name w:val="批注文字 Char1"/>
    <w:link w:val="19"/>
    <w:autoRedefine/>
    <w:qFormat/>
    <w:uiPriority w:val="0"/>
    <w:rPr>
      <w:kern w:val="2"/>
      <w:sz w:val="21"/>
      <w:szCs w:val="24"/>
    </w:rPr>
  </w:style>
  <w:style w:type="character" w:customStyle="1" w:styleId="145">
    <w:name w:val="正文文本 3 Char"/>
    <w:link w:val="20"/>
    <w:autoRedefine/>
    <w:qFormat/>
    <w:uiPriority w:val="0"/>
    <w:rPr>
      <w:kern w:val="2"/>
      <w:sz w:val="16"/>
      <w:szCs w:val="16"/>
    </w:rPr>
  </w:style>
  <w:style w:type="character" w:customStyle="1" w:styleId="146">
    <w:name w:val="正文文本 Char"/>
    <w:link w:val="21"/>
    <w:autoRedefine/>
    <w:qFormat/>
    <w:uiPriority w:val="0"/>
    <w:rPr>
      <w:kern w:val="2"/>
      <w:sz w:val="21"/>
      <w:szCs w:val="24"/>
    </w:rPr>
  </w:style>
  <w:style w:type="character" w:customStyle="1" w:styleId="147">
    <w:name w:val="正文文本缩进 Char"/>
    <w:link w:val="8"/>
    <w:autoRedefine/>
    <w:qFormat/>
    <w:uiPriority w:val="0"/>
    <w:rPr>
      <w:rFonts w:ascii="宋体" w:hAnsi="Courier New"/>
      <w:spacing w:val="-4"/>
      <w:kern w:val="2"/>
      <w:sz w:val="18"/>
    </w:rPr>
  </w:style>
  <w:style w:type="character" w:customStyle="1" w:styleId="148">
    <w:name w:val="纯文本 Char"/>
    <w:link w:val="26"/>
    <w:autoRedefine/>
    <w:qFormat/>
    <w:uiPriority w:val="0"/>
    <w:rPr>
      <w:rFonts w:ascii="宋体" w:hAnsi="Courier New"/>
      <w:kern w:val="2"/>
      <w:sz w:val="21"/>
    </w:rPr>
  </w:style>
  <w:style w:type="character" w:customStyle="1" w:styleId="149">
    <w:name w:val="日期 Char"/>
    <w:link w:val="29"/>
    <w:autoRedefine/>
    <w:qFormat/>
    <w:uiPriority w:val="0"/>
    <w:rPr>
      <w:rFonts w:eastAsia="楷体_GB2312"/>
      <w:kern w:val="2"/>
      <w:sz w:val="32"/>
    </w:rPr>
  </w:style>
  <w:style w:type="character" w:customStyle="1" w:styleId="150">
    <w:name w:val="正文文本缩进 2 Char"/>
    <w:link w:val="30"/>
    <w:autoRedefine/>
    <w:qFormat/>
    <w:uiPriority w:val="0"/>
    <w:rPr>
      <w:rFonts w:ascii="仿宋_GB2312" w:hAnsi="宋体" w:cs="Arial"/>
      <w:b/>
      <w:bCs/>
      <w:color w:val="000000"/>
      <w:kern w:val="2"/>
      <w:sz w:val="24"/>
      <w:szCs w:val="24"/>
    </w:rPr>
  </w:style>
  <w:style w:type="character" w:customStyle="1" w:styleId="151">
    <w:name w:val="批注框文本 Char"/>
    <w:link w:val="31"/>
    <w:autoRedefine/>
    <w:qFormat/>
    <w:uiPriority w:val="0"/>
    <w:rPr>
      <w:kern w:val="2"/>
      <w:sz w:val="18"/>
      <w:szCs w:val="18"/>
    </w:rPr>
  </w:style>
  <w:style w:type="character" w:customStyle="1" w:styleId="152">
    <w:name w:val="页脚 Char"/>
    <w:link w:val="32"/>
    <w:autoRedefine/>
    <w:qFormat/>
    <w:locked/>
    <w:uiPriority w:val="99"/>
    <w:rPr>
      <w:kern w:val="2"/>
      <w:sz w:val="18"/>
      <w:szCs w:val="18"/>
    </w:rPr>
  </w:style>
  <w:style w:type="character" w:customStyle="1" w:styleId="153">
    <w:name w:val="页眉 Char"/>
    <w:link w:val="34"/>
    <w:autoRedefine/>
    <w:qFormat/>
    <w:uiPriority w:val="0"/>
    <w:rPr>
      <w:rFonts w:eastAsia="宋体"/>
      <w:kern w:val="2"/>
      <w:sz w:val="18"/>
      <w:szCs w:val="18"/>
      <w:lang w:val="en-US" w:eastAsia="zh-CN" w:bidi="ar-SA"/>
    </w:rPr>
  </w:style>
  <w:style w:type="character" w:customStyle="1" w:styleId="154">
    <w:name w:val="副标题 Char"/>
    <w:link w:val="37"/>
    <w:autoRedefine/>
    <w:qFormat/>
    <w:uiPriority w:val="0"/>
    <w:rPr>
      <w:rFonts w:ascii="Cambria" w:hAnsi="Cambria"/>
      <w:b/>
      <w:bCs/>
      <w:kern w:val="28"/>
      <w:sz w:val="32"/>
      <w:szCs w:val="32"/>
    </w:rPr>
  </w:style>
  <w:style w:type="character" w:customStyle="1" w:styleId="155">
    <w:name w:val="脚注文本 Char"/>
    <w:basedOn w:val="52"/>
    <w:link w:val="39"/>
    <w:autoRedefine/>
    <w:qFormat/>
    <w:uiPriority w:val="99"/>
    <w:rPr>
      <w:kern w:val="1"/>
      <w:sz w:val="18"/>
      <w:szCs w:val="18"/>
    </w:rPr>
  </w:style>
  <w:style w:type="character" w:customStyle="1" w:styleId="156">
    <w:name w:val="正文文本缩进 3 Char"/>
    <w:link w:val="41"/>
    <w:autoRedefine/>
    <w:qFormat/>
    <w:uiPriority w:val="0"/>
    <w:rPr>
      <w:rFonts w:ascii="仿宋_GB2312" w:hAnsi="宋体" w:eastAsia="仿宋_GB2312"/>
      <w:color w:val="000000"/>
      <w:kern w:val="2"/>
      <w:sz w:val="24"/>
      <w:szCs w:val="24"/>
    </w:rPr>
  </w:style>
  <w:style w:type="character" w:customStyle="1" w:styleId="157">
    <w:name w:val="正文文本 2 Char"/>
    <w:link w:val="43"/>
    <w:autoRedefine/>
    <w:qFormat/>
    <w:uiPriority w:val="0"/>
    <w:rPr>
      <w:rFonts w:ascii="宋体" w:hAnsi="宋体"/>
      <w:color w:val="000000"/>
      <w:kern w:val="2"/>
      <w:sz w:val="24"/>
      <w:szCs w:val="24"/>
    </w:rPr>
  </w:style>
  <w:style w:type="character" w:customStyle="1" w:styleId="158">
    <w:name w:val="普通(网站) Char"/>
    <w:link w:val="45"/>
    <w:autoRedefine/>
    <w:qFormat/>
    <w:locked/>
    <w:uiPriority w:val="0"/>
    <w:rPr>
      <w:rFonts w:ascii="宋体" w:hAnsi="宋体" w:cs="宋体"/>
      <w:sz w:val="24"/>
      <w:szCs w:val="24"/>
    </w:rPr>
  </w:style>
  <w:style w:type="character" w:customStyle="1" w:styleId="159">
    <w:name w:val="标题 Char"/>
    <w:link w:val="2"/>
    <w:autoRedefine/>
    <w:qFormat/>
    <w:uiPriority w:val="0"/>
    <w:rPr>
      <w:rFonts w:ascii="Cambria" w:hAnsi="Cambria"/>
      <w:b/>
      <w:bCs/>
      <w:kern w:val="2"/>
      <w:sz w:val="32"/>
      <w:szCs w:val="32"/>
    </w:rPr>
  </w:style>
  <w:style w:type="character" w:customStyle="1" w:styleId="160">
    <w:name w:val="批注主题 Char"/>
    <w:link w:val="46"/>
    <w:autoRedefine/>
    <w:qFormat/>
    <w:uiPriority w:val="0"/>
    <w:rPr>
      <w:b/>
      <w:bCs/>
      <w:kern w:val="2"/>
      <w:sz w:val="21"/>
      <w:szCs w:val="24"/>
    </w:rPr>
  </w:style>
  <w:style w:type="character" w:customStyle="1" w:styleId="161">
    <w:name w:val="正文首行缩进 Char"/>
    <w:basedOn w:val="146"/>
    <w:link w:val="47"/>
    <w:autoRedefine/>
    <w:qFormat/>
    <w:uiPriority w:val="0"/>
    <w:rPr>
      <w:kern w:val="2"/>
      <w:sz w:val="21"/>
      <w:szCs w:val="24"/>
    </w:rPr>
  </w:style>
  <w:style w:type="character" w:customStyle="1" w:styleId="162">
    <w:name w:val="正文首行缩进 2 Char"/>
    <w:link w:val="48"/>
    <w:autoRedefine/>
    <w:qFormat/>
    <w:uiPriority w:val="0"/>
    <w:rPr>
      <w:rFonts w:ascii="宋体" w:hAnsi="Courier New"/>
      <w:spacing w:val="-4"/>
      <w:kern w:val="2"/>
      <w:sz w:val="24"/>
    </w:rPr>
  </w:style>
  <w:style w:type="character" w:customStyle="1" w:styleId="163">
    <w:name w:val="页眉 Char1"/>
    <w:autoRedefine/>
    <w:qFormat/>
    <w:uiPriority w:val="0"/>
    <w:rPr>
      <w:kern w:val="2"/>
      <w:sz w:val="18"/>
      <w:szCs w:val="18"/>
    </w:rPr>
  </w:style>
  <w:style w:type="character" w:customStyle="1" w:styleId="164">
    <w:name w:val="hover"/>
    <w:autoRedefine/>
    <w:qFormat/>
    <w:uiPriority w:val="0"/>
    <w:rPr>
      <w:color w:val="4178BE"/>
    </w:rPr>
  </w:style>
  <w:style w:type="character" w:customStyle="1" w:styleId="165">
    <w:name w:val="页眉 字符1"/>
    <w:autoRedefine/>
    <w:qFormat/>
    <w:uiPriority w:val="99"/>
    <w:rPr>
      <w:rFonts w:eastAsia="宋体"/>
      <w:sz w:val="18"/>
      <w:szCs w:val="18"/>
    </w:rPr>
  </w:style>
  <w:style w:type="character" w:customStyle="1" w:styleId="166">
    <w:name w:val="font111"/>
    <w:autoRedefine/>
    <w:qFormat/>
    <w:uiPriority w:val="0"/>
    <w:rPr>
      <w:rFonts w:ascii="宋体" w:hAnsi="宋体" w:eastAsia="宋体" w:cs="宋体"/>
      <w:color w:val="FF0000"/>
      <w:sz w:val="18"/>
      <w:szCs w:val="18"/>
      <w:u w:val="none"/>
    </w:rPr>
  </w:style>
  <w:style w:type="character" w:customStyle="1" w:styleId="167">
    <w:name w:val="页脚 字符1"/>
    <w:autoRedefine/>
    <w:qFormat/>
    <w:locked/>
    <w:uiPriority w:val="99"/>
    <w:rPr>
      <w:sz w:val="18"/>
      <w:szCs w:val="18"/>
    </w:rPr>
  </w:style>
  <w:style w:type="character" w:customStyle="1" w:styleId="168">
    <w:name w:val="font21"/>
    <w:autoRedefine/>
    <w:qFormat/>
    <w:uiPriority w:val="0"/>
    <w:rPr>
      <w:rFonts w:hint="eastAsia" w:ascii="微软雅黑" w:hAnsi="微软雅黑" w:eastAsia="微软雅黑" w:cs="微软雅黑"/>
      <w:color w:val="000000"/>
      <w:sz w:val="18"/>
      <w:szCs w:val="18"/>
      <w:u w:val="none"/>
    </w:rPr>
  </w:style>
  <w:style w:type="character" w:customStyle="1" w:styleId="169">
    <w:name w:val="样式一"/>
    <w:autoRedefine/>
    <w:qFormat/>
    <w:uiPriority w:val="0"/>
    <w:rPr>
      <w:rFonts w:ascii="宋体" w:hAnsi="宋体"/>
      <w:b/>
      <w:bCs/>
      <w:color w:val="000000"/>
      <w:sz w:val="36"/>
    </w:rPr>
  </w:style>
  <w:style w:type="character" w:customStyle="1" w:styleId="170">
    <w:name w:val="optnmoresets"/>
    <w:autoRedefine/>
    <w:qFormat/>
    <w:uiPriority w:val="0"/>
    <w:rPr>
      <w:color w:val="5596E6"/>
    </w:rPr>
  </w:style>
  <w:style w:type="character" w:customStyle="1" w:styleId="171">
    <w:name w:val="ca-92"/>
    <w:basedOn w:val="52"/>
    <w:autoRedefine/>
    <w:qFormat/>
    <w:uiPriority w:val="0"/>
  </w:style>
  <w:style w:type="character" w:customStyle="1" w:styleId="172">
    <w:name w:val="font91"/>
    <w:autoRedefine/>
    <w:qFormat/>
    <w:uiPriority w:val="0"/>
    <w:rPr>
      <w:rFonts w:ascii="宋体" w:hAnsi="宋体" w:eastAsia="宋体" w:cs="宋体"/>
      <w:color w:val="auto"/>
      <w:sz w:val="18"/>
      <w:szCs w:val="18"/>
      <w:u w:val="none"/>
    </w:rPr>
  </w:style>
  <w:style w:type="character" w:customStyle="1" w:styleId="173">
    <w:name w:val="纯文本 Char3"/>
    <w:autoRedefine/>
    <w:qFormat/>
    <w:uiPriority w:val="0"/>
    <w:rPr>
      <w:rFonts w:ascii="宋体" w:hAnsi="Courier New" w:eastAsia="宋体"/>
      <w:kern w:val="2"/>
      <w:sz w:val="24"/>
      <w:szCs w:val="24"/>
      <w:lang w:val="en-US" w:eastAsia="zh-CN" w:bidi="ar-SA"/>
    </w:rPr>
  </w:style>
  <w:style w:type="character" w:customStyle="1" w:styleId="174">
    <w:name w:val="列出段落 Char1"/>
    <w:autoRedefine/>
    <w:qFormat/>
    <w:uiPriority w:val="34"/>
    <w:rPr>
      <w:sz w:val="24"/>
    </w:rPr>
  </w:style>
  <w:style w:type="character" w:customStyle="1" w:styleId="175">
    <w:name w:val="标题字符1"/>
    <w:autoRedefine/>
    <w:qFormat/>
    <w:uiPriority w:val="0"/>
    <w:rPr>
      <w:rFonts w:ascii="Cambria" w:hAnsi="Cambria" w:cs="Times New Roman"/>
      <w:b/>
      <w:bCs/>
      <w:snapToGrid w:val="0"/>
      <w:sz w:val="32"/>
      <w:szCs w:val="32"/>
    </w:rPr>
  </w:style>
  <w:style w:type="character" w:customStyle="1" w:styleId="176">
    <w:name w:val="sub"/>
    <w:basedOn w:val="52"/>
    <w:autoRedefine/>
    <w:qFormat/>
    <w:uiPriority w:val="0"/>
  </w:style>
  <w:style w:type="character" w:customStyle="1" w:styleId="177">
    <w:name w:val="lotusbtndisabled2"/>
    <w:basedOn w:val="52"/>
    <w:autoRedefine/>
    <w:qFormat/>
    <w:uiPriority w:val="0"/>
  </w:style>
  <w:style w:type="character" w:customStyle="1" w:styleId="178">
    <w:name w:val="列出段落 Char"/>
    <w:autoRedefine/>
    <w:qFormat/>
    <w:uiPriority w:val="34"/>
    <w:rPr>
      <w:kern w:val="2"/>
      <w:sz w:val="21"/>
      <w:szCs w:val="22"/>
    </w:rPr>
  </w:style>
  <w:style w:type="character" w:customStyle="1" w:styleId="179">
    <w:name w:val="dijitarrowbuttoninner"/>
    <w:autoRedefine/>
    <w:qFormat/>
    <w:uiPriority w:val="0"/>
    <w:rPr>
      <w:vanish/>
    </w:rPr>
  </w:style>
  <w:style w:type="character" w:customStyle="1" w:styleId="180">
    <w:name w:val="hover21"/>
    <w:autoRedefine/>
    <w:qFormat/>
    <w:uiPriority w:val="0"/>
    <w:rPr>
      <w:color w:val="4178BE"/>
    </w:rPr>
  </w:style>
  <w:style w:type="character" w:customStyle="1" w:styleId="181">
    <w:name w:val="普通文字 Char Char2"/>
    <w:autoRedefine/>
    <w:qFormat/>
    <w:uiPriority w:val="0"/>
    <w:rPr>
      <w:rFonts w:ascii="宋体" w:hAnsi="Courier New" w:eastAsia="宋体"/>
      <w:kern w:val="2"/>
      <w:sz w:val="24"/>
      <w:szCs w:val="24"/>
      <w:lang w:val="en-US" w:eastAsia="zh-CN" w:bidi="ar-SA"/>
    </w:rPr>
  </w:style>
  <w:style w:type="character" w:customStyle="1" w:styleId="182">
    <w:name w:val="font11"/>
    <w:autoRedefine/>
    <w:qFormat/>
    <w:uiPriority w:val="0"/>
    <w:rPr>
      <w:rFonts w:hint="eastAsia" w:ascii="微软雅黑" w:hAnsi="微软雅黑" w:eastAsia="微软雅黑" w:cs="微软雅黑"/>
      <w:color w:val="FF0000"/>
      <w:sz w:val="18"/>
      <w:szCs w:val="18"/>
      <w:u w:val="none"/>
    </w:rPr>
  </w:style>
  <w:style w:type="character" w:customStyle="1" w:styleId="183">
    <w:name w:val="纯文本 Char1"/>
    <w:link w:val="60"/>
    <w:autoRedefine/>
    <w:qFormat/>
    <w:uiPriority w:val="99"/>
    <w:rPr>
      <w:rFonts w:ascii="宋体" w:hAnsi="Courier New" w:eastAsia="宋体" w:cs="Times New Roman"/>
      <w:sz w:val="24"/>
      <w:szCs w:val="24"/>
    </w:rPr>
  </w:style>
  <w:style w:type="character" w:customStyle="1" w:styleId="184">
    <w:name w:val="lotusalttext10"/>
    <w:basedOn w:val="52"/>
    <w:autoRedefine/>
    <w:qFormat/>
    <w:uiPriority w:val="0"/>
  </w:style>
  <w:style w:type="character" w:customStyle="1" w:styleId="185">
    <w:name w:val="纯文本 字符"/>
    <w:autoRedefine/>
    <w:qFormat/>
    <w:uiPriority w:val="0"/>
    <w:rPr>
      <w:rFonts w:ascii="宋体" w:hAnsi="Courier New" w:eastAsia="宋体" w:cs="Courier New"/>
      <w:kern w:val="2"/>
      <w:sz w:val="21"/>
      <w:szCs w:val="24"/>
    </w:rPr>
  </w:style>
  <w:style w:type="character" w:customStyle="1" w:styleId="186">
    <w:name w:val="*正文 Char"/>
    <w:link w:val="61"/>
    <w:autoRedefine/>
    <w:qFormat/>
    <w:uiPriority w:val="99"/>
    <w:rPr>
      <w:rFonts w:ascii="宋体" w:hAnsi="宋体"/>
      <w:sz w:val="24"/>
    </w:rPr>
  </w:style>
  <w:style w:type="character" w:customStyle="1" w:styleId="187">
    <w:name w:val="before"/>
    <w:basedOn w:val="52"/>
    <w:autoRedefine/>
    <w:qFormat/>
    <w:uiPriority w:val="0"/>
  </w:style>
  <w:style w:type="character" w:customStyle="1" w:styleId="188">
    <w:name w:val="font101"/>
    <w:autoRedefine/>
    <w:qFormat/>
    <w:uiPriority w:val="0"/>
    <w:rPr>
      <w:rFonts w:ascii="Times New Roman" w:hAnsi="Times New Roman" w:cs="Times New Roman"/>
      <w:color w:val="auto"/>
      <w:sz w:val="24"/>
      <w:szCs w:val="24"/>
      <w:u w:val="none"/>
    </w:rPr>
  </w:style>
  <w:style w:type="character" w:customStyle="1" w:styleId="189">
    <w:name w:val="font81"/>
    <w:autoRedefine/>
    <w:qFormat/>
    <w:uiPriority w:val="0"/>
    <w:rPr>
      <w:rFonts w:ascii="Times New Roman" w:hAnsi="Times New Roman" w:cs="Times New Roman"/>
      <w:color w:val="FF0000"/>
      <w:sz w:val="18"/>
      <w:szCs w:val="18"/>
      <w:u w:val="none"/>
    </w:rPr>
  </w:style>
  <w:style w:type="character" w:customStyle="1" w:styleId="190">
    <w:name w:val="正文文本缩进字符1"/>
    <w:autoRedefine/>
    <w:semiHidden/>
    <w:qFormat/>
    <w:uiPriority w:val="0"/>
    <w:rPr>
      <w:snapToGrid w:val="0"/>
      <w:sz w:val="21"/>
      <w:szCs w:val="21"/>
    </w:rPr>
  </w:style>
  <w:style w:type="character" w:customStyle="1" w:styleId="191">
    <w:name w:val="before1"/>
    <w:autoRedefine/>
    <w:qFormat/>
    <w:uiPriority w:val="0"/>
    <w:rPr>
      <w:shd w:val="clear" w:color="auto" w:fill="4178BE"/>
    </w:rPr>
  </w:style>
  <w:style w:type="character" w:customStyle="1" w:styleId="192">
    <w:name w:val="font51"/>
    <w:autoRedefine/>
    <w:qFormat/>
    <w:uiPriority w:val="0"/>
    <w:rPr>
      <w:rFonts w:hint="eastAsia" w:ascii="微软雅黑" w:hAnsi="微软雅黑" w:eastAsia="微软雅黑" w:cs="微软雅黑"/>
      <w:i/>
      <w:color w:val="FF0000"/>
      <w:sz w:val="18"/>
      <w:szCs w:val="18"/>
      <w:u w:val="none"/>
    </w:rPr>
  </w:style>
  <w:style w:type="character" w:customStyle="1" w:styleId="193">
    <w:name w:val="optnless"/>
    <w:autoRedefine/>
    <w:qFormat/>
    <w:uiPriority w:val="0"/>
    <w:rPr>
      <w:color w:val="5596E6"/>
    </w:rPr>
  </w:style>
  <w:style w:type="character" w:customStyle="1" w:styleId="194">
    <w:name w:val="font01"/>
    <w:autoRedefine/>
    <w:qFormat/>
    <w:uiPriority w:val="0"/>
    <w:rPr>
      <w:rFonts w:hint="eastAsia" w:ascii="微软雅黑" w:hAnsi="微软雅黑" w:eastAsia="微软雅黑" w:cs="微软雅黑"/>
      <w:color w:val="000000"/>
      <w:sz w:val="18"/>
      <w:szCs w:val="18"/>
      <w:u w:val="none"/>
    </w:rPr>
  </w:style>
  <w:style w:type="character" w:customStyle="1" w:styleId="195">
    <w:name w:val="列出段落 Char2"/>
    <w:link w:val="62"/>
    <w:autoRedefine/>
    <w:qFormat/>
    <w:uiPriority w:val="34"/>
    <w:rPr>
      <w:kern w:val="2"/>
      <w:sz w:val="21"/>
      <w:szCs w:val="22"/>
    </w:rPr>
  </w:style>
  <w:style w:type="character" w:customStyle="1" w:styleId="196">
    <w:name w:val="bookmark-item"/>
    <w:basedOn w:val="52"/>
    <w:autoRedefine/>
    <w:qFormat/>
    <w:uiPriority w:val="0"/>
  </w:style>
  <w:style w:type="character" w:customStyle="1" w:styleId="197">
    <w:name w:val="lotusalttext"/>
    <w:basedOn w:val="52"/>
    <w:autoRedefine/>
    <w:qFormat/>
    <w:uiPriority w:val="0"/>
  </w:style>
  <w:style w:type="character" w:customStyle="1" w:styleId="198">
    <w:name w:val="optnmore"/>
    <w:autoRedefine/>
    <w:qFormat/>
    <w:uiPriority w:val="0"/>
    <w:rPr>
      <w:color w:val="5596E6"/>
    </w:rPr>
  </w:style>
  <w:style w:type="character" w:customStyle="1" w:styleId="199">
    <w:name w:val="纯文本字符1"/>
    <w:autoRedefine/>
    <w:semiHidden/>
    <w:qFormat/>
    <w:uiPriority w:val="0"/>
    <w:rPr>
      <w:rFonts w:ascii="宋体" w:hAnsi="Courier"/>
      <w:snapToGrid w:val="0"/>
      <w:sz w:val="24"/>
      <w:szCs w:val="24"/>
    </w:rPr>
  </w:style>
  <w:style w:type="character" w:customStyle="1" w:styleId="200">
    <w:name w:val="GW-正文 Char"/>
    <w:link w:val="63"/>
    <w:autoRedefine/>
    <w:qFormat/>
    <w:uiPriority w:val="0"/>
    <w:rPr>
      <w:rFonts w:eastAsia="仿宋_GB2312"/>
      <w:sz w:val="24"/>
      <w:szCs w:val="24"/>
      <w:lang w:val="en-US" w:eastAsia="zh-CN" w:bidi="ar-SA"/>
    </w:rPr>
  </w:style>
  <w:style w:type="character" w:customStyle="1" w:styleId="201">
    <w:name w:val="optnsets"/>
    <w:autoRedefine/>
    <w:qFormat/>
    <w:uiPriority w:val="0"/>
    <w:rPr>
      <w:color w:val="5596E6"/>
    </w:rPr>
  </w:style>
  <w:style w:type="character" w:customStyle="1" w:styleId="202">
    <w:name w:val="批注文字 Char"/>
    <w:autoRedefine/>
    <w:qFormat/>
    <w:uiPriority w:val="99"/>
    <w:rPr>
      <w:kern w:val="2"/>
      <w:sz w:val="21"/>
      <w:szCs w:val="24"/>
    </w:rPr>
  </w:style>
  <w:style w:type="character" w:customStyle="1" w:styleId="203">
    <w:name w:val="标题 Char3"/>
    <w:autoRedefine/>
    <w:qFormat/>
    <w:uiPriority w:val="0"/>
    <w:rPr>
      <w:rFonts w:ascii="Calibri Light" w:hAnsi="Calibri Light"/>
      <w:b/>
      <w:bCs/>
      <w:kern w:val="2"/>
      <w:sz w:val="32"/>
      <w:szCs w:val="32"/>
    </w:rPr>
  </w:style>
  <w:style w:type="character" w:customStyle="1" w:styleId="204">
    <w:name w:val="样式二"/>
    <w:basedOn w:val="169"/>
    <w:autoRedefine/>
    <w:qFormat/>
    <w:uiPriority w:val="0"/>
    <w:rPr>
      <w:rFonts w:ascii="宋体" w:hAnsi="宋体"/>
      <w:color w:val="000000"/>
      <w:sz w:val="36"/>
    </w:rPr>
  </w:style>
  <w:style w:type="character" w:customStyle="1" w:styleId="205">
    <w:name w:val="after1"/>
    <w:basedOn w:val="52"/>
    <w:autoRedefine/>
    <w:qFormat/>
    <w:uiPriority w:val="0"/>
  </w:style>
  <w:style w:type="character" w:customStyle="1" w:styleId="206">
    <w:name w:val="after"/>
    <w:autoRedefine/>
    <w:qFormat/>
    <w:uiPriority w:val="0"/>
    <w:rPr>
      <w:shd w:val="clear" w:color="auto" w:fill="008571"/>
    </w:rPr>
  </w:style>
  <w:style w:type="character" w:customStyle="1" w:styleId="207">
    <w:name w:val="无间隔 Char"/>
    <w:link w:val="107"/>
    <w:autoRedefine/>
    <w:qFormat/>
    <w:uiPriority w:val="1"/>
    <w:rPr>
      <w:kern w:val="2"/>
      <w:sz w:val="21"/>
      <w:szCs w:val="22"/>
    </w:rPr>
  </w:style>
  <w:style w:type="character" w:customStyle="1" w:styleId="208">
    <w:name w:val="表格文字 Char"/>
    <w:link w:val="108"/>
    <w:autoRedefine/>
    <w:qFormat/>
    <w:uiPriority w:val="0"/>
    <w:rPr>
      <w:kern w:val="2"/>
      <w:sz w:val="18"/>
      <w:szCs w:val="24"/>
    </w:rPr>
  </w:style>
  <w:style w:type="character" w:customStyle="1" w:styleId="209">
    <w:name w:val="纯文本 Char4"/>
    <w:autoRedefine/>
    <w:qFormat/>
    <w:uiPriority w:val="0"/>
    <w:rPr>
      <w:rFonts w:ascii="宋体" w:hAnsi="Courier New" w:eastAsia="宋体" w:cs="Times New Roman"/>
      <w:kern w:val="2"/>
      <w:sz w:val="24"/>
      <w:szCs w:val="24"/>
      <w:lang w:val="en-US" w:eastAsia="zh-CN" w:bidi="ar-SA"/>
    </w:rPr>
  </w:style>
  <w:style w:type="character" w:customStyle="1" w:styleId="210">
    <w:name w:val="金保标题2 Char"/>
    <w:link w:val="110"/>
    <w:autoRedefine/>
    <w:qFormat/>
    <w:uiPriority w:val="0"/>
    <w:rPr>
      <w:rFonts w:ascii="宋体" w:hAnsi="宋体"/>
      <w:b/>
      <w:sz w:val="24"/>
      <w:szCs w:val="24"/>
    </w:rPr>
  </w:style>
  <w:style w:type="character" w:customStyle="1" w:styleId="211">
    <w:name w:val="long_text1"/>
    <w:autoRedefine/>
    <w:qFormat/>
    <w:uiPriority w:val="0"/>
    <w:rPr>
      <w:sz w:val="15"/>
      <w:szCs w:val="15"/>
    </w:rPr>
  </w:style>
  <w:style w:type="character" w:customStyle="1" w:styleId="212">
    <w:name w:val="List Paragraph Char"/>
    <w:link w:val="75"/>
    <w:autoRedefine/>
    <w:qFormat/>
    <w:uiPriority w:val="0"/>
    <w:rPr>
      <w:kern w:val="2"/>
      <w:sz w:val="21"/>
      <w:szCs w:val="21"/>
    </w:rPr>
  </w:style>
  <w:style w:type="character" w:customStyle="1" w:styleId="213">
    <w:name w:val="方案正文-样式 小四 行距: 1.5 倍行距 Char Char"/>
    <w:link w:val="112"/>
    <w:autoRedefine/>
    <w:qFormat/>
    <w:uiPriority w:val="0"/>
    <w:rPr>
      <w:kern w:val="2"/>
      <w:sz w:val="24"/>
    </w:rPr>
  </w:style>
  <w:style w:type="character" w:customStyle="1" w:styleId="214">
    <w:name w:val="正文JK Char"/>
    <w:link w:val="113"/>
    <w:autoRedefine/>
    <w:qFormat/>
    <w:uiPriority w:val="0"/>
    <w:rPr>
      <w:rFonts w:ascii="Calibri" w:hAnsi="Calibri"/>
      <w:kern w:val="2"/>
      <w:sz w:val="21"/>
      <w:szCs w:val="21"/>
    </w:rPr>
  </w:style>
  <w:style w:type="character" w:customStyle="1" w:styleId="215">
    <w:name w:val="投标书正文无序编号 Char Char"/>
    <w:link w:val="114"/>
    <w:autoRedefine/>
    <w:qFormat/>
    <w:uiPriority w:val="0"/>
    <w:rPr>
      <w:kern w:val="2"/>
      <w:sz w:val="24"/>
      <w:szCs w:val="24"/>
    </w:rPr>
  </w:style>
  <w:style w:type="character" w:customStyle="1" w:styleId="216">
    <w:name w:val="正文2 Char Char"/>
    <w:link w:val="74"/>
    <w:autoRedefine/>
    <w:qFormat/>
    <w:uiPriority w:val="0"/>
    <w:rPr>
      <w:kern w:val="2"/>
      <w:sz w:val="24"/>
    </w:rPr>
  </w:style>
  <w:style w:type="character" w:customStyle="1" w:styleId="217">
    <w:name w:val="投标书正文 Char Char"/>
    <w:link w:val="115"/>
    <w:autoRedefine/>
    <w:qFormat/>
    <w:uiPriority w:val="0"/>
    <w:rPr>
      <w:rFonts w:eastAsia="Times New Roman"/>
      <w:kern w:val="2"/>
      <w:sz w:val="24"/>
      <w:szCs w:val="24"/>
    </w:rPr>
  </w:style>
  <w:style w:type="character" w:customStyle="1" w:styleId="218">
    <w:name w:val="z-窗体顶端 Char"/>
    <w:basedOn w:val="52"/>
    <w:link w:val="118"/>
    <w:autoRedefine/>
    <w:qFormat/>
    <w:uiPriority w:val="0"/>
    <w:rPr>
      <w:rFonts w:ascii="Arial" w:hAnsi="Calibri"/>
      <w:vanish/>
      <w:kern w:val="2"/>
      <w:sz w:val="16"/>
      <w:szCs w:val="24"/>
    </w:rPr>
  </w:style>
  <w:style w:type="character" w:customStyle="1" w:styleId="219">
    <w:name w:val="z-窗体底端 Char"/>
    <w:basedOn w:val="52"/>
    <w:link w:val="125"/>
    <w:autoRedefine/>
    <w:qFormat/>
    <w:uiPriority w:val="0"/>
    <w:rPr>
      <w:rFonts w:ascii="Arial" w:hAnsi="Calibri"/>
      <w:vanish/>
      <w:kern w:val="2"/>
      <w:sz w:val="16"/>
      <w:szCs w:val="24"/>
    </w:rPr>
  </w:style>
  <w:style w:type="character" w:customStyle="1" w:styleId="220">
    <w:name w:val="正文2 Char"/>
    <w:autoRedefine/>
    <w:qFormat/>
    <w:uiPriority w:val="0"/>
    <w:rPr>
      <w:rFonts w:eastAsia="宋体"/>
      <w:kern w:val="2"/>
      <w:sz w:val="24"/>
      <w:lang w:val="en-US" w:eastAsia="zh-CN" w:bidi="ar-SA"/>
    </w:rPr>
  </w:style>
  <w:style w:type="table" w:customStyle="1" w:styleId="221">
    <w:name w:val="表样式"/>
    <w:basedOn w:val="49"/>
    <w:autoRedefine/>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table" w:customStyle="1" w:styleId="222">
    <w:name w:val="浅色列表1"/>
    <w:basedOn w:val="49"/>
    <w:autoRedefine/>
    <w:qFormat/>
    <w:uiPriority w:val="61"/>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23">
    <w:name w:val="Table Normal"/>
    <w:autoRedefine/>
    <w:qFormat/>
    <w:uiPriority w:val="0"/>
    <w:tblPr>
      <w:tblCellMar>
        <w:top w:w="0" w:type="dxa"/>
        <w:left w:w="0" w:type="dxa"/>
        <w:bottom w:w="0" w:type="dxa"/>
        <w:right w:w="0" w:type="dxa"/>
      </w:tblCellMar>
    </w:tblPr>
  </w:style>
  <w:style w:type="paragraph" w:customStyle="1" w:styleId="224">
    <w:name w:val="正文缩进2格"/>
    <w:basedOn w:val="1"/>
    <w:autoRedefine/>
    <w:qFormat/>
    <w:uiPriority w:val="0"/>
    <w:pPr>
      <w:widowControl/>
      <w:spacing w:line="600" w:lineRule="exact"/>
      <w:ind w:firstLine="639" w:firstLineChars="206"/>
      <w:jc w:val="left"/>
    </w:pPr>
    <w:rPr>
      <w:rFonts w:ascii="仿宋_GB2312" w:hAnsi="宋体" w:eastAsia="仿宋_GB2312"/>
      <w:kern w:val="0"/>
      <w:sz w:val="31"/>
      <w:szCs w:val="28"/>
    </w:rPr>
  </w:style>
  <w:style w:type="paragraph" w:customStyle="1" w:styleId="225">
    <w:name w:val="列表段落1"/>
    <w:basedOn w:val="1"/>
    <w:autoRedefine/>
    <w:qFormat/>
    <w:uiPriority w:val="34"/>
    <w:pPr>
      <w:ind w:firstLine="420"/>
    </w:pPr>
    <w:rPr>
      <w:szCs w:val="22"/>
    </w:rPr>
  </w:style>
  <w:style w:type="character" w:customStyle="1" w:styleId="226">
    <w:name w:val="font41"/>
    <w:autoRedefine/>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27965</Words>
  <Characters>29995</Characters>
  <Lines>191</Lines>
  <Paragraphs>54</Paragraphs>
  <TotalTime>277</TotalTime>
  <ScaleCrop>false</ScaleCrop>
  <LinksUpToDate>false</LinksUpToDate>
  <CharactersWithSpaces>31281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2022-03-08T07:11:00Z</dcterms:created>
  <dc:creator>微软用户</dc:creator>
  <cp:lastModifiedBy>二木</cp:lastModifiedBy>
  <cp:lastPrinted>2024-05-20T02:35:23Z</cp:lastPrinted>
  <dcterms:modified xsi:type="dcterms:W3CDTF">2024-05-20T07:53:25Z</dcterms:modified>
  <dc:title>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28AA8D86847F43BC8A0A95A8D90AB547_13</vt:lpwstr>
  </property>
</Properties>
</file>