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color w:val="auto"/>
          <w:spacing w:val="-8"/>
          <w:sz w:val="52"/>
          <w:szCs w:val="52"/>
          <w:highlight w:val="none"/>
        </w:rPr>
      </w:pPr>
      <w:r>
        <w:rPr>
          <w:rFonts w:hint="eastAsia" w:ascii="仿宋" w:hAnsi="仿宋" w:eastAsia="仿宋" w:cs="仿宋"/>
          <w:b/>
          <w:color w:val="auto"/>
          <w:spacing w:val="-8"/>
          <w:sz w:val="52"/>
          <w:szCs w:val="52"/>
          <w:highlight w:val="none"/>
        </w:rPr>
        <w:t>杭州杭新固体废物处置有限公司废气在线监测系统升级改造项目</w:t>
      </w:r>
    </w:p>
    <w:p>
      <w:pPr>
        <w:rPr>
          <w:rFonts w:ascii="仿宋" w:hAnsi="仿宋" w:eastAsia="仿宋" w:cs="仿宋"/>
          <w:b/>
          <w:color w:val="auto"/>
          <w:szCs w:val="21"/>
          <w:highlight w:val="none"/>
        </w:rPr>
      </w:pPr>
    </w:p>
    <w:p>
      <w:pPr>
        <w:spacing w:line="600" w:lineRule="exac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招标编号：</w:t>
      </w:r>
      <w:r>
        <w:rPr>
          <w:rFonts w:hint="eastAsia" w:ascii="仿宋" w:hAnsi="仿宋" w:eastAsia="仿宋" w:cs="仿宋"/>
          <w:b/>
          <w:color w:val="auto"/>
          <w:sz w:val="32"/>
          <w:szCs w:val="32"/>
          <w:highlight w:val="none"/>
          <w:lang w:eastAsia="zh-CN"/>
        </w:rPr>
        <w:t>ZJJAJD2024B-019</w:t>
      </w:r>
      <w:r>
        <w:rPr>
          <w:rFonts w:hint="eastAsia" w:ascii="仿宋" w:hAnsi="仿宋" w:eastAsia="仿宋" w:cs="仿宋"/>
          <w:b/>
          <w:color w:val="auto"/>
          <w:sz w:val="32"/>
          <w:szCs w:val="32"/>
          <w:highlight w:val="none"/>
        </w:rPr>
        <w:t xml:space="preserve">  </w:t>
      </w:r>
    </w:p>
    <w:p>
      <w:pPr>
        <w:pStyle w:val="56"/>
        <w:ind w:firstLine="420"/>
        <w:rPr>
          <w:rFonts w:ascii="仿宋" w:hAnsi="仿宋" w:eastAsia="仿宋" w:cs="仿宋"/>
          <w:color w:val="auto"/>
          <w:highlight w:val="none"/>
        </w:rPr>
      </w:pPr>
    </w:p>
    <w:p>
      <w:pPr>
        <w:spacing w:line="1360" w:lineRule="exact"/>
        <w:jc w:val="center"/>
        <w:rPr>
          <w:rFonts w:ascii="仿宋" w:hAnsi="仿宋" w:eastAsia="仿宋" w:cs="仿宋"/>
          <w:b/>
          <w:color w:val="auto"/>
          <w:sz w:val="84"/>
          <w:highlight w:val="none"/>
        </w:rPr>
      </w:pPr>
      <w:r>
        <w:rPr>
          <w:rFonts w:hint="eastAsia" w:ascii="仿宋" w:hAnsi="仿宋" w:eastAsia="仿宋" w:cs="仿宋"/>
          <w:b/>
          <w:color w:val="auto"/>
          <w:sz w:val="84"/>
          <w:highlight w:val="none"/>
        </w:rPr>
        <w:t>招</w:t>
      </w:r>
    </w:p>
    <w:p>
      <w:pPr>
        <w:spacing w:line="1360" w:lineRule="exact"/>
        <w:jc w:val="center"/>
        <w:rPr>
          <w:rFonts w:ascii="仿宋" w:hAnsi="仿宋" w:eastAsia="仿宋" w:cs="仿宋"/>
          <w:b/>
          <w:color w:val="auto"/>
          <w:sz w:val="84"/>
          <w:highlight w:val="none"/>
        </w:rPr>
      </w:pPr>
      <w:r>
        <w:rPr>
          <w:rFonts w:hint="eastAsia" w:ascii="仿宋" w:hAnsi="仿宋" w:eastAsia="仿宋" w:cs="仿宋"/>
          <w:b/>
          <w:color w:val="auto"/>
          <w:sz w:val="84"/>
          <w:highlight w:val="none"/>
        </w:rPr>
        <w:t>标</w:t>
      </w:r>
    </w:p>
    <w:p>
      <w:pPr>
        <w:spacing w:line="1360" w:lineRule="exact"/>
        <w:jc w:val="center"/>
        <w:rPr>
          <w:rFonts w:ascii="仿宋" w:hAnsi="仿宋" w:eastAsia="仿宋" w:cs="仿宋"/>
          <w:b/>
          <w:color w:val="auto"/>
          <w:sz w:val="84"/>
          <w:highlight w:val="none"/>
        </w:rPr>
      </w:pPr>
      <w:r>
        <w:rPr>
          <w:rFonts w:hint="eastAsia" w:ascii="仿宋" w:hAnsi="仿宋" w:eastAsia="仿宋" w:cs="仿宋"/>
          <w:b/>
          <w:color w:val="auto"/>
          <w:sz w:val="84"/>
          <w:highlight w:val="none"/>
        </w:rPr>
        <w:t>文</w:t>
      </w:r>
    </w:p>
    <w:p>
      <w:pPr>
        <w:spacing w:line="1360" w:lineRule="exact"/>
        <w:jc w:val="center"/>
        <w:rPr>
          <w:rFonts w:ascii="仿宋" w:hAnsi="仿宋" w:eastAsia="仿宋" w:cs="仿宋"/>
          <w:b/>
          <w:color w:val="auto"/>
          <w:sz w:val="84"/>
          <w:highlight w:val="none"/>
        </w:rPr>
      </w:pPr>
      <w:r>
        <w:rPr>
          <w:rFonts w:hint="eastAsia" w:ascii="仿宋" w:hAnsi="仿宋" w:eastAsia="仿宋" w:cs="仿宋"/>
          <w:b/>
          <w:color w:val="auto"/>
          <w:sz w:val="84"/>
          <w:highlight w:val="none"/>
        </w:rPr>
        <w:t>件</w:t>
      </w:r>
    </w:p>
    <w:p>
      <w:pPr>
        <w:widowControl/>
        <w:spacing w:line="360" w:lineRule="auto"/>
        <w:jc w:val="center"/>
        <w:rPr>
          <w:rFonts w:ascii="仿宋" w:hAnsi="仿宋" w:eastAsia="仿宋" w:cs="仿宋"/>
          <w:b/>
          <w:color w:val="auto"/>
          <w:sz w:val="15"/>
          <w:szCs w:val="15"/>
          <w:highlight w:val="none"/>
        </w:rPr>
      </w:pPr>
    </w:p>
    <w:p>
      <w:pPr>
        <w:widowControl/>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采购单位：杭州杭新固体废物处置有限公司</w:t>
      </w:r>
    </w:p>
    <w:p>
      <w:pPr>
        <w:pStyle w:val="27"/>
        <w:ind w:left="1"/>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招标代理机构：浙江建安工程管理有限公司</w:t>
      </w:r>
    </w:p>
    <w:p>
      <w:pPr>
        <w:pStyle w:val="27"/>
        <w:ind w:left="1"/>
        <w:jc w:val="center"/>
        <w:rPr>
          <w:rFonts w:ascii="仿宋" w:hAnsi="仿宋" w:eastAsia="仿宋" w:cs="仿宋"/>
          <w:color w:val="auto"/>
          <w:highlight w:val="none"/>
        </w:rPr>
      </w:pPr>
      <w:r>
        <w:rPr>
          <w:rFonts w:hint="eastAsia" w:ascii="仿宋" w:hAnsi="仿宋" w:eastAsia="仿宋" w:cs="仿宋"/>
          <w:b/>
          <w:color w:val="auto"/>
          <w:sz w:val="32"/>
          <w:szCs w:val="32"/>
          <w:highlight w:val="none"/>
        </w:rPr>
        <w:t xml:space="preserve">2024年 </w:t>
      </w:r>
      <w:r>
        <w:rPr>
          <w:rFonts w:hint="eastAsia" w:ascii="仿宋" w:hAnsi="仿宋" w:eastAsia="仿宋" w:cs="仿宋"/>
          <w:b/>
          <w:color w:val="auto"/>
          <w:sz w:val="32"/>
          <w:szCs w:val="32"/>
          <w:highlight w:val="none"/>
          <w:lang w:val="en-US" w:eastAsia="zh-CN"/>
        </w:rPr>
        <w:t>4</w:t>
      </w:r>
      <w:r>
        <w:rPr>
          <w:rFonts w:hint="eastAsia" w:ascii="仿宋" w:hAnsi="仿宋" w:eastAsia="仿宋" w:cs="仿宋"/>
          <w:b/>
          <w:color w:val="auto"/>
          <w:sz w:val="32"/>
          <w:szCs w:val="32"/>
          <w:highlight w:val="none"/>
        </w:rPr>
        <w:t>月</w:t>
      </w:r>
      <w:r>
        <w:rPr>
          <w:rFonts w:hint="eastAsia" w:ascii="仿宋" w:hAnsi="仿宋" w:eastAsia="仿宋" w:cs="仿宋"/>
          <w:b/>
          <w:color w:val="auto"/>
          <w:sz w:val="32"/>
          <w:szCs w:val="32"/>
          <w:highlight w:val="none"/>
          <w:lang w:val="en-US" w:eastAsia="zh-CN"/>
        </w:rPr>
        <w:t>18</w:t>
      </w:r>
      <w:r>
        <w:rPr>
          <w:rFonts w:hint="eastAsia" w:ascii="仿宋" w:hAnsi="仿宋" w:eastAsia="仿宋" w:cs="仿宋"/>
          <w:b/>
          <w:color w:val="auto"/>
          <w:sz w:val="32"/>
          <w:szCs w:val="32"/>
          <w:highlight w:val="none"/>
        </w:rPr>
        <w:t xml:space="preserve"> 日</w:t>
      </w:r>
    </w:p>
    <w:tbl>
      <w:tblPr>
        <w:tblStyle w:val="48"/>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8"/>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6" w:hRule="atLeast"/>
        </w:trPr>
        <w:tc>
          <w:tcPr>
            <w:tcW w:w="4798" w:type="dxa"/>
            <w:vAlign w:val="center"/>
          </w:tcPr>
          <w:p>
            <w:pPr>
              <w:autoSpaceDE w:val="0"/>
              <w:adjustRightInd w:val="0"/>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采购单位确认（公章）：</w:t>
            </w:r>
          </w:p>
          <w:p>
            <w:pPr>
              <w:autoSpaceDE w:val="0"/>
              <w:adjustRightInd w:val="0"/>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该采购文件已经我单位审核确认。</w:t>
            </w:r>
          </w:p>
          <w:p>
            <w:pPr>
              <w:autoSpaceDE w:val="0"/>
              <w:adjustRightInd w:val="0"/>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经办人（签名）：</w:t>
            </w:r>
          </w:p>
          <w:p>
            <w:pPr>
              <w:autoSpaceDE w:val="0"/>
              <w:adjustRightInd w:val="0"/>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 xml:space="preserve">日期：2024年 </w:t>
            </w:r>
            <w:r>
              <w:rPr>
                <w:rFonts w:hint="eastAsia" w:ascii="仿宋" w:hAnsi="仿宋" w:eastAsia="仿宋" w:cs="仿宋"/>
                <w:b/>
                <w:bCs/>
                <w:color w:val="auto"/>
                <w:kern w:val="0"/>
                <w:sz w:val="28"/>
                <w:szCs w:val="28"/>
                <w:highlight w:val="none"/>
                <w:lang w:val="en-US" w:eastAsia="zh-CN"/>
              </w:rPr>
              <w:t>4</w:t>
            </w:r>
            <w:r>
              <w:rPr>
                <w:rFonts w:hint="eastAsia" w:ascii="仿宋" w:hAnsi="仿宋" w:eastAsia="仿宋" w:cs="仿宋"/>
                <w:b/>
                <w:bCs/>
                <w:color w:val="auto"/>
                <w:kern w:val="0"/>
                <w:sz w:val="28"/>
                <w:szCs w:val="28"/>
                <w:highlight w:val="none"/>
              </w:rPr>
              <w:t>月</w:t>
            </w:r>
            <w:r>
              <w:rPr>
                <w:rFonts w:hint="eastAsia" w:ascii="仿宋" w:hAnsi="仿宋" w:eastAsia="仿宋" w:cs="仿宋"/>
                <w:b/>
                <w:bCs/>
                <w:color w:val="auto"/>
                <w:kern w:val="0"/>
                <w:sz w:val="28"/>
                <w:szCs w:val="28"/>
                <w:highlight w:val="none"/>
                <w:lang w:val="en-US" w:eastAsia="zh-CN"/>
              </w:rPr>
              <w:t>18</w:t>
            </w:r>
            <w:r>
              <w:rPr>
                <w:rFonts w:hint="eastAsia" w:ascii="仿宋" w:hAnsi="仿宋" w:eastAsia="仿宋" w:cs="仿宋"/>
                <w:b/>
                <w:bCs/>
                <w:color w:val="auto"/>
                <w:kern w:val="0"/>
                <w:sz w:val="28"/>
                <w:szCs w:val="28"/>
                <w:highlight w:val="none"/>
              </w:rPr>
              <w:t xml:space="preserve"> 日</w:t>
            </w:r>
          </w:p>
        </w:tc>
        <w:tc>
          <w:tcPr>
            <w:tcW w:w="4621" w:type="dxa"/>
            <w:vAlign w:val="center"/>
          </w:tcPr>
          <w:p>
            <w:pPr>
              <w:autoSpaceDE w:val="0"/>
              <w:adjustRightInd w:val="0"/>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代理机构审批（章）：</w:t>
            </w:r>
          </w:p>
          <w:p>
            <w:pPr>
              <w:autoSpaceDE w:val="0"/>
              <w:adjustRightInd w:val="0"/>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同意发布。</w:t>
            </w:r>
          </w:p>
          <w:p>
            <w:pPr>
              <w:autoSpaceDE w:val="0"/>
              <w:adjustRightInd w:val="0"/>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经办人（签名）：</w:t>
            </w:r>
          </w:p>
          <w:p>
            <w:pPr>
              <w:autoSpaceDE w:val="0"/>
              <w:adjustRightInd w:val="0"/>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日期：2024年</w:t>
            </w:r>
            <w:r>
              <w:rPr>
                <w:rFonts w:hint="eastAsia" w:ascii="仿宋" w:hAnsi="仿宋" w:eastAsia="仿宋" w:cs="仿宋"/>
                <w:b/>
                <w:bCs/>
                <w:color w:val="auto"/>
                <w:kern w:val="0"/>
                <w:sz w:val="28"/>
                <w:szCs w:val="28"/>
                <w:highlight w:val="none"/>
                <w:lang w:val="en-US" w:eastAsia="zh-CN"/>
              </w:rPr>
              <w:t>4</w:t>
            </w:r>
            <w:r>
              <w:rPr>
                <w:rFonts w:hint="eastAsia" w:ascii="仿宋" w:hAnsi="仿宋" w:eastAsia="仿宋" w:cs="仿宋"/>
                <w:b/>
                <w:bCs/>
                <w:color w:val="auto"/>
                <w:kern w:val="0"/>
                <w:sz w:val="28"/>
                <w:szCs w:val="28"/>
                <w:highlight w:val="none"/>
              </w:rPr>
              <w:t xml:space="preserve"> 月</w:t>
            </w:r>
            <w:r>
              <w:rPr>
                <w:rFonts w:hint="eastAsia" w:ascii="仿宋" w:hAnsi="仿宋" w:eastAsia="仿宋" w:cs="仿宋"/>
                <w:b/>
                <w:bCs/>
                <w:color w:val="auto"/>
                <w:kern w:val="0"/>
                <w:sz w:val="28"/>
                <w:szCs w:val="28"/>
                <w:highlight w:val="none"/>
                <w:lang w:val="en-US" w:eastAsia="zh-CN"/>
              </w:rPr>
              <w:t>18</w:t>
            </w:r>
            <w:r>
              <w:rPr>
                <w:rFonts w:hint="eastAsia" w:ascii="仿宋" w:hAnsi="仿宋" w:eastAsia="仿宋" w:cs="仿宋"/>
                <w:b/>
                <w:bCs/>
                <w:color w:val="auto"/>
                <w:kern w:val="0"/>
                <w:sz w:val="28"/>
                <w:szCs w:val="28"/>
                <w:highlight w:val="none"/>
              </w:rPr>
              <w:t xml:space="preserve"> 日</w:t>
            </w:r>
          </w:p>
        </w:tc>
      </w:tr>
    </w:tbl>
    <w:p>
      <w:pPr>
        <w:autoSpaceDE w:val="0"/>
        <w:adjustRightInd w:val="0"/>
        <w:spacing w:after="100" w:afterAutospacing="1"/>
        <w:rPr>
          <w:rFonts w:ascii="仿宋" w:hAnsi="仿宋" w:eastAsia="仿宋" w:cs="仿宋"/>
          <w:b/>
          <w:bCs/>
          <w:color w:val="auto"/>
          <w:kern w:val="0"/>
          <w:sz w:val="36"/>
          <w:szCs w:val="36"/>
          <w:highlight w:val="none"/>
        </w:rPr>
        <w:sectPr>
          <w:headerReference r:id="rId5" w:type="first"/>
          <w:headerReference r:id="rId3" w:type="default"/>
          <w:footerReference r:id="rId6" w:type="default"/>
          <w:headerReference r:id="rId4" w:type="even"/>
          <w:footerReference r:id="rId7" w:type="even"/>
          <w:pgSz w:w="11906" w:h="16838"/>
          <w:pgMar w:top="1361" w:right="1361" w:bottom="1361" w:left="1361" w:header="851" w:footer="992" w:gutter="0"/>
          <w:pgNumType w:start="0"/>
          <w:cols w:space="720" w:num="1"/>
          <w:titlePg/>
          <w:docGrid w:type="lines" w:linePitch="312" w:charSpace="0"/>
        </w:sectPr>
      </w:pPr>
    </w:p>
    <w:p>
      <w:pPr>
        <w:spacing w:line="480" w:lineRule="auto"/>
        <w:jc w:val="center"/>
        <w:rPr>
          <w:rFonts w:ascii="仿宋" w:hAnsi="仿宋" w:eastAsia="仿宋" w:cs="仿宋"/>
          <w:b/>
          <w:color w:val="auto"/>
          <w:sz w:val="44"/>
          <w:highlight w:val="none"/>
        </w:rPr>
      </w:pPr>
      <w:r>
        <w:rPr>
          <w:rFonts w:hint="eastAsia" w:ascii="仿宋" w:hAnsi="仿宋" w:eastAsia="仿宋" w:cs="仿宋"/>
          <w:b/>
          <w:color w:val="auto"/>
          <w:sz w:val="44"/>
          <w:highlight w:val="none"/>
        </w:rPr>
        <w:t>目  录</w:t>
      </w:r>
    </w:p>
    <w:p>
      <w:pPr>
        <w:spacing w:line="480" w:lineRule="auto"/>
        <w:jc w:val="center"/>
        <w:rPr>
          <w:rFonts w:ascii="仿宋" w:hAnsi="仿宋" w:eastAsia="仿宋" w:cs="仿宋"/>
          <w:b/>
          <w:color w:val="auto"/>
          <w:sz w:val="44"/>
          <w:highlight w:val="none"/>
        </w:rPr>
      </w:pPr>
    </w:p>
    <w:p>
      <w:pPr>
        <w:spacing w:line="800" w:lineRule="exact"/>
        <w:rPr>
          <w:rFonts w:ascii="仿宋" w:hAnsi="仿宋" w:eastAsia="仿宋" w:cs="仿宋"/>
          <w:color w:val="auto"/>
          <w:sz w:val="36"/>
          <w:highlight w:val="none"/>
        </w:rPr>
      </w:pPr>
      <w:r>
        <w:rPr>
          <w:rFonts w:hint="eastAsia" w:ascii="仿宋" w:hAnsi="仿宋" w:eastAsia="仿宋" w:cs="仿宋"/>
          <w:color w:val="auto"/>
          <w:sz w:val="36"/>
          <w:highlight w:val="none"/>
        </w:rPr>
        <w:t>第一章、招标公告……………………………………2</w:t>
      </w:r>
    </w:p>
    <w:p>
      <w:pPr>
        <w:spacing w:line="800" w:lineRule="exact"/>
        <w:rPr>
          <w:rFonts w:ascii="仿宋" w:hAnsi="仿宋" w:eastAsia="仿宋" w:cs="仿宋"/>
          <w:color w:val="auto"/>
          <w:sz w:val="36"/>
          <w:highlight w:val="none"/>
        </w:rPr>
      </w:pPr>
      <w:r>
        <w:rPr>
          <w:rFonts w:hint="eastAsia" w:ascii="仿宋" w:hAnsi="仿宋" w:eastAsia="仿宋" w:cs="仿宋"/>
          <w:color w:val="auto"/>
          <w:sz w:val="36"/>
          <w:highlight w:val="none"/>
        </w:rPr>
        <w:t>第二章、投标须知……………………………………4</w:t>
      </w:r>
    </w:p>
    <w:p>
      <w:pPr>
        <w:spacing w:line="800" w:lineRule="exact"/>
        <w:rPr>
          <w:rFonts w:ascii="仿宋" w:hAnsi="仿宋" w:eastAsia="仿宋" w:cs="仿宋"/>
          <w:color w:val="auto"/>
          <w:sz w:val="36"/>
          <w:highlight w:val="none"/>
        </w:rPr>
      </w:pPr>
      <w:r>
        <w:rPr>
          <w:rFonts w:hint="eastAsia" w:ascii="仿宋" w:hAnsi="仿宋" w:eastAsia="仿宋" w:cs="仿宋"/>
          <w:color w:val="auto"/>
          <w:sz w:val="36"/>
          <w:highlight w:val="none"/>
        </w:rPr>
        <w:t>第三章、开标和评标须知……………………………14</w:t>
      </w:r>
    </w:p>
    <w:p>
      <w:pPr>
        <w:spacing w:line="800" w:lineRule="exact"/>
        <w:rPr>
          <w:rFonts w:ascii="仿宋" w:hAnsi="仿宋" w:eastAsia="仿宋" w:cs="仿宋"/>
          <w:color w:val="auto"/>
          <w:sz w:val="36"/>
          <w:highlight w:val="none"/>
        </w:rPr>
      </w:pPr>
      <w:r>
        <w:rPr>
          <w:rFonts w:hint="eastAsia" w:ascii="仿宋" w:hAnsi="仿宋" w:eastAsia="仿宋" w:cs="仿宋"/>
          <w:color w:val="auto"/>
          <w:sz w:val="36"/>
          <w:highlight w:val="none"/>
        </w:rPr>
        <w:t>第四章、评分标准……………………………………16</w:t>
      </w:r>
    </w:p>
    <w:p>
      <w:pPr>
        <w:spacing w:line="800" w:lineRule="exact"/>
        <w:rPr>
          <w:rFonts w:ascii="仿宋" w:hAnsi="仿宋" w:eastAsia="仿宋" w:cs="仿宋"/>
          <w:color w:val="auto"/>
          <w:sz w:val="36"/>
          <w:highlight w:val="none"/>
        </w:rPr>
      </w:pPr>
      <w:r>
        <w:rPr>
          <w:rFonts w:hint="eastAsia" w:ascii="仿宋" w:hAnsi="仿宋" w:eastAsia="仿宋" w:cs="仿宋"/>
          <w:color w:val="auto"/>
          <w:sz w:val="36"/>
          <w:highlight w:val="none"/>
        </w:rPr>
        <w:t>第五章、招标内容与技术要求………………………18</w:t>
      </w:r>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第六章、商务条款……………………………………</w:t>
      </w:r>
      <w:r>
        <w:rPr>
          <w:rFonts w:hint="eastAsia" w:ascii="仿宋" w:hAnsi="仿宋" w:eastAsia="仿宋" w:cs="仿宋"/>
          <w:color w:val="auto"/>
          <w:sz w:val="36"/>
          <w:highlight w:val="none"/>
          <w:lang w:val="en-US" w:eastAsia="zh-CN"/>
        </w:rPr>
        <w:t>33</w:t>
      </w:r>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第七章、财务结算程序………………………………</w:t>
      </w:r>
      <w:r>
        <w:rPr>
          <w:rFonts w:hint="eastAsia" w:ascii="仿宋" w:hAnsi="仿宋" w:eastAsia="仿宋" w:cs="仿宋"/>
          <w:color w:val="auto"/>
          <w:sz w:val="36"/>
          <w:highlight w:val="none"/>
          <w:lang w:val="en-US" w:eastAsia="zh-CN"/>
        </w:rPr>
        <w:t>35</w:t>
      </w:r>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第八章、合同范本……………………………………</w:t>
      </w:r>
      <w:r>
        <w:rPr>
          <w:rFonts w:hint="eastAsia" w:ascii="仿宋" w:hAnsi="仿宋" w:eastAsia="仿宋" w:cs="仿宋"/>
          <w:color w:val="auto"/>
          <w:sz w:val="36"/>
          <w:highlight w:val="none"/>
          <w:lang w:val="en-US" w:eastAsia="zh-CN"/>
        </w:rPr>
        <w:t>36</w:t>
      </w:r>
      <w:bookmarkStart w:id="16" w:name="_GoBack"/>
      <w:bookmarkEnd w:id="16"/>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第九章、附件…………………………………………</w:t>
      </w:r>
      <w:r>
        <w:rPr>
          <w:rFonts w:hint="eastAsia" w:ascii="仿宋" w:hAnsi="仿宋" w:eastAsia="仿宋" w:cs="仿宋"/>
          <w:color w:val="auto"/>
          <w:sz w:val="36"/>
          <w:highlight w:val="none"/>
          <w:lang w:val="en-US" w:eastAsia="zh-CN"/>
        </w:rPr>
        <w:t>40</w:t>
      </w:r>
    </w:p>
    <w:p>
      <w:pPr>
        <w:spacing w:line="800" w:lineRule="exact"/>
        <w:ind w:firstLine="727" w:firstLineChars="202"/>
        <w:rPr>
          <w:rFonts w:ascii="仿宋" w:hAnsi="仿宋" w:eastAsia="仿宋" w:cs="仿宋"/>
          <w:color w:val="auto"/>
          <w:sz w:val="36"/>
          <w:highlight w:val="none"/>
        </w:rPr>
      </w:pPr>
    </w:p>
    <w:p>
      <w:pPr>
        <w:spacing w:line="720" w:lineRule="auto"/>
        <w:ind w:left="2682"/>
        <w:rPr>
          <w:rFonts w:ascii="仿宋" w:hAnsi="仿宋" w:eastAsia="仿宋" w:cs="仿宋"/>
          <w:color w:val="auto"/>
          <w:sz w:val="36"/>
          <w:highlight w:val="none"/>
        </w:rPr>
      </w:pPr>
    </w:p>
    <w:p>
      <w:pPr>
        <w:spacing w:line="720" w:lineRule="auto"/>
        <w:ind w:left="2682"/>
        <w:rPr>
          <w:rFonts w:ascii="仿宋" w:hAnsi="仿宋" w:eastAsia="仿宋" w:cs="仿宋"/>
          <w:color w:val="auto"/>
          <w:sz w:val="36"/>
          <w:highlight w:val="none"/>
        </w:rPr>
      </w:pPr>
    </w:p>
    <w:p>
      <w:pPr>
        <w:spacing w:line="360" w:lineRule="auto"/>
        <w:jc w:val="center"/>
        <w:rPr>
          <w:rStyle w:val="98"/>
          <w:rFonts w:ascii="仿宋" w:hAnsi="仿宋" w:eastAsia="仿宋" w:cs="仿宋"/>
          <w:color w:val="auto"/>
          <w:sz w:val="36"/>
          <w:szCs w:val="36"/>
          <w:highlight w:val="none"/>
        </w:rPr>
        <w:sectPr>
          <w:footerReference r:id="rId8" w:type="default"/>
          <w:pgSz w:w="11906" w:h="16838"/>
          <w:pgMar w:top="1247" w:right="1247" w:bottom="1559" w:left="1247" w:header="851" w:footer="851" w:gutter="170"/>
          <w:pgNumType w:start="1"/>
          <w:cols w:space="720" w:num="1"/>
          <w:docGrid w:type="lines" w:linePitch="312" w:charSpace="0"/>
        </w:sectPr>
      </w:pPr>
    </w:p>
    <w:p>
      <w:pPr>
        <w:spacing w:line="348" w:lineRule="auto"/>
        <w:jc w:val="center"/>
        <w:rPr>
          <w:rFonts w:ascii="仿宋" w:hAnsi="仿宋" w:eastAsia="仿宋" w:cs="仿宋"/>
          <w:color w:val="auto"/>
          <w:sz w:val="24"/>
          <w:szCs w:val="24"/>
          <w:highlight w:val="none"/>
        </w:rPr>
      </w:pPr>
      <w:r>
        <w:rPr>
          <w:rStyle w:val="98"/>
          <w:rFonts w:hint="eastAsia" w:ascii="仿宋" w:hAnsi="仿宋" w:eastAsia="仿宋" w:cs="仿宋"/>
          <w:b/>
          <w:bCs/>
          <w:color w:val="auto"/>
          <w:sz w:val="36"/>
          <w:szCs w:val="36"/>
          <w:highlight w:val="none"/>
        </w:rPr>
        <w:t>第一章   招标公告</w:t>
      </w:r>
    </w:p>
    <w:p>
      <w:pPr>
        <w:widowControl/>
        <w:spacing w:line="440" w:lineRule="exact"/>
        <w:ind w:firstLine="480" w:firstLineChars="200"/>
        <w:jc w:val="left"/>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依据《中华人民共和国招标投标法》，参照《建德市市属国有企业非生产经营货物服务采购管理工作指引》《建德市非政府采购管理办法（试行）》等有关文件规定，浙江建安工程管理有限公司就杭州杭新固体废物处置有限公司废气在线监测系统升级改造项目进行公开招标，欢迎国内符合要求的供应商前来投标。</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一、项目编号：</w:t>
      </w:r>
      <w:r>
        <w:rPr>
          <w:rFonts w:hint="eastAsia" w:ascii="仿宋" w:hAnsi="仿宋" w:eastAsia="仿宋" w:cs="仿宋"/>
          <w:b/>
          <w:color w:val="auto"/>
          <w:sz w:val="24"/>
          <w:szCs w:val="24"/>
          <w:highlight w:val="none"/>
          <w:lang w:eastAsia="zh-CN"/>
        </w:rPr>
        <w:t>ZJJAJD2024B-019</w:t>
      </w:r>
      <w:r>
        <w:rPr>
          <w:rFonts w:hint="eastAsia" w:ascii="仿宋" w:hAnsi="仿宋" w:eastAsia="仿宋" w:cs="仿宋"/>
          <w:b/>
          <w:color w:val="auto"/>
          <w:sz w:val="24"/>
          <w:szCs w:val="24"/>
          <w:highlight w:val="none"/>
        </w:rPr>
        <w:t xml:space="preserve">   </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二、招标内容：</w:t>
      </w:r>
    </w:p>
    <w:p>
      <w:pPr>
        <w:snapToGrid w:val="0"/>
        <w:spacing w:line="440" w:lineRule="exact"/>
        <w:ind w:firstLine="600" w:firstLineChars="250"/>
        <w:rPr>
          <w:rFonts w:ascii="仿宋" w:hAnsi="仿宋" w:eastAsia="仿宋" w:cs="仿宋"/>
          <w:color w:val="auto"/>
          <w:sz w:val="24"/>
          <w:szCs w:val="24"/>
          <w:highlight w:val="none"/>
        </w:rPr>
      </w:pPr>
      <w:bookmarkStart w:id="0" w:name="_Hlk132192089"/>
      <w:r>
        <w:rPr>
          <w:rFonts w:hint="eastAsia" w:ascii="仿宋" w:hAnsi="仿宋" w:eastAsia="仿宋" w:cs="仿宋"/>
          <w:color w:val="auto"/>
          <w:sz w:val="24"/>
          <w:szCs w:val="24"/>
          <w:highlight w:val="none"/>
        </w:rPr>
        <w:t>杭州杭新固体废物处置有限公司</w:t>
      </w:r>
      <w:bookmarkEnd w:id="0"/>
      <w:r>
        <w:rPr>
          <w:rFonts w:hint="eastAsia" w:ascii="仿宋" w:hAnsi="仿宋" w:eastAsia="仿宋" w:cs="仿宋"/>
          <w:color w:val="auto"/>
          <w:sz w:val="24"/>
          <w:szCs w:val="24"/>
          <w:highlight w:val="none"/>
        </w:rPr>
        <w:t>废气在线监测系统升级改造项目（包括CEMS升级改造、环保平台的联网测试</w:t>
      </w:r>
      <w:bookmarkStart w:id="1" w:name="_Hlk131894753"/>
      <w:r>
        <w:rPr>
          <w:rFonts w:hint="eastAsia" w:ascii="仿宋" w:hAnsi="仿宋" w:eastAsia="仿宋" w:cs="仿宋"/>
          <w:color w:val="auto"/>
          <w:sz w:val="24"/>
          <w:szCs w:val="24"/>
          <w:highlight w:val="none"/>
        </w:rPr>
        <w:t>、环保部门</w:t>
      </w:r>
      <w:bookmarkEnd w:id="1"/>
      <w:r>
        <w:rPr>
          <w:rFonts w:hint="eastAsia" w:ascii="仿宋" w:hAnsi="仿宋" w:eastAsia="仿宋" w:cs="仿宋"/>
          <w:color w:val="auto"/>
          <w:sz w:val="24"/>
          <w:szCs w:val="24"/>
          <w:highlight w:val="none"/>
        </w:rPr>
        <w:t>备案、环保验收、人员培训、产品的供货、包装、装卸运输、税金、验收、辅助工作、售后服务等）。交货期：</w:t>
      </w:r>
      <w:r>
        <w:rPr>
          <w:rFonts w:hint="eastAsia" w:ascii="仿宋" w:hAnsi="仿宋" w:eastAsia="仿宋" w:cs="仿宋"/>
          <w:color w:val="auto"/>
          <w:sz w:val="24"/>
          <w:highlight w:val="none"/>
        </w:rPr>
        <w:t>签订合同后30天内，完成所有软硬件设备的安装、调试并交付使用。</w:t>
      </w:r>
      <w:r>
        <w:rPr>
          <w:rFonts w:hint="eastAsia" w:ascii="仿宋" w:hAnsi="仿宋" w:eastAsia="仿宋" w:cs="仿宋"/>
          <w:color w:val="auto"/>
          <w:sz w:val="24"/>
          <w:szCs w:val="24"/>
          <w:highlight w:val="none"/>
        </w:rPr>
        <w:t>具体内容详见《招标内容与技术要求》。</w:t>
      </w:r>
    </w:p>
    <w:p>
      <w:pPr>
        <w:numPr>
          <w:ilvl w:val="0"/>
          <w:numId w:val="11"/>
        </w:num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投标供应商的资格要求：</w:t>
      </w:r>
    </w:p>
    <w:p>
      <w:pPr>
        <w:snapToGrid w:val="0"/>
        <w:spacing w:line="440" w:lineRule="exact"/>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1、符合《中华人民共和国政府采购法》第二十二条对投标主体的要求；</w:t>
      </w:r>
    </w:p>
    <w:p>
      <w:pPr>
        <w:snapToGrid w:val="0"/>
        <w:spacing w:line="440" w:lineRule="exact"/>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2、本项目不接受联合体投标；</w:t>
      </w:r>
    </w:p>
    <w:p>
      <w:pPr>
        <w:snapToGrid w:val="0"/>
        <w:spacing w:line="440" w:lineRule="exact"/>
        <w:ind w:firstLine="600" w:firstLineChars="250"/>
        <w:rPr>
          <w:rFonts w:ascii="仿宋" w:hAnsi="仿宋" w:eastAsia="仿宋" w:cs="仿宋"/>
          <w:color w:val="auto"/>
          <w:highlight w:val="none"/>
        </w:rPr>
      </w:pPr>
      <w:r>
        <w:rPr>
          <w:rFonts w:hint="eastAsia" w:ascii="仿宋" w:hAnsi="仿宋" w:eastAsia="仿宋" w:cs="仿宋"/>
          <w:color w:val="auto"/>
          <w:sz w:val="24"/>
          <w:szCs w:val="24"/>
          <w:highlight w:val="none"/>
        </w:rPr>
        <w:t>3、本项目不允许转包、分包。</w:t>
      </w:r>
    </w:p>
    <w:p>
      <w:pPr>
        <w:numPr>
          <w:ilvl w:val="0"/>
          <w:numId w:val="11"/>
        </w:num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本项目的报名、招标文件的发售时间、地址、售价：</w:t>
      </w:r>
    </w:p>
    <w:p>
      <w:pPr>
        <w:spacing w:line="440" w:lineRule="exact"/>
        <w:ind w:firstLine="482" w:firstLineChars="200"/>
        <w:rPr>
          <w:rStyle w:val="303"/>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r>
        <w:rPr>
          <w:rStyle w:val="303"/>
          <w:rFonts w:hint="eastAsia" w:ascii="仿宋" w:hAnsi="仿宋" w:eastAsia="仿宋" w:cs="仿宋"/>
          <w:color w:val="auto"/>
          <w:sz w:val="24"/>
          <w:szCs w:val="24"/>
          <w:highlight w:val="none"/>
        </w:rPr>
        <w:t>1、本项目无需报名。</w:t>
      </w:r>
    </w:p>
    <w:p>
      <w:pPr>
        <w:spacing w:line="440" w:lineRule="exact"/>
        <w:ind w:firstLine="480" w:firstLineChars="200"/>
        <w:rPr>
          <w:rStyle w:val="303"/>
          <w:rFonts w:ascii="仿宋" w:hAnsi="仿宋" w:eastAsia="仿宋" w:cs="仿宋"/>
          <w:color w:val="auto"/>
          <w:sz w:val="24"/>
          <w:szCs w:val="24"/>
          <w:highlight w:val="none"/>
        </w:rPr>
      </w:pPr>
      <w:r>
        <w:rPr>
          <w:rStyle w:val="303"/>
          <w:rFonts w:hint="eastAsia" w:ascii="仿宋" w:hAnsi="仿宋" w:eastAsia="仿宋" w:cs="仿宋"/>
          <w:color w:val="auto"/>
          <w:sz w:val="24"/>
          <w:szCs w:val="24"/>
          <w:highlight w:val="none"/>
        </w:rPr>
        <w:t xml:space="preserve"> 2、发售/获取地址：浙江政府采购网(https://zfcg.czt.zj.gov.cn/）和建德市门户网站公共资源交易网址（http://www.jiande.gov.cn/col/col1229346101/index.html）。</w:t>
      </w:r>
    </w:p>
    <w:p>
      <w:pPr>
        <w:spacing w:line="440" w:lineRule="exact"/>
        <w:ind w:firstLine="480" w:firstLineChars="200"/>
        <w:rPr>
          <w:rStyle w:val="303"/>
          <w:rFonts w:ascii="仿宋" w:hAnsi="仿宋" w:eastAsia="仿宋" w:cs="仿宋"/>
          <w:color w:val="auto"/>
          <w:sz w:val="24"/>
          <w:szCs w:val="24"/>
          <w:highlight w:val="none"/>
        </w:rPr>
      </w:pPr>
      <w:r>
        <w:rPr>
          <w:rStyle w:val="303"/>
          <w:rFonts w:hint="eastAsia" w:ascii="仿宋" w:hAnsi="仿宋" w:eastAsia="仿宋" w:cs="仿宋"/>
          <w:color w:val="auto"/>
          <w:sz w:val="24"/>
          <w:szCs w:val="24"/>
          <w:highlight w:val="none"/>
        </w:rPr>
        <w:t xml:space="preserve"> 3、招标文件费用：免费下载。</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五、投标保证金：</w:t>
      </w:r>
    </w:p>
    <w:p>
      <w:pPr>
        <w:spacing w:line="440" w:lineRule="exact"/>
        <w:ind w:left="281" w:leftChars="134" w:firstLine="241" w:firstLineChars="1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投标保证金：</w:t>
      </w:r>
      <w:r>
        <w:rPr>
          <w:rFonts w:hint="eastAsia" w:ascii="仿宋" w:hAnsi="仿宋" w:eastAsia="仿宋" w:cs="仿宋"/>
          <w:b/>
          <w:bCs/>
          <w:color w:val="auto"/>
          <w:sz w:val="24"/>
          <w:szCs w:val="24"/>
          <w:highlight w:val="none"/>
        </w:rPr>
        <w:t>人民币捌仟伍佰元整（￥：8500.00元）</w:t>
      </w:r>
      <w:r>
        <w:rPr>
          <w:rFonts w:hint="eastAsia" w:ascii="仿宋" w:hAnsi="仿宋" w:eastAsia="仿宋" w:cs="仿宋"/>
          <w:b/>
          <w:bCs/>
          <w:color w:val="auto"/>
          <w:sz w:val="24"/>
          <w:szCs w:val="24"/>
          <w:highlight w:val="none"/>
        </w:rPr>
        <w:t>，投标人应于</w:t>
      </w:r>
      <w:r>
        <w:rPr>
          <w:rFonts w:hint="eastAsia" w:ascii="仿宋" w:hAnsi="仿宋" w:eastAsia="仿宋" w:cs="仿宋"/>
          <w:b/>
          <w:bCs/>
          <w:color w:val="auto"/>
          <w:sz w:val="24"/>
          <w:szCs w:val="24"/>
          <w:highlight w:val="none"/>
        </w:rPr>
        <w:t>2024年</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月</w:t>
      </w: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日16时</w:t>
      </w:r>
      <w:r>
        <w:rPr>
          <w:rFonts w:hint="eastAsia" w:ascii="仿宋" w:hAnsi="仿宋" w:eastAsia="仿宋" w:cs="仿宋"/>
          <w:b/>
          <w:bCs/>
          <w:color w:val="auto"/>
          <w:sz w:val="24"/>
          <w:szCs w:val="24"/>
          <w:highlight w:val="none"/>
        </w:rPr>
        <w:t>前将投标保证金以银行汇票、电汇、网银形式交至以下账户：</w:t>
      </w:r>
    </w:p>
    <w:p>
      <w:pPr>
        <w:spacing w:line="46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账户名称：浙江建安工程管理有限公司建德分公司</w:t>
      </w:r>
    </w:p>
    <w:p>
      <w:pPr>
        <w:spacing w:line="46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开户银行：浙江建德湖商村镇银行股份有限公司  </w:t>
      </w:r>
    </w:p>
    <w:p>
      <w:pPr>
        <w:spacing w:line="46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银行账号：800002638000271</w:t>
      </w:r>
    </w:p>
    <w:p>
      <w:pPr>
        <w:spacing w:line="460" w:lineRule="exact"/>
        <w:ind w:firstLine="482"/>
        <w:rPr>
          <w:rFonts w:ascii="仿宋" w:hAnsi="仿宋" w:eastAsia="仿宋" w:cs="仿宋"/>
          <w:color w:val="auto"/>
          <w:szCs w:val="24"/>
          <w:highlight w:val="none"/>
        </w:rPr>
      </w:pPr>
      <w:r>
        <w:rPr>
          <w:rFonts w:hint="eastAsia" w:ascii="仿宋" w:hAnsi="仿宋" w:eastAsia="仿宋" w:cs="仿宋"/>
          <w:b/>
          <w:bCs/>
          <w:color w:val="auto"/>
          <w:sz w:val="24"/>
          <w:szCs w:val="24"/>
          <w:highlight w:val="none"/>
        </w:rPr>
        <w:t>行号：320331000013</w:t>
      </w:r>
    </w:p>
    <w:p>
      <w:pPr>
        <w:spacing w:line="44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保证金若以电汇、网银方式缴纳的，请将电汇底单、网银电脑打印凭证写上所投项目名称、编号。</w:t>
      </w:r>
    </w:p>
    <w:p>
      <w:pPr>
        <w:spacing w:line="440" w:lineRule="exact"/>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六、投标截止时间和地点：</w:t>
      </w:r>
      <w:r>
        <w:rPr>
          <w:rFonts w:hint="eastAsia" w:ascii="仿宋" w:hAnsi="仿宋" w:eastAsia="仿宋" w:cs="仿宋"/>
          <w:color w:val="auto"/>
          <w:sz w:val="24"/>
          <w:szCs w:val="24"/>
          <w:highlight w:val="none"/>
        </w:rPr>
        <w:t>投标供应商</w:t>
      </w:r>
      <w:r>
        <w:rPr>
          <w:rFonts w:hint="eastAsia" w:ascii="仿宋" w:hAnsi="仿宋" w:eastAsia="仿宋" w:cs="仿宋"/>
          <w:bCs/>
          <w:color w:val="auto"/>
          <w:sz w:val="24"/>
          <w:szCs w:val="24"/>
          <w:highlight w:val="none"/>
        </w:rPr>
        <w:t>应于</w:t>
      </w:r>
      <w:r>
        <w:rPr>
          <w:rFonts w:hint="eastAsia" w:ascii="仿宋" w:hAnsi="仿宋" w:eastAsia="仿宋" w:cs="仿宋"/>
          <w:b/>
          <w:color w:val="auto"/>
          <w:sz w:val="24"/>
          <w:szCs w:val="24"/>
          <w:highlight w:val="none"/>
        </w:rPr>
        <w:t>2024年</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月</w:t>
      </w:r>
      <w:r>
        <w:rPr>
          <w:rFonts w:hint="eastAsia" w:ascii="仿宋" w:hAnsi="仿宋" w:eastAsia="仿宋" w:cs="仿宋"/>
          <w:b/>
          <w:color w:val="auto"/>
          <w:sz w:val="24"/>
          <w:szCs w:val="24"/>
          <w:highlight w:val="none"/>
          <w:lang w:val="en-US" w:eastAsia="zh-CN"/>
        </w:rPr>
        <w:t>10</w:t>
      </w:r>
      <w:r>
        <w:rPr>
          <w:rFonts w:hint="eastAsia" w:ascii="仿宋" w:hAnsi="仿宋" w:eastAsia="仿宋" w:cs="仿宋"/>
          <w:b/>
          <w:color w:val="auto"/>
          <w:sz w:val="24"/>
          <w:szCs w:val="24"/>
          <w:highlight w:val="none"/>
        </w:rPr>
        <w:t>日9时00分前</w:t>
      </w:r>
      <w:r>
        <w:rPr>
          <w:rFonts w:hint="eastAsia" w:ascii="仿宋" w:hAnsi="仿宋" w:eastAsia="仿宋" w:cs="仿宋"/>
          <w:color w:val="auto"/>
          <w:sz w:val="24"/>
          <w:szCs w:val="24"/>
          <w:highlight w:val="none"/>
        </w:rPr>
        <w:t>将投标文件密封送交到杭州市公共资源交易中心建德分中心（洋安社区荷映路113号3楼）</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号</w:t>
      </w:r>
      <w:r>
        <w:rPr>
          <w:rFonts w:hint="eastAsia" w:ascii="仿宋" w:hAnsi="仿宋" w:eastAsia="仿宋" w:cs="仿宋"/>
          <w:color w:val="auto"/>
          <w:sz w:val="24"/>
          <w:szCs w:val="24"/>
          <w:highlight w:val="none"/>
        </w:rPr>
        <w:t>开标室，逾期送达或未密封将予以拒收。</w:t>
      </w:r>
    </w:p>
    <w:p>
      <w:pPr>
        <w:spacing w:line="440" w:lineRule="exact"/>
        <w:ind w:firstLine="463" w:firstLineChars="192"/>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七、开标时间及地点：</w:t>
      </w:r>
      <w:r>
        <w:rPr>
          <w:rFonts w:hint="eastAsia" w:ascii="仿宋" w:hAnsi="仿宋" w:eastAsia="仿宋" w:cs="仿宋"/>
          <w:color w:val="auto"/>
          <w:sz w:val="24"/>
          <w:szCs w:val="24"/>
          <w:highlight w:val="none"/>
        </w:rPr>
        <w:t>本次招标将于</w:t>
      </w:r>
      <w:r>
        <w:rPr>
          <w:rFonts w:hint="eastAsia" w:ascii="仿宋" w:hAnsi="仿宋" w:eastAsia="仿宋" w:cs="仿宋"/>
          <w:b/>
          <w:color w:val="auto"/>
          <w:sz w:val="24"/>
          <w:szCs w:val="24"/>
          <w:highlight w:val="none"/>
        </w:rPr>
        <w:t>2024年</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月</w:t>
      </w:r>
      <w:r>
        <w:rPr>
          <w:rFonts w:hint="eastAsia" w:ascii="仿宋" w:hAnsi="仿宋" w:eastAsia="仿宋" w:cs="仿宋"/>
          <w:b/>
          <w:color w:val="auto"/>
          <w:sz w:val="24"/>
          <w:szCs w:val="24"/>
          <w:highlight w:val="none"/>
          <w:lang w:val="en-US" w:eastAsia="zh-CN"/>
        </w:rPr>
        <w:t>10</w:t>
      </w:r>
      <w:r>
        <w:rPr>
          <w:rFonts w:hint="eastAsia" w:ascii="仿宋" w:hAnsi="仿宋" w:eastAsia="仿宋" w:cs="仿宋"/>
          <w:b/>
          <w:color w:val="auto"/>
          <w:sz w:val="24"/>
          <w:szCs w:val="24"/>
          <w:highlight w:val="none"/>
        </w:rPr>
        <w:t>日9时00分</w:t>
      </w:r>
      <w:r>
        <w:rPr>
          <w:rFonts w:hint="eastAsia" w:ascii="仿宋" w:hAnsi="仿宋" w:eastAsia="仿宋" w:cs="仿宋"/>
          <w:color w:val="auto"/>
          <w:sz w:val="24"/>
          <w:szCs w:val="24"/>
          <w:highlight w:val="none"/>
        </w:rPr>
        <w:t>在杭州市公共资源交易中心建德分中心（洋安社区荷映路113号3楼）</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号</w:t>
      </w:r>
      <w:r>
        <w:rPr>
          <w:rFonts w:hint="eastAsia" w:ascii="仿宋" w:hAnsi="仿宋" w:eastAsia="仿宋" w:cs="仿宋"/>
          <w:color w:val="auto"/>
          <w:sz w:val="24"/>
          <w:szCs w:val="24"/>
          <w:highlight w:val="none"/>
        </w:rPr>
        <w:t>开标室开标，全权代表出席开标会议（</w:t>
      </w:r>
      <w:r>
        <w:rPr>
          <w:rFonts w:hint="eastAsia" w:ascii="仿宋" w:hAnsi="仿宋" w:eastAsia="仿宋" w:cs="仿宋"/>
          <w:b/>
          <w:bCs/>
          <w:color w:val="auto"/>
          <w:sz w:val="24"/>
          <w:szCs w:val="24"/>
          <w:highlight w:val="none"/>
        </w:rPr>
        <w:t>被授权人携带身份证、授权委托书原件或法定代表人携带身份证等有效证明出席</w:t>
      </w:r>
      <w:r>
        <w:rPr>
          <w:rFonts w:hint="eastAsia" w:ascii="仿宋" w:hAnsi="仿宋" w:eastAsia="仿宋" w:cs="仿宋"/>
          <w:color w:val="auto"/>
          <w:sz w:val="24"/>
          <w:szCs w:val="24"/>
          <w:highlight w:val="none"/>
        </w:rPr>
        <w:t>）。</w:t>
      </w:r>
    </w:p>
    <w:p>
      <w:pPr>
        <w:spacing w:line="440" w:lineRule="exact"/>
        <w:ind w:firstLine="463" w:firstLineChars="192"/>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八、发布媒体：</w:t>
      </w:r>
    </w:p>
    <w:p>
      <w:pPr>
        <w:spacing w:line="440" w:lineRule="exact"/>
        <w:ind w:firstLine="460" w:firstLineChars="19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浙江政府采购网</w:t>
      </w:r>
      <w:r>
        <w:rPr>
          <w:rStyle w:val="303"/>
          <w:rFonts w:hint="eastAsia" w:ascii="仿宋" w:hAnsi="仿宋" w:eastAsia="仿宋" w:cs="仿宋"/>
          <w:color w:val="auto"/>
          <w:sz w:val="24"/>
          <w:szCs w:val="24"/>
          <w:highlight w:val="none"/>
        </w:rPr>
        <w:t>(https://zfcg.czt.zj.gov.cn/）</w:t>
      </w:r>
      <w:r>
        <w:rPr>
          <w:rFonts w:hint="eastAsia" w:ascii="仿宋" w:hAnsi="仿宋" w:eastAsia="仿宋" w:cs="仿宋"/>
          <w:color w:val="auto"/>
          <w:sz w:val="24"/>
          <w:szCs w:val="24"/>
          <w:highlight w:val="none"/>
        </w:rPr>
        <w:t>和建德市门户网站公共资源交易网（http://www.jiande.gov.cn/col/col1229346101/index.html）。</w:t>
      </w:r>
    </w:p>
    <w:p>
      <w:pPr>
        <w:spacing w:line="440" w:lineRule="exact"/>
        <w:ind w:firstLine="463" w:firstLineChars="192"/>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九、信用记录</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根据财库[2016]125号《关于在政府采购活动中查询及使用信用记录有关问题的通知》要求，采购代理机构会对采购响应方的信用记录进行查询并甄别，响应方存在不良信用记录的，其投标文件将被拒绝。（不良信用记录指：被列入失信被执行人、重大税收违法案件当事人名单、政府采购严重违法失信行为记录名单或浙江政府采购网曝光台中尚在行政处罚期内的）</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1、信用信息查询的截止时点：投标截止时间；</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2、查询渠道：</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中国政府采购网（www.ccgp.gov.cn）；</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信用中国（</w:t>
      </w:r>
      <w:r>
        <w:rPr>
          <w:color w:val="auto"/>
          <w:highlight w:val="none"/>
        </w:rPr>
        <w:fldChar w:fldCharType="begin"/>
      </w:r>
      <w:r>
        <w:rPr>
          <w:color w:val="auto"/>
          <w:highlight w:val="none"/>
        </w:rPr>
        <w:instrText xml:space="preserve"> HYPERLINK "http://www.creditchina.gov.cn/）和企业所在的省、市、区（县）四级信用平台查询投标截止日期前7天之内（不含投标当天）的信用信息，打印查询结果页面内容并加盖投标单位公章。信用信息查询因网站原因无法提供记录的，到所在区（县）信用办开具相关证明。" </w:instrText>
      </w:r>
      <w:r>
        <w:rPr>
          <w:color w:val="auto"/>
          <w:highlight w:val="none"/>
        </w:rPr>
        <w:fldChar w:fldCharType="separate"/>
      </w:r>
      <w:r>
        <w:rPr>
          <w:rFonts w:hint="eastAsia" w:ascii="仿宋" w:hAnsi="仿宋" w:eastAsia="仿宋" w:cs="仿宋"/>
          <w:b/>
          <w:color w:val="auto"/>
          <w:sz w:val="24"/>
          <w:szCs w:val="24"/>
          <w:highlight w:val="none"/>
        </w:rPr>
        <w:t>http://www.creditchina.gov.cn/）</w:t>
      </w:r>
      <w:r>
        <w:rPr>
          <w:rFonts w:hint="eastAsia" w:ascii="仿宋" w:hAnsi="仿宋" w:eastAsia="仿宋" w:cs="仿宋"/>
          <w:b/>
          <w:color w:val="auto"/>
          <w:sz w:val="24"/>
          <w:szCs w:val="24"/>
          <w:highlight w:val="none"/>
        </w:rPr>
        <w:fldChar w:fldCharType="end"/>
      </w:r>
      <w:r>
        <w:rPr>
          <w:rFonts w:hint="eastAsia" w:ascii="仿宋" w:hAnsi="仿宋" w:eastAsia="仿宋" w:cs="仿宋"/>
          <w:b/>
          <w:color w:val="auto"/>
          <w:sz w:val="24"/>
          <w:szCs w:val="24"/>
          <w:highlight w:val="none"/>
        </w:rPr>
        <w:t>。</w:t>
      </w:r>
    </w:p>
    <w:p>
      <w:pPr>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3、信用信息查询记录和证据留存具体方式：采购代理机构经办人和现场管理员将查询网页打印、签字与其他采购文件一并保存。</w:t>
      </w:r>
    </w:p>
    <w:p>
      <w:pPr>
        <w:spacing w:line="440" w:lineRule="exact"/>
        <w:ind w:firstLine="463" w:firstLineChars="192"/>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十、本项目为非政府采购项目。</w:t>
      </w:r>
    </w:p>
    <w:p>
      <w:pPr>
        <w:spacing w:line="440" w:lineRule="exact"/>
        <w:ind w:firstLine="463" w:firstLineChars="192"/>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十一、业务咨询：</w:t>
      </w:r>
    </w:p>
    <w:p>
      <w:pPr>
        <w:widowControl/>
        <w:shd w:val="clear" w:color="auto" w:fill="FFFFFF"/>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采购单位：杭州杭新固体废物处置有限公司</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项目联系人：卢工      联系电话：l5968836048</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质疑联系人：林工      联系电话：18067991362 </w:t>
      </w:r>
    </w:p>
    <w:p>
      <w:pPr>
        <w:spacing w:line="440" w:lineRule="exact"/>
        <w:ind w:firstLine="456" w:firstLineChars="200"/>
        <w:rPr>
          <w:rFonts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采购代理机构：</w:t>
      </w:r>
      <w:r>
        <w:rPr>
          <w:rFonts w:hint="eastAsia" w:ascii="仿宋" w:hAnsi="仿宋" w:eastAsia="仿宋" w:cs="仿宋"/>
          <w:color w:val="auto"/>
          <w:sz w:val="24"/>
          <w:szCs w:val="24"/>
          <w:highlight w:val="none"/>
        </w:rPr>
        <w:t>浙江建安工程管理有限公司</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联系人：杜工           联系电话：15058155265</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质疑联系人：陈工        联系电话：13567149366</w:t>
      </w:r>
    </w:p>
    <w:p>
      <w:pPr>
        <w:pStyle w:val="43"/>
        <w:spacing w:before="60" w:beforeAutospacing="0" w:after="60" w:afterAutospacing="0" w:line="440" w:lineRule="exact"/>
        <w:ind w:right="60" w:firstLine="480"/>
        <w:rPr>
          <w:rFonts w:ascii="仿宋" w:hAnsi="仿宋" w:eastAsia="仿宋" w:cs="仿宋"/>
          <w:color w:val="auto"/>
          <w:sz w:val="27"/>
          <w:szCs w:val="27"/>
          <w:highlight w:val="none"/>
        </w:rPr>
      </w:pPr>
      <w:r>
        <w:rPr>
          <w:rFonts w:hint="eastAsia" w:ascii="仿宋" w:hAnsi="仿宋" w:eastAsia="仿宋" w:cs="仿宋"/>
          <w:color w:val="auto"/>
          <w:highlight w:val="none"/>
        </w:rPr>
        <w:t>采购争议处理机构：建德市城市建设发展投资有限公司</w:t>
      </w:r>
    </w:p>
    <w:p>
      <w:pPr>
        <w:pStyle w:val="43"/>
        <w:spacing w:before="60" w:beforeAutospacing="0" w:after="60" w:afterAutospacing="0" w:line="440" w:lineRule="exact"/>
        <w:ind w:right="60" w:firstLine="480"/>
        <w:rPr>
          <w:rFonts w:ascii="仿宋" w:hAnsi="仿宋" w:eastAsia="仿宋" w:cs="仿宋"/>
          <w:color w:val="auto"/>
          <w:sz w:val="27"/>
          <w:szCs w:val="27"/>
          <w:highlight w:val="none"/>
        </w:rPr>
      </w:pPr>
      <w:r>
        <w:rPr>
          <w:rFonts w:hint="eastAsia" w:ascii="仿宋" w:hAnsi="仿宋" w:eastAsia="仿宋" w:cs="仿宋"/>
          <w:color w:val="auto"/>
          <w:highlight w:val="none"/>
        </w:rPr>
        <w:t>地址：浙江省杭州市建德市新安江街道溪头路168号</w:t>
      </w:r>
    </w:p>
    <w:p>
      <w:pPr>
        <w:widowControl/>
        <w:spacing w:line="440" w:lineRule="exact"/>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 xml:space="preserve">联系人：黄工         </w:t>
      </w:r>
      <w:r>
        <w:rPr>
          <w:rFonts w:hint="eastAsia" w:ascii="仿宋" w:hAnsi="仿宋" w:eastAsia="仿宋" w:cs="仿宋"/>
          <w:color w:val="auto"/>
          <w:kern w:val="0"/>
          <w:sz w:val="24"/>
          <w:szCs w:val="24"/>
          <w:highlight w:val="none"/>
        </w:rPr>
        <w:t xml:space="preserve">  联系电话：13968043388</w:t>
      </w:r>
    </w:p>
    <w:p>
      <w:pPr>
        <w:pStyle w:val="27"/>
        <w:spacing w:line="440" w:lineRule="exact"/>
        <w:ind w:left="0"/>
        <w:jc w:val="righ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2024年</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18</w:t>
      </w:r>
      <w:r>
        <w:rPr>
          <w:rFonts w:hint="eastAsia" w:ascii="仿宋" w:hAnsi="仿宋" w:eastAsia="仿宋" w:cs="仿宋"/>
          <w:color w:val="auto"/>
          <w:sz w:val="24"/>
          <w:szCs w:val="24"/>
          <w:highlight w:val="none"/>
        </w:rPr>
        <w:t>日</w:t>
      </w:r>
    </w:p>
    <w:p>
      <w:pPr>
        <w:pStyle w:val="27"/>
        <w:spacing w:line="440" w:lineRule="exact"/>
        <w:ind w:left="0"/>
        <w:jc w:val="center"/>
        <w:rPr>
          <w:rStyle w:val="98"/>
          <w:rFonts w:ascii="仿宋" w:hAnsi="仿宋" w:eastAsia="仿宋" w:cs="仿宋"/>
          <w:color w:val="auto"/>
          <w:sz w:val="36"/>
          <w:szCs w:val="36"/>
          <w:highlight w:val="none"/>
        </w:rPr>
      </w:pPr>
      <w:r>
        <w:rPr>
          <w:rStyle w:val="98"/>
          <w:rFonts w:hint="eastAsia" w:ascii="仿宋" w:hAnsi="仿宋" w:eastAsia="仿宋" w:cs="仿宋"/>
          <w:b/>
          <w:bCs/>
          <w:color w:val="auto"/>
          <w:sz w:val="36"/>
          <w:szCs w:val="36"/>
          <w:highlight w:val="none"/>
        </w:rPr>
        <w:t>第二章   投标须知</w:t>
      </w:r>
    </w:p>
    <w:p>
      <w:pPr>
        <w:spacing w:line="500" w:lineRule="exact"/>
        <w:jc w:val="center"/>
        <w:rPr>
          <w:rStyle w:val="98"/>
          <w:rFonts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前附表</w:t>
      </w:r>
    </w:p>
    <w:tbl>
      <w:tblPr>
        <w:tblStyle w:val="48"/>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序号</w:t>
            </w:r>
          </w:p>
        </w:tc>
        <w:tc>
          <w:tcPr>
            <w:tcW w:w="8712"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w:t>
            </w:r>
          </w:p>
        </w:tc>
        <w:tc>
          <w:tcPr>
            <w:tcW w:w="8712" w:type="dxa"/>
            <w:vAlign w:val="center"/>
          </w:tcPr>
          <w:p>
            <w:pP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项目名称：</w:t>
            </w:r>
            <w:r>
              <w:rPr>
                <w:rStyle w:val="98"/>
                <w:rFonts w:hint="eastAsia" w:ascii="仿宋" w:hAnsi="仿宋" w:eastAsia="仿宋" w:cs="仿宋"/>
                <w:bCs/>
                <w:color w:val="auto"/>
                <w:sz w:val="24"/>
                <w:szCs w:val="24"/>
                <w:highlight w:val="none"/>
              </w:rPr>
              <w:t>杭州杭新固体废物处置有限公司废气在线监测系统升级改造项目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2</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项目编号：</w:t>
            </w:r>
            <w:r>
              <w:rPr>
                <w:rStyle w:val="98"/>
                <w:rFonts w:hint="eastAsia" w:ascii="仿宋" w:hAnsi="仿宋" w:eastAsia="仿宋" w:cs="仿宋"/>
                <w:bCs/>
                <w:color w:val="auto"/>
                <w:sz w:val="24"/>
                <w:szCs w:val="24"/>
                <w:highlight w:val="none"/>
              </w:rPr>
              <w:t xml:space="preserve">ZJJAJD2024B-019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3</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投标报价及费用：</w:t>
            </w:r>
            <w:r>
              <w:rPr>
                <w:rStyle w:val="98"/>
                <w:rFonts w:hint="eastAsia" w:ascii="仿宋" w:hAnsi="仿宋" w:eastAsia="仿宋" w:cs="仿宋"/>
                <w:bCs/>
                <w:color w:val="auto"/>
                <w:sz w:val="24"/>
                <w:szCs w:val="24"/>
                <w:highlight w:val="none"/>
              </w:rPr>
              <w:t>1、本项目投标应以人民币报价；2、不论投标结果如何，投标供应商均应自行承担所有与投标有关的全部费用。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4</w:t>
            </w:r>
          </w:p>
        </w:tc>
        <w:tc>
          <w:tcPr>
            <w:tcW w:w="8712" w:type="dxa"/>
            <w:vAlign w:val="center"/>
          </w:tcPr>
          <w:p>
            <w:pP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答疑与澄清：</w:t>
            </w:r>
            <w:r>
              <w:rPr>
                <w:rStyle w:val="98"/>
                <w:rFonts w:hint="eastAsia" w:ascii="仿宋" w:hAnsi="仿宋" w:eastAsia="仿宋" w:cs="仿宋"/>
                <w:bCs/>
                <w:color w:val="auto"/>
                <w:sz w:val="24"/>
                <w:szCs w:val="24"/>
                <w:highlight w:val="none"/>
              </w:rPr>
              <w:t>投标供应商如认为招标文件表述不清晰、存在歧视性或者其他违法内容的，应当于</w:t>
            </w:r>
            <w:r>
              <w:rPr>
                <w:rStyle w:val="98"/>
                <w:rFonts w:hint="eastAsia" w:ascii="仿宋" w:hAnsi="仿宋" w:eastAsia="仿宋" w:cs="仿宋"/>
                <w:bCs/>
                <w:color w:val="auto"/>
                <w:sz w:val="24"/>
                <w:szCs w:val="24"/>
                <w:highlight w:val="none"/>
              </w:rPr>
              <w:t>2024年</w:t>
            </w:r>
            <w:r>
              <w:rPr>
                <w:rStyle w:val="98"/>
                <w:rFonts w:hint="eastAsia" w:ascii="仿宋" w:hAnsi="仿宋" w:eastAsia="仿宋" w:cs="仿宋"/>
                <w:bCs/>
                <w:color w:val="auto"/>
                <w:sz w:val="24"/>
                <w:szCs w:val="24"/>
                <w:highlight w:val="none"/>
                <w:lang w:val="en-US"/>
              </w:rPr>
              <w:t>4</w:t>
            </w:r>
            <w:r>
              <w:rPr>
                <w:rStyle w:val="98"/>
                <w:rFonts w:hint="eastAsia" w:ascii="仿宋" w:hAnsi="仿宋" w:eastAsia="仿宋" w:cs="仿宋"/>
                <w:bCs/>
                <w:color w:val="auto"/>
                <w:sz w:val="24"/>
                <w:szCs w:val="24"/>
                <w:highlight w:val="none"/>
              </w:rPr>
              <w:t>月</w:t>
            </w:r>
            <w:r>
              <w:rPr>
                <w:rStyle w:val="98"/>
                <w:rFonts w:hint="eastAsia" w:ascii="仿宋" w:hAnsi="仿宋" w:eastAsia="仿宋" w:cs="仿宋"/>
                <w:bCs/>
                <w:color w:val="auto"/>
                <w:sz w:val="24"/>
                <w:szCs w:val="24"/>
                <w:highlight w:val="none"/>
                <w:lang w:val="en-US"/>
              </w:rPr>
              <w:t>29</w:t>
            </w:r>
            <w:r>
              <w:rPr>
                <w:rStyle w:val="98"/>
                <w:rFonts w:hint="eastAsia" w:ascii="仿宋" w:hAnsi="仿宋" w:eastAsia="仿宋" w:cs="仿宋"/>
                <w:bCs/>
                <w:color w:val="auto"/>
                <w:sz w:val="24"/>
                <w:szCs w:val="24"/>
                <w:highlight w:val="none"/>
              </w:rPr>
              <w:t>日17:00</w:t>
            </w:r>
            <w:r>
              <w:rPr>
                <w:rStyle w:val="98"/>
                <w:rFonts w:hint="eastAsia" w:ascii="仿宋" w:hAnsi="仿宋" w:eastAsia="仿宋" w:cs="仿宋"/>
                <w:bCs/>
                <w:color w:val="auto"/>
                <w:sz w:val="24"/>
                <w:szCs w:val="24"/>
                <w:highlight w:val="none"/>
              </w:rPr>
              <w:t>前，以书面形式要求招标采购单位作出书面解释、澄清或者向招标采购单位提出书面质疑；如有投标供应商提出质疑的，招标采购单位将于</w:t>
            </w:r>
            <w:r>
              <w:rPr>
                <w:rStyle w:val="98"/>
                <w:rFonts w:hint="eastAsia" w:ascii="仿宋" w:hAnsi="仿宋" w:eastAsia="仿宋" w:cs="仿宋"/>
                <w:bCs/>
                <w:color w:val="auto"/>
                <w:sz w:val="24"/>
                <w:szCs w:val="24"/>
                <w:highlight w:val="none"/>
              </w:rPr>
              <w:t>2024年</w:t>
            </w:r>
            <w:r>
              <w:rPr>
                <w:rStyle w:val="98"/>
                <w:rFonts w:hint="eastAsia" w:ascii="仿宋" w:hAnsi="仿宋" w:eastAsia="仿宋" w:cs="仿宋"/>
                <w:bCs/>
                <w:color w:val="auto"/>
                <w:sz w:val="24"/>
                <w:szCs w:val="24"/>
                <w:highlight w:val="none"/>
                <w:lang w:val="en-US"/>
              </w:rPr>
              <w:t>4</w:t>
            </w:r>
            <w:r>
              <w:rPr>
                <w:rStyle w:val="98"/>
                <w:rFonts w:hint="eastAsia" w:ascii="仿宋" w:hAnsi="仿宋" w:eastAsia="仿宋" w:cs="仿宋"/>
                <w:bCs/>
                <w:color w:val="auto"/>
                <w:sz w:val="24"/>
                <w:szCs w:val="24"/>
                <w:highlight w:val="none"/>
              </w:rPr>
              <w:t>月</w:t>
            </w:r>
            <w:r>
              <w:rPr>
                <w:rStyle w:val="98"/>
                <w:rFonts w:hint="eastAsia" w:ascii="仿宋" w:hAnsi="仿宋" w:eastAsia="仿宋" w:cs="仿宋"/>
                <w:bCs/>
                <w:color w:val="auto"/>
                <w:sz w:val="24"/>
                <w:szCs w:val="24"/>
                <w:highlight w:val="none"/>
                <w:lang w:val="en-US"/>
              </w:rPr>
              <w:t>30</w:t>
            </w:r>
            <w:r>
              <w:rPr>
                <w:rStyle w:val="98"/>
                <w:rFonts w:hint="eastAsia" w:ascii="仿宋" w:hAnsi="仿宋" w:eastAsia="仿宋" w:cs="仿宋"/>
                <w:bCs/>
                <w:color w:val="auto"/>
                <w:sz w:val="24"/>
                <w:szCs w:val="24"/>
                <w:highlight w:val="none"/>
              </w:rPr>
              <w:t>日</w:t>
            </w:r>
            <w:r>
              <w:rPr>
                <w:rStyle w:val="98"/>
                <w:rFonts w:hint="eastAsia" w:ascii="仿宋" w:hAnsi="仿宋" w:eastAsia="仿宋" w:cs="仿宋"/>
                <w:bCs/>
                <w:color w:val="auto"/>
                <w:sz w:val="24"/>
                <w:szCs w:val="24"/>
                <w:highlight w:val="none"/>
              </w:rPr>
              <w:t>统一组织答疑；答疑内容是招标文件的组成部分，将在招标文件发售的网站进行发布。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5</w:t>
            </w:r>
          </w:p>
        </w:tc>
        <w:tc>
          <w:tcPr>
            <w:tcW w:w="8712" w:type="dxa"/>
            <w:vAlign w:val="center"/>
          </w:tcPr>
          <w:p>
            <w:pPr>
              <w:rPr>
                <w:rStyle w:val="98"/>
                <w:rFonts w:ascii="仿宋" w:hAnsi="仿宋" w:eastAsia="仿宋" w:cs="仿宋"/>
                <w:color w:val="auto"/>
                <w:sz w:val="24"/>
                <w:szCs w:val="24"/>
                <w:highlight w:val="none"/>
              </w:rPr>
            </w:pPr>
            <w:r>
              <w:rPr>
                <w:rStyle w:val="98"/>
                <w:rFonts w:hint="eastAsia" w:ascii="仿宋" w:hAnsi="仿宋" w:eastAsia="仿宋" w:cs="仿宋"/>
                <w:bCs/>
                <w:color w:val="auto"/>
                <w:sz w:val="24"/>
                <w:szCs w:val="24"/>
                <w:highlight w:val="none"/>
              </w:rPr>
              <w:t>投标保证金：按《招标采购公告》第五条规定的金额和时间缴纳。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6</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bCs/>
                <w:color w:val="auto"/>
                <w:sz w:val="24"/>
                <w:szCs w:val="24"/>
                <w:highlight w:val="none"/>
              </w:rPr>
              <w:t>本项目不接受联合体投标，不允许转包分包。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7</w:t>
            </w:r>
          </w:p>
        </w:tc>
        <w:tc>
          <w:tcPr>
            <w:tcW w:w="8712" w:type="dxa"/>
            <w:vAlign w:val="center"/>
          </w:tcPr>
          <w:p>
            <w:pPr>
              <w:snapToGrid w:val="0"/>
              <w:rPr>
                <w:rStyle w:val="98"/>
                <w:rFonts w:ascii="仿宋" w:hAnsi="仿宋" w:eastAsia="仿宋" w:cs="仿宋"/>
                <w:color w:val="auto"/>
                <w:sz w:val="24"/>
                <w:szCs w:val="24"/>
                <w:highlight w:val="none"/>
              </w:rPr>
            </w:pPr>
            <w:r>
              <w:rPr>
                <w:rFonts w:hint="eastAsia" w:ascii="仿宋" w:hAnsi="仿宋" w:eastAsia="仿宋" w:cs="仿宋"/>
                <w:bCs/>
                <w:color w:val="auto"/>
                <w:spacing w:val="-2"/>
                <w:sz w:val="24"/>
                <w:szCs w:val="24"/>
                <w:highlight w:val="none"/>
              </w:rPr>
              <w:t>现场踏勘：自行前往、费用自理。</w:t>
            </w:r>
            <w:r>
              <w:rPr>
                <w:rFonts w:hint="eastAsia" w:ascii="仿宋" w:hAnsi="仿宋" w:eastAsia="仿宋" w:cs="仿宋"/>
                <w:b/>
                <w:color w:val="auto"/>
                <w:spacing w:val="-2"/>
                <w:sz w:val="24"/>
                <w:szCs w:val="24"/>
                <w:highlight w:val="none"/>
              </w:rPr>
              <w:t>项目踏勘联系人：</w:t>
            </w:r>
            <w:r>
              <w:rPr>
                <w:rFonts w:hint="eastAsia" w:ascii="仿宋" w:hAnsi="仿宋" w:eastAsia="仿宋" w:cs="仿宋"/>
                <w:b/>
                <w:color w:val="auto"/>
                <w:sz w:val="24"/>
                <w:szCs w:val="24"/>
                <w:highlight w:val="none"/>
              </w:rPr>
              <w:t>卢工， 联系电话：l5968836048。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8</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bCs/>
                <w:color w:val="auto"/>
                <w:sz w:val="24"/>
                <w:szCs w:val="24"/>
                <w:highlight w:val="none"/>
              </w:rPr>
              <w:t>演示时间及地点：无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9</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投标文件的组成：</w:t>
            </w:r>
            <w:r>
              <w:rPr>
                <w:rStyle w:val="98"/>
                <w:rFonts w:hint="eastAsia" w:ascii="仿宋" w:hAnsi="仿宋" w:eastAsia="仿宋" w:cs="仿宋"/>
                <w:b/>
                <w:color w:val="auto"/>
                <w:sz w:val="24"/>
                <w:szCs w:val="24"/>
                <w:highlight w:val="none"/>
              </w:rPr>
              <w:t>由报价文件、技术文件、商务资信文件、各正本1份，副本各5份（副本可为正本的复印件，投标文件封面必须加盖投标供应商公章）及资格审查文件正本1份组成</w:t>
            </w:r>
            <w:r>
              <w:rPr>
                <w:rStyle w:val="98"/>
                <w:rFonts w:hint="eastAsia" w:ascii="仿宋" w:hAnsi="仿宋" w:eastAsia="仿宋" w:cs="仿宋"/>
                <w:bCs/>
                <w:color w:val="auto"/>
                <w:sz w:val="24"/>
                <w:szCs w:val="24"/>
                <w:highlight w:val="none"/>
              </w:rPr>
              <w:t>（详见第二章第十条）。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10</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提供的样品：</w:t>
            </w:r>
            <w:r>
              <w:rPr>
                <w:rStyle w:val="98"/>
                <w:rFonts w:hint="eastAsia" w:ascii="仿宋" w:hAnsi="仿宋" w:eastAsia="仿宋" w:cs="仿宋"/>
                <w:bCs/>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11</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投标截止时间：</w:t>
            </w:r>
            <w:r>
              <w:rPr>
                <w:rFonts w:hint="eastAsia" w:ascii="仿宋" w:hAnsi="仿宋" w:eastAsia="仿宋" w:cs="仿宋"/>
                <w:b/>
                <w:color w:val="auto"/>
                <w:sz w:val="24"/>
                <w:szCs w:val="24"/>
                <w:highlight w:val="none"/>
              </w:rPr>
              <w:t xml:space="preserve">2024年 </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月</w:t>
            </w:r>
            <w:r>
              <w:rPr>
                <w:rFonts w:hint="eastAsia" w:ascii="仿宋" w:hAnsi="仿宋" w:eastAsia="仿宋" w:cs="仿宋"/>
                <w:b/>
                <w:color w:val="auto"/>
                <w:sz w:val="24"/>
                <w:szCs w:val="24"/>
                <w:highlight w:val="none"/>
                <w:lang w:val="en-US" w:eastAsia="zh-CN"/>
              </w:rPr>
              <w:t>10</w:t>
            </w:r>
            <w:r>
              <w:rPr>
                <w:rFonts w:hint="eastAsia" w:ascii="仿宋" w:hAnsi="仿宋" w:eastAsia="仿宋" w:cs="仿宋"/>
                <w:b/>
                <w:color w:val="auto"/>
                <w:sz w:val="24"/>
                <w:szCs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12</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投标地点：</w:t>
            </w:r>
            <w:r>
              <w:rPr>
                <w:rStyle w:val="98"/>
                <w:rFonts w:hint="eastAsia" w:ascii="仿宋" w:hAnsi="仿宋" w:eastAsia="仿宋" w:cs="仿宋"/>
                <w:bCs/>
                <w:color w:val="auto"/>
                <w:sz w:val="24"/>
                <w:szCs w:val="24"/>
                <w:highlight w:val="none"/>
              </w:rPr>
              <w:t>杭州市公共资源交易中心建德分中心3号开标室（洋安社区荷映路113号3楼）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13</w:t>
            </w:r>
          </w:p>
        </w:tc>
        <w:tc>
          <w:tcPr>
            <w:tcW w:w="8712" w:type="dxa"/>
            <w:vAlign w:val="center"/>
          </w:tcPr>
          <w:p>
            <w:pPr>
              <w:snapToGrid w:val="0"/>
              <w:ind w:left="236" w:leftChars="0" w:hanging="236" w:hangingChars="100"/>
              <w:jc w:val="both"/>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开标时间及地点</w:t>
            </w:r>
            <w:r>
              <w:rPr>
                <w:rFonts w:hint="eastAsia" w:ascii="仿宋" w:hAnsi="仿宋" w:eastAsia="仿宋" w:cs="仿宋"/>
                <w:b/>
                <w:color w:val="auto"/>
                <w:sz w:val="24"/>
                <w:szCs w:val="24"/>
                <w:highlight w:val="none"/>
              </w:rPr>
              <w:t>2024年</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月</w:t>
            </w:r>
            <w:r>
              <w:rPr>
                <w:rFonts w:hint="eastAsia" w:ascii="仿宋" w:hAnsi="仿宋" w:eastAsia="仿宋" w:cs="仿宋"/>
                <w:b/>
                <w:color w:val="auto"/>
                <w:sz w:val="24"/>
                <w:szCs w:val="24"/>
                <w:highlight w:val="none"/>
                <w:lang w:val="en-US" w:eastAsia="zh-CN"/>
              </w:rPr>
              <w:t>10</w:t>
            </w:r>
            <w:r>
              <w:rPr>
                <w:rFonts w:hint="eastAsia" w:ascii="仿宋" w:hAnsi="仿宋" w:eastAsia="仿宋" w:cs="仿宋"/>
                <w:b/>
                <w:color w:val="auto"/>
                <w:sz w:val="24"/>
                <w:szCs w:val="24"/>
                <w:highlight w:val="none"/>
              </w:rPr>
              <w:t>日9时00分</w:t>
            </w:r>
            <w:r>
              <w:rPr>
                <w:rStyle w:val="98"/>
                <w:rFonts w:hint="eastAsia" w:ascii="仿宋" w:hAnsi="仿宋" w:eastAsia="仿宋" w:cs="仿宋"/>
                <w:bCs/>
                <w:color w:val="auto"/>
                <w:sz w:val="24"/>
                <w:szCs w:val="24"/>
                <w:highlight w:val="none"/>
              </w:rPr>
              <w:t>，杭州市公共资源交易中心建德分中</w:t>
            </w:r>
            <w:r>
              <w:rPr>
                <w:rStyle w:val="98"/>
                <w:rFonts w:hint="eastAsia" w:ascii="仿宋" w:hAnsi="仿宋" w:eastAsia="仿宋" w:cs="仿宋"/>
                <w:color w:val="auto"/>
                <w:sz w:val="24"/>
                <w:szCs w:val="24"/>
                <w:highlight w:val="none"/>
                <w:lang w:eastAsia="zh-CN"/>
              </w:rPr>
              <w:t>心</w:t>
            </w:r>
            <w:r>
              <w:rPr>
                <w:rStyle w:val="98"/>
                <w:rFonts w:hint="eastAsia" w:ascii="仿宋" w:hAnsi="仿宋" w:eastAsia="仿宋" w:cs="仿宋"/>
                <w:bCs/>
                <w:color w:val="auto"/>
                <w:sz w:val="24"/>
                <w:szCs w:val="24"/>
                <w:highlight w:val="none"/>
                <w:lang w:val="en-US" w:eastAsia="zh-CN"/>
              </w:rPr>
              <w:t>3</w:t>
            </w:r>
            <w:r>
              <w:rPr>
                <w:rStyle w:val="98"/>
                <w:rFonts w:hint="eastAsia" w:ascii="仿宋" w:hAnsi="仿宋" w:eastAsia="仿宋" w:cs="仿宋"/>
                <w:bCs/>
                <w:color w:val="auto"/>
                <w:sz w:val="24"/>
                <w:szCs w:val="24"/>
                <w:highlight w:val="none"/>
              </w:rPr>
              <w:t xml:space="preserve"> </w:t>
            </w:r>
            <w:r>
              <w:rPr>
                <w:rStyle w:val="98"/>
                <w:rFonts w:hint="eastAsia" w:ascii="仿宋" w:hAnsi="仿宋" w:eastAsia="仿宋" w:cs="仿宋"/>
                <w:bCs/>
                <w:color w:val="auto"/>
                <w:sz w:val="24"/>
                <w:szCs w:val="24"/>
                <w:highlight w:val="none"/>
              </w:rPr>
              <w:t>号</w:t>
            </w:r>
            <w:r>
              <w:rPr>
                <w:rStyle w:val="98"/>
                <w:rFonts w:hint="eastAsia" w:ascii="仿宋" w:hAnsi="仿宋" w:eastAsia="仿宋" w:cs="仿宋"/>
                <w:bCs/>
                <w:color w:val="auto"/>
                <w:sz w:val="24"/>
                <w:szCs w:val="24"/>
                <w:highlight w:val="none"/>
              </w:rPr>
              <w:t>开标室（洋安社区荷映路113号3楼）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14</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bCs/>
                <w:color w:val="auto"/>
                <w:sz w:val="24"/>
                <w:szCs w:val="24"/>
                <w:highlight w:val="none"/>
              </w:rPr>
              <w:t>评标结果公示：</w:t>
            </w:r>
            <w:r>
              <w:rPr>
                <w:rStyle w:val="98"/>
                <w:rFonts w:hint="eastAsia" w:ascii="仿宋" w:hAnsi="仿宋" w:eastAsia="仿宋" w:cs="仿宋"/>
                <w:color w:val="auto"/>
                <w:sz w:val="24"/>
                <w:szCs w:val="24"/>
                <w:highlight w:val="none"/>
              </w:rPr>
              <w:t>评标结果公示于建德市门户网站公共资源交易网址（http://www.jiande.gov.cn/col/col1229346101/index.html）和浙江政府采购网(</w:t>
            </w:r>
            <w:r>
              <w:rPr>
                <w:rFonts w:hint="eastAsia" w:ascii="仿宋" w:hAnsi="仿宋" w:eastAsia="仿宋" w:cs="仿宋"/>
                <w:color w:val="auto"/>
                <w:spacing w:val="-2"/>
                <w:sz w:val="24"/>
                <w:szCs w:val="24"/>
                <w:highlight w:val="none"/>
              </w:rPr>
              <w:t>https://zfcg.czt.zj.gov.cn//</w:t>
            </w:r>
            <w:r>
              <w:rPr>
                <w:rStyle w:val="98"/>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15</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评标办法及标准：</w:t>
            </w:r>
            <w:r>
              <w:rPr>
                <w:rStyle w:val="98"/>
                <w:rFonts w:hint="eastAsia" w:ascii="仿宋" w:hAnsi="仿宋" w:eastAsia="仿宋" w:cs="仿宋"/>
                <w:bCs/>
                <w:color w:val="auto"/>
                <w:sz w:val="24"/>
                <w:szCs w:val="24"/>
                <w:highlight w:val="none"/>
              </w:rPr>
              <w:t>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16</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中标通知书：</w:t>
            </w:r>
            <w:r>
              <w:rPr>
                <w:rStyle w:val="348"/>
                <w:rFonts w:hint="eastAsia" w:ascii="仿宋" w:hAnsi="仿宋" w:eastAsia="仿宋" w:cs="仿宋"/>
                <w:bCs/>
                <w:color w:val="auto"/>
                <w:sz w:val="24"/>
                <w:szCs w:val="24"/>
                <w:highlight w:val="none"/>
              </w:rPr>
              <w:t>自中标供应商确定2个工作日内签发中标通知书。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17</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签订合同：</w:t>
            </w:r>
            <w:r>
              <w:rPr>
                <w:rStyle w:val="98"/>
                <w:rFonts w:hint="eastAsia" w:ascii="仿宋" w:hAnsi="仿宋" w:eastAsia="仿宋" w:cs="仿宋"/>
                <w:bCs/>
                <w:color w:val="auto"/>
                <w:sz w:val="24"/>
                <w:szCs w:val="24"/>
                <w:highlight w:val="none"/>
              </w:rPr>
              <w:t>中标通知书发出后30日内（具体时间按中标通知书）。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18</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接收投标文件时间：</w:t>
            </w:r>
            <w:r>
              <w:rPr>
                <w:rStyle w:val="98"/>
                <w:rFonts w:hint="eastAsia" w:ascii="仿宋" w:hAnsi="仿宋" w:eastAsia="仿宋" w:cs="仿宋"/>
                <w:bCs/>
                <w:color w:val="auto"/>
                <w:sz w:val="24"/>
                <w:szCs w:val="24"/>
                <w:highlight w:val="none"/>
              </w:rPr>
              <w:t>投标截止时间前半小时内接收投标文件，逾期送达或未密封将予以拒收。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19</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最高限价：本项目年度最高限价（预算总价）为人民币捌拾伍万</w:t>
            </w:r>
            <w:r>
              <w:rPr>
                <w:rStyle w:val="98"/>
                <w:rFonts w:hint="eastAsia" w:ascii="仿宋" w:hAnsi="仿宋" w:eastAsia="仿宋" w:cs="仿宋"/>
                <w:color w:val="auto"/>
                <w:sz w:val="24"/>
                <w:szCs w:val="24"/>
                <w:highlight w:val="none"/>
              </w:rPr>
              <w:fldChar w:fldCharType="begin"/>
            </w:r>
            <w:r>
              <w:rPr>
                <w:rStyle w:val="98"/>
                <w:rFonts w:hint="eastAsia" w:ascii="仿宋" w:hAnsi="仿宋" w:eastAsia="仿宋" w:cs="仿宋"/>
                <w:color w:val="auto"/>
                <w:sz w:val="24"/>
                <w:szCs w:val="24"/>
                <w:highlight w:val="none"/>
              </w:rPr>
              <w:instrText xml:space="preserve"> = 2341600 \* CHINESENUM4 \* MERGEFORMAT </w:instrText>
            </w:r>
            <w:r>
              <w:rPr>
                <w:rStyle w:val="98"/>
                <w:rFonts w:hint="eastAsia" w:ascii="仿宋" w:hAnsi="仿宋" w:eastAsia="仿宋" w:cs="仿宋"/>
                <w:color w:val="auto"/>
                <w:sz w:val="24"/>
                <w:szCs w:val="24"/>
                <w:highlight w:val="none"/>
              </w:rPr>
              <w:fldChar w:fldCharType="separate"/>
            </w:r>
            <w:r>
              <w:rPr>
                <w:rStyle w:val="98"/>
                <w:rFonts w:hint="eastAsia" w:ascii="仿宋" w:hAnsi="仿宋" w:eastAsia="仿宋" w:cs="仿宋"/>
                <w:color w:val="auto"/>
                <w:sz w:val="24"/>
                <w:szCs w:val="24"/>
                <w:highlight w:val="none"/>
              </w:rPr>
              <w:t>元整</w:t>
            </w:r>
            <w:r>
              <w:rPr>
                <w:rStyle w:val="98"/>
                <w:rFonts w:hint="eastAsia" w:ascii="仿宋" w:hAnsi="仿宋" w:eastAsia="仿宋" w:cs="仿宋"/>
                <w:color w:val="auto"/>
                <w:sz w:val="24"/>
                <w:szCs w:val="24"/>
                <w:highlight w:val="none"/>
              </w:rPr>
              <w:fldChar w:fldCharType="end"/>
            </w:r>
            <w:r>
              <w:rPr>
                <w:rStyle w:val="98"/>
                <w:rFonts w:hint="eastAsia" w:ascii="仿宋" w:hAnsi="仿宋" w:eastAsia="仿宋" w:cs="仿宋"/>
                <w:color w:val="auto"/>
                <w:sz w:val="24"/>
                <w:szCs w:val="24"/>
                <w:highlight w:val="none"/>
              </w:rPr>
              <w:t>（￥：850000.00元），投标报价超过</w:t>
            </w:r>
            <w:r>
              <w:rPr>
                <w:rStyle w:val="98"/>
                <w:rFonts w:hint="eastAsia" w:ascii="仿宋" w:hAnsi="仿宋" w:eastAsia="仿宋" w:cs="仿宋"/>
                <w:b/>
                <w:bCs/>
                <w:color w:val="auto"/>
                <w:sz w:val="24"/>
                <w:szCs w:val="24"/>
                <w:highlight w:val="none"/>
              </w:rPr>
              <w:t>最高限价</w:t>
            </w:r>
            <w:r>
              <w:rPr>
                <w:rStyle w:val="98"/>
                <w:rFonts w:hint="eastAsia" w:ascii="仿宋" w:hAnsi="仿宋" w:eastAsia="仿宋" w:cs="仿宋"/>
                <w:color w:val="auto"/>
                <w:sz w:val="24"/>
                <w:szCs w:val="24"/>
                <w:highlight w:val="none"/>
              </w:rPr>
              <w:t>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20</w:t>
            </w:r>
          </w:p>
        </w:tc>
        <w:tc>
          <w:tcPr>
            <w:tcW w:w="8712" w:type="dxa"/>
            <w:vAlign w:val="center"/>
          </w:tcPr>
          <w:p>
            <w:pP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履约保证金：</w:t>
            </w:r>
            <w:r>
              <w:rPr>
                <w:rFonts w:hint="eastAsia" w:ascii="仿宋" w:hAnsi="仿宋" w:eastAsia="仿宋" w:cs="仿宋"/>
                <w:bCs/>
                <w:color w:val="auto"/>
                <w:sz w:val="24"/>
                <w:highlight w:val="none"/>
                <w:lang w:val="zh-CN"/>
              </w:rPr>
              <w:t>正式合同签订生效之日起7个工作日内，由成交供应商缴纳</w:t>
            </w:r>
            <w:r>
              <w:rPr>
                <w:rFonts w:hint="eastAsia" w:ascii="仿宋" w:hAnsi="仿宋" w:eastAsia="仿宋" w:cs="仿宋"/>
                <w:bCs/>
                <w:color w:val="auto"/>
                <w:sz w:val="24"/>
                <w:highlight w:val="none"/>
              </w:rPr>
              <w:t>成交金额</w:t>
            </w:r>
            <w:r>
              <w:rPr>
                <w:rFonts w:hint="eastAsia" w:ascii="仿宋" w:hAnsi="仿宋" w:eastAsia="仿宋" w:cs="仿宋"/>
                <w:bCs/>
                <w:color w:val="auto"/>
                <w:sz w:val="24"/>
                <w:highlight w:val="none"/>
                <w:lang w:val="zh-CN"/>
              </w:rPr>
              <w:t>的</w:t>
            </w:r>
            <w:r>
              <w:rPr>
                <w:rFonts w:hint="eastAsia" w:ascii="仿宋" w:hAnsi="仿宋" w:eastAsia="仿宋" w:cs="仿宋"/>
                <w:bCs/>
                <w:color w:val="auto"/>
                <w:sz w:val="24"/>
                <w:highlight w:val="none"/>
              </w:rPr>
              <w:t>2.</w:t>
            </w:r>
            <w:r>
              <w:rPr>
                <w:rFonts w:hint="eastAsia" w:ascii="仿宋" w:hAnsi="仿宋" w:eastAsia="仿宋" w:cs="仿宋"/>
                <w:bCs/>
                <w:color w:val="auto"/>
                <w:sz w:val="24"/>
                <w:highlight w:val="none"/>
                <w:lang w:val="zh-CN"/>
              </w:rPr>
              <w:t>5%作为履约保证金至采购单位指定账户（可采用银行、保险公司出具保函形式提交）。</w:t>
            </w:r>
            <w:r>
              <w:rPr>
                <w:rFonts w:hint="eastAsia" w:ascii="仿宋" w:hAnsi="仿宋" w:eastAsia="仿宋" w:cs="仿宋"/>
                <w:bCs/>
                <w:color w:val="auto"/>
                <w:sz w:val="24"/>
                <w:highlight w:val="none"/>
              </w:rPr>
              <w:t>履约结束</w:t>
            </w:r>
            <w:r>
              <w:rPr>
                <w:rFonts w:hint="eastAsia" w:ascii="仿宋" w:hAnsi="仿宋" w:eastAsia="仿宋" w:cs="仿宋"/>
                <w:bCs/>
                <w:color w:val="auto"/>
                <w:sz w:val="24"/>
                <w:highlight w:val="none"/>
                <w:lang w:val="zh-CN"/>
              </w:rPr>
              <w:t>无质量、服务问题，</w:t>
            </w:r>
            <w:r>
              <w:rPr>
                <w:rFonts w:hint="eastAsia" w:ascii="仿宋" w:hAnsi="仿宋" w:eastAsia="仿宋" w:cs="仿宋"/>
                <w:bCs/>
                <w:color w:val="auto"/>
                <w:sz w:val="24"/>
                <w:highlight w:val="none"/>
              </w:rPr>
              <w:t>凭结款申请1份、合同复印件1份，经采购单位签署意见的《建德市政府采购回访意见单》（一式四份）提交采购单位，</w:t>
            </w:r>
            <w:r>
              <w:rPr>
                <w:rFonts w:hint="eastAsia" w:ascii="仿宋" w:hAnsi="仿宋" w:eastAsia="仿宋" w:cs="仿宋"/>
                <w:bCs/>
                <w:color w:val="auto"/>
                <w:sz w:val="24"/>
                <w:highlight w:val="none"/>
                <w:lang w:val="zh-CN"/>
              </w:rPr>
              <w:t>由采购单位向成交供应商无息退还。</w:t>
            </w:r>
            <w:r>
              <w:rPr>
                <w:rFonts w:hint="eastAsia" w:ascii="仿宋" w:hAnsi="仿宋" w:eastAsia="仿宋" w:cs="仿宋"/>
                <w:bCs/>
                <w:color w:val="auto"/>
                <w:sz w:val="24"/>
                <w:highlight w:val="none"/>
              </w:rPr>
              <w:t>由于成交供应商迟迟不提出结算申请致使保证金逾期结算的，责任由成交供应商自负。</w:t>
            </w:r>
            <w:r>
              <w:rPr>
                <w:rFonts w:hint="eastAsia" w:ascii="仿宋" w:hAnsi="仿宋" w:eastAsia="仿宋" w:cs="仿宋"/>
                <w:bCs/>
                <w:color w:val="auto"/>
                <w:sz w:val="24"/>
                <w:highlight w:val="none"/>
                <w:lang w:val="zh-CN"/>
              </w:rPr>
              <w:t>因成交供应商的质量、服务问题等原因造成采购单位损失的，采购单位有权要求成交供应商以其履约保证金作出补偿。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21</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付款方式：按财务结算要求，通过银行划账方式结算。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22</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投标文件的有效期：90天。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07" w:type="dxa"/>
            <w:vAlign w:val="center"/>
          </w:tcPr>
          <w:p>
            <w:pPr>
              <w:snapToGrid w:val="0"/>
              <w:jc w:val="center"/>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23</w:t>
            </w:r>
          </w:p>
        </w:tc>
        <w:tc>
          <w:tcPr>
            <w:tcW w:w="8712" w:type="dxa"/>
            <w:vAlign w:val="center"/>
          </w:tcPr>
          <w:p>
            <w:pPr>
              <w:snapToGrid w:val="0"/>
              <w:rPr>
                <w:rStyle w:val="98"/>
                <w:rFonts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解释：本招标文件的解释权属于招标采购单位。</w:t>
            </w:r>
          </w:p>
        </w:tc>
      </w:tr>
    </w:tbl>
    <w:p>
      <w:pPr>
        <w:spacing w:line="360" w:lineRule="auto"/>
        <w:ind w:firstLine="523" w:firstLineChars="217"/>
        <w:rPr>
          <w:rFonts w:ascii="仿宋" w:hAnsi="仿宋" w:eastAsia="仿宋" w:cs="仿宋"/>
          <w:b/>
          <w:color w:val="auto"/>
          <w:sz w:val="24"/>
          <w:szCs w:val="24"/>
          <w:highlight w:val="none"/>
        </w:rPr>
      </w:pPr>
    </w:p>
    <w:p>
      <w:pPr>
        <w:spacing w:line="360" w:lineRule="auto"/>
        <w:ind w:firstLine="523" w:firstLineChars="217"/>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一、适用范围</w:t>
      </w:r>
    </w:p>
    <w:p>
      <w:pPr>
        <w:spacing w:line="360" w:lineRule="auto"/>
        <w:ind w:firstLine="520" w:firstLineChars="21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本招标文件仅适用于本项目的招标、评标、定标、验收、合同履约、付款等（法律法规另有规定的，从其规定）。</w:t>
      </w:r>
    </w:p>
    <w:p>
      <w:pPr>
        <w:spacing w:line="360" w:lineRule="auto"/>
        <w:ind w:firstLine="523" w:firstLineChars="217"/>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二、定义</w:t>
      </w:r>
    </w:p>
    <w:p>
      <w:pPr>
        <w:snapToGrid w:val="0"/>
        <w:spacing w:line="360" w:lineRule="auto"/>
        <w:ind w:firstLine="573"/>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（一）“招标方”系指组织本次招标的浙江建安工程管理有限公司。</w:t>
      </w:r>
    </w:p>
    <w:p>
      <w:pPr>
        <w:snapToGrid w:val="0"/>
        <w:spacing w:line="360" w:lineRule="auto"/>
        <w:ind w:firstLine="573"/>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（二）“投标供应商”系指向招标方提交投标文件的供应商。</w:t>
      </w:r>
    </w:p>
    <w:p>
      <w:pPr>
        <w:snapToGrid w:val="0"/>
        <w:spacing w:line="360" w:lineRule="auto"/>
        <w:ind w:firstLine="573"/>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（三）“采购单位”系指委托招标方采购本次项目的杭州杭新固体废物处置有限公司。</w:t>
      </w:r>
    </w:p>
    <w:p>
      <w:pPr>
        <w:snapToGrid w:val="0"/>
        <w:spacing w:line="360" w:lineRule="auto"/>
        <w:ind w:firstLine="573"/>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（四）“产品”系指供方按招标文件规定，须向采购单位提供的一切设备、备品备件、工具、手册及其他有关技术资料和材料。</w:t>
      </w:r>
    </w:p>
    <w:p>
      <w:pPr>
        <w:snapToGrid w:val="0"/>
        <w:spacing w:line="360" w:lineRule="auto"/>
        <w:ind w:firstLine="573"/>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（五）“服务”系指招标文件规定投标供应商须承担的供货、运输、安装、调试、技术协助、校准、培训、技术指导以及其他类似的义务。</w:t>
      </w:r>
    </w:p>
    <w:p>
      <w:pPr>
        <w:snapToGrid w:val="0"/>
        <w:spacing w:line="360" w:lineRule="auto"/>
        <w:ind w:firstLine="573"/>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（六）“项目”系指投标供应商按招标文件规定向采购单位提供的产品和服务。</w:t>
      </w:r>
    </w:p>
    <w:p>
      <w:pPr>
        <w:spacing w:line="360" w:lineRule="auto"/>
        <w:ind w:firstLine="523" w:firstLineChars="217"/>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三、投标委托</w:t>
      </w:r>
    </w:p>
    <w:p>
      <w:pPr>
        <w:spacing w:line="360" w:lineRule="auto"/>
        <w:ind w:firstLine="537" w:firstLineChars="22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全权代表须携带有效身份证件。如全权代表不是法定代表人，须有法定代表人出具的授权委托书（格式见第九章附件八）。</w:t>
      </w:r>
    </w:p>
    <w:p>
      <w:pPr>
        <w:spacing w:line="360" w:lineRule="auto"/>
        <w:ind w:firstLine="523" w:firstLineChars="217"/>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四、投标费用</w:t>
      </w:r>
    </w:p>
    <w:p>
      <w:pPr>
        <w:spacing w:line="360" w:lineRule="auto"/>
        <w:ind w:firstLine="57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无论投标过程和结果如何，投标方自行承担与投标有关的全部费用（招标文件有其他相反规定除外）。</w:t>
      </w:r>
    </w:p>
    <w:p>
      <w:pPr>
        <w:spacing w:line="360" w:lineRule="auto"/>
        <w:ind w:firstLine="57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五、投标报价及修正</w:t>
      </w:r>
    </w:p>
    <w:p>
      <w:pPr>
        <w:snapToGrid w:val="0"/>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（一）投标报价以人民币为结算货币。</w:t>
      </w:r>
    </w:p>
    <w:p>
      <w:pPr>
        <w:snapToGrid w:val="0"/>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（二）投标文件中开标一览表（报价表）内容与投标文件中相应内容不一致的，以开标一览表（报价表）为准。</w:t>
      </w:r>
    </w:p>
    <w:p>
      <w:pPr>
        <w:snapToGrid w:val="0"/>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大写金额和小写金额不一致的，以大写金额为准；总价金额与按单价汇总金额不一致的，以单价金额计算结果为准；单价金额小数点有明显错位的，以总价为准，并修改单价；对不同文字文本投档文件的解释发生异议的，以中文文本为准。</w:t>
      </w:r>
    </w:p>
    <w:p>
      <w:pPr>
        <w:snapToGrid w:val="0"/>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供应商的报价是供应商响应招标项目要求的全部工作内容的价格体现，包括供货、运输装卸、安装调试、配套的水电安装、附件、辅材、备品备件、税金、辅助工作及售后服务等完成整个项目所需的一切费用，以及招标文件未列明，而投标单位认为必需的费用也需列入报价。</w:t>
      </w:r>
    </w:p>
    <w:p>
      <w:pPr>
        <w:snapToGrid w:val="0"/>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（四）供应商只允许有一个报价，并且在合同履行过程中是固定不变的，任何有选择或可调整的报价将不予接受，并按无效投标处理。</w:t>
      </w:r>
    </w:p>
    <w:p>
      <w:pPr>
        <w:spacing w:line="360" w:lineRule="auto"/>
        <w:ind w:firstLine="472" w:firstLineChars="196"/>
        <w:jc w:val="left"/>
        <w:rPr>
          <w:rFonts w:ascii="仿宋" w:hAnsi="仿宋" w:eastAsia="仿宋" w:cs="仿宋"/>
          <w:b/>
          <w:color w:val="auto"/>
          <w:sz w:val="24"/>
          <w:szCs w:val="24"/>
          <w:highlight w:val="none"/>
        </w:rPr>
      </w:pPr>
      <w:bookmarkStart w:id="2" w:name="_Toc512498625"/>
      <w:r>
        <w:rPr>
          <w:rFonts w:hint="eastAsia" w:ascii="仿宋" w:hAnsi="仿宋" w:eastAsia="仿宋" w:cs="仿宋"/>
          <w:b/>
          <w:color w:val="auto"/>
          <w:sz w:val="24"/>
          <w:szCs w:val="24"/>
          <w:highlight w:val="none"/>
        </w:rPr>
        <w:t>六、投标保证金</w:t>
      </w:r>
      <w:bookmarkEnd w:id="2"/>
    </w:p>
    <w:p>
      <w:pPr>
        <w:snapToGrid w:val="0"/>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〈一〉投标保证金以银行汇票、电汇、网银形式按招标公告的规定时间、地点、账号缴纳并到账。</w:t>
      </w:r>
    </w:p>
    <w:p>
      <w:pPr>
        <w:snapToGrid w:val="0"/>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〈二〉未按规定提交投标保证金的投标，拒绝接收投标文件。</w:t>
      </w:r>
    </w:p>
    <w:p>
      <w:pPr>
        <w:snapToGrid w:val="0"/>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〈三〉投标截止日后，投标方撤回投标书的，投标保证金不予退还。中标方不按规定签订政府采购合同的，将没收投标保证金。</w:t>
      </w:r>
    </w:p>
    <w:p>
      <w:pPr>
        <w:spacing w:line="360" w:lineRule="auto"/>
        <w:ind w:firstLine="472" w:firstLineChars="196"/>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七、投标有效期</w:t>
      </w:r>
    </w:p>
    <w:p>
      <w:pPr>
        <w:spacing w:line="420" w:lineRule="exact"/>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〈一〉投标文件从开标之日起，投标有效期为90日。</w:t>
      </w:r>
    </w:p>
    <w:p>
      <w:pPr>
        <w:spacing w:line="420" w:lineRule="exact"/>
        <w:ind w:firstLine="480" w:firstLineChars="20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〈二〉特殊情况下，招标方可与投标方协商延缓投标书的有效期，这种要求和答复均以书面形式进行。在这种情况下，保证金的有效期也相应延长。</w:t>
      </w:r>
    </w:p>
    <w:p>
      <w:pPr>
        <w:spacing w:line="420" w:lineRule="exact"/>
        <w:ind w:firstLine="57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〈三〉投标方可拒绝接受延期要求而不会导致保证金被没收。同意延长有效期的投标方不能修改投标文件。</w:t>
      </w:r>
    </w:p>
    <w:p>
      <w:pPr>
        <w:spacing w:line="360" w:lineRule="auto"/>
        <w:ind w:firstLine="482" w:firstLineChars="200"/>
        <w:jc w:val="left"/>
        <w:rPr>
          <w:rFonts w:ascii="仿宋" w:hAnsi="仿宋" w:eastAsia="仿宋" w:cs="仿宋"/>
          <w:b/>
          <w:color w:val="auto"/>
          <w:sz w:val="24"/>
          <w:szCs w:val="24"/>
          <w:highlight w:val="none"/>
        </w:rPr>
      </w:pPr>
      <w:bookmarkStart w:id="3" w:name="_Toc177870542"/>
      <w:r>
        <w:rPr>
          <w:rFonts w:hint="eastAsia" w:ascii="仿宋" w:hAnsi="仿宋" w:eastAsia="仿宋" w:cs="仿宋"/>
          <w:b/>
          <w:color w:val="auto"/>
          <w:sz w:val="24"/>
          <w:szCs w:val="24"/>
          <w:highlight w:val="none"/>
        </w:rPr>
        <w:t>八、特别说明：</w:t>
      </w:r>
      <w:bookmarkEnd w:id="3"/>
    </w:p>
    <w:p>
      <w:pPr>
        <w:pStyle w:val="2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（一）投标供应商不得为本次采购进行设计或编制规范和其他文件的当事人；也不得直接或间接地与为本次采购进行设计或编制规范、其他文件的个人、企业、采购代理机构或其附属机构有任何关联。</w:t>
      </w:r>
    </w:p>
    <w:p>
      <w:pPr>
        <w:pStyle w:val="2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（二）投标供应商投标所使用的资格、信誉、荣誉、业绩与企业认证必须为本法人所拥有。投标供应商投标所使用的采购项目实施人员可以为其控股公司的工作人员。</w:t>
      </w:r>
    </w:p>
    <w:p>
      <w:pPr>
        <w:pStyle w:val="2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供应商在投标活动中提供任何虚假材料或从事其他违法活动的，其投标无效，并报监管部门查处；中标后发现的，中标供应商须依照《中华人民共和国消费者权益保护法》第49条之规定双倍赔偿采购单位。且民事赔偿并不免除违法投标供应商的行政与刑事责任。</w:t>
      </w:r>
    </w:p>
    <w:p>
      <w:pPr>
        <w:widowControl/>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widowControl/>
        <w:spacing w:line="360" w:lineRule="auto"/>
        <w:ind w:firstLine="240" w:firstLineChars="1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多家代理商或经销商参加投标，如其中两家或两家以上供应商存在分级代理或代销关系，且提供的是其所代理品牌产品的，评审时，按上述规定确定其中一家为有效供应商。</w:t>
      </w:r>
    </w:p>
    <w:p>
      <w:pPr>
        <w:pStyle w:val="2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同一家原生产厂商授权多家代理商参加投标的，评审时，按上述规定确定其中一家为有效供应商。</w:t>
      </w:r>
    </w:p>
    <w:p>
      <w:pPr>
        <w:pStyle w:val="2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（五）投标供应商应仔细阅读招标文件的所有内容，按照招标文件的要求提交投标文件。投标文件应对招标文件的要求作出实质性响应，并对所提供的全部资料的真实性承担法律责任。</w:t>
      </w:r>
    </w:p>
    <w:p>
      <w:pPr>
        <w:widowControl/>
        <w:spacing w:line="360" w:lineRule="auto"/>
        <w:ind w:firstLine="241" w:firstLineChars="100"/>
        <w:jc w:val="left"/>
        <w:rPr>
          <w:rFonts w:ascii="仿宋" w:hAnsi="仿宋" w:eastAsia="仿宋" w:cs="仿宋"/>
          <w:b/>
          <w:color w:val="auto"/>
          <w:sz w:val="24"/>
          <w:szCs w:val="24"/>
          <w:highlight w:val="none"/>
        </w:rPr>
      </w:pPr>
      <w:bookmarkStart w:id="4" w:name="_Toc177870543"/>
      <w:r>
        <w:rPr>
          <w:rFonts w:hint="eastAsia" w:ascii="仿宋" w:hAnsi="仿宋" w:eastAsia="仿宋" w:cs="仿宋"/>
          <w:b/>
          <w:color w:val="auto"/>
          <w:sz w:val="24"/>
          <w:szCs w:val="24"/>
          <w:highlight w:val="none"/>
        </w:rPr>
        <w:t xml:space="preserve">  九、质疑</w:t>
      </w:r>
      <w:bookmarkEnd w:id="4"/>
    </w:p>
    <w:p>
      <w:pPr>
        <w:widowControl/>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（一）投标供应商认为招标文件、招标过程和中标结果使自己的合法权益受到损害的，应当在知道或者应知其权益受到损害之日起七个工作日内，以书面形式向浙江建安工程管理有限公司提出质疑。</w:t>
      </w:r>
    </w:p>
    <w:p>
      <w:pPr>
        <w:pStyle w:val="20"/>
        <w:snapToGrid w:val="0"/>
        <w:spacing w:line="360" w:lineRule="auto"/>
        <w:ind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（二）投标供应商提出质疑期限的计算，依照下列规定办理：</w:t>
      </w:r>
    </w:p>
    <w:p>
      <w:pPr>
        <w:pStyle w:val="2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（1）对采购文件提出质疑的，应当在前附表规定的时间前提出。</w:t>
      </w:r>
    </w:p>
    <w:p>
      <w:pPr>
        <w:pStyle w:val="2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（2）对采购过程提出质疑的，自采购程序环节结束之日起计算。</w:t>
      </w:r>
    </w:p>
    <w:p>
      <w:pPr>
        <w:pStyle w:val="2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（3）对中标结果以及评标委员会组成人员提出质疑的，自中标结果公告之日起计算。</w:t>
      </w:r>
    </w:p>
    <w:p>
      <w:pPr>
        <w:widowControl/>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应当采用加盖投标供应商公章的书面形式，质疑书应明确阐述招标过程或中标结果中使自己合法权益受到损害的实质性内容，提供相关事实、依据和证据及其来源或线索，便于有关单位调查、答复和处理，否则，浙江建安工程管理有限公司将不予受理。</w:t>
      </w:r>
    </w:p>
    <w:p>
      <w:pPr>
        <w:spacing w:line="360" w:lineRule="auto"/>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十、招标文件的澄清和修改</w:t>
      </w:r>
    </w:p>
    <w:p>
      <w:pPr>
        <w:pStyle w:val="2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（一）投标供应商应认真阅读本招标文件，发现其中有误或有要求不合理的，投标供应商必须在前附表规定的时间内以书面形式向浙江建安工程管理有限公司提出。</w:t>
      </w:r>
    </w:p>
    <w:p>
      <w:pPr>
        <w:pStyle w:val="25"/>
        <w:snapToGrid w:val="0"/>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（二）</w:t>
      </w:r>
      <w:r>
        <w:rPr>
          <w:rFonts w:hint="eastAsia" w:ascii="仿宋" w:hAnsi="仿宋" w:eastAsia="仿宋" w:cs="仿宋"/>
          <w:b/>
          <w:color w:val="auto"/>
          <w:sz w:val="24"/>
          <w:szCs w:val="24"/>
          <w:highlight w:val="none"/>
        </w:rPr>
        <w:t>浙江建安工程管理有限公司对已发出的招标文件进行必要澄清、答复、修改或补充的，应当在前附表规定的统一组织答疑时间前，在政府采购信息发布媒体上发布更正公告，否则将延期组织开标，请在投标前关注相关信息。</w:t>
      </w:r>
    </w:p>
    <w:p>
      <w:pPr>
        <w:pStyle w:val="2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（三）招标文件澄清、答复、修改、补充的内容为招标文件的组成部分。当招标文件与招标文件的答复、澄清、修改、补充通知就同一内容的表述不一致时，以最后发出的书面文件为准。</w:t>
      </w:r>
    </w:p>
    <w:p>
      <w:pPr>
        <w:spacing w:line="360" w:lineRule="auto"/>
        <w:ind w:firstLine="57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十一、投标文件的组成</w:t>
      </w:r>
    </w:p>
    <w:p>
      <w:pPr>
        <w:spacing w:line="380" w:lineRule="exact"/>
        <w:ind w:firstLine="523" w:firstLineChars="217"/>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A.资格审查文件内容（单独包封递交）；</w:t>
      </w:r>
    </w:p>
    <w:p>
      <w:pPr>
        <w:autoSpaceDN w:val="0"/>
        <w:spacing w:line="360" w:lineRule="auto"/>
        <w:ind w:firstLine="600" w:firstLineChars="2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〈一〉法定代表人授权委托书原件</w:t>
      </w:r>
      <w:r>
        <w:rPr>
          <w:rFonts w:hint="eastAsia" w:ascii="仿宋" w:hAnsi="仿宋" w:eastAsia="仿宋" w:cs="仿宋"/>
          <w:b/>
          <w:bCs/>
          <w:color w:val="auto"/>
          <w:sz w:val="24"/>
          <w:szCs w:val="24"/>
          <w:highlight w:val="none"/>
        </w:rPr>
        <w:t>（如法定代表人参加开标，无需提供此项）；</w:t>
      </w:r>
    </w:p>
    <w:p>
      <w:pPr>
        <w:autoSpaceDN w:val="0"/>
        <w:spacing w:line="360" w:lineRule="auto"/>
        <w:ind w:firstLine="600" w:firstLineChars="250"/>
        <w:jc w:val="left"/>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〈二〉有效的营业执照复印件并加盖公章</w:t>
      </w:r>
      <w:r>
        <w:rPr>
          <w:rFonts w:hint="eastAsia" w:ascii="仿宋" w:hAnsi="仿宋" w:eastAsia="仿宋" w:cs="仿宋"/>
          <w:b/>
          <w:bCs/>
          <w:color w:val="auto"/>
          <w:sz w:val="24"/>
          <w:szCs w:val="24"/>
          <w:highlight w:val="none"/>
        </w:rPr>
        <w:t>（原件备查）；</w:t>
      </w:r>
    </w:p>
    <w:p>
      <w:pPr>
        <w:autoSpaceDE w:val="0"/>
        <w:autoSpaceDN w:val="0"/>
        <w:adjustRightInd w:val="0"/>
        <w:spacing w:line="360" w:lineRule="auto"/>
        <w:ind w:left="124" w:leftChars="59"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〈三〉全权代表（被授权人或法定代表人）身份证复印件并加盖公章</w:t>
      </w:r>
      <w:r>
        <w:rPr>
          <w:rFonts w:hint="eastAsia" w:ascii="仿宋" w:hAnsi="仿宋" w:eastAsia="仿宋" w:cs="仿宋"/>
          <w:b/>
          <w:bCs/>
          <w:color w:val="auto"/>
          <w:sz w:val="24"/>
          <w:szCs w:val="24"/>
          <w:highlight w:val="none"/>
        </w:rPr>
        <w:t>（原件备查）（若法定代表人参加的，提供法定代表人身份证复印件；若被授权人参加的，提供被授权代表身份证复印件）</w:t>
      </w: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 xml:space="preserve"> </w:t>
      </w:r>
    </w:p>
    <w:p>
      <w:pPr>
        <w:autoSpaceDN w:val="0"/>
        <w:spacing w:line="360" w:lineRule="auto"/>
        <w:jc w:val="left"/>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〈四〉由社保部门出具的被授权人在投标单位缴纳近一个月社保的证明材料复印件并加盖公章（</w:t>
      </w:r>
      <w:r>
        <w:rPr>
          <w:rFonts w:hint="eastAsia" w:ascii="仿宋" w:hAnsi="仿宋" w:eastAsia="仿宋" w:cs="仿宋"/>
          <w:b/>
          <w:bCs/>
          <w:color w:val="auto"/>
          <w:sz w:val="24"/>
          <w:szCs w:val="24"/>
          <w:highlight w:val="none"/>
        </w:rPr>
        <w:t>原件备查，如法定代表人参加开标，无需提供此项）；</w:t>
      </w:r>
    </w:p>
    <w:p>
      <w:pPr>
        <w:pStyle w:val="47"/>
        <w:ind w:left="0" w:leftChars="0"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〈五〉投标保证金回单或汇款凭证复印件并加盖公章；</w:t>
      </w:r>
    </w:p>
    <w:p>
      <w:pPr>
        <w:snapToGrid w:val="0"/>
        <w:spacing w:line="440" w:lineRule="exact"/>
        <w:ind w:firstLine="482" w:firstLineChars="200"/>
        <w:rPr>
          <w:rFonts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u w:val="single"/>
        </w:rPr>
        <w:t>资格审查文件注意点：</w:t>
      </w:r>
    </w:p>
    <w:p>
      <w:pPr>
        <w:spacing w:line="440" w:lineRule="exact"/>
        <w:ind w:firstLine="570"/>
        <w:jc w:val="left"/>
        <w:rPr>
          <w:rFonts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u w:val="single"/>
        </w:rPr>
        <w:t>1、已经在浙江省供应商库注册的且上传了相关营业执照、资质证书资料的供应商可以不提供备查文件原件，但需在浙江政府采购外网上能够正常查询；</w:t>
      </w:r>
    </w:p>
    <w:p>
      <w:pPr>
        <w:spacing w:line="440" w:lineRule="exact"/>
        <w:ind w:firstLine="570"/>
        <w:jc w:val="left"/>
        <w:rPr>
          <w:rFonts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u w:val="single"/>
        </w:rPr>
        <w:t>2、非浙江省供应商库注册单位或未上传相关资质证书的单位需随身携带相关原件备查（无需密封入资格审查文件内）；</w:t>
      </w:r>
    </w:p>
    <w:p>
      <w:pPr>
        <w:spacing w:line="440" w:lineRule="exact"/>
        <w:ind w:firstLine="570"/>
        <w:jc w:val="left"/>
        <w:rPr>
          <w:rFonts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u w:val="single"/>
        </w:rPr>
        <w:t>3、未按以上要求提供资格审查文件及备查原件的，按未提供合格的资格文件处理。</w:t>
      </w:r>
    </w:p>
    <w:p>
      <w:pPr>
        <w:spacing w:line="440" w:lineRule="exact"/>
        <w:ind w:firstLine="570"/>
        <w:jc w:val="left"/>
        <w:rPr>
          <w:rFonts w:ascii="仿宋" w:hAnsi="仿宋" w:eastAsia="仿宋" w:cs="仿宋"/>
          <w:color w:val="auto"/>
          <w:highlight w:val="none"/>
        </w:rPr>
      </w:pPr>
      <w:r>
        <w:rPr>
          <w:rFonts w:hint="eastAsia" w:ascii="仿宋" w:hAnsi="仿宋" w:eastAsia="仿宋" w:cs="仿宋"/>
          <w:b/>
          <w:color w:val="auto"/>
          <w:sz w:val="24"/>
          <w:szCs w:val="24"/>
          <w:highlight w:val="none"/>
        </w:rPr>
        <w:t>以上资格审查文件正本1份单独密封成1包，密封处须加盖投标供应商的单位公章（外包封封面格式参考“附件十二(2) ”）</w:t>
      </w:r>
    </w:p>
    <w:p>
      <w:pPr>
        <w:spacing w:line="360" w:lineRule="auto"/>
        <w:ind w:firstLine="57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B.报价文件包括：</w:t>
      </w:r>
    </w:p>
    <w:p>
      <w:pPr>
        <w:numPr>
          <w:ilvl w:val="0"/>
          <w:numId w:val="12"/>
        </w:numPr>
        <w:autoSpaceDN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投标报价函（附件一）</w:t>
      </w:r>
    </w:p>
    <w:p>
      <w:pPr>
        <w:numPr>
          <w:ilvl w:val="0"/>
          <w:numId w:val="12"/>
        </w:numPr>
        <w:autoSpaceDN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开标一览表（附件二-1）</w:t>
      </w:r>
    </w:p>
    <w:p>
      <w:pPr>
        <w:numPr>
          <w:ilvl w:val="0"/>
          <w:numId w:val="12"/>
        </w:numPr>
        <w:autoSpaceDN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报价明细表（附件二-2）</w:t>
      </w:r>
    </w:p>
    <w:p>
      <w:pPr>
        <w:pStyle w:val="2"/>
        <w:spacing w:before="159"/>
        <w:rPr>
          <w:color w:val="auto"/>
          <w:highlight w:val="none"/>
        </w:rPr>
      </w:pPr>
    </w:p>
    <w:p>
      <w:pPr>
        <w:numPr>
          <w:ilvl w:val="0"/>
          <w:numId w:val="12"/>
        </w:numPr>
        <w:autoSpaceDN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投标供应商针对报价需要说明的其他文件和说明（格式自拟）</w:t>
      </w:r>
    </w:p>
    <w:p>
      <w:pPr>
        <w:spacing w:line="360" w:lineRule="auto"/>
        <w:ind w:left="723" w:hanging="723" w:hangingChars="300"/>
        <w:jc w:val="left"/>
        <w:rPr>
          <w:rFonts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注：1、将报价文件正本1份、副本5份同时</w:t>
      </w:r>
      <w:r>
        <w:rPr>
          <w:rFonts w:hint="eastAsia" w:ascii="仿宋" w:hAnsi="仿宋" w:eastAsia="仿宋" w:cs="仿宋"/>
          <w:b/>
          <w:color w:val="auto"/>
          <w:kern w:val="0"/>
          <w:sz w:val="24"/>
          <w:szCs w:val="24"/>
          <w:highlight w:val="none"/>
        </w:rPr>
        <w:t>密封于一个密封袋内，并在密封袋上标明《报价文件》字样。资格审查文件、</w:t>
      </w:r>
      <w:r>
        <w:rPr>
          <w:rFonts w:hint="eastAsia" w:ascii="仿宋" w:hAnsi="仿宋" w:eastAsia="仿宋" w:cs="仿宋"/>
          <w:b/>
          <w:bCs/>
          <w:color w:val="auto"/>
          <w:sz w:val="24"/>
          <w:szCs w:val="24"/>
          <w:highlight w:val="none"/>
        </w:rPr>
        <w:t>商务资信文件、技术文件中不得出现价格信息。</w:t>
      </w:r>
    </w:p>
    <w:p>
      <w:pPr>
        <w:spacing w:line="360" w:lineRule="auto"/>
        <w:ind w:left="720" w:leftChars="228" w:hanging="241" w:hangingChars="100"/>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2、本项目的投标总报价应含采购服务费，采购服务费以中标价为基数按《招标代理服务收费管理暂行办法》计价格[2002]1980号文和发改价格[2011]534号计取，采购服务费为人民币柒仟叁佰玖拾贰</w:t>
      </w:r>
      <w:r>
        <w:rPr>
          <w:rFonts w:hint="eastAsia" w:ascii="仿宋" w:hAnsi="仿宋" w:eastAsia="仿宋" w:cs="仿宋"/>
          <w:b/>
          <w:bCs/>
          <w:color w:val="auto"/>
          <w:sz w:val="24"/>
          <w:szCs w:val="24"/>
          <w:highlight w:val="none"/>
        </w:rPr>
        <w:fldChar w:fldCharType="begin"/>
      </w:r>
      <w:r>
        <w:rPr>
          <w:rFonts w:hint="eastAsia" w:ascii="仿宋" w:hAnsi="仿宋" w:eastAsia="仿宋" w:cs="仿宋"/>
          <w:b/>
          <w:bCs/>
          <w:color w:val="auto"/>
          <w:sz w:val="24"/>
          <w:szCs w:val="24"/>
          <w:highlight w:val="none"/>
        </w:rPr>
        <w:instrText xml:space="preserve"> = 17200 \* CHINESENUM4 \* MERGEFORMAT </w:instrText>
      </w:r>
      <w:r>
        <w:rPr>
          <w:rFonts w:hint="eastAsia" w:ascii="仿宋" w:hAnsi="仿宋" w:eastAsia="仿宋" w:cs="仿宋"/>
          <w:b/>
          <w:bCs/>
          <w:color w:val="auto"/>
          <w:sz w:val="24"/>
          <w:szCs w:val="24"/>
          <w:highlight w:val="none"/>
        </w:rPr>
        <w:fldChar w:fldCharType="separate"/>
      </w:r>
      <w:r>
        <w:rPr>
          <w:rFonts w:hint="eastAsia" w:ascii="仿宋" w:hAnsi="仿宋" w:eastAsia="仿宋" w:cs="仿宋"/>
          <w:b/>
          <w:bCs/>
          <w:color w:val="auto"/>
          <w:sz w:val="24"/>
          <w:szCs w:val="24"/>
          <w:highlight w:val="none"/>
        </w:rPr>
        <w:t>元整</w:t>
      </w:r>
      <w:r>
        <w:rPr>
          <w:rFonts w:hint="eastAsia" w:ascii="仿宋" w:hAnsi="仿宋" w:eastAsia="仿宋" w:cs="仿宋"/>
          <w:b/>
          <w:bCs/>
          <w:color w:val="auto"/>
          <w:sz w:val="24"/>
          <w:szCs w:val="24"/>
          <w:highlight w:val="none"/>
        </w:rPr>
        <w:fldChar w:fldCharType="end"/>
      </w:r>
      <w:r>
        <w:rPr>
          <w:rFonts w:hint="eastAsia" w:ascii="仿宋" w:hAnsi="仿宋" w:eastAsia="仿宋" w:cs="仿宋"/>
          <w:b/>
          <w:bCs/>
          <w:color w:val="auto"/>
          <w:sz w:val="24"/>
          <w:szCs w:val="24"/>
          <w:highlight w:val="none"/>
        </w:rPr>
        <w:t>（￥:7392.00元），评审费按实际产生支付，由中标供应商在领取中标通知书时支付给采购代理公司，投标供应商在报价时应考虑包含上述费用。</w:t>
      </w:r>
    </w:p>
    <w:p>
      <w:pPr>
        <w:spacing w:line="360" w:lineRule="auto"/>
        <w:ind w:firstLine="463" w:firstLineChars="192"/>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C.技术文件包括：</w:t>
      </w:r>
    </w:p>
    <w:p>
      <w:pPr>
        <w:spacing w:line="360" w:lineRule="auto"/>
        <w:ind w:firstLine="460" w:firstLineChars="192"/>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〈一〉投标函（附件三）；</w:t>
      </w:r>
    </w:p>
    <w:p>
      <w:pPr>
        <w:spacing w:line="360" w:lineRule="auto"/>
        <w:ind w:firstLine="460" w:firstLineChars="192"/>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〈二〉投标方的技术文件：</w:t>
      </w:r>
    </w:p>
    <w:p>
      <w:pPr>
        <w:widowControl/>
        <w:snapToGrid w:val="0"/>
        <w:spacing w:line="360" w:lineRule="auto"/>
        <w:ind w:left="2" w:leftChars="1" w:firstLine="525" w:firstLineChars="219"/>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投标方技术文件由投标方视需要自行编制。技术文件应能够证明投标方提供的设备且符合招标文件规定。技术（参数）文件应包含以下内容：</w:t>
      </w:r>
    </w:p>
    <w:p>
      <w:pPr>
        <w:widowControl/>
        <w:snapToGrid w:val="0"/>
        <w:spacing w:line="360" w:lineRule="auto"/>
        <w:ind w:left="2" w:leftChars="1" w:firstLine="525" w:firstLineChars="21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1、技术参数对照表（附件四）；</w:t>
      </w:r>
    </w:p>
    <w:p>
      <w:pPr>
        <w:widowControl/>
        <w:snapToGrid w:val="0"/>
        <w:spacing w:line="440" w:lineRule="exact"/>
        <w:ind w:firstLine="525" w:firstLineChars="219"/>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kern w:val="0"/>
          <w:sz w:val="24"/>
          <w:szCs w:val="24"/>
          <w:highlight w:val="none"/>
        </w:rPr>
        <w:t>现有经营场地、服务机构等情况资料，距招标人最近的服务网点的详细介绍，包括资质资格、技术力量、服务内容及承诺。</w:t>
      </w:r>
    </w:p>
    <w:p>
      <w:pPr>
        <w:widowControl/>
        <w:snapToGrid w:val="0"/>
        <w:spacing w:line="360" w:lineRule="auto"/>
        <w:ind w:left="2" w:leftChars="1" w:firstLine="525" w:firstLineChars="21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3、项目实施人员一览表（附件五）；</w:t>
      </w:r>
    </w:p>
    <w:p>
      <w:pPr>
        <w:widowControl/>
        <w:snapToGrid w:val="0"/>
        <w:spacing w:line="360" w:lineRule="auto"/>
        <w:ind w:left="2" w:leftChars="1" w:firstLine="525" w:firstLineChars="219"/>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r>
        <w:rPr>
          <w:rFonts w:hint="eastAsia" w:ascii="仿宋" w:hAnsi="仿宋" w:eastAsia="仿宋" w:cs="仿宋"/>
          <w:color w:val="auto"/>
          <w:sz w:val="24"/>
          <w:szCs w:val="24"/>
          <w:highlight w:val="none"/>
        </w:rPr>
        <w:t>项目实施计划等</w:t>
      </w:r>
      <w:r>
        <w:rPr>
          <w:rFonts w:hint="eastAsia" w:ascii="仿宋" w:hAnsi="仿宋" w:eastAsia="仿宋" w:cs="仿宋"/>
          <w:color w:val="auto"/>
          <w:kern w:val="0"/>
          <w:sz w:val="24"/>
          <w:szCs w:val="24"/>
          <w:highlight w:val="none"/>
        </w:rPr>
        <w:t>。</w:t>
      </w:r>
    </w:p>
    <w:p>
      <w:pPr>
        <w:widowControl/>
        <w:snapToGrid w:val="0"/>
        <w:spacing w:line="360" w:lineRule="auto"/>
        <w:ind w:left="2" w:leftChars="1" w:firstLine="525" w:firstLineChars="21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〈三〉商务条款应对表（附件六）；</w:t>
      </w:r>
    </w:p>
    <w:p>
      <w:pPr>
        <w:widowControl/>
        <w:snapToGrid w:val="0"/>
        <w:spacing w:line="360" w:lineRule="auto"/>
        <w:ind w:left="2" w:leftChars="1" w:firstLine="525" w:firstLineChars="21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〈四〉售后服务及培训承诺；</w:t>
      </w:r>
    </w:p>
    <w:p>
      <w:pPr>
        <w:spacing w:line="360" w:lineRule="auto"/>
        <w:ind w:firstLine="460" w:firstLineChars="192"/>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格式由投标供应商自定，以不低于技术规格及服务要求中提出的标准填写，原则上由两部分组成：</w:t>
      </w:r>
    </w:p>
    <w:p>
      <w:pPr>
        <w:spacing w:line="360" w:lineRule="auto"/>
        <w:ind w:firstLine="460" w:firstLineChars="192"/>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1、标准服务，按行业常规服务填列；</w:t>
      </w:r>
    </w:p>
    <w:p>
      <w:pPr>
        <w:spacing w:line="360" w:lineRule="auto"/>
        <w:ind w:firstLine="460" w:firstLineChars="192"/>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2、特色（或特殊）服务，按每个投标厂商的实际情况，针对本次招标项目进行售后服务特别承诺。</w:t>
      </w:r>
    </w:p>
    <w:p>
      <w:pPr>
        <w:spacing w:line="360" w:lineRule="auto"/>
        <w:ind w:firstLine="460" w:firstLineChars="192"/>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〈五〉服务计划表（附件七）；</w:t>
      </w:r>
    </w:p>
    <w:p>
      <w:pPr>
        <w:spacing w:line="360" w:lineRule="auto"/>
        <w:ind w:firstLine="460" w:firstLineChars="192"/>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〈六〉评分规则中涉及的所需提交的材料；</w:t>
      </w:r>
    </w:p>
    <w:p>
      <w:pPr>
        <w:spacing w:line="360" w:lineRule="auto"/>
        <w:ind w:firstLine="460" w:firstLineChars="192"/>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〈七〉投标方认为需要的其他文件资料。</w:t>
      </w:r>
    </w:p>
    <w:p>
      <w:pPr>
        <w:spacing w:line="360" w:lineRule="auto"/>
        <w:ind w:firstLine="236" w:firstLineChars="98"/>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D.商务资信文件包括：</w:t>
      </w:r>
    </w:p>
    <w:p>
      <w:pPr>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〈一〉投标保证金回单或汇款凭证；</w:t>
      </w:r>
    </w:p>
    <w:p>
      <w:pPr>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〈二〉法定代表人授权书（附件八）和授权代表身份证复印件；</w:t>
      </w:r>
    </w:p>
    <w:p>
      <w:pPr>
        <w:spacing w:line="360" w:lineRule="auto"/>
        <w:ind w:firstLine="360" w:firstLineChars="1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〈三〉关于资格的声明函（附件九）；</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〈四〉投标方一般情况（附件十）；</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〈五〉营业执照复印件[若在建德有分支机构，还需提供在建德的分支机构营业执照复印件]（加盖公章）；</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〈六〉产品销售许可证复印件（加盖公章）（若有）；</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〈七〉产品代理资格证明文件复印件（加盖公章）（投标供应商是经销商或代理商的，须提供此项）</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〈八〉成功案例和业绩证明（投标供应商类似项目实施情况一览表、合同复印件）（若有）（附件十一）；</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〈九〉节能、环保等方面的资质证书（若有）；</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〈十〉投标供应商的信誉（重合同、守信用、银行资信等）证书、荣誉证书（若有）；</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〈十三〉授权代表近一个月单位社保缴费证明或由当地社险办出具的近一个月单位社会保险缴费人员（含授权代表）清册；</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〈十四〉产品的检测报告（若有）；</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投标供应商质量管理、质量保证体系、产品安全性认证等方面的认证证书（若有）；</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〈十五〉距采购单位最近的服务网点情况表（若有）；</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〈十六〉投标供应商认为可以证明其能力或业绩的其他材料；</w:t>
      </w:r>
    </w:p>
    <w:p>
      <w:pPr>
        <w:spacing w:line="360" w:lineRule="auto"/>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〈十七〉评分规则中涉及的所需提交的材料；</w:t>
      </w:r>
    </w:p>
    <w:p>
      <w:pPr>
        <w:spacing w:line="360" w:lineRule="auto"/>
        <w:ind w:firstLine="360" w:firstLineChars="15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〈十八〉其他相关资质证明材料。</w:t>
      </w:r>
    </w:p>
    <w:p>
      <w:pPr>
        <w:spacing w:line="440" w:lineRule="exact"/>
        <w:ind w:firstLine="619" w:firstLineChars="257"/>
        <w:jc w:val="left"/>
        <w:rPr>
          <w:rFonts w:ascii="仿宋" w:hAnsi="仿宋" w:eastAsia="仿宋" w:cs="仿宋"/>
          <w:color w:val="auto"/>
          <w:highlight w:val="none"/>
        </w:rPr>
      </w:pPr>
      <w:r>
        <w:rPr>
          <w:rFonts w:hint="eastAsia" w:ascii="仿宋" w:hAnsi="仿宋" w:eastAsia="仿宋" w:cs="仿宋"/>
          <w:b/>
          <w:color w:val="auto"/>
          <w:sz w:val="24"/>
          <w:szCs w:val="24"/>
          <w:highlight w:val="none"/>
        </w:rPr>
        <w:t>以上资格审查文件、报价文件、商务技术文件、资信文件须分别制作装订、单独密封，并在各密封袋封面上注明文件名称，外包封封面及封口处均须加盖公章。商务技术文件、资信文件的内容中不得出现《报价文件》的相关报价内容。</w:t>
      </w:r>
    </w:p>
    <w:p>
      <w:pP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上投标文件由资格审查文件、报价文件、技术文件和商务资信文件组成，投标供应商应分别装订、单独密封封装，将资格审查文件1份密封成一包，报价文件1份正本5份副本合袋密封成一包，技术文件1份正本5份副本合袋密封成一包，商务资信文件1份正本5份副本合袋密封成一包，共递交4个密封包。</w:t>
      </w:r>
    </w:p>
    <w:p>
      <w:pPr>
        <w:spacing w:line="360" w:lineRule="auto"/>
        <w:ind w:firstLine="463" w:firstLineChars="192"/>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在密封袋封面上注明投标供应商名称、投标文件名称（资格审查文件、报价文件、技术文件或商务资信文件）、投标项目名称等内容，并加盖投标供应商公章。</w:t>
      </w:r>
      <w:r>
        <w:rPr>
          <w:rFonts w:hint="eastAsia" w:ascii="仿宋" w:hAnsi="仿宋" w:eastAsia="仿宋" w:cs="仿宋"/>
          <w:b/>
          <w:color w:val="auto"/>
          <w:kern w:val="0"/>
          <w:sz w:val="24"/>
          <w:szCs w:val="24"/>
          <w:highlight w:val="none"/>
        </w:rPr>
        <w:t>(注：备查的原件由供应商自行保管不需密封，根据需要提供）</w:t>
      </w:r>
      <w:r>
        <w:rPr>
          <w:rFonts w:hint="eastAsia" w:ascii="仿宋" w:hAnsi="仿宋" w:eastAsia="仿宋" w:cs="仿宋"/>
          <w:b/>
          <w:color w:val="auto"/>
          <w:sz w:val="24"/>
          <w:szCs w:val="24"/>
          <w:highlight w:val="none"/>
        </w:rPr>
        <w:t>。资格审查文件、技术文件、商务资信文件、不得出现报价文件的相关报价内容。</w:t>
      </w:r>
    </w:p>
    <w:p>
      <w:pPr>
        <w:spacing w:line="360" w:lineRule="auto"/>
        <w:ind w:left="-178" w:leftChars="-85" w:firstLine="619" w:firstLineChars="257"/>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十二、投标文件的签署</w:t>
      </w:r>
    </w:p>
    <w:p>
      <w:pPr>
        <w:tabs>
          <w:tab w:val="left" w:pos="900"/>
        </w:tabs>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〈一〉投标文件需打印或用不褪色的墨水填写。投标文件的装订顺序应按本章第十条所叙顺序分别装订成册。</w:t>
      </w:r>
      <w:r>
        <w:rPr>
          <w:rFonts w:hint="eastAsia" w:ascii="仿宋" w:hAnsi="仿宋" w:eastAsia="仿宋" w:cs="仿宋"/>
          <w:b/>
          <w:bCs/>
          <w:color w:val="auto"/>
          <w:sz w:val="24"/>
          <w:szCs w:val="24"/>
          <w:highlight w:val="none"/>
        </w:rPr>
        <w:t>资格审查文件、</w:t>
      </w:r>
      <w:r>
        <w:rPr>
          <w:rFonts w:hint="eastAsia" w:ascii="仿宋" w:hAnsi="仿宋" w:eastAsia="仿宋" w:cs="仿宋"/>
          <w:b/>
          <w:color w:val="auto"/>
          <w:sz w:val="24"/>
          <w:szCs w:val="24"/>
          <w:highlight w:val="none"/>
        </w:rPr>
        <w:t>报价文件、技术文件和商务资信文件、采用非胶印装订（是指用卡条、抽杆夹、订书机等形式装订，使标书可以拆卸或者在翻动过程中易脱落的一种装订方式）的投标文件按未装订处理。</w:t>
      </w:r>
    </w:p>
    <w:p>
      <w:pPr>
        <w:tabs>
          <w:tab w:val="left" w:pos="90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〈二〉所有投标文件均须由投标供应商盖章，并由法定代表人或法定代表人授权代表签署。投标供应商应写全称。</w:t>
      </w:r>
    </w:p>
    <w:p>
      <w:pPr>
        <w:snapToGrid w:val="0"/>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〈三〉投标文件不得涂改，若有修改错漏处，须加盖单位公章或者法定代表人或授权委托人签字或盖章。投标文件因字迹潦草或表达不清所引起的后果由投标供应商负责。</w:t>
      </w:r>
    </w:p>
    <w:p>
      <w:pPr>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〈四〉投标文件填写字迹必须清楚、工整，对在投标文件中的不同文字文本的解释发生异议的，以中文文本为准。</w:t>
      </w:r>
    </w:p>
    <w:p>
      <w:pPr>
        <w:spacing w:line="360" w:lineRule="auto"/>
        <w:ind w:firstLine="491" w:firstLineChars="205"/>
        <w:jc w:val="left"/>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〈五〉投标文件的组成：投标文件由相应的</w:t>
      </w:r>
      <w:r>
        <w:rPr>
          <w:rFonts w:hint="eastAsia" w:ascii="仿宋" w:hAnsi="仿宋" w:eastAsia="仿宋" w:cs="仿宋"/>
          <w:b/>
          <w:color w:val="auto"/>
          <w:sz w:val="24"/>
          <w:szCs w:val="24"/>
          <w:highlight w:val="none"/>
        </w:rPr>
        <w:t>报价文件、技术文件、商务资信文件、各正本1份，副本5份（副本可为正本的复印件，标书封面加盖公章）及资格审查文件正本1份组成。</w:t>
      </w:r>
    </w:p>
    <w:p>
      <w:pPr>
        <w:spacing w:line="360" w:lineRule="auto"/>
        <w:ind w:firstLine="491" w:firstLineChars="20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〈六〉投标方应将投标文件的资格审查文件、报价文件、技术文件和商务资信文件、分别密封，并标明项目名称，投标货物名称。标书封面统一格式详见“第九章附件十二（1）”。</w:t>
      </w:r>
    </w:p>
    <w:p>
      <w:pPr>
        <w:spacing w:line="360" w:lineRule="auto"/>
        <w:ind w:firstLine="547" w:firstLineChars="227"/>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十三、投标文件的递交、修改和撤回</w:t>
      </w:r>
    </w:p>
    <w:p>
      <w:pPr>
        <w:spacing w:line="360" w:lineRule="auto"/>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〈一〉投标供应商应将</w:t>
      </w:r>
      <w:r>
        <w:rPr>
          <w:rFonts w:hint="eastAsia" w:ascii="仿宋" w:hAnsi="仿宋" w:eastAsia="仿宋" w:cs="仿宋"/>
          <w:b/>
          <w:bCs/>
          <w:color w:val="auto"/>
          <w:sz w:val="24"/>
          <w:szCs w:val="24"/>
          <w:highlight w:val="none"/>
        </w:rPr>
        <w:t>资格审查文件、报价文件、技术文件、商务资信文件、</w:t>
      </w:r>
      <w:r>
        <w:rPr>
          <w:rFonts w:hint="eastAsia" w:ascii="仿宋" w:hAnsi="仿宋" w:eastAsia="仿宋" w:cs="仿宋"/>
          <w:b/>
          <w:color w:val="auto"/>
          <w:sz w:val="24"/>
          <w:szCs w:val="24"/>
          <w:highlight w:val="none"/>
        </w:rPr>
        <w:t>分别装订、单独密封封装，即资格审查文件1份密封成一包，报价文件一正伍副合袋密封成一包，技术文件一正伍副合袋密封成一包，商务资信文件一正伍副合袋密封成一包， 共递交4个密封包，封口处须密封并加盖投标供应商公章，并在各外包封封面上写明：</w:t>
      </w:r>
    </w:p>
    <w:p>
      <w:pPr>
        <w:spacing w:line="360" w:lineRule="auto"/>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采购单位名称、项目名称、项目编号</w:t>
      </w:r>
    </w:p>
    <w:p>
      <w:pPr>
        <w:spacing w:line="360" w:lineRule="auto"/>
        <w:ind w:firstLine="480" w:firstLineChars="200"/>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投标供应商名称、通讯地址、邮政编码、投寄人。</w:t>
      </w:r>
      <w:r>
        <w:rPr>
          <w:rFonts w:hint="eastAsia" w:ascii="仿宋" w:hAnsi="仿宋" w:eastAsia="仿宋" w:cs="仿宋"/>
          <w:b/>
          <w:bCs/>
          <w:color w:val="auto"/>
          <w:sz w:val="24"/>
          <w:szCs w:val="24"/>
          <w:highlight w:val="none"/>
        </w:rPr>
        <w:t>（外包封封面格式参考“附件十二（2）”）未按招标文件规定密封的投标文件，采购代理机构将拒收。</w:t>
      </w:r>
    </w:p>
    <w:p>
      <w:pPr>
        <w:spacing w:line="360" w:lineRule="auto"/>
        <w:ind w:firstLine="524" w:firstLineChars="226"/>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〈二〉如果投标方未加写标记，招标方对投标文件的误投和提前启封不负责任。</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〈三〉投标文件的补充和修改</w:t>
      </w:r>
    </w:p>
    <w:p>
      <w:pPr>
        <w:pStyle w:val="20"/>
        <w:spacing w:line="360" w:lineRule="auto"/>
        <w:ind w:firstLine="544" w:firstLineChars="22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投标截止时间前，投标方可以书面向招标方已递交的投标文件提出补充和修改，相应部分以最后的补充和修改为准。该书面材料应密封，由投标方代表签字并加盖公章。</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〈四〉招标方接受投标方标书时间：</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投标文件于开标现场在投标截止时间前半小时内递交。</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〈五〉投标文件填写字迹必须清楚、工整，对不同文字文本投标文件的解释发生异议的，以中文文本为准。</w:t>
      </w:r>
    </w:p>
    <w:p>
      <w:pPr>
        <w:spacing w:line="360" w:lineRule="auto"/>
        <w:ind w:left="1" w:firstLine="619" w:firstLineChars="257"/>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十四、无效投标</w:t>
      </w:r>
    </w:p>
    <w:p>
      <w:pPr>
        <w:spacing w:line="360" w:lineRule="auto"/>
        <w:ind w:firstLine="619" w:firstLineChars="257"/>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发生下列情况之一的投标文件被视为无效：</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〈一〉在招标文件递交截止时间以后送达的投标文件；</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〈二〉由于未按规定进行装订、包装或在送交途中严重破损或失散的投标文件；</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〈三〉仅以非纸质文本形式的投标文件；</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〈四〉投标方未能提供合格的资格审查文件；</w:t>
      </w:r>
    </w:p>
    <w:p>
      <w:pPr>
        <w:spacing w:line="360" w:lineRule="auto"/>
        <w:ind w:firstLine="489" w:firstLineChars="20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〈五〉标项以赠送方式投标的，提供两个投标方案的；</w:t>
      </w:r>
    </w:p>
    <w:p>
      <w:pPr>
        <w:spacing w:line="360" w:lineRule="auto"/>
        <w:ind w:firstLine="489" w:firstLineChars="20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〈六〉未注明投标品牌及详细型号的或投标产品的品牌档次、质量标准和技术指标的、主要功能等与招标文件有重大偏离的投标文件（</w:t>
      </w:r>
      <w:r>
        <w:rPr>
          <w:rFonts w:hint="eastAsia" w:ascii="仿宋" w:hAnsi="仿宋" w:eastAsia="仿宋" w:cs="仿宋"/>
          <w:b/>
          <w:bCs/>
          <w:color w:val="auto"/>
          <w:sz w:val="24"/>
          <w:szCs w:val="24"/>
          <w:highlight w:val="none"/>
        </w:rPr>
        <w:t>技术参数中打</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号的条件不满足按技术指标与招标文件有重大偏离处理）</w:t>
      </w:r>
      <w:r>
        <w:rPr>
          <w:rFonts w:hint="eastAsia" w:ascii="仿宋" w:hAnsi="仿宋" w:eastAsia="仿宋" w:cs="仿宋"/>
          <w:color w:val="auto"/>
          <w:sz w:val="24"/>
          <w:szCs w:val="24"/>
          <w:highlight w:val="none"/>
        </w:rPr>
        <w:t>；</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七〉标书有盖非公司公章的、未按招标文件要求签字的、标书份数不符合招标文件要求的、未装订（资格审查文件、报价文件、商务资信文件、技术文件采用活页装订的投标文件（是指用卡条、抽杆夹、订书机等形式装订的投标文件）、未密封、未有效授权、注册资金不符，投标书、法定代表人授权书、资格声明函等填写不完整的；</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〈八〉投标文件正本与副本实质性内容不一致的；</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〈九〉未按规定缴纳投标保证金并到账的；</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〈十〉投标有效期、交货时间（工期）、质保期等商务条款不能满足招标文件要求的；</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〈十一〉不响应或者擅自改变招标文件要求或者投标文件有招标文件不能接受的附加条件的；</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〈十二〉投标文件的实质性内容未使用中文表述、意思表述不明确、前后矛盾或者使用计量单位不符合招标文件要求的（经评标委员会认定允许其当场更正的笔误除外）</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〈十三〉投标文件的关键内容字迹模糊、无法辨认的，或者投标文件中经修正的内容字迹模糊难以辨认或者修改处未按规定签名盖章的；</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〈十四〉投标文件内容不完整，缺少投标文件组成部分中必须提供的内容的；</w:t>
      </w:r>
    </w:p>
    <w:p>
      <w:pPr>
        <w:spacing w:line="360" w:lineRule="auto"/>
        <w:ind w:firstLine="491" w:firstLineChars="20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〈十五〉未提供或未如实提供投标货物的技术参数，或者投标文件标明的响应或偏离与事实不符的；</w:t>
      </w:r>
    </w:p>
    <w:p>
      <w:pPr>
        <w:spacing w:line="360" w:lineRule="auto"/>
        <w:ind w:firstLine="491" w:firstLineChars="205"/>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〈十六〉</w:t>
      </w:r>
      <w:r>
        <w:rPr>
          <w:rFonts w:hint="eastAsia" w:ascii="仿宋" w:hAnsi="仿宋" w:eastAsia="仿宋" w:cs="仿宋"/>
          <w:color w:val="auto"/>
          <w:kern w:val="0"/>
          <w:sz w:val="24"/>
          <w:szCs w:val="24"/>
          <w:highlight w:val="none"/>
        </w:rPr>
        <w:t>未提供《报价文件》以及在资格审查文件、</w:t>
      </w:r>
      <w:r>
        <w:rPr>
          <w:rFonts w:hint="eastAsia" w:ascii="仿宋" w:hAnsi="仿宋" w:eastAsia="仿宋" w:cs="仿宋"/>
          <w:bCs/>
          <w:color w:val="auto"/>
          <w:sz w:val="24"/>
          <w:szCs w:val="24"/>
          <w:highlight w:val="none"/>
        </w:rPr>
        <w:t>技术文件、商务资信文件</w:t>
      </w:r>
      <w:r>
        <w:rPr>
          <w:rFonts w:hint="eastAsia" w:ascii="仿宋" w:hAnsi="仿宋" w:eastAsia="仿宋" w:cs="仿宋"/>
          <w:color w:val="auto"/>
          <w:kern w:val="0"/>
          <w:sz w:val="24"/>
          <w:szCs w:val="24"/>
          <w:highlight w:val="none"/>
        </w:rPr>
        <w:t>正副本中出现与《报价文件》的投标报价有关内容或标记的投标文件；</w:t>
      </w:r>
    </w:p>
    <w:p>
      <w:pPr>
        <w:spacing w:line="360" w:lineRule="auto"/>
        <w:ind w:firstLine="491" w:firstLineChars="205"/>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〈十七〉未按前附表要求提供演示的或演示内容不齐的（若有）；</w:t>
      </w:r>
    </w:p>
    <w:p>
      <w:pPr>
        <w:spacing w:line="360" w:lineRule="auto"/>
        <w:ind w:firstLine="491" w:firstLineChars="205"/>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〈十八〉投标报价超过最高限价（预算总价）的；</w:t>
      </w:r>
    </w:p>
    <w:p>
      <w:pPr>
        <w:spacing w:line="360" w:lineRule="auto"/>
        <w:ind w:firstLine="491" w:firstLineChars="205"/>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〈十九〉不符合法律法规和本招标文件规定的其他实质性要求的。</w:t>
      </w:r>
    </w:p>
    <w:p>
      <w:pPr>
        <w:spacing w:line="360" w:lineRule="auto"/>
        <w:ind w:left="596" w:leftChars="284" w:firstLine="12" w:firstLineChars="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十五、标书答疑：</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如对本次招标文件存在疑问，请将书面文件在前附表规定的时间之前，送至浙江建安工程管理有限公司（浙江省建德市新安江街道财富城6幢B座2104室），招标方将作统一答复，如规定时间内未收到任何质疑，则视为各投标方均对此无异议。</w:t>
      </w:r>
    </w:p>
    <w:p>
      <w:pPr>
        <w:widowControl/>
        <w:spacing w:line="360" w:lineRule="auto"/>
        <w:ind w:firstLine="482" w:firstLineChars="20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十六、特别声明：</w:t>
      </w:r>
    </w:p>
    <w:p>
      <w:pPr>
        <w:tabs>
          <w:tab w:val="left" w:pos="1395"/>
        </w:tabs>
        <w:autoSpaceDE w:val="0"/>
        <w:autoSpaceDN w:val="0"/>
        <w:adjustRightInd w:val="0"/>
        <w:spacing w:line="360" w:lineRule="auto"/>
        <w:ind w:right="72"/>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〈一〉价格是评标的重要因素之一，但最低报价不是中标的唯一依据。</w:t>
      </w:r>
    </w:p>
    <w:p>
      <w:pPr>
        <w:tabs>
          <w:tab w:val="left" w:pos="1395"/>
        </w:tabs>
        <w:autoSpaceDE w:val="0"/>
        <w:autoSpaceDN w:val="0"/>
        <w:adjustRightInd w:val="0"/>
        <w:spacing w:line="360" w:lineRule="auto"/>
        <w:ind w:right="72"/>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〈二〉本项目设有最高限价，本项目预算总价为人民币捌拾伍万</w:t>
      </w:r>
      <w:r>
        <w:rPr>
          <w:rFonts w:hint="eastAsia" w:ascii="仿宋" w:hAnsi="仿宋" w:eastAsia="仿宋" w:cs="仿宋"/>
          <w:b/>
          <w:color w:val="auto"/>
          <w:sz w:val="24"/>
          <w:szCs w:val="24"/>
          <w:highlight w:val="none"/>
        </w:rPr>
        <w:fldChar w:fldCharType="begin"/>
      </w:r>
      <w:r>
        <w:rPr>
          <w:rFonts w:hint="eastAsia" w:ascii="仿宋" w:hAnsi="仿宋" w:eastAsia="仿宋" w:cs="仿宋"/>
          <w:b/>
          <w:color w:val="auto"/>
          <w:sz w:val="24"/>
          <w:szCs w:val="24"/>
          <w:highlight w:val="none"/>
        </w:rPr>
        <w:instrText xml:space="preserve"> = 2341600 \* CHINESENUM4 \* MERGEFORMAT </w:instrText>
      </w:r>
      <w:r>
        <w:rPr>
          <w:rFonts w:hint="eastAsia" w:ascii="仿宋" w:hAnsi="仿宋" w:eastAsia="仿宋" w:cs="仿宋"/>
          <w:b/>
          <w:color w:val="auto"/>
          <w:sz w:val="24"/>
          <w:szCs w:val="24"/>
          <w:highlight w:val="none"/>
        </w:rPr>
        <w:fldChar w:fldCharType="separate"/>
      </w:r>
      <w:r>
        <w:rPr>
          <w:rFonts w:hint="eastAsia" w:ascii="仿宋" w:hAnsi="仿宋" w:eastAsia="仿宋" w:cs="仿宋"/>
          <w:b/>
          <w:color w:val="auto"/>
          <w:sz w:val="24"/>
          <w:szCs w:val="24"/>
          <w:highlight w:val="none"/>
        </w:rPr>
        <w:t>元整</w:t>
      </w:r>
      <w:r>
        <w:rPr>
          <w:rFonts w:hint="eastAsia" w:ascii="仿宋" w:hAnsi="仿宋" w:eastAsia="仿宋" w:cs="仿宋"/>
          <w:b/>
          <w:color w:val="auto"/>
          <w:sz w:val="24"/>
          <w:szCs w:val="24"/>
          <w:highlight w:val="none"/>
        </w:rPr>
        <w:fldChar w:fldCharType="end"/>
      </w:r>
      <w:r>
        <w:rPr>
          <w:rFonts w:hint="eastAsia" w:ascii="仿宋" w:hAnsi="仿宋" w:eastAsia="仿宋" w:cs="仿宋"/>
          <w:b/>
          <w:color w:val="auto"/>
          <w:sz w:val="24"/>
          <w:szCs w:val="24"/>
          <w:highlight w:val="none"/>
        </w:rPr>
        <w:t>（￥：850000.00</w:t>
      </w:r>
      <w:r>
        <w:rPr>
          <w:rStyle w:val="98"/>
          <w:rFonts w:hint="eastAsia" w:ascii="仿宋" w:hAnsi="仿宋" w:eastAsia="仿宋" w:cs="仿宋"/>
          <w:b/>
          <w:bCs/>
          <w:color w:val="auto"/>
          <w:sz w:val="24"/>
          <w:szCs w:val="24"/>
          <w:highlight w:val="none"/>
        </w:rPr>
        <w:t>元</w:t>
      </w:r>
      <w:r>
        <w:rPr>
          <w:rStyle w:val="98"/>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，投标报价超过最高限价（或预算</w:t>
      </w:r>
      <w:r>
        <w:rPr>
          <w:rFonts w:hint="eastAsia" w:ascii="仿宋" w:hAnsi="仿宋" w:eastAsia="仿宋" w:cs="仿宋"/>
          <w:b/>
          <w:color w:val="auto"/>
          <w:sz w:val="24"/>
          <w:szCs w:val="24"/>
          <w:highlight w:val="none"/>
          <w:lang w:eastAsia="zh-CN"/>
        </w:rPr>
        <w:t>总价</w:t>
      </w:r>
      <w:r>
        <w:rPr>
          <w:rFonts w:hint="eastAsia" w:ascii="仿宋" w:hAnsi="仿宋" w:eastAsia="仿宋" w:cs="仿宋"/>
          <w:b/>
          <w:color w:val="auto"/>
          <w:sz w:val="24"/>
          <w:szCs w:val="24"/>
          <w:highlight w:val="none"/>
        </w:rPr>
        <w:t>）的，按无效标处理。</w:t>
      </w:r>
    </w:p>
    <w:p>
      <w:pPr>
        <w:spacing w:line="360" w:lineRule="auto"/>
        <w:ind w:firstLine="482" w:firstLineChars="200"/>
        <w:jc w:val="left"/>
        <w:rPr>
          <w:rFonts w:ascii="仿宋" w:hAnsi="仿宋" w:eastAsia="仿宋" w:cs="仿宋"/>
          <w:color w:val="auto"/>
          <w:highlight w:val="none"/>
        </w:rPr>
      </w:pPr>
      <w:r>
        <w:rPr>
          <w:rFonts w:hint="eastAsia" w:ascii="仿宋" w:hAnsi="仿宋" w:eastAsia="仿宋" w:cs="仿宋"/>
          <w:b/>
          <w:color w:val="auto"/>
          <w:sz w:val="24"/>
          <w:szCs w:val="24"/>
          <w:highlight w:val="none"/>
        </w:rPr>
        <w:t>〈三〉</w:t>
      </w:r>
      <w:r>
        <w:rPr>
          <w:rFonts w:hint="eastAsia" w:ascii="仿宋" w:hAnsi="仿宋" w:eastAsia="仿宋" w:cs="仿宋"/>
          <w:b/>
          <w:bCs/>
          <w:color w:val="auto"/>
          <w:sz w:val="24"/>
          <w:szCs w:val="24"/>
          <w:highlight w:val="none"/>
        </w:rPr>
        <w:t>本项目的投标总报价应含采购服务费，采购服务费以中标价为基数按《招标代理服务收费管理暂行办法》计价格[2002]1980号文和发改价格[2011]534号计取，采购服务费为人民币柒仟叁佰玖拾贰</w:t>
      </w:r>
      <w:r>
        <w:rPr>
          <w:rFonts w:hint="eastAsia" w:ascii="仿宋" w:hAnsi="仿宋" w:eastAsia="仿宋" w:cs="仿宋"/>
          <w:b/>
          <w:bCs/>
          <w:color w:val="auto"/>
          <w:sz w:val="24"/>
          <w:szCs w:val="24"/>
          <w:highlight w:val="none"/>
        </w:rPr>
        <w:fldChar w:fldCharType="begin"/>
      </w:r>
      <w:r>
        <w:rPr>
          <w:rFonts w:hint="eastAsia" w:ascii="仿宋" w:hAnsi="仿宋" w:eastAsia="仿宋" w:cs="仿宋"/>
          <w:b/>
          <w:bCs/>
          <w:color w:val="auto"/>
          <w:sz w:val="24"/>
          <w:szCs w:val="24"/>
          <w:highlight w:val="none"/>
        </w:rPr>
        <w:instrText xml:space="preserve"> = 17200 \* CHINESENUM4 \* MERGEFORMAT </w:instrText>
      </w:r>
      <w:r>
        <w:rPr>
          <w:rFonts w:hint="eastAsia" w:ascii="仿宋" w:hAnsi="仿宋" w:eastAsia="仿宋" w:cs="仿宋"/>
          <w:b/>
          <w:bCs/>
          <w:color w:val="auto"/>
          <w:sz w:val="24"/>
          <w:szCs w:val="24"/>
          <w:highlight w:val="none"/>
        </w:rPr>
        <w:fldChar w:fldCharType="separate"/>
      </w:r>
      <w:r>
        <w:rPr>
          <w:rFonts w:hint="eastAsia" w:ascii="仿宋" w:hAnsi="仿宋" w:eastAsia="仿宋" w:cs="仿宋"/>
          <w:b/>
          <w:bCs/>
          <w:color w:val="auto"/>
          <w:sz w:val="24"/>
          <w:szCs w:val="24"/>
          <w:highlight w:val="none"/>
        </w:rPr>
        <w:t>元整</w:t>
      </w:r>
      <w:r>
        <w:rPr>
          <w:rFonts w:hint="eastAsia" w:ascii="仿宋" w:hAnsi="仿宋" w:eastAsia="仿宋" w:cs="仿宋"/>
          <w:b/>
          <w:bCs/>
          <w:color w:val="auto"/>
          <w:sz w:val="24"/>
          <w:szCs w:val="24"/>
          <w:highlight w:val="none"/>
        </w:rPr>
        <w:fldChar w:fldCharType="end"/>
      </w:r>
      <w:r>
        <w:rPr>
          <w:rFonts w:hint="eastAsia" w:ascii="仿宋" w:hAnsi="仿宋" w:eastAsia="仿宋" w:cs="仿宋"/>
          <w:b/>
          <w:bCs/>
          <w:color w:val="auto"/>
          <w:sz w:val="24"/>
          <w:szCs w:val="24"/>
          <w:highlight w:val="none"/>
        </w:rPr>
        <w:t>（￥:7392.00元），评审费按实际产生支付，由中标供应商在领取中标通知书时支付给采购代理公司，投标供应商在报价时应考虑包含上述费用。</w:t>
      </w:r>
    </w:p>
    <w:p>
      <w:pPr>
        <w:spacing w:line="360" w:lineRule="auto"/>
        <w:ind w:firstLine="494" w:firstLineChars="205"/>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十七、其他</w:t>
      </w:r>
    </w:p>
    <w:p>
      <w:pPr>
        <w:autoSpaceDE w:val="0"/>
        <w:autoSpaceDN w:val="0"/>
        <w:adjustRightInd w:val="0"/>
        <w:spacing w:line="360" w:lineRule="auto"/>
        <w:ind w:firstLine="491" w:firstLineChars="205"/>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〈一〉如果有确凿证据证明各投标方之间存在串标等舞弊、违法行为，认为将损害自身利益，有权拒绝存在此行为的投标方投标或投标作废。</w:t>
      </w:r>
    </w:p>
    <w:p>
      <w:pPr>
        <w:autoSpaceDE w:val="0"/>
        <w:autoSpaceDN w:val="0"/>
        <w:adjustRightInd w:val="0"/>
        <w:spacing w:line="360" w:lineRule="auto"/>
        <w:ind w:firstLine="491" w:firstLineChars="205"/>
        <w:jc w:val="left"/>
        <w:rPr>
          <w:rStyle w:val="98"/>
          <w:rFonts w:ascii="仿宋" w:hAnsi="仿宋" w:eastAsia="仿宋" w:cs="仿宋"/>
          <w:b/>
          <w:bCs/>
          <w:color w:val="auto"/>
          <w:sz w:val="36"/>
          <w:szCs w:val="36"/>
          <w:highlight w:val="none"/>
        </w:rPr>
      </w:pPr>
      <w:r>
        <w:rPr>
          <w:rFonts w:hint="eastAsia" w:ascii="仿宋" w:hAnsi="仿宋" w:eastAsia="仿宋" w:cs="仿宋"/>
          <w:color w:val="auto"/>
          <w:kern w:val="0"/>
          <w:sz w:val="24"/>
          <w:szCs w:val="24"/>
          <w:highlight w:val="none"/>
        </w:rPr>
        <w:t>〈二〉本文件未及事项，在签订合同时供需及使用方友好商定。</w:t>
      </w:r>
    </w:p>
    <w:p>
      <w:pPr>
        <w:rPr>
          <w:rFonts w:ascii="仿宋" w:hAnsi="仿宋" w:eastAsia="仿宋" w:cs="仿宋"/>
          <w:color w:val="auto"/>
          <w:highlight w:val="none"/>
        </w:rPr>
      </w:pPr>
    </w:p>
    <w:p>
      <w:pPr>
        <w:pStyle w:val="47"/>
        <w:ind w:firstLine="400"/>
        <w:rPr>
          <w:rFonts w:ascii="仿宋" w:hAnsi="仿宋" w:eastAsia="仿宋" w:cs="仿宋"/>
          <w:color w:val="auto"/>
          <w:highlight w:val="none"/>
        </w:rPr>
      </w:pPr>
    </w:p>
    <w:p>
      <w:pPr>
        <w:pStyle w:val="47"/>
        <w:ind w:firstLine="400"/>
        <w:rPr>
          <w:rFonts w:ascii="仿宋" w:hAnsi="仿宋" w:eastAsia="仿宋" w:cs="仿宋"/>
          <w:color w:val="auto"/>
          <w:highlight w:val="none"/>
        </w:rPr>
      </w:pPr>
    </w:p>
    <w:p>
      <w:pPr>
        <w:pStyle w:val="27"/>
        <w:spacing w:line="440" w:lineRule="exact"/>
        <w:ind w:left="0"/>
        <w:jc w:val="center"/>
        <w:rPr>
          <w:rStyle w:val="98"/>
          <w:rFonts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第三章  开标和评标须知</w:t>
      </w:r>
    </w:p>
    <w:p>
      <w:pPr>
        <w:spacing w:line="40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一、开标</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〈一〉招标方在招标文件规定的时间和地点公开开标，投标方授权代表必须参加并签到。投标供应商的法定代表人或其委托代理人未按时签到的，视同放弃开标监督权利、默认开标结果。</w:t>
      </w:r>
    </w:p>
    <w:p>
      <w:pPr>
        <w:pStyle w:val="25"/>
        <w:spacing w:line="400" w:lineRule="exact"/>
        <w:ind w:firstLine="241" w:firstLineChars="1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〈二〉开标程序：</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1、由采购组织机构工作人员或公证人员对投标单位信用记录进行查询并甄别，采购代理机构经办人和现场管理员将查询网页打印、签字。投标单位存在不良信用记录的，其投标文件将被拒绝；</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2、开标会由采购组织机构工作人员主持，主持人宣布开标会议开始；</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3、介绍参加开标会投标单位人员名单；</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4、宣布评标期间的有关事项，告知应当回避的情形，提请有关人员回避；</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5、由采购组织机构工作人员或公证人员核对验证投标单位全权代表的本人身份证或护照等能证明其有效身份的证件原件；</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6、由投标单位代表或公证人员检验投标文件密封的完整性并当场宣布检验结果；</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7、由采购组织机构工作人员对资格审查文件进行审查，审查不合格的投标单位，退还其他投标文件，审查合格的供应商进入下一轮开标程序；</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打开技术/商务资信文件外包装，清点投标文件正本、副本数量，符合招标文件要求的送评标室评审；不符合要求的，当场退还投标单位，并由投标单位代表签字确认。开标顺序按各投标单位提交投标文件时间的先后顺序进行；</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9、商务资信、技术评分结束后，由主持人公布无效投标的投标单位名单、投标无效的原因及其他有效投标的评分结果；</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10、由主持人宣读报价文件中的投标单位名称及在其投标文件中承诺的投标报价、投标内容（投标项目名称、规格型号或者工程/服务项目名称），以及认为有必要宣读的其他内容；</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11、采购组织机构工作人员做好开标记录， 投标单位代表对开标记录进行当场校核及勘误，并签字确认；并同时由记录人、监督人当场签字确认。投标单位代表未到场签字确认的，不影响评标过程；</w:t>
      </w:r>
    </w:p>
    <w:p>
      <w:pPr>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12、开标会议结束。</w:t>
      </w:r>
    </w:p>
    <w:p>
      <w:pPr>
        <w:spacing w:line="400" w:lineRule="exact"/>
        <w:ind w:firstLine="472" w:firstLineChars="196"/>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二、评标委员会</w:t>
      </w:r>
    </w:p>
    <w:p>
      <w:pPr>
        <w:spacing w:line="400" w:lineRule="exact"/>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评标委员会依法由5人或以上人员组成，评标委员会对投标文件进行审查、质疑、评估和比较。质询期间，投标方法人代表或法人委托人必须在场，负责解答有关事宜。</w:t>
      </w:r>
    </w:p>
    <w:p>
      <w:pPr>
        <w:spacing w:line="400" w:lineRule="exact"/>
        <w:ind w:firstLine="472" w:firstLineChars="196"/>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三、对投标文件的审查和响应性的确定</w:t>
      </w:r>
    </w:p>
    <w:p>
      <w:pPr>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〈一〉开标时，投标文件中开标一览表内容与投标文件中明细表内容不一致的，以开标一览表为准。</w:t>
      </w:r>
    </w:p>
    <w:p>
      <w:pPr>
        <w:spacing w:line="400" w:lineRule="exact"/>
        <w:ind w:firstLine="360" w:firstLineChars="150"/>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二〉标后，评标委员会审查投标文件是否完整，是否发现无效投标情况，是否有计算错误，要求的文件是否恰当地签署投标文件的大写金额与小写金额不一致的，以大写金额为准；单价金额与按单价汇总金额不一致的，以单价金额计算的结果为准；单价金额小数点有明显错位的，以总价为准，并修改单价；对不同文字文本投标文件的解释发生异议的，以中文文本为准。</w:t>
      </w:r>
    </w:p>
    <w:p>
      <w:pPr>
        <w:spacing w:line="400" w:lineRule="exact"/>
        <w:ind w:firstLine="426" w:firstLineChars="177"/>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四、评标原则与方法</w:t>
      </w:r>
    </w:p>
    <w:p>
      <w:pPr>
        <w:spacing w:line="400" w:lineRule="exact"/>
        <w:ind w:firstLine="307" w:firstLineChars="128"/>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〈一〉评标的依据是招标文件和投标文件。</w:t>
      </w:r>
    </w:p>
    <w:p>
      <w:pPr>
        <w:spacing w:line="400" w:lineRule="exact"/>
        <w:ind w:firstLine="307" w:firstLineChars="128"/>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评标方法和定标原则。评标委员会将遵循公开、公平、公正的原则，对投标者提供货物的技术性能、产品质量、交货期限、资信情况、履约能力、售后服务、资信情况等进行综合分析考评，由评委按照招标文件规定的评标规则（附后）记名并独立打分，按得分高低推荐中标单位。</w:t>
      </w:r>
      <w:r>
        <w:rPr>
          <w:rFonts w:hint="eastAsia" w:ascii="仿宋" w:hAnsi="仿宋" w:eastAsia="仿宋" w:cs="仿宋"/>
          <w:b/>
          <w:bCs/>
          <w:color w:val="auto"/>
          <w:sz w:val="24"/>
          <w:szCs w:val="24"/>
          <w:highlight w:val="none"/>
        </w:rPr>
        <w:t>技术、商务资信的评审由评标委员会成员独立打分，技术、商务资信得分为各评标委员会成员分值之和的算术平均值。评分值保留小数点后两位。</w:t>
      </w:r>
    </w:p>
    <w:p>
      <w:pPr>
        <w:spacing w:line="400" w:lineRule="exact"/>
        <w:ind w:firstLine="307" w:firstLineChars="128"/>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客观、公正地对待所有投标方，对所有投标评价，均采用相同的程序和标准。在开标、评标期间，投标方不得向评标委员会成员询问评标情况，不得进行旨在影响评标结果的活动，否则将废除其投标资格，并不再返还投标保证金。</w:t>
      </w:r>
    </w:p>
    <w:p>
      <w:pPr>
        <w:spacing w:line="400" w:lineRule="exact"/>
        <w:ind w:firstLine="544" w:firstLineChars="22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在评标过程中，评标成员不得与投标方私下交换意见，在招标工作结束后，凡与评标情况有接触的人不得将评标情况扩散出评标成员之外。</w:t>
      </w:r>
    </w:p>
    <w:p>
      <w:pPr>
        <w:spacing w:line="400" w:lineRule="exact"/>
        <w:ind w:firstLine="307" w:firstLineChars="128"/>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〈四〉招标方不向落标方解释落标原因，不退还投标文件。</w:t>
      </w:r>
    </w:p>
    <w:p>
      <w:pPr>
        <w:spacing w:line="400" w:lineRule="exact"/>
        <w:ind w:firstLine="57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五、定标和签发中标通知书：</w:t>
      </w:r>
    </w:p>
    <w:p>
      <w:pPr>
        <w:spacing w:line="400" w:lineRule="exact"/>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本项目由采购单位事先授权评标委员会确定预中标单位，自中标供应商确定之日起2个工作日内，由采购代理机构和采购单位签发《中标通知书》，并在浙江政府采购网和建德市门户网站公共资源交易网站上进行公示。</w:t>
      </w:r>
    </w:p>
    <w:p>
      <w:pPr>
        <w:spacing w:line="40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六、合同授予：</w:t>
      </w:r>
    </w:p>
    <w:p>
      <w:pPr>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〈一〉中标供应商应自接到中标通知书后按中标通知书规定的时间内与采购单位签订合同。同时，招标代理机构对合同内容进行审查，如发现与采购结果和投标承诺内容不一致的，应予以纠正。</w:t>
      </w:r>
    </w:p>
    <w:p>
      <w:pPr>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（二）中标人拖延、拒签合同的，将被扣罚投标保证金并取消中标资格。</w:t>
      </w:r>
    </w:p>
    <w:p>
      <w:pPr>
        <w:pStyle w:val="57"/>
        <w:rPr>
          <w:rStyle w:val="98"/>
          <w:rFonts w:ascii="仿宋" w:hAnsi="仿宋" w:eastAsia="仿宋" w:cs="仿宋"/>
          <w:b/>
          <w:bCs/>
          <w:color w:val="auto"/>
          <w:sz w:val="36"/>
          <w:szCs w:val="36"/>
          <w:highlight w:val="none"/>
        </w:rPr>
      </w:pPr>
    </w:p>
    <w:p>
      <w:pPr>
        <w:pStyle w:val="4"/>
        <w:numPr>
          <w:ilvl w:val="1"/>
          <w:numId w:val="0"/>
        </w:numPr>
        <w:tabs>
          <w:tab w:val="clear" w:pos="720"/>
        </w:tabs>
        <w:rPr>
          <w:rStyle w:val="98"/>
          <w:rFonts w:ascii="仿宋" w:hAnsi="仿宋" w:eastAsia="仿宋" w:cs="仿宋"/>
          <w:b/>
          <w:color w:val="auto"/>
          <w:sz w:val="36"/>
          <w:szCs w:val="36"/>
          <w:highlight w:val="none"/>
        </w:rPr>
      </w:pPr>
    </w:p>
    <w:p>
      <w:pPr>
        <w:rPr>
          <w:rStyle w:val="98"/>
          <w:rFonts w:ascii="仿宋" w:hAnsi="仿宋" w:eastAsia="仿宋" w:cs="仿宋"/>
          <w:b/>
          <w:bCs/>
          <w:color w:val="auto"/>
          <w:sz w:val="36"/>
          <w:szCs w:val="36"/>
          <w:highlight w:val="none"/>
        </w:rPr>
      </w:pPr>
    </w:p>
    <w:p>
      <w:pPr>
        <w:numPr>
          <w:ilvl w:val="0"/>
          <w:numId w:val="13"/>
        </w:numPr>
        <w:jc w:val="center"/>
        <w:rPr>
          <w:rStyle w:val="98"/>
          <w:rFonts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 xml:space="preserve"> 评分标准</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537"/>
        <w:gridCol w:w="514"/>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评分项目</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0" w:type="auto"/>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价格分</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（30分）</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30</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满足招标文件要求且投标报价最低的投标报价为评标基准价，其价格分为满分。其他投标人的价格分统一按照下列公式计算：投标报价得分=（评标基准价/投标报价）×30分，得分在小数点后保留两位小数。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0" w:type="auto"/>
            <w:vMerge w:val="restart"/>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技术</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部分</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(47分）</w:t>
            </w:r>
          </w:p>
        </w:tc>
        <w:tc>
          <w:tcPr>
            <w:tcW w:w="0" w:type="auto"/>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产品性能及</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先进性</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18</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根据投标人技术响应表中技术响应参数酌情打分，完全响应招标需求的得18分，标“★”为重要参数指标，不满足该参数指标视为废标项，其他参数指标，出现负偏离每一项扣3分，扣完为止。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对性能指标、技术参数属正偏或高配的、有先进程度的正偏离每项加1分（最高得3分），无实质性意义的正偏离不加分。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对设备的品牌、用户反馈等情况打分，最高得2分。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实施方案</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w:t>
            </w:r>
          </w:p>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对项目安装、调试和系统集成具体实施计划的科学性、合理性和有效性等情况打分，最高得3分。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根据投标人的售后服务方案、服务响应的急时性、实质性、合理性、服务技术力量等情况进行打分，最高得3分。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根据投标人提供的应急预案的科学性、先进性、合理性和可操作性等情况进行打分，最高得3分。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现场踏勘</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投标人进行现场踏勘的得2分（以采购单位出具的现场踏勘证明材料为准,提供现场踏勘证明材料复印件加盖公章，原件备查，不提供不得分）。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合理化建议</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投标人根据现场踏勘提出合理化建议，且提出相应措施方案，根据其内容酌情打分，每提供一条符合采购人要求的得1分，最高得2。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培训计划（2）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培训方案、计划的可行性及合理性等情况打分，最高得2分。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服务团队（7）</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0" w:type="auto"/>
            <w:tcBorders>
              <w:top w:val="single" w:color="auto" w:sz="4" w:space="0"/>
              <w:left w:val="single" w:color="auto" w:sz="4" w:space="0"/>
              <w:bottom w:val="single" w:color="auto" w:sz="4" w:space="0"/>
              <w:right w:val="single" w:color="auto" w:sz="4" w:space="0"/>
            </w:tcBorders>
            <w:vAlign w:val="center"/>
          </w:tcPr>
          <w:p>
            <w:pPr>
              <w:pStyle w:val="2"/>
              <w:spacing w:before="159" w:line="240" w:lineRule="auto"/>
              <w:ind w:firstLine="0"/>
              <w:rPr>
                <w:rFonts w:ascii="仿宋" w:hAnsi="仿宋" w:eastAsia="仿宋" w:cs="仿宋"/>
                <w:bCs/>
                <w:color w:val="auto"/>
                <w:highlight w:val="none"/>
              </w:rPr>
            </w:pPr>
            <w:r>
              <w:rPr>
                <w:rFonts w:hint="eastAsia" w:ascii="仿宋" w:hAnsi="仿宋" w:eastAsia="仿宋" w:cs="仿宋"/>
                <w:bCs/>
                <w:color w:val="auto"/>
                <w:kern w:val="2"/>
                <w:highlight w:val="none"/>
              </w:rPr>
              <w:t>拟派项目负责人具有行政部门颁发的注册环保工程师得2分，具有行政部门颁发的环境工程设计与管理工程师职称的得1分。本项目最高3分。（提供相关证书及近3个月社保证明并加盖公章，原件备查）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0" w:type="auto"/>
            <w:tcBorders>
              <w:top w:val="single" w:color="auto" w:sz="4" w:space="0"/>
              <w:left w:val="single" w:color="auto" w:sz="4" w:space="0"/>
              <w:bottom w:val="single" w:color="auto" w:sz="4" w:space="0"/>
              <w:right w:val="single" w:color="auto" w:sz="4" w:space="0"/>
            </w:tcBorders>
            <w:vAlign w:val="center"/>
          </w:tcPr>
          <w:p>
            <w:pPr>
              <w:pStyle w:val="2"/>
              <w:spacing w:before="159" w:line="240" w:lineRule="auto"/>
              <w:ind w:firstLine="0"/>
              <w:rPr>
                <w:rFonts w:ascii="仿宋" w:hAnsi="仿宋" w:eastAsia="仿宋" w:cs="仿宋"/>
                <w:bCs/>
                <w:color w:val="auto"/>
                <w:kern w:val="2"/>
                <w:highlight w:val="none"/>
              </w:rPr>
            </w:pPr>
            <w:r>
              <w:rPr>
                <w:rFonts w:hint="eastAsia" w:ascii="仿宋" w:hAnsi="仿宋" w:eastAsia="仿宋" w:cs="仿宋"/>
                <w:bCs/>
                <w:color w:val="auto"/>
                <w:kern w:val="2"/>
                <w:highlight w:val="none"/>
              </w:rPr>
              <w:t>拟派项目组人员中（除项目负责人）：</w:t>
            </w:r>
          </w:p>
          <w:p>
            <w:pPr>
              <w:pStyle w:val="2"/>
              <w:spacing w:before="159" w:line="240" w:lineRule="auto"/>
              <w:ind w:firstLine="0"/>
              <w:rPr>
                <w:rFonts w:ascii="仿宋" w:hAnsi="仿宋" w:eastAsia="仿宋" w:cs="仿宋"/>
                <w:bCs/>
                <w:color w:val="auto"/>
                <w:kern w:val="2"/>
                <w:highlight w:val="none"/>
              </w:rPr>
            </w:pPr>
            <w:r>
              <w:rPr>
                <w:rFonts w:hint="eastAsia" w:ascii="仿宋" w:hAnsi="仿宋" w:eastAsia="仿宋" w:cs="仿宋"/>
                <w:bCs/>
                <w:color w:val="auto"/>
                <w:kern w:val="2"/>
                <w:highlight w:val="none"/>
              </w:rPr>
              <w:t>具有行政部门颁发的机械制造（技术服务）高级工程师职称的得1分；</w:t>
            </w:r>
          </w:p>
          <w:p>
            <w:pPr>
              <w:pStyle w:val="2"/>
              <w:spacing w:before="159" w:line="240" w:lineRule="auto"/>
              <w:ind w:firstLine="0"/>
              <w:rPr>
                <w:rFonts w:ascii="仿宋" w:hAnsi="仿宋" w:eastAsia="仿宋" w:cs="仿宋"/>
                <w:bCs/>
                <w:color w:val="auto"/>
                <w:kern w:val="2"/>
                <w:highlight w:val="none"/>
              </w:rPr>
            </w:pPr>
            <w:r>
              <w:rPr>
                <w:rFonts w:hint="eastAsia" w:ascii="仿宋" w:hAnsi="仿宋" w:eastAsia="仿宋" w:cs="仿宋"/>
                <w:bCs/>
                <w:color w:val="auto"/>
                <w:kern w:val="2"/>
                <w:highlight w:val="none"/>
              </w:rPr>
              <w:t>具有行政部门颁发的环境工程与咨询高级工程师职称的得1分；</w:t>
            </w:r>
          </w:p>
          <w:p>
            <w:pPr>
              <w:pStyle w:val="2"/>
              <w:spacing w:before="159" w:line="240" w:lineRule="auto"/>
              <w:ind w:firstLine="0"/>
              <w:rPr>
                <w:rFonts w:ascii="仿宋" w:hAnsi="仿宋" w:eastAsia="仿宋" w:cs="仿宋"/>
                <w:bCs/>
                <w:color w:val="auto"/>
                <w:kern w:val="2"/>
                <w:highlight w:val="none"/>
              </w:rPr>
            </w:pPr>
            <w:r>
              <w:rPr>
                <w:rFonts w:hint="eastAsia" w:ascii="仿宋" w:hAnsi="仿宋" w:eastAsia="仿宋" w:cs="仿宋"/>
                <w:bCs/>
                <w:color w:val="auto"/>
                <w:kern w:val="2"/>
                <w:highlight w:val="none"/>
              </w:rPr>
              <w:t>具有行政部门颁发的机电制造（技术服务）工程师职称的得1分；</w:t>
            </w:r>
          </w:p>
          <w:p>
            <w:pPr>
              <w:pStyle w:val="2"/>
              <w:spacing w:before="159" w:line="240" w:lineRule="auto"/>
              <w:ind w:firstLine="0"/>
              <w:rPr>
                <w:rFonts w:ascii="仿宋" w:hAnsi="仿宋" w:eastAsia="仿宋" w:cs="仿宋"/>
                <w:bCs/>
                <w:color w:val="auto"/>
                <w:kern w:val="2"/>
                <w:highlight w:val="none"/>
              </w:rPr>
            </w:pPr>
            <w:r>
              <w:rPr>
                <w:rFonts w:hint="eastAsia" w:ascii="仿宋" w:hAnsi="仿宋" w:eastAsia="仿宋" w:cs="仿宋"/>
                <w:bCs/>
                <w:color w:val="auto"/>
                <w:kern w:val="2"/>
                <w:highlight w:val="none"/>
              </w:rPr>
              <w:t>具有行政部门颁发的智能化设计工程师职称的得1分。</w:t>
            </w:r>
          </w:p>
          <w:p>
            <w:pPr>
              <w:pStyle w:val="2"/>
              <w:spacing w:before="159" w:line="240" w:lineRule="auto"/>
              <w:ind w:firstLine="0"/>
              <w:rPr>
                <w:rFonts w:ascii="仿宋" w:hAnsi="仿宋" w:eastAsia="仿宋" w:cs="仿宋"/>
                <w:bCs/>
                <w:color w:val="auto"/>
                <w:kern w:val="2"/>
                <w:highlight w:val="none"/>
              </w:rPr>
            </w:pPr>
            <w:r>
              <w:rPr>
                <w:rFonts w:hint="eastAsia" w:ascii="仿宋" w:hAnsi="仿宋" w:eastAsia="仿宋" w:cs="仿宋"/>
                <w:bCs/>
                <w:color w:val="auto"/>
                <w:kern w:val="2"/>
                <w:highlight w:val="none"/>
              </w:rPr>
              <w:t>本项最高得4分。（人员不可重复，同一人同一职称就高计，提供相关证书及近3个月社保证明并加盖公章，原件备查）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投入施工的设备机械情况（2）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根据投标人拟投入本项目设备配备情况进行打分，最高得2分。投标文件中须提供设备清单及相关证明材料复印件。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restart"/>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商务</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资信</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部分</w:t>
            </w:r>
          </w:p>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(23分)</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企业体系认证（4）</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单位具有环境管理体系认证证书、职业健康安全管理体系认证、质量管理体系认证证书、企业诚信管理体系认证证书的每提供一个得1分，最高得4分。（投标文件中提供相关证书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企业资质情况（7）</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0" w:type="auto"/>
            <w:tcBorders>
              <w:top w:val="single" w:color="auto" w:sz="4" w:space="0"/>
              <w:left w:val="single" w:color="auto" w:sz="4" w:space="0"/>
              <w:bottom w:val="single" w:color="auto" w:sz="4" w:space="0"/>
              <w:right w:val="single" w:color="auto" w:sz="4" w:space="0"/>
            </w:tcBorders>
            <w:vAlign w:val="center"/>
          </w:tcPr>
          <w:p>
            <w:pPr>
              <w:pStyle w:val="2"/>
              <w:spacing w:before="159" w:line="240" w:lineRule="auto"/>
              <w:ind w:firstLine="0"/>
              <w:rPr>
                <w:rFonts w:ascii="仿宋" w:hAnsi="仿宋" w:eastAsia="仿宋" w:cs="仿宋"/>
                <w:bCs/>
                <w:color w:val="auto"/>
                <w:kern w:val="2"/>
                <w:highlight w:val="none"/>
              </w:rPr>
            </w:pPr>
            <w:r>
              <w:rPr>
                <w:rFonts w:hint="eastAsia" w:ascii="仿宋" w:hAnsi="仿宋" w:eastAsia="仿宋" w:cs="仿宋"/>
                <w:bCs/>
                <w:color w:val="auto"/>
                <w:kern w:val="2"/>
                <w:highlight w:val="none"/>
              </w:rPr>
              <w:t>投标人具有</w:t>
            </w:r>
            <w:r>
              <w:rPr>
                <w:rFonts w:hint="eastAsia" w:ascii="仿宋" w:hAnsi="仿宋" w:eastAsia="仿宋" w:cs="仿宋"/>
                <w:bCs/>
                <w:color w:val="auto"/>
                <w:kern w:val="2"/>
                <w:highlight w:val="none"/>
              </w:rPr>
              <w:t>省级环保产业协会颁发的大气污染治理甲级专项设计服务能力评价证书、大气污染治理甲级总承包服务能力评价证书的得4分，乙级的得2分，其他不得分。</w:t>
            </w:r>
            <w:r>
              <w:rPr>
                <w:rFonts w:hint="eastAsia" w:ascii="仿宋" w:hAnsi="仿宋" w:eastAsia="仿宋" w:cs="仿宋"/>
                <w:bCs/>
                <w:color w:val="auto"/>
                <w:kern w:val="2"/>
                <w:highlight w:val="none"/>
              </w:rPr>
              <w:t>（提供相关证书复印件并加盖公章，原件备查）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投标人具有环保工程专业承包贰级及以上证书的得2分；环保工程专业承包三级证书的得1分；投标人具有安全生产许可证的得1分。本项最高得3分。</w:t>
            </w:r>
          </w:p>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（须提供有效期内证书复印件加盖投标单位公章，不提供不得分。）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售后服务网点（2）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售后服务网点设在建德地区范围内的得2分, 在杭州地区范围内的得1分,售后服务网点在杭州地区以外的不得分。（提供相关证明材料复印件加盖投标单位公章）。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履约能力（4）</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根据投标人履约能力、信用等情况打分，最高得4分。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质保时间（3）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响应招标文件项目质保期要求的不得分，项目整体质保年限每延长一年得1分，最高3分；（须提供承诺函加盖投标单位公章，不提供不得分）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0" w:type="auto"/>
            <w:vMerge w:val="continue"/>
            <w:tcBorders>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p>
        </w:tc>
        <w:tc>
          <w:tcPr>
            <w:tcW w:w="0" w:type="auto"/>
            <w:tcBorders>
              <w:top w:val="single" w:color="auto" w:sz="4" w:space="0"/>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经验及业绩（3）</w:t>
            </w:r>
          </w:p>
        </w:tc>
        <w:tc>
          <w:tcPr>
            <w:tcW w:w="0" w:type="auto"/>
            <w:tcBorders>
              <w:top w:val="single" w:color="auto" w:sz="4" w:space="0"/>
              <w:left w:val="single" w:color="auto" w:sz="4" w:space="0"/>
              <w:right w:val="single" w:color="auto" w:sz="4" w:space="0"/>
            </w:tcBorders>
            <w:vAlign w:val="center"/>
          </w:tcPr>
          <w:p>
            <w:pPr>
              <w:snapToGrid w:val="0"/>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0" w:type="auto"/>
            <w:tcBorders>
              <w:top w:val="single" w:color="auto" w:sz="4" w:space="0"/>
              <w:left w:val="single" w:color="auto" w:sz="4" w:space="0"/>
              <w:bottom w:val="single" w:color="auto" w:sz="4" w:space="0"/>
              <w:right w:val="single" w:color="auto" w:sz="4" w:space="0"/>
            </w:tcBorders>
            <w:vAlign w:val="center"/>
          </w:tcPr>
          <w:p>
            <w:pPr>
              <w:pStyle w:val="2"/>
              <w:spacing w:before="159" w:line="240" w:lineRule="auto"/>
              <w:ind w:firstLine="0"/>
              <w:rPr>
                <w:rFonts w:ascii="仿宋" w:hAnsi="仿宋" w:eastAsia="仿宋" w:cs="仿宋"/>
                <w:color w:val="auto"/>
                <w:highlight w:val="none"/>
              </w:rPr>
            </w:pPr>
            <w:r>
              <w:rPr>
                <w:rFonts w:hint="eastAsia" w:ascii="仿宋" w:hAnsi="仿宋" w:eastAsia="仿宋" w:cs="仿宋"/>
                <w:bCs/>
                <w:color w:val="auto"/>
                <w:kern w:val="2"/>
                <w:highlight w:val="none"/>
              </w:rPr>
              <w:t>2020年1月1日以来（以合同签订时间为准）投标企业同类项目成功案例，每提供1个得1分，最高得3分，提供合同复印件加盖投标单位公章（提供合同复印件）。</w:t>
            </w:r>
          </w:p>
        </w:tc>
      </w:tr>
    </w:tbl>
    <w:p>
      <w:pPr>
        <w:spacing w:line="360" w:lineRule="auto"/>
        <w:jc w:val="center"/>
        <w:rPr>
          <w:rStyle w:val="98"/>
          <w:rFonts w:ascii="仿宋" w:hAnsi="仿宋" w:eastAsia="仿宋" w:cs="仿宋"/>
          <w:b/>
          <w:bCs/>
          <w:color w:val="auto"/>
          <w:sz w:val="36"/>
          <w:szCs w:val="36"/>
          <w:highlight w:val="none"/>
        </w:rPr>
      </w:pPr>
    </w:p>
    <w:p>
      <w:pPr>
        <w:spacing w:line="360" w:lineRule="auto"/>
        <w:jc w:val="center"/>
        <w:rPr>
          <w:rStyle w:val="98"/>
          <w:rFonts w:ascii="仿宋" w:hAnsi="仿宋" w:eastAsia="仿宋" w:cs="仿宋"/>
          <w:b/>
          <w:bCs/>
          <w:color w:val="auto"/>
          <w:sz w:val="36"/>
          <w:szCs w:val="36"/>
          <w:highlight w:val="none"/>
        </w:rPr>
      </w:pPr>
    </w:p>
    <w:p>
      <w:pPr>
        <w:spacing w:line="360" w:lineRule="auto"/>
        <w:jc w:val="center"/>
        <w:rPr>
          <w:rStyle w:val="98"/>
          <w:rFonts w:ascii="仿宋" w:hAnsi="仿宋" w:eastAsia="仿宋" w:cs="仿宋"/>
          <w:b/>
          <w:bCs/>
          <w:color w:val="auto"/>
          <w:sz w:val="36"/>
          <w:szCs w:val="36"/>
          <w:highlight w:val="none"/>
        </w:rPr>
      </w:pPr>
    </w:p>
    <w:p>
      <w:pPr>
        <w:spacing w:line="360" w:lineRule="auto"/>
        <w:jc w:val="center"/>
        <w:rPr>
          <w:rStyle w:val="98"/>
          <w:rFonts w:ascii="仿宋" w:hAnsi="仿宋" w:eastAsia="仿宋" w:cs="仿宋"/>
          <w:b/>
          <w:bCs/>
          <w:color w:val="auto"/>
          <w:sz w:val="36"/>
          <w:szCs w:val="36"/>
          <w:highlight w:val="none"/>
        </w:rPr>
      </w:pPr>
    </w:p>
    <w:p>
      <w:pPr>
        <w:spacing w:line="360" w:lineRule="auto"/>
        <w:jc w:val="center"/>
        <w:rPr>
          <w:rStyle w:val="98"/>
          <w:rFonts w:ascii="仿宋" w:hAnsi="仿宋" w:eastAsia="仿宋" w:cs="仿宋"/>
          <w:b/>
          <w:bCs/>
          <w:color w:val="auto"/>
          <w:sz w:val="36"/>
          <w:szCs w:val="36"/>
          <w:highlight w:val="none"/>
        </w:rPr>
      </w:pPr>
    </w:p>
    <w:p>
      <w:pPr>
        <w:spacing w:line="360" w:lineRule="auto"/>
        <w:jc w:val="center"/>
        <w:rPr>
          <w:rStyle w:val="98"/>
          <w:rFonts w:ascii="仿宋" w:hAnsi="仿宋" w:eastAsia="仿宋" w:cs="仿宋"/>
          <w:bCs/>
          <w:color w:val="auto"/>
          <w:sz w:val="36"/>
          <w:szCs w:val="36"/>
          <w:highlight w:val="none"/>
        </w:rPr>
      </w:pPr>
      <w:r>
        <w:rPr>
          <w:rStyle w:val="98"/>
          <w:rFonts w:hint="eastAsia" w:ascii="仿宋" w:hAnsi="仿宋" w:eastAsia="仿宋" w:cs="仿宋"/>
          <w:b/>
          <w:bCs/>
          <w:color w:val="auto"/>
          <w:sz w:val="36"/>
          <w:szCs w:val="36"/>
          <w:highlight w:val="none"/>
        </w:rPr>
        <w:t>第五章 招标内容与技术要求</w:t>
      </w:r>
    </w:p>
    <w:p>
      <w:pPr>
        <w:pStyle w:val="2"/>
        <w:spacing w:before="159"/>
        <w:ind w:firstLine="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一、采购需求</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2671"/>
        <w:gridCol w:w="1910"/>
        <w:gridCol w:w="996"/>
        <w:gridCol w:w="820"/>
        <w:gridCol w:w="1781"/>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30" w:type="dxa"/>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671" w:type="dxa"/>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910" w:type="dxa"/>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主要技术参数要求</w:t>
            </w:r>
          </w:p>
        </w:tc>
        <w:tc>
          <w:tcPr>
            <w:tcW w:w="996" w:type="dxa"/>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820" w:type="dxa"/>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0" w:type="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预算总价（元） </w:t>
            </w:r>
          </w:p>
        </w:tc>
        <w:tc>
          <w:tcPr>
            <w:tcW w:w="0" w:type="auto"/>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30" w:type="dxa"/>
            <w:vAlign w:val="center"/>
          </w:tcPr>
          <w:p>
            <w:pPr>
              <w:spacing w:line="36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2671" w:type="dxa"/>
            <w:vAlign w:val="center"/>
          </w:tcPr>
          <w:p>
            <w:pPr>
              <w:spacing w:line="360" w:lineRule="auto"/>
              <w:jc w:val="center"/>
              <w:rPr>
                <w:rFonts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杭州杭新固体废物处置有限公司废气在线监测系统升级改造项目</w:t>
            </w:r>
          </w:p>
        </w:tc>
        <w:tc>
          <w:tcPr>
            <w:tcW w:w="1910" w:type="dxa"/>
            <w:vAlign w:val="center"/>
          </w:tcPr>
          <w:p>
            <w:pPr>
              <w:spacing w:line="36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详见“技术要求”</w:t>
            </w:r>
          </w:p>
        </w:tc>
        <w:tc>
          <w:tcPr>
            <w:tcW w:w="996" w:type="dxa"/>
            <w:vAlign w:val="center"/>
          </w:tcPr>
          <w:p>
            <w:pPr>
              <w:spacing w:line="36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w:t>
            </w:r>
          </w:p>
        </w:tc>
        <w:tc>
          <w:tcPr>
            <w:tcW w:w="820" w:type="dxa"/>
            <w:vAlign w:val="center"/>
          </w:tcPr>
          <w:p>
            <w:pPr>
              <w:spacing w:line="36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0" w:type="auto"/>
            <w:vAlign w:val="center"/>
          </w:tcPr>
          <w:p>
            <w:pPr>
              <w:widowControl/>
              <w:jc w:val="center"/>
              <w:rPr>
                <w:rFonts w:ascii="仿宋" w:hAnsi="仿宋" w:eastAsia="仿宋" w:cs="仿宋"/>
                <w:color w:val="auto"/>
                <w:kern w:val="0"/>
                <w:highlight w:val="none"/>
              </w:rPr>
            </w:pPr>
            <w:r>
              <w:rPr>
                <w:rFonts w:hint="eastAsia" w:ascii="仿宋" w:hAnsi="仿宋" w:eastAsia="仿宋" w:cs="仿宋"/>
                <w:b/>
                <w:color w:val="auto"/>
                <w:sz w:val="24"/>
                <w:szCs w:val="24"/>
                <w:highlight w:val="none"/>
              </w:rPr>
              <w:t>850000.00</w:t>
            </w:r>
          </w:p>
        </w:tc>
        <w:tc>
          <w:tcPr>
            <w:tcW w:w="0" w:type="auto"/>
            <w:vAlign w:val="center"/>
          </w:tcPr>
          <w:p>
            <w:pPr>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0" w:type="auto"/>
            <w:gridSpan w:val="7"/>
            <w:vAlign w:val="center"/>
          </w:tcPr>
          <w:p>
            <w:pPr>
              <w:jc w:val="center"/>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预算总价：人民币捌拾伍万元整（¥850000.00）</w:t>
            </w:r>
          </w:p>
        </w:tc>
      </w:tr>
    </w:tbl>
    <w:p>
      <w:pPr>
        <w:pStyle w:val="2"/>
        <w:spacing w:beforeLines="0" w:after="0" w:line="240" w:lineRule="auto"/>
        <w:ind w:firstLine="0"/>
        <w:rPr>
          <w:rFonts w:ascii="仿宋" w:hAnsi="仿宋" w:eastAsia="仿宋" w:cs="仿宋"/>
          <w:color w:val="auto"/>
          <w:highlight w:val="none"/>
        </w:rPr>
      </w:pPr>
      <w:r>
        <w:rPr>
          <w:rFonts w:hint="eastAsia" w:ascii="仿宋" w:hAnsi="仿宋" w:eastAsia="仿宋" w:cs="仿宋"/>
          <w:color w:val="auto"/>
          <w:highlight w:val="none"/>
        </w:rPr>
        <w:t>备注：1、本项目为交钥匙工程，以上金额包含产品生产、供货、运输、装卸、税金、辅助工作及售后服务等完成本项目的所有费用。</w:t>
      </w:r>
    </w:p>
    <w:p>
      <w:pPr>
        <w:pStyle w:val="2"/>
        <w:spacing w:before="159"/>
        <w:ind w:firstLine="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二、技术要求</w:t>
      </w:r>
    </w:p>
    <w:p>
      <w:pPr>
        <w:snapToGrid w:val="0"/>
        <w:spacing w:line="360" w:lineRule="auto"/>
        <w:rPr>
          <w:rFonts w:ascii="仿宋" w:hAnsi="仿宋" w:eastAsia="仿宋" w:cs="仿宋"/>
          <w:color w:val="auto"/>
          <w:sz w:val="24"/>
          <w:highlight w:val="none"/>
        </w:rPr>
      </w:pPr>
      <w:bookmarkStart w:id="5" w:name="第三章__投标人须知"/>
      <w:bookmarkEnd w:id="5"/>
      <w:r>
        <w:rPr>
          <w:rFonts w:hint="eastAsia" w:ascii="仿宋" w:hAnsi="仿宋" w:eastAsia="仿宋" w:cs="仿宋"/>
          <w:color w:val="auto"/>
          <w:sz w:val="24"/>
          <w:highlight w:val="none"/>
        </w:rPr>
        <w:t>2.1  安装位置及其烟道尺寸</w:t>
      </w:r>
    </w:p>
    <w:p>
      <w:pPr>
        <w:tabs>
          <w:tab w:val="left" w:pos="4095"/>
          <w:tab w:val="center" w:pos="4560"/>
          <w:tab w:val="right" w:pos="9120"/>
        </w:tabs>
        <w:adjustRightInd w:val="0"/>
        <w:snapToGrid w:val="0"/>
        <w:spacing w:line="360" w:lineRule="auto"/>
        <w:ind w:firstLine="480" w:firstLineChars="200"/>
        <w:rPr>
          <w:rFonts w:ascii="仿宋" w:hAnsi="仿宋" w:eastAsia="仿宋" w:cs="仿宋"/>
          <w:color w:val="auto"/>
          <w:kern w:val="0"/>
          <w:sz w:val="24"/>
          <w:szCs w:val="21"/>
          <w:highlight w:val="none"/>
        </w:rPr>
      </w:pPr>
      <w:r>
        <w:rPr>
          <w:rFonts w:hint="eastAsia" w:ascii="仿宋" w:hAnsi="仿宋" w:eastAsia="仿宋" w:cs="仿宋"/>
          <w:color w:val="auto"/>
          <w:kern w:val="0"/>
          <w:sz w:val="24"/>
          <w:szCs w:val="21"/>
          <w:highlight w:val="none"/>
        </w:rPr>
        <w:t>（1）安装位置：水平烟道，</w:t>
      </w:r>
      <w:r>
        <w:rPr>
          <w:rFonts w:hint="eastAsia" w:ascii="仿宋" w:hAnsi="仿宋" w:eastAsia="仿宋" w:cs="仿宋"/>
          <w:bCs/>
          <w:color w:val="auto"/>
          <w:sz w:val="24"/>
          <w:highlight w:val="none"/>
        </w:rPr>
        <w:t>现场已开孔，投标人现场踏勘确认。</w:t>
      </w:r>
    </w:p>
    <w:p>
      <w:pPr>
        <w:spacing w:line="360" w:lineRule="auto"/>
        <w:ind w:firstLine="480" w:firstLineChars="200"/>
        <w:rPr>
          <w:rFonts w:ascii="仿宋" w:hAnsi="仿宋" w:eastAsia="仿宋" w:cs="仿宋"/>
          <w:color w:val="auto"/>
          <w:kern w:val="0"/>
          <w:sz w:val="24"/>
          <w:szCs w:val="21"/>
          <w:highlight w:val="none"/>
        </w:rPr>
      </w:pPr>
      <w:r>
        <w:rPr>
          <w:rFonts w:hint="eastAsia" w:ascii="仿宋" w:hAnsi="仿宋" w:eastAsia="仿宋" w:cs="仿宋"/>
          <w:color w:val="auto"/>
          <w:kern w:val="0"/>
          <w:sz w:val="24"/>
          <w:szCs w:val="21"/>
          <w:highlight w:val="none"/>
        </w:rPr>
        <w:t>（2）烟道尺寸：</w:t>
      </w:r>
    </w:p>
    <w:tbl>
      <w:tblPr>
        <w:tblStyle w:val="4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9"/>
        <w:gridCol w:w="402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63" w:type="pct"/>
            <w:vAlign w:val="center"/>
          </w:tcPr>
          <w:p>
            <w:pPr>
              <w:jc w:val="center"/>
              <w:rPr>
                <w:rFonts w:ascii="仿宋" w:hAnsi="仿宋" w:eastAsia="仿宋" w:cs="仿宋"/>
                <w:color w:val="auto"/>
                <w:kern w:val="0"/>
                <w:sz w:val="24"/>
                <w:szCs w:val="21"/>
                <w:highlight w:val="none"/>
              </w:rPr>
            </w:pPr>
            <w:r>
              <w:rPr>
                <w:rFonts w:hint="eastAsia" w:ascii="仿宋" w:hAnsi="仿宋" w:eastAsia="仿宋" w:cs="仿宋"/>
                <w:color w:val="auto"/>
                <w:kern w:val="0"/>
                <w:sz w:val="24"/>
                <w:szCs w:val="21"/>
                <w:highlight w:val="none"/>
              </w:rPr>
              <w:t>名称</w:t>
            </w:r>
          </w:p>
        </w:tc>
        <w:tc>
          <w:tcPr>
            <w:tcW w:w="2129" w:type="pct"/>
            <w:vAlign w:val="center"/>
          </w:tcPr>
          <w:p>
            <w:pPr>
              <w:jc w:val="center"/>
              <w:rPr>
                <w:rFonts w:ascii="仿宋" w:hAnsi="仿宋" w:eastAsia="仿宋" w:cs="仿宋"/>
                <w:color w:val="auto"/>
                <w:kern w:val="0"/>
                <w:sz w:val="24"/>
                <w:szCs w:val="21"/>
                <w:highlight w:val="none"/>
              </w:rPr>
            </w:pPr>
            <w:r>
              <w:rPr>
                <w:rFonts w:hint="eastAsia" w:ascii="仿宋" w:hAnsi="仿宋" w:eastAsia="仿宋" w:cs="仿宋"/>
                <w:color w:val="auto"/>
                <w:kern w:val="0"/>
                <w:sz w:val="24"/>
                <w:szCs w:val="21"/>
                <w:highlight w:val="none"/>
              </w:rPr>
              <w:t>圆形截面尺寸</w:t>
            </w:r>
          </w:p>
        </w:tc>
        <w:tc>
          <w:tcPr>
            <w:tcW w:w="1606" w:type="pct"/>
            <w:vAlign w:val="center"/>
          </w:tcPr>
          <w:p>
            <w:pPr>
              <w:jc w:val="center"/>
              <w:rPr>
                <w:rFonts w:ascii="仿宋" w:hAnsi="仿宋" w:eastAsia="仿宋" w:cs="仿宋"/>
                <w:color w:val="auto"/>
                <w:kern w:val="0"/>
                <w:sz w:val="24"/>
                <w:szCs w:val="21"/>
                <w:highlight w:val="none"/>
              </w:rPr>
            </w:pPr>
            <w:r>
              <w:rPr>
                <w:rFonts w:hint="eastAsia" w:ascii="仿宋" w:hAnsi="仿宋" w:eastAsia="仿宋" w:cs="仿宋"/>
                <w:color w:val="auto"/>
                <w:kern w:val="0"/>
                <w:sz w:val="24"/>
                <w:szCs w:val="21"/>
                <w:highlight w:val="none"/>
              </w:rPr>
              <w:t xml:space="preserve">  直管段长度（m）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63" w:type="pct"/>
            <w:tcBorders>
              <w:right w:val="single" w:color="auto" w:sz="6" w:space="0"/>
            </w:tcBorders>
            <w:vAlign w:val="center"/>
          </w:tcPr>
          <w:p>
            <w:pPr>
              <w:jc w:val="center"/>
              <w:rPr>
                <w:rFonts w:ascii="仿宋" w:hAnsi="仿宋" w:eastAsia="仿宋" w:cs="仿宋"/>
                <w:color w:val="auto"/>
                <w:kern w:val="0"/>
                <w:sz w:val="24"/>
                <w:szCs w:val="21"/>
                <w:highlight w:val="none"/>
              </w:rPr>
            </w:pPr>
            <w:r>
              <w:rPr>
                <w:rFonts w:hint="eastAsia" w:ascii="仿宋" w:hAnsi="仿宋" w:eastAsia="仿宋" w:cs="仿宋"/>
                <w:color w:val="auto"/>
                <w:kern w:val="0"/>
                <w:sz w:val="24"/>
                <w:szCs w:val="21"/>
                <w:highlight w:val="none"/>
              </w:rPr>
              <w:t>水平烟道</w:t>
            </w:r>
          </w:p>
        </w:tc>
        <w:tc>
          <w:tcPr>
            <w:tcW w:w="2129" w:type="pct"/>
            <w:tcBorders>
              <w:left w:val="single" w:color="auto" w:sz="6" w:space="0"/>
              <w:right w:val="single" w:color="auto" w:sz="6" w:space="0"/>
            </w:tcBorders>
            <w:vAlign w:val="center"/>
          </w:tcPr>
          <w:p>
            <w:pPr>
              <w:jc w:val="center"/>
              <w:rPr>
                <w:rFonts w:ascii="仿宋" w:hAnsi="仿宋" w:eastAsia="仿宋" w:cs="仿宋"/>
                <w:b/>
                <w:color w:val="auto"/>
                <w:kern w:val="0"/>
                <w:sz w:val="24"/>
                <w:szCs w:val="21"/>
                <w:highlight w:val="none"/>
              </w:rPr>
            </w:pPr>
            <w:r>
              <w:rPr>
                <w:rFonts w:hint="eastAsia" w:ascii="仿宋" w:hAnsi="仿宋" w:eastAsia="仿宋" w:cs="仿宋"/>
                <w:color w:val="auto"/>
                <w:kern w:val="0"/>
                <w:sz w:val="24"/>
                <w:szCs w:val="21"/>
                <w:highlight w:val="none"/>
              </w:rPr>
              <w:t>0.785m</w:t>
            </w:r>
            <w:r>
              <w:rPr>
                <w:rFonts w:hint="eastAsia" w:ascii="仿宋" w:hAnsi="仿宋" w:eastAsia="仿宋" w:cs="仿宋"/>
                <w:color w:val="auto"/>
                <w:kern w:val="0"/>
                <w:sz w:val="24"/>
                <w:szCs w:val="21"/>
                <w:highlight w:val="none"/>
                <w:vertAlign w:val="superscript"/>
              </w:rPr>
              <w:t>2</w:t>
            </w:r>
          </w:p>
        </w:tc>
        <w:tc>
          <w:tcPr>
            <w:tcW w:w="1606" w:type="pct"/>
            <w:tcBorders>
              <w:left w:val="single" w:color="auto" w:sz="6" w:space="0"/>
              <w:right w:val="single" w:color="auto" w:sz="6" w:space="0"/>
            </w:tcBorders>
            <w:vAlign w:val="center"/>
          </w:tcPr>
          <w:p>
            <w:pPr>
              <w:jc w:val="center"/>
              <w:rPr>
                <w:rFonts w:ascii="仿宋" w:hAnsi="仿宋" w:eastAsia="仿宋" w:cs="仿宋"/>
                <w:b/>
                <w:color w:val="auto"/>
                <w:kern w:val="0"/>
                <w:sz w:val="24"/>
                <w:szCs w:val="21"/>
                <w:highlight w:val="none"/>
              </w:rPr>
            </w:pPr>
            <w:r>
              <w:rPr>
                <w:rFonts w:hint="eastAsia" w:ascii="仿宋" w:hAnsi="仿宋" w:eastAsia="仿宋" w:cs="仿宋"/>
                <w:color w:val="auto"/>
                <w:kern w:val="0"/>
                <w:sz w:val="24"/>
                <w:szCs w:val="21"/>
                <w:highlight w:val="none"/>
              </w:rPr>
              <w:t>以现场情况为准</w:t>
            </w:r>
          </w:p>
        </w:tc>
      </w:tr>
    </w:tbl>
    <w:p>
      <w:pPr>
        <w:pStyle w:val="31"/>
        <w:tabs>
          <w:tab w:val="center" w:pos="4320"/>
          <w:tab w:val="right" w:pos="8640"/>
          <w:tab w:val="clear" w:pos="4153"/>
          <w:tab w:val="clear" w:pos="8306"/>
        </w:tabs>
        <w:ind w:firstLine="480" w:firstLineChars="200"/>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（3）主机设备安装于原有CEMS 房间。</w:t>
      </w:r>
    </w:p>
    <w:p>
      <w:pPr>
        <w:pStyle w:val="31"/>
        <w:tabs>
          <w:tab w:val="center" w:pos="4320"/>
          <w:tab w:val="right" w:pos="8640"/>
          <w:tab w:val="clear" w:pos="4153"/>
          <w:tab w:val="clear" w:pos="8306"/>
        </w:tabs>
        <w:ind w:firstLine="480" w:firstLineChars="200"/>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（4）监测房内原有仪表。</w:t>
      </w:r>
    </w:p>
    <w:tbl>
      <w:tblPr>
        <w:tblStyle w:val="4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683"/>
        <w:gridCol w:w="1746"/>
        <w:gridCol w:w="1619"/>
        <w:gridCol w:w="168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序号</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设备名称</w:t>
            </w:r>
          </w:p>
        </w:tc>
        <w:tc>
          <w:tcPr>
            <w:tcW w:w="923"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型号</w:t>
            </w:r>
          </w:p>
        </w:tc>
        <w:tc>
          <w:tcPr>
            <w:tcW w:w="856"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品牌</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数量</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1</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sz w:val="24"/>
                <w:highlight w:val="none"/>
              </w:rPr>
              <w:t>取样探头</w:t>
            </w:r>
          </w:p>
        </w:tc>
        <w:tc>
          <w:tcPr>
            <w:tcW w:w="923"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SP05</w:t>
            </w:r>
          </w:p>
        </w:tc>
        <w:tc>
          <w:tcPr>
            <w:tcW w:w="856"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重庆川仪</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1套</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2</w:t>
            </w:r>
          </w:p>
        </w:tc>
        <w:tc>
          <w:tcPr>
            <w:tcW w:w="890" w:type="pct"/>
            <w:vAlign w:val="center"/>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sz w:val="24"/>
                <w:highlight w:val="none"/>
              </w:rPr>
              <w:t>反吹单元</w:t>
            </w:r>
          </w:p>
        </w:tc>
        <w:tc>
          <w:tcPr>
            <w:tcW w:w="923"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sz w:val="24"/>
                <w:highlight w:val="none"/>
              </w:rPr>
              <w:t>PB01</w:t>
            </w:r>
          </w:p>
        </w:tc>
        <w:tc>
          <w:tcPr>
            <w:tcW w:w="856"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重庆川仪</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1套</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3</w:t>
            </w:r>
          </w:p>
        </w:tc>
        <w:tc>
          <w:tcPr>
            <w:tcW w:w="890" w:type="pct"/>
            <w:vAlign w:val="center"/>
          </w:tcPr>
          <w:p>
            <w:pPr>
              <w:pStyle w:val="31"/>
              <w:tabs>
                <w:tab w:val="center" w:pos="4320"/>
                <w:tab w:val="right" w:pos="8640"/>
                <w:tab w:val="clear" w:pos="4153"/>
                <w:tab w:val="clear" w:pos="8306"/>
              </w:tabs>
              <w:jc w:val="center"/>
              <w:rPr>
                <w:rFonts w:ascii="仿宋" w:hAnsi="仿宋" w:eastAsia="仿宋" w:cs="仿宋"/>
                <w:color w:val="auto"/>
                <w:sz w:val="24"/>
                <w:highlight w:val="none"/>
              </w:rPr>
            </w:pPr>
            <w:r>
              <w:rPr>
                <w:rFonts w:hint="eastAsia" w:ascii="仿宋" w:hAnsi="仿宋" w:eastAsia="仿宋" w:cs="仿宋"/>
                <w:color w:val="auto"/>
                <w:sz w:val="24"/>
                <w:highlight w:val="none"/>
              </w:rPr>
              <w:t>温压流</w:t>
            </w:r>
          </w:p>
        </w:tc>
        <w:tc>
          <w:tcPr>
            <w:tcW w:w="923" w:type="pct"/>
          </w:tcPr>
          <w:p>
            <w:pPr>
              <w:pStyle w:val="31"/>
              <w:tabs>
                <w:tab w:val="center" w:pos="4320"/>
                <w:tab w:val="right" w:pos="8640"/>
                <w:tab w:val="clear" w:pos="4153"/>
                <w:tab w:val="clear" w:pos="8306"/>
              </w:tabs>
              <w:jc w:val="center"/>
              <w:rPr>
                <w:rFonts w:ascii="仿宋" w:hAnsi="仿宋" w:eastAsia="仿宋" w:cs="仿宋"/>
                <w:color w:val="auto"/>
                <w:sz w:val="24"/>
                <w:highlight w:val="none"/>
              </w:rPr>
            </w:pPr>
            <w:r>
              <w:rPr>
                <w:rFonts w:hint="eastAsia" w:ascii="仿宋" w:hAnsi="仿宋" w:eastAsia="仿宋" w:cs="仿宋"/>
                <w:color w:val="auto"/>
                <w:sz w:val="24"/>
                <w:highlight w:val="none"/>
              </w:rPr>
              <w:t>APT200</w:t>
            </w:r>
          </w:p>
        </w:tc>
        <w:tc>
          <w:tcPr>
            <w:tcW w:w="856"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安荣信</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1套</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4</w:t>
            </w:r>
          </w:p>
        </w:tc>
        <w:tc>
          <w:tcPr>
            <w:tcW w:w="890" w:type="pct"/>
            <w:vAlign w:val="center"/>
          </w:tcPr>
          <w:p>
            <w:pPr>
              <w:pStyle w:val="31"/>
              <w:tabs>
                <w:tab w:val="center" w:pos="4320"/>
                <w:tab w:val="right" w:pos="8640"/>
                <w:tab w:val="clear" w:pos="4153"/>
                <w:tab w:val="clear" w:pos="8306"/>
              </w:tabs>
              <w:jc w:val="center"/>
              <w:rPr>
                <w:rFonts w:ascii="仿宋" w:hAnsi="仿宋" w:eastAsia="仿宋" w:cs="仿宋"/>
                <w:color w:val="auto"/>
                <w:sz w:val="24"/>
                <w:highlight w:val="none"/>
              </w:rPr>
            </w:pPr>
            <w:r>
              <w:rPr>
                <w:rFonts w:hint="eastAsia" w:ascii="仿宋" w:hAnsi="仿宋" w:eastAsia="仿宋" w:cs="仿宋"/>
                <w:color w:val="auto"/>
                <w:sz w:val="24"/>
                <w:highlight w:val="none"/>
              </w:rPr>
              <w:t>数采仪</w:t>
            </w:r>
          </w:p>
        </w:tc>
        <w:tc>
          <w:tcPr>
            <w:tcW w:w="923" w:type="pct"/>
          </w:tcPr>
          <w:p>
            <w:pPr>
              <w:pStyle w:val="31"/>
              <w:tabs>
                <w:tab w:val="center" w:pos="4320"/>
                <w:tab w:val="right" w:pos="8640"/>
                <w:tab w:val="clear" w:pos="4153"/>
                <w:tab w:val="clear" w:pos="8306"/>
              </w:tabs>
              <w:jc w:val="center"/>
              <w:rPr>
                <w:rFonts w:ascii="仿宋" w:hAnsi="仿宋" w:eastAsia="仿宋" w:cs="仿宋"/>
                <w:color w:val="auto"/>
                <w:sz w:val="24"/>
                <w:highlight w:val="none"/>
              </w:rPr>
            </w:pPr>
            <w:r>
              <w:rPr>
                <w:rFonts w:hint="eastAsia" w:ascii="仿宋" w:hAnsi="仿宋" w:eastAsia="仿宋" w:cs="仿宋"/>
                <w:color w:val="auto"/>
                <w:sz w:val="24"/>
                <w:highlight w:val="none"/>
              </w:rPr>
              <w:t>XR6800</w:t>
            </w:r>
          </w:p>
        </w:tc>
        <w:tc>
          <w:tcPr>
            <w:tcW w:w="856"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环保成套</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1套</w:t>
            </w:r>
          </w:p>
        </w:tc>
        <w:tc>
          <w:tcPr>
            <w:tcW w:w="890" w:type="pct"/>
          </w:tcPr>
          <w:p>
            <w:pPr>
              <w:pStyle w:val="31"/>
              <w:tabs>
                <w:tab w:val="center" w:pos="4320"/>
                <w:tab w:val="right" w:pos="8640"/>
                <w:tab w:val="clear" w:pos="4153"/>
                <w:tab w:val="clear" w:pos="8306"/>
              </w:tabs>
              <w:jc w:val="center"/>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利旧</w:t>
            </w:r>
          </w:p>
        </w:tc>
      </w:tr>
    </w:tbl>
    <w:p>
      <w:pPr>
        <w:pStyle w:val="31"/>
        <w:tabs>
          <w:tab w:val="center" w:pos="4320"/>
          <w:tab w:val="right" w:pos="8640"/>
          <w:tab w:val="clear" w:pos="4153"/>
          <w:tab w:val="clear" w:pos="8306"/>
        </w:tabs>
        <w:ind w:firstLine="480" w:firstLineChars="200"/>
        <w:rPr>
          <w:rFonts w:ascii="仿宋" w:hAnsi="仿宋" w:eastAsia="仿宋" w:cs="仿宋"/>
          <w:color w:val="auto"/>
          <w:kern w:val="2"/>
          <w:sz w:val="24"/>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2.2  接地</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所有设备在配套的电源柜内安装浪涌保护器。假如招标方提供的电源供电失败，投标方保证程序保存在PLC中，无任何遗失，系统不会受到损坏。供电一旦恢复，系统能够立即重新运行。在采样平台上的仪器设备，提供相应的保护罩。</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2.3 CEMS基本功能</w:t>
      </w:r>
    </w:p>
    <w:p>
      <w:pPr>
        <w:tabs>
          <w:tab w:val="center" w:pos="4560"/>
          <w:tab w:val="right" w:pos="912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（1）CEMS为在线式监测。该系统在烟气非正常工况下也能正常使用。</w:t>
      </w:r>
    </w:p>
    <w:p>
      <w:pPr>
        <w:widowControl/>
        <w:tabs>
          <w:tab w:val="left" w:pos="4253"/>
          <w:tab w:val="left" w:pos="4820"/>
        </w:tabs>
        <w:adjustRightInd w:val="0"/>
        <w:snapToGrid w:val="0"/>
        <w:spacing w:line="360" w:lineRule="auto"/>
        <w:ind w:right="53"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（2）采用自动温度监测的外部电加热采样设备，设计规格可以满足不同工况下气体连续采样。加热自动调节单元满足避免冷凝、SO</w:t>
      </w:r>
      <w:r>
        <w:rPr>
          <w:rFonts w:hint="eastAsia" w:ascii="仿宋" w:hAnsi="仿宋" w:eastAsia="仿宋" w:cs="仿宋"/>
          <w:color w:val="auto"/>
          <w:kern w:val="0"/>
          <w:sz w:val="24"/>
          <w:highlight w:val="none"/>
          <w:vertAlign w:val="subscript"/>
        </w:rPr>
        <w:t>2</w:t>
      </w:r>
      <w:r>
        <w:rPr>
          <w:rFonts w:hint="eastAsia" w:ascii="仿宋" w:hAnsi="仿宋" w:eastAsia="仿宋" w:cs="仿宋"/>
          <w:color w:val="auto"/>
          <w:kern w:val="0"/>
          <w:sz w:val="24"/>
          <w:highlight w:val="none"/>
        </w:rPr>
        <w:t>溶解带来的腐蚀和测量误差问题。</w:t>
      </w:r>
    </w:p>
    <w:p>
      <w:pPr>
        <w:widowControl/>
        <w:tabs>
          <w:tab w:val="left" w:pos="4253"/>
          <w:tab w:val="left" w:pos="4820"/>
        </w:tabs>
        <w:adjustRightInd w:val="0"/>
        <w:snapToGrid w:val="0"/>
        <w:spacing w:line="360" w:lineRule="auto"/>
        <w:ind w:right="53"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（3）采样管线采用无需更换的（聚四氟乙烯）管，自动温度控制设计，精确保证伴热温度。采样管的长度为从分析仪器至采样点。应根据现场要求确定采样管长度。</w:t>
      </w:r>
    </w:p>
    <w:p>
      <w:pPr>
        <w:tabs>
          <w:tab w:val="center" w:pos="4560"/>
          <w:tab w:val="right" w:pos="912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 CEMS应能满足至少180天运行不需要非日常维修的要求(非日常维修是指在CEMS运行的维护手册中常规部分没有要求的任何维修活动)。</w:t>
      </w:r>
    </w:p>
    <w:p>
      <w:pPr>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 CEMS应具有主要部件故障警报功能。监测项目的信号均能以4～20mA DC进入招标方控制系统进行监视、计算和控制。</w:t>
      </w:r>
    </w:p>
    <w:p>
      <w:pPr>
        <w:widowControl/>
        <w:tabs>
          <w:tab w:val="left" w:pos="4253"/>
          <w:tab w:val="left" w:pos="4820"/>
        </w:tabs>
        <w:adjustRightInd w:val="0"/>
        <w:snapToGrid w:val="0"/>
        <w:spacing w:line="360" w:lineRule="auto"/>
        <w:ind w:right="53"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（6）应具有自我诊断功能。这些诊断功能包括检测源和探头的失效、超出量程情况和没有足够的采样流量的能力。</w:t>
      </w:r>
    </w:p>
    <w:p>
      <w:pPr>
        <w:widowControl/>
        <w:tabs>
          <w:tab w:val="left" w:pos="4253"/>
          <w:tab w:val="left" w:pos="4820"/>
        </w:tabs>
        <w:adjustRightInd w:val="0"/>
        <w:snapToGrid w:val="0"/>
        <w:spacing w:line="360" w:lineRule="auto"/>
        <w:ind w:right="53"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（7）系统具有可靠的联锁保护。如烟气或者加热温度过高，过低，水份过多等，不适宜采样时，自动切除采样状态，跳到零气吹扫状态，同时上传“故障”标记位，保护分析仪不受到损害。 </w:t>
      </w:r>
    </w:p>
    <w:p>
      <w:pPr>
        <w:pStyle w:val="352"/>
        <w:tabs>
          <w:tab w:val="left" w:pos="0"/>
        </w:tabs>
        <w:rPr>
          <w:rFonts w:ascii="仿宋" w:hAnsi="仿宋" w:eastAsia="仿宋" w:cs="仿宋"/>
          <w:color w:val="auto"/>
          <w:highlight w:val="none"/>
        </w:rPr>
      </w:pPr>
      <w:r>
        <w:rPr>
          <w:rFonts w:hint="eastAsia" w:ascii="仿宋" w:hAnsi="仿宋" w:eastAsia="仿宋" w:cs="仿宋"/>
          <w:color w:val="auto"/>
          <w:highlight w:val="none"/>
        </w:rPr>
        <w:t>（8）与每个分析仪器系统有关的所有设备由一个分支电路断路器供电,并用一个永久性标记标出断路器。且投标人负责选择每个保险丝和/或断路器的合适的尺寸和额定值。</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 CEMS系统主机要求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为</w:t>
      </w:r>
      <w:r>
        <w:rPr>
          <w:rFonts w:hint="eastAsia" w:ascii="仿宋" w:hAnsi="仿宋" w:eastAsia="仿宋" w:cs="仿宋"/>
          <w:color w:val="auto"/>
          <w:sz w:val="24"/>
          <w:highlight w:val="none"/>
          <w:lang w:eastAsia="zh-CN"/>
        </w:rPr>
        <w:t>知名品牌</w:t>
      </w:r>
      <w:r>
        <w:rPr>
          <w:rFonts w:hint="eastAsia" w:ascii="仿宋" w:hAnsi="仿宋" w:eastAsia="仿宋" w:cs="仿宋"/>
          <w:color w:val="auto"/>
          <w:sz w:val="24"/>
          <w:highlight w:val="none"/>
        </w:rPr>
        <w:t>，以保证系统的稳定可靠性，CEMS 系统必须在垃圾或固废焚烧行业有5年以上成功的应用业绩。</w:t>
      </w:r>
      <w:r>
        <w:rPr>
          <w:rFonts w:hint="eastAsia" w:ascii="仿宋" w:hAnsi="仿宋" w:eastAsia="仿宋" w:cs="仿宋"/>
          <w:color w:val="auto"/>
          <w:sz w:val="24"/>
          <w:highlight w:val="none"/>
          <w:lang w:eastAsia="zh-CN"/>
        </w:rPr>
        <w:t>知名品牌</w:t>
      </w:r>
      <w:r>
        <w:rPr>
          <w:rFonts w:hint="eastAsia" w:ascii="仿宋" w:hAnsi="仿宋" w:eastAsia="仿宋" w:cs="仿宋"/>
          <w:color w:val="auto"/>
          <w:sz w:val="24"/>
          <w:highlight w:val="none"/>
        </w:rPr>
        <w:t>为:德国SICK、ABB、GASMET，或等于、优于上述知名公司的产品，核心设备</w:t>
      </w:r>
      <w:r>
        <w:rPr>
          <w:rFonts w:hint="eastAsia" w:ascii="仿宋" w:hAnsi="仿宋" w:eastAsia="仿宋" w:cs="仿宋"/>
          <w:color w:val="auto"/>
          <w:sz w:val="24"/>
          <w:highlight w:val="none"/>
          <w:lang w:val="en-US" w:eastAsia="zh-CN"/>
        </w:rPr>
        <w:t>如</w:t>
      </w:r>
      <w:r>
        <w:rPr>
          <w:rFonts w:hint="eastAsia" w:ascii="仿宋" w:hAnsi="仿宋" w:eastAsia="仿宋" w:cs="仿宋"/>
          <w:color w:val="auto"/>
          <w:sz w:val="24"/>
          <w:highlight w:val="none"/>
        </w:rPr>
        <w:t>为原装</w:t>
      </w:r>
      <w:r>
        <w:rPr>
          <w:rFonts w:hint="eastAsia" w:ascii="仿宋" w:hAnsi="仿宋" w:eastAsia="仿宋" w:cs="仿宋"/>
          <w:color w:val="auto"/>
          <w:sz w:val="24"/>
          <w:highlight w:val="none"/>
          <w:lang w:val="en-US" w:eastAsia="zh-CN"/>
        </w:rPr>
        <w:t>进口产品</w:t>
      </w:r>
      <w:r>
        <w:rPr>
          <w:rFonts w:hint="eastAsia" w:ascii="仿宋" w:hAnsi="仿宋" w:eastAsia="仿宋" w:cs="仿宋"/>
          <w:color w:val="auto"/>
          <w:sz w:val="24"/>
          <w:highlight w:val="none"/>
        </w:rPr>
        <w:t>，相关设备要提供出产地的相关证明或海关报关单。同时以上公司产品均需要出具</w:t>
      </w:r>
      <w:r>
        <w:rPr>
          <w:rFonts w:hint="eastAsia" w:ascii="仿宋" w:hAnsi="仿宋" w:eastAsia="仿宋" w:cs="仿宋"/>
          <w:bCs/>
          <w:color w:val="auto"/>
          <w:sz w:val="24"/>
          <w:highlight w:val="none"/>
        </w:rPr>
        <w:t>国家市场监督管理总局</w:t>
      </w:r>
      <w:r>
        <w:rPr>
          <w:rFonts w:hint="eastAsia" w:ascii="仿宋" w:hAnsi="仿宋" w:eastAsia="仿宋" w:cs="仿宋"/>
          <w:color w:val="auto"/>
          <w:sz w:val="24"/>
          <w:highlight w:val="none"/>
        </w:rPr>
        <w:t xml:space="preserve">出具的型式批准证书和中国环境保护产品认证证书。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2.5 CEMS分析仪主机要求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使用</w:t>
      </w:r>
      <w:r>
        <w:rPr>
          <w:rFonts w:hint="eastAsia" w:ascii="仿宋" w:hAnsi="仿宋" w:eastAsia="仿宋" w:cs="仿宋"/>
          <w:color w:val="auto"/>
          <w:sz w:val="24"/>
          <w:highlight w:val="none"/>
          <w:lang w:eastAsia="zh-CN"/>
        </w:rPr>
        <w:t>知名品牌</w:t>
      </w:r>
      <w:r>
        <w:rPr>
          <w:rFonts w:hint="eastAsia" w:ascii="仿宋" w:hAnsi="仿宋" w:eastAsia="仿宋" w:cs="仿宋"/>
          <w:color w:val="auto"/>
          <w:sz w:val="24"/>
          <w:highlight w:val="none"/>
        </w:rPr>
        <w:t>产品；气态参数检测方法要求系统先进，测量准确，响应时间短，检测方法快速、准确。精度不低于±1%满量程；采用目前国际上通行的傅里叶变换红外分析法FTIR；采用傅里叶红外（FTIR）原理分析仪检测的主要组份为:S02, NO, N02, N20, CO, C02, NH3, HC1, HF, H20, CH4以及其它需要检测的组份。该种分析仪检测成分应具有良好的可扩展性。采用抽取式高温型在线分析仪，通过伴热管线将烟气直接送入高温型的分析仪中进行测量（伴热管应符合国家全程校准要求），要求采样管线从分析仪到探头，为连续长度的全加热管线。加热的管线具有自动温度控制功能，温度控制在 180℃以上。烟气检测采用抽取法；对于采用抽取式取样的系统必须为高温取样，取样泵应选用真空射流泵。另外系统以下关键部件要求使用</w:t>
      </w:r>
      <w:r>
        <w:rPr>
          <w:rFonts w:hint="eastAsia" w:ascii="仿宋" w:hAnsi="仿宋" w:eastAsia="仿宋" w:cs="仿宋"/>
          <w:color w:val="auto"/>
          <w:sz w:val="24"/>
          <w:highlight w:val="none"/>
          <w:lang w:val="en-US" w:eastAsia="zh-CN"/>
        </w:rPr>
        <w:t>知名品牌的产品</w:t>
      </w:r>
      <w:r>
        <w:rPr>
          <w:rFonts w:hint="eastAsia" w:ascii="仿宋" w:hAnsi="仿宋" w:eastAsia="仿宋" w:cs="仿宋"/>
          <w:color w:val="auto"/>
          <w:sz w:val="24"/>
          <w:highlight w:val="none"/>
        </w:rPr>
        <w:t>：分析仪主机系统（傅里叶变换红外干涉仪、傅里叶变换控制器）</w:t>
      </w:r>
      <w:r>
        <w:rPr>
          <w:rFonts w:hint="eastAsia" w:ascii="仿宋" w:hAnsi="仿宋" w:eastAsia="仿宋" w:cs="仿宋"/>
          <w:color w:val="auto"/>
          <w:sz w:val="24"/>
          <w:highlight w:val="none"/>
          <w:lang w:val="en-US" w:eastAsia="zh-CN"/>
        </w:rPr>
        <w:t>采用</w:t>
      </w:r>
      <w:r>
        <w:rPr>
          <w:rFonts w:hint="eastAsia" w:ascii="仿宋" w:hAnsi="仿宋" w:eastAsia="仿宋" w:cs="仿宋"/>
          <w:color w:val="auto"/>
          <w:sz w:val="24"/>
          <w:highlight w:val="none"/>
          <w:lang w:eastAsia="zh-CN"/>
        </w:rPr>
        <w:t>知名品牌</w:t>
      </w:r>
      <w:r>
        <w:rPr>
          <w:rFonts w:hint="eastAsia" w:ascii="仿宋" w:hAnsi="仿宋" w:eastAsia="仿宋" w:cs="仿宋"/>
          <w:color w:val="auto"/>
          <w:sz w:val="24"/>
          <w:highlight w:val="none"/>
        </w:rPr>
        <w:t>为:德国SICK、ABB、GASMET或等于、优于上述知名公司的</w:t>
      </w:r>
      <w:r>
        <w:rPr>
          <w:rFonts w:hint="eastAsia" w:ascii="仿宋" w:hAnsi="仿宋" w:eastAsia="仿宋" w:cs="仿宋"/>
          <w:color w:val="auto"/>
          <w:sz w:val="24"/>
          <w:highlight w:val="none"/>
          <w:lang w:val="en-US" w:eastAsia="zh-CN"/>
        </w:rPr>
        <w:t>原装</w:t>
      </w:r>
      <w:r>
        <w:rPr>
          <w:rFonts w:hint="eastAsia" w:ascii="仿宋" w:hAnsi="仿宋" w:eastAsia="仿宋" w:cs="仿宋"/>
          <w:color w:val="auto"/>
          <w:sz w:val="24"/>
          <w:highlight w:val="none"/>
        </w:rPr>
        <w:t>产品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以上设备要求提供设备原产地证书， 以确保原装设备的真实性。</w:t>
      </w:r>
    </w:p>
    <w:p>
      <w:pPr>
        <w:pStyle w:val="353"/>
        <w:spacing w:line="403" w:lineRule="exact"/>
        <w:ind w:firstLine="0"/>
        <w:jc w:val="left"/>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2.6 系统接口要求（对外数据传送）</w:t>
      </w:r>
    </w:p>
    <w:tbl>
      <w:tblPr>
        <w:tblStyle w:val="48"/>
        <w:tblW w:w="4998" w:type="pct"/>
        <w:jc w:val="center"/>
        <w:tblLayout w:type="autofit"/>
        <w:tblCellMar>
          <w:top w:w="0" w:type="dxa"/>
          <w:left w:w="10" w:type="dxa"/>
          <w:bottom w:w="0" w:type="dxa"/>
          <w:right w:w="10" w:type="dxa"/>
        </w:tblCellMar>
      </w:tblPr>
      <w:tblGrid>
        <w:gridCol w:w="675"/>
        <w:gridCol w:w="1367"/>
        <w:gridCol w:w="5013"/>
        <w:gridCol w:w="2203"/>
      </w:tblGrid>
      <w:tr>
        <w:tblPrEx>
          <w:tblCellMar>
            <w:top w:w="0" w:type="dxa"/>
            <w:left w:w="10" w:type="dxa"/>
            <w:bottom w:w="0" w:type="dxa"/>
            <w:right w:w="10" w:type="dxa"/>
          </w:tblCellMar>
        </w:tblPrEx>
        <w:trPr>
          <w:trHeight w:val="475" w:hRule="exact"/>
          <w:jc w:val="center"/>
        </w:trPr>
        <w:tc>
          <w:tcPr>
            <w:tcW w:w="365" w:type="pct"/>
            <w:tcBorders>
              <w:top w:val="single" w:color="auto" w:sz="4" w:space="0"/>
              <w:left w:val="single" w:color="auto" w:sz="4" w:space="0"/>
            </w:tcBorders>
            <w:shd w:val="clear" w:color="auto" w:fill="FFFFFF"/>
            <w:vAlign w:val="center"/>
          </w:tcPr>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序号</w:t>
            </w:r>
          </w:p>
        </w:tc>
        <w:tc>
          <w:tcPr>
            <w:tcW w:w="738" w:type="pct"/>
            <w:tcBorders>
              <w:top w:val="single" w:color="auto" w:sz="4" w:space="0"/>
              <w:left w:val="single" w:color="auto" w:sz="4" w:space="0"/>
            </w:tcBorders>
            <w:shd w:val="clear" w:color="auto" w:fill="FFFFFF"/>
            <w:vAlign w:val="center"/>
          </w:tcPr>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接口说明</w:t>
            </w:r>
          </w:p>
        </w:tc>
        <w:tc>
          <w:tcPr>
            <w:tcW w:w="2706" w:type="pct"/>
            <w:tcBorders>
              <w:top w:val="single" w:color="auto" w:sz="4" w:space="0"/>
              <w:left w:val="single" w:color="auto" w:sz="4" w:space="0"/>
            </w:tcBorders>
            <w:shd w:val="clear" w:color="auto" w:fill="FFFFFF"/>
            <w:vAlign w:val="center"/>
          </w:tcPr>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功能要求</w:t>
            </w:r>
          </w:p>
        </w:tc>
        <w:tc>
          <w:tcPr>
            <w:tcW w:w="1189" w:type="pct"/>
            <w:tcBorders>
              <w:top w:val="single" w:color="auto" w:sz="4" w:space="0"/>
              <w:left w:val="single" w:color="auto" w:sz="4" w:space="0"/>
              <w:right w:val="single" w:color="auto" w:sz="4" w:space="0"/>
            </w:tcBorders>
            <w:shd w:val="clear" w:color="auto" w:fill="FFFFFF"/>
            <w:vAlign w:val="center"/>
          </w:tcPr>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备注</w:t>
            </w:r>
          </w:p>
        </w:tc>
      </w:tr>
      <w:tr>
        <w:tblPrEx>
          <w:tblCellMar>
            <w:top w:w="0" w:type="dxa"/>
            <w:left w:w="10" w:type="dxa"/>
            <w:bottom w:w="0" w:type="dxa"/>
            <w:right w:w="10" w:type="dxa"/>
          </w:tblCellMar>
        </w:tblPrEx>
        <w:trPr>
          <w:trHeight w:val="2859" w:hRule="exact"/>
          <w:jc w:val="center"/>
        </w:trPr>
        <w:tc>
          <w:tcPr>
            <w:tcW w:w="365" w:type="pct"/>
            <w:tcBorders>
              <w:top w:val="single" w:color="auto" w:sz="4" w:space="0"/>
              <w:left w:val="single" w:color="auto" w:sz="4" w:space="0"/>
            </w:tcBorders>
            <w:shd w:val="clear" w:color="auto" w:fill="FFFFFF"/>
            <w:vAlign w:val="center"/>
          </w:tcPr>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1</w:t>
            </w:r>
          </w:p>
        </w:tc>
        <w:tc>
          <w:tcPr>
            <w:tcW w:w="738" w:type="pct"/>
            <w:tcBorders>
              <w:top w:val="single" w:color="auto" w:sz="4" w:space="0"/>
              <w:left w:val="single" w:color="auto" w:sz="4" w:space="0"/>
            </w:tcBorders>
            <w:shd w:val="clear" w:color="auto" w:fill="FFFFFF"/>
            <w:vAlign w:val="center"/>
          </w:tcPr>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CEMS系统实时数据传送给数采仪（通 过 485）</w:t>
            </w:r>
          </w:p>
        </w:tc>
        <w:tc>
          <w:tcPr>
            <w:tcW w:w="2706" w:type="pct"/>
            <w:tcBorders>
              <w:top w:val="single" w:color="auto" w:sz="4" w:space="0"/>
              <w:left w:val="single" w:color="auto" w:sz="4" w:space="0"/>
            </w:tcBorders>
            <w:shd w:val="clear" w:color="auto" w:fill="FFFFFF"/>
            <w:vAlign w:val="center"/>
          </w:tcPr>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1、</w:t>
            </w:r>
            <w:r>
              <w:rPr>
                <w:rFonts w:hint="eastAsia" w:ascii="仿宋" w:hAnsi="仿宋" w:eastAsia="仿宋" w:cs="仿宋"/>
                <w:color w:val="auto"/>
                <w:sz w:val="24"/>
                <w:szCs w:val="24"/>
                <w:highlight w:val="none"/>
                <w:lang w:val="en-US" w:eastAsia="zh-CN" w:bidi="ar-SA"/>
              </w:rPr>
              <w:tab/>
            </w:r>
            <w:r>
              <w:rPr>
                <w:rFonts w:hint="eastAsia" w:ascii="仿宋" w:hAnsi="仿宋" w:eastAsia="仿宋" w:cs="仿宋"/>
                <w:color w:val="auto"/>
                <w:sz w:val="24"/>
                <w:szCs w:val="24"/>
                <w:highlight w:val="none"/>
                <w:lang w:val="en-US" w:eastAsia="zh-CN" w:bidi="ar-SA"/>
              </w:rPr>
              <w:t>通过485通讯方式，将CEMS系统实时数据传送给杭州环保成套数采仪。</w:t>
            </w:r>
          </w:p>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eastAsia="zh-CN" w:bidi="ar-SA"/>
              </w:rPr>
              <w:tab/>
            </w:r>
            <w:r>
              <w:rPr>
                <w:rFonts w:hint="eastAsia" w:ascii="仿宋" w:hAnsi="仿宋" w:eastAsia="仿宋" w:cs="仿宋"/>
                <w:color w:val="auto"/>
                <w:sz w:val="24"/>
                <w:szCs w:val="24"/>
                <w:highlight w:val="none"/>
                <w:lang w:val="en-US" w:eastAsia="zh-CN" w:bidi="ar-SA"/>
              </w:rPr>
              <w:t>依据HJ212-2017标准6.6.4表8数据标记表规范要求，数据标记应具备8种状态显示，且数据标记可扩充或者修改。</w:t>
            </w:r>
          </w:p>
        </w:tc>
        <w:tc>
          <w:tcPr>
            <w:tcW w:w="1189" w:type="pct"/>
            <w:tcBorders>
              <w:top w:val="single" w:color="auto" w:sz="4" w:space="0"/>
              <w:left w:val="single" w:color="auto" w:sz="4" w:space="0"/>
              <w:right w:val="single" w:color="auto" w:sz="4" w:space="0"/>
            </w:tcBorders>
            <w:shd w:val="clear" w:color="auto" w:fill="FFFFFF"/>
            <w:vAlign w:val="center"/>
          </w:tcPr>
          <w:p>
            <w:pPr>
              <w:pStyle w:val="353"/>
              <w:spacing w:line="403" w:lineRule="exact"/>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数据传送不能由工控机转发数据,应由分析仪通过485的通讯方式直传给数釆仪。</w:t>
            </w:r>
          </w:p>
        </w:tc>
      </w:tr>
      <w:tr>
        <w:tblPrEx>
          <w:tblCellMar>
            <w:top w:w="0" w:type="dxa"/>
            <w:left w:w="10" w:type="dxa"/>
            <w:bottom w:w="0" w:type="dxa"/>
            <w:right w:w="10" w:type="dxa"/>
          </w:tblCellMar>
        </w:tblPrEx>
        <w:trPr>
          <w:trHeight w:val="1609" w:hRule="exact"/>
          <w:jc w:val="center"/>
        </w:trPr>
        <w:tc>
          <w:tcPr>
            <w:tcW w:w="365" w:type="pct"/>
            <w:tcBorders>
              <w:top w:val="single" w:color="auto" w:sz="4" w:space="0"/>
              <w:left w:val="single" w:color="auto" w:sz="4" w:space="0"/>
              <w:bottom w:val="single" w:color="auto" w:sz="4" w:space="0"/>
            </w:tcBorders>
            <w:shd w:val="clear" w:color="auto" w:fill="FFFFFF"/>
            <w:vAlign w:val="center"/>
          </w:tcPr>
          <w:p>
            <w:pPr>
              <w:pStyle w:val="353"/>
              <w:spacing w:line="240" w:lineRule="auto"/>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w:t>
            </w:r>
          </w:p>
        </w:tc>
        <w:tc>
          <w:tcPr>
            <w:tcW w:w="738" w:type="pct"/>
            <w:tcBorders>
              <w:top w:val="single" w:color="auto" w:sz="4" w:space="0"/>
              <w:left w:val="single" w:color="auto" w:sz="4" w:space="0"/>
              <w:bottom w:val="single" w:color="auto" w:sz="4" w:space="0"/>
            </w:tcBorders>
            <w:shd w:val="clear" w:color="auto" w:fill="FFFFFF"/>
            <w:vAlign w:val="center"/>
          </w:tcPr>
          <w:p>
            <w:pPr>
              <w:pStyle w:val="353"/>
              <w:spacing w:line="240" w:lineRule="auto"/>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CEMS系统实时数据传送给DCS</w:t>
            </w:r>
          </w:p>
        </w:tc>
        <w:tc>
          <w:tcPr>
            <w:tcW w:w="2706" w:type="pct"/>
            <w:tcBorders>
              <w:top w:val="single" w:color="auto" w:sz="4" w:space="0"/>
              <w:left w:val="single" w:color="auto" w:sz="4" w:space="0"/>
              <w:bottom w:val="single" w:color="auto" w:sz="4" w:space="0"/>
            </w:tcBorders>
            <w:shd w:val="clear" w:color="auto" w:fill="FFFFFF"/>
            <w:vAlign w:val="center"/>
          </w:tcPr>
          <w:p>
            <w:pPr>
              <w:pStyle w:val="353"/>
              <w:spacing w:line="240" w:lineRule="auto"/>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通过标准4-20am信号，将CEMS系统所有的实时数据传送给DCS。</w:t>
            </w:r>
          </w:p>
        </w:tc>
        <w:tc>
          <w:tcPr>
            <w:tcW w:w="118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53"/>
              <w:spacing w:line="240" w:lineRule="auto"/>
              <w:jc w:val="center"/>
              <w:rPr>
                <w:rFonts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提供数量充足的标准信号接口</w:t>
            </w:r>
          </w:p>
        </w:tc>
      </w:tr>
      <w:tr>
        <w:tblPrEx>
          <w:tblCellMar>
            <w:top w:w="0" w:type="dxa"/>
            <w:left w:w="10" w:type="dxa"/>
            <w:bottom w:w="0" w:type="dxa"/>
            <w:right w:w="10" w:type="dxa"/>
          </w:tblCellMar>
        </w:tblPrEx>
        <w:trPr>
          <w:trHeight w:val="1580" w:hRule="exact"/>
          <w:jc w:val="center"/>
        </w:trPr>
        <w:tc>
          <w:tcPr>
            <w:tcW w:w="365" w:type="pct"/>
            <w:tcBorders>
              <w:top w:val="single" w:color="auto" w:sz="4" w:space="0"/>
              <w:left w:val="single" w:color="auto" w:sz="4" w:space="0"/>
              <w:bottom w:val="single" w:color="auto" w:sz="4" w:space="0"/>
            </w:tcBorders>
            <w:shd w:val="clear" w:color="auto" w:fill="auto"/>
            <w:vAlign w:val="center"/>
          </w:tcPr>
          <w:p>
            <w:pPr>
              <w:pStyle w:val="353"/>
              <w:spacing w:line="403"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3</w:t>
            </w:r>
          </w:p>
        </w:tc>
        <w:tc>
          <w:tcPr>
            <w:tcW w:w="738" w:type="pct"/>
            <w:tcBorders>
              <w:top w:val="single" w:color="auto" w:sz="4" w:space="0"/>
              <w:left w:val="single" w:color="auto" w:sz="4" w:space="0"/>
              <w:bottom w:val="single" w:color="auto" w:sz="4" w:space="0"/>
            </w:tcBorders>
            <w:shd w:val="clear" w:color="auto" w:fill="auto"/>
            <w:vAlign w:val="center"/>
          </w:tcPr>
          <w:p>
            <w:pPr>
              <w:pStyle w:val="353"/>
              <w:spacing w:line="403"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CEMS系统实时数据传送给行政楼总控室</w:t>
            </w:r>
          </w:p>
        </w:tc>
        <w:tc>
          <w:tcPr>
            <w:tcW w:w="2706" w:type="pct"/>
            <w:tcBorders>
              <w:top w:val="single" w:color="auto" w:sz="4" w:space="0"/>
              <w:left w:val="single" w:color="auto" w:sz="4" w:space="0"/>
              <w:bottom w:val="single" w:color="auto" w:sz="4" w:space="0"/>
            </w:tcBorders>
            <w:shd w:val="clear" w:color="auto" w:fill="auto"/>
            <w:vAlign w:val="center"/>
          </w:tcPr>
          <w:p>
            <w:pPr>
              <w:pStyle w:val="353"/>
              <w:spacing w:line="403"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通过标准4-20am信号等方式将CEMS系统所有的监测数据传送至行政楼总控室。</w:t>
            </w: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53"/>
              <w:spacing w:line="403" w:lineRule="exact"/>
              <w:jc w:val="center"/>
              <w:rPr>
                <w:rFonts w:hint="eastAsia" w:ascii="仿宋" w:hAnsi="仿宋" w:eastAsia="仿宋" w:cs="仿宋"/>
                <w:color w:val="auto"/>
                <w:sz w:val="24"/>
                <w:szCs w:val="24"/>
                <w:highlight w:val="none"/>
                <w:lang w:val="en-US" w:eastAsia="zh-CN" w:bidi="ar-SA"/>
              </w:rPr>
            </w:pPr>
          </w:p>
        </w:tc>
      </w:tr>
    </w:tbl>
    <w:p>
      <w:pPr>
        <w:ind w:firstLine="480" w:firstLineChars="200"/>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2.7  投标方必须得到生产厂家的正式授权或生产厂家授权。 </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★投标方提供的的傅里叶红外分析系统应具有以下证书：</w:t>
      </w:r>
    </w:p>
    <w:p>
      <w:pPr>
        <w:spacing w:line="360" w:lineRule="auto"/>
        <w:ind w:firstLine="723" w:firstLineChars="300"/>
        <w:rPr>
          <w:rFonts w:ascii="仿宋" w:hAnsi="仿宋" w:eastAsia="仿宋" w:cs="仿宋"/>
          <w:b/>
          <w:bCs/>
          <w:color w:val="auto"/>
          <w:sz w:val="24"/>
          <w:highlight w:val="none"/>
        </w:rPr>
      </w:pPr>
      <w:r>
        <w:rPr>
          <w:rFonts w:hint="eastAsia" w:ascii="仿宋" w:hAnsi="仿宋" w:eastAsia="仿宋" w:cs="仿宋"/>
          <w:b/>
          <w:bCs/>
          <w:color w:val="auto"/>
          <w:sz w:val="24"/>
          <w:highlight w:val="none"/>
        </w:rPr>
        <w:t>1.计量器具形式批准证书</w:t>
      </w:r>
    </w:p>
    <w:p>
      <w:pPr>
        <w:spacing w:line="360" w:lineRule="auto"/>
        <w:ind w:firstLine="723" w:firstLineChars="300"/>
        <w:rPr>
          <w:rFonts w:ascii="仿宋" w:hAnsi="仿宋" w:eastAsia="仿宋" w:cs="仿宋"/>
          <w:b/>
          <w:bCs/>
          <w:color w:val="auto"/>
          <w:sz w:val="24"/>
          <w:highlight w:val="none"/>
        </w:rPr>
      </w:pPr>
      <w:r>
        <w:rPr>
          <w:rFonts w:hint="eastAsia" w:ascii="仿宋" w:hAnsi="仿宋" w:eastAsia="仿宋" w:cs="仿宋"/>
          <w:b/>
          <w:bCs/>
          <w:color w:val="auto"/>
          <w:sz w:val="24"/>
          <w:highlight w:val="none"/>
        </w:rPr>
        <w:t>2.国家环境保护产品认证证书</w:t>
      </w:r>
    </w:p>
    <w:p>
      <w:pPr>
        <w:spacing w:line="360" w:lineRule="auto"/>
        <w:ind w:firstLine="723" w:firstLineChars="300"/>
        <w:rPr>
          <w:rFonts w:ascii="仿宋" w:hAnsi="仿宋" w:eastAsia="仿宋" w:cs="仿宋"/>
          <w:b/>
          <w:bCs/>
          <w:color w:val="auto"/>
          <w:sz w:val="24"/>
          <w:highlight w:val="none"/>
        </w:rPr>
      </w:pPr>
      <w:r>
        <w:rPr>
          <w:rFonts w:hint="eastAsia" w:ascii="仿宋" w:hAnsi="仿宋" w:eastAsia="仿宋" w:cs="仿宋"/>
          <w:b/>
          <w:bCs/>
          <w:color w:val="auto"/>
          <w:sz w:val="24"/>
          <w:highlight w:val="none"/>
        </w:rPr>
        <w:t>3.国家环境保护部环境监测仪器质量监督检验中心出具的产品实用性监测报告</w:t>
      </w:r>
    </w:p>
    <w:p>
      <w:pPr>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注：仪器的名称、型号必须与上述证书相吻合，且在有效期内，依据现行标准认证，认证的参数需至少包含SO2、NO、NO2、HCL、CO。</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2.8 具体配置要求如下：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（1）预处理系统：高温取样探头采用原有探头；取样泵采用射流泵；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（2）PLC：西门子、施耐德、ABB或等于、优于上述知名公司的产品；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（3）伴热管：三根伴热管芯，一根采样，一根通标准气，一根备用；所有釆管、接头、直通、 三通等与烟气接触的材料均采用聚四氟乙烯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吹扫系统：防止光学镜头、采样探头被污染；分析仪器的设计必须考虑进入分析仪器的样气于湿基状态时，分析仪器须能正常稳定地量测各气体成份，不至因水份影响产生偏差，并保证在此使用条件下光学镜头使用寿命不低于 3 年。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（5）烟气参数测量系统：温度、压力、流速监测设备采用原有设备。</w:t>
      </w:r>
    </w:p>
    <w:p>
      <w:pPr>
        <w:pStyle w:val="354"/>
        <w:widowControl w:val="0"/>
        <w:ind w:firstLine="480" w:firstLineChars="200"/>
        <w:jc w:val="both"/>
        <w:outlineLvl w:val="9"/>
        <w:rPr>
          <w:rFonts w:ascii="仿宋" w:hAnsi="仿宋" w:eastAsia="仿宋" w:cs="仿宋"/>
          <w:color w:val="auto"/>
          <w:highlight w:val="none"/>
        </w:rPr>
      </w:pPr>
      <w:r>
        <w:rPr>
          <w:rFonts w:hint="eastAsia" w:ascii="仿宋" w:hAnsi="仿宋" w:eastAsia="仿宋" w:cs="仿宋"/>
          <w:color w:val="auto"/>
          <w:highlight w:val="none"/>
        </w:rPr>
        <w:t>（6）设备所需电源，由投标方负责铺设电源线，招标方负责提供控制柜接入端。</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2.9 测量参数量程要求 </w:t>
      </w:r>
    </w:p>
    <w:tbl>
      <w:tblPr>
        <w:tblStyle w:val="48"/>
        <w:tblpPr w:leftFromText="180" w:rightFromText="180" w:vertAnchor="text" w:horzAnchor="page" w:tblpXSpec="center" w:tblpY="138"/>
        <w:tblOverlap w:val="never"/>
        <w:tblW w:w="4998" w:type="pct"/>
        <w:jc w:val="center"/>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autofit"/>
        <w:tblCellMar>
          <w:top w:w="0" w:type="dxa"/>
          <w:left w:w="0" w:type="dxa"/>
          <w:bottom w:w="0" w:type="dxa"/>
          <w:right w:w="0" w:type="dxa"/>
        </w:tblCellMar>
      </w:tblPr>
      <w:tblGrid>
        <w:gridCol w:w="1042"/>
        <w:gridCol w:w="2209"/>
        <w:gridCol w:w="2211"/>
        <w:gridCol w:w="3786"/>
      </w:tblGrid>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335" w:hRule="atLeast"/>
          <w:jc w:val="center"/>
        </w:trPr>
        <w:tc>
          <w:tcPr>
            <w:tcW w:w="563" w:type="pct"/>
            <w:tcBorders>
              <w:bottom w:val="single" w:color="000000" w:sz="6" w:space="0"/>
              <w:right w:val="single" w:color="000000" w:sz="6" w:space="0"/>
            </w:tcBorders>
            <w:vAlign w:val="center"/>
          </w:tcPr>
          <w:p>
            <w:pPr>
              <w:pStyle w:val="349"/>
              <w:spacing w:before="245"/>
              <w:ind w:left="28"/>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194" w:type="pct"/>
            <w:tcBorders>
              <w:left w:val="single" w:color="000000" w:sz="6" w:space="0"/>
              <w:bottom w:val="single" w:color="000000" w:sz="6" w:space="0"/>
              <w:right w:val="single" w:color="000000" w:sz="6" w:space="0"/>
            </w:tcBorders>
            <w:vAlign w:val="center"/>
          </w:tcPr>
          <w:p>
            <w:pPr>
              <w:pStyle w:val="349"/>
              <w:spacing w:before="245"/>
              <w:ind w:right="119"/>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测量参数</w:t>
            </w:r>
          </w:p>
        </w:tc>
        <w:tc>
          <w:tcPr>
            <w:tcW w:w="1195" w:type="pct"/>
            <w:tcBorders>
              <w:left w:val="single" w:color="000000" w:sz="6" w:space="0"/>
              <w:bottom w:val="single" w:color="000000" w:sz="6" w:space="0"/>
              <w:right w:val="single" w:color="000000" w:sz="6" w:space="0"/>
            </w:tcBorders>
            <w:vAlign w:val="center"/>
          </w:tcPr>
          <w:p>
            <w:pPr>
              <w:pStyle w:val="349"/>
              <w:spacing w:before="245"/>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量程范围</w:t>
            </w:r>
          </w:p>
        </w:tc>
        <w:tc>
          <w:tcPr>
            <w:tcW w:w="2046" w:type="pct"/>
            <w:tcBorders>
              <w:left w:val="single" w:color="000000" w:sz="6" w:space="0"/>
              <w:bottom w:val="single" w:color="000000" w:sz="6" w:space="0"/>
            </w:tcBorders>
            <w:vAlign w:val="center"/>
          </w:tcPr>
          <w:p>
            <w:pPr>
              <w:pStyle w:val="349"/>
              <w:spacing w:before="245"/>
              <w:jc w:val="center"/>
              <w:rPr>
                <w:rFonts w:ascii="仿宋" w:hAnsi="仿宋" w:eastAsia="仿宋" w:cs="仿宋"/>
                <w:b/>
                <w:color w:val="auto"/>
                <w:sz w:val="24"/>
                <w:szCs w:val="24"/>
                <w:highlight w:val="none"/>
                <w:lang w:val="en-US"/>
              </w:rPr>
            </w:pPr>
            <w:r>
              <w:rPr>
                <w:rFonts w:hint="eastAsia" w:ascii="仿宋" w:hAnsi="仿宋" w:eastAsia="仿宋" w:cs="仿宋"/>
                <w:b/>
                <w:color w:val="auto"/>
                <w:sz w:val="24"/>
                <w:szCs w:val="24"/>
                <w:highlight w:val="none"/>
                <w:lang w:val="en-US"/>
              </w:rPr>
              <w:t>说明</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1"/>
              <w:jc w:val="center"/>
              <w:rPr>
                <w:rFonts w:ascii="仿宋" w:hAnsi="仿宋" w:eastAsia="仿宋" w:cs="仿宋"/>
                <w:color w:val="auto"/>
                <w:sz w:val="24"/>
                <w:szCs w:val="24"/>
                <w:highlight w:val="none"/>
              </w:rPr>
            </w:pPr>
          </w:p>
          <w:p>
            <w:pPr>
              <w:pStyle w:val="34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49"/>
              <w:ind w:left="177" w:right="27"/>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HCL</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2"/>
              <w:jc w:val="center"/>
              <w:rPr>
                <w:rFonts w:ascii="仿宋" w:hAnsi="仿宋" w:eastAsia="仿宋" w:cs="仿宋"/>
                <w:color w:val="auto"/>
                <w:sz w:val="24"/>
                <w:szCs w:val="24"/>
                <w:highlight w:val="none"/>
              </w:rPr>
            </w:pPr>
          </w:p>
          <w:p>
            <w:pPr>
              <w:pStyle w:val="349"/>
              <w:ind w:left="172"/>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rPr>
              <w:t>20</w:t>
            </w:r>
            <w:r>
              <w:rPr>
                <w:rFonts w:hint="eastAsia" w:ascii="仿宋" w:hAnsi="仿宋" w:eastAsia="仿宋" w:cs="仿宋"/>
                <w:color w:val="auto"/>
                <w:sz w:val="24"/>
                <w:szCs w:val="24"/>
                <w:highlight w:val="none"/>
              </w:rPr>
              <w:t>0mg/m3</w:t>
            </w: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13"/>
              <w:ind w:left="165" w:right="11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HF</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14" w:line="23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0-5mg/m</w:t>
            </w:r>
            <w:r>
              <w:rPr>
                <w:rFonts w:hint="eastAsia" w:ascii="仿宋" w:hAnsi="仿宋" w:eastAsia="仿宋" w:cs="仿宋"/>
                <w:color w:val="auto"/>
                <w:position w:val="11"/>
                <w:sz w:val="24"/>
                <w:szCs w:val="24"/>
                <w:highlight w:val="none"/>
              </w:rPr>
              <w:t>3</w:t>
            </w:r>
          </w:p>
          <w:p>
            <w:pPr>
              <w:pStyle w:val="349"/>
              <w:spacing w:line="130" w:lineRule="exact"/>
              <w:ind w:right="65"/>
              <w:jc w:val="center"/>
              <w:rPr>
                <w:rFonts w:ascii="仿宋" w:hAnsi="仿宋" w:eastAsia="仿宋" w:cs="仿宋"/>
                <w:color w:val="auto"/>
                <w:sz w:val="24"/>
                <w:szCs w:val="24"/>
                <w:highlight w:val="none"/>
              </w:rPr>
            </w:pP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7"/>
              <w:jc w:val="center"/>
              <w:rPr>
                <w:rFonts w:ascii="仿宋" w:hAnsi="仿宋" w:eastAsia="仿宋" w:cs="仿宋"/>
                <w:color w:val="auto"/>
                <w:sz w:val="24"/>
                <w:szCs w:val="24"/>
                <w:highlight w:val="none"/>
              </w:rPr>
            </w:pPr>
          </w:p>
          <w:p>
            <w:pPr>
              <w:pStyle w:val="349"/>
              <w:spacing w:line="274" w:lineRule="exact"/>
              <w:ind w:left="177" w:right="75"/>
              <w:jc w:val="center"/>
              <w:rPr>
                <w:rFonts w:ascii="仿宋" w:hAnsi="仿宋" w:eastAsia="仿宋" w:cs="仿宋"/>
                <w:color w:val="auto"/>
                <w:sz w:val="24"/>
                <w:szCs w:val="24"/>
                <w:highlight w:val="none"/>
              </w:rPr>
            </w:pPr>
            <w:r>
              <w:rPr>
                <w:rFonts w:hint="eastAsia" w:ascii="仿宋" w:hAnsi="仿宋" w:eastAsia="仿宋" w:cs="仿宋"/>
                <w:color w:val="auto"/>
                <w:position w:val="2"/>
                <w:sz w:val="24"/>
                <w:szCs w:val="24"/>
                <w:highlight w:val="none"/>
              </w:rPr>
              <w:t>SO</w:t>
            </w:r>
            <w:r>
              <w:rPr>
                <w:rFonts w:hint="eastAsia" w:ascii="仿宋" w:hAnsi="仿宋" w:eastAsia="仿宋" w:cs="仿宋"/>
                <w:color w:val="auto"/>
                <w:sz w:val="24"/>
                <w:szCs w:val="24"/>
                <w:highlight w:val="none"/>
              </w:rPr>
              <w:t>2</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14" w:line="230" w:lineRule="exact"/>
              <w:ind w:left="162"/>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rPr>
              <w:t>2</w:t>
            </w:r>
            <w:r>
              <w:rPr>
                <w:rFonts w:hint="eastAsia" w:ascii="仿宋" w:hAnsi="仿宋" w:eastAsia="仿宋" w:cs="仿宋"/>
                <w:color w:val="auto"/>
                <w:sz w:val="24"/>
                <w:szCs w:val="24"/>
                <w:highlight w:val="none"/>
              </w:rPr>
              <w:t>00mg/m</w:t>
            </w:r>
            <w:r>
              <w:rPr>
                <w:rFonts w:hint="eastAsia" w:ascii="仿宋" w:hAnsi="仿宋" w:eastAsia="仿宋" w:cs="仿宋"/>
                <w:color w:val="auto"/>
                <w:position w:val="11"/>
                <w:sz w:val="24"/>
                <w:szCs w:val="24"/>
                <w:highlight w:val="none"/>
              </w:rPr>
              <w:t>3</w:t>
            </w:r>
          </w:p>
          <w:p>
            <w:pPr>
              <w:pStyle w:val="349"/>
              <w:spacing w:line="130" w:lineRule="exact"/>
              <w:ind w:right="339"/>
              <w:jc w:val="center"/>
              <w:rPr>
                <w:rFonts w:ascii="仿宋" w:hAnsi="仿宋" w:eastAsia="仿宋" w:cs="仿宋"/>
                <w:color w:val="auto"/>
                <w:sz w:val="24"/>
                <w:szCs w:val="24"/>
                <w:highlight w:val="none"/>
              </w:rPr>
            </w:pP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13"/>
              <w:ind w:left="165" w:right="11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NO</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16" w:line="230" w:lineRule="exact"/>
              <w:ind w:left="162"/>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rPr>
              <w:t>6</w:t>
            </w:r>
            <w:r>
              <w:rPr>
                <w:rFonts w:hint="eastAsia" w:ascii="仿宋" w:hAnsi="仿宋" w:eastAsia="仿宋" w:cs="仿宋"/>
                <w:color w:val="auto"/>
                <w:sz w:val="24"/>
                <w:szCs w:val="24"/>
                <w:highlight w:val="none"/>
              </w:rPr>
              <w:t>00mg/m</w:t>
            </w:r>
            <w:r>
              <w:rPr>
                <w:rFonts w:hint="eastAsia" w:ascii="仿宋" w:hAnsi="仿宋" w:eastAsia="仿宋" w:cs="仿宋"/>
                <w:color w:val="auto"/>
                <w:position w:val="11"/>
                <w:sz w:val="24"/>
                <w:szCs w:val="24"/>
                <w:highlight w:val="none"/>
              </w:rPr>
              <w:t>3</w:t>
            </w:r>
          </w:p>
          <w:p>
            <w:pPr>
              <w:pStyle w:val="349"/>
              <w:spacing w:line="130" w:lineRule="exact"/>
              <w:ind w:right="339"/>
              <w:jc w:val="center"/>
              <w:rPr>
                <w:rFonts w:ascii="仿宋" w:hAnsi="仿宋" w:eastAsia="仿宋" w:cs="仿宋"/>
                <w:color w:val="auto"/>
                <w:sz w:val="24"/>
                <w:szCs w:val="24"/>
                <w:highlight w:val="none"/>
              </w:rPr>
            </w:pP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11"/>
              <w:ind w:left="177" w:right="27"/>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NO2</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11" w:line="230" w:lineRule="exact"/>
              <w:ind w:left="162"/>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rPr>
              <w:t>10</w:t>
            </w:r>
            <w:r>
              <w:rPr>
                <w:rFonts w:hint="eastAsia" w:ascii="仿宋" w:hAnsi="仿宋" w:eastAsia="仿宋" w:cs="仿宋"/>
                <w:color w:val="auto"/>
                <w:sz w:val="24"/>
                <w:szCs w:val="24"/>
                <w:highlight w:val="none"/>
              </w:rPr>
              <w:t>0mg/m</w:t>
            </w:r>
            <w:r>
              <w:rPr>
                <w:rFonts w:hint="eastAsia" w:ascii="仿宋" w:hAnsi="仿宋" w:eastAsia="仿宋" w:cs="仿宋"/>
                <w:color w:val="auto"/>
                <w:position w:val="11"/>
                <w:sz w:val="24"/>
                <w:szCs w:val="24"/>
                <w:highlight w:val="none"/>
              </w:rPr>
              <w:t>3</w:t>
            </w:r>
          </w:p>
          <w:p>
            <w:pPr>
              <w:pStyle w:val="349"/>
              <w:spacing w:line="132" w:lineRule="exact"/>
              <w:ind w:right="339"/>
              <w:jc w:val="center"/>
              <w:rPr>
                <w:rFonts w:ascii="仿宋" w:hAnsi="仿宋" w:eastAsia="仿宋" w:cs="仿宋"/>
                <w:color w:val="auto"/>
                <w:sz w:val="24"/>
                <w:szCs w:val="24"/>
                <w:highlight w:val="none"/>
              </w:rPr>
            </w:pP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11"/>
              <w:ind w:left="165" w:right="11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CO</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14" w:line="230" w:lineRule="exact"/>
              <w:ind w:left="162"/>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00mg/m</w:t>
            </w:r>
            <w:r>
              <w:rPr>
                <w:rFonts w:hint="eastAsia" w:ascii="仿宋" w:hAnsi="仿宋" w:eastAsia="仿宋" w:cs="仿宋"/>
                <w:color w:val="auto"/>
                <w:position w:val="11"/>
                <w:sz w:val="24"/>
                <w:szCs w:val="24"/>
                <w:highlight w:val="none"/>
              </w:rPr>
              <w:t>3</w:t>
            </w:r>
          </w:p>
          <w:p>
            <w:pPr>
              <w:pStyle w:val="349"/>
              <w:spacing w:line="130" w:lineRule="exact"/>
              <w:ind w:right="339"/>
              <w:jc w:val="center"/>
              <w:rPr>
                <w:rFonts w:ascii="仿宋" w:hAnsi="仿宋" w:eastAsia="仿宋" w:cs="仿宋"/>
                <w:color w:val="auto"/>
                <w:sz w:val="24"/>
                <w:szCs w:val="24"/>
                <w:highlight w:val="none"/>
              </w:rPr>
            </w:pP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94" w:line="270" w:lineRule="exact"/>
              <w:ind w:right="75" w:firstLine="960" w:firstLineChars="400"/>
              <w:rPr>
                <w:rFonts w:ascii="仿宋" w:hAnsi="仿宋" w:eastAsia="仿宋" w:cs="仿宋"/>
                <w:color w:val="auto"/>
                <w:sz w:val="24"/>
                <w:szCs w:val="24"/>
                <w:highlight w:val="none"/>
              </w:rPr>
            </w:pPr>
            <w:r>
              <w:rPr>
                <w:rFonts w:hint="eastAsia" w:ascii="仿宋" w:hAnsi="仿宋" w:eastAsia="仿宋" w:cs="仿宋"/>
                <w:color w:val="auto"/>
                <w:position w:val="2"/>
                <w:sz w:val="24"/>
                <w:szCs w:val="24"/>
                <w:highlight w:val="none"/>
              </w:rPr>
              <w:t>CO</w:t>
            </w:r>
            <w:r>
              <w:rPr>
                <w:rFonts w:hint="eastAsia" w:ascii="仿宋" w:hAnsi="仿宋" w:eastAsia="仿宋" w:cs="仿宋"/>
                <w:color w:val="auto"/>
                <w:sz w:val="24"/>
                <w:szCs w:val="24"/>
                <w:highlight w:val="none"/>
              </w:rPr>
              <w:t>2</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6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0%</w:t>
            </w: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63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6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NH3</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6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rPr>
              <w:t>5</w:t>
            </w:r>
            <w:r>
              <w:rPr>
                <w:rFonts w:hint="eastAsia" w:ascii="仿宋" w:hAnsi="仿宋" w:eastAsia="仿宋" w:cs="仿宋"/>
                <w:color w:val="auto"/>
                <w:sz w:val="24"/>
                <w:szCs w:val="24"/>
                <w:highlight w:val="none"/>
              </w:rPr>
              <w:t>0 mg/m3</w:t>
            </w: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92" w:line="270" w:lineRule="exact"/>
              <w:ind w:right="78"/>
              <w:jc w:val="center"/>
              <w:rPr>
                <w:rFonts w:ascii="仿宋" w:hAnsi="仿宋" w:eastAsia="仿宋" w:cs="仿宋"/>
                <w:color w:val="auto"/>
                <w:sz w:val="24"/>
                <w:szCs w:val="24"/>
                <w:highlight w:val="none"/>
              </w:rPr>
            </w:pPr>
            <w:r>
              <w:rPr>
                <w:rFonts w:hint="eastAsia" w:ascii="仿宋" w:hAnsi="仿宋" w:eastAsia="仿宋" w:cs="仿宋"/>
                <w:color w:val="auto"/>
                <w:position w:val="2"/>
                <w:sz w:val="24"/>
                <w:szCs w:val="24"/>
                <w:highlight w:val="none"/>
              </w:rPr>
              <w:t>H</w:t>
            </w:r>
            <w:r>
              <w:rPr>
                <w:rFonts w:hint="eastAsia" w:ascii="仿宋" w:hAnsi="仿宋" w:eastAsia="仿宋" w:cs="仿宋"/>
                <w:color w:val="auto"/>
                <w:sz w:val="24"/>
                <w:szCs w:val="24"/>
                <w:highlight w:val="none"/>
              </w:rPr>
              <w:t>2</w:t>
            </w:r>
            <w:r>
              <w:rPr>
                <w:rFonts w:hint="eastAsia" w:ascii="仿宋" w:hAnsi="仿宋" w:eastAsia="仿宋" w:cs="仿宋"/>
                <w:color w:val="auto"/>
                <w:position w:val="2"/>
                <w:sz w:val="24"/>
                <w:szCs w:val="24"/>
                <w:highlight w:val="none"/>
              </w:rPr>
              <w:t>O</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6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0-40%</w:t>
            </w: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bottom w:val="single" w:color="000000" w:sz="6" w:space="0"/>
              <w:right w:val="single" w:color="000000" w:sz="6" w:space="0"/>
            </w:tcBorders>
            <w:vAlign w:val="center"/>
          </w:tcPr>
          <w:p>
            <w:pPr>
              <w:pStyle w:val="349"/>
              <w:spacing w:before="16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194" w:type="pct"/>
            <w:tcBorders>
              <w:top w:val="single" w:color="000000" w:sz="6" w:space="0"/>
              <w:left w:val="single" w:color="000000" w:sz="6" w:space="0"/>
              <w:bottom w:val="single" w:color="000000" w:sz="6" w:space="0"/>
              <w:right w:val="single" w:color="000000" w:sz="6" w:space="0"/>
            </w:tcBorders>
            <w:vAlign w:val="center"/>
          </w:tcPr>
          <w:p>
            <w:pPr>
              <w:pStyle w:val="349"/>
              <w:spacing w:before="106"/>
              <w:ind w:right="11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O2</w:t>
            </w:r>
          </w:p>
        </w:tc>
        <w:tc>
          <w:tcPr>
            <w:tcW w:w="1195" w:type="pct"/>
            <w:tcBorders>
              <w:top w:val="single" w:color="000000" w:sz="6" w:space="0"/>
              <w:left w:val="single" w:color="000000" w:sz="6" w:space="0"/>
              <w:bottom w:val="single" w:color="000000" w:sz="6" w:space="0"/>
              <w:right w:val="single" w:color="000000" w:sz="6" w:space="0"/>
            </w:tcBorders>
            <w:vAlign w:val="center"/>
          </w:tcPr>
          <w:p>
            <w:pPr>
              <w:pStyle w:val="349"/>
              <w:spacing w:before="161"/>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0-25%</w:t>
            </w:r>
          </w:p>
        </w:tc>
        <w:tc>
          <w:tcPr>
            <w:tcW w:w="2046" w:type="pct"/>
            <w:tcBorders>
              <w:top w:val="single" w:color="000000" w:sz="6" w:space="0"/>
              <w:left w:val="single" w:color="000000" w:sz="6" w:space="0"/>
              <w:bottom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563" w:type="pct"/>
            <w:tcBorders>
              <w:top w:val="single" w:color="000000" w:sz="6" w:space="0"/>
              <w:right w:val="single" w:color="000000" w:sz="6" w:space="0"/>
            </w:tcBorders>
            <w:vAlign w:val="center"/>
          </w:tcPr>
          <w:p>
            <w:pPr>
              <w:pStyle w:val="349"/>
              <w:spacing w:before="171"/>
              <w:ind w:right="132"/>
              <w:jc w:val="center"/>
              <w:rPr>
                <w:rFonts w:ascii="仿宋" w:hAnsi="仿宋" w:eastAsia="仿宋" w:cs="仿宋"/>
                <w:color w:val="auto"/>
                <w:sz w:val="24"/>
                <w:szCs w:val="24"/>
                <w:highlight w:val="none"/>
              </w:rPr>
            </w:pPr>
            <w:r>
              <w:rPr>
                <w:rFonts w:hint="eastAsia" w:ascii="仿宋" w:hAnsi="仿宋" w:eastAsia="仿宋" w:cs="仿宋"/>
                <w:color w:val="auto"/>
                <w:w w:val="90"/>
                <w:sz w:val="24"/>
                <w:szCs w:val="24"/>
                <w:highlight w:val="none"/>
              </w:rPr>
              <w:t>11</w:t>
            </w:r>
          </w:p>
        </w:tc>
        <w:tc>
          <w:tcPr>
            <w:tcW w:w="1194" w:type="pct"/>
            <w:tcBorders>
              <w:top w:val="single" w:color="000000" w:sz="6" w:space="0"/>
              <w:left w:val="single" w:color="000000" w:sz="6" w:space="0"/>
              <w:right w:val="single" w:color="000000" w:sz="6" w:space="0"/>
            </w:tcBorders>
            <w:vAlign w:val="center"/>
          </w:tcPr>
          <w:p>
            <w:pPr>
              <w:pStyle w:val="349"/>
              <w:spacing w:before="113"/>
              <w:ind w:right="197"/>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粉尘</w:t>
            </w:r>
          </w:p>
        </w:tc>
        <w:tc>
          <w:tcPr>
            <w:tcW w:w="1195" w:type="pct"/>
            <w:tcBorders>
              <w:top w:val="single" w:color="000000" w:sz="6" w:space="0"/>
              <w:left w:val="single" w:color="000000" w:sz="6" w:space="0"/>
              <w:right w:val="single" w:color="000000" w:sz="6" w:space="0"/>
            </w:tcBorders>
            <w:vAlign w:val="center"/>
          </w:tcPr>
          <w:p>
            <w:pPr>
              <w:pStyle w:val="349"/>
              <w:spacing w:before="116" w:line="230" w:lineRule="exact"/>
              <w:ind w:left="45"/>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0-60mg /m</w:t>
            </w:r>
            <w:r>
              <w:rPr>
                <w:rFonts w:hint="eastAsia" w:ascii="仿宋" w:hAnsi="仿宋" w:eastAsia="仿宋" w:cs="仿宋"/>
                <w:color w:val="auto"/>
                <w:position w:val="11"/>
                <w:sz w:val="24"/>
                <w:szCs w:val="24"/>
                <w:highlight w:val="none"/>
              </w:rPr>
              <w:t>3</w:t>
            </w:r>
          </w:p>
          <w:p>
            <w:pPr>
              <w:pStyle w:val="349"/>
              <w:spacing w:line="130" w:lineRule="exact"/>
              <w:ind w:right="456"/>
              <w:jc w:val="center"/>
              <w:rPr>
                <w:rFonts w:ascii="仿宋" w:hAnsi="仿宋" w:eastAsia="仿宋" w:cs="仿宋"/>
                <w:color w:val="auto"/>
                <w:sz w:val="24"/>
                <w:szCs w:val="24"/>
                <w:highlight w:val="none"/>
              </w:rPr>
            </w:pPr>
          </w:p>
        </w:tc>
        <w:tc>
          <w:tcPr>
            <w:tcW w:w="2046" w:type="pct"/>
            <w:tcBorders>
              <w:top w:val="single" w:color="000000" w:sz="6" w:space="0"/>
              <w:left w:val="single" w:color="000000" w:sz="6" w:space="0"/>
            </w:tcBorders>
            <w:vAlign w:val="center"/>
          </w:tcPr>
          <w:p>
            <w:pPr>
              <w:pStyle w:val="349"/>
              <w:ind w:left="172"/>
              <w:jc w:val="center"/>
              <w:rPr>
                <w:rFonts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可根据环保政策的要求进行修改</w:t>
            </w:r>
          </w:p>
        </w:tc>
      </w:tr>
    </w:tbl>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2.10 CEMS系统的建设</w:t>
      </w:r>
    </w:p>
    <w:p>
      <w:pPr>
        <w:snapToGrid w:val="0"/>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新装的CEMS设备，确保与原有的数采仪的建立通讯。新装的CEMS系统需利用原有的采样探头、反吹单元及数采仪单元。</w:t>
      </w:r>
    </w:p>
    <w:p>
      <w:pPr>
        <w:snapToGrid w:val="0"/>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投标方在新设备安装过程中，应尽量保留原设备的安装位置，尤其在采样平台的设备安装中，除必要的监测探头的拆除外，其他设备需保持原样。</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CEMS系统主要设备清单。</w:t>
      </w:r>
    </w:p>
    <w:tbl>
      <w:tblPr>
        <w:tblStyle w:val="49"/>
        <w:tblpPr w:leftFromText="180" w:rightFromText="180" w:vertAnchor="text" w:horzAnchor="page" w:tblpXSpec="center" w:tblpY="389"/>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726"/>
        <w:gridCol w:w="1682"/>
        <w:gridCol w:w="1247"/>
        <w:gridCol w:w="972"/>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pct"/>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441" w:type="pct"/>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设备（名称）</w:t>
            </w:r>
          </w:p>
        </w:tc>
        <w:tc>
          <w:tcPr>
            <w:tcW w:w="889" w:type="pct"/>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型号</w:t>
            </w:r>
          </w:p>
        </w:tc>
        <w:tc>
          <w:tcPr>
            <w:tcW w:w="659" w:type="pct"/>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品牌</w:t>
            </w:r>
          </w:p>
        </w:tc>
        <w:tc>
          <w:tcPr>
            <w:tcW w:w="514" w:type="pct"/>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011" w:type="pct"/>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484"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441"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多组份分析仪</w:t>
            </w:r>
          </w:p>
        </w:tc>
        <w:tc>
          <w:tcPr>
            <w:tcW w:w="889" w:type="pct"/>
            <w:vAlign w:val="center"/>
          </w:tcPr>
          <w:p>
            <w:pPr>
              <w:jc w:val="center"/>
              <w:rPr>
                <w:rFonts w:ascii="仿宋" w:hAnsi="仿宋" w:eastAsia="仿宋" w:cs="仿宋"/>
                <w:color w:val="auto"/>
                <w:highlight w:val="none"/>
              </w:rPr>
            </w:pPr>
            <w:r>
              <w:rPr>
                <w:rFonts w:hint="eastAsia" w:ascii="仿宋" w:hAnsi="仿宋" w:eastAsia="仿宋" w:cs="仿宋"/>
                <w:color w:val="auto"/>
                <w:sz w:val="24"/>
                <w:highlight w:val="none"/>
              </w:rPr>
              <w:t>-</w:t>
            </w:r>
          </w:p>
        </w:tc>
        <w:tc>
          <w:tcPr>
            <w:tcW w:w="659" w:type="pct"/>
            <w:vAlign w:val="center"/>
          </w:tcPr>
          <w:p>
            <w:pPr>
              <w:jc w:val="center"/>
              <w:rPr>
                <w:rFonts w:ascii="仿宋" w:hAnsi="仿宋" w:eastAsia="仿宋" w:cs="仿宋"/>
                <w:color w:val="auto"/>
                <w:highlight w:val="none"/>
              </w:rPr>
            </w:pPr>
            <w:r>
              <w:rPr>
                <w:rFonts w:hint="eastAsia" w:ascii="仿宋" w:hAnsi="仿宋" w:eastAsia="仿宋" w:cs="仿宋"/>
                <w:color w:val="auto"/>
                <w:sz w:val="24"/>
                <w:highlight w:val="none"/>
              </w:rPr>
              <w:t>-</w:t>
            </w:r>
          </w:p>
        </w:tc>
        <w:tc>
          <w:tcPr>
            <w:tcW w:w="514"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011"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180℃高温傅里叶红外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84"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441"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氧化锆氧分析仪</w:t>
            </w:r>
          </w:p>
        </w:tc>
        <w:tc>
          <w:tcPr>
            <w:tcW w:w="889"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659"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514"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011" w:type="pct"/>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84"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441"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抽取式粉尘仪</w:t>
            </w:r>
          </w:p>
        </w:tc>
        <w:tc>
          <w:tcPr>
            <w:tcW w:w="889"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659"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514"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011" w:type="pct"/>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84"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441"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烟气温、压、流系统</w:t>
            </w:r>
          </w:p>
        </w:tc>
        <w:tc>
          <w:tcPr>
            <w:tcW w:w="889"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APT200</w:t>
            </w:r>
          </w:p>
        </w:tc>
        <w:tc>
          <w:tcPr>
            <w:tcW w:w="659"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安荣信</w:t>
            </w:r>
          </w:p>
        </w:tc>
        <w:tc>
          <w:tcPr>
            <w:tcW w:w="514"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1套</w:t>
            </w:r>
          </w:p>
        </w:tc>
        <w:tc>
          <w:tcPr>
            <w:tcW w:w="1011"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84" w:type="pc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441"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数采仪</w:t>
            </w:r>
          </w:p>
        </w:tc>
        <w:tc>
          <w:tcPr>
            <w:tcW w:w="889"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XR6800</w:t>
            </w:r>
          </w:p>
        </w:tc>
        <w:tc>
          <w:tcPr>
            <w:tcW w:w="659"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环保成套</w:t>
            </w:r>
          </w:p>
        </w:tc>
        <w:tc>
          <w:tcPr>
            <w:tcW w:w="514"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1套</w:t>
            </w:r>
          </w:p>
        </w:tc>
        <w:tc>
          <w:tcPr>
            <w:tcW w:w="1011" w:type="pct"/>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利旧</w:t>
            </w:r>
          </w:p>
        </w:tc>
      </w:tr>
    </w:tbl>
    <w:p>
      <w:pPr>
        <w:spacing w:line="360" w:lineRule="auto"/>
        <w:rPr>
          <w:rFonts w:ascii="仿宋" w:hAnsi="仿宋" w:eastAsia="仿宋" w:cs="仿宋"/>
          <w:color w:val="auto"/>
          <w:sz w:val="24"/>
          <w:highlight w:val="none"/>
        </w:rPr>
      </w:pPr>
    </w:p>
    <w:p>
      <w:pPr>
        <w:pStyle w:val="31"/>
        <w:tabs>
          <w:tab w:val="center" w:pos="4320"/>
          <w:tab w:val="right" w:pos="8640"/>
          <w:tab w:val="clear" w:pos="4153"/>
          <w:tab w:val="clear" w:pos="8306"/>
        </w:tabs>
        <w:rPr>
          <w:rFonts w:ascii="仿宋" w:hAnsi="仿宋" w:eastAsia="仿宋" w:cs="仿宋"/>
          <w:color w:val="auto"/>
          <w:sz w:val="24"/>
          <w:highlight w:val="none"/>
        </w:rPr>
      </w:pPr>
      <w:r>
        <w:rPr>
          <w:rFonts w:hint="eastAsia" w:ascii="仿宋" w:hAnsi="仿宋" w:eastAsia="仿宋" w:cs="仿宋"/>
          <w:color w:val="auto"/>
          <w:sz w:val="24"/>
          <w:highlight w:val="none"/>
        </w:rPr>
        <w:t>2.11 特殊要求</w:t>
      </w:r>
    </w:p>
    <w:p>
      <w:pPr>
        <w:pStyle w:val="352"/>
        <w:numPr>
          <w:ilvl w:val="0"/>
          <w:numId w:val="14"/>
        </w:numPr>
        <w:ind w:firstLineChars="0"/>
        <w:jc w:val="both"/>
        <w:rPr>
          <w:rFonts w:ascii="仿宋" w:hAnsi="仿宋" w:eastAsia="仿宋" w:cs="仿宋"/>
          <w:color w:val="auto"/>
          <w:highlight w:val="none"/>
        </w:rPr>
      </w:pPr>
      <w:r>
        <w:rPr>
          <w:rFonts w:hint="eastAsia" w:ascii="仿宋" w:hAnsi="仿宋" w:eastAsia="仿宋" w:cs="仿宋"/>
          <w:color w:val="auto"/>
          <w:highlight w:val="none"/>
        </w:rPr>
        <w:t>采用抽取式高温型185~220℃在线分析仪，通过伴热管线将烟气直接送入高温型的分析仪中进行测量，要求采样管线从分析仪到探头为连续长度的全加热管线。加热的管线须具有自动温度控制功能。其实际温度值应能够在机柜或系统软件中显示查询。</w:t>
      </w:r>
      <w:bookmarkStart w:id="6" w:name="_Hlk500932104"/>
    </w:p>
    <w:p>
      <w:pPr>
        <w:pStyle w:val="352"/>
        <w:numPr>
          <w:ilvl w:val="0"/>
          <w:numId w:val="15"/>
        </w:numPr>
        <w:tabs>
          <w:tab w:val="left" w:pos="900"/>
        </w:tabs>
        <w:ind w:firstLineChars="0"/>
        <w:jc w:val="both"/>
        <w:rPr>
          <w:rFonts w:ascii="仿宋" w:hAnsi="仿宋" w:eastAsia="仿宋" w:cs="仿宋"/>
          <w:b/>
          <w:bCs/>
          <w:color w:val="auto"/>
          <w:highlight w:val="none"/>
        </w:rPr>
      </w:pPr>
      <w:r>
        <w:rPr>
          <w:rFonts w:hint="eastAsia" w:ascii="仿宋" w:hAnsi="仿宋" w:eastAsia="仿宋" w:cs="仿宋"/>
          <w:b/>
          <w:bCs/>
          <w:color w:val="auto"/>
          <w:highlight w:val="none"/>
        </w:rPr>
        <w:t>分析仪主机要求使用高温FTIR变换技术，主机原装</w:t>
      </w:r>
      <w:r>
        <w:rPr>
          <w:rFonts w:hint="eastAsia" w:ascii="仿宋" w:hAnsi="仿宋" w:eastAsia="仿宋" w:cs="仿宋"/>
          <w:b/>
          <w:bCs/>
          <w:color w:val="auto"/>
          <w:highlight w:val="none"/>
          <w:lang w:val="en-US" w:eastAsia="zh-CN"/>
        </w:rPr>
        <w:t>产品（</w:t>
      </w:r>
      <w:r>
        <w:rPr>
          <w:rFonts w:hint="eastAsia" w:ascii="仿宋" w:hAnsi="仿宋" w:eastAsia="仿宋" w:cs="仿宋"/>
          <w:color w:val="auto"/>
          <w:sz w:val="24"/>
          <w:highlight w:val="none"/>
          <w:lang w:val="en-US" w:eastAsia="zh-CN"/>
        </w:rPr>
        <w:t>采用</w:t>
      </w:r>
      <w:r>
        <w:rPr>
          <w:rFonts w:hint="eastAsia" w:ascii="仿宋" w:hAnsi="仿宋" w:eastAsia="仿宋" w:cs="仿宋"/>
          <w:color w:val="auto"/>
          <w:sz w:val="24"/>
          <w:highlight w:val="none"/>
          <w:lang w:eastAsia="zh-CN"/>
        </w:rPr>
        <w:t>知名品牌</w:t>
      </w:r>
      <w:r>
        <w:rPr>
          <w:rFonts w:hint="eastAsia" w:ascii="仿宋" w:hAnsi="仿宋" w:eastAsia="仿宋" w:cs="仿宋"/>
          <w:color w:val="auto"/>
          <w:sz w:val="24"/>
          <w:highlight w:val="none"/>
        </w:rPr>
        <w:t>为:德国SICK、ABB、GASMET或等于、优于上述知名公司的</w:t>
      </w:r>
      <w:r>
        <w:rPr>
          <w:rFonts w:hint="eastAsia" w:ascii="仿宋" w:hAnsi="仿宋" w:eastAsia="仿宋" w:cs="仿宋"/>
          <w:color w:val="auto"/>
          <w:sz w:val="24"/>
          <w:highlight w:val="none"/>
          <w:lang w:val="en-US" w:eastAsia="zh-CN"/>
        </w:rPr>
        <w:t>原装</w:t>
      </w:r>
      <w:r>
        <w:rPr>
          <w:rFonts w:hint="eastAsia" w:ascii="仿宋" w:hAnsi="仿宋" w:eastAsia="仿宋" w:cs="仿宋"/>
          <w:color w:val="auto"/>
          <w:sz w:val="24"/>
          <w:highlight w:val="none"/>
        </w:rPr>
        <w:t>产品</w:t>
      </w:r>
      <w:r>
        <w:rPr>
          <w:rFonts w:hint="eastAsia" w:ascii="仿宋" w:hAnsi="仿宋" w:eastAsia="仿宋" w:cs="仿宋"/>
          <w:color w:val="auto"/>
          <w:sz w:val="24"/>
          <w:highlight w:val="none"/>
          <w:lang w:eastAsia="zh-CN"/>
        </w:rPr>
        <w:t>）</w:t>
      </w:r>
      <w:r>
        <w:rPr>
          <w:rFonts w:hint="eastAsia" w:ascii="仿宋" w:hAnsi="仿宋" w:eastAsia="仿宋" w:cs="仿宋"/>
          <w:b/>
          <w:bCs/>
          <w:color w:val="auto"/>
          <w:highlight w:val="none"/>
        </w:rPr>
        <w:t>为保证足够的测量精度，要求光谱分辨率不高于1cm</w:t>
      </w:r>
      <w:r>
        <w:rPr>
          <w:rFonts w:hint="eastAsia" w:ascii="仿宋" w:hAnsi="仿宋" w:eastAsia="仿宋" w:cs="仿宋"/>
          <w:b/>
          <w:bCs/>
          <w:color w:val="auto"/>
          <w:highlight w:val="none"/>
          <w:vertAlign w:val="superscript"/>
        </w:rPr>
        <w:t>-1</w:t>
      </w:r>
      <w:r>
        <w:rPr>
          <w:rFonts w:hint="eastAsia" w:ascii="仿宋" w:hAnsi="仿宋" w:eastAsia="仿宋" w:cs="仿宋"/>
          <w:b/>
          <w:bCs/>
          <w:color w:val="auto"/>
          <w:highlight w:val="none"/>
        </w:rPr>
        <w:t>（需提供技术说明书等证明文件）</w:t>
      </w:r>
      <w:r>
        <w:rPr>
          <w:rFonts w:hint="eastAsia" w:ascii="仿宋" w:hAnsi="仿宋" w:eastAsia="仿宋" w:cs="仿宋"/>
          <w:b/>
          <w:bCs/>
          <w:color w:val="auto"/>
          <w:highlight w:val="none"/>
          <w:lang w:eastAsia="zh-CN"/>
        </w:rPr>
        <w:t>；</w:t>
      </w:r>
    </w:p>
    <w:bookmarkEnd w:id="6"/>
    <w:p>
      <w:pPr>
        <w:pStyle w:val="352"/>
        <w:numPr>
          <w:ilvl w:val="0"/>
          <w:numId w:val="14"/>
        </w:numPr>
        <w:ind w:firstLineChars="0"/>
        <w:jc w:val="both"/>
        <w:rPr>
          <w:rFonts w:ascii="仿宋" w:hAnsi="仿宋" w:eastAsia="仿宋" w:cs="仿宋"/>
          <w:color w:val="auto"/>
          <w:highlight w:val="none"/>
        </w:rPr>
      </w:pPr>
      <w:r>
        <w:rPr>
          <w:rFonts w:hint="eastAsia" w:ascii="仿宋" w:hAnsi="仿宋" w:eastAsia="仿宋" w:cs="仿宋"/>
          <w:color w:val="auto"/>
          <w:highlight w:val="none"/>
        </w:rPr>
        <w:t>样品采集装置的材质应选用耐高温、防腐蚀和不吸附、不与气态污染物发生反应的材质，应不影响待测污染物的正常测量。</w:t>
      </w:r>
    </w:p>
    <w:p>
      <w:pPr>
        <w:pStyle w:val="352"/>
        <w:numPr>
          <w:ilvl w:val="0"/>
          <w:numId w:val="14"/>
        </w:numPr>
        <w:ind w:firstLineChars="0"/>
        <w:jc w:val="both"/>
        <w:rPr>
          <w:rFonts w:ascii="仿宋" w:hAnsi="仿宋" w:eastAsia="仿宋" w:cs="仿宋"/>
          <w:color w:val="auto"/>
          <w:highlight w:val="none"/>
        </w:rPr>
      </w:pPr>
      <w:r>
        <w:rPr>
          <w:rFonts w:hint="eastAsia" w:ascii="仿宋" w:hAnsi="仿宋" w:eastAsia="仿宋" w:cs="仿宋"/>
          <w:color w:val="auto"/>
          <w:highlight w:val="none"/>
        </w:rPr>
        <w:t>采样装置应具备颗粒物过滤功能，其采样设备的前端或后端应具备便于更换或清洗的颗粒物过滤器，过滤器的材质应不吸附和不与气态污染物发生反应，过滤器应至少能过滤5~10μm粒径以上的颗粒物。</w:t>
      </w:r>
    </w:p>
    <w:p>
      <w:pPr>
        <w:pStyle w:val="352"/>
        <w:numPr>
          <w:ilvl w:val="0"/>
          <w:numId w:val="14"/>
        </w:numPr>
        <w:ind w:firstLineChars="0"/>
        <w:rPr>
          <w:rFonts w:ascii="仿宋" w:hAnsi="仿宋" w:eastAsia="仿宋" w:cs="仿宋"/>
          <w:color w:val="auto"/>
          <w:highlight w:val="none"/>
        </w:rPr>
      </w:pPr>
      <w:r>
        <w:rPr>
          <w:rFonts w:hint="eastAsia" w:ascii="仿宋" w:hAnsi="仿宋" w:eastAsia="仿宋" w:cs="仿宋"/>
          <w:color w:val="auto"/>
          <w:highlight w:val="none"/>
        </w:rPr>
        <w:t>样品传输管线内包裹的气体输送管应至少为三根，一根用于样品气体的采集传输，另一根用于标准气体的全系统校准，第三根用于备用；CEMS样品采集和传输装置应具备完成CEMS全系统校准的功能要求。</w:t>
      </w:r>
    </w:p>
    <w:p>
      <w:pPr>
        <w:pStyle w:val="352"/>
        <w:numPr>
          <w:ilvl w:val="0"/>
          <w:numId w:val="14"/>
        </w:numPr>
        <w:ind w:firstLineChars="0"/>
        <w:jc w:val="both"/>
        <w:rPr>
          <w:rFonts w:ascii="仿宋" w:hAnsi="仿宋" w:eastAsia="仿宋" w:cs="仿宋"/>
          <w:color w:val="auto"/>
          <w:highlight w:val="none"/>
        </w:rPr>
      </w:pPr>
      <w:r>
        <w:rPr>
          <w:rFonts w:hint="eastAsia" w:ascii="仿宋" w:hAnsi="仿宋" w:eastAsia="仿宋" w:cs="仿宋"/>
          <w:color w:val="auto"/>
          <w:highlight w:val="none"/>
        </w:rPr>
        <w:t>为保证整个系统的长期稳定运行，系统须采用无任何运动部件的射流取样技术。采样泵应具备克服烟道负压的足够抽气能力，并且保障采样流量准确可靠、相对稳定。</w:t>
      </w:r>
    </w:p>
    <w:p>
      <w:pPr>
        <w:pStyle w:val="352"/>
        <w:ind w:firstLineChars="0"/>
        <w:jc w:val="both"/>
        <w:rPr>
          <w:rFonts w:ascii="仿宋" w:hAnsi="仿宋" w:eastAsia="仿宋" w:cs="仿宋"/>
          <w:b/>
          <w:color w:val="auto"/>
          <w:highlight w:val="none"/>
        </w:rPr>
      </w:pPr>
      <w:r>
        <w:rPr>
          <w:rFonts w:hint="eastAsia" w:ascii="仿宋" w:hAnsi="仿宋" w:eastAsia="仿宋" w:cs="仿宋"/>
          <w:b/>
          <w:color w:val="auto"/>
          <w:highlight w:val="none"/>
        </w:rPr>
        <w:t>（2）预处理装置</w:t>
      </w:r>
    </w:p>
    <w:p>
      <w:pPr>
        <w:pStyle w:val="352"/>
        <w:numPr>
          <w:ilvl w:val="0"/>
          <w:numId w:val="14"/>
        </w:numPr>
        <w:ind w:firstLineChars="0"/>
        <w:jc w:val="both"/>
        <w:rPr>
          <w:rFonts w:ascii="仿宋" w:hAnsi="仿宋" w:eastAsia="仿宋" w:cs="仿宋"/>
          <w:color w:val="auto"/>
          <w:highlight w:val="none"/>
        </w:rPr>
      </w:pPr>
      <w:r>
        <w:rPr>
          <w:rFonts w:hint="eastAsia" w:ascii="仿宋" w:hAnsi="仿宋" w:eastAsia="仿宋" w:cs="仿宋"/>
          <w:color w:val="auto"/>
          <w:highlight w:val="none"/>
        </w:rPr>
        <w:t>预处理设备的材质应使用不吸附和不与气态污染物发生反应材料。</w:t>
      </w:r>
    </w:p>
    <w:p>
      <w:pPr>
        <w:pStyle w:val="352"/>
        <w:numPr>
          <w:ilvl w:val="0"/>
          <w:numId w:val="14"/>
        </w:numPr>
        <w:ind w:firstLineChars="0"/>
        <w:jc w:val="both"/>
        <w:rPr>
          <w:rFonts w:ascii="仿宋" w:hAnsi="仿宋" w:eastAsia="仿宋" w:cs="仿宋"/>
          <w:color w:val="auto"/>
          <w:highlight w:val="none"/>
        </w:rPr>
      </w:pPr>
      <w:r>
        <w:rPr>
          <w:rFonts w:hint="eastAsia" w:ascii="仿宋" w:hAnsi="仿宋" w:eastAsia="仿宋" w:cs="仿宋"/>
          <w:color w:val="auto"/>
          <w:highlight w:val="none"/>
        </w:rPr>
        <w:t>为防止颗粒物污染气态污染物分析仪，在气体样品进入分析仪之前，设置精细过滤器；过滤器滤料应使用不吸附和不与气态污染物发生反应的疏水材料，过滤器应至少能过滤0.5~2μm粒径以上的颗粒物。</w:t>
      </w:r>
    </w:p>
    <w:p>
      <w:pPr>
        <w:pStyle w:val="352"/>
        <w:spacing w:before="120"/>
        <w:ind w:left="480" w:firstLine="0" w:firstLineChars="0"/>
        <w:jc w:val="both"/>
        <w:rPr>
          <w:rFonts w:ascii="仿宋" w:hAnsi="仿宋" w:eastAsia="仿宋" w:cs="仿宋"/>
          <w:color w:val="auto"/>
          <w:highlight w:val="none"/>
        </w:rPr>
      </w:pPr>
      <w:r>
        <w:rPr>
          <w:rFonts w:hint="eastAsia" w:ascii="仿宋" w:hAnsi="仿宋" w:eastAsia="仿宋" w:cs="仿宋"/>
          <w:b/>
          <w:color w:val="auto"/>
          <w:highlight w:val="none"/>
        </w:rPr>
        <w:t>（3）</w:t>
      </w:r>
      <w:r>
        <w:rPr>
          <w:rFonts w:hint="eastAsia" w:ascii="仿宋" w:hAnsi="仿宋" w:eastAsia="仿宋" w:cs="仿宋"/>
          <w:color w:val="auto"/>
          <w:highlight w:val="none"/>
        </w:rPr>
        <w:t>系统可自动校准零点，校准零点用气，要求不能采用易泄露的高压气瓶气，应采用零气发生器产生的干燥空气校准零点，露点至少达到-40℃以下。</w:t>
      </w:r>
    </w:p>
    <w:p>
      <w:pPr>
        <w:pStyle w:val="352"/>
        <w:spacing w:before="120"/>
        <w:ind w:left="480" w:firstLine="0" w:firstLineChars="0"/>
        <w:jc w:val="both"/>
        <w:rPr>
          <w:rFonts w:ascii="仿宋" w:hAnsi="仿宋" w:eastAsia="仿宋" w:cs="仿宋"/>
          <w:color w:val="auto"/>
          <w:highlight w:val="none"/>
        </w:rPr>
      </w:pPr>
      <w:r>
        <w:rPr>
          <w:rFonts w:hint="eastAsia" w:ascii="仿宋" w:hAnsi="仿宋" w:eastAsia="仿宋" w:cs="仿宋"/>
          <w:b/>
          <w:color w:val="auto"/>
          <w:highlight w:val="none"/>
        </w:rPr>
        <w:t>（4）</w:t>
      </w:r>
      <w:r>
        <w:rPr>
          <w:rFonts w:hint="eastAsia" w:ascii="仿宋" w:hAnsi="仿宋" w:eastAsia="仿宋" w:cs="仿宋"/>
          <w:color w:val="auto"/>
          <w:highlight w:val="none"/>
        </w:rPr>
        <w:t>烟气检测系统装置分析出的测量值，每个测量值均能通过PLC接口硬接线传入DCS系统，同时所有数据通过数采仪以RS485通讯方式传输给DCS系统，并能接受DCS系统通讯给DAS系统的数据（炉温等），以方便上传给环保部门。烟气监测系统应有反应设备运行状态的开关量信号送入DCS系统。系统可接受开关量输入信号，可实现远程切换（（样气采样）切（零气采样）），以使工艺条件不佳时保护本系统。</w:t>
      </w:r>
    </w:p>
    <w:p>
      <w:pPr>
        <w:pStyle w:val="352"/>
        <w:spacing w:before="120"/>
        <w:ind w:left="480" w:firstLine="0" w:firstLineChars="0"/>
        <w:jc w:val="both"/>
        <w:rPr>
          <w:rFonts w:ascii="仿宋" w:hAnsi="仿宋" w:eastAsia="仿宋" w:cs="仿宋"/>
          <w:color w:val="auto"/>
          <w:highlight w:val="none"/>
        </w:rPr>
      </w:pPr>
      <w:r>
        <w:rPr>
          <w:rFonts w:hint="eastAsia" w:ascii="仿宋" w:hAnsi="仿宋" w:eastAsia="仿宋" w:cs="仿宋"/>
          <w:b/>
          <w:color w:val="auto"/>
          <w:highlight w:val="none"/>
        </w:rPr>
        <w:t>（5）</w:t>
      </w:r>
      <w:r>
        <w:rPr>
          <w:rFonts w:hint="eastAsia" w:ascii="仿宋" w:hAnsi="仿宋" w:eastAsia="仿宋" w:cs="仿宋"/>
          <w:color w:val="auto"/>
          <w:highlight w:val="none"/>
        </w:rPr>
        <w:t xml:space="preserve"> 各监测组份值的信号输出均应根据气室内温压等参数换算成压力为101325Pa、温度273.15K、氧含量为11%标准条件的干烟气值。乙方提供的数据采集和处理系统应完成各种排放量的计算、存储和传输。乙方完成在上位机和配合甲方DCS上的换算编程工作。与环保部门的数据接口通讯协议和数据处理符合环保部门提出的要求。</w:t>
      </w:r>
    </w:p>
    <w:p>
      <w:pPr>
        <w:pStyle w:val="352"/>
        <w:spacing w:before="120"/>
        <w:ind w:left="480" w:firstLine="0" w:firstLineChars="0"/>
        <w:jc w:val="both"/>
        <w:rPr>
          <w:rFonts w:ascii="仿宋" w:hAnsi="仿宋" w:eastAsia="仿宋" w:cs="仿宋"/>
          <w:color w:val="auto"/>
          <w:highlight w:val="none"/>
        </w:rPr>
      </w:pPr>
      <w:r>
        <w:rPr>
          <w:rFonts w:hint="eastAsia" w:ascii="仿宋" w:hAnsi="仿宋" w:eastAsia="仿宋" w:cs="仿宋"/>
          <w:b/>
          <w:color w:val="auto"/>
          <w:highlight w:val="none"/>
        </w:rPr>
        <w:t>（6）</w:t>
      </w:r>
      <w:r>
        <w:rPr>
          <w:rFonts w:hint="eastAsia" w:ascii="仿宋" w:hAnsi="仿宋" w:eastAsia="仿宋" w:cs="仿宋"/>
          <w:color w:val="auto"/>
          <w:highlight w:val="none"/>
        </w:rPr>
        <w:t>系统具有可靠的联锁保护。如烟气温度过高、过低、水分过多等，或者系统出现温度报警、压力报警等情况，不适宜采样时，自动切除采样状态，跳到压缩空气吹扫状态，保护分析仪不受到损害。同时系统应能送出相应的报警信号。</w:t>
      </w:r>
    </w:p>
    <w:p>
      <w:pPr>
        <w:spacing w:after="12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傅里叶高温型气体分析仪技术规格参数：</w:t>
      </w:r>
    </w:p>
    <w:p>
      <w:pPr>
        <w:pStyle w:val="31"/>
        <w:tabs>
          <w:tab w:val="center" w:pos="4320"/>
          <w:tab w:val="right" w:pos="8640"/>
          <w:tab w:val="clear" w:pos="4153"/>
          <w:tab w:val="clear" w:pos="8306"/>
        </w:tabs>
        <w:spacing w:line="360" w:lineRule="auto"/>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额定输入电源电压:100-240VAC</w:t>
      </w:r>
    </w:p>
    <w:p>
      <w:pPr>
        <w:pStyle w:val="31"/>
        <w:tabs>
          <w:tab w:val="center" w:pos="4320"/>
          <w:tab w:val="right" w:pos="8640"/>
          <w:tab w:val="clear" w:pos="4153"/>
          <w:tab w:val="clear" w:pos="8306"/>
        </w:tabs>
        <w:spacing w:line="360" w:lineRule="auto"/>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电源电压允许波动:10%</w:t>
      </w:r>
    </w:p>
    <w:p>
      <w:pPr>
        <w:pStyle w:val="31"/>
        <w:tabs>
          <w:tab w:val="center" w:pos="4320"/>
          <w:tab w:val="right" w:pos="8640"/>
          <w:tab w:val="clear" w:pos="4153"/>
          <w:tab w:val="clear" w:pos="8306"/>
        </w:tabs>
        <w:spacing w:line="360" w:lineRule="auto"/>
        <w:rPr>
          <w:rFonts w:ascii="仿宋" w:hAnsi="仿宋" w:eastAsia="仿宋" w:cs="仿宋"/>
          <w:color w:val="auto"/>
          <w:kern w:val="2"/>
          <w:sz w:val="24"/>
          <w:highlight w:val="none"/>
        </w:rPr>
      </w:pPr>
      <w:r>
        <w:rPr>
          <w:rFonts w:hint="eastAsia" w:ascii="仿宋" w:hAnsi="仿宋" w:eastAsia="仿宋" w:cs="仿宋"/>
          <w:color w:val="auto"/>
          <w:sz w:val="24"/>
          <w:highlight w:val="none"/>
        </w:rPr>
        <w:t>电源频率: 47-63HZ</w:t>
      </w:r>
    </w:p>
    <w:p>
      <w:pPr>
        <w:pStyle w:val="31"/>
        <w:tabs>
          <w:tab w:val="center" w:pos="4320"/>
          <w:tab w:val="right" w:pos="8640"/>
          <w:tab w:val="clear" w:pos="4153"/>
          <w:tab w:val="clear" w:pos="8306"/>
        </w:tabs>
        <w:spacing w:line="360" w:lineRule="auto"/>
        <w:rPr>
          <w:rFonts w:ascii="仿宋" w:hAnsi="仿宋" w:eastAsia="仿宋" w:cs="仿宋"/>
          <w:color w:val="auto"/>
          <w:kern w:val="2"/>
          <w:sz w:val="24"/>
          <w:highlight w:val="none"/>
        </w:rPr>
      </w:pPr>
      <w:r>
        <w:rPr>
          <w:rFonts w:hint="eastAsia" w:ascii="仿宋" w:hAnsi="仿宋" w:eastAsia="仿宋" w:cs="仿宋"/>
          <w:color w:val="auto"/>
          <w:sz w:val="24"/>
          <w:highlight w:val="none"/>
        </w:rPr>
        <w:t>额定功耗: 120VA</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熔断器类型: T2A/250V（5-20mm）</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气室额定输入电源电压: 100-240VAC</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气室额定功耗: 不大于400W（max）</w:t>
      </w:r>
    </w:p>
    <w:p>
      <w:pPr>
        <w:pStyle w:val="31"/>
        <w:tabs>
          <w:tab w:val="center" w:pos="4320"/>
          <w:tab w:val="right" w:pos="8640"/>
          <w:tab w:val="clear" w:pos="4153"/>
          <w:tab w:val="clear" w:pos="8306"/>
        </w:tabs>
        <w:spacing w:line="360" w:lineRule="auto"/>
        <w:rPr>
          <w:rFonts w:ascii="仿宋" w:hAnsi="仿宋" w:eastAsia="仿宋" w:cs="仿宋"/>
          <w:color w:val="auto"/>
          <w:kern w:val="2"/>
          <w:sz w:val="24"/>
          <w:highlight w:val="none"/>
        </w:rPr>
      </w:pPr>
      <w:r>
        <w:rPr>
          <w:rFonts w:hint="eastAsia" w:ascii="仿宋" w:hAnsi="仿宋" w:eastAsia="仿宋" w:cs="仿宋"/>
          <w:color w:val="auto"/>
          <w:sz w:val="24"/>
          <w:highlight w:val="none"/>
        </w:rPr>
        <w:t>使用环境温度要求: 5℃-40℃</w:t>
      </w:r>
    </w:p>
    <w:p>
      <w:pPr>
        <w:pStyle w:val="31"/>
        <w:tabs>
          <w:tab w:val="center" w:pos="4320"/>
          <w:tab w:val="right" w:pos="8640"/>
          <w:tab w:val="clear" w:pos="4153"/>
          <w:tab w:val="clear" w:pos="8306"/>
        </w:tabs>
        <w:spacing w:line="360" w:lineRule="auto"/>
        <w:rPr>
          <w:rFonts w:ascii="仿宋" w:hAnsi="仿宋" w:eastAsia="仿宋" w:cs="仿宋"/>
          <w:color w:val="auto"/>
          <w:kern w:val="2"/>
          <w:sz w:val="24"/>
          <w:highlight w:val="none"/>
        </w:rPr>
      </w:pPr>
      <w:r>
        <w:rPr>
          <w:rFonts w:hint="eastAsia" w:ascii="仿宋" w:hAnsi="仿宋" w:eastAsia="仿宋" w:cs="仿宋"/>
          <w:color w:val="auto"/>
          <w:sz w:val="24"/>
          <w:highlight w:val="none"/>
        </w:rPr>
        <w:t>储存环境温度要求: -25℃-65℃</w:t>
      </w:r>
    </w:p>
    <w:p>
      <w:pPr>
        <w:pStyle w:val="31"/>
        <w:tabs>
          <w:tab w:val="center" w:pos="4320"/>
          <w:tab w:val="right" w:pos="8640"/>
          <w:tab w:val="clear" w:pos="4153"/>
          <w:tab w:val="clear" w:pos="8306"/>
        </w:tabs>
        <w:spacing w:line="360" w:lineRule="auto"/>
        <w:rPr>
          <w:rFonts w:ascii="仿宋" w:hAnsi="仿宋" w:eastAsia="仿宋" w:cs="仿宋"/>
          <w:color w:val="auto"/>
          <w:kern w:val="2"/>
          <w:sz w:val="24"/>
          <w:highlight w:val="none"/>
        </w:rPr>
      </w:pPr>
      <w:r>
        <w:rPr>
          <w:rFonts w:hint="eastAsia" w:ascii="仿宋" w:hAnsi="仿宋" w:eastAsia="仿宋" w:cs="仿宋"/>
          <w:color w:val="auto"/>
          <w:sz w:val="24"/>
          <w:highlight w:val="none"/>
        </w:rPr>
        <w:t>相对湿度: 0-95%</w:t>
      </w:r>
    </w:p>
    <w:p>
      <w:pPr>
        <w:pStyle w:val="31"/>
        <w:tabs>
          <w:tab w:val="center" w:pos="4320"/>
          <w:tab w:val="right" w:pos="8640"/>
          <w:tab w:val="clear" w:pos="4153"/>
          <w:tab w:val="clear" w:pos="8306"/>
        </w:tabs>
        <w:spacing w:line="360" w:lineRule="auto"/>
        <w:rPr>
          <w:rFonts w:ascii="仿宋" w:hAnsi="仿宋" w:eastAsia="仿宋" w:cs="仿宋"/>
          <w:color w:val="auto"/>
          <w:kern w:val="2"/>
          <w:sz w:val="24"/>
          <w:highlight w:val="none"/>
        </w:rPr>
      </w:pPr>
      <w:r>
        <w:rPr>
          <w:rFonts w:hint="eastAsia" w:ascii="仿宋" w:hAnsi="仿宋" w:eastAsia="仿宋" w:cs="仿宋"/>
          <w:color w:val="auto"/>
          <w:sz w:val="24"/>
          <w:highlight w:val="none"/>
        </w:rPr>
        <w:t>海拔要求: ≤2000m（6560ft）</w:t>
      </w:r>
    </w:p>
    <w:p>
      <w:pPr>
        <w:pStyle w:val="31"/>
        <w:tabs>
          <w:tab w:val="center" w:pos="4320"/>
          <w:tab w:val="right" w:pos="8640"/>
          <w:tab w:val="clear" w:pos="4153"/>
          <w:tab w:val="clear" w:pos="8306"/>
        </w:tabs>
        <w:rPr>
          <w:rFonts w:ascii="仿宋" w:hAnsi="仿宋" w:eastAsia="仿宋" w:cs="仿宋"/>
          <w:color w:val="auto"/>
          <w:sz w:val="24"/>
          <w:highlight w:val="none"/>
        </w:rPr>
      </w:pPr>
    </w:p>
    <w:p>
      <w:pPr>
        <w:spacing w:after="12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常规检测参数的量程：</w:t>
      </w:r>
    </w:p>
    <w:tbl>
      <w:tblPr>
        <w:tblStyle w:val="48"/>
        <w:tblW w:w="43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2"/>
        <w:gridCol w:w="2423"/>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shd w:val="clear" w:color="auto" w:fill="FFFFFF" w:themeFill="background1"/>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组份</w:t>
            </w:r>
          </w:p>
        </w:tc>
        <w:tc>
          <w:tcPr>
            <w:tcW w:w="2183" w:type="dxa"/>
            <w:shd w:val="clear" w:color="auto" w:fill="FFFFFF" w:themeFill="background1"/>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最小量程（mg/m3）</w:t>
            </w:r>
          </w:p>
        </w:tc>
        <w:tc>
          <w:tcPr>
            <w:tcW w:w="3458" w:type="dxa"/>
            <w:shd w:val="clear" w:color="auto" w:fill="FFFFFF" w:themeFill="background1"/>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最大量程（mg/m3）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NH3</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SO</w:t>
            </w:r>
            <w:r>
              <w:rPr>
                <w:rFonts w:hint="eastAsia" w:ascii="仿宋" w:hAnsi="仿宋" w:eastAsia="仿宋" w:cs="仿宋"/>
                <w:color w:val="auto"/>
                <w:sz w:val="24"/>
                <w:szCs w:val="24"/>
                <w:highlight w:val="none"/>
                <w:vertAlign w:val="subscript"/>
              </w:rPr>
              <w:t>2</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75</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NO</w:t>
            </w:r>
            <w:r>
              <w:rPr>
                <w:rFonts w:hint="eastAsia" w:ascii="仿宋" w:hAnsi="仿宋" w:eastAsia="仿宋" w:cs="仿宋"/>
                <w:color w:val="auto"/>
                <w:sz w:val="24"/>
                <w:szCs w:val="24"/>
                <w:highlight w:val="none"/>
                <w:vertAlign w:val="subscript"/>
              </w:rPr>
              <w:t>2</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NO</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CO</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75</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O</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HF</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HCL</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8"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CH4</w:t>
            </w:r>
          </w:p>
        </w:tc>
        <w:tc>
          <w:tcPr>
            <w:tcW w:w="2183"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7.5</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7"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O</w:t>
            </w:r>
          </w:p>
        </w:tc>
        <w:tc>
          <w:tcPr>
            <w:tcW w:w="2194"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7"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CO</w:t>
            </w:r>
            <w:r>
              <w:rPr>
                <w:rFonts w:hint="eastAsia" w:ascii="仿宋" w:hAnsi="仿宋" w:eastAsia="仿宋" w:cs="仿宋"/>
                <w:color w:val="auto"/>
                <w:sz w:val="24"/>
                <w:szCs w:val="24"/>
                <w:highlight w:val="none"/>
                <w:vertAlign w:val="subscript"/>
              </w:rPr>
              <w:t>2</w:t>
            </w:r>
          </w:p>
        </w:tc>
        <w:tc>
          <w:tcPr>
            <w:tcW w:w="2194" w:type="dxa"/>
            <w:gridSpan w:val="2"/>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3458" w:type="dxa"/>
            <w:vAlign w:val="center"/>
          </w:tcPr>
          <w:p>
            <w:pPr>
              <w:pStyle w:val="35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r>
    </w:tbl>
    <w:p>
      <w:pPr>
        <w:spacing w:after="120"/>
        <w:rPr>
          <w:rFonts w:ascii="仿宋" w:hAnsi="仿宋" w:eastAsia="仿宋" w:cs="仿宋"/>
          <w:color w:val="auto"/>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抽取式粉尘仪</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系统特点：</w:t>
      </w:r>
    </w:p>
    <w:p>
      <w:pPr>
        <w:numPr>
          <w:ilvl w:val="0"/>
          <w:numId w:val="16"/>
        </w:numPr>
        <w:tabs>
          <w:tab w:val="left" w:pos="0"/>
          <w:tab w:val="clear" w:pos="1500"/>
        </w:tabs>
        <w:spacing w:line="360" w:lineRule="auto"/>
        <w:ind w:left="0"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基于烟尘颗粒物的前向散射原理具有极其高的灵敏度及分辨力，可在线连续测量超低浓度的烟尘颗粒物排放； </w:t>
      </w:r>
    </w:p>
    <w:p>
      <w:pPr>
        <w:numPr>
          <w:ilvl w:val="0"/>
          <w:numId w:val="16"/>
        </w:numPr>
        <w:tabs>
          <w:tab w:val="left" w:pos="0"/>
          <w:tab w:val="clear" w:pos="1500"/>
        </w:tabs>
        <w:spacing w:line="360" w:lineRule="auto"/>
        <w:ind w:left="0"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采用自适应动分档的方法，也可以测量较高颗粒物浓度的现场测量，具有极其宽的动态范围；</w:t>
      </w:r>
    </w:p>
    <w:p>
      <w:pPr>
        <w:numPr>
          <w:ilvl w:val="0"/>
          <w:numId w:val="16"/>
        </w:numPr>
        <w:tabs>
          <w:tab w:val="left" w:pos="0"/>
          <w:tab w:val="clear" w:pos="1500"/>
        </w:tabs>
        <w:spacing w:line="360" w:lineRule="auto"/>
        <w:ind w:left="0"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具有的抽取加热回送方式的烟气取样设计，可以用于被测气体含有极高水雾的场合。</w:t>
      </w:r>
    </w:p>
    <w:p>
      <w:pPr>
        <w:tabs>
          <w:tab w:val="left" w:pos="0"/>
        </w:tabs>
        <w:spacing w:line="360" w:lineRule="auto"/>
        <w:rPr>
          <w:rFonts w:ascii="仿宋" w:hAnsi="仿宋" w:eastAsia="仿宋" w:cs="仿宋"/>
          <w:b/>
          <w:color w:val="auto"/>
          <w:sz w:val="24"/>
          <w:highlight w:val="none"/>
        </w:rPr>
      </w:pPr>
      <w:bookmarkStart w:id="7" w:name="_TOC_250023"/>
      <w:bookmarkEnd w:id="7"/>
      <w:r>
        <w:rPr>
          <w:rFonts w:hint="eastAsia" w:ascii="仿宋" w:hAnsi="仿宋" w:eastAsia="仿宋" w:cs="仿宋"/>
          <w:b/>
          <w:color w:val="auto"/>
          <w:sz w:val="24"/>
          <w:highlight w:val="none"/>
        </w:rPr>
        <w:t>技术参数：</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工作原理：激光前向散射</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测量范围：最小（0～5) (mg／m3）、 最大（0～200) (mg/m3 )</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零点及量程漂移：≤±1.0%F.S./周</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分辨能力：不高于0.005mg/m3</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模拟输出：4-20(mA) （最大输出负载500)</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数字输出：RS485（支持Modbus协议）</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烟道直径：（0.3-20）米</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烟气流速：（0-30)m/s</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反吹设置：自动（反吹时间间隔自行设置）</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采样方法：抽取式</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被测介质条件：10℃～300℃</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防护等级：系统IP65</w:t>
      </w:r>
    </w:p>
    <w:p>
      <w:pPr>
        <w:pStyle w:val="31"/>
        <w:tabs>
          <w:tab w:val="center" w:pos="4320"/>
          <w:tab w:val="right" w:pos="8640"/>
          <w:tab w:val="clear" w:pos="4153"/>
          <w:tab w:val="clear" w:pos="8306"/>
        </w:tabs>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电源：220±10%(VAC）、500W</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系统原理及构成：</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由四大部分组成，即采样及回送单元、等速跟踪及控制单元、加热及温度控制单元、测量及信号处理单元。</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采样及回送单元完成被测气体采样及回送过程；等速跟踪及控制单元完成烟气的流速和取样流量的测量，同时控制喷射泵的抽力改变采样流量，从而达到跟踪采样的目的；测量及信号处理单元由激光器、测量腔体、光电转换器、反吹及气幕装置、校准装置组成，通过测量颗粒物的前向散射光，将颗粒物的浓度转化成电信号，再经过调理转换后输出。 </w:t>
      </w:r>
    </w:p>
    <w:p>
      <w:pPr>
        <w:pStyle w:val="354"/>
        <w:numPr>
          <w:ilvl w:val="255"/>
          <w:numId w:val="0"/>
        </w:numPr>
        <w:jc w:val="both"/>
        <w:rPr>
          <w:rFonts w:ascii="仿宋" w:hAnsi="仿宋" w:eastAsia="仿宋" w:cs="仿宋"/>
          <w:b/>
          <w:color w:val="auto"/>
          <w:highlight w:val="none"/>
        </w:rPr>
      </w:pPr>
      <w:r>
        <w:rPr>
          <w:rFonts w:hint="eastAsia" w:ascii="仿宋" w:hAnsi="仿宋" w:eastAsia="仿宋" w:cs="仿宋"/>
          <w:b/>
          <w:color w:val="auto"/>
          <w:highlight w:val="none"/>
        </w:rPr>
        <w:t>2.12其他要求</w:t>
      </w:r>
    </w:p>
    <w:p>
      <w:pPr>
        <w:pStyle w:val="352"/>
        <w:spacing w:before="120"/>
        <w:jc w:val="both"/>
        <w:rPr>
          <w:rFonts w:ascii="仿宋" w:hAnsi="仿宋" w:eastAsia="仿宋" w:cs="仿宋"/>
          <w:color w:val="auto"/>
          <w:highlight w:val="none"/>
        </w:rPr>
      </w:pPr>
      <w:r>
        <w:rPr>
          <w:rFonts w:hint="eastAsia" w:ascii="仿宋" w:hAnsi="仿宋" w:eastAsia="仿宋" w:cs="仿宋"/>
          <w:color w:val="auto"/>
          <w:highlight w:val="none"/>
        </w:rPr>
        <w:t>（1）乙方提供的设备应能在甲方的工作环境下对要求测量的参数实现稳定的在线监测。</w:t>
      </w:r>
    </w:p>
    <w:p>
      <w:pPr>
        <w:pStyle w:val="352"/>
        <w:jc w:val="both"/>
        <w:rPr>
          <w:rFonts w:ascii="仿宋" w:hAnsi="仿宋" w:eastAsia="仿宋" w:cs="仿宋"/>
          <w:color w:val="auto"/>
          <w:highlight w:val="none"/>
        </w:rPr>
      </w:pPr>
      <w:r>
        <w:rPr>
          <w:rFonts w:hint="eastAsia" w:ascii="仿宋" w:hAnsi="仿宋" w:eastAsia="仿宋" w:cs="仿宋"/>
          <w:color w:val="auto"/>
          <w:highlight w:val="none"/>
        </w:rPr>
        <w:t>（2）所有设备外壳或外罩均具有耐防腐，密封性好。能有效防尘，防雨；</w:t>
      </w:r>
    </w:p>
    <w:p>
      <w:pPr>
        <w:pStyle w:val="352"/>
        <w:jc w:val="both"/>
        <w:rPr>
          <w:rFonts w:ascii="仿宋" w:hAnsi="仿宋" w:eastAsia="仿宋" w:cs="仿宋"/>
          <w:color w:val="auto"/>
          <w:highlight w:val="none"/>
        </w:rPr>
      </w:pPr>
      <w:r>
        <w:rPr>
          <w:rFonts w:hint="eastAsia" w:ascii="仿宋" w:hAnsi="仿宋" w:eastAsia="仿宋" w:cs="仿宋"/>
          <w:color w:val="auto"/>
          <w:highlight w:val="none"/>
        </w:rPr>
        <w:t>（3）各仪器及主机柜均设有漏电保护装置，防止人身触电；</w:t>
      </w:r>
    </w:p>
    <w:p>
      <w:pPr>
        <w:pStyle w:val="352"/>
        <w:jc w:val="both"/>
        <w:rPr>
          <w:rFonts w:ascii="仿宋" w:hAnsi="仿宋" w:eastAsia="仿宋" w:cs="仿宋"/>
          <w:color w:val="auto"/>
          <w:highlight w:val="none"/>
        </w:rPr>
      </w:pPr>
      <w:r>
        <w:rPr>
          <w:rFonts w:hint="eastAsia" w:ascii="仿宋" w:hAnsi="仿宋" w:eastAsia="仿宋" w:cs="仿宋"/>
          <w:color w:val="auto"/>
          <w:highlight w:val="none"/>
        </w:rPr>
        <w:t>（4）具有防雷击措施；</w:t>
      </w:r>
    </w:p>
    <w:p>
      <w:pPr>
        <w:pStyle w:val="352"/>
        <w:jc w:val="both"/>
        <w:rPr>
          <w:rFonts w:ascii="仿宋" w:hAnsi="仿宋" w:eastAsia="仿宋" w:cs="仿宋"/>
          <w:color w:val="auto"/>
          <w:highlight w:val="none"/>
        </w:rPr>
      </w:pPr>
      <w:r>
        <w:rPr>
          <w:rFonts w:hint="eastAsia" w:ascii="仿宋" w:hAnsi="仿宋" w:eastAsia="仿宋" w:cs="仿宋"/>
          <w:color w:val="auto"/>
          <w:highlight w:val="none"/>
        </w:rPr>
        <w:t>（5）烟气在线监测系统配置必要的空气吹扫系统，防止光学镜头、采样探头被污染；空气吹扫系统的气源为仪用空气；系统分析能用手动和自动方法进行校准。为保证仪用空气的清洁, 烟气在线监测系统需配备原</w:t>
      </w:r>
      <w:r>
        <w:rPr>
          <w:rFonts w:hint="eastAsia" w:ascii="仿宋" w:hAnsi="仿宋" w:eastAsia="仿宋" w:cs="仿宋"/>
          <w:color w:val="auto"/>
          <w:highlight w:val="none"/>
          <w:lang w:val="en-US" w:eastAsia="zh-CN"/>
        </w:rPr>
        <w:t>知名品牌</w:t>
      </w:r>
      <w:r>
        <w:rPr>
          <w:rFonts w:hint="eastAsia" w:ascii="仿宋" w:hAnsi="仿宋" w:eastAsia="仿宋" w:cs="仿宋"/>
          <w:color w:val="auto"/>
          <w:highlight w:val="none"/>
        </w:rPr>
        <w:t>空气净化器。</w:t>
      </w:r>
    </w:p>
    <w:p>
      <w:pPr>
        <w:pStyle w:val="352"/>
        <w:jc w:val="both"/>
        <w:rPr>
          <w:rFonts w:ascii="仿宋" w:hAnsi="仿宋" w:eastAsia="仿宋" w:cs="仿宋"/>
          <w:color w:val="auto"/>
          <w:highlight w:val="none"/>
        </w:rPr>
      </w:pPr>
      <w:r>
        <w:rPr>
          <w:rFonts w:hint="eastAsia" w:ascii="仿宋" w:hAnsi="仿宋" w:eastAsia="仿宋" w:cs="仿宋"/>
          <w:color w:val="auto"/>
          <w:highlight w:val="none"/>
        </w:rPr>
        <w:t>（6）系统运行第一年的数据采集率应不低于100%，以后每年不低于95%，年运行小时数不得低于8000小时。</w:t>
      </w:r>
    </w:p>
    <w:p>
      <w:pPr>
        <w:pStyle w:val="3"/>
        <w:numPr>
          <w:ilvl w:val="0"/>
          <w:numId w:val="0"/>
        </w:numPr>
        <w:spacing w:before="156"/>
        <w:rPr>
          <w:rFonts w:ascii="仿宋" w:hAnsi="仿宋" w:eastAsia="仿宋" w:cs="仿宋"/>
          <w:b/>
          <w:bCs/>
          <w:color w:val="auto"/>
          <w:sz w:val="30"/>
          <w:szCs w:val="30"/>
          <w:highlight w:val="none"/>
        </w:rPr>
      </w:pPr>
      <w:bookmarkStart w:id="8" w:name="_Toc132192145"/>
      <w:r>
        <w:rPr>
          <w:rFonts w:hint="eastAsia" w:ascii="仿宋" w:hAnsi="仿宋" w:eastAsia="仿宋" w:cs="仿宋"/>
          <w:b/>
          <w:bCs/>
          <w:color w:val="auto"/>
          <w:sz w:val="30"/>
          <w:szCs w:val="30"/>
          <w:highlight w:val="none"/>
        </w:rPr>
        <w:t>3、供货范围（含辅材及安装服务）</w:t>
      </w:r>
      <w:bookmarkEnd w:id="8"/>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3.1 </w:t>
      </w:r>
      <w:r>
        <w:rPr>
          <w:rFonts w:hint="eastAsia" w:ascii="仿宋" w:hAnsi="仿宋" w:eastAsia="仿宋" w:cs="仿宋"/>
          <w:color w:val="auto"/>
          <w:sz w:val="24"/>
          <w:highlight w:val="none"/>
        </w:rPr>
        <w:t xml:space="preserve"> 本项目采购1套傅里叶变换红外烟气在线监测系统设备、安装、调试、备案及验收服务。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3.2  系统必</w:t>
      </w:r>
      <w:r>
        <w:rPr>
          <w:rFonts w:hint="eastAsia" w:ascii="仿宋" w:hAnsi="仿宋" w:eastAsia="仿宋" w:cs="仿宋"/>
          <w:color w:val="auto"/>
          <w:sz w:val="24"/>
          <w:highlight w:val="none"/>
        </w:rPr>
        <w:t xml:space="preserve">须的机柜、辅助设备（包括：仪表气的净化装置设备、取样管线加热设备、管线等）及通讯软件；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3.3  标气按国家最新环保要求：配齐所有高中低浓度的标气，能使用一直到该 CEMS 设备验收结束。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3.4安装所需零部件，以及运行操作及维护所需的工具，包括安装所需的电缆等材料（含桥架）；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3.5  设备验收后，运行1年所需的易损件和备品备件；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3.6  除招标方注明不属于本次招标范围外，其他所有对于属于整套系统的完整性而需要的安装材料及部件，即使本条款中未列出或数量不足，投标方仍有责任给予补充和完善。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3.7 现场已有取样孔，投标方根据规范对取样孔进行检查核实，如有需要，负责开孔和改造取样孔。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3.8 投标方负责所供烟气在线监测系统设备最终必须通过环保验收工作，招标方提供相关的技术资料和协助工作。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3.9投标方负责本次招标 CEMS 系统的备案及环保验收，环保验收费用报价单列，包含在总报价里面。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3.10 供货清单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供货清单包含烟气在线监测装置1套，质保期内备品备件、标准气体及维修专用工具（包含但不限于）。 </w:t>
      </w:r>
    </w:p>
    <w:p>
      <w:pPr>
        <w:pStyle w:val="31"/>
        <w:tabs>
          <w:tab w:val="center" w:pos="4320"/>
          <w:tab w:val="right" w:pos="8640"/>
          <w:tab w:val="clear" w:pos="4153"/>
          <w:tab w:val="clear" w:pos="8306"/>
        </w:tabs>
        <w:rPr>
          <w:rFonts w:ascii="仿宋" w:hAnsi="仿宋" w:eastAsia="仿宋" w:cs="仿宋"/>
          <w:color w:val="auto"/>
          <w:highlight w:val="none"/>
        </w:rPr>
      </w:pPr>
    </w:p>
    <w:p>
      <w:pPr>
        <w:pStyle w:val="31"/>
        <w:tabs>
          <w:tab w:val="center" w:pos="4320"/>
          <w:tab w:val="right" w:pos="8640"/>
          <w:tab w:val="clear" w:pos="4153"/>
          <w:tab w:val="clear" w:pos="8306"/>
        </w:tabs>
        <w:rPr>
          <w:rFonts w:ascii="仿宋" w:hAnsi="仿宋" w:eastAsia="仿宋" w:cs="仿宋"/>
          <w:color w:val="auto"/>
          <w:highlight w:val="none"/>
        </w:rPr>
      </w:pPr>
    </w:p>
    <w:p>
      <w:pPr>
        <w:pStyle w:val="31"/>
        <w:tabs>
          <w:tab w:val="center" w:pos="4320"/>
          <w:tab w:val="right" w:pos="8640"/>
          <w:tab w:val="clear" w:pos="4153"/>
          <w:tab w:val="clear" w:pos="8306"/>
        </w:tabs>
        <w:rPr>
          <w:rFonts w:ascii="仿宋" w:hAnsi="仿宋" w:eastAsia="仿宋" w:cs="仿宋"/>
          <w:color w:val="auto"/>
          <w:highlight w:val="none"/>
        </w:rPr>
      </w:pPr>
    </w:p>
    <w:tbl>
      <w:tblPr>
        <w:tblStyle w:val="48"/>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
        <w:gridCol w:w="3381"/>
        <w:gridCol w:w="1698"/>
        <w:gridCol w:w="964"/>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918" w:type="dxa"/>
            <w:vAlign w:val="center"/>
          </w:tcPr>
          <w:p>
            <w:pPr>
              <w:ind w:firstLine="241" w:firstLineChars="100"/>
              <w:rPr>
                <w:rFonts w:ascii="仿宋" w:hAnsi="仿宋" w:eastAsia="仿宋" w:cs="仿宋"/>
                <w:color w:val="auto"/>
                <w:sz w:val="24"/>
                <w:highlight w:val="none"/>
              </w:rPr>
            </w:pPr>
            <w:r>
              <w:rPr>
                <w:rFonts w:hint="eastAsia" w:ascii="仿宋" w:hAnsi="仿宋" w:eastAsia="仿宋" w:cs="仿宋"/>
                <w:b/>
                <w:bCs/>
                <w:color w:val="auto"/>
                <w:sz w:val="24"/>
                <w:highlight w:val="none"/>
              </w:rPr>
              <w:t>序号</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设备（部件）名称</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型号和规格</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数量</w:t>
            </w:r>
          </w:p>
        </w:tc>
        <w:tc>
          <w:tcPr>
            <w:tcW w:w="1470"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高温预处理系统</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傅里叶高温型气体分析仪</w:t>
            </w:r>
          </w:p>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（HCl、HF、CO、CO2、SO2、H2O、 NOx，NO、NO2、N2O、</w:t>
            </w:r>
          </w:p>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NH3）</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傅里叶变换红外分析法FTIR</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高温预处理系统</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系统通讯接口及协议</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满足现场数据传输要求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伴热取样管线</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三根伴热管芯</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以现场勘测为准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机柜</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2000×800×</w:t>
            </w:r>
          </w:p>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600</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标准机柜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PLC 控制系统</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满足使用要求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FTIR 傅里叶红外吹扫气发生器</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氧化锆分析仪</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0-25%</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抽取式粉尘仪</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0-60mg /m3</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系统组态监控通讯软件</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防雷模块</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标准气体</w:t>
            </w:r>
          </w:p>
        </w:tc>
        <w:tc>
          <w:tcPr>
            <w:tcW w:w="1698" w:type="dxa"/>
            <w:vAlign w:val="center"/>
          </w:tcPr>
          <w:p>
            <w:pPr>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设备安装、调试及72h测试所需的高、中、低浓度标气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ind w:firstLine="241" w:firstLineChars="100"/>
              <w:rPr>
                <w:rFonts w:ascii="仿宋" w:hAnsi="仿宋" w:eastAsia="仿宋" w:cs="仿宋"/>
                <w:color w:val="auto"/>
                <w:sz w:val="24"/>
                <w:highlight w:val="none"/>
              </w:rPr>
            </w:pPr>
            <w:r>
              <w:rPr>
                <w:rFonts w:hint="eastAsia" w:ascii="仿宋" w:hAnsi="仿宋" w:eastAsia="仿宋" w:cs="仿宋"/>
                <w:b/>
                <w:bCs/>
                <w:color w:val="auto"/>
                <w:sz w:val="24"/>
                <w:highlight w:val="none"/>
              </w:rPr>
              <w:t>序号</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设备（部件）名称</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型号和规格</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数量</w:t>
            </w:r>
          </w:p>
        </w:tc>
        <w:tc>
          <w:tcPr>
            <w:tcW w:w="1470"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安装材料（含配对法兰、管材、接口管件及电缆）</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338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环保验收（含验收比对检测等）</w:t>
            </w:r>
          </w:p>
        </w:tc>
        <w:tc>
          <w:tcPr>
            <w:tcW w:w="169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6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1套</w:t>
            </w:r>
          </w:p>
        </w:tc>
        <w:tc>
          <w:tcPr>
            <w:tcW w:w="1470"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8"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16</w:t>
            </w:r>
          </w:p>
        </w:tc>
        <w:tc>
          <w:tcPr>
            <w:tcW w:w="338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其它（投标方根据自身设备情况自行补充）</w:t>
            </w:r>
          </w:p>
        </w:tc>
        <w:tc>
          <w:tcPr>
            <w:tcW w:w="1698"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p>
            <w:pPr>
              <w:jc w:val="center"/>
              <w:rPr>
                <w:rFonts w:ascii="仿宋" w:hAnsi="仿宋" w:eastAsia="仿宋" w:cs="仿宋"/>
                <w:color w:val="auto"/>
                <w:sz w:val="24"/>
                <w:highlight w:val="none"/>
              </w:rPr>
            </w:pPr>
          </w:p>
        </w:tc>
        <w:tc>
          <w:tcPr>
            <w:tcW w:w="964"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c>
          <w:tcPr>
            <w:tcW w:w="1470" w:type="dxa"/>
            <w:vAlign w:val="center"/>
          </w:tcPr>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tc>
      </w:tr>
    </w:tbl>
    <w:p>
      <w:pPr>
        <w:snapToGrid w:val="0"/>
        <w:spacing w:line="360" w:lineRule="auto"/>
        <w:rPr>
          <w:rFonts w:ascii="仿宋" w:hAnsi="仿宋" w:eastAsia="仿宋" w:cs="仿宋"/>
          <w:color w:val="auto"/>
          <w:sz w:val="24"/>
          <w:highlight w:val="none"/>
        </w:rPr>
      </w:pPr>
    </w:p>
    <w:p>
      <w:pPr>
        <w:pStyle w:val="3"/>
        <w:numPr>
          <w:ilvl w:val="0"/>
          <w:numId w:val="0"/>
        </w:numPr>
        <w:spacing w:before="156"/>
        <w:rPr>
          <w:rFonts w:ascii="仿宋" w:hAnsi="仿宋" w:eastAsia="仿宋" w:cs="仿宋"/>
          <w:b/>
          <w:bCs/>
          <w:color w:val="auto"/>
          <w:sz w:val="30"/>
          <w:szCs w:val="30"/>
          <w:highlight w:val="none"/>
        </w:rPr>
      </w:pPr>
      <w:bookmarkStart w:id="9" w:name="_Toc132192146"/>
      <w:r>
        <w:rPr>
          <w:rFonts w:hint="eastAsia" w:ascii="仿宋" w:hAnsi="仿宋" w:eastAsia="仿宋" w:cs="仿宋"/>
          <w:b/>
          <w:bCs/>
          <w:color w:val="auto"/>
          <w:sz w:val="30"/>
          <w:szCs w:val="30"/>
          <w:highlight w:val="none"/>
        </w:rPr>
        <w:t>4、质量保证措施</w:t>
      </w:r>
      <w:bookmarkEnd w:id="9"/>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4.1 投标方所提供的必须为目前已成熟使用的较新型号优质设备，投标方提供的设备应能在招标方的工作环境下对要求测量的参数实现稳定的在线监测。主要污染物性能指标必须达到 （环办环监[2017] 33 号） 《环境保护部办公厅文件》的要求。主要污染物性能指标要求： </w:t>
      </w:r>
    </w:p>
    <w:tbl>
      <w:tblPr>
        <w:tblStyle w:val="48"/>
        <w:tblpPr w:leftFromText="180" w:rightFromText="180" w:vertAnchor="text" w:horzAnchor="page" w:tblpX="1720" w:tblpY="307"/>
        <w:tblOverlap w:val="never"/>
        <w:tblW w:w="8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3"/>
        <w:gridCol w:w="1754"/>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2987" w:type="dxa"/>
            <w:gridSpan w:val="2"/>
            <w:vAlign w:val="center"/>
          </w:tcPr>
          <w:p>
            <w:pPr>
              <w:pStyle w:val="349"/>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监 测 项 目</w:t>
            </w:r>
          </w:p>
        </w:tc>
        <w:tc>
          <w:tcPr>
            <w:tcW w:w="5314" w:type="dxa"/>
            <w:vAlign w:val="center"/>
          </w:tcPr>
          <w:p>
            <w:pPr>
              <w:pStyle w:val="349"/>
              <w:spacing w:line="360" w:lineRule="auto"/>
              <w:ind w:right="2268"/>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rPr>
              <w:t xml:space="preserve">            </w:t>
            </w:r>
            <w:r>
              <w:rPr>
                <w:rFonts w:hint="eastAsia" w:ascii="仿宋" w:hAnsi="仿宋" w:eastAsia="仿宋" w:cs="仿宋"/>
                <w:color w:val="auto"/>
                <w:sz w:val="24"/>
                <w:szCs w:val="24"/>
                <w:highlight w:val="none"/>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1233" w:type="dxa"/>
            <w:vMerge w:val="restart"/>
            <w:vAlign w:val="center"/>
          </w:tcPr>
          <w:p>
            <w:pPr>
              <w:pStyle w:val="349"/>
              <w:spacing w:line="360" w:lineRule="auto"/>
              <w:ind w:right="172"/>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氯化氢监测单元</w:t>
            </w: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响应时间</w:t>
            </w:r>
          </w:p>
        </w:tc>
        <w:tc>
          <w:tcPr>
            <w:tcW w:w="5314" w:type="dxa"/>
            <w:vAlign w:val="center"/>
          </w:tcPr>
          <w:p>
            <w:pPr>
              <w:pStyle w:val="349"/>
              <w:spacing w:line="360" w:lineRule="auto"/>
              <w:ind w:right="2265"/>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rPr>
              <w:t>0</w:t>
            </w:r>
            <w:r>
              <w:rPr>
                <w:rFonts w:hint="eastAsia" w:ascii="仿宋" w:hAnsi="仿宋" w:eastAsia="仿宋" w:cs="仿宋"/>
                <w:color w:val="auto"/>
                <w:sz w:val="24"/>
                <w:szCs w:val="24"/>
                <w:highlight w:val="none"/>
              </w:rPr>
              <w:t>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重复性</w:t>
            </w:r>
          </w:p>
        </w:tc>
        <w:tc>
          <w:tcPr>
            <w:tcW w:w="5314" w:type="dxa"/>
            <w:vAlign w:val="center"/>
          </w:tcPr>
          <w:p>
            <w:pPr>
              <w:pStyle w:val="349"/>
              <w:spacing w:line="360" w:lineRule="auto"/>
              <w:ind w:right="2268"/>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线性误差</w:t>
            </w:r>
          </w:p>
        </w:tc>
        <w:tc>
          <w:tcPr>
            <w:tcW w:w="5314" w:type="dxa"/>
            <w:vAlign w:val="center"/>
          </w:tcPr>
          <w:p>
            <w:pPr>
              <w:pStyle w:val="349"/>
              <w:spacing w:line="360" w:lineRule="auto"/>
              <w:ind w:left="123" w:right="579"/>
              <w:rPr>
                <w:rFonts w:ascii="仿宋" w:hAnsi="仿宋" w:eastAsia="仿宋" w:cs="仿宋"/>
                <w:color w:val="auto"/>
                <w:sz w:val="24"/>
                <w:szCs w:val="24"/>
                <w:highlight w:val="none"/>
              </w:rPr>
            </w:pPr>
            <w:r>
              <w:rPr>
                <w:rFonts w:hint="eastAsia" w:ascii="仿宋" w:hAnsi="仿宋" w:eastAsia="仿宋" w:cs="仿宋"/>
                <w:color w:val="auto"/>
                <w:w w:val="98"/>
                <w:sz w:val="24"/>
                <w:szCs w:val="24"/>
                <w:highlight w:val="none"/>
              </w:rPr>
              <w:t>满量程</w:t>
            </w:r>
            <w:r>
              <w:rPr>
                <w:rFonts w:hint="eastAsia" w:ascii="仿宋" w:hAnsi="仿宋" w:eastAsia="仿宋" w:cs="仿宋"/>
                <w:color w:val="auto"/>
                <w:spacing w:val="2"/>
                <w:w w:val="98"/>
                <w:sz w:val="24"/>
                <w:szCs w:val="24"/>
                <w:highlight w:val="none"/>
              </w:rPr>
              <w:t>＞2</w:t>
            </w:r>
            <w:r>
              <w:rPr>
                <w:rFonts w:hint="eastAsia" w:ascii="仿宋" w:hAnsi="仿宋" w:eastAsia="仿宋" w:cs="仿宋"/>
                <w:color w:val="auto"/>
                <w:w w:val="98"/>
                <w:sz w:val="24"/>
                <w:szCs w:val="24"/>
                <w:highlight w:val="none"/>
              </w:rPr>
              <w:t>0</w:t>
            </w:r>
            <w:r>
              <w:rPr>
                <w:rFonts w:hint="eastAsia" w:ascii="仿宋" w:hAnsi="仿宋" w:eastAsia="仿宋" w:cs="仿宋"/>
                <w:color w:val="auto"/>
                <w:spacing w:val="-3"/>
                <w:w w:val="98"/>
                <w:sz w:val="24"/>
                <w:szCs w:val="24"/>
                <w:highlight w:val="none"/>
              </w:rPr>
              <w:t>0</w:t>
            </w:r>
            <w:r>
              <w:rPr>
                <w:rFonts w:hint="eastAsia" w:ascii="仿宋" w:hAnsi="仿宋" w:eastAsia="仿宋" w:cs="仿宋"/>
                <w:color w:val="auto"/>
                <w:spacing w:val="4"/>
                <w:w w:val="98"/>
                <w:sz w:val="24"/>
                <w:szCs w:val="24"/>
                <w:highlight w:val="none"/>
              </w:rPr>
              <w:t>μ</w:t>
            </w:r>
            <w:r>
              <w:rPr>
                <w:rFonts w:hint="eastAsia" w:ascii="仿宋" w:hAnsi="仿宋" w:eastAsia="仿宋" w:cs="仿宋"/>
                <w:color w:val="auto"/>
                <w:w w:val="98"/>
                <w:sz w:val="24"/>
                <w:szCs w:val="24"/>
                <w:highlight w:val="none"/>
              </w:rPr>
              <w:t>m</w:t>
            </w:r>
            <w:r>
              <w:rPr>
                <w:rFonts w:hint="eastAsia" w:ascii="仿宋" w:hAnsi="仿宋" w:eastAsia="仿宋" w:cs="仿宋"/>
                <w:color w:val="auto"/>
                <w:spacing w:val="2"/>
                <w:w w:val="98"/>
                <w:sz w:val="24"/>
                <w:szCs w:val="24"/>
                <w:highlight w:val="none"/>
              </w:rPr>
              <w:t>o</w:t>
            </w:r>
            <w:r>
              <w:rPr>
                <w:rFonts w:hint="eastAsia" w:ascii="仿宋" w:hAnsi="仿宋" w:eastAsia="仿宋" w:cs="仿宋"/>
                <w:color w:val="auto"/>
                <w:spacing w:val="-3"/>
                <w:w w:val="98"/>
                <w:sz w:val="24"/>
                <w:szCs w:val="24"/>
                <w:highlight w:val="none"/>
              </w:rPr>
              <w:t>l</w:t>
            </w:r>
            <w:r>
              <w:rPr>
                <w:rFonts w:hint="eastAsia" w:ascii="仿宋" w:hAnsi="仿宋" w:eastAsia="仿宋" w:cs="仿宋"/>
                <w:color w:val="auto"/>
                <w:spacing w:val="2"/>
                <w:w w:val="98"/>
                <w:sz w:val="24"/>
                <w:szCs w:val="24"/>
                <w:highlight w:val="none"/>
              </w:rPr>
              <w:t>/mo</w:t>
            </w:r>
            <w:r>
              <w:rPr>
                <w:rFonts w:hint="eastAsia" w:ascii="仿宋" w:hAnsi="仿宋" w:eastAsia="仿宋" w:cs="仿宋"/>
                <w:color w:val="auto"/>
                <w:spacing w:val="-5"/>
                <w:w w:val="98"/>
                <w:sz w:val="24"/>
                <w:szCs w:val="24"/>
                <w:highlight w:val="none"/>
              </w:rPr>
              <w:t>l</w:t>
            </w:r>
            <w:r>
              <w:rPr>
                <w:rFonts w:hint="eastAsia" w:ascii="仿宋" w:hAnsi="仿宋" w:eastAsia="仿宋" w:cs="仿宋"/>
                <w:color w:val="auto"/>
                <w:w w:val="98"/>
                <w:sz w:val="24"/>
                <w:szCs w:val="24"/>
                <w:highlight w:val="none"/>
              </w:rPr>
              <w:t>（3</w:t>
            </w:r>
            <w:r>
              <w:rPr>
                <w:rFonts w:hint="eastAsia" w:ascii="仿宋" w:hAnsi="仿宋" w:eastAsia="仿宋" w:cs="仿宋"/>
                <w:color w:val="auto"/>
                <w:spacing w:val="2"/>
                <w:w w:val="98"/>
                <w:sz w:val="24"/>
                <w:szCs w:val="24"/>
                <w:highlight w:val="none"/>
              </w:rPr>
              <w:t>2</w:t>
            </w:r>
            <w:r>
              <w:rPr>
                <w:rFonts w:hint="eastAsia" w:ascii="仿宋" w:hAnsi="仿宋" w:eastAsia="仿宋" w:cs="仿宋"/>
                <w:color w:val="auto"/>
                <w:w w:val="98"/>
                <w:sz w:val="24"/>
                <w:szCs w:val="24"/>
                <w:highlight w:val="none"/>
              </w:rPr>
              <w:t>6</w:t>
            </w:r>
            <w:r>
              <w:rPr>
                <w:rFonts w:hint="eastAsia" w:ascii="仿宋" w:hAnsi="仿宋" w:eastAsia="仿宋" w:cs="仿宋"/>
                <w:color w:val="auto"/>
                <w:sz w:val="24"/>
                <w:szCs w:val="24"/>
                <w:highlight w:val="none"/>
              </w:rPr>
              <w:t xml:space="preserve"> </w:t>
            </w:r>
            <w:r>
              <w:rPr>
                <w:rFonts w:hint="eastAsia" w:ascii="仿宋" w:hAnsi="仿宋" w:eastAsia="仿宋" w:cs="仿宋"/>
                <w:color w:val="auto"/>
                <w:w w:val="98"/>
                <w:sz w:val="24"/>
                <w:szCs w:val="24"/>
                <w:highlight w:val="none"/>
              </w:rPr>
              <w:t>m</w:t>
            </w:r>
            <w:r>
              <w:rPr>
                <w:rFonts w:hint="eastAsia" w:ascii="仿宋" w:hAnsi="仿宋" w:eastAsia="仿宋" w:cs="仿宋"/>
                <w:color w:val="auto"/>
                <w:spacing w:val="2"/>
                <w:w w:val="98"/>
                <w:sz w:val="24"/>
                <w:szCs w:val="24"/>
                <w:highlight w:val="none"/>
              </w:rPr>
              <w:t>g</w:t>
            </w:r>
            <w:r>
              <w:rPr>
                <w:rFonts w:hint="eastAsia" w:ascii="仿宋" w:hAnsi="仿宋" w:eastAsia="仿宋" w:cs="仿宋"/>
                <w:color w:val="auto"/>
                <w:w w:val="98"/>
                <w:sz w:val="24"/>
                <w:szCs w:val="24"/>
                <w:highlight w:val="none"/>
              </w:rPr>
              <w:t>/m³）时，±</w:t>
            </w:r>
            <w:r>
              <w:rPr>
                <w:rFonts w:hint="eastAsia" w:ascii="仿宋" w:hAnsi="仿宋" w:eastAsia="仿宋" w:cs="仿宋"/>
                <w:color w:val="auto"/>
                <w:spacing w:val="2"/>
                <w:w w:val="98"/>
                <w:sz w:val="24"/>
                <w:szCs w:val="24"/>
                <w:highlight w:val="none"/>
              </w:rPr>
              <w:t>5</w:t>
            </w:r>
            <w:r>
              <w:rPr>
                <w:rFonts w:hint="eastAsia" w:ascii="仿宋" w:hAnsi="仿宋" w:eastAsia="仿宋" w:cs="仿宋"/>
                <w:color w:val="auto"/>
                <w:w w:val="98"/>
                <w:sz w:val="24"/>
                <w:szCs w:val="24"/>
                <w:highlight w:val="none"/>
              </w:rPr>
              <w:t>%（标称值</w:t>
            </w:r>
            <w:r>
              <w:rPr>
                <w:rFonts w:hint="eastAsia" w:ascii="仿宋" w:hAnsi="仿宋" w:eastAsia="仿宋" w:cs="仿宋"/>
                <w:color w:val="auto"/>
                <w:spacing w:val="-108"/>
                <w:w w:val="98"/>
                <w:sz w:val="24"/>
                <w:szCs w:val="24"/>
                <w:highlight w:val="none"/>
              </w:rPr>
              <w:t>）</w:t>
            </w:r>
            <w:r>
              <w:rPr>
                <w:rFonts w:hint="eastAsia" w:ascii="仿宋" w:hAnsi="仿宋" w:eastAsia="仿宋" w:cs="仿宋"/>
                <w:color w:val="auto"/>
                <w:w w:val="98"/>
                <w:sz w:val="24"/>
                <w:szCs w:val="24"/>
                <w:highlight w:val="none"/>
              </w:rPr>
              <w:t>；</w:t>
            </w:r>
            <w:r>
              <w:rPr>
                <w:rFonts w:hint="eastAsia" w:ascii="仿宋" w:hAnsi="仿宋" w:eastAsia="仿宋" w:cs="仿宋"/>
                <w:color w:val="auto"/>
                <w:spacing w:val="-1"/>
                <w:sz w:val="24"/>
                <w:szCs w:val="24"/>
                <w:highlight w:val="none"/>
              </w:rPr>
              <w:t>满量程</w:t>
            </w:r>
            <w:r>
              <w:rPr>
                <w:rFonts w:hint="eastAsia" w:ascii="仿宋" w:hAnsi="仿宋" w:eastAsia="仿宋" w:cs="仿宋"/>
                <w:color w:val="auto"/>
                <w:sz w:val="24"/>
                <w:szCs w:val="24"/>
                <w:highlight w:val="none"/>
              </w:rPr>
              <w:t>≤200μmol/mol（326 mg/m³）时，±2.5</w:t>
            </w:r>
            <w:r>
              <w:rPr>
                <w:rFonts w:hint="eastAsia" w:ascii="仿宋" w:hAnsi="仿宋" w:eastAsia="仿宋" w:cs="仿宋"/>
                <w:color w:val="auto"/>
                <w:spacing w:val="-2"/>
                <w:sz w:val="24"/>
                <w:szCs w:val="24"/>
                <w:highlight w:val="none"/>
              </w:rPr>
              <w:t xml:space="preserve">% </w:t>
            </w:r>
            <w:r>
              <w:rPr>
                <w:rFonts w:hint="eastAsia" w:ascii="仿宋" w:hAnsi="仿宋" w:eastAsia="仿宋" w:cs="仿宋"/>
                <w:color w:val="auto"/>
                <w:sz w:val="24"/>
                <w:szCs w:val="24"/>
                <w:highlight w:val="none"/>
              </w:rPr>
              <w:t xml:space="preserve">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 小时零点漂移</w:t>
            </w:r>
          </w:p>
        </w:tc>
        <w:tc>
          <w:tcPr>
            <w:tcW w:w="5314" w:type="dxa"/>
            <w:vAlign w:val="center"/>
          </w:tcPr>
          <w:p>
            <w:pPr>
              <w:pStyle w:val="349"/>
              <w:spacing w:line="360" w:lineRule="auto"/>
              <w:ind w:right="226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 小时量程漂移</w:t>
            </w:r>
          </w:p>
        </w:tc>
        <w:tc>
          <w:tcPr>
            <w:tcW w:w="5314" w:type="dxa"/>
            <w:vAlign w:val="center"/>
          </w:tcPr>
          <w:p>
            <w:pPr>
              <w:pStyle w:val="349"/>
              <w:spacing w:line="360" w:lineRule="auto"/>
              <w:ind w:right="226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干扰成分影响</w:t>
            </w:r>
          </w:p>
        </w:tc>
        <w:tc>
          <w:tcPr>
            <w:tcW w:w="5314" w:type="dxa"/>
            <w:vAlign w:val="center"/>
          </w:tcPr>
          <w:p>
            <w:pPr>
              <w:pStyle w:val="349"/>
              <w:spacing w:line="360" w:lineRule="auto"/>
              <w:ind w:right="2265"/>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1233" w:type="dxa"/>
            <w:vMerge w:val="restart"/>
            <w:vAlign w:val="center"/>
          </w:tcPr>
          <w:p>
            <w:pPr>
              <w:pStyle w:val="349"/>
              <w:spacing w:line="360" w:lineRule="auto"/>
              <w:ind w:right="17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一氧化碳监测单元</w:t>
            </w: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响应时间</w:t>
            </w:r>
          </w:p>
        </w:tc>
        <w:tc>
          <w:tcPr>
            <w:tcW w:w="5314" w:type="dxa"/>
            <w:vAlign w:val="center"/>
          </w:tcPr>
          <w:p>
            <w:pPr>
              <w:pStyle w:val="349"/>
              <w:spacing w:line="360" w:lineRule="auto"/>
              <w:ind w:right="2265"/>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重复性</w:t>
            </w:r>
          </w:p>
        </w:tc>
        <w:tc>
          <w:tcPr>
            <w:tcW w:w="5314" w:type="dxa"/>
            <w:vAlign w:val="center"/>
          </w:tcPr>
          <w:p>
            <w:pPr>
              <w:pStyle w:val="349"/>
              <w:spacing w:line="360" w:lineRule="auto"/>
              <w:ind w:right="2268"/>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线性误差</w:t>
            </w:r>
          </w:p>
        </w:tc>
        <w:tc>
          <w:tcPr>
            <w:tcW w:w="5314" w:type="dxa"/>
            <w:vAlign w:val="center"/>
          </w:tcPr>
          <w:p>
            <w:pPr>
              <w:pStyle w:val="349"/>
              <w:spacing w:line="360" w:lineRule="auto"/>
              <w:ind w:left="598" w:right="372" w:hanging="264"/>
              <w:rPr>
                <w:rFonts w:ascii="仿宋" w:hAnsi="仿宋" w:eastAsia="仿宋" w:cs="仿宋"/>
                <w:color w:val="auto"/>
                <w:sz w:val="24"/>
                <w:szCs w:val="24"/>
                <w:highlight w:val="none"/>
              </w:rPr>
            </w:pPr>
            <w:r>
              <w:rPr>
                <w:rFonts w:hint="eastAsia" w:ascii="仿宋" w:hAnsi="仿宋" w:eastAsia="仿宋" w:cs="仿宋"/>
                <w:color w:val="auto"/>
                <w:w w:val="98"/>
                <w:sz w:val="24"/>
                <w:szCs w:val="24"/>
                <w:highlight w:val="none"/>
              </w:rPr>
              <w:t>满量程＞2</w:t>
            </w:r>
            <w:r>
              <w:rPr>
                <w:rFonts w:hint="eastAsia" w:ascii="仿宋" w:hAnsi="仿宋" w:eastAsia="仿宋" w:cs="仿宋"/>
                <w:color w:val="auto"/>
                <w:spacing w:val="2"/>
                <w:w w:val="98"/>
                <w:sz w:val="24"/>
                <w:szCs w:val="24"/>
                <w:highlight w:val="none"/>
              </w:rPr>
              <w:t>0</w:t>
            </w:r>
            <w:r>
              <w:rPr>
                <w:rFonts w:hint="eastAsia" w:ascii="仿宋" w:hAnsi="仿宋" w:eastAsia="仿宋" w:cs="仿宋"/>
                <w:color w:val="auto"/>
                <w:spacing w:val="-3"/>
                <w:w w:val="98"/>
                <w:sz w:val="24"/>
                <w:szCs w:val="24"/>
                <w:highlight w:val="none"/>
              </w:rPr>
              <w:t>0</w:t>
            </w:r>
            <w:r>
              <w:rPr>
                <w:rFonts w:hint="eastAsia" w:ascii="仿宋" w:hAnsi="仿宋" w:eastAsia="仿宋" w:cs="仿宋"/>
                <w:color w:val="auto"/>
                <w:spacing w:val="4"/>
                <w:w w:val="98"/>
                <w:sz w:val="24"/>
                <w:szCs w:val="24"/>
                <w:highlight w:val="none"/>
              </w:rPr>
              <w:t>μ</w:t>
            </w:r>
            <w:r>
              <w:rPr>
                <w:rFonts w:hint="eastAsia" w:ascii="仿宋" w:hAnsi="仿宋" w:eastAsia="仿宋" w:cs="仿宋"/>
                <w:color w:val="auto"/>
                <w:w w:val="98"/>
                <w:sz w:val="24"/>
                <w:szCs w:val="24"/>
                <w:highlight w:val="none"/>
              </w:rPr>
              <w:t>m</w:t>
            </w:r>
            <w:r>
              <w:rPr>
                <w:rFonts w:hint="eastAsia" w:ascii="仿宋" w:hAnsi="仿宋" w:eastAsia="仿宋" w:cs="仿宋"/>
                <w:color w:val="auto"/>
                <w:spacing w:val="2"/>
                <w:w w:val="98"/>
                <w:sz w:val="24"/>
                <w:szCs w:val="24"/>
                <w:highlight w:val="none"/>
              </w:rPr>
              <w:t>o</w:t>
            </w:r>
            <w:r>
              <w:rPr>
                <w:rFonts w:hint="eastAsia" w:ascii="仿宋" w:hAnsi="仿宋" w:eastAsia="仿宋" w:cs="仿宋"/>
                <w:color w:val="auto"/>
                <w:spacing w:val="-3"/>
                <w:w w:val="98"/>
                <w:sz w:val="24"/>
                <w:szCs w:val="24"/>
                <w:highlight w:val="none"/>
              </w:rPr>
              <w:t>l</w:t>
            </w:r>
            <w:r>
              <w:rPr>
                <w:rFonts w:hint="eastAsia" w:ascii="仿宋" w:hAnsi="仿宋" w:eastAsia="仿宋" w:cs="仿宋"/>
                <w:color w:val="auto"/>
                <w:spacing w:val="2"/>
                <w:w w:val="98"/>
                <w:sz w:val="24"/>
                <w:szCs w:val="24"/>
                <w:highlight w:val="none"/>
              </w:rPr>
              <w:t>/mo</w:t>
            </w:r>
            <w:r>
              <w:rPr>
                <w:rFonts w:hint="eastAsia" w:ascii="仿宋" w:hAnsi="仿宋" w:eastAsia="仿宋" w:cs="仿宋"/>
                <w:color w:val="auto"/>
                <w:spacing w:val="-5"/>
                <w:w w:val="98"/>
                <w:sz w:val="24"/>
                <w:szCs w:val="24"/>
                <w:highlight w:val="none"/>
              </w:rPr>
              <w:t>l</w:t>
            </w:r>
            <w:r>
              <w:rPr>
                <w:rFonts w:hint="eastAsia" w:ascii="仿宋" w:hAnsi="仿宋" w:eastAsia="仿宋" w:cs="仿宋"/>
                <w:color w:val="auto"/>
                <w:w w:val="98"/>
                <w:sz w:val="24"/>
                <w:szCs w:val="24"/>
                <w:highlight w:val="none"/>
              </w:rPr>
              <w:t>（2</w:t>
            </w:r>
            <w:r>
              <w:rPr>
                <w:rFonts w:hint="eastAsia" w:ascii="仿宋" w:hAnsi="仿宋" w:eastAsia="仿宋" w:cs="仿宋"/>
                <w:color w:val="auto"/>
                <w:spacing w:val="2"/>
                <w:w w:val="98"/>
                <w:sz w:val="24"/>
                <w:szCs w:val="24"/>
                <w:highlight w:val="none"/>
              </w:rPr>
              <w:t>5</w:t>
            </w:r>
            <w:r>
              <w:rPr>
                <w:rFonts w:hint="eastAsia" w:ascii="仿宋" w:hAnsi="仿宋" w:eastAsia="仿宋" w:cs="仿宋"/>
                <w:color w:val="auto"/>
                <w:w w:val="98"/>
                <w:sz w:val="24"/>
                <w:szCs w:val="24"/>
                <w:highlight w:val="none"/>
              </w:rPr>
              <w:t>0</w:t>
            </w:r>
            <w:r>
              <w:rPr>
                <w:rFonts w:hint="eastAsia" w:ascii="仿宋" w:hAnsi="仿宋" w:eastAsia="仿宋" w:cs="仿宋"/>
                <w:color w:val="auto"/>
                <w:sz w:val="24"/>
                <w:szCs w:val="24"/>
                <w:highlight w:val="none"/>
              </w:rPr>
              <w:t xml:space="preserve"> </w:t>
            </w:r>
            <w:r>
              <w:rPr>
                <w:rFonts w:hint="eastAsia" w:ascii="仿宋" w:hAnsi="仿宋" w:eastAsia="仿宋" w:cs="仿宋"/>
                <w:color w:val="auto"/>
                <w:w w:val="98"/>
                <w:sz w:val="24"/>
                <w:szCs w:val="24"/>
                <w:highlight w:val="none"/>
              </w:rPr>
              <w:t>m</w:t>
            </w:r>
            <w:r>
              <w:rPr>
                <w:rFonts w:hint="eastAsia" w:ascii="仿宋" w:hAnsi="仿宋" w:eastAsia="仿宋" w:cs="仿宋"/>
                <w:color w:val="auto"/>
                <w:spacing w:val="2"/>
                <w:w w:val="98"/>
                <w:sz w:val="24"/>
                <w:szCs w:val="24"/>
                <w:highlight w:val="none"/>
              </w:rPr>
              <w:t>g</w:t>
            </w:r>
            <w:r>
              <w:rPr>
                <w:rFonts w:hint="eastAsia" w:ascii="仿宋" w:hAnsi="仿宋" w:eastAsia="仿宋" w:cs="仿宋"/>
                <w:color w:val="auto"/>
                <w:spacing w:val="5"/>
                <w:w w:val="98"/>
                <w:sz w:val="24"/>
                <w:szCs w:val="24"/>
                <w:highlight w:val="none"/>
              </w:rPr>
              <w:t>/</w:t>
            </w:r>
            <w:r>
              <w:rPr>
                <w:rFonts w:hint="eastAsia" w:ascii="仿宋" w:hAnsi="仿宋" w:eastAsia="仿宋" w:cs="仿宋"/>
                <w:color w:val="auto"/>
                <w:spacing w:val="-5"/>
                <w:w w:val="98"/>
                <w:sz w:val="24"/>
                <w:szCs w:val="24"/>
                <w:highlight w:val="none"/>
              </w:rPr>
              <w:t>m</w:t>
            </w:r>
            <w:r>
              <w:rPr>
                <w:rFonts w:hint="eastAsia" w:ascii="仿宋" w:hAnsi="仿宋" w:eastAsia="仿宋" w:cs="仿宋"/>
                <w:color w:val="auto"/>
                <w:w w:val="98"/>
                <w:sz w:val="24"/>
                <w:szCs w:val="24"/>
                <w:highlight w:val="none"/>
              </w:rPr>
              <w:t>³）时，±</w:t>
            </w:r>
            <w:r>
              <w:rPr>
                <w:rFonts w:hint="eastAsia" w:ascii="仿宋" w:hAnsi="仿宋" w:eastAsia="仿宋" w:cs="仿宋"/>
                <w:color w:val="auto"/>
                <w:spacing w:val="2"/>
                <w:w w:val="98"/>
                <w:sz w:val="24"/>
                <w:szCs w:val="24"/>
                <w:highlight w:val="none"/>
              </w:rPr>
              <w:t>5</w:t>
            </w:r>
            <w:r>
              <w:rPr>
                <w:rFonts w:hint="eastAsia" w:ascii="仿宋" w:hAnsi="仿宋" w:eastAsia="仿宋" w:cs="仿宋"/>
                <w:color w:val="auto"/>
                <w:w w:val="98"/>
                <w:sz w:val="24"/>
                <w:szCs w:val="24"/>
                <w:highlight w:val="none"/>
              </w:rPr>
              <w:t>%</w:t>
            </w:r>
            <w:r>
              <w:rPr>
                <w:rFonts w:hint="eastAsia" w:ascii="仿宋" w:hAnsi="仿宋" w:eastAsia="仿宋" w:cs="仿宋"/>
                <w:color w:val="auto"/>
                <w:spacing w:val="2"/>
                <w:w w:val="98"/>
                <w:sz w:val="24"/>
                <w:szCs w:val="24"/>
                <w:highlight w:val="none"/>
              </w:rPr>
              <w:t>（</w:t>
            </w:r>
            <w:r>
              <w:rPr>
                <w:rFonts w:hint="eastAsia" w:ascii="仿宋" w:hAnsi="仿宋" w:eastAsia="仿宋" w:cs="仿宋"/>
                <w:color w:val="auto"/>
                <w:spacing w:val="1"/>
                <w:w w:val="98"/>
                <w:sz w:val="24"/>
                <w:szCs w:val="24"/>
                <w:highlight w:val="none"/>
              </w:rPr>
              <w:t>标称值</w:t>
            </w:r>
            <w:r>
              <w:rPr>
                <w:rFonts w:hint="eastAsia" w:ascii="仿宋" w:hAnsi="仿宋" w:eastAsia="仿宋" w:cs="仿宋"/>
                <w:color w:val="auto"/>
                <w:spacing w:val="-113"/>
                <w:w w:val="98"/>
                <w:sz w:val="24"/>
                <w:szCs w:val="24"/>
                <w:highlight w:val="none"/>
              </w:rPr>
              <w:t>）</w:t>
            </w:r>
            <w:r>
              <w:rPr>
                <w:rFonts w:hint="eastAsia" w:ascii="仿宋" w:hAnsi="仿宋" w:eastAsia="仿宋" w:cs="仿宋"/>
                <w:color w:val="auto"/>
                <w:w w:val="98"/>
                <w:sz w:val="24"/>
                <w:szCs w:val="24"/>
                <w:highlight w:val="none"/>
              </w:rPr>
              <w:t>；</w:t>
            </w:r>
            <w:r>
              <w:rPr>
                <w:rFonts w:hint="eastAsia" w:ascii="仿宋" w:hAnsi="仿宋" w:eastAsia="仿宋" w:cs="仿宋"/>
                <w:color w:val="auto"/>
                <w:sz w:val="24"/>
                <w:szCs w:val="24"/>
                <w:highlight w:val="none"/>
              </w:rPr>
              <w:t xml:space="preserve">满量程≤200μmol/mol（250 mg/m³）时，±2.5%F.S.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24 小时零点漂移 </w:t>
            </w:r>
          </w:p>
        </w:tc>
        <w:tc>
          <w:tcPr>
            <w:tcW w:w="5314" w:type="dxa"/>
            <w:vAlign w:val="center"/>
          </w:tcPr>
          <w:p>
            <w:pPr>
              <w:pStyle w:val="349"/>
              <w:spacing w:line="360" w:lineRule="auto"/>
              <w:ind w:right="226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±2.5% 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24 小时量程漂移 </w:t>
            </w:r>
          </w:p>
        </w:tc>
        <w:tc>
          <w:tcPr>
            <w:tcW w:w="5314" w:type="dxa"/>
            <w:vAlign w:val="center"/>
          </w:tcPr>
          <w:p>
            <w:pPr>
              <w:pStyle w:val="349"/>
              <w:spacing w:line="360" w:lineRule="auto"/>
              <w:ind w:right="226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±2.5% 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干扰成分影响 </w:t>
            </w:r>
          </w:p>
        </w:tc>
        <w:tc>
          <w:tcPr>
            <w:tcW w:w="5314" w:type="dxa"/>
            <w:vAlign w:val="center"/>
          </w:tcPr>
          <w:p>
            <w:pPr>
              <w:pStyle w:val="349"/>
              <w:spacing w:line="360" w:lineRule="auto"/>
              <w:ind w:right="226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 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2"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准确度 </w:t>
            </w:r>
          </w:p>
        </w:tc>
        <w:tc>
          <w:tcPr>
            <w:tcW w:w="5314" w:type="dxa"/>
            <w:vAlign w:val="center"/>
          </w:tcPr>
          <w:p>
            <w:pPr>
              <w:pStyle w:val="349"/>
              <w:spacing w:line="360" w:lineRule="auto"/>
              <w:rPr>
                <w:rFonts w:ascii="仿宋" w:hAnsi="仿宋" w:eastAsia="仿宋" w:cs="仿宋"/>
                <w:color w:val="auto"/>
                <w:sz w:val="24"/>
                <w:szCs w:val="24"/>
                <w:highlight w:val="none"/>
              </w:rPr>
            </w:pPr>
          </w:p>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排放浓度均值： </w:t>
            </w:r>
          </w:p>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≥250μmol/mol（313 mg/m³）时，相对准确度≤15%； </w:t>
            </w:r>
          </w:p>
          <w:p>
            <w:pPr>
              <w:pStyle w:val="349"/>
              <w:spacing w:line="360" w:lineRule="auto"/>
              <w:ind w:left="123" w:right="-1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≥50μmol/mol（63</w:t>
            </w:r>
            <w:r>
              <w:rPr>
                <w:rFonts w:hint="eastAsia" w:ascii="仿宋" w:hAnsi="仿宋" w:eastAsia="仿宋" w:cs="仿宋"/>
                <w:color w:val="auto"/>
                <w:spacing w:val="-54"/>
                <w:sz w:val="24"/>
                <w:szCs w:val="24"/>
                <w:highlight w:val="none"/>
              </w:rPr>
              <w:t xml:space="preserve"> </w:t>
            </w:r>
            <w:r>
              <w:rPr>
                <w:rFonts w:hint="eastAsia" w:ascii="仿宋" w:hAnsi="仿宋" w:eastAsia="仿宋" w:cs="仿宋"/>
                <w:color w:val="auto"/>
                <w:sz w:val="24"/>
                <w:szCs w:val="24"/>
                <w:highlight w:val="none"/>
              </w:rPr>
              <w:t>mg/m³）～＜250μmol/mol（313</w:t>
            </w:r>
            <w:r>
              <w:rPr>
                <w:rFonts w:hint="eastAsia" w:ascii="仿宋" w:hAnsi="仿宋" w:eastAsia="仿宋" w:cs="仿宋"/>
                <w:color w:val="auto"/>
                <w:spacing w:val="-53"/>
                <w:sz w:val="24"/>
                <w:szCs w:val="24"/>
                <w:highlight w:val="none"/>
              </w:rPr>
              <w:t xml:space="preserve"> </w:t>
            </w:r>
            <w:r>
              <w:rPr>
                <w:rFonts w:hint="eastAsia" w:ascii="仿宋" w:hAnsi="仿宋" w:eastAsia="仿宋" w:cs="仿宋"/>
                <w:color w:val="auto"/>
                <w:sz w:val="24"/>
                <w:szCs w:val="24"/>
                <w:highlight w:val="none"/>
              </w:rPr>
              <w:t>mg/m³）</w:t>
            </w:r>
            <w:r>
              <w:rPr>
                <w:rFonts w:hint="eastAsia" w:ascii="仿宋" w:hAnsi="仿宋" w:eastAsia="仿宋" w:cs="仿宋"/>
                <w:color w:val="auto"/>
                <w:spacing w:val="-8"/>
                <w:sz w:val="24"/>
                <w:szCs w:val="24"/>
                <w:highlight w:val="none"/>
              </w:rPr>
              <w:t xml:space="preserve">时， </w:t>
            </w:r>
            <w:r>
              <w:rPr>
                <w:rFonts w:hint="eastAsia" w:ascii="仿宋" w:hAnsi="仿宋" w:eastAsia="仿宋" w:cs="仿宋"/>
                <w:color w:val="auto"/>
                <w:w w:val="98"/>
                <w:sz w:val="24"/>
                <w:szCs w:val="24"/>
                <w:highlight w:val="none"/>
              </w:rPr>
              <w:t>绝对误差≤2</w:t>
            </w:r>
            <w:r>
              <w:rPr>
                <w:rFonts w:hint="eastAsia" w:ascii="仿宋" w:hAnsi="仿宋" w:eastAsia="仿宋" w:cs="仿宋"/>
                <w:color w:val="auto"/>
                <w:spacing w:val="2"/>
                <w:w w:val="98"/>
                <w:sz w:val="24"/>
                <w:szCs w:val="24"/>
                <w:highlight w:val="none"/>
              </w:rPr>
              <w:t>0</w:t>
            </w:r>
            <w:r>
              <w:rPr>
                <w:rFonts w:hint="eastAsia" w:ascii="仿宋" w:hAnsi="仿宋" w:eastAsia="仿宋" w:cs="仿宋"/>
                <w:color w:val="auto"/>
                <w:w w:val="98"/>
                <w:sz w:val="24"/>
                <w:szCs w:val="24"/>
                <w:highlight w:val="none"/>
              </w:rPr>
              <w:t>μ</w:t>
            </w:r>
            <w:r>
              <w:rPr>
                <w:rFonts w:hint="eastAsia" w:ascii="仿宋" w:hAnsi="仿宋" w:eastAsia="仿宋" w:cs="仿宋"/>
                <w:color w:val="auto"/>
                <w:spacing w:val="2"/>
                <w:w w:val="98"/>
                <w:sz w:val="24"/>
                <w:szCs w:val="24"/>
                <w:highlight w:val="none"/>
              </w:rPr>
              <w:t>m</w:t>
            </w:r>
            <w:r>
              <w:rPr>
                <w:rFonts w:hint="eastAsia" w:ascii="仿宋" w:hAnsi="仿宋" w:eastAsia="仿宋" w:cs="仿宋"/>
                <w:color w:val="auto"/>
                <w:w w:val="98"/>
                <w:sz w:val="24"/>
                <w:szCs w:val="24"/>
                <w:highlight w:val="none"/>
              </w:rPr>
              <w:t>o</w:t>
            </w:r>
            <w:r>
              <w:rPr>
                <w:rFonts w:hint="eastAsia" w:ascii="仿宋" w:hAnsi="仿宋" w:eastAsia="仿宋" w:cs="仿宋"/>
                <w:color w:val="auto"/>
                <w:spacing w:val="2"/>
                <w:w w:val="98"/>
                <w:sz w:val="24"/>
                <w:szCs w:val="24"/>
                <w:highlight w:val="none"/>
              </w:rPr>
              <w:t>l</w:t>
            </w:r>
            <w:r>
              <w:rPr>
                <w:rFonts w:hint="eastAsia" w:ascii="仿宋" w:hAnsi="仿宋" w:eastAsia="仿宋" w:cs="仿宋"/>
                <w:color w:val="auto"/>
                <w:spacing w:val="-3"/>
                <w:w w:val="98"/>
                <w:sz w:val="24"/>
                <w:szCs w:val="24"/>
                <w:highlight w:val="none"/>
              </w:rPr>
              <w:t>/</w:t>
            </w:r>
            <w:r>
              <w:rPr>
                <w:rFonts w:hint="eastAsia" w:ascii="仿宋" w:hAnsi="仿宋" w:eastAsia="仿宋" w:cs="仿宋"/>
                <w:color w:val="auto"/>
                <w:spacing w:val="2"/>
                <w:w w:val="98"/>
                <w:sz w:val="24"/>
                <w:szCs w:val="24"/>
                <w:highlight w:val="none"/>
              </w:rPr>
              <w:t>mo</w:t>
            </w:r>
            <w:r>
              <w:rPr>
                <w:rFonts w:hint="eastAsia" w:ascii="仿宋" w:hAnsi="仿宋" w:eastAsia="仿宋" w:cs="仿宋"/>
                <w:color w:val="auto"/>
                <w:spacing w:val="-3"/>
                <w:w w:val="98"/>
                <w:sz w:val="24"/>
                <w:szCs w:val="24"/>
                <w:highlight w:val="none"/>
              </w:rPr>
              <w:t>l</w:t>
            </w:r>
            <w:r>
              <w:rPr>
                <w:rFonts w:hint="eastAsia" w:ascii="仿宋" w:hAnsi="仿宋" w:eastAsia="仿宋" w:cs="仿宋"/>
                <w:color w:val="auto"/>
                <w:w w:val="98"/>
                <w:sz w:val="24"/>
                <w:szCs w:val="24"/>
                <w:highlight w:val="none"/>
              </w:rPr>
              <w:t>（</w:t>
            </w:r>
            <w:r>
              <w:rPr>
                <w:rFonts w:hint="eastAsia" w:ascii="仿宋" w:hAnsi="仿宋" w:eastAsia="仿宋" w:cs="仿宋"/>
                <w:color w:val="auto"/>
                <w:spacing w:val="2"/>
                <w:w w:val="98"/>
                <w:sz w:val="24"/>
                <w:szCs w:val="24"/>
                <w:highlight w:val="none"/>
              </w:rPr>
              <w:t>2</w:t>
            </w:r>
            <w:r>
              <w:rPr>
                <w:rFonts w:hint="eastAsia" w:ascii="仿宋" w:hAnsi="仿宋" w:eastAsia="仿宋" w:cs="仿宋"/>
                <w:color w:val="auto"/>
                <w:w w:val="98"/>
                <w:sz w:val="24"/>
                <w:szCs w:val="24"/>
                <w:highlight w:val="none"/>
              </w:rPr>
              <w:t>5</w:t>
            </w:r>
            <w:r>
              <w:rPr>
                <w:rFonts w:hint="eastAsia" w:ascii="仿宋" w:hAnsi="仿宋" w:eastAsia="仿宋" w:cs="仿宋"/>
                <w:color w:val="auto"/>
                <w:sz w:val="24"/>
                <w:szCs w:val="24"/>
                <w:highlight w:val="none"/>
              </w:rPr>
              <w:t xml:space="preserve"> </w:t>
            </w:r>
            <w:r>
              <w:rPr>
                <w:rFonts w:hint="eastAsia" w:ascii="仿宋" w:hAnsi="仿宋" w:eastAsia="仿宋" w:cs="仿宋"/>
                <w:color w:val="auto"/>
                <w:w w:val="98"/>
                <w:sz w:val="24"/>
                <w:szCs w:val="24"/>
                <w:highlight w:val="none"/>
              </w:rPr>
              <w:t>m</w:t>
            </w:r>
            <w:r>
              <w:rPr>
                <w:rFonts w:hint="eastAsia" w:ascii="仿宋" w:hAnsi="仿宋" w:eastAsia="仿宋" w:cs="仿宋"/>
                <w:color w:val="auto"/>
                <w:spacing w:val="2"/>
                <w:w w:val="98"/>
                <w:sz w:val="24"/>
                <w:szCs w:val="24"/>
                <w:highlight w:val="none"/>
              </w:rPr>
              <w:t>g</w:t>
            </w:r>
            <w:r>
              <w:rPr>
                <w:rFonts w:hint="eastAsia" w:ascii="仿宋" w:hAnsi="仿宋" w:eastAsia="仿宋" w:cs="仿宋"/>
                <w:color w:val="auto"/>
                <w:w w:val="98"/>
                <w:sz w:val="24"/>
                <w:szCs w:val="24"/>
                <w:highlight w:val="none"/>
              </w:rPr>
              <w:t>/m³</w:t>
            </w:r>
            <w:r>
              <w:rPr>
                <w:rFonts w:hint="eastAsia" w:ascii="仿宋" w:hAnsi="仿宋" w:eastAsia="仿宋" w:cs="仿宋"/>
                <w:color w:val="auto"/>
                <w:spacing w:val="-104"/>
                <w:w w:val="98"/>
                <w:sz w:val="24"/>
                <w:szCs w:val="24"/>
                <w:highlight w:val="none"/>
              </w:rPr>
              <w:t>）</w:t>
            </w:r>
            <w:r>
              <w:rPr>
                <w:rFonts w:hint="eastAsia" w:ascii="仿宋" w:hAnsi="仿宋" w:eastAsia="仿宋" w:cs="仿宋"/>
                <w:color w:val="auto"/>
                <w:w w:val="98"/>
                <w:sz w:val="24"/>
                <w:szCs w:val="24"/>
                <w:highlight w:val="none"/>
              </w:rPr>
              <w:t>；</w:t>
            </w:r>
            <w:r>
              <w:rPr>
                <w:rFonts w:hint="eastAsia" w:ascii="仿宋" w:hAnsi="仿宋" w:eastAsia="仿宋" w:cs="仿宋"/>
                <w:color w:val="auto"/>
                <w:sz w:val="24"/>
                <w:szCs w:val="24"/>
                <w:highlight w:val="none"/>
              </w:rPr>
              <w:t xml:space="preserve"> </w:t>
            </w:r>
          </w:p>
          <w:p>
            <w:pPr>
              <w:pStyle w:val="349"/>
              <w:spacing w:line="360" w:lineRule="auto"/>
              <w:ind w:left="123" w:right="8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≥20μmol/mol（25 mg/m³）～&lt;50μmol/mol（63 mg/m³）时， 相对误差≤30%； </w:t>
            </w:r>
          </w:p>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&lt;20μmol/mol（25 mg/m³）时，绝对误差≤6μmol/mol（8mg/m³）</w:t>
            </w:r>
            <w:r>
              <w:rPr>
                <w:rFonts w:hint="eastAsia" w:ascii="仿宋" w:hAnsi="仿宋" w:eastAsia="仿宋" w:cs="仿宋"/>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233" w:type="dxa"/>
            <w:vMerge w:val="restart"/>
            <w:vAlign w:val="center"/>
          </w:tcPr>
          <w:p>
            <w:pPr>
              <w:pStyle w:val="349"/>
              <w:spacing w:line="360" w:lineRule="auto"/>
              <w:ind w:right="17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二氧化硫监测单元</w:t>
            </w: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响应时间</w:t>
            </w:r>
          </w:p>
        </w:tc>
        <w:tc>
          <w:tcPr>
            <w:tcW w:w="5314" w:type="dxa"/>
            <w:vAlign w:val="center"/>
          </w:tcPr>
          <w:p>
            <w:pPr>
              <w:pStyle w:val="349"/>
              <w:spacing w:line="360" w:lineRule="auto"/>
              <w:ind w:right="2265"/>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重复性</w:t>
            </w:r>
          </w:p>
        </w:tc>
        <w:tc>
          <w:tcPr>
            <w:tcW w:w="5314" w:type="dxa"/>
            <w:vAlign w:val="center"/>
          </w:tcPr>
          <w:p>
            <w:pPr>
              <w:pStyle w:val="349"/>
              <w:spacing w:line="360" w:lineRule="auto"/>
              <w:ind w:right="2268"/>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线性误差</w:t>
            </w:r>
          </w:p>
        </w:tc>
        <w:tc>
          <w:tcPr>
            <w:tcW w:w="5314" w:type="dxa"/>
            <w:vAlign w:val="center"/>
          </w:tcPr>
          <w:p>
            <w:pPr>
              <w:pStyle w:val="349"/>
              <w:spacing w:line="360" w:lineRule="auto"/>
              <w:ind w:left="123" w:right="579"/>
              <w:rPr>
                <w:rFonts w:ascii="仿宋" w:hAnsi="仿宋" w:eastAsia="仿宋" w:cs="仿宋"/>
                <w:color w:val="auto"/>
                <w:sz w:val="24"/>
                <w:szCs w:val="24"/>
                <w:highlight w:val="none"/>
              </w:rPr>
            </w:pPr>
            <w:r>
              <w:rPr>
                <w:rFonts w:hint="eastAsia" w:ascii="仿宋" w:hAnsi="仿宋" w:eastAsia="仿宋" w:cs="仿宋"/>
                <w:color w:val="auto"/>
                <w:w w:val="98"/>
                <w:sz w:val="24"/>
                <w:szCs w:val="24"/>
                <w:highlight w:val="none"/>
              </w:rPr>
              <w:t>满量程</w:t>
            </w:r>
            <w:r>
              <w:rPr>
                <w:rFonts w:hint="eastAsia" w:ascii="仿宋" w:hAnsi="仿宋" w:eastAsia="仿宋" w:cs="仿宋"/>
                <w:color w:val="auto"/>
                <w:spacing w:val="2"/>
                <w:w w:val="98"/>
                <w:sz w:val="24"/>
                <w:szCs w:val="24"/>
                <w:highlight w:val="none"/>
              </w:rPr>
              <w:t>＞1</w:t>
            </w:r>
            <w:r>
              <w:rPr>
                <w:rFonts w:hint="eastAsia" w:ascii="仿宋" w:hAnsi="仿宋" w:eastAsia="仿宋" w:cs="仿宋"/>
                <w:color w:val="auto"/>
                <w:w w:val="98"/>
                <w:sz w:val="24"/>
                <w:szCs w:val="24"/>
                <w:highlight w:val="none"/>
              </w:rPr>
              <w:t>0</w:t>
            </w:r>
            <w:r>
              <w:rPr>
                <w:rFonts w:hint="eastAsia" w:ascii="仿宋" w:hAnsi="仿宋" w:eastAsia="仿宋" w:cs="仿宋"/>
                <w:color w:val="auto"/>
                <w:spacing w:val="-3"/>
                <w:w w:val="98"/>
                <w:sz w:val="24"/>
                <w:szCs w:val="24"/>
                <w:highlight w:val="none"/>
              </w:rPr>
              <w:t>0</w:t>
            </w:r>
            <w:r>
              <w:rPr>
                <w:rFonts w:hint="eastAsia" w:ascii="仿宋" w:hAnsi="仿宋" w:eastAsia="仿宋" w:cs="仿宋"/>
                <w:color w:val="auto"/>
                <w:spacing w:val="4"/>
                <w:w w:val="98"/>
                <w:sz w:val="24"/>
                <w:szCs w:val="24"/>
                <w:highlight w:val="none"/>
              </w:rPr>
              <w:t>μ</w:t>
            </w:r>
            <w:r>
              <w:rPr>
                <w:rFonts w:hint="eastAsia" w:ascii="仿宋" w:hAnsi="仿宋" w:eastAsia="仿宋" w:cs="仿宋"/>
                <w:color w:val="auto"/>
                <w:w w:val="98"/>
                <w:sz w:val="24"/>
                <w:szCs w:val="24"/>
                <w:highlight w:val="none"/>
              </w:rPr>
              <w:t>m</w:t>
            </w:r>
            <w:r>
              <w:rPr>
                <w:rFonts w:hint="eastAsia" w:ascii="仿宋" w:hAnsi="仿宋" w:eastAsia="仿宋" w:cs="仿宋"/>
                <w:color w:val="auto"/>
                <w:spacing w:val="2"/>
                <w:w w:val="98"/>
                <w:sz w:val="24"/>
                <w:szCs w:val="24"/>
                <w:highlight w:val="none"/>
              </w:rPr>
              <w:t>o</w:t>
            </w:r>
            <w:r>
              <w:rPr>
                <w:rFonts w:hint="eastAsia" w:ascii="仿宋" w:hAnsi="仿宋" w:eastAsia="仿宋" w:cs="仿宋"/>
                <w:color w:val="auto"/>
                <w:spacing w:val="-3"/>
                <w:w w:val="98"/>
                <w:sz w:val="24"/>
                <w:szCs w:val="24"/>
                <w:highlight w:val="none"/>
              </w:rPr>
              <w:t>l</w:t>
            </w:r>
            <w:r>
              <w:rPr>
                <w:rFonts w:hint="eastAsia" w:ascii="仿宋" w:hAnsi="仿宋" w:eastAsia="仿宋" w:cs="仿宋"/>
                <w:color w:val="auto"/>
                <w:spacing w:val="2"/>
                <w:w w:val="98"/>
                <w:sz w:val="24"/>
                <w:szCs w:val="24"/>
                <w:highlight w:val="none"/>
              </w:rPr>
              <w:t>/mo</w:t>
            </w:r>
            <w:r>
              <w:rPr>
                <w:rFonts w:hint="eastAsia" w:ascii="仿宋" w:hAnsi="仿宋" w:eastAsia="仿宋" w:cs="仿宋"/>
                <w:color w:val="auto"/>
                <w:spacing w:val="-5"/>
                <w:w w:val="98"/>
                <w:sz w:val="24"/>
                <w:szCs w:val="24"/>
                <w:highlight w:val="none"/>
              </w:rPr>
              <w:t>l</w:t>
            </w:r>
            <w:r>
              <w:rPr>
                <w:rFonts w:hint="eastAsia" w:ascii="仿宋" w:hAnsi="仿宋" w:eastAsia="仿宋" w:cs="仿宋"/>
                <w:color w:val="auto"/>
                <w:w w:val="98"/>
                <w:sz w:val="24"/>
                <w:szCs w:val="24"/>
                <w:highlight w:val="none"/>
              </w:rPr>
              <w:t>（2</w:t>
            </w:r>
            <w:r>
              <w:rPr>
                <w:rFonts w:hint="eastAsia" w:ascii="仿宋" w:hAnsi="仿宋" w:eastAsia="仿宋" w:cs="仿宋"/>
                <w:color w:val="auto"/>
                <w:spacing w:val="2"/>
                <w:w w:val="98"/>
                <w:sz w:val="24"/>
                <w:szCs w:val="24"/>
                <w:highlight w:val="none"/>
              </w:rPr>
              <w:t>8</w:t>
            </w:r>
            <w:r>
              <w:rPr>
                <w:rFonts w:hint="eastAsia" w:ascii="仿宋" w:hAnsi="仿宋" w:eastAsia="仿宋" w:cs="仿宋"/>
                <w:color w:val="auto"/>
                <w:w w:val="98"/>
                <w:sz w:val="24"/>
                <w:szCs w:val="24"/>
                <w:highlight w:val="none"/>
              </w:rPr>
              <w:t>6</w:t>
            </w:r>
            <w:r>
              <w:rPr>
                <w:rFonts w:hint="eastAsia" w:ascii="仿宋" w:hAnsi="仿宋" w:eastAsia="仿宋" w:cs="仿宋"/>
                <w:color w:val="auto"/>
                <w:sz w:val="24"/>
                <w:szCs w:val="24"/>
                <w:highlight w:val="none"/>
              </w:rPr>
              <w:t xml:space="preserve"> </w:t>
            </w:r>
            <w:r>
              <w:rPr>
                <w:rFonts w:hint="eastAsia" w:ascii="仿宋" w:hAnsi="仿宋" w:eastAsia="仿宋" w:cs="仿宋"/>
                <w:color w:val="auto"/>
                <w:w w:val="98"/>
                <w:sz w:val="24"/>
                <w:szCs w:val="24"/>
                <w:highlight w:val="none"/>
              </w:rPr>
              <w:t>m</w:t>
            </w:r>
            <w:r>
              <w:rPr>
                <w:rFonts w:hint="eastAsia" w:ascii="仿宋" w:hAnsi="仿宋" w:eastAsia="仿宋" w:cs="仿宋"/>
                <w:color w:val="auto"/>
                <w:spacing w:val="2"/>
                <w:w w:val="98"/>
                <w:sz w:val="24"/>
                <w:szCs w:val="24"/>
                <w:highlight w:val="none"/>
              </w:rPr>
              <w:t>g</w:t>
            </w:r>
            <w:r>
              <w:rPr>
                <w:rFonts w:hint="eastAsia" w:ascii="仿宋" w:hAnsi="仿宋" w:eastAsia="仿宋" w:cs="仿宋"/>
                <w:color w:val="auto"/>
                <w:w w:val="98"/>
                <w:sz w:val="24"/>
                <w:szCs w:val="24"/>
                <w:highlight w:val="none"/>
              </w:rPr>
              <w:t>/m³）时，±</w:t>
            </w:r>
            <w:r>
              <w:rPr>
                <w:rFonts w:hint="eastAsia" w:ascii="仿宋" w:hAnsi="仿宋" w:eastAsia="仿宋" w:cs="仿宋"/>
                <w:color w:val="auto"/>
                <w:spacing w:val="2"/>
                <w:w w:val="98"/>
                <w:sz w:val="24"/>
                <w:szCs w:val="24"/>
                <w:highlight w:val="none"/>
              </w:rPr>
              <w:t>5</w:t>
            </w:r>
            <w:r>
              <w:rPr>
                <w:rFonts w:hint="eastAsia" w:ascii="仿宋" w:hAnsi="仿宋" w:eastAsia="仿宋" w:cs="仿宋"/>
                <w:color w:val="auto"/>
                <w:w w:val="98"/>
                <w:sz w:val="24"/>
                <w:szCs w:val="24"/>
                <w:highlight w:val="none"/>
              </w:rPr>
              <w:t>%（标称值</w:t>
            </w:r>
            <w:r>
              <w:rPr>
                <w:rFonts w:hint="eastAsia" w:ascii="仿宋" w:hAnsi="仿宋" w:eastAsia="仿宋" w:cs="仿宋"/>
                <w:color w:val="auto"/>
                <w:spacing w:val="-108"/>
                <w:w w:val="98"/>
                <w:sz w:val="24"/>
                <w:szCs w:val="24"/>
                <w:highlight w:val="none"/>
              </w:rPr>
              <w:t>）</w:t>
            </w:r>
            <w:r>
              <w:rPr>
                <w:rFonts w:hint="eastAsia" w:ascii="仿宋" w:hAnsi="仿宋" w:eastAsia="仿宋" w:cs="仿宋"/>
                <w:color w:val="auto"/>
                <w:w w:val="98"/>
                <w:sz w:val="24"/>
                <w:szCs w:val="24"/>
                <w:highlight w:val="none"/>
              </w:rPr>
              <w:t>；</w:t>
            </w:r>
            <w:r>
              <w:rPr>
                <w:rFonts w:hint="eastAsia" w:ascii="仿宋" w:hAnsi="仿宋" w:eastAsia="仿宋" w:cs="仿宋"/>
                <w:color w:val="auto"/>
                <w:spacing w:val="-1"/>
                <w:sz w:val="24"/>
                <w:szCs w:val="24"/>
                <w:highlight w:val="none"/>
              </w:rPr>
              <w:t>满量程</w:t>
            </w:r>
            <w:r>
              <w:rPr>
                <w:rFonts w:hint="eastAsia" w:ascii="仿宋" w:hAnsi="仿宋" w:eastAsia="仿宋" w:cs="仿宋"/>
                <w:color w:val="auto"/>
                <w:sz w:val="24"/>
                <w:szCs w:val="24"/>
                <w:highlight w:val="none"/>
              </w:rPr>
              <w:t xml:space="preserve">≤100μmol/mol（286mg/m³）时，±2.5%F.S.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 小时零点漂移</w:t>
            </w:r>
          </w:p>
        </w:tc>
        <w:tc>
          <w:tcPr>
            <w:tcW w:w="5314" w:type="dxa"/>
            <w:vAlign w:val="center"/>
          </w:tcPr>
          <w:p>
            <w:pPr>
              <w:pStyle w:val="349"/>
              <w:spacing w:line="360" w:lineRule="auto"/>
              <w:ind w:right="226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 小时量程漂移</w:t>
            </w:r>
          </w:p>
        </w:tc>
        <w:tc>
          <w:tcPr>
            <w:tcW w:w="5314" w:type="dxa"/>
            <w:vAlign w:val="center"/>
          </w:tcPr>
          <w:p>
            <w:pPr>
              <w:pStyle w:val="349"/>
              <w:spacing w:line="360" w:lineRule="auto"/>
              <w:ind w:right="226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1233" w:type="dxa"/>
            <w:vMerge w:val="continue"/>
            <w:vAlign w:val="center"/>
          </w:tcPr>
          <w:p>
            <w:pPr>
              <w:spacing w:line="360" w:lineRule="auto"/>
              <w:rPr>
                <w:rFonts w:ascii="仿宋" w:hAnsi="仿宋" w:eastAsia="仿宋" w:cs="仿宋"/>
                <w:color w:val="auto"/>
                <w:sz w:val="24"/>
                <w:szCs w:val="24"/>
                <w:highlight w:val="none"/>
              </w:rPr>
            </w:pPr>
          </w:p>
        </w:tc>
        <w:tc>
          <w:tcPr>
            <w:tcW w:w="1754" w:type="dxa"/>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干扰成分影响</w:t>
            </w:r>
          </w:p>
        </w:tc>
        <w:tc>
          <w:tcPr>
            <w:tcW w:w="5314" w:type="dxa"/>
            <w:vAlign w:val="center"/>
          </w:tcPr>
          <w:p>
            <w:pPr>
              <w:pStyle w:val="349"/>
              <w:spacing w:line="360" w:lineRule="auto"/>
              <w:ind w:right="2265"/>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 F.S.</w:t>
            </w:r>
          </w:p>
        </w:tc>
      </w:tr>
    </w:tbl>
    <w:p>
      <w:pPr>
        <w:pStyle w:val="31"/>
        <w:tabs>
          <w:tab w:val="center" w:pos="4320"/>
          <w:tab w:val="right" w:pos="8640"/>
          <w:tab w:val="clear" w:pos="4153"/>
          <w:tab w:val="clear" w:pos="8306"/>
        </w:tabs>
        <w:rPr>
          <w:rFonts w:ascii="仿宋" w:hAnsi="仿宋" w:eastAsia="仿宋" w:cs="仿宋"/>
          <w:color w:val="auto"/>
          <w:highlight w:val="none"/>
        </w:rPr>
      </w:pPr>
    </w:p>
    <w:tbl>
      <w:tblPr>
        <w:tblStyle w:val="48"/>
        <w:tblpPr w:leftFromText="180" w:rightFromText="180" w:vertAnchor="text" w:horzAnchor="page" w:tblpX="1727" w:tblpY="9874"/>
        <w:tblOverlap w:val="never"/>
        <w:tblW w:w="831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7"/>
        <w:gridCol w:w="1773"/>
        <w:gridCol w:w="53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tcBorders>
              <w:top w:val="single" w:color="000000" w:sz="4" w:space="0"/>
              <w:bottom w:val="single" w:color="000000" w:sz="4" w:space="0"/>
              <w:right w:val="single" w:color="000000" w:sz="4" w:space="0"/>
            </w:tcBorders>
            <w:vAlign w:val="center"/>
          </w:tcPr>
          <w:p>
            <w:pPr>
              <w:pStyle w:val="349"/>
              <w:spacing w:line="360" w:lineRule="auto"/>
              <w:ind w:left="11" w:right="16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二氧化硫监测单元</w:t>
            </w:r>
          </w:p>
        </w:tc>
        <w:tc>
          <w:tcPr>
            <w:tcW w:w="1773" w:type="dxa"/>
            <w:tcBorders>
              <w:top w:val="single" w:color="000000" w:sz="4" w:space="0"/>
              <w:left w:val="single" w:color="000000" w:sz="4" w:space="0"/>
              <w:bottom w:val="single" w:color="000000" w:sz="4" w:space="0"/>
              <w:right w:val="single" w:color="000000" w:sz="4" w:space="0"/>
            </w:tcBorders>
            <w:vAlign w:val="center"/>
          </w:tcPr>
          <w:p>
            <w:pPr>
              <w:pStyle w:val="349"/>
              <w:spacing w:line="360" w:lineRule="auto"/>
              <w:ind w:left="237"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准确度 </w:t>
            </w:r>
          </w:p>
        </w:tc>
        <w:tc>
          <w:tcPr>
            <w:tcW w:w="5336" w:type="dxa"/>
            <w:tcBorders>
              <w:top w:val="single" w:color="000000" w:sz="4" w:space="0"/>
              <w:left w:val="single" w:color="000000" w:sz="4" w:space="0"/>
              <w:bottom w:val="single" w:color="000000" w:sz="4" w:space="0"/>
            </w:tcBorders>
            <w:vAlign w:val="center"/>
          </w:tcPr>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排放浓度均值： </w:t>
            </w:r>
          </w:p>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≥250μmol/mol（715mg/m³）时，相对准确度≤15%； </w:t>
            </w:r>
          </w:p>
          <w:p>
            <w:pPr>
              <w:pStyle w:val="349"/>
              <w:spacing w:line="360" w:lineRule="auto"/>
              <w:ind w:left="123" w:right="9"/>
              <w:rPr>
                <w:rFonts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 xml:space="preserve">≥50μmol/mol（143mg/m³）～＜250μmol/mol（715mg/m³） 时 ， </w:t>
            </w:r>
            <w:r>
              <w:rPr>
                <w:rFonts w:hint="eastAsia" w:ascii="仿宋" w:hAnsi="仿宋" w:eastAsia="仿宋" w:cs="仿宋"/>
                <w:color w:val="auto"/>
                <w:w w:val="98"/>
                <w:sz w:val="24"/>
                <w:szCs w:val="24"/>
                <w:highlight w:val="none"/>
              </w:rPr>
              <w:t>绝对误差≤2</w:t>
            </w:r>
            <w:r>
              <w:rPr>
                <w:rFonts w:hint="eastAsia" w:ascii="仿宋" w:hAnsi="仿宋" w:eastAsia="仿宋" w:cs="仿宋"/>
                <w:color w:val="auto"/>
                <w:spacing w:val="2"/>
                <w:w w:val="98"/>
                <w:sz w:val="24"/>
                <w:szCs w:val="24"/>
                <w:highlight w:val="none"/>
              </w:rPr>
              <w:t>0</w:t>
            </w:r>
            <w:r>
              <w:rPr>
                <w:rFonts w:hint="eastAsia" w:ascii="仿宋" w:hAnsi="仿宋" w:eastAsia="仿宋" w:cs="仿宋"/>
                <w:color w:val="auto"/>
                <w:w w:val="98"/>
                <w:sz w:val="24"/>
                <w:szCs w:val="24"/>
                <w:highlight w:val="none"/>
              </w:rPr>
              <w:t>μ</w:t>
            </w:r>
            <w:r>
              <w:rPr>
                <w:rFonts w:hint="eastAsia" w:ascii="仿宋" w:hAnsi="仿宋" w:eastAsia="仿宋" w:cs="仿宋"/>
                <w:color w:val="auto"/>
                <w:spacing w:val="2"/>
                <w:w w:val="98"/>
                <w:sz w:val="24"/>
                <w:szCs w:val="24"/>
                <w:highlight w:val="none"/>
              </w:rPr>
              <w:t>m</w:t>
            </w:r>
            <w:r>
              <w:rPr>
                <w:rFonts w:hint="eastAsia" w:ascii="仿宋" w:hAnsi="仿宋" w:eastAsia="仿宋" w:cs="仿宋"/>
                <w:color w:val="auto"/>
                <w:w w:val="98"/>
                <w:sz w:val="24"/>
                <w:szCs w:val="24"/>
                <w:highlight w:val="none"/>
              </w:rPr>
              <w:t>o</w:t>
            </w:r>
            <w:r>
              <w:rPr>
                <w:rFonts w:hint="eastAsia" w:ascii="仿宋" w:hAnsi="仿宋" w:eastAsia="仿宋" w:cs="仿宋"/>
                <w:color w:val="auto"/>
                <w:spacing w:val="2"/>
                <w:w w:val="98"/>
                <w:sz w:val="24"/>
                <w:szCs w:val="24"/>
                <w:highlight w:val="none"/>
              </w:rPr>
              <w:t>l</w:t>
            </w:r>
            <w:r>
              <w:rPr>
                <w:rFonts w:hint="eastAsia" w:ascii="仿宋" w:hAnsi="仿宋" w:eastAsia="仿宋" w:cs="仿宋"/>
                <w:color w:val="auto"/>
                <w:spacing w:val="-3"/>
                <w:w w:val="98"/>
                <w:sz w:val="24"/>
                <w:szCs w:val="24"/>
                <w:highlight w:val="none"/>
              </w:rPr>
              <w:t>/</w:t>
            </w:r>
            <w:r>
              <w:rPr>
                <w:rFonts w:hint="eastAsia" w:ascii="仿宋" w:hAnsi="仿宋" w:eastAsia="仿宋" w:cs="仿宋"/>
                <w:color w:val="auto"/>
                <w:spacing w:val="2"/>
                <w:w w:val="98"/>
                <w:sz w:val="24"/>
                <w:szCs w:val="24"/>
                <w:highlight w:val="none"/>
              </w:rPr>
              <w:t>mo</w:t>
            </w:r>
            <w:r>
              <w:rPr>
                <w:rFonts w:hint="eastAsia" w:ascii="仿宋" w:hAnsi="仿宋" w:eastAsia="仿宋" w:cs="仿宋"/>
                <w:color w:val="auto"/>
                <w:spacing w:val="-3"/>
                <w:w w:val="98"/>
                <w:sz w:val="24"/>
                <w:szCs w:val="24"/>
                <w:highlight w:val="none"/>
              </w:rPr>
              <w:t>l</w:t>
            </w:r>
            <w:r>
              <w:rPr>
                <w:rFonts w:hint="eastAsia" w:ascii="仿宋" w:hAnsi="仿宋" w:eastAsia="仿宋" w:cs="仿宋"/>
                <w:color w:val="auto"/>
                <w:w w:val="98"/>
                <w:sz w:val="24"/>
                <w:szCs w:val="24"/>
                <w:highlight w:val="none"/>
              </w:rPr>
              <w:t>（</w:t>
            </w:r>
            <w:r>
              <w:rPr>
                <w:rFonts w:hint="eastAsia" w:ascii="仿宋" w:hAnsi="仿宋" w:eastAsia="仿宋" w:cs="仿宋"/>
                <w:color w:val="auto"/>
                <w:spacing w:val="2"/>
                <w:w w:val="98"/>
                <w:sz w:val="24"/>
                <w:szCs w:val="24"/>
                <w:highlight w:val="none"/>
              </w:rPr>
              <w:t>57m</w:t>
            </w:r>
            <w:r>
              <w:rPr>
                <w:rFonts w:hint="eastAsia" w:ascii="仿宋" w:hAnsi="仿宋" w:eastAsia="仿宋" w:cs="仿宋"/>
                <w:color w:val="auto"/>
                <w:spacing w:val="-3"/>
                <w:w w:val="98"/>
                <w:sz w:val="24"/>
                <w:szCs w:val="24"/>
                <w:highlight w:val="none"/>
              </w:rPr>
              <w:t>g</w:t>
            </w:r>
            <w:r>
              <w:rPr>
                <w:rFonts w:hint="eastAsia" w:ascii="仿宋" w:hAnsi="仿宋" w:eastAsia="仿宋" w:cs="仿宋"/>
                <w:color w:val="auto"/>
                <w:spacing w:val="2"/>
                <w:w w:val="98"/>
                <w:sz w:val="24"/>
                <w:szCs w:val="24"/>
                <w:highlight w:val="none"/>
              </w:rPr>
              <w:t>/</w:t>
            </w:r>
            <w:r>
              <w:rPr>
                <w:rFonts w:hint="eastAsia" w:ascii="仿宋" w:hAnsi="仿宋" w:eastAsia="仿宋" w:cs="仿宋"/>
                <w:color w:val="auto"/>
                <w:spacing w:val="-3"/>
                <w:w w:val="98"/>
                <w:sz w:val="24"/>
                <w:szCs w:val="24"/>
                <w:highlight w:val="none"/>
              </w:rPr>
              <w:t>m</w:t>
            </w:r>
            <w:r>
              <w:rPr>
                <w:rFonts w:hint="eastAsia" w:ascii="仿宋" w:hAnsi="仿宋" w:eastAsia="仿宋" w:cs="仿宋"/>
                <w:color w:val="auto"/>
                <w:w w:val="98"/>
                <w:sz w:val="24"/>
                <w:szCs w:val="24"/>
                <w:highlight w:val="none"/>
              </w:rPr>
              <w:t>³</w:t>
            </w:r>
            <w:r>
              <w:rPr>
                <w:rFonts w:hint="eastAsia" w:ascii="仿宋" w:hAnsi="仿宋" w:eastAsia="仿宋" w:cs="仿宋"/>
                <w:color w:val="auto"/>
                <w:spacing w:val="-105"/>
                <w:w w:val="98"/>
                <w:sz w:val="24"/>
                <w:szCs w:val="24"/>
                <w:highlight w:val="none"/>
              </w:rPr>
              <w:t>）</w:t>
            </w:r>
            <w:r>
              <w:rPr>
                <w:rFonts w:hint="eastAsia" w:ascii="仿宋" w:hAnsi="仿宋" w:eastAsia="仿宋" w:cs="仿宋"/>
                <w:color w:val="auto"/>
                <w:w w:val="98"/>
                <w:sz w:val="24"/>
                <w:szCs w:val="24"/>
                <w:highlight w:val="none"/>
              </w:rPr>
              <w:t>；</w:t>
            </w:r>
            <w:r>
              <w:rPr>
                <w:rFonts w:hint="eastAsia" w:ascii="仿宋" w:hAnsi="仿宋" w:eastAsia="仿宋" w:cs="仿宋"/>
                <w:color w:val="auto"/>
                <w:sz w:val="24"/>
                <w:szCs w:val="24"/>
                <w:highlight w:val="none"/>
              </w:rPr>
              <w:t xml:space="preserve"> </w:t>
            </w:r>
          </w:p>
          <w:p>
            <w:pPr>
              <w:pStyle w:val="349"/>
              <w:spacing w:line="360" w:lineRule="auto"/>
              <w:ind w:left="123" w:right="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≥20μmol/mol（57mg/m³）～&lt;50μmol/mol（143mg/m³）时，相对误差≤30%； </w:t>
            </w:r>
          </w:p>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w w:val="95"/>
                <w:sz w:val="24"/>
                <w:szCs w:val="24"/>
                <w:highlight w:val="none"/>
              </w:rPr>
              <w:t>&lt;20μmol/mol（57mg/m³）时，绝对误差≤6μmol/mol（17mg/m³）</w:t>
            </w:r>
            <w:r>
              <w:rPr>
                <w:rFonts w:hint="eastAsia" w:ascii="仿宋" w:hAnsi="仿宋" w:eastAsia="仿宋" w:cs="仿宋"/>
                <w:color w:val="auto"/>
                <w:sz w:val="24"/>
                <w:szCs w:val="24"/>
                <w:highlight w:val="none"/>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vMerge w:val="restart"/>
            <w:tcBorders>
              <w:top w:val="single" w:color="000000" w:sz="4" w:space="0"/>
              <w:bottom w:val="single" w:color="000000" w:sz="4" w:space="0"/>
              <w:right w:val="single" w:color="000000" w:sz="4" w:space="0"/>
            </w:tcBorders>
            <w:vAlign w:val="center"/>
          </w:tcPr>
          <w:p>
            <w:pPr>
              <w:pStyle w:val="349"/>
              <w:spacing w:line="360" w:lineRule="auto"/>
              <w:ind w:right="17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氮氧化物监测单元</w:t>
            </w:r>
          </w:p>
        </w:tc>
        <w:tc>
          <w:tcPr>
            <w:tcW w:w="1773" w:type="dxa"/>
            <w:tcBorders>
              <w:top w:val="single" w:color="000000" w:sz="4" w:space="0"/>
              <w:left w:val="single" w:color="000000" w:sz="4" w:space="0"/>
              <w:bottom w:val="single" w:color="000000" w:sz="4" w:space="0"/>
              <w:right w:val="single" w:color="000000" w:sz="4" w:space="0"/>
            </w:tcBorders>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响应时间 </w:t>
            </w:r>
          </w:p>
        </w:tc>
        <w:tc>
          <w:tcPr>
            <w:tcW w:w="5336" w:type="dxa"/>
            <w:tcBorders>
              <w:top w:val="single" w:color="000000" w:sz="4" w:space="0"/>
              <w:left w:val="single" w:color="000000" w:sz="4" w:space="0"/>
              <w:bottom w:val="single" w:color="000000" w:sz="4" w:space="0"/>
            </w:tcBorders>
            <w:vAlign w:val="center"/>
          </w:tcPr>
          <w:p>
            <w:pPr>
              <w:pStyle w:val="349"/>
              <w:spacing w:line="360" w:lineRule="auto"/>
              <w:ind w:left="2417" w:right="2268"/>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≤200s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vMerge w:val="continue"/>
            <w:tcBorders>
              <w:top w:val="nil"/>
              <w:bottom w:val="single" w:color="000000" w:sz="4" w:space="0"/>
              <w:right w:val="single" w:color="000000" w:sz="4" w:space="0"/>
            </w:tcBorders>
            <w:vAlign w:val="center"/>
          </w:tcPr>
          <w:p>
            <w:pPr>
              <w:spacing w:line="360" w:lineRule="auto"/>
              <w:rPr>
                <w:rFonts w:ascii="仿宋" w:hAnsi="仿宋" w:eastAsia="仿宋" w:cs="仿宋"/>
                <w:color w:val="auto"/>
                <w:sz w:val="24"/>
                <w:szCs w:val="24"/>
                <w:highlight w:val="none"/>
              </w:rPr>
            </w:pPr>
          </w:p>
        </w:tc>
        <w:tc>
          <w:tcPr>
            <w:tcW w:w="1773" w:type="dxa"/>
            <w:tcBorders>
              <w:top w:val="single" w:color="000000" w:sz="4" w:space="0"/>
              <w:left w:val="single" w:color="000000" w:sz="4" w:space="0"/>
              <w:bottom w:val="single" w:color="000000" w:sz="4" w:space="0"/>
              <w:right w:val="single" w:color="000000" w:sz="4" w:space="0"/>
            </w:tcBorders>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重复性 </w:t>
            </w:r>
          </w:p>
        </w:tc>
        <w:tc>
          <w:tcPr>
            <w:tcW w:w="5336" w:type="dxa"/>
            <w:tcBorders>
              <w:top w:val="single" w:color="000000" w:sz="4" w:space="0"/>
              <w:left w:val="single" w:color="000000" w:sz="4" w:space="0"/>
              <w:bottom w:val="single" w:color="000000" w:sz="4" w:space="0"/>
            </w:tcBorders>
            <w:vAlign w:val="center"/>
          </w:tcPr>
          <w:p>
            <w:pPr>
              <w:pStyle w:val="349"/>
              <w:spacing w:line="360" w:lineRule="auto"/>
              <w:ind w:left="2417" w:right="2268"/>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vMerge w:val="continue"/>
            <w:tcBorders>
              <w:top w:val="nil"/>
              <w:bottom w:val="single" w:color="000000" w:sz="4" w:space="0"/>
              <w:right w:val="single" w:color="000000" w:sz="4" w:space="0"/>
            </w:tcBorders>
            <w:vAlign w:val="center"/>
          </w:tcPr>
          <w:p>
            <w:pPr>
              <w:spacing w:line="360" w:lineRule="auto"/>
              <w:rPr>
                <w:rFonts w:ascii="仿宋" w:hAnsi="仿宋" w:eastAsia="仿宋" w:cs="仿宋"/>
                <w:color w:val="auto"/>
                <w:sz w:val="24"/>
                <w:szCs w:val="24"/>
                <w:highlight w:val="none"/>
              </w:rPr>
            </w:pPr>
          </w:p>
        </w:tc>
        <w:tc>
          <w:tcPr>
            <w:tcW w:w="1773" w:type="dxa"/>
            <w:tcBorders>
              <w:top w:val="single" w:color="000000" w:sz="4" w:space="0"/>
              <w:left w:val="single" w:color="000000" w:sz="4" w:space="0"/>
              <w:bottom w:val="single" w:color="000000" w:sz="4" w:space="0"/>
              <w:right w:val="single" w:color="000000" w:sz="4" w:space="0"/>
            </w:tcBorders>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线性误差 </w:t>
            </w:r>
          </w:p>
        </w:tc>
        <w:tc>
          <w:tcPr>
            <w:tcW w:w="5336" w:type="dxa"/>
            <w:tcBorders>
              <w:top w:val="single" w:color="000000" w:sz="4" w:space="0"/>
              <w:left w:val="single" w:color="000000" w:sz="4" w:space="0"/>
              <w:bottom w:val="single" w:color="000000" w:sz="4" w:space="0"/>
            </w:tcBorders>
            <w:vAlign w:val="center"/>
          </w:tcPr>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w w:val="98"/>
                <w:sz w:val="24"/>
                <w:szCs w:val="24"/>
                <w:highlight w:val="none"/>
              </w:rPr>
              <w:t>满量程＞</w:t>
            </w:r>
            <w:r>
              <w:rPr>
                <w:rFonts w:hint="eastAsia" w:ascii="仿宋" w:hAnsi="仿宋" w:eastAsia="仿宋" w:cs="仿宋"/>
                <w:color w:val="auto"/>
                <w:spacing w:val="2"/>
                <w:w w:val="98"/>
                <w:sz w:val="24"/>
                <w:szCs w:val="24"/>
                <w:highlight w:val="none"/>
              </w:rPr>
              <w:t>2</w:t>
            </w:r>
            <w:r>
              <w:rPr>
                <w:rFonts w:hint="eastAsia" w:ascii="仿宋" w:hAnsi="仿宋" w:eastAsia="仿宋" w:cs="仿宋"/>
                <w:color w:val="auto"/>
                <w:w w:val="98"/>
                <w:sz w:val="24"/>
                <w:szCs w:val="24"/>
                <w:highlight w:val="none"/>
              </w:rPr>
              <w:t>0</w:t>
            </w:r>
            <w:r>
              <w:rPr>
                <w:rFonts w:hint="eastAsia" w:ascii="仿宋" w:hAnsi="仿宋" w:eastAsia="仿宋" w:cs="仿宋"/>
                <w:color w:val="auto"/>
                <w:spacing w:val="-3"/>
                <w:w w:val="98"/>
                <w:sz w:val="24"/>
                <w:szCs w:val="24"/>
                <w:highlight w:val="none"/>
              </w:rPr>
              <w:t>0</w:t>
            </w:r>
            <w:r>
              <w:rPr>
                <w:rFonts w:hint="eastAsia" w:ascii="仿宋" w:hAnsi="仿宋" w:eastAsia="仿宋" w:cs="仿宋"/>
                <w:color w:val="auto"/>
                <w:spacing w:val="4"/>
                <w:w w:val="98"/>
                <w:sz w:val="24"/>
                <w:szCs w:val="24"/>
                <w:highlight w:val="none"/>
              </w:rPr>
              <w:t>μ</w:t>
            </w:r>
            <w:r>
              <w:rPr>
                <w:rFonts w:hint="eastAsia" w:ascii="仿宋" w:hAnsi="仿宋" w:eastAsia="仿宋" w:cs="仿宋"/>
                <w:color w:val="auto"/>
                <w:w w:val="98"/>
                <w:sz w:val="24"/>
                <w:szCs w:val="24"/>
                <w:highlight w:val="none"/>
              </w:rPr>
              <w:t>m</w:t>
            </w:r>
            <w:r>
              <w:rPr>
                <w:rFonts w:hint="eastAsia" w:ascii="仿宋" w:hAnsi="仿宋" w:eastAsia="仿宋" w:cs="仿宋"/>
                <w:color w:val="auto"/>
                <w:spacing w:val="2"/>
                <w:w w:val="98"/>
                <w:sz w:val="24"/>
                <w:szCs w:val="24"/>
                <w:highlight w:val="none"/>
              </w:rPr>
              <w:t>o</w:t>
            </w:r>
            <w:r>
              <w:rPr>
                <w:rFonts w:hint="eastAsia" w:ascii="仿宋" w:hAnsi="仿宋" w:eastAsia="仿宋" w:cs="仿宋"/>
                <w:color w:val="auto"/>
                <w:spacing w:val="-3"/>
                <w:w w:val="98"/>
                <w:sz w:val="24"/>
                <w:szCs w:val="24"/>
                <w:highlight w:val="none"/>
              </w:rPr>
              <w:t>l</w:t>
            </w:r>
            <w:r>
              <w:rPr>
                <w:rFonts w:hint="eastAsia" w:ascii="仿宋" w:hAnsi="仿宋" w:eastAsia="仿宋" w:cs="仿宋"/>
                <w:color w:val="auto"/>
                <w:spacing w:val="2"/>
                <w:w w:val="98"/>
                <w:sz w:val="24"/>
                <w:szCs w:val="24"/>
                <w:highlight w:val="none"/>
              </w:rPr>
              <w:t>/mo</w:t>
            </w:r>
            <w:r>
              <w:rPr>
                <w:rFonts w:hint="eastAsia" w:ascii="仿宋" w:hAnsi="仿宋" w:eastAsia="仿宋" w:cs="仿宋"/>
                <w:color w:val="auto"/>
                <w:spacing w:val="-24"/>
                <w:w w:val="98"/>
                <w:sz w:val="24"/>
                <w:szCs w:val="24"/>
                <w:highlight w:val="none"/>
              </w:rPr>
              <w:t>l</w:t>
            </w:r>
            <w:r>
              <w:rPr>
                <w:rFonts w:hint="eastAsia" w:ascii="仿宋" w:hAnsi="仿宋" w:eastAsia="仿宋" w:cs="仿宋"/>
                <w:color w:val="auto"/>
                <w:w w:val="98"/>
                <w:sz w:val="24"/>
                <w:szCs w:val="24"/>
                <w:highlight w:val="none"/>
              </w:rPr>
              <w:t>（4</w:t>
            </w:r>
            <w:r>
              <w:rPr>
                <w:rFonts w:hint="eastAsia" w:ascii="仿宋" w:hAnsi="仿宋" w:eastAsia="仿宋" w:cs="仿宋"/>
                <w:color w:val="auto"/>
                <w:spacing w:val="2"/>
                <w:w w:val="98"/>
                <w:sz w:val="24"/>
                <w:szCs w:val="24"/>
                <w:highlight w:val="none"/>
              </w:rPr>
              <w:t>10</w:t>
            </w:r>
            <w:r>
              <w:rPr>
                <w:rFonts w:hint="eastAsia" w:ascii="仿宋" w:hAnsi="仿宋" w:eastAsia="仿宋" w:cs="仿宋"/>
                <w:color w:val="auto"/>
                <w:spacing w:val="-5"/>
                <w:w w:val="98"/>
                <w:sz w:val="24"/>
                <w:szCs w:val="24"/>
                <w:highlight w:val="none"/>
              </w:rPr>
              <w:t>m</w:t>
            </w:r>
            <w:r>
              <w:rPr>
                <w:rFonts w:hint="eastAsia" w:ascii="仿宋" w:hAnsi="仿宋" w:eastAsia="仿宋" w:cs="仿宋"/>
                <w:color w:val="auto"/>
                <w:spacing w:val="4"/>
                <w:w w:val="98"/>
                <w:sz w:val="24"/>
                <w:szCs w:val="24"/>
                <w:highlight w:val="none"/>
              </w:rPr>
              <w:t>g</w:t>
            </w:r>
            <w:r>
              <w:rPr>
                <w:rFonts w:hint="eastAsia" w:ascii="仿宋" w:hAnsi="仿宋" w:eastAsia="仿宋" w:cs="仿宋"/>
                <w:color w:val="auto"/>
                <w:spacing w:val="2"/>
                <w:w w:val="98"/>
                <w:sz w:val="24"/>
                <w:szCs w:val="24"/>
                <w:highlight w:val="none"/>
              </w:rPr>
              <w:t>/</w:t>
            </w:r>
            <w:r>
              <w:rPr>
                <w:rFonts w:hint="eastAsia" w:ascii="仿宋" w:hAnsi="仿宋" w:eastAsia="仿宋" w:cs="仿宋"/>
                <w:color w:val="auto"/>
                <w:spacing w:val="-3"/>
                <w:w w:val="98"/>
                <w:sz w:val="24"/>
                <w:szCs w:val="24"/>
                <w:highlight w:val="none"/>
              </w:rPr>
              <w:t>m</w:t>
            </w:r>
            <w:r>
              <w:rPr>
                <w:rFonts w:hint="eastAsia" w:ascii="仿宋" w:hAnsi="仿宋" w:eastAsia="仿宋" w:cs="仿宋"/>
                <w:color w:val="auto"/>
                <w:w w:val="98"/>
                <w:sz w:val="24"/>
                <w:szCs w:val="24"/>
                <w:highlight w:val="none"/>
              </w:rPr>
              <w:t>³</w:t>
            </w:r>
            <w:r>
              <w:rPr>
                <w:rFonts w:hint="eastAsia" w:ascii="仿宋" w:hAnsi="仿宋" w:eastAsia="仿宋" w:cs="仿宋"/>
                <w:color w:val="auto"/>
                <w:spacing w:val="-19"/>
                <w:w w:val="98"/>
                <w:sz w:val="24"/>
                <w:szCs w:val="24"/>
                <w:highlight w:val="none"/>
              </w:rPr>
              <w:t>）</w:t>
            </w:r>
            <w:r>
              <w:rPr>
                <w:rFonts w:hint="eastAsia" w:ascii="仿宋" w:hAnsi="仿宋" w:eastAsia="仿宋" w:cs="仿宋"/>
                <w:color w:val="auto"/>
                <w:spacing w:val="-10"/>
                <w:w w:val="98"/>
                <w:sz w:val="24"/>
                <w:szCs w:val="24"/>
                <w:highlight w:val="none"/>
              </w:rPr>
              <w:t>时，</w:t>
            </w:r>
            <w:r>
              <w:rPr>
                <w:rFonts w:hint="eastAsia" w:ascii="仿宋" w:hAnsi="仿宋" w:eastAsia="仿宋" w:cs="仿宋"/>
                <w:color w:val="auto"/>
                <w:spacing w:val="2"/>
                <w:w w:val="98"/>
                <w:sz w:val="24"/>
                <w:szCs w:val="24"/>
                <w:highlight w:val="none"/>
              </w:rPr>
              <w:t>±5</w:t>
            </w:r>
            <w:r>
              <w:rPr>
                <w:rFonts w:hint="eastAsia" w:ascii="仿宋" w:hAnsi="仿宋" w:eastAsia="仿宋" w:cs="仿宋"/>
                <w:color w:val="auto"/>
                <w:spacing w:val="-22"/>
                <w:w w:val="98"/>
                <w:sz w:val="24"/>
                <w:szCs w:val="24"/>
                <w:highlight w:val="none"/>
              </w:rPr>
              <w:t>%</w:t>
            </w:r>
            <w:r>
              <w:rPr>
                <w:rFonts w:hint="eastAsia" w:ascii="仿宋" w:hAnsi="仿宋" w:eastAsia="仿宋" w:cs="仿宋"/>
                <w:color w:val="auto"/>
                <w:spacing w:val="2"/>
                <w:w w:val="98"/>
                <w:sz w:val="24"/>
                <w:szCs w:val="24"/>
                <w:highlight w:val="none"/>
              </w:rPr>
              <w:t>（</w:t>
            </w:r>
            <w:r>
              <w:rPr>
                <w:rFonts w:hint="eastAsia" w:ascii="仿宋" w:hAnsi="仿宋" w:eastAsia="仿宋" w:cs="仿宋"/>
                <w:color w:val="auto"/>
                <w:w w:val="98"/>
                <w:sz w:val="24"/>
                <w:szCs w:val="24"/>
                <w:highlight w:val="none"/>
              </w:rPr>
              <w:t>标称值</w:t>
            </w:r>
            <w:r>
              <w:rPr>
                <w:rFonts w:hint="eastAsia" w:ascii="仿宋" w:hAnsi="仿宋" w:eastAsia="仿宋" w:cs="仿宋"/>
                <w:color w:val="auto"/>
                <w:spacing w:val="-106"/>
                <w:w w:val="98"/>
                <w:sz w:val="24"/>
                <w:szCs w:val="24"/>
                <w:highlight w:val="none"/>
              </w:rPr>
              <w:t>）</w:t>
            </w:r>
            <w:r>
              <w:rPr>
                <w:rFonts w:hint="eastAsia" w:ascii="仿宋" w:hAnsi="仿宋" w:eastAsia="仿宋" w:cs="仿宋"/>
                <w:color w:val="auto"/>
                <w:spacing w:val="-5"/>
                <w:w w:val="98"/>
                <w:sz w:val="24"/>
                <w:szCs w:val="24"/>
                <w:highlight w:val="none"/>
              </w:rPr>
              <w:t>；满量程</w:t>
            </w:r>
            <w:r>
              <w:rPr>
                <w:rFonts w:hint="eastAsia" w:ascii="仿宋" w:hAnsi="仿宋" w:eastAsia="仿宋" w:cs="仿宋"/>
                <w:color w:val="auto"/>
                <w:sz w:val="24"/>
                <w:szCs w:val="24"/>
                <w:highlight w:val="none"/>
              </w:rPr>
              <w:t xml:space="preserve"> ≤200μmol/mol（410mg/m³）时，±2.5%F.S.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vMerge w:val="continue"/>
            <w:tcBorders>
              <w:top w:val="nil"/>
              <w:bottom w:val="single" w:color="000000" w:sz="4" w:space="0"/>
              <w:right w:val="single" w:color="000000" w:sz="4" w:space="0"/>
            </w:tcBorders>
            <w:vAlign w:val="center"/>
          </w:tcPr>
          <w:p>
            <w:pPr>
              <w:spacing w:line="360" w:lineRule="auto"/>
              <w:rPr>
                <w:rFonts w:ascii="仿宋" w:hAnsi="仿宋" w:eastAsia="仿宋" w:cs="仿宋"/>
                <w:color w:val="auto"/>
                <w:sz w:val="24"/>
                <w:szCs w:val="24"/>
                <w:highlight w:val="none"/>
              </w:rPr>
            </w:pPr>
          </w:p>
        </w:tc>
        <w:tc>
          <w:tcPr>
            <w:tcW w:w="1773" w:type="dxa"/>
            <w:tcBorders>
              <w:top w:val="single" w:color="000000" w:sz="4" w:space="0"/>
              <w:left w:val="single" w:color="000000" w:sz="4" w:space="0"/>
              <w:bottom w:val="single" w:color="000000" w:sz="4" w:space="0"/>
              <w:right w:val="single" w:color="000000" w:sz="4" w:space="0"/>
            </w:tcBorders>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24 小时零点漂移 </w:t>
            </w:r>
          </w:p>
        </w:tc>
        <w:tc>
          <w:tcPr>
            <w:tcW w:w="5336" w:type="dxa"/>
            <w:tcBorders>
              <w:top w:val="single" w:color="000000" w:sz="4" w:space="0"/>
              <w:left w:val="single" w:color="000000" w:sz="4" w:space="0"/>
              <w:bottom w:val="single" w:color="000000" w:sz="4" w:space="0"/>
            </w:tcBorders>
            <w:vAlign w:val="center"/>
          </w:tcPr>
          <w:p>
            <w:pPr>
              <w:pStyle w:val="349"/>
              <w:spacing w:line="360" w:lineRule="auto"/>
              <w:ind w:right="226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±2.5% F.S.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vMerge w:val="continue"/>
            <w:tcBorders>
              <w:top w:val="nil"/>
              <w:bottom w:val="single" w:color="000000" w:sz="4" w:space="0"/>
              <w:right w:val="single" w:color="000000" w:sz="4" w:space="0"/>
            </w:tcBorders>
            <w:vAlign w:val="center"/>
          </w:tcPr>
          <w:p>
            <w:pPr>
              <w:spacing w:line="360" w:lineRule="auto"/>
              <w:rPr>
                <w:rFonts w:ascii="仿宋" w:hAnsi="仿宋" w:eastAsia="仿宋" w:cs="仿宋"/>
                <w:color w:val="auto"/>
                <w:sz w:val="24"/>
                <w:szCs w:val="24"/>
                <w:highlight w:val="none"/>
              </w:rPr>
            </w:pPr>
          </w:p>
        </w:tc>
        <w:tc>
          <w:tcPr>
            <w:tcW w:w="1773" w:type="dxa"/>
            <w:tcBorders>
              <w:top w:val="single" w:color="000000" w:sz="4" w:space="0"/>
              <w:left w:val="single" w:color="000000" w:sz="4" w:space="0"/>
              <w:bottom w:val="single" w:color="000000" w:sz="4" w:space="0"/>
              <w:right w:val="single" w:color="000000" w:sz="4" w:space="0"/>
            </w:tcBorders>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24 小时量程漂移 </w:t>
            </w:r>
          </w:p>
        </w:tc>
        <w:tc>
          <w:tcPr>
            <w:tcW w:w="5336" w:type="dxa"/>
            <w:tcBorders>
              <w:top w:val="single" w:color="000000" w:sz="4" w:space="0"/>
              <w:left w:val="single" w:color="000000" w:sz="4" w:space="0"/>
              <w:bottom w:val="single" w:color="000000" w:sz="4" w:space="0"/>
            </w:tcBorders>
            <w:vAlign w:val="center"/>
          </w:tcPr>
          <w:p>
            <w:pPr>
              <w:pStyle w:val="349"/>
              <w:spacing w:line="360" w:lineRule="auto"/>
              <w:ind w:right="226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±2.5% F.S.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vMerge w:val="continue"/>
            <w:tcBorders>
              <w:top w:val="nil"/>
              <w:bottom w:val="single" w:color="000000" w:sz="4" w:space="0"/>
              <w:right w:val="single" w:color="000000" w:sz="4" w:space="0"/>
            </w:tcBorders>
            <w:vAlign w:val="center"/>
          </w:tcPr>
          <w:p>
            <w:pPr>
              <w:spacing w:line="360" w:lineRule="auto"/>
              <w:rPr>
                <w:rFonts w:ascii="仿宋" w:hAnsi="仿宋" w:eastAsia="仿宋" w:cs="仿宋"/>
                <w:color w:val="auto"/>
                <w:sz w:val="24"/>
                <w:szCs w:val="24"/>
                <w:highlight w:val="none"/>
              </w:rPr>
            </w:pPr>
          </w:p>
        </w:tc>
        <w:tc>
          <w:tcPr>
            <w:tcW w:w="1773" w:type="dxa"/>
            <w:tcBorders>
              <w:top w:val="single" w:color="000000" w:sz="4" w:space="0"/>
              <w:left w:val="single" w:color="000000" w:sz="4" w:space="0"/>
              <w:bottom w:val="single" w:color="000000" w:sz="4" w:space="0"/>
              <w:right w:val="single" w:color="000000" w:sz="4" w:space="0"/>
            </w:tcBorders>
            <w:vAlign w:val="center"/>
          </w:tcPr>
          <w:p>
            <w:pPr>
              <w:pStyle w:val="349"/>
              <w:spacing w:line="360" w:lineRule="auto"/>
              <w:ind w:right="9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干扰成分影响 </w:t>
            </w:r>
          </w:p>
        </w:tc>
        <w:tc>
          <w:tcPr>
            <w:tcW w:w="5336" w:type="dxa"/>
            <w:tcBorders>
              <w:top w:val="single" w:color="000000" w:sz="4" w:space="0"/>
              <w:left w:val="single" w:color="000000" w:sz="4" w:space="0"/>
              <w:bottom w:val="single" w:color="000000" w:sz="4" w:space="0"/>
            </w:tcBorders>
            <w:vAlign w:val="center"/>
          </w:tcPr>
          <w:p>
            <w:pPr>
              <w:pStyle w:val="349"/>
              <w:spacing w:line="360" w:lineRule="auto"/>
              <w:ind w:right="226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 F.S.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tcBorders>
              <w:top w:val="single" w:color="000000" w:sz="4" w:space="0"/>
              <w:bottom w:val="single" w:color="000000" w:sz="4" w:space="0"/>
              <w:right w:val="single" w:color="000000" w:sz="4" w:space="0"/>
            </w:tcBorders>
            <w:vAlign w:val="center"/>
          </w:tcPr>
          <w:p>
            <w:pPr>
              <w:pStyle w:val="349"/>
              <w:spacing w:line="360" w:lineRule="auto"/>
              <w:ind w:right="17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氮氧化物监测单元</w:t>
            </w:r>
          </w:p>
        </w:tc>
        <w:tc>
          <w:tcPr>
            <w:tcW w:w="1773" w:type="dxa"/>
            <w:tcBorders>
              <w:top w:val="single" w:color="000000" w:sz="4" w:space="0"/>
              <w:left w:val="single" w:color="000000" w:sz="4" w:space="0"/>
              <w:bottom w:val="single" w:color="000000" w:sz="4" w:space="0"/>
              <w:right w:val="single" w:color="000000" w:sz="4" w:space="0"/>
            </w:tcBorders>
            <w:vAlign w:val="center"/>
          </w:tcPr>
          <w:p>
            <w:pPr>
              <w:pStyle w:val="349"/>
              <w:spacing w:line="360" w:lineRule="auto"/>
              <w:ind w:left="237"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准确度 </w:t>
            </w:r>
          </w:p>
        </w:tc>
        <w:tc>
          <w:tcPr>
            <w:tcW w:w="5336" w:type="dxa"/>
            <w:tcBorders>
              <w:top w:val="single" w:color="000000" w:sz="4" w:space="0"/>
              <w:left w:val="single" w:color="000000" w:sz="4" w:space="0"/>
              <w:bottom w:val="single" w:color="000000" w:sz="4" w:space="0"/>
            </w:tcBorders>
            <w:vAlign w:val="center"/>
          </w:tcPr>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排放浓度均值： </w:t>
            </w:r>
          </w:p>
          <w:p>
            <w:pPr>
              <w:pStyle w:val="349"/>
              <w:spacing w:line="360" w:lineRule="auto"/>
              <w:ind w:left="12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≥250μmol/mol（513mg/m³）时，相对准确度≤15%； </w:t>
            </w:r>
          </w:p>
          <w:p>
            <w:pPr>
              <w:pStyle w:val="349"/>
              <w:spacing w:line="360" w:lineRule="auto"/>
              <w:ind w:left="123" w:right="-29"/>
              <w:rPr>
                <w:rFonts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≥50μmol/mol（103mg/m³）～＜250μmol/mol（513mg/m³）</w:t>
            </w:r>
            <w:r>
              <w:rPr>
                <w:rFonts w:hint="eastAsia" w:ascii="仿宋" w:hAnsi="仿宋" w:eastAsia="仿宋" w:cs="仿宋"/>
                <w:color w:val="auto"/>
                <w:spacing w:val="-2"/>
                <w:sz w:val="24"/>
                <w:szCs w:val="24"/>
                <w:highlight w:val="none"/>
              </w:rPr>
              <w:t xml:space="preserve">时， </w:t>
            </w:r>
            <w:r>
              <w:rPr>
                <w:rFonts w:hint="eastAsia" w:ascii="仿宋" w:hAnsi="仿宋" w:eastAsia="仿宋" w:cs="仿宋"/>
                <w:color w:val="auto"/>
                <w:spacing w:val="-2"/>
                <w:w w:val="98"/>
                <w:sz w:val="24"/>
                <w:szCs w:val="24"/>
                <w:highlight w:val="none"/>
              </w:rPr>
              <w:t>绝对误差≤2</w:t>
            </w:r>
            <w:r>
              <w:rPr>
                <w:rFonts w:hint="eastAsia" w:ascii="仿宋" w:hAnsi="仿宋" w:eastAsia="仿宋" w:cs="仿宋"/>
                <w:color w:val="auto"/>
                <w:spacing w:val="2"/>
                <w:w w:val="98"/>
                <w:sz w:val="24"/>
                <w:szCs w:val="24"/>
                <w:highlight w:val="none"/>
              </w:rPr>
              <w:t>0</w:t>
            </w:r>
            <w:r>
              <w:rPr>
                <w:rFonts w:hint="eastAsia" w:ascii="仿宋" w:hAnsi="仿宋" w:eastAsia="仿宋" w:cs="仿宋"/>
                <w:color w:val="auto"/>
                <w:w w:val="98"/>
                <w:sz w:val="24"/>
                <w:szCs w:val="24"/>
                <w:highlight w:val="none"/>
              </w:rPr>
              <w:t>μ</w:t>
            </w:r>
            <w:r>
              <w:rPr>
                <w:rFonts w:hint="eastAsia" w:ascii="仿宋" w:hAnsi="仿宋" w:eastAsia="仿宋" w:cs="仿宋"/>
                <w:color w:val="auto"/>
                <w:spacing w:val="2"/>
                <w:w w:val="98"/>
                <w:sz w:val="24"/>
                <w:szCs w:val="24"/>
                <w:highlight w:val="none"/>
              </w:rPr>
              <w:t>m</w:t>
            </w:r>
            <w:r>
              <w:rPr>
                <w:rFonts w:hint="eastAsia" w:ascii="仿宋" w:hAnsi="仿宋" w:eastAsia="仿宋" w:cs="仿宋"/>
                <w:color w:val="auto"/>
                <w:w w:val="98"/>
                <w:sz w:val="24"/>
                <w:szCs w:val="24"/>
                <w:highlight w:val="none"/>
              </w:rPr>
              <w:t>o</w:t>
            </w:r>
            <w:r>
              <w:rPr>
                <w:rFonts w:hint="eastAsia" w:ascii="仿宋" w:hAnsi="仿宋" w:eastAsia="仿宋" w:cs="仿宋"/>
                <w:color w:val="auto"/>
                <w:spacing w:val="2"/>
                <w:w w:val="98"/>
                <w:sz w:val="24"/>
                <w:szCs w:val="24"/>
                <w:highlight w:val="none"/>
              </w:rPr>
              <w:t>l</w:t>
            </w:r>
            <w:r>
              <w:rPr>
                <w:rFonts w:hint="eastAsia" w:ascii="仿宋" w:hAnsi="仿宋" w:eastAsia="仿宋" w:cs="仿宋"/>
                <w:color w:val="auto"/>
                <w:spacing w:val="-3"/>
                <w:w w:val="98"/>
                <w:sz w:val="24"/>
                <w:szCs w:val="24"/>
                <w:highlight w:val="none"/>
              </w:rPr>
              <w:t>/</w:t>
            </w:r>
            <w:r>
              <w:rPr>
                <w:rFonts w:hint="eastAsia" w:ascii="仿宋" w:hAnsi="仿宋" w:eastAsia="仿宋" w:cs="仿宋"/>
                <w:color w:val="auto"/>
                <w:spacing w:val="2"/>
                <w:w w:val="98"/>
                <w:sz w:val="24"/>
                <w:szCs w:val="24"/>
                <w:highlight w:val="none"/>
              </w:rPr>
              <w:t>mo</w:t>
            </w:r>
            <w:r>
              <w:rPr>
                <w:rFonts w:hint="eastAsia" w:ascii="仿宋" w:hAnsi="仿宋" w:eastAsia="仿宋" w:cs="仿宋"/>
                <w:color w:val="auto"/>
                <w:spacing w:val="-3"/>
                <w:w w:val="98"/>
                <w:sz w:val="24"/>
                <w:szCs w:val="24"/>
                <w:highlight w:val="none"/>
              </w:rPr>
              <w:t>l</w:t>
            </w:r>
            <w:r>
              <w:rPr>
                <w:rFonts w:hint="eastAsia" w:ascii="仿宋" w:hAnsi="仿宋" w:eastAsia="仿宋" w:cs="仿宋"/>
                <w:color w:val="auto"/>
                <w:w w:val="98"/>
                <w:sz w:val="24"/>
                <w:szCs w:val="24"/>
                <w:highlight w:val="none"/>
              </w:rPr>
              <w:t>（</w:t>
            </w:r>
            <w:r>
              <w:rPr>
                <w:rFonts w:hint="eastAsia" w:ascii="仿宋" w:hAnsi="仿宋" w:eastAsia="仿宋" w:cs="仿宋"/>
                <w:color w:val="auto"/>
                <w:spacing w:val="2"/>
                <w:w w:val="98"/>
                <w:sz w:val="24"/>
                <w:szCs w:val="24"/>
                <w:highlight w:val="none"/>
              </w:rPr>
              <w:t>41m</w:t>
            </w:r>
            <w:r>
              <w:rPr>
                <w:rFonts w:hint="eastAsia" w:ascii="仿宋" w:hAnsi="仿宋" w:eastAsia="仿宋" w:cs="仿宋"/>
                <w:color w:val="auto"/>
                <w:spacing w:val="-3"/>
                <w:w w:val="98"/>
                <w:sz w:val="24"/>
                <w:szCs w:val="24"/>
                <w:highlight w:val="none"/>
              </w:rPr>
              <w:t>g</w:t>
            </w:r>
            <w:r>
              <w:rPr>
                <w:rFonts w:hint="eastAsia" w:ascii="仿宋" w:hAnsi="仿宋" w:eastAsia="仿宋" w:cs="仿宋"/>
                <w:color w:val="auto"/>
                <w:spacing w:val="2"/>
                <w:w w:val="98"/>
                <w:sz w:val="24"/>
                <w:szCs w:val="24"/>
                <w:highlight w:val="none"/>
              </w:rPr>
              <w:t>/</w:t>
            </w:r>
            <w:r>
              <w:rPr>
                <w:rFonts w:hint="eastAsia" w:ascii="仿宋" w:hAnsi="仿宋" w:eastAsia="仿宋" w:cs="仿宋"/>
                <w:color w:val="auto"/>
                <w:spacing w:val="-3"/>
                <w:w w:val="98"/>
                <w:sz w:val="24"/>
                <w:szCs w:val="24"/>
                <w:highlight w:val="none"/>
              </w:rPr>
              <w:t>m</w:t>
            </w:r>
            <w:r>
              <w:rPr>
                <w:rFonts w:hint="eastAsia" w:ascii="仿宋" w:hAnsi="仿宋" w:eastAsia="仿宋" w:cs="仿宋"/>
                <w:color w:val="auto"/>
                <w:w w:val="98"/>
                <w:sz w:val="24"/>
                <w:szCs w:val="24"/>
                <w:highlight w:val="none"/>
              </w:rPr>
              <w:t>³</w:t>
            </w:r>
            <w:r>
              <w:rPr>
                <w:rFonts w:hint="eastAsia" w:ascii="仿宋" w:hAnsi="仿宋" w:eastAsia="仿宋" w:cs="仿宋"/>
                <w:color w:val="auto"/>
                <w:spacing w:val="-105"/>
                <w:w w:val="98"/>
                <w:sz w:val="24"/>
                <w:szCs w:val="24"/>
                <w:highlight w:val="none"/>
              </w:rPr>
              <w:t>）</w:t>
            </w:r>
            <w:r>
              <w:rPr>
                <w:rFonts w:hint="eastAsia" w:ascii="仿宋" w:hAnsi="仿宋" w:eastAsia="仿宋" w:cs="仿宋"/>
                <w:color w:val="auto"/>
                <w:w w:val="98"/>
                <w:sz w:val="24"/>
                <w:szCs w:val="24"/>
                <w:highlight w:val="none"/>
              </w:rPr>
              <w:t>；</w:t>
            </w:r>
            <w:r>
              <w:rPr>
                <w:rFonts w:hint="eastAsia" w:ascii="仿宋" w:hAnsi="仿宋" w:eastAsia="仿宋" w:cs="仿宋"/>
                <w:color w:val="auto"/>
                <w:sz w:val="24"/>
                <w:szCs w:val="24"/>
                <w:highlight w:val="none"/>
              </w:rPr>
              <w:t xml:space="preserve"> </w:t>
            </w:r>
          </w:p>
          <w:p>
            <w:pPr>
              <w:pStyle w:val="349"/>
              <w:spacing w:line="360" w:lineRule="auto"/>
              <w:ind w:left="123" w:right="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≥20μmol/mol（41mg/m³）～&lt;50μmol/mol（103mg/m³）时，相对误差≤30%； </w:t>
            </w:r>
          </w:p>
          <w:p>
            <w:pPr>
              <w:pStyle w:val="349"/>
              <w:spacing w:line="360" w:lineRule="auto"/>
              <w:ind w:left="123" w:right="-2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&lt;20μmol/mol（41mg/m³）</w:t>
            </w:r>
            <w:r>
              <w:rPr>
                <w:rFonts w:hint="eastAsia" w:ascii="仿宋" w:hAnsi="仿宋" w:eastAsia="仿宋" w:cs="仿宋"/>
                <w:color w:val="auto"/>
                <w:spacing w:val="-2"/>
                <w:sz w:val="24"/>
                <w:szCs w:val="24"/>
                <w:highlight w:val="none"/>
              </w:rPr>
              <w:t>时，绝对误差≤</w:t>
            </w:r>
            <w:r>
              <w:rPr>
                <w:rFonts w:hint="eastAsia" w:ascii="仿宋" w:hAnsi="仿宋" w:eastAsia="仿宋" w:cs="仿宋"/>
                <w:color w:val="auto"/>
                <w:sz w:val="24"/>
                <w:szCs w:val="24"/>
                <w:highlight w:val="none"/>
              </w:rPr>
              <w:t>6μmol/mol（12</w:t>
            </w:r>
            <w:r>
              <w:rPr>
                <w:rFonts w:hint="eastAsia" w:ascii="仿宋" w:hAnsi="仿宋" w:eastAsia="仿宋" w:cs="仿宋"/>
                <w:color w:val="auto"/>
                <w:spacing w:val="-3"/>
                <w:sz w:val="24"/>
                <w:szCs w:val="24"/>
                <w:highlight w:val="none"/>
              </w:rPr>
              <w:t xml:space="preserve"> </w:t>
            </w:r>
            <w:r>
              <w:rPr>
                <w:rFonts w:hint="eastAsia" w:ascii="仿宋" w:hAnsi="仿宋" w:eastAsia="仿宋" w:cs="仿宋"/>
                <w:color w:val="auto"/>
                <w:sz w:val="24"/>
                <w:szCs w:val="24"/>
                <w:highlight w:val="none"/>
              </w:rPr>
              <w:t xml:space="preserve">mg/m ³）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07" w:type="dxa"/>
            <w:tcBorders>
              <w:top w:val="single" w:color="000000" w:sz="4" w:space="0"/>
              <w:right w:val="single" w:color="000000" w:sz="4" w:space="0"/>
            </w:tcBorders>
            <w:vAlign w:val="center"/>
          </w:tcPr>
          <w:p>
            <w:pPr>
              <w:pStyle w:val="349"/>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粉尘仪</w:t>
            </w:r>
          </w:p>
        </w:tc>
        <w:tc>
          <w:tcPr>
            <w:tcW w:w="1773" w:type="dxa"/>
            <w:tcBorders>
              <w:top w:val="single" w:color="000000" w:sz="4" w:space="0"/>
              <w:left w:val="single" w:color="000000" w:sz="4" w:space="0"/>
              <w:right w:val="single" w:color="000000" w:sz="4" w:space="0"/>
            </w:tcBorders>
            <w:vAlign w:val="center"/>
          </w:tcPr>
          <w:p>
            <w:pPr>
              <w:pStyle w:val="349"/>
              <w:spacing w:line="360" w:lineRule="auto"/>
              <w:ind w:right="99"/>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准确度</w:t>
            </w:r>
          </w:p>
        </w:tc>
        <w:tc>
          <w:tcPr>
            <w:tcW w:w="5336" w:type="dxa"/>
            <w:tcBorders>
              <w:top w:val="single" w:color="000000" w:sz="4" w:space="0"/>
              <w:left w:val="single" w:color="000000" w:sz="4" w:space="0"/>
            </w:tcBorders>
            <w:vAlign w:val="center"/>
          </w:tcPr>
          <w:p>
            <w:pPr>
              <w:pStyle w:val="349"/>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 小时零点漂移，量程漂移不超过±2.0%满量程</w:t>
            </w:r>
          </w:p>
        </w:tc>
      </w:tr>
    </w:tbl>
    <w:p>
      <w:pPr>
        <w:pStyle w:val="19"/>
        <w:spacing w:before="3"/>
        <w:rPr>
          <w:rFonts w:ascii="仿宋" w:hAnsi="仿宋" w:eastAsia="仿宋" w:cs="仿宋"/>
          <w:color w:val="auto"/>
          <w:sz w:val="8"/>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烟气参数性能指标要求参照 HJ/T76 标准中对烟气参数的技术要求。 </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4.2 数据查询和检索符合HJ 76-2017 要求。数据采集传输以及通讯协议均与招标方原有系统相兼容。 </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4.3 质量保证期：本项目环保验收合格之日起12个月为质量保证期。 </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4.3 设备运行中，如发生问题，投标方应在接到招标方通知后6小时内，派出技术人员到现场维修服务。</w:t>
      </w:r>
    </w:p>
    <w:p>
      <w:pPr>
        <w:pStyle w:val="3"/>
        <w:numPr>
          <w:ilvl w:val="0"/>
          <w:numId w:val="0"/>
        </w:numPr>
        <w:spacing w:before="156"/>
        <w:rPr>
          <w:rFonts w:ascii="仿宋" w:hAnsi="仿宋" w:eastAsia="仿宋" w:cs="仿宋"/>
          <w:b/>
          <w:bCs/>
          <w:color w:val="auto"/>
          <w:sz w:val="30"/>
          <w:szCs w:val="30"/>
          <w:highlight w:val="none"/>
        </w:rPr>
      </w:pPr>
      <w:bookmarkStart w:id="10" w:name="_Toc132192147"/>
      <w:bookmarkStart w:id="11" w:name="_Toc87625898"/>
      <w:r>
        <w:rPr>
          <w:rFonts w:hint="eastAsia" w:ascii="仿宋" w:hAnsi="仿宋" w:eastAsia="仿宋" w:cs="仿宋"/>
          <w:b/>
          <w:bCs/>
          <w:color w:val="auto"/>
          <w:sz w:val="30"/>
          <w:szCs w:val="30"/>
          <w:highlight w:val="none"/>
        </w:rPr>
        <w:t>5、技术资料要求</w:t>
      </w:r>
      <w:bookmarkEnd w:id="10"/>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投标方应根据招标书提出的设计条件、技术要求、供货范围等提供完整的标书文件和图纸资料，包括但不限于： </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设计总体说明、分析原理； </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测量分析系统原理图、产品外形图及安装尺寸图； </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安装施工调试要求，售后服务的条款和承诺； </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详细供货清单（包括备品备件、专用工具、检修仪表、易损件的清单）； </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业绩证明材料； 其它在技术协议中规定的文件、资料、数据； 投标方认为可能需要的其他文件。 </w:t>
      </w:r>
    </w:p>
    <w:bookmarkEnd w:id="11"/>
    <w:p>
      <w:pPr>
        <w:pStyle w:val="3"/>
        <w:numPr>
          <w:ilvl w:val="0"/>
          <w:numId w:val="0"/>
        </w:numPr>
        <w:spacing w:before="156"/>
        <w:rPr>
          <w:rFonts w:ascii="仿宋" w:hAnsi="仿宋" w:eastAsia="仿宋" w:cs="仿宋"/>
          <w:b/>
          <w:bCs/>
          <w:color w:val="auto"/>
          <w:sz w:val="30"/>
          <w:szCs w:val="30"/>
          <w:highlight w:val="none"/>
        </w:rPr>
      </w:pPr>
      <w:bookmarkStart w:id="12" w:name="_Toc132192148"/>
      <w:r>
        <w:rPr>
          <w:rFonts w:hint="eastAsia" w:ascii="仿宋" w:hAnsi="仿宋" w:eastAsia="仿宋" w:cs="仿宋"/>
          <w:b/>
          <w:bCs/>
          <w:color w:val="auto"/>
          <w:sz w:val="30"/>
          <w:szCs w:val="30"/>
          <w:highlight w:val="none"/>
        </w:rPr>
        <w:t>6、交货管理</w:t>
      </w:r>
      <w:bookmarkEnd w:id="12"/>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6.1 包装运输：投标方对提供的产品必须购买运输保险，妥善包装，运往招标人的指定地点安装现场。货物的包装材料、装箱以及固定方法等应达到运输标准，防止运输及库存过程中损坏或受潮现象。若因包装和运输过程发生产品的损毁，由投标方负完全责任，设备运输费、保险费由投标方负责。</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6.2 投标方应以书面方式提出储存产品对招标人的要求，以防止设备的任何损坏。</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6.3 交货地点：杭州杭新固体废物处置有限公司</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6.4 交货时间：签订合同后30天内，完成所有软硬件设备的安装、调试并交付使用。</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6.5本工程因生产需要，升级改造工期不得延误。若延误，招标方有权对投标方进行追责并索赔。</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6.6 本工程升级改造期间，不得影响招标方监测数据的正常上传。</w:t>
      </w:r>
    </w:p>
    <w:p>
      <w:pPr>
        <w:pStyle w:val="19"/>
        <w:spacing w:before="71" w:line="360" w:lineRule="auto"/>
        <w:rPr>
          <w:rFonts w:ascii="仿宋" w:hAnsi="仿宋" w:eastAsia="仿宋" w:cs="仿宋"/>
          <w:color w:val="auto"/>
          <w:highlight w:val="none"/>
        </w:rPr>
      </w:pPr>
      <w:r>
        <w:rPr>
          <w:rFonts w:hint="eastAsia" w:ascii="仿宋" w:hAnsi="仿宋" w:eastAsia="仿宋" w:cs="仿宋"/>
          <w:color w:val="auto"/>
          <w:sz w:val="24"/>
          <w:highlight w:val="none"/>
        </w:rPr>
        <w:t>6.7具体施工时间招标方提前7天通知投标方。</w:t>
      </w:r>
    </w:p>
    <w:p>
      <w:pPr>
        <w:pStyle w:val="3"/>
        <w:numPr>
          <w:ilvl w:val="0"/>
          <w:numId w:val="0"/>
        </w:numPr>
        <w:spacing w:before="156"/>
        <w:rPr>
          <w:rFonts w:ascii="仿宋" w:hAnsi="仿宋" w:eastAsia="仿宋" w:cs="仿宋"/>
          <w:b/>
          <w:bCs/>
          <w:color w:val="auto"/>
          <w:sz w:val="30"/>
          <w:szCs w:val="30"/>
          <w:highlight w:val="none"/>
        </w:rPr>
      </w:pPr>
      <w:bookmarkStart w:id="13" w:name="_Toc132192149"/>
      <w:r>
        <w:rPr>
          <w:rFonts w:hint="eastAsia" w:ascii="仿宋" w:hAnsi="仿宋" w:eastAsia="仿宋" w:cs="仿宋"/>
          <w:b/>
          <w:bCs/>
          <w:color w:val="auto"/>
          <w:sz w:val="30"/>
          <w:szCs w:val="30"/>
          <w:highlight w:val="none"/>
        </w:rPr>
        <w:t>7、验收管理</w:t>
      </w:r>
      <w:bookmarkEnd w:id="13"/>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7.1 产品到达招标方现场后，招标方组织人员对产品开箱进行数量和外观验收。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7.2 安装准备工作完成后，投标方必须通知招标方项目相关人员，由招标方项目相关人员与投标方现场负责人共同进行现场验收。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7.3设备安装过程中，投标方质量监督人员以及招标方项目相关人员全程监督。</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7.4 配合提供升级改造的整体验收、完成竣工资料及验收，并做好相关资料的移交。</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7.5货到招标方现场后，招标方方组织人员对所有设备开箱进行数量和外观验收；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7.6本项目所有设备安装调试完毕后，招标方进行安装调试验收。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7.7 投标方负责完成本项目所有CEMS 设备通过环保环保验收（组份： 高、中、低标气）并验收合格（含全程校准）。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7.8 验收时，投标方必须提供但不限于以下资料文件：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符合环保部门要求的验收资料、设备使用说明书</w:t>
      </w:r>
      <w:r>
        <w:rPr>
          <w:rFonts w:hint="eastAsia" w:ascii="仿宋" w:hAnsi="仿宋" w:eastAsia="仿宋" w:cs="仿宋"/>
          <w:b/>
          <w:bCs/>
          <w:color w:val="auto"/>
          <w:sz w:val="24"/>
          <w:highlight w:val="none"/>
        </w:rPr>
        <w:t>（中文）</w:t>
      </w:r>
      <w:r>
        <w:rPr>
          <w:rFonts w:hint="eastAsia" w:ascii="仿宋" w:hAnsi="仿宋" w:eastAsia="仿宋" w:cs="仿宋"/>
          <w:color w:val="auto"/>
          <w:sz w:val="24"/>
          <w:highlight w:val="none"/>
        </w:rPr>
        <w:t xml:space="preserve">、维护手册等及各文件的电子文档各肆份； 系统软件、通讯软件各一份。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7.9验收时，投标方必须完成，但不限于以下内容：</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1.完成HCl、CO、SO2、NOx、流速、温度、湿度、速度场、烟尘等技术指标的调试监测，监测单位要求为具备相应资质的第三方监测机构；</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2.完成HCl、CO、SO2、NOx、烟尘、流速、温度、湿度、速度场等技术指标的技术指标验收；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3.完成烟气在线监测系统联网验收；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4.完成技术和联网验收资料整合并于专家评审会通过；</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5.完成烟气在线监测系统在环保局完成备案；</w:t>
      </w:r>
      <w:bookmarkStart w:id="14" w:name="_Toc132192150"/>
    </w:p>
    <w:p>
      <w:pPr>
        <w:snapToGrid w:val="0"/>
        <w:spacing w:line="360" w:lineRule="auto"/>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8、售后服务及培训</w:t>
      </w:r>
      <w:bookmarkEnd w:id="14"/>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8.1 投标方需向招标方人员提供操作及维修培训，在投标书中定出具体的时间、地点、培训内容和项目等。</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8.2 投标方须按承诺提供售后服务及在保质期内的免费维修，超出保质期后的维修价格及配件价格按成本价计算收取。</w:t>
      </w:r>
    </w:p>
    <w:p>
      <w:pPr>
        <w:spacing w:line="360" w:lineRule="auto"/>
        <w:rPr>
          <w:rFonts w:ascii="仿宋" w:hAnsi="仿宋" w:eastAsia="仿宋" w:cs="仿宋"/>
          <w:b/>
          <w:bCs/>
          <w:color w:val="auto"/>
          <w:sz w:val="24"/>
          <w:szCs w:val="24"/>
          <w:highlight w:val="none"/>
        </w:rPr>
      </w:pPr>
      <w:r>
        <w:rPr>
          <w:rFonts w:hint="eastAsia" w:ascii="仿宋" w:hAnsi="仿宋" w:eastAsia="仿宋" w:cs="仿宋"/>
          <w:color w:val="auto"/>
          <w:sz w:val="24"/>
          <w:highlight w:val="none"/>
        </w:rPr>
        <w:t>8.3 在质保期内，投标方需承诺在收到招标方设备故障报修1小时内给以答复，6小时内携带故障处理所需的全部备品备件抵达维修现场。</w:t>
      </w:r>
    </w:p>
    <w:p>
      <w:pPr>
        <w:pStyle w:val="27"/>
        <w:tabs>
          <w:tab w:val="left" w:pos="1425"/>
        </w:tabs>
        <w:spacing w:line="440" w:lineRule="exact"/>
        <w:ind w:left="0"/>
        <w:jc w:val="center"/>
        <w:rPr>
          <w:rFonts w:ascii="仿宋" w:hAnsi="仿宋" w:eastAsia="仿宋" w:cs="仿宋"/>
          <w:b/>
          <w:bCs/>
          <w:color w:val="auto"/>
          <w:spacing w:val="-2"/>
          <w:sz w:val="36"/>
          <w:szCs w:val="36"/>
          <w:highlight w:val="none"/>
        </w:rPr>
      </w:pPr>
      <w:r>
        <w:rPr>
          <w:rStyle w:val="98"/>
          <w:rFonts w:hint="eastAsia" w:ascii="仿宋" w:hAnsi="仿宋" w:eastAsia="仿宋" w:cs="仿宋"/>
          <w:b/>
          <w:bCs/>
          <w:color w:val="auto"/>
          <w:sz w:val="36"/>
          <w:szCs w:val="36"/>
          <w:highlight w:val="none"/>
        </w:rPr>
        <w:t>第六章 商务条款</w:t>
      </w:r>
    </w:p>
    <w:p>
      <w:pPr>
        <w:autoSpaceDE w:val="0"/>
        <w:autoSpaceDN w:val="0"/>
        <w:adjustRightInd w:val="0"/>
        <w:spacing w:line="440" w:lineRule="exact"/>
        <w:ind w:firstLine="482" w:firstLineChars="20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一、总体要求</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1、必须符合招标文件(包括补充更正，如有）的技术要求和配置；必须是2023年7月1日以后生产的国内相应制造厂商生产并提供的原装合格产品；必须是符合国家质量技术标准的设备。</w:t>
      </w:r>
    </w:p>
    <w:p>
      <w:pPr>
        <w:autoSpaceDE w:val="0"/>
        <w:adjustRightInd w:val="0"/>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2、售后服务按</w:t>
      </w:r>
      <w:r>
        <w:rPr>
          <w:rFonts w:hint="eastAsia" w:ascii="仿宋" w:hAnsi="仿宋" w:eastAsia="仿宋" w:cs="仿宋"/>
          <w:bCs/>
          <w:color w:val="auto"/>
          <w:sz w:val="24"/>
          <w:highlight w:val="none"/>
        </w:rPr>
        <w:t>国家市场监督管理总局</w:t>
      </w:r>
      <w:r>
        <w:rPr>
          <w:rFonts w:hint="eastAsia" w:ascii="仿宋" w:hAnsi="仿宋" w:eastAsia="仿宋" w:cs="仿宋"/>
          <w:color w:val="auto"/>
          <w:sz w:val="24"/>
          <w:szCs w:val="24"/>
          <w:highlight w:val="none"/>
        </w:rPr>
        <w:t>和国家其他有关规定执行，国家没有规定的按厂商规定执行。国家规定标准低于厂商标准的按厂商标准执行。</w:t>
      </w:r>
    </w:p>
    <w:p>
      <w:pPr>
        <w:autoSpaceDE w:val="0"/>
        <w:autoSpaceDN w:val="0"/>
        <w:adjustRightInd w:val="0"/>
        <w:snapToGrid w:val="0"/>
        <w:spacing w:line="440" w:lineRule="exact"/>
        <w:ind w:left="-181" w:leftChars="-86" w:right="-178" w:rightChars="-85" w:firstLine="720" w:firstLineChars="299"/>
        <w:textAlignment w:val="bottom"/>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二、付款方式</w:t>
      </w:r>
    </w:p>
    <w:p>
      <w:pPr>
        <w:autoSpaceDE w:val="0"/>
        <w:autoSpaceDN w:val="0"/>
        <w:adjustRightInd w:val="0"/>
        <w:snapToGrid w:val="0"/>
        <w:spacing w:line="440" w:lineRule="exact"/>
        <w:ind w:left="-181" w:leftChars="-86" w:right="-178" w:rightChars="-85" w:firstLine="720" w:firstLineChars="300"/>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按财务结算要求，通过银行划账方式结算。</w:t>
      </w:r>
    </w:p>
    <w:p>
      <w:pPr>
        <w:autoSpaceDE w:val="0"/>
        <w:autoSpaceDN w:val="0"/>
        <w:adjustRightInd w:val="0"/>
        <w:spacing w:line="440" w:lineRule="exact"/>
        <w:ind w:firstLine="482"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三、售后服务及培训</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1、投标方需向招标方人员提供操作及维修培训，在投标书中定出具体的时间、地点、培训内容和项目等。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2、投标方须按承诺提供售后服务及在保质期内的免费维修，超出保质期后的维修价格及配件价格按成本价计算收取。</w:t>
      </w:r>
    </w:p>
    <w:p>
      <w:pPr>
        <w:autoSpaceDE w:val="0"/>
        <w:autoSpaceDN w:val="0"/>
        <w:adjustRightIn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3、在质保期内，投标方需承诺在收到招标方设备故障报修1小时内给以答复，6小时内携带故障处理所需的全部备品备件抵达维修现场。</w:t>
      </w:r>
    </w:p>
    <w:p>
      <w:pPr>
        <w:autoSpaceDE w:val="0"/>
        <w:autoSpaceDN w:val="0"/>
        <w:adjustRightInd w:val="0"/>
        <w:spacing w:line="440" w:lineRule="exact"/>
        <w:ind w:firstLine="482"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五、交货管理</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 包装运输：投标方对提供的产品必须购买运输保险，妥善包装，运往招标人的指定地点安装现场。货物的包装材料、装箱以及固定方法等应达到运输标准，防止运输及库存过程中损坏或受潮现象。若因包装和运输过程发生产品的损毁，由投标方负完全责任，设备运输费、保险费由投标方负责。</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 投标方应以书面方式提出储存产品对招标人的要求，以防止设备的任何损坏。</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 交货地点：杭州杭新固体废物处置有限公司</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 交货时间：签订合同后30天内，完成所有软硬件设备的安装、调试并交付使用。</w:t>
      </w:r>
    </w:p>
    <w:p>
      <w:pPr>
        <w:pStyle w:val="19"/>
        <w:spacing w:before="71"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5、本工程因生产需要，升级改造工期不得延误。若延误，招标方有权对投标方进行追责并索赔。</w:t>
      </w:r>
    </w:p>
    <w:p>
      <w:pPr>
        <w:autoSpaceDE w:val="0"/>
        <w:autoSpaceDN w:val="0"/>
        <w:adjustRightInd w:val="0"/>
        <w:spacing w:line="440" w:lineRule="exact"/>
        <w:jc w:val="left"/>
        <w:rPr>
          <w:rFonts w:ascii="仿宋" w:hAnsi="仿宋" w:eastAsia="仿宋" w:cs="仿宋"/>
          <w:b/>
          <w:bCs/>
          <w:color w:val="auto"/>
          <w:sz w:val="24"/>
          <w:szCs w:val="24"/>
          <w:highlight w:val="none"/>
        </w:rPr>
      </w:pPr>
      <w:r>
        <w:rPr>
          <w:rFonts w:hint="eastAsia" w:ascii="仿宋" w:hAnsi="仿宋" w:eastAsia="仿宋" w:cs="仿宋"/>
          <w:color w:val="auto"/>
          <w:sz w:val="24"/>
          <w:highlight w:val="none"/>
        </w:rPr>
        <w:t>6、具体施工时间招标方提前7天通知投标方。</w:t>
      </w:r>
    </w:p>
    <w:p>
      <w:pPr>
        <w:autoSpaceDE w:val="0"/>
        <w:autoSpaceDN w:val="0"/>
        <w:adjustRightInd w:val="0"/>
        <w:spacing w:line="440" w:lineRule="exact"/>
        <w:ind w:firstLine="482" w:firstLineChars="200"/>
        <w:jc w:val="left"/>
        <w:rPr>
          <w:rFonts w:ascii="仿宋" w:hAnsi="仿宋" w:eastAsia="仿宋" w:cs="仿宋"/>
          <w:color w:val="auto"/>
          <w:highlight w:val="none"/>
        </w:rPr>
      </w:pPr>
      <w:r>
        <w:rPr>
          <w:rFonts w:hint="eastAsia" w:ascii="仿宋" w:hAnsi="仿宋" w:eastAsia="仿宋" w:cs="仿宋"/>
          <w:b/>
          <w:bCs/>
          <w:color w:val="auto"/>
          <w:sz w:val="24"/>
          <w:szCs w:val="24"/>
          <w:highlight w:val="none"/>
        </w:rPr>
        <w:t>六、验收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 产品到达招标方现场后，招标方组织人员对产品开箱进行数量和外观验收。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 安装准备工作完成后，投标方必须通知招标方项目相关人员，由招标方项目相关人员与投标方现场负责人共同进行现场验收。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3、设备安装过程中，投标方质量监督人员以及招标方项目相关人员全程监督。</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 配合提供升级改造的整体验收、完成竣工资料及验收，并做好相关资料的移交。</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5、货到招标方现场后，招标方组织人员对所有设备开箱进行数量和外观验收；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6、本项目所有设备安装调试完毕后，招标方进行安装调试验收。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7、 投标方负责完成本项目所有CEMS 设备通过环保验收（组份： 高、中、低标气）并验收合格（含全程校准）。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8、 验收时，投标方必须提供但不限于以下资料文件：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符合环保部门要求的验收资料、设备使用说明书、维护手册等及各文件的电子文档各肆份； 系统软件、通讯软件各一份。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9、验收时，投标方必须完成，但不限于以下内容：</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（1）.完成HCl、CO、SO2、NOx、流速、温度、湿度、速度场、烟尘等技术指标的调试监测，监测单位要求为具备相应资质的第三方监测机构；</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（2）.完成HCl、CO、SO2、NOx、烟尘、流速、温度、湿度、速度场等技术指标的技术指标验收；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（3）.完成烟气在线监测系统联网验收；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（4）.完成技术和联网验收资料整合并于专家评审会通过；</w:t>
      </w:r>
    </w:p>
    <w:p>
      <w:pPr>
        <w:widowControl/>
        <w:autoSpaceDE w:val="0"/>
        <w:autoSpaceDN w:val="0"/>
        <w:spacing w:line="440" w:lineRule="exact"/>
        <w:ind w:right="-178" w:rightChars="-85"/>
        <w:textAlignment w:val="bottom"/>
        <w:rPr>
          <w:rFonts w:ascii="仿宋" w:hAnsi="仿宋" w:eastAsia="仿宋" w:cs="仿宋"/>
          <w:color w:val="auto"/>
          <w:sz w:val="24"/>
          <w:szCs w:val="24"/>
          <w:highlight w:val="none"/>
        </w:rPr>
      </w:pPr>
      <w:r>
        <w:rPr>
          <w:rFonts w:hint="eastAsia" w:ascii="仿宋" w:hAnsi="仿宋" w:eastAsia="仿宋" w:cs="仿宋"/>
          <w:color w:val="auto"/>
          <w:sz w:val="24"/>
          <w:highlight w:val="none"/>
        </w:rPr>
        <w:t>（5）.完成烟气在线监测系统在环保局完成备案；</w:t>
      </w:r>
    </w:p>
    <w:p>
      <w:pPr>
        <w:widowControl/>
        <w:autoSpaceDE w:val="0"/>
        <w:autoSpaceDN w:val="0"/>
        <w:spacing w:line="440" w:lineRule="exact"/>
        <w:ind w:left="-181" w:leftChars="-86" w:right="-178" w:rightChars="-85" w:firstLine="600" w:firstLineChars="250"/>
        <w:textAlignment w:val="bottom"/>
        <w:rPr>
          <w:rFonts w:ascii="仿宋" w:hAnsi="仿宋" w:eastAsia="仿宋" w:cs="仿宋"/>
          <w:color w:val="auto"/>
          <w:sz w:val="24"/>
          <w:szCs w:val="24"/>
          <w:highlight w:val="none"/>
        </w:rPr>
      </w:pPr>
    </w:p>
    <w:p>
      <w:pPr>
        <w:pStyle w:val="56"/>
        <w:ind w:firstLine="480"/>
        <w:rPr>
          <w:rFonts w:ascii="仿宋" w:hAnsi="仿宋" w:eastAsia="仿宋" w:cs="仿宋"/>
          <w:color w:val="auto"/>
          <w:sz w:val="24"/>
          <w:szCs w:val="24"/>
          <w:highlight w:val="none"/>
        </w:rPr>
      </w:pPr>
    </w:p>
    <w:p>
      <w:pPr>
        <w:rPr>
          <w:rStyle w:val="98"/>
          <w:rFonts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br w:type="page"/>
      </w:r>
    </w:p>
    <w:p>
      <w:pPr>
        <w:pStyle w:val="27"/>
        <w:tabs>
          <w:tab w:val="left" w:pos="1425"/>
        </w:tabs>
        <w:spacing w:line="440" w:lineRule="exact"/>
        <w:jc w:val="center"/>
        <w:rPr>
          <w:rStyle w:val="98"/>
          <w:rFonts w:ascii="仿宋" w:hAnsi="仿宋" w:eastAsia="仿宋" w:cs="仿宋"/>
          <w:color w:val="auto"/>
          <w:sz w:val="36"/>
          <w:szCs w:val="36"/>
          <w:highlight w:val="none"/>
        </w:rPr>
      </w:pPr>
      <w:r>
        <w:rPr>
          <w:rStyle w:val="98"/>
          <w:rFonts w:hint="eastAsia" w:ascii="仿宋" w:hAnsi="仿宋" w:eastAsia="仿宋" w:cs="仿宋"/>
          <w:b/>
          <w:bCs/>
          <w:color w:val="auto"/>
          <w:sz w:val="36"/>
          <w:szCs w:val="36"/>
          <w:highlight w:val="none"/>
        </w:rPr>
        <w:t>第七章 财务结算</w:t>
      </w:r>
    </w:p>
    <w:p>
      <w:pPr>
        <w:rPr>
          <w:rFonts w:ascii="仿宋" w:hAnsi="仿宋" w:eastAsia="仿宋" w:cs="仿宋"/>
          <w:color w:val="auto"/>
          <w:highlight w:val="none"/>
        </w:rPr>
      </w:pPr>
    </w:p>
    <w:p>
      <w:pPr>
        <w:spacing w:line="360" w:lineRule="auto"/>
        <w:ind w:right="-178" w:rightChars="-85"/>
        <w:rPr>
          <w:rFonts w:ascii="仿宋" w:hAnsi="仿宋" w:eastAsia="仿宋" w:cs="仿宋"/>
          <w:b/>
          <w:bCs/>
          <w:color w:val="auto"/>
          <w:sz w:val="24"/>
          <w:szCs w:val="24"/>
          <w:highlight w:val="none"/>
        </w:rPr>
      </w:pPr>
      <w:bookmarkStart w:id="15" w:name="_Toc512498655"/>
      <w:r>
        <w:rPr>
          <w:rFonts w:hint="eastAsia" w:ascii="仿宋" w:hAnsi="仿宋" w:eastAsia="仿宋" w:cs="仿宋"/>
          <w:b/>
          <w:bCs/>
          <w:color w:val="auto"/>
          <w:sz w:val="24"/>
          <w:szCs w:val="24"/>
          <w:highlight w:val="none"/>
        </w:rPr>
        <w:t>一、投标保证金的</w:t>
      </w:r>
      <w:bookmarkEnd w:id="15"/>
      <w:r>
        <w:rPr>
          <w:rFonts w:hint="eastAsia" w:ascii="仿宋" w:hAnsi="仿宋" w:eastAsia="仿宋" w:cs="仿宋"/>
          <w:b/>
          <w:bCs/>
          <w:color w:val="auto"/>
          <w:sz w:val="24"/>
          <w:szCs w:val="24"/>
          <w:highlight w:val="none"/>
        </w:rPr>
        <w:t>退还</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当在本项目合同签订后 5 日内向中标人和未中标的投标人退还投标保证金</w:t>
      </w:r>
      <w:r>
        <w:rPr>
          <w:rFonts w:hint="eastAsia" w:ascii="仿宋" w:hAnsi="仿宋" w:eastAsia="仿宋" w:cs="仿宋"/>
          <w:bCs/>
          <w:color w:val="auto"/>
          <w:sz w:val="24"/>
          <w:highlight w:val="none"/>
          <w:lang w:eastAsia="zh-CN"/>
        </w:rPr>
        <w:t>（无息）</w:t>
      </w:r>
      <w:r>
        <w:rPr>
          <w:rFonts w:hint="eastAsia" w:ascii="仿宋" w:hAnsi="仿宋" w:eastAsia="仿宋" w:cs="仿宋"/>
          <w:bCs/>
          <w:color w:val="auto"/>
          <w:sz w:val="24"/>
          <w:highlight w:val="none"/>
        </w:rPr>
        <w:t>。若无其他问题，浙江建安工程管理有限公司建德分公司自动办理退款手续（财务室联系电话：0571-64791222，邹女士）</w:t>
      </w:r>
    </w:p>
    <w:p>
      <w:pPr>
        <w:spacing w:line="360" w:lineRule="auto"/>
        <w:ind w:right="-178" w:rightChars="-85"/>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二、项目款的结算</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采购单位根据合同、投标文件等资料进行验收。</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采购单位合同签订生效后15日内，</w:t>
      </w:r>
      <w:r>
        <w:rPr>
          <w:rFonts w:hint="eastAsia" w:ascii="仿宋" w:hAnsi="仿宋" w:eastAsia="仿宋" w:cs="仿宋"/>
          <w:color w:val="auto"/>
          <w:sz w:val="24"/>
          <w:szCs w:val="24"/>
          <w:highlight w:val="none"/>
        </w:rPr>
        <w:t>支付合同总价30%预付款，安装调试完成并</w:t>
      </w:r>
      <w:r>
        <w:rPr>
          <w:rFonts w:hint="eastAsia" w:ascii="仿宋" w:hAnsi="仿宋" w:eastAsia="仿宋" w:cs="仿宋"/>
          <w:bCs/>
          <w:color w:val="auto"/>
          <w:sz w:val="24"/>
          <w:szCs w:val="24"/>
          <w:highlight w:val="none"/>
        </w:rPr>
        <w:t>试运行三个月合格后支付合同总价的60%，系统稳定运行半年后，递交用户使用报告，进行终验，终验合格后，由采购单位向成交供应商支付剩余10%项目款。</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结算时，成交供应商将结款申请1份、发票原件（开具当期应付金额）及复印件1份、合同复印件1份和经采购单位验收确认的《建德市政府采购验收反馈表》（验收通过后需提供验收报告）提交采购单位，由采购单位向成交供应商支付结算当期项目款。</w:t>
      </w:r>
    </w:p>
    <w:p>
      <w:pPr>
        <w:spacing w:line="360" w:lineRule="auto"/>
        <w:ind w:right="-178" w:rightChars="-85"/>
        <w:rPr>
          <w:rFonts w:ascii="仿宋" w:hAnsi="仿宋" w:eastAsia="仿宋" w:cs="仿宋"/>
          <w:bCs/>
          <w:color w:val="auto"/>
          <w:sz w:val="24"/>
          <w:szCs w:val="24"/>
          <w:highlight w:val="none"/>
        </w:rPr>
      </w:pPr>
      <w:r>
        <w:rPr>
          <w:rFonts w:hint="eastAsia" w:ascii="仿宋" w:hAnsi="仿宋" w:eastAsia="仿宋" w:cs="仿宋"/>
          <w:b/>
          <w:bCs/>
          <w:color w:val="auto"/>
          <w:sz w:val="24"/>
          <w:szCs w:val="24"/>
          <w:highlight w:val="none"/>
        </w:rPr>
        <w:t>三、履约保证金：</w:t>
      </w:r>
    </w:p>
    <w:p>
      <w:pPr>
        <w:spacing w:line="360" w:lineRule="auto"/>
        <w:ind w:firstLine="480" w:firstLineChars="200"/>
        <w:rPr>
          <w:rFonts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正式合同签订生效之日起7个工作日内，由成交供应商缴纳</w:t>
      </w:r>
      <w:r>
        <w:rPr>
          <w:rFonts w:hint="eastAsia" w:ascii="仿宋" w:hAnsi="仿宋" w:eastAsia="仿宋" w:cs="仿宋"/>
          <w:bCs/>
          <w:color w:val="auto"/>
          <w:sz w:val="24"/>
          <w:highlight w:val="none"/>
        </w:rPr>
        <w:t>成交金额</w:t>
      </w:r>
      <w:r>
        <w:rPr>
          <w:rFonts w:hint="eastAsia" w:ascii="仿宋" w:hAnsi="仿宋" w:eastAsia="仿宋" w:cs="仿宋"/>
          <w:bCs/>
          <w:color w:val="auto"/>
          <w:sz w:val="24"/>
          <w:highlight w:val="none"/>
          <w:lang w:val="zh-CN"/>
        </w:rPr>
        <w:t>的</w:t>
      </w:r>
      <w:r>
        <w:rPr>
          <w:rFonts w:hint="eastAsia" w:ascii="仿宋" w:hAnsi="仿宋" w:eastAsia="仿宋" w:cs="仿宋"/>
          <w:bCs/>
          <w:color w:val="auto"/>
          <w:sz w:val="24"/>
          <w:highlight w:val="none"/>
        </w:rPr>
        <w:t>2.</w:t>
      </w:r>
      <w:r>
        <w:rPr>
          <w:rFonts w:hint="eastAsia" w:ascii="仿宋" w:hAnsi="仿宋" w:eastAsia="仿宋" w:cs="仿宋"/>
          <w:bCs/>
          <w:color w:val="auto"/>
          <w:sz w:val="24"/>
          <w:highlight w:val="none"/>
          <w:lang w:val="zh-CN"/>
        </w:rPr>
        <w:t>5%作为履约保证金至采购单位指定账户（可采用银行、保险公司出具保函形式提交）。</w:t>
      </w:r>
      <w:r>
        <w:rPr>
          <w:rFonts w:hint="eastAsia" w:ascii="仿宋" w:hAnsi="仿宋" w:eastAsia="仿宋" w:cs="仿宋"/>
          <w:bCs/>
          <w:color w:val="auto"/>
          <w:sz w:val="24"/>
          <w:highlight w:val="none"/>
        </w:rPr>
        <w:t>履约结束</w:t>
      </w:r>
      <w:r>
        <w:rPr>
          <w:rFonts w:hint="eastAsia" w:ascii="仿宋" w:hAnsi="仿宋" w:eastAsia="仿宋" w:cs="仿宋"/>
          <w:bCs/>
          <w:color w:val="auto"/>
          <w:sz w:val="24"/>
          <w:highlight w:val="none"/>
          <w:lang w:val="zh-CN"/>
        </w:rPr>
        <w:t>无质量、服务问题，</w:t>
      </w:r>
      <w:r>
        <w:rPr>
          <w:rFonts w:hint="eastAsia" w:ascii="仿宋" w:hAnsi="仿宋" w:eastAsia="仿宋" w:cs="仿宋"/>
          <w:bCs/>
          <w:color w:val="auto"/>
          <w:sz w:val="24"/>
          <w:highlight w:val="none"/>
        </w:rPr>
        <w:t>凭结款申请1份、合同复印件1份，经采购单位签署意见的《建德市政府采购回访意见单》（一式四份）提交采购单位，</w:t>
      </w:r>
      <w:r>
        <w:rPr>
          <w:rFonts w:hint="eastAsia" w:ascii="仿宋" w:hAnsi="仿宋" w:eastAsia="仿宋" w:cs="仿宋"/>
          <w:bCs/>
          <w:color w:val="auto"/>
          <w:sz w:val="24"/>
          <w:highlight w:val="none"/>
          <w:lang w:val="zh-CN"/>
        </w:rPr>
        <w:t>由采购单位向成交供应商无息退还。</w:t>
      </w:r>
      <w:r>
        <w:rPr>
          <w:rFonts w:hint="eastAsia" w:ascii="仿宋" w:hAnsi="仿宋" w:eastAsia="仿宋" w:cs="仿宋"/>
          <w:bCs/>
          <w:color w:val="auto"/>
          <w:sz w:val="24"/>
          <w:highlight w:val="none"/>
        </w:rPr>
        <w:t>由于成交供应商迟迟不提出结算申请致使保证金逾期结算的，责任由成交供应商自负。</w:t>
      </w:r>
      <w:r>
        <w:rPr>
          <w:rFonts w:hint="eastAsia" w:ascii="仿宋" w:hAnsi="仿宋" w:eastAsia="仿宋" w:cs="仿宋"/>
          <w:bCs/>
          <w:color w:val="auto"/>
          <w:sz w:val="24"/>
          <w:highlight w:val="none"/>
          <w:lang w:val="zh-CN"/>
        </w:rPr>
        <w:t>因成交供应商的质量、服务问题原因造成采购单位损失的，采购单位有权要求成交供应商以其履约保证金作出补偿。</w:t>
      </w:r>
    </w:p>
    <w:p>
      <w:pPr>
        <w:spacing w:line="360" w:lineRule="auto"/>
        <w:ind w:firstLine="715" w:firstLineChars="200"/>
        <w:rPr>
          <w:rStyle w:val="98"/>
          <w:rFonts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br w:type="page"/>
      </w:r>
    </w:p>
    <w:p>
      <w:pPr>
        <w:spacing w:line="500" w:lineRule="exact"/>
        <w:jc w:val="center"/>
        <w:rPr>
          <w:rStyle w:val="98"/>
          <w:rFonts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第八章  建德市采购合同</w:t>
      </w:r>
    </w:p>
    <w:p>
      <w:pPr>
        <w:pStyle w:val="25"/>
        <w:snapToGrid w:val="0"/>
        <w:spacing w:line="336"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（本合同为合同样稿，最终稿由三方协商后确定）</w:t>
      </w:r>
    </w:p>
    <w:p>
      <w:pPr>
        <w:pStyle w:val="25"/>
        <w:snapToGrid w:val="0"/>
        <w:spacing w:line="440" w:lineRule="exact"/>
        <w:jc w:val="center"/>
        <w:rPr>
          <w:rFonts w:ascii="仿宋" w:hAnsi="仿宋" w:eastAsia="仿宋" w:cs="仿宋"/>
          <w:color w:val="auto"/>
          <w:sz w:val="24"/>
          <w:highlight w:val="none"/>
        </w:rPr>
      </w:pPr>
      <w:r>
        <w:rPr>
          <w:rFonts w:hint="eastAsia" w:ascii="仿宋" w:hAnsi="仿宋" w:eastAsia="仿宋" w:cs="仿宋"/>
          <w:b/>
          <w:color w:val="auto"/>
          <w:sz w:val="24"/>
          <w:szCs w:val="24"/>
          <w:highlight w:val="none"/>
        </w:rPr>
        <w:t>合同编号：</w:t>
      </w:r>
      <w:r>
        <w:rPr>
          <w:rFonts w:hint="eastAsia" w:ascii="仿宋" w:hAnsi="仿宋" w:eastAsia="仿宋" w:cs="仿宋"/>
          <w:b/>
          <w:color w:val="auto"/>
          <w:sz w:val="24"/>
          <w:szCs w:val="24"/>
          <w:highlight w:val="none"/>
          <w:lang w:eastAsia="zh-CN"/>
        </w:rPr>
        <w:t>ZJJAJD2024B-019</w:t>
      </w:r>
      <w:r>
        <w:rPr>
          <w:rFonts w:hint="eastAsia" w:ascii="仿宋" w:hAnsi="仿宋" w:eastAsia="仿宋" w:cs="仿宋"/>
          <w:b/>
          <w:color w:val="auto"/>
          <w:sz w:val="24"/>
          <w:szCs w:val="24"/>
          <w:highlight w:val="none"/>
        </w:rPr>
        <w:t xml:space="preserve">    </w:t>
      </w:r>
    </w:p>
    <w:p>
      <w:pPr>
        <w:spacing w:after="156"/>
        <w:jc w:val="left"/>
        <w:rPr>
          <w:rFonts w:ascii="仿宋" w:hAnsi="仿宋" w:eastAsia="仿宋" w:cs="仿宋"/>
          <w:color w:val="auto"/>
          <w:sz w:val="24"/>
          <w:highlight w:val="none"/>
        </w:rPr>
      </w:pPr>
    </w:p>
    <w:p>
      <w:pPr>
        <w:pStyle w:val="25"/>
        <w:snapToGrid w:val="0"/>
        <w:spacing w:line="4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甲方（采购单位）：杭州杭新固体废物处置有限公司</w:t>
      </w:r>
    </w:p>
    <w:p>
      <w:pPr>
        <w:pStyle w:val="25"/>
        <w:snapToGrid w:val="0"/>
        <w:spacing w:line="4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乙方（中标单位）：</w:t>
      </w:r>
    </w:p>
    <w:p>
      <w:pPr>
        <w:pStyle w:val="25"/>
        <w:snapToGrid w:val="0"/>
        <w:spacing w:line="500" w:lineRule="exact"/>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见证方（代理机构）：浙江建安工程管理有限公司</w:t>
      </w:r>
    </w:p>
    <w:p>
      <w:pPr>
        <w:pStyle w:val="25"/>
        <w:snapToGrid w:val="0"/>
        <w:spacing w:line="440" w:lineRule="exact"/>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根据《中华人民共和国政府采购法》《中华人民共和国民法典》的规定，经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（采购方式），确定乙方为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（项目全称）的中标单位。为明确双方的权利和义务，经甲乙双方协商达成合同如下：</w:t>
      </w:r>
    </w:p>
    <w:p>
      <w:pPr>
        <w:pStyle w:val="25"/>
        <w:snapToGrid w:val="0"/>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第一条：货物内容、数量、价款</w:t>
      </w:r>
    </w:p>
    <w:tbl>
      <w:tblPr>
        <w:tblStyle w:val="48"/>
        <w:tblW w:w="4995"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58"/>
        <w:gridCol w:w="580"/>
        <w:gridCol w:w="2925"/>
        <w:gridCol w:w="465"/>
        <w:gridCol w:w="697"/>
        <w:gridCol w:w="1905"/>
        <w:gridCol w:w="19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507" w:type="pct"/>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仿宋" w:hAnsi="仿宋" w:eastAsia="仿宋" w:cs="仿宋"/>
                <w:color w:val="auto"/>
                <w:highlight w:val="none"/>
              </w:rPr>
            </w:pPr>
            <w:r>
              <w:rPr>
                <w:rFonts w:hint="eastAsia" w:ascii="仿宋" w:hAnsi="仿宋" w:eastAsia="仿宋" w:cs="仿宋"/>
                <w:color w:val="auto"/>
                <w:highlight w:val="none"/>
              </w:rPr>
              <w:t>项目（货物）名称</w:t>
            </w:r>
          </w:p>
        </w:tc>
        <w:tc>
          <w:tcPr>
            <w:tcW w:w="307" w:type="pct"/>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仿宋" w:hAnsi="仿宋" w:eastAsia="仿宋" w:cs="仿宋"/>
                <w:color w:val="auto"/>
                <w:highlight w:val="none"/>
              </w:rPr>
            </w:pPr>
            <w:r>
              <w:rPr>
                <w:rFonts w:hint="eastAsia" w:ascii="仿宋" w:hAnsi="仿宋" w:eastAsia="仿宋" w:cs="仿宋"/>
                <w:color w:val="auto"/>
                <w:highlight w:val="none"/>
              </w:rPr>
              <w:t>品牌</w:t>
            </w:r>
          </w:p>
        </w:tc>
        <w:tc>
          <w:tcPr>
            <w:tcW w:w="1548" w:type="pct"/>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仿宋" w:hAnsi="仿宋" w:eastAsia="仿宋" w:cs="仿宋"/>
                <w:color w:val="auto"/>
                <w:highlight w:val="none"/>
              </w:rPr>
            </w:pPr>
            <w:r>
              <w:rPr>
                <w:rFonts w:hint="eastAsia" w:ascii="仿宋" w:hAnsi="仿宋" w:eastAsia="仿宋" w:cs="仿宋"/>
                <w:color w:val="auto"/>
                <w:highlight w:val="none"/>
              </w:rPr>
              <w:t>规格型号（或配置）及主要技术参数</w:t>
            </w:r>
          </w:p>
        </w:tc>
        <w:tc>
          <w:tcPr>
            <w:tcW w:w="246" w:type="pct"/>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仿宋" w:hAnsi="仿宋" w:eastAsia="仿宋" w:cs="仿宋"/>
                <w:color w:val="auto"/>
                <w:highlight w:val="none"/>
              </w:rPr>
            </w:pPr>
            <w:r>
              <w:rPr>
                <w:rFonts w:hint="eastAsia" w:ascii="仿宋" w:hAnsi="仿宋" w:eastAsia="仿宋" w:cs="仿宋"/>
                <w:color w:val="auto"/>
                <w:highlight w:val="none"/>
              </w:rPr>
              <w:t>单位</w:t>
            </w:r>
          </w:p>
        </w:tc>
        <w:tc>
          <w:tcPr>
            <w:tcW w:w="369" w:type="pct"/>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仿宋" w:hAnsi="仿宋" w:eastAsia="仿宋" w:cs="仿宋"/>
                <w:color w:val="auto"/>
                <w:highlight w:val="none"/>
              </w:rPr>
            </w:pPr>
            <w:r>
              <w:rPr>
                <w:rFonts w:hint="eastAsia" w:ascii="仿宋" w:hAnsi="仿宋" w:eastAsia="仿宋" w:cs="仿宋"/>
                <w:color w:val="auto"/>
                <w:highlight w:val="none"/>
              </w:rPr>
              <w:t>暂定数量</w:t>
            </w:r>
          </w:p>
        </w:tc>
        <w:tc>
          <w:tcPr>
            <w:tcW w:w="1008" w:type="pct"/>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仿宋" w:hAnsi="仿宋" w:eastAsia="仿宋" w:cs="仿宋"/>
                <w:color w:val="auto"/>
                <w:highlight w:val="none"/>
              </w:rPr>
            </w:pPr>
            <w:r>
              <w:rPr>
                <w:rFonts w:hint="eastAsia" w:ascii="仿宋" w:hAnsi="仿宋" w:eastAsia="仿宋" w:cs="仿宋"/>
                <w:color w:val="auto"/>
                <w:highlight w:val="none"/>
              </w:rPr>
              <w:t>中标单价（元）</w:t>
            </w:r>
          </w:p>
        </w:tc>
        <w:tc>
          <w:tcPr>
            <w:tcW w:w="1011" w:type="pct"/>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仿宋" w:hAnsi="仿宋" w:eastAsia="仿宋" w:cs="仿宋"/>
                <w:color w:val="auto"/>
                <w:highlight w:val="none"/>
              </w:rPr>
            </w:pPr>
            <w:r>
              <w:rPr>
                <w:rFonts w:hint="eastAsia" w:ascii="仿宋" w:hAnsi="仿宋" w:eastAsia="仿宋" w:cs="仿宋"/>
                <w:color w:val="auto"/>
                <w:highlight w:val="none"/>
              </w:rPr>
              <w:t>中标合价（元）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7" w:type="pct"/>
            <w:vAlign w:val="center"/>
          </w:tcPr>
          <w:p>
            <w:pPr>
              <w:adjustRightInd w:val="0"/>
              <w:snapToGrid w:val="0"/>
              <w:spacing w:line="240" w:lineRule="atLeast"/>
              <w:rPr>
                <w:rFonts w:ascii="仿宋" w:hAnsi="仿宋" w:eastAsia="仿宋" w:cs="仿宋"/>
                <w:color w:val="auto"/>
                <w:highlight w:val="none"/>
              </w:rPr>
            </w:pPr>
          </w:p>
        </w:tc>
        <w:tc>
          <w:tcPr>
            <w:tcW w:w="307" w:type="pct"/>
            <w:vAlign w:val="center"/>
          </w:tcPr>
          <w:p>
            <w:pPr>
              <w:adjustRightInd w:val="0"/>
              <w:snapToGrid w:val="0"/>
              <w:spacing w:line="240" w:lineRule="atLeast"/>
              <w:rPr>
                <w:rFonts w:ascii="仿宋" w:hAnsi="仿宋" w:eastAsia="仿宋" w:cs="仿宋"/>
                <w:color w:val="auto"/>
                <w:highlight w:val="none"/>
              </w:rPr>
            </w:pPr>
          </w:p>
        </w:tc>
        <w:tc>
          <w:tcPr>
            <w:tcW w:w="1548" w:type="pct"/>
            <w:vAlign w:val="center"/>
          </w:tcPr>
          <w:p>
            <w:pPr>
              <w:adjustRightInd w:val="0"/>
              <w:snapToGrid w:val="0"/>
              <w:spacing w:line="240" w:lineRule="atLeast"/>
              <w:rPr>
                <w:rFonts w:ascii="仿宋" w:hAnsi="仿宋" w:eastAsia="仿宋" w:cs="仿宋"/>
                <w:color w:val="auto"/>
                <w:highlight w:val="none"/>
              </w:rPr>
            </w:pPr>
          </w:p>
        </w:tc>
        <w:tc>
          <w:tcPr>
            <w:tcW w:w="246" w:type="pct"/>
            <w:vAlign w:val="center"/>
          </w:tcPr>
          <w:p>
            <w:pPr>
              <w:adjustRightInd w:val="0"/>
              <w:snapToGrid w:val="0"/>
              <w:spacing w:line="240" w:lineRule="atLeast"/>
              <w:jc w:val="center"/>
              <w:rPr>
                <w:rFonts w:ascii="仿宋" w:hAnsi="仿宋" w:eastAsia="仿宋" w:cs="仿宋"/>
                <w:color w:val="auto"/>
                <w:highlight w:val="none"/>
              </w:rPr>
            </w:pPr>
          </w:p>
        </w:tc>
        <w:tc>
          <w:tcPr>
            <w:tcW w:w="369" w:type="pct"/>
            <w:vAlign w:val="center"/>
          </w:tcPr>
          <w:p>
            <w:pPr>
              <w:adjustRightInd w:val="0"/>
              <w:snapToGrid w:val="0"/>
              <w:spacing w:line="240" w:lineRule="atLeast"/>
              <w:jc w:val="center"/>
              <w:rPr>
                <w:rFonts w:ascii="仿宋" w:hAnsi="仿宋" w:eastAsia="仿宋" w:cs="仿宋"/>
                <w:color w:val="auto"/>
                <w:highlight w:val="none"/>
              </w:rPr>
            </w:pPr>
          </w:p>
        </w:tc>
        <w:tc>
          <w:tcPr>
            <w:tcW w:w="1008" w:type="pct"/>
            <w:vAlign w:val="center"/>
          </w:tcPr>
          <w:p>
            <w:pPr>
              <w:adjustRightInd w:val="0"/>
              <w:snapToGrid w:val="0"/>
              <w:spacing w:line="240" w:lineRule="atLeast"/>
              <w:rPr>
                <w:rFonts w:ascii="仿宋" w:hAnsi="仿宋" w:eastAsia="仿宋" w:cs="仿宋"/>
                <w:color w:val="auto"/>
                <w:highlight w:val="none"/>
              </w:rPr>
            </w:pPr>
          </w:p>
        </w:tc>
        <w:tc>
          <w:tcPr>
            <w:tcW w:w="1011" w:type="pct"/>
            <w:vAlign w:val="center"/>
          </w:tcPr>
          <w:p>
            <w:pPr>
              <w:adjustRightInd w:val="0"/>
              <w:snapToGrid w:val="0"/>
              <w:spacing w:line="240" w:lineRule="atLeas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7" w:type="pct"/>
            <w:vAlign w:val="center"/>
          </w:tcPr>
          <w:p>
            <w:pPr>
              <w:adjustRightInd w:val="0"/>
              <w:snapToGrid w:val="0"/>
              <w:spacing w:line="240" w:lineRule="atLeast"/>
              <w:rPr>
                <w:rFonts w:ascii="仿宋" w:hAnsi="仿宋" w:eastAsia="仿宋" w:cs="仿宋"/>
                <w:color w:val="auto"/>
                <w:highlight w:val="none"/>
              </w:rPr>
            </w:pPr>
          </w:p>
        </w:tc>
        <w:tc>
          <w:tcPr>
            <w:tcW w:w="307" w:type="pct"/>
            <w:vAlign w:val="center"/>
          </w:tcPr>
          <w:p>
            <w:pPr>
              <w:adjustRightInd w:val="0"/>
              <w:snapToGrid w:val="0"/>
              <w:spacing w:line="240" w:lineRule="atLeast"/>
              <w:rPr>
                <w:rFonts w:ascii="仿宋" w:hAnsi="仿宋" w:eastAsia="仿宋" w:cs="仿宋"/>
                <w:color w:val="auto"/>
                <w:highlight w:val="none"/>
              </w:rPr>
            </w:pPr>
          </w:p>
        </w:tc>
        <w:tc>
          <w:tcPr>
            <w:tcW w:w="1548" w:type="pct"/>
            <w:vAlign w:val="center"/>
          </w:tcPr>
          <w:p>
            <w:pPr>
              <w:adjustRightInd w:val="0"/>
              <w:snapToGrid w:val="0"/>
              <w:spacing w:line="240" w:lineRule="atLeast"/>
              <w:rPr>
                <w:rFonts w:ascii="仿宋" w:hAnsi="仿宋" w:eastAsia="仿宋" w:cs="仿宋"/>
                <w:color w:val="auto"/>
                <w:highlight w:val="none"/>
              </w:rPr>
            </w:pPr>
          </w:p>
        </w:tc>
        <w:tc>
          <w:tcPr>
            <w:tcW w:w="246" w:type="pct"/>
            <w:vAlign w:val="center"/>
          </w:tcPr>
          <w:p>
            <w:pPr>
              <w:adjustRightInd w:val="0"/>
              <w:snapToGrid w:val="0"/>
              <w:spacing w:line="240" w:lineRule="atLeast"/>
              <w:jc w:val="center"/>
              <w:rPr>
                <w:rFonts w:ascii="仿宋" w:hAnsi="仿宋" w:eastAsia="仿宋" w:cs="仿宋"/>
                <w:color w:val="auto"/>
                <w:highlight w:val="none"/>
              </w:rPr>
            </w:pPr>
          </w:p>
        </w:tc>
        <w:tc>
          <w:tcPr>
            <w:tcW w:w="369" w:type="pct"/>
            <w:vAlign w:val="center"/>
          </w:tcPr>
          <w:p>
            <w:pPr>
              <w:adjustRightInd w:val="0"/>
              <w:snapToGrid w:val="0"/>
              <w:spacing w:line="240" w:lineRule="atLeast"/>
              <w:jc w:val="center"/>
              <w:rPr>
                <w:rFonts w:ascii="仿宋" w:hAnsi="仿宋" w:eastAsia="仿宋" w:cs="仿宋"/>
                <w:color w:val="auto"/>
                <w:highlight w:val="none"/>
              </w:rPr>
            </w:pPr>
          </w:p>
        </w:tc>
        <w:tc>
          <w:tcPr>
            <w:tcW w:w="1008" w:type="pct"/>
            <w:vAlign w:val="center"/>
          </w:tcPr>
          <w:p>
            <w:pPr>
              <w:adjustRightInd w:val="0"/>
              <w:snapToGrid w:val="0"/>
              <w:spacing w:line="240" w:lineRule="atLeast"/>
              <w:rPr>
                <w:rFonts w:ascii="仿宋" w:hAnsi="仿宋" w:eastAsia="仿宋" w:cs="仿宋"/>
                <w:color w:val="auto"/>
                <w:highlight w:val="none"/>
              </w:rPr>
            </w:pPr>
          </w:p>
        </w:tc>
        <w:tc>
          <w:tcPr>
            <w:tcW w:w="1011" w:type="pct"/>
            <w:vAlign w:val="center"/>
          </w:tcPr>
          <w:p>
            <w:pPr>
              <w:adjustRightInd w:val="0"/>
              <w:snapToGrid w:val="0"/>
              <w:spacing w:line="240" w:lineRule="atLeast"/>
              <w:rPr>
                <w:rFonts w:ascii="仿宋" w:hAnsi="仿宋" w:eastAsia="仿宋" w:cs="仿宋"/>
                <w:color w:val="auto"/>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27"/>
              <w:jc w:val="center"/>
              <w:rPr>
                <w:rFonts w:ascii="仿宋" w:hAnsi="仿宋" w:eastAsia="仿宋" w:cs="仿宋"/>
                <w:color w:val="auto"/>
                <w:kern w:val="0"/>
                <w:highlight w:val="none"/>
              </w:rPr>
            </w:pPr>
            <w:r>
              <w:rPr>
                <w:rFonts w:hint="eastAsia" w:ascii="仿宋" w:hAnsi="仿宋" w:eastAsia="仿宋" w:cs="仿宋"/>
                <w:color w:val="auto"/>
                <w:kern w:val="0"/>
                <w:highlight w:val="none"/>
              </w:rPr>
              <w:t>总价：人民币</w:t>
            </w:r>
            <w:r>
              <w:rPr>
                <w:rFonts w:hint="eastAsia" w:ascii="仿宋" w:hAnsi="仿宋" w:eastAsia="仿宋" w:cs="仿宋"/>
                <w:color w:val="auto"/>
                <w:kern w:val="0"/>
                <w:highlight w:val="none"/>
                <w:u w:val="single"/>
              </w:rPr>
              <w:t xml:space="preserve">       元整</w:t>
            </w:r>
          </w:p>
        </w:tc>
      </w:tr>
    </w:tbl>
    <w:p>
      <w:pPr>
        <w:autoSpaceDE w:val="0"/>
        <w:autoSpaceDN w:val="0"/>
        <w:adjustRightInd w:val="0"/>
        <w:jc w:val="left"/>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注：</w:t>
      </w:r>
      <w:r>
        <w:rPr>
          <w:rFonts w:hint="eastAsia" w:ascii="仿宋" w:hAnsi="仿宋" w:eastAsia="仿宋" w:cs="仿宋"/>
          <w:color w:val="auto"/>
          <w:sz w:val="24"/>
          <w:highlight w:val="none"/>
        </w:rPr>
        <w:t>本项目为交钥匙工程，以上金额包含产品生产、供货、运输、装卸、税金、辅助工作及售后服务等完成本项目的所有费用。</w:t>
      </w:r>
    </w:p>
    <w:p>
      <w:pPr>
        <w:tabs>
          <w:tab w:val="left" w:pos="5500"/>
        </w:tabs>
        <w:autoSpaceDE w:val="0"/>
        <w:adjustRightInd w:val="0"/>
        <w:snapToGrid w:val="0"/>
        <w:spacing w:line="440" w:lineRule="exact"/>
        <w:ind w:firstLine="480"/>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第二条：质量要求：</w:t>
      </w:r>
    </w:p>
    <w:p>
      <w:pPr>
        <w:autoSpaceDE w:val="0"/>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乙方保证所供商品(包括商品部件、配件）是2023年7月1日以后生产的、未使用过的，符合国家规定的技术规格和质量标准的出厂原装合格产品，并且是完全符合本次招标文件(包括补充更正，如有）中采购货物要求所规定的技术参数和质量要求。</w:t>
      </w:r>
    </w:p>
    <w:p>
      <w:pPr>
        <w:autoSpaceDE w:val="0"/>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2、售后服务按</w:t>
      </w:r>
      <w:r>
        <w:rPr>
          <w:rFonts w:hint="eastAsia" w:ascii="仿宋" w:hAnsi="仿宋" w:eastAsia="仿宋" w:cs="仿宋"/>
          <w:bCs/>
          <w:color w:val="auto"/>
          <w:sz w:val="24"/>
          <w:highlight w:val="none"/>
        </w:rPr>
        <w:t>国家市场监督管理总局</w:t>
      </w:r>
      <w:r>
        <w:rPr>
          <w:rFonts w:hint="eastAsia" w:ascii="仿宋" w:hAnsi="仿宋" w:eastAsia="仿宋" w:cs="仿宋"/>
          <w:color w:val="auto"/>
          <w:sz w:val="24"/>
          <w:szCs w:val="24"/>
          <w:highlight w:val="none"/>
        </w:rPr>
        <w:t>和国家其他有关规定执行，国家没有规定的按厂商规定执行。国家规定标准低于厂商标准的按厂商标准执行。</w:t>
      </w:r>
    </w:p>
    <w:p>
      <w:pPr>
        <w:tabs>
          <w:tab w:val="left" w:pos="5500"/>
        </w:tabs>
        <w:autoSpaceDE w:val="0"/>
        <w:adjustRightInd w:val="0"/>
        <w:snapToGrid w:val="0"/>
        <w:spacing w:line="440" w:lineRule="exact"/>
        <w:ind w:firstLine="482" w:firstLineChars="200"/>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第三条：合同履行时间、地点</w:t>
      </w:r>
    </w:p>
    <w:p>
      <w:pPr>
        <w:autoSpaceDE w:val="0"/>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1、供货时间：签订合同后</w:t>
      </w:r>
      <w:r>
        <w:rPr>
          <w:rFonts w:hint="eastAsia" w:ascii="仿宋" w:hAnsi="仿宋" w:eastAsia="仿宋" w:cs="仿宋"/>
          <w:color w:val="auto"/>
          <w:sz w:val="24"/>
          <w:szCs w:val="24"/>
          <w:highlight w:val="none"/>
          <w:u w:val="single"/>
        </w:rPr>
        <w:t xml:space="preserve">   日历</w:t>
      </w:r>
      <w:r>
        <w:rPr>
          <w:rFonts w:hint="eastAsia" w:ascii="仿宋" w:hAnsi="仿宋" w:eastAsia="仿宋" w:cs="仿宋"/>
          <w:color w:val="auto"/>
          <w:sz w:val="24"/>
          <w:szCs w:val="24"/>
          <w:highlight w:val="none"/>
        </w:rPr>
        <w:t>天内。如遇特殊情况采购单位要求推迟供货、实施或验收的，必须事先征得成交供应商的同意。如在规定的时间内由于成交供应商的原因不能完成供货的，成交供应商应承担由此给采购单位造成的损失。</w:t>
      </w:r>
    </w:p>
    <w:p>
      <w:pPr>
        <w:autoSpaceDE w:val="0"/>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2、合同履行地点：根据甲方实际要求确定。</w:t>
      </w:r>
    </w:p>
    <w:p>
      <w:pPr>
        <w:autoSpaceDE w:val="0"/>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3、凡合同所列产品停产或市场断货，乙方可在不影响甲方生产要求的前提下，提供相应配置高于原配置的商品。</w:t>
      </w:r>
    </w:p>
    <w:p>
      <w:pPr>
        <w:autoSpaceDE w:val="0"/>
        <w:adjustRightInd w:val="0"/>
        <w:snapToGrid w:val="0"/>
        <w:spacing w:line="440" w:lineRule="exact"/>
        <w:ind w:firstLine="482" w:firstLineChars="200"/>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第四条：验收时间、组织</w:t>
      </w:r>
    </w:p>
    <w:p>
      <w:pPr>
        <w:widowControl/>
        <w:autoSpaceDE w:val="0"/>
        <w:autoSpaceDN w:val="0"/>
        <w:spacing w:line="440" w:lineRule="exact"/>
        <w:ind w:left="-181" w:leftChars="-86" w:right="-178" w:rightChars="-85" w:firstLine="600" w:firstLineChars="250"/>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提供系统产品的有效检验材料，经甲方认可后，与合同的技术指标一起作为验收标准。甲方对系统产品验收合格后，在《建德市政府采购验收反馈表》上签署意见并加盖单位公章。验收中发现系统产品达不到验收标准或合同规定的技术指标，乙方必须更换，并负担由此给甲方造成的损失，直到验收合格为止。</w:t>
      </w:r>
    </w:p>
    <w:p>
      <w:pPr>
        <w:widowControl/>
        <w:autoSpaceDE w:val="0"/>
        <w:autoSpaceDN w:val="0"/>
        <w:spacing w:line="440" w:lineRule="exact"/>
        <w:ind w:left="-181" w:leftChars="-86" w:right="-178" w:rightChars="-85" w:firstLine="600" w:firstLineChars="250"/>
        <w:textAlignment w:val="bottom"/>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验收费用由产品供应商承担。</w:t>
      </w:r>
    </w:p>
    <w:p>
      <w:pPr>
        <w:autoSpaceDE w:val="0"/>
        <w:adjustRightInd w:val="0"/>
        <w:snapToGrid w:val="0"/>
        <w:spacing w:line="440" w:lineRule="exact"/>
        <w:ind w:firstLine="482" w:firstLineChars="200"/>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第五条：项目款支付</w:t>
      </w:r>
    </w:p>
    <w:p>
      <w:pPr>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甲方根据合同、投标文件等资料进行验收。</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szCs w:val="24"/>
          <w:highlight w:val="none"/>
        </w:rPr>
        <w:t>采购单位合同签订生效后15日内，</w:t>
      </w:r>
      <w:r>
        <w:rPr>
          <w:rFonts w:hint="eastAsia" w:ascii="仿宋" w:hAnsi="仿宋" w:eastAsia="仿宋" w:cs="仿宋"/>
          <w:color w:val="auto"/>
          <w:sz w:val="24"/>
          <w:szCs w:val="24"/>
          <w:highlight w:val="none"/>
        </w:rPr>
        <w:t>支付合同总价30%预付款，安装调试完成并</w:t>
      </w:r>
      <w:r>
        <w:rPr>
          <w:rFonts w:hint="eastAsia" w:ascii="仿宋" w:hAnsi="仿宋" w:eastAsia="仿宋" w:cs="仿宋"/>
          <w:bCs/>
          <w:color w:val="auto"/>
          <w:sz w:val="24"/>
          <w:szCs w:val="24"/>
          <w:highlight w:val="none"/>
        </w:rPr>
        <w:t>试运行三个月合格后支付合同总价的60%，系统稳定运行半年后，递交用户使用报告，进行终验，终验合格后，由采购单位向成交供应商支付剩余10%项目款。</w:t>
      </w:r>
    </w:p>
    <w:p>
      <w:pPr>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结算时，成交供应商将结款申请1份、发票原件（开具当期应付金额）及复印件1份、合同复印件1份和经采购单位验收确认的《建德市政府采购验收反馈表》（验收通过后需提供验收报告）提交采购单位，由采购单位向成交供应商支付结算当期项目款。</w:t>
      </w:r>
    </w:p>
    <w:p>
      <w:pPr>
        <w:autoSpaceDE w:val="0"/>
        <w:adjustRightInd w:val="0"/>
        <w:spacing w:line="480" w:lineRule="exact"/>
        <w:ind w:right="113" w:rightChars="54" w:firstLine="504" w:firstLineChars="209"/>
        <w:jc w:val="left"/>
        <w:rPr>
          <w:rFonts w:ascii="仿宋" w:hAnsi="仿宋" w:eastAsia="仿宋" w:cs="仿宋"/>
          <w:b/>
          <w:color w:val="auto"/>
          <w:sz w:val="24"/>
          <w:highlight w:val="none"/>
        </w:rPr>
      </w:pPr>
      <w:r>
        <w:rPr>
          <w:rFonts w:hint="eastAsia" w:ascii="仿宋" w:hAnsi="仿宋" w:eastAsia="仿宋" w:cs="仿宋"/>
          <w:b/>
          <w:color w:val="auto"/>
          <w:sz w:val="24"/>
          <w:highlight w:val="none"/>
        </w:rPr>
        <w:t>第六条：履约保证金</w:t>
      </w:r>
    </w:p>
    <w:p>
      <w:pPr>
        <w:spacing w:line="360" w:lineRule="auto"/>
        <w:ind w:firstLine="480" w:firstLineChars="200"/>
        <w:rPr>
          <w:rFonts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在正式合同签订生效之日起7个工作日内，由成交供应商缴纳</w:t>
      </w:r>
      <w:r>
        <w:rPr>
          <w:rFonts w:hint="eastAsia" w:ascii="仿宋" w:hAnsi="仿宋" w:eastAsia="仿宋" w:cs="仿宋"/>
          <w:bCs/>
          <w:color w:val="auto"/>
          <w:sz w:val="24"/>
          <w:highlight w:val="none"/>
        </w:rPr>
        <w:t>成交金额</w:t>
      </w:r>
      <w:r>
        <w:rPr>
          <w:rFonts w:hint="eastAsia" w:ascii="仿宋" w:hAnsi="仿宋" w:eastAsia="仿宋" w:cs="仿宋"/>
          <w:bCs/>
          <w:color w:val="auto"/>
          <w:sz w:val="24"/>
          <w:highlight w:val="none"/>
          <w:lang w:val="zh-CN"/>
        </w:rPr>
        <w:t>的</w:t>
      </w:r>
      <w:r>
        <w:rPr>
          <w:rFonts w:hint="eastAsia" w:ascii="仿宋" w:hAnsi="仿宋" w:eastAsia="仿宋" w:cs="仿宋"/>
          <w:bCs/>
          <w:color w:val="auto"/>
          <w:sz w:val="24"/>
          <w:highlight w:val="none"/>
        </w:rPr>
        <w:t>2.</w:t>
      </w:r>
      <w:r>
        <w:rPr>
          <w:rFonts w:hint="eastAsia" w:ascii="仿宋" w:hAnsi="仿宋" w:eastAsia="仿宋" w:cs="仿宋"/>
          <w:bCs/>
          <w:color w:val="auto"/>
          <w:sz w:val="24"/>
          <w:highlight w:val="none"/>
          <w:lang w:val="zh-CN"/>
        </w:rPr>
        <w:t>5%作为履约保证金至采购单位指定账户（可采用银行、保险公司出具保函形式提交）。</w:t>
      </w:r>
      <w:r>
        <w:rPr>
          <w:rFonts w:hint="eastAsia" w:ascii="仿宋" w:hAnsi="仿宋" w:eastAsia="仿宋" w:cs="仿宋"/>
          <w:bCs/>
          <w:color w:val="auto"/>
          <w:sz w:val="24"/>
          <w:highlight w:val="none"/>
        </w:rPr>
        <w:t>履约结束</w:t>
      </w:r>
      <w:r>
        <w:rPr>
          <w:rFonts w:hint="eastAsia" w:ascii="仿宋" w:hAnsi="仿宋" w:eastAsia="仿宋" w:cs="仿宋"/>
          <w:bCs/>
          <w:color w:val="auto"/>
          <w:sz w:val="24"/>
          <w:highlight w:val="none"/>
          <w:lang w:val="zh-CN"/>
        </w:rPr>
        <w:t>无质量、服务问题，</w:t>
      </w:r>
      <w:r>
        <w:rPr>
          <w:rFonts w:hint="eastAsia" w:ascii="仿宋" w:hAnsi="仿宋" w:eastAsia="仿宋" w:cs="仿宋"/>
          <w:bCs/>
          <w:color w:val="auto"/>
          <w:sz w:val="24"/>
          <w:highlight w:val="none"/>
        </w:rPr>
        <w:t>凭结款申请1份、合同复印件1份，经采购单位签署意见的《建德市政府采购回访意见单》（一式四份）提交采购单位，</w:t>
      </w:r>
      <w:r>
        <w:rPr>
          <w:rFonts w:hint="eastAsia" w:ascii="仿宋" w:hAnsi="仿宋" w:eastAsia="仿宋" w:cs="仿宋"/>
          <w:bCs/>
          <w:color w:val="auto"/>
          <w:sz w:val="24"/>
          <w:highlight w:val="none"/>
          <w:lang w:val="zh-CN"/>
        </w:rPr>
        <w:t>由采购单位向成交供应商无息退还。</w:t>
      </w:r>
      <w:r>
        <w:rPr>
          <w:rFonts w:hint="eastAsia" w:ascii="仿宋" w:hAnsi="仿宋" w:eastAsia="仿宋" w:cs="仿宋"/>
          <w:bCs/>
          <w:color w:val="auto"/>
          <w:sz w:val="24"/>
          <w:highlight w:val="none"/>
        </w:rPr>
        <w:t>由于成交供应商迟迟不提出结算申请致使保证金逾期结算的，责任由成交供应商自负。</w:t>
      </w:r>
      <w:r>
        <w:rPr>
          <w:rFonts w:hint="eastAsia" w:ascii="仿宋" w:hAnsi="仿宋" w:eastAsia="仿宋" w:cs="仿宋"/>
          <w:bCs/>
          <w:color w:val="auto"/>
          <w:sz w:val="24"/>
          <w:highlight w:val="none"/>
          <w:lang w:val="zh-CN"/>
        </w:rPr>
        <w:t>因成交供应商的质量、服务问题原因造成采购单位损失的，采购单位有权要求成交供应商以其履约保证金作出补偿。</w:t>
      </w:r>
    </w:p>
    <w:p>
      <w:pPr>
        <w:autoSpaceDE w:val="0"/>
        <w:adjustRightInd w:val="0"/>
        <w:snapToGrid w:val="0"/>
        <w:spacing w:line="440" w:lineRule="exact"/>
        <w:ind w:firstLine="504" w:firstLineChars="209"/>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第七条：售后服务</w:t>
      </w:r>
    </w:p>
    <w:p>
      <w:pPr>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售后服务按不低于国家市场监督管理总局和国家其他有关规定执行，国家没有规</w:t>
      </w:r>
      <w:r>
        <w:rPr>
          <w:rFonts w:hint="eastAsia" w:ascii="仿宋" w:hAnsi="仿宋" w:eastAsia="仿宋" w:cs="仿宋"/>
          <w:color w:val="auto"/>
          <w:sz w:val="24"/>
          <w:szCs w:val="24"/>
          <w:highlight w:val="none"/>
        </w:rPr>
        <w:t>定的按厂商规定执行。国家规定标准低于厂商标准的按厂商标准执行。</w:t>
      </w:r>
    </w:p>
    <w:p>
      <w:pPr>
        <w:autoSpaceDE w:val="0"/>
        <w:autoSpaceDN w:val="0"/>
        <w:adjustRightInd w:val="0"/>
        <w:spacing w:line="440" w:lineRule="exact"/>
        <w:ind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1、本项目货物使用过程中，乙方应确保正常使用。在接到甲方反馈问题后在</w:t>
      </w:r>
      <w:r>
        <w:rPr>
          <w:rFonts w:hint="eastAsia" w:ascii="仿宋" w:hAnsi="仿宋" w:eastAsia="仿宋" w:cs="仿宋"/>
          <w:bCs/>
          <w:color w:val="auto"/>
          <w:sz w:val="24"/>
          <w:szCs w:val="24"/>
          <w:highlight w:val="none"/>
          <w:u w:val="single"/>
        </w:rPr>
        <w:t xml:space="preserve">  1  </w:t>
      </w:r>
      <w:r>
        <w:rPr>
          <w:rFonts w:hint="eastAsia" w:ascii="仿宋" w:hAnsi="仿宋" w:eastAsia="仿宋" w:cs="仿宋"/>
          <w:bCs/>
          <w:color w:val="auto"/>
          <w:sz w:val="24"/>
          <w:szCs w:val="24"/>
          <w:highlight w:val="none"/>
        </w:rPr>
        <w:t>小时内响应，</w:t>
      </w:r>
      <w:r>
        <w:rPr>
          <w:rFonts w:hint="eastAsia" w:ascii="仿宋" w:hAnsi="仿宋" w:eastAsia="仿宋" w:cs="仿宋"/>
          <w:bCs/>
          <w:color w:val="auto"/>
          <w:sz w:val="24"/>
          <w:szCs w:val="24"/>
          <w:highlight w:val="none"/>
          <w:u w:val="single"/>
        </w:rPr>
        <w:t xml:space="preserve"> 1 </w:t>
      </w:r>
      <w:r>
        <w:rPr>
          <w:rFonts w:hint="eastAsia" w:ascii="仿宋" w:hAnsi="仿宋" w:eastAsia="仿宋" w:cs="仿宋"/>
          <w:bCs/>
          <w:color w:val="auto"/>
          <w:sz w:val="24"/>
          <w:szCs w:val="24"/>
          <w:highlight w:val="none"/>
        </w:rPr>
        <w:t>小时内提出解决方案，</w:t>
      </w:r>
      <w:r>
        <w:rPr>
          <w:rFonts w:hint="eastAsia" w:ascii="仿宋" w:hAnsi="仿宋" w:eastAsia="仿宋" w:cs="仿宋"/>
          <w:bCs/>
          <w:color w:val="auto"/>
          <w:sz w:val="24"/>
          <w:szCs w:val="24"/>
          <w:highlight w:val="none"/>
          <w:u w:val="single"/>
        </w:rPr>
        <w:t xml:space="preserve">  6 </w:t>
      </w:r>
      <w:r>
        <w:rPr>
          <w:rFonts w:hint="eastAsia" w:ascii="仿宋" w:hAnsi="仿宋" w:eastAsia="仿宋" w:cs="仿宋"/>
          <w:bCs/>
          <w:color w:val="auto"/>
          <w:sz w:val="24"/>
          <w:szCs w:val="24"/>
          <w:highlight w:val="none"/>
        </w:rPr>
        <w:t>小时内安排技术人员到现场提供服务。为此，乙方应提供相应承诺书。</w:t>
      </w:r>
    </w:p>
    <w:p>
      <w:pPr>
        <w:autoSpaceDE w:val="0"/>
        <w:autoSpaceDN w:val="0"/>
        <w:adjustRightInd w:val="0"/>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2、在服务期内，若货物出现质量的问题，乙方应负责对其提供的货物进行更换、修复、退换，并不收取额外费用，响应时间必须满足甲方工作正常运行的要求。</w:t>
      </w:r>
    </w:p>
    <w:p>
      <w:pPr>
        <w:adjustRightInd w:val="0"/>
        <w:snapToGrid w:val="0"/>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服务期内因不能排除的故障而影响工作的情况每发生一次，其质保期相应延长60天，服务期内因货物本身缺陷造成各种故障应由乙方免费技术服务和更换。</w:t>
      </w:r>
    </w:p>
    <w:p>
      <w:pPr>
        <w:adjustRightInd w:val="0"/>
        <w:snapToGrid w:val="0"/>
        <w:spacing w:line="44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b/>
          <w:bCs/>
          <w:color w:val="auto"/>
          <w:kern w:val="0"/>
          <w:sz w:val="24"/>
          <w:szCs w:val="24"/>
          <w:highlight w:val="none"/>
        </w:rPr>
        <w:t>第八条：</w:t>
      </w:r>
      <w:r>
        <w:rPr>
          <w:rFonts w:hint="eastAsia" w:ascii="仿宋" w:hAnsi="仿宋" w:eastAsia="仿宋" w:cs="仿宋"/>
          <w:color w:val="auto"/>
          <w:sz w:val="24"/>
          <w:szCs w:val="24"/>
          <w:highlight w:val="none"/>
        </w:rPr>
        <w:t>乙</w:t>
      </w:r>
      <w:r>
        <w:rPr>
          <w:rFonts w:hint="eastAsia" w:ascii="仿宋" w:hAnsi="仿宋" w:eastAsia="仿宋" w:cs="仿宋"/>
          <w:color w:val="auto"/>
          <w:kern w:val="0"/>
          <w:sz w:val="24"/>
          <w:szCs w:val="24"/>
          <w:highlight w:val="none"/>
        </w:rPr>
        <w:t>方承担合同标的供货、安装调试及交付前的一切费用(包括不可预见费用）和市场风险。</w:t>
      </w:r>
    </w:p>
    <w:p>
      <w:pPr>
        <w:autoSpaceDE w:val="0"/>
        <w:adjustRightInd w:val="0"/>
        <w:snapToGrid w:val="0"/>
        <w:spacing w:line="440" w:lineRule="exact"/>
        <w:ind w:firstLine="482"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第九条：其他约定：</w:t>
      </w:r>
    </w:p>
    <w:p>
      <w:pPr>
        <w:autoSpaceDE w:val="0"/>
        <w:adjustRightInd w:val="0"/>
        <w:snapToGrid w:val="0"/>
        <w:spacing w:line="440" w:lineRule="exact"/>
        <w:ind w:firstLine="480" w:firstLineChars="200"/>
        <w:jc w:val="left"/>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按招标文件要求及投标文件内容提供设备及服务。  </w:t>
      </w:r>
      <w:r>
        <w:rPr>
          <w:rFonts w:hint="eastAsia" w:ascii="仿宋" w:hAnsi="仿宋" w:eastAsia="仿宋" w:cs="仿宋"/>
          <w:b/>
          <w:bCs/>
          <w:color w:val="auto"/>
          <w:sz w:val="24"/>
          <w:szCs w:val="24"/>
          <w:highlight w:val="none"/>
        </w:rPr>
        <w:t xml:space="preserve">     </w:t>
      </w:r>
    </w:p>
    <w:p>
      <w:pPr>
        <w:autoSpaceDE w:val="0"/>
        <w:adjustRightInd w:val="0"/>
        <w:snapToGrid w:val="0"/>
        <w:spacing w:line="440" w:lineRule="exact"/>
        <w:ind w:firstLine="504" w:firstLineChars="209"/>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第十条：违约责任</w:t>
      </w:r>
    </w:p>
    <w:p>
      <w:pPr>
        <w:autoSpaceDE w:val="0"/>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由于乙方原因(除不可抗力外）不能按期交付合同标的，对超出交付期的每一天，乙方应按合同总价款的千分之三承担违约金，在合同货款支付时一次性扣除。若超出交付期十天(含十天）以上的，甲方有权终止合同并提请监管部门按照政府采购的有关规定对乙方进行处理。</w:t>
      </w:r>
    </w:p>
    <w:p>
      <w:pPr>
        <w:autoSpaceDE w:val="0"/>
        <w:adjustRightInd w:val="0"/>
        <w:snapToGrid w:val="0"/>
        <w:spacing w:line="440" w:lineRule="exact"/>
        <w:ind w:firstLine="501" w:firstLineChars="209"/>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乙方按合同要求将货物送达甲方后，经验收合格后，甲方超出付款期支付货款的，每逾一天，甲方应向乙方支付合同货物金额的千分之三的滞纳金。如遇特殊情况甲方要求推迟供货或验收的，必须事先征得乙方的同意，否则应承担由此给乙方造成的损失。</w:t>
      </w:r>
    </w:p>
    <w:p>
      <w:pPr>
        <w:autoSpaceDE w:val="0"/>
        <w:adjustRightInd w:val="0"/>
        <w:snapToGrid w:val="0"/>
        <w:spacing w:line="440" w:lineRule="exact"/>
        <w:ind w:firstLine="504" w:firstLineChars="209"/>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第十一条：争议的解决</w:t>
      </w:r>
    </w:p>
    <w:p>
      <w:pPr>
        <w:autoSpaceDE w:val="0"/>
        <w:adjustRightInd w:val="0"/>
        <w:snapToGrid w:val="0"/>
        <w:spacing w:line="440" w:lineRule="exact"/>
        <w:ind w:firstLine="501" w:firstLineChars="209"/>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1、因质量问题发生争议的，由</w:t>
      </w:r>
      <w:r>
        <w:rPr>
          <w:rFonts w:hint="eastAsia" w:ascii="仿宋" w:hAnsi="仿宋" w:eastAsia="仿宋" w:cs="仿宋"/>
          <w:color w:val="auto"/>
          <w:sz w:val="24"/>
          <w:szCs w:val="24"/>
          <w:highlight w:val="none"/>
        </w:rPr>
        <w:t>甲</w:t>
      </w:r>
      <w:r>
        <w:rPr>
          <w:rFonts w:hint="eastAsia" w:ascii="仿宋" w:hAnsi="仿宋" w:eastAsia="仿宋" w:cs="仿宋"/>
          <w:color w:val="auto"/>
          <w:kern w:val="0"/>
          <w:sz w:val="24"/>
          <w:szCs w:val="24"/>
          <w:highlight w:val="none"/>
        </w:rPr>
        <w:t>方委托有关技术部门进行质量鉴定，该鉴定的结论</w:t>
      </w:r>
      <w:r>
        <w:rPr>
          <w:rFonts w:hint="eastAsia" w:ascii="仿宋" w:hAnsi="仿宋" w:eastAsia="仿宋" w:cs="仿宋"/>
          <w:color w:val="auto"/>
          <w:sz w:val="24"/>
          <w:szCs w:val="24"/>
          <w:highlight w:val="none"/>
        </w:rPr>
        <w:t>甲</w:t>
      </w:r>
      <w:r>
        <w:rPr>
          <w:rFonts w:hint="eastAsia" w:ascii="仿宋" w:hAnsi="仿宋" w:eastAsia="仿宋" w:cs="仿宋"/>
          <w:bCs/>
          <w:color w:val="auto"/>
          <w:kern w:val="0"/>
          <w:sz w:val="24"/>
          <w:szCs w:val="24"/>
          <w:highlight w:val="none"/>
        </w:rPr>
        <w:t>乙</w:t>
      </w:r>
      <w:r>
        <w:rPr>
          <w:rFonts w:hint="eastAsia" w:ascii="仿宋" w:hAnsi="仿宋" w:eastAsia="仿宋" w:cs="仿宋"/>
          <w:color w:val="auto"/>
          <w:kern w:val="0"/>
          <w:sz w:val="24"/>
          <w:szCs w:val="24"/>
          <w:highlight w:val="none"/>
        </w:rPr>
        <w:t>双方应当接受，各方均有权直接向对方索赔，并签订书面处理协议书，报见证方备案。</w:t>
      </w:r>
    </w:p>
    <w:p>
      <w:pPr>
        <w:adjustRightInd w:val="0"/>
        <w:snapToGrid w:val="0"/>
        <w:spacing w:line="440" w:lineRule="exact"/>
        <w:ind w:firstLine="6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2、双方无法通过协商解决合同争议的，任何一方有权向建德市人民法院提出诉讼。</w:t>
      </w:r>
    </w:p>
    <w:p>
      <w:pPr>
        <w:adjustRightInd w:val="0"/>
        <w:snapToGrid w:val="0"/>
        <w:spacing w:line="440" w:lineRule="exact"/>
        <w:ind w:firstLine="6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第十二条：合同的生效</w:t>
      </w:r>
    </w:p>
    <w:p>
      <w:pPr>
        <w:autoSpaceDE w:val="0"/>
        <w:adjustRightInd w:val="0"/>
        <w:spacing w:line="480" w:lineRule="exact"/>
        <w:ind w:firstLine="501" w:firstLineChars="209"/>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1、本合同一式陆份，甲、乙双方各执二份，见证单位一份，监管部门一份。</w:t>
      </w:r>
    </w:p>
    <w:p>
      <w:pPr>
        <w:autoSpaceDE w:val="0"/>
        <w:adjustRightInd w:val="0"/>
        <w:snapToGrid w:val="0"/>
        <w:spacing w:line="440" w:lineRule="exact"/>
        <w:ind w:firstLine="600" w:firstLineChars="25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2、本合同经</w:t>
      </w:r>
      <w:r>
        <w:rPr>
          <w:rFonts w:hint="eastAsia" w:ascii="仿宋" w:hAnsi="仿宋" w:eastAsia="仿宋" w:cs="仿宋"/>
          <w:color w:val="auto"/>
          <w:sz w:val="24"/>
          <w:szCs w:val="24"/>
          <w:highlight w:val="none"/>
        </w:rPr>
        <w:t>甲</w:t>
      </w:r>
      <w:r>
        <w:rPr>
          <w:rFonts w:hint="eastAsia" w:ascii="仿宋" w:hAnsi="仿宋" w:eastAsia="仿宋" w:cs="仿宋"/>
          <w:bCs/>
          <w:color w:val="auto"/>
          <w:kern w:val="0"/>
          <w:sz w:val="24"/>
          <w:szCs w:val="24"/>
          <w:highlight w:val="none"/>
        </w:rPr>
        <w:t>乙</w:t>
      </w:r>
      <w:r>
        <w:rPr>
          <w:rFonts w:hint="eastAsia" w:ascii="仿宋" w:hAnsi="仿宋" w:eastAsia="仿宋" w:cs="仿宋"/>
          <w:color w:val="auto"/>
          <w:kern w:val="0"/>
          <w:sz w:val="24"/>
          <w:szCs w:val="24"/>
          <w:highlight w:val="none"/>
        </w:rPr>
        <w:t>双方法定代表人或委托代理人签字并加盖公章（或合同章）后生效。</w:t>
      </w:r>
    </w:p>
    <w:p>
      <w:pPr>
        <w:pStyle w:val="25"/>
        <w:snapToGrid w:val="0"/>
        <w:spacing w:line="440" w:lineRule="exact"/>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3、本合同未尽事宜，经双方商议可续签补充协议。该补充协议与本合同具有相同法律效力，但该补充协议的内容不能实质性修改招标文件的主要条款。</w:t>
      </w:r>
    </w:p>
    <w:p>
      <w:pPr>
        <w:pStyle w:val="25"/>
        <w:snapToGrid w:val="0"/>
        <w:spacing w:line="440" w:lineRule="exact"/>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4、本合同未涉及的部分以招标文件（招标编号：    ）(包括补充更正，如有）为准，上述招标文件与乙方针对本项目投标文件及记录是本合同的附件，与本合同具有同等法律效力，但附件与主合同的规定不一致时，以主合同为准。</w:t>
      </w:r>
    </w:p>
    <w:p>
      <w:pPr>
        <w:pStyle w:val="25"/>
        <w:snapToGrid w:val="0"/>
        <w:spacing w:line="4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（以下无正文）</w:t>
      </w:r>
    </w:p>
    <w:p>
      <w:pPr>
        <w:pStyle w:val="25"/>
        <w:snapToGrid w:val="0"/>
        <w:spacing w:line="440" w:lineRule="exact"/>
        <w:rPr>
          <w:rFonts w:ascii="仿宋" w:hAnsi="仿宋" w:eastAsia="仿宋" w:cs="仿宋"/>
          <w:b/>
          <w:color w:val="auto"/>
          <w:sz w:val="24"/>
          <w:szCs w:val="24"/>
          <w:highlight w:val="none"/>
        </w:rPr>
      </w:pPr>
    </w:p>
    <w:p>
      <w:pPr>
        <w:pStyle w:val="25"/>
        <w:snapToGrid w:val="0"/>
        <w:spacing w:line="44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甲方（盖章）：                               乙方（盖章）：</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法定代表人或受委托人                         法定代表人或受委托人</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（签字）                                     （签字）</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地址：                                       地址：</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邮编：                                       邮编：</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电话：                                       电话：</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传真：                                       传真：</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签约时间：     年   月   日</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签约地点：</w:t>
      </w:r>
    </w:p>
    <w:p>
      <w:pPr>
        <w:pStyle w:val="25"/>
        <w:snapToGrid w:val="0"/>
        <w:spacing w:line="440" w:lineRule="exact"/>
        <w:ind w:left="180" w:hanging="180" w:hangingChars="75"/>
        <w:rPr>
          <w:rFonts w:ascii="仿宋" w:hAnsi="仿宋" w:eastAsia="仿宋" w:cs="仿宋"/>
          <w:color w:val="auto"/>
          <w:sz w:val="24"/>
          <w:szCs w:val="24"/>
          <w:highlight w:val="none"/>
        </w:rPr>
      </w:pP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见证单位：（盖章）</w:t>
      </w:r>
    </w:p>
    <w:p>
      <w:pPr>
        <w:pStyle w:val="25"/>
        <w:snapToGrid w:val="0"/>
        <w:spacing w:line="440" w:lineRule="exact"/>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法定代表人或委托代理人（签字或盖章）：</w:t>
      </w:r>
    </w:p>
    <w:p>
      <w:pPr>
        <w:pStyle w:val="25"/>
        <w:snapToGrid w:val="0"/>
        <w:spacing w:line="360" w:lineRule="auto"/>
        <w:ind w:left="180" w:hanging="180" w:hangingChars="7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时间：2024年   月   日</w:t>
      </w: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5"/>
        <w:snapToGrid w:val="0"/>
        <w:spacing w:line="360" w:lineRule="auto"/>
        <w:ind w:left="180" w:hanging="180" w:hangingChars="75"/>
        <w:rPr>
          <w:rFonts w:ascii="仿宋" w:hAnsi="仿宋" w:eastAsia="仿宋" w:cs="仿宋"/>
          <w:color w:val="auto"/>
          <w:sz w:val="24"/>
          <w:szCs w:val="24"/>
          <w:highlight w:val="none"/>
        </w:rPr>
      </w:pPr>
    </w:p>
    <w:p>
      <w:pPr>
        <w:pStyle w:val="27"/>
        <w:numPr>
          <w:ilvl w:val="0"/>
          <w:numId w:val="17"/>
        </w:numPr>
        <w:spacing w:line="440" w:lineRule="exact"/>
        <w:ind w:left="0"/>
        <w:jc w:val="center"/>
        <w:rPr>
          <w:rStyle w:val="98"/>
          <w:rFonts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 xml:space="preserve"> 附 件</w:t>
      </w:r>
    </w:p>
    <w:p>
      <w:pPr>
        <w:rPr>
          <w:rFonts w:ascii="仿宋" w:hAnsi="仿宋" w:eastAsia="仿宋" w:cs="仿宋"/>
          <w:color w:val="auto"/>
          <w:highlight w:val="none"/>
        </w:rPr>
      </w:pPr>
    </w:p>
    <w:p>
      <w:pPr>
        <w:widowControl/>
        <w:snapToGrid w:val="0"/>
        <w:ind w:left="420" w:hanging="420"/>
        <w:rPr>
          <w:rFonts w:ascii="仿宋" w:hAnsi="仿宋" w:eastAsia="仿宋" w:cs="仿宋"/>
          <w:b/>
          <w:bCs/>
          <w:color w:val="auto"/>
          <w:kern w:val="0"/>
          <w:sz w:val="32"/>
          <w:szCs w:val="32"/>
          <w:highlight w:val="none"/>
        </w:rPr>
      </w:pPr>
      <w:r>
        <w:rPr>
          <w:rStyle w:val="98"/>
          <w:rFonts w:hint="eastAsia" w:ascii="仿宋" w:hAnsi="仿宋" w:eastAsia="仿宋" w:cs="仿宋"/>
          <w:color w:val="auto"/>
          <w:sz w:val="30"/>
          <w:szCs w:val="30"/>
          <w:highlight w:val="none"/>
        </w:rPr>
        <w:t>附件一</w:t>
      </w:r>
      <w:r>
        <w:rPr>
          <w:rFonts w:hint="eastAsia" w:ascii="仿宋" w:hAnsi="仿宋" w:eastAsia="仿宋" w:cs="仿宋"/>
          <w:b/>
          <w:bCs/>
          <w:color w:val="auto"/>
          <w:kern w:val="0"/>
          <w:sz w:val="32"/>
          <w:szCs w:val="32"/>
          <w:highlight w:val="none"/>
        </w:rPr>
        <w:t>、</w:t>
      </w:r>
    </w:p>
    <w:p>
      <w:pPr>
        <w:widowControl/>
        <w:snapToGrid w:val="0"/>
        <w:ind w:left="420" w:hanging="42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投标报价函</w:t>
      </w:r>
    </w:p>
    <w:p>
      <w:pPr>
        <w:widowControl/>
        <w:snapToGrid w:val="0"/>
        <w:ind w:left="420" w:hanging="420"/>
        <w:jc w:val="center"/>
        <w:rPr>
          <w:rFonts w:ascii="仿宋" w:hAnsi="仿宋" w:eastAsia="仿宋" w:cs="仿宋"/>
          <w:b/>
          <w:color w:val="auto"/>
          <w:kern w:val="0"/>
          <w:sz w:val="32"/>
          <w:szCs w:val="32"/>
          <w:highlight w:val="none"/>
        </w:rPr>
      </w:pPr>
    </w:p>
    <w:p>
      <w:pPr>
        <w:pStyle w:val="43"/>
        <w:autoSpaceDE w:val="0"/>
        <w:adjustRightInd w:val="0"/>
        <w:snapToGrid w:val="0"/>
        <w:spacing w:before="0" w:beforeAutospacing="0" w:after="0" w:afterAutospacing="0" w:line="420" w:lineRule="exact"/>
        <w:jc w:val="both"/>
        <w:rPr>
          <w:rFonts w:ascii="仿宋" w:hAnsi="仿宋" w:eastAsia="仿宋" w:cs="仿宋"/>
          <w:b/>
          <w:bCs/>
          <w:color w:val="auto"/>
          <w:highlight w:val="none"/>
        </w:rPr>
      </w:pPr>
      <w:r>
        <w:rPr>
          <w:rFonts w:hint="eastAsia" w:ascii="仿宋" w:hAnsi="仿宋" w:eastAsia="仿宋" w:cs="仿宋"/>
          <w:b/>
          <w:bCs/>
          <w:color w:val="auto"/>
          <w:highlight w:val="none"/>
        </w:rPr>
        <w:t>杭州杭新固体废物处置有限公司</w:t>
      </w:r>
      <w:r>
        <w:rPr>
          <w:rFonts w:hint="eastAsia" w:ascii="仿宋" w:hAnsi="仿宋" w:eastAsia="仿宋" w:cs="仿宋"/>
          <w:b/>
          <w:color w:val="auto"/>
          <w:sz w:val="32"/>
          <w:szCs w:val="32"/>
          <w:highlight w:val="none"/>
        </w:rPr>
        <w:t>、</w:t>
      </w:r>
      <w:r>
        <w:rPr>
          <w:rFonts w:hint="eastAsia" w:ascii="仿宋" w:hAnsi="仿宋" w:eastAsia="仿宋" w:cs="仿宋"/>
          <w:b/>
          <w:bCs/>
          <w:color w:val="auto"/>
          <w:highlight w:val="none"/>
        </w:rPr>
        <w:t>浙江建安工程管理有限公司：</w:t>
      </w:r>
    </w:p>
    <w:p>
      <w:pPr>
        <w:pStyle w:val="43"/>
        <w:autoSpaceDE w:val="0"/>
        <w:adjustRightInd w:val="0"/>
        <w:snapToGrid w:val="0"/>
        <w:spacing w:before="0" w:beforeAutospacing="0" w:after="0" w:afterAutospacing="0" w:line="420" w:lineRule="exact"/>
        <w:ind w:firstLine="480"/>
        <w:rPr>
          <w:rFonts w:ascii="仿宋" w:hAnsi="仿宋" w:eastAsia="仿宋" w:cs="仿宋"/>
          <w:color w:val="auto"/>
          <w:highlight w:val="none"/>
        </w:rPr>
      </w:pPr>
      <w:r>
        <w:rPr>
          <w:rFonts w:hint="eastAsia" w:ascii="仿宋" w:hAnsi="仿宋" w:eastAsia="仿宋" w:cs="仿宋"/>
          <w:color w:val="auto"/>
          <w:highlight w:val="none"/>
        </w:rPr>
        <w:t>贵单位</w:t>
      </w:r>
      <w:r>
        <w:rPr>
          <w:rFonts w:hint="eastAsia" w:ascii="仿宋" w:hAnsi="仿宋" w:eastAsia="仿宋" w:cs="仿宋"/>
          <w:color w:val="auto"/>
          <w:highlight w:val="none"/>
          <w:lang w:eastAsia="zh-CN"/>
        </w:rPr>
        <w:t>ZJJAJD2024B-019</w:t>
      </w:r>
      <w:r>
        <w:rPr>
          <w:rFonts w:hint="eastAsia" w:ascii="仿宋" w:hAnsi="仿宋" w:eastAsia="仿宋" w:cs="仿宋"/>
          <w:color w:val="auto"/>
          <w:highlight w:val="none"/>
        </w:rPr>
        <w:t xml:space="preserve"> 号招标文件(包括补充更正，如有）收悉，我们经详细审阅和研究，现决定参加</w:t>
      </w:r>
      <w:r>
        <w:rPr>
          <w:rFonts w:hint="eastAsia" w:ascii="仿宋" w:hAnsi="仿宋" w:eastAsia="仿宋" w:cs="仿宋"/>
          <w:bCs/>
          <w:color w:val="auto"/>
          <w:highlight w:val="none"/>
          <w:u w:val="single"/>
        </w:rPr>
        <w:t>杭州杭新固体废物处置有限公司废气在线监测系统升级改造项目</w:t>
      </w:r>
      <w:r>
        <w:rPr>
          <w:rFonts w:hint="eastAsia" w:ascii="仿宋" w:hAnsi="仿宋" w:eastAsia="仿宋" w:cs="仿宋"/>
          <w:color w:val="auto"/>
          <w:highlight w:val="none"/>
        </w:rPr>
        <w:t>公开招标的报价，并提供报价文件正本1份、副本5份。我公司决定无保留地接受招标文件(包括补充更正，如有）所有条款和报价文件所有承诺，并按合同履行全部责任。</w:t>
      </w:r>
    </w:p>
    <w:p>
      <w:pPr>
        <w:pStyle w:val="43"/>
        <w:autoSpaceDE w:val="0"/>
        <w:adjustRightInd w:val="0"/>
        <w:snapToGrid w:val="0"/>
        <w:spacing w:before="0" w:beforeAutospacing="0" w:after="0" w:afterAutospacing="0" w:line="420" w:lineRule="exact"/>
        <w:ind w:firstLine="480"/>
        <w:rPr>
          <w:rFonts w:ascii="仿宋" w:hAnsi="仿宋" w:eastAsia="仿宋" w:cs="仿宋"/>
          <w:color w:val="auto"/>
          <w:highlight w:val="none"/>
        </w:rPr>
      </w:pPr>
    </w:p>
    <w:p>
      <w:pPr>
        <w:autoSpaceDE w:val="0"/>
        <w:adjustRightInd w:val="0"/>
        <w:snapToGrid w:val="0"/>
        <w:spacing w:line="420" w:lineRule="exact"/>
        <w:ind w:firstLine="960" w:firstLineChars="4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本项目愿按人民币(大写）</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w:t>
      </w:r>
    </w:p>
    <w:p>
      <w:pPr>
        <w:autoSpaceDE w:val="0"/>
        <w:adjustRightInd w:val="0"/>
        <w:snapToGrid w:val="0"/>
        <w:spacing w:line="420" w:lineRule="exact"/>
        <w:jc w:val="left"/>
        <w:rPr>
          <w:rFonts w:ascii="仿宋" w:hAnsi="仿宋" w:eastAsia="仿宋" w:cs="仿宋"/>
          <w:color w:val="auto"/>
          <w:kern w:val="0"/>
          <w:sz w:val="24"/>
          <w:highlight w:val="none"/>
        </w:rPr>
      </w:pPr>
    </w:p>
    <w:p>
      <w:pPr>
        <w:autoSpaceDE w:val="0"/>
        <w:adjustRightInd w:val="0"/>
        <w:snapToGrid w:val="0"/>
        <w:spacing w:line="420" w:lineRule="exact"/>
        <w:ind w:firstLine="600" w:firstLineChars="2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本报价</w:t>
      </w:r>
      <w:r>
        <w:rPr>
          <w:rFonts w:hint="eastAsia" w:ascii="仿宋" w:hAnsi="仿宋" w:eastAsia="仿宋" w:cs="仿宋"/>
          <w:color w:val="auto"/>
          <w:kern w:val="0"/>
          <w:sz w:val="24"/>
          <w:highlight w:val="none"/>
          <w:u w:val="single"/>
        </w:rPr>
        <w:t>90</w:t>
      </w:r>
      <w:r>
        <w:rPr>
          <w:rFonts w:hint="eastAsia" w:ascii="仿宋" w:hAnsi="仿宋" w:eastAsia="仿宋" w:cs="仿宋"/>
          <w:color w:val="auto"/>
          <w:kern w:val="0"/>
          <w:sz w:val="24"/>
          <w:highlight w:val="none"/>
        </w:rPr>
        <w:t>天内有效。</w:t>
      </w:r>
    </w:p>
    <w:p>
      <w:pPr>
        <w:autoSpaceDE w:val="0"/>
        <w:adjustRightInd w:val="0"/>
        <w:snapToGrid w:val="0"/>
        <w:spacing w:line="42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一旦我公司成交，保证按中标通知书规定时间与采购单位签订合同，按招标文件(包括补充更正，如有）供货时间要求和我公司报价文件承诺的供货时间准时完成设备安装并交付使用。否则招标代理机构和采购单位可以不予退还我公司的投标保证金，如我单位成交后放弃成交资格造成采购人的损失额超过投标保证金的，我单位愿意对超过部分作出完全赔偿。</w:t>
      </w:r>
    </w:p>
    <w:p>
      <w:pPr>
        <w:autoSpaceDE w:val="0"/>
        <w:adjustRightInd w:val="0"/>
        <w:snapToGrid w:val="0"/>
        <w:spacing w:line="420" w:lineRule="exact"/>
        <w:ind w:firstLine="484" w:firstLineChars="202"/>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我公司对报价文件所有内容的真实性负全部责任，由此产生的一切后果由本公司承担。</w:t>
      </w:r>
    </w:p>
    <w:p>
      <w:pPr>
        <w:pStyle w:val="43"/>
        <w:autoSpaceDE w:val="0"/>
        <w:adjustRightInd w:val="0"/>
        <w:snapToGrid w:val="0"/>
        <w:spacing w:before="0" w:beforeAutospacing="0" w:after="0" w:afterAutospacing="0" w:line="420" w:lineRule="exact"/>
        <w:jc w:val="both"/>
        <w:rPr>
          <w:rFonts w:ascii="仿宋" w:hAnsi="仿宋" w:eastAsia="仿宋" w:cs="仿宋"/>
          <w:b/>
          <w:bCs/>
          <w:color w:val="auto"/>
          <w:highlight w:val="none"/>
          <w:u w:val="single"/>
        </w:rPr>
      </w:pPr>
      <w:r>
        <w:rPr>
          <w:rFonts w:hint="eastAsia" w:ascii="仿宋" w:hAnsi="仿宋" w:eastAsia="仿宋" w:cs="仿宋"/>
          <w:b/>
          <w:bCs/>
          <w:color w:val="auto"/>
          <w:highlight w:val="none"/>
          <w:u w:val="single"/>
        </w:rPr>
        <w:t>特别提醒：本函的商务报价内容不能出现在资格审查文件、技术文件、商务资信文件正副本中。</w:t>
      </w:r>
    </w:p>
    <w:p>
      <w:pPr>
        <w:autoSpaceDE w:val="0"/>
        <w:adjustRightInd w:val="0"/>
        <w:snapToGrid w:val="0"/>
        <w:spacing w:line="42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单位名称：</w:t>
      </w:r>
    </w:p>
    <w:p>
      <w:pPr>
        <w:autoSpaceDE w:val="0"/>
        <w:adjustRightInd w:val="0"/>
        <w:snapToGrid w:val="0"/>
        <w:spacing w:line="420" w:lineRule="exact"/>
        <w:jc w:val="lef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联系人：                电话：</w:t>
      </w:r>
    </w:p>
    <w:p>
      <w:pPr>
        <w:autoSpaceDE w:val="0"/>
        <w:adjustRightInd w:val="0"/>
        <w:snapToGrid w:val="0"/>
        <w:spacing w:line="420" w:lineRule="exact"/>
        <w:jc w:val="lef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手机：                  传真：</w:t>
      </w:r>
    </w:p>
    <w:p>
      <w:pPr>
        <w:autoSpaceDE w:val="0"/>
        <w:adjustRightInd w:val="0"/>
        <w:snapToGrid w:val="0"/>
        <w:spacing w:line="420" w:lineRule="exact"/>
        <w:ind w:firstLine="4320" w:firstLineChars="1800"/>
        <w:rPr>
          <w:rFonts w:ascii="仿宋" w:hAnsi="仿宋" w:eastAsia="仿宋" w:cs="仿宋"/>
          <w:color w:val="auto"/>
          <w:kern w:val="0"/>
          <w:sz w:val="24"/>
          <w:highlight w:val="none"/>
        </w:rPr>
      </w:pPr>
    </w:p>
    <w:p>
      <w:pPr>
        <w:autoSpaceDE w:val="0"/>
        <w:adjustRightInd w:val="0"/>
        <w:snapToGrid w:val="0"/>
        <w:spacing w:line="420" w:lineRule="exact"/>
        <w:ind w:firstLine="4340" w:firstLineChars="1550"/>
        <w:rPr>
          <w:rFonts w:ascii="仿宋" w:hAnsi="仿宋" w:eastAsia="仿宋" w:cs="仿宋"/>
          <w:color w:val="auto"/>
          <w:kern w:val="0"/>
          <w:sz w:val="28"/>
          <w:szCs w:val="28"/>
          <w:highlight w:val="none"/>
        </w:rPr>
      </w:pPr>
    </w:p>
    <w:p>
      <w:pPr>
        <w:widowControl/>
        <w:snapToGrid w:val="0"/>
        <w:spacing w:line="360" w:lineRule="auto"/>
        <w:ind w:firstLine="5880" w:firstLineChars="21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80" w:firstLineChars="21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80" w:firstLineChars="21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日期：2024年 月  日</w:t>
      </w:r>
    </w:p>
    <w:p>
      <w:pPr>
        <w:autoSpaceDE w:val="0"/>
        <w:adjustRightInd w:val="0"/>
        <w:snapToGrid w:val="0"/>
        <w:ind w:firstLine="218" w:firstLineChars="78"/>
        <w:rPr>
          <w:rFonts w:ascii="仿宋" w:hAnsi="仿宋" w:eastAsia="仿宋" w:cs="仿宋"/>
          <w:color w:val="auto"/>
          <w:kern w:val="0"/>
          <w:sz w:val="28"/>
          <w:szCs w:val="28"/>
          <w:highlight w:val="none"/>
        </w:rPr>
      </w:pPr>
    </w:p>
    <w:p>
      <w:pPr>
        <w:jc w:val="left"/>
        <w:rPr>
          <w:rStyle w:val="98"/>
          <w:rFonts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t xml:space="preserve">附件二 </w:t>
      </w:r>
    </w:p>
    <w:p>
      <w:pPr>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（1）开标一览表（总报价）</w:t>
      </w:r>
    </w:p>
    <w:p>
      <w:pPr>
        <w:jc w:val="left"/>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  </w:t>
      </w:r>
    </w:p>
    <w:p>
      <w:pPr>
        <w:jc w:val="left"/>
        <w:rPr>
          <w:rFonts w:ascii="仿宋" w:hAnsi="仿宋" w:eastAsia="仿宋" w:cs="仿宋"/>
          <w:color w:val="auto"/>
          <w:highlight w:val="none"/>
        </w:rPr>
      </w:pPr>
      <w:r>
        <w:rPr>
          <w:rFonts w:hint="eastAsia" w:ascii="仿宋" w:hAnsi="仿宋" w:eastAsia="仿宋" w:cs="仿宋"/>
          <w:b/>
          <w:color w:val="auto"/>
          <w:sz w:val="30"/>
          <w:szCs w:val="30"/>
          <w:highlight w:val="none"/>
        </w:rPr>
        <w:t>招标编号：</w:t>
      </w:r>
      <w:r>
        <w:rPr>
          <w:rFonts w:hint="eastAsia" w:ascii="仿宋" w:hAnsi="仿宋" w:eastAsia="仿宋" w:cs="仿宋"/>
          <w:b/>
          <w:color w:val="auto"/>
          <w:sz w:val="30"/>
          <w:szCs w:val="30"/>
          <w:highlight w:val="none"/>
          <w:lang w:eastAsia="zh-CN"/>
        </w:rPr>
        <w:t>ZJJAJD2024B-019</w:t>
      </w:r>
      <w:r>
        <w:rPr>
          <w:rFonts w:hint="eastAsia" w:ascii="仿宋" w:hAnsi="仿宋" w:eastAsia="仿宋" w:cs="仿宋"/>
          <w:b/>
          <w:color w:val="auto"/>
          <w:sz w:val="30"/>
          <w:szCs w:val="30"/>
          <w:highlight w:val="none"/>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5"/>
        <w:gridCol w:w="3539"/>
        <w:gridCol w:w="877"/>
        <w:gridCol w:w="781"/>
        <w:gridCol w:w="2373"/>
        <w:gridCol w:w="11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96" w:hRule="atLeast"/>
          <w:tblHeader/>
          <w:jc w:val="center"/>
        </w:trPr>
        <w:tc>
          <w:tcPr>
            <w:tcW w:w="91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539"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877"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781"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2373" w:type="dxa"/>
            <w:tcBorders>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投标总报价（元）</w:t>
            </w:r>
          </w:p>
        </w:tc>
        <w:tc>
          <w:tcPr>
            <w:tcW w:w="1199" w:type="dxa"/>
            <w:vAlign w:val="center"/>
          </w:tcPr>
          <w:p>
            <w:pPr>
              <w:jc w:val="center"/>
              <w:rPr>
                <w:rFonts w:ascii="仿宋" w:hAnsi="仿宋" w:eastAsia="仿宋" w:cs="仿宋"/>
                <w:color w:val="auto"/>
                <w:sz w:val="24"/>
                <w:szCs w:val="24"/>
                <w:highlight w:val="none"/>
                <w:lang w:val="en-GB"/>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85" w:hRule="atLeast"/>
          <w:jc w:val="center"/>
        </w:trPr>
        <w:tc>
          <w:tcPr>
            <w:tcW w:w="91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539" w:type="dxa"/>
            <w:vAlign w:val="center"/>
          </w:tcPr>
          <w:p>
            <w:pPr>
              <w:jc w:val="center"/>
              <w:rPr>
                <w:rFonts w:ascii="仿宋" w:hAnsi="仿宋" w:eastAsia="仿宋" w:cs="仿宋"/>
                <w:color w:val="auto"/>
                <w:sz w:val="24"/>
                <w:szCs w:val="24"/>
                <w:highlight w:val="none"/>
              </w:rPr>
            </w:pPr>
          </w:p>
        </w:tc>
        <w:tc>
          <w:tcPr>
            <w:tcW w:w="877" w:type="dxa"/>
            <w:tcBorders>
              <w:top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p>
        </w:tc>
        <w:tc>
          <w:tcPr>
            <w:tcW w:w="1199" w:type="dxa"/>
            <w:tcBorders>
              <w:top w:val="single" w:color="auto" w:sz="4" w:space="0"/>
              <w:bottom w:val="single" w:color="auto" w:sz="4" w:space="0"/>
            </w:tcBorders>
            <w:vAlign w:val="center"/>
          </w:tcPr>
          <w:p>
            <w:pPr>
              <w:jc w:val="center"/>
              <w:rPr>
                <w:rFonts w:ascii="仿宋" w:hAnsi="仿宋" w:eastAsia="仿宋" w:cs="仿宋"/>
                <w:color w:val="auto"/>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5" w:hRule="atLeast"/>
          <w:jc w:val="center"/>
        </w:trPr>
        <w:tc>
          <w:tcPr>
            <w:tcW w:w="9684" w:type="dxa"/>
            <w:gridSpan w:val="6"/>
            <w:vAlign w:val="center"/>
          </w:tcPr>
          <w:p>
            <w:pPr>
              <w:jc w:val="center"/>
              <w:rPr>
                <w:rFonts w:ascii="仿宋" w:hAnsi="仿宋" w:eastAsia="仿宋" w:cs="仿宋"/>
                <w:color w:val="auto"/>
                <w:sz w:val="24"/>
                <w:szCs w:val="24"/>
                <w:highlight w:val="none"/>
                <w:lang w:val="en-GB"/>
              </w:rPr>
            </w:pPr>
            <w:r>
              <w:rPr>
                <w:rFonts w:hint="eastAsia" w:ascii="仿宋" w:hAnsi="仿宋" w:eastAsia="仿宋" w:cs="仿宋"/>
                <w:color w:val="auto"/>
                <w:sz w:val="24"/>
                <w:szCs w:val="24"/>
                <w:highlight w:val="none"/>
              </w:rPr>
              <w:t>投标总报价：人民币（大写）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tc>
      </w:tr>
    </w:tbl>
    <w:p>
      <w:pPr>
        <w:rPr>
          <w:rFonts w:ascii="仿宋" w:hAnsi="仿宋" w:eastAsia="仿宋" w:cs="仿宋"/>
          <w:color w:val="auto"/>
          <w:highlight w:val="none"/>
        </w:rPr>
      </w:pPr>
    </w:p>
    <w:p>
      <w:pPr>
        <w:snapToGrid w:val="0"/>
        <w:ind w:left="1253" w:hanging="1252" w:hangingChars="52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投标单位全称（单位公章）：</w:t>
      </w:r>
    </w:p>
    <w:p>
      <w:pPr>
        <w:snapToGrid w:val="0"/>
        <w:ind w:left="1253" w:hanging="1252" w:hangingChars="52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全权代表人签字：             职务：             日期：</w:t>
      </w:r>
    </w:p>
    <w:p>
      <w:pPr>
        <w:snapToGrid w:val="0"/>
        <w:ind w:left="1253" w:hanging="1252" w:hangingChars="522"/>
        <w:rPr>
          <w:rFonts w:ascii="仿宋" w:hAnsi="仿宋" w:eastAsia="仿宋" w:cs="仿宋"/>
          <w:bCs/>
          <w:color w:val="auto"/>
          <w:sz w:val="24"/>
          <w:szCs w:val="24"/>
          <w:highlight w:val="none"/>
        </w:rPr>
      </w:pPr>
    </w:p>
    <w:p>
      <w:pPr>
        <w:snapToGrid w:val="0"/>
        <w:ind w:left="1253" w:hanging="1252" w:hangingChars="52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备注： 1、以上总金额包括供货、运输、装卸、安装调试、产品保护、备品备件、税金、培训、验收、辅助工作、售后服务等完成本项目的所有费用。</w:t>
      </w:r>
    </w:p>
    <w:p>
      <w:pPr>
        <w:snapToGrid w:val="0"/>
        <w:ind w:left="1253" w:hanging="1252" w:hangingChars="52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2、此表在不改变表式的情况下，可自行制作，必须加盖公章。</w:t>
      </w:r>
    </w:p>
    <w:p>
      <w:pPr>
        <w:snapToGrid w:val="0"/>
        <w:ind w:left="1253" w:hanging="1252" w:hangingChars="52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3、投标方不能拆分标项内容投标。</w:t>
      </w:r>
    </w:p>
    <w:p>
      <w:pPr>
        <w:jc w:val="left"/>
        <w:rPr>
          <w:rFonts w:ascii="仿宋" w:hAnsi="仿宋" w:eastAsia="仿宋" w:cs="仿宋"/>
          <w:bCs/>
          <w:color w:val="auto"/>
          <w:sz w:val="24"/>
          <w:szCs w:val="24"/>
          <w:highlight w:val="none"/>
        </w:rPr>
      </w:pPr>
      <w:r>
        <w:rPr>
          <w:rFonts w:hint="eastAsia" w:ascii="仿宋" w:hAnsi="仿宋" w:eastAsia="仿宋" w:cs="仿宋"/>
          <w:bCs/>
          <w:color w:val="auto"/>
          <w:sz w:val="22"/>
          <w:szCs w:val="22"/>
          <w:highlight w:val="none"/>
        </w:rPr>
        <w:t xml:space="preserve">  </w:t>
      </w:r>
      <w:r>
        <w:rPr>
          <w:rFonts w:hint="eastAsia" w:ascii="仿宋" w:hAnsi="仿宋" w:eastAsia="仿宋" w:cs="仿宋"/>
          <w:b/>
          <w:color w:val="auto"/>
          <w:sz w:val="22"/>
          <w:szCs w:val="22"/>
          <w:highlight w:val="none"/>
          <w:u w:val="single"/>
        </w:rPr>
        <w:t xml:space="preserve"> </w:t>
      </w:r>
      <w:r>
        <w:rPr>
          <w:rFonts w:hint="eastAsia" w:ascii="仿宋" w:hAnsi="仿宋" w:eastAsia="仿宋" w:cs="仿宋"/>
          <w:b/>
          <w:color w:val="auto"/>
          <w:sz w:val="24"/>
          <w:szCs w:val="24"/>
          <w:highlight w:val="none"/>
          <w:u w:val="single"/>
        </w:rPr>
        <w:t>4、特别提醒：本表的商务报价内容不能出现在资格审查文件、技术文件、资信及商务文件正副本中。</w:t>
      </w:r>
    </w:p>
    <w:p>
      <w:pPr>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br w:type="page"/>
      </w:r>
      <w:r>
        <w:rPr>
          <w:rFonts w:hint="eastAsia" w:ascii="仿宋" w:hAnsi="仿宋" w:eastAsia="仿宋" w:cs="仿宋"/>
          <w:b/>
          <w:bCs/>
          <w:color w:val="auto"/>
          <w:sz w:val="36"/>
          <w:szCs w:val="36"/>
          <w:highlight w:val="none"/>
        </w:rPr>
        <w:t>（2）投标报价明细表</w:t>
      </w:r>
    </w:p>
    <w:p>
      <w:pPr>
        <w:jc w:val="left"/>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 xml:space="preserve">  </w:t>
      </w:r>
    </w:p>
    <w:p>
      <w:pPr>
        <w:jc w:val="left"/>
        <w:rPr>
          <w:rFonts w:ascii="仿宋" w:hAnsi="仿宋" w:eastAsia="仿宋" w:cs="仿宋"/>
          <w:color w:val="auto"/>
          <w:highlight w:val="none"/>
        </w:rPr>
      </w:pPr>
      <w:r>
        <w:rPr>
          <w:rFonts w:hint="eastAsia" w:ascii="仿宋" w:hAnsi="仿宋" w:eastAsia="仿宋" w:cs="仿宋"/>
          <w:b/>
          <w:bCs/>
          <w:color w:val="auto"/>
          <w:sz w:val="30"/>
          <w:szCs w:val="30"/>
          <w:highlight w:val="none"/>
        </w:rPr>
        <w:t>招标编号：</w:t>
      </w:r>
      <w:r>
        <w:rPr>
          <w:rFonts w:hint="eastAsia" w:ascii="仿宋" w:hAnsi="仿宋" w:eastAsia="仿宋" w:cs="仿宋"/>
          <w:b/>
          <w:bCs/>
          <w:color w:val="auto"/>
          <w:sz w:val="30"/>
          <w:szCs w:val="30"/>
          <w:highlight w:val="none"/>
          <w:lang w:eastAsia="zh-CN"/>
        </w:rPr>
        <w:t>ZJJAJD2024B-019</w:t>
      </w:r>
      <w:r>
        <w:rPr>
          <w:rFonts w:hint="eastAsia" w:ascii="仿宋" w:hAnsi="仿宋" w:eastAsia="仿宋" w:cs="仿宋"/>
          <w:b/>
          <w:bCs/>
          <w:color w:val="auto"/>
          <w:sz w:val="30"/>
          <w:szCs w:val="30"/>
          <w:highlight w:val="none"/>
        </w:rPr>
        <w:t xml:space="preserve">            </w:t>
      </w:r>
    </w:p>
    <w:tbl>
      <w:tblPr>
        <w:tblStyle w:val="48"/>
        <w:tblW w:w="0" w:type="auto"/>
        <w:jc w:val="center"/>
        <w:tblLayout w:type="fixed"/>
        <w:tblCellMar>
          <w:top w:w="0" w:type="dxa"/>
          <w:left w:w="108" w:type="dxa"/>
          <w:bottom w:w="0" w:type="dxa"/>
          <w:right w:w="108" w:type="dxa"/>
        </w:tblCellMar>
      </w:tblPr>
      <w:tblGrid>
        <w:gridCol w:w="668"/>
        <w:gridCol w:w="1112"/>
        <w:gridCol w:w="1113"/>
        <w:gridCol w:w="1104"/>
        <w:gridCol w:w="2234"/>
        <w:gridCol w:w="556"/>
        <w:gridCol w:w="557"/>
        <w:gridCol w:w="1112"/>
        <w:gridCol w:w="1484"/>
      </w:tblGrid>
      <w:tr>
        <w:tblPrEx>
          <w:tblCellMar>
            <w:top w:w="0" w:type="dxa"/>
            <w:left w:w="108" w:type="dxa"/>
            <w:bottom w:w="0" w:type="dxa"/>
            <w:right w:w="108" w:type="dxa"/>
          </w:tblCellMar>
        </w:tblPrEx>
        <w:trPr>
          <w:trHeight w:val="759" w:hRule="atLeast"/>
          <w:tblHeader/>
          <w:jc w:val="center"/>
        </w:trPr>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序号</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项目（货物）名称</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投标品牌</w:t>
            </w:r>
          </w:p>
        </w:tc>
        <w:tc>
          <w:tcPr>
            <w:tcW w:w="11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投标产品规格型号</w:t>
            </w:r>
          </w:p>
        </w:tc>
        <w:tc>
          <w:tcPr>
            <w:tcW w:w="22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主要技术参数</w:t>
            </w:r>
          </w:p>
        </w:tc>
        <w:tc>
          <w:tcPr>
            <w:tcW w:w="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单位</w:t>
            </w:r>
          </w:p>
        </w:tc>
        <w:tc>
          <w:tcPr>
            <w:tcW w:w="55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数量</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投标单价（元）</w:t>
            </w: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投标总价</w:t>
            </w:r>
          </w:p>
          <w:p>
            <w:pPr>
              <w:widowControl/>
              <w:jc w:val="center"/>
              <w:rPr>
                <w:rFonts w:ascii="仿宋" w:hAnsi="仿宋" w:eastAsia="仿宋" w:cs="仿宋"/>
                <w:b/>
                <w:bCs/>
                <w:color w:val="auto"/>
                <w:kern w:val="0"/>
                <w:highlight w:val="none"/>
              </w:rPr>
            </w:pPr>
            <w:r>
              <w:rPr>
                <w:rFonts w:hint="eastAsia" w:ascii="仿宋" w:hAnsi="仿宋" w:eastAsia="仿宋" w:cs="仿宋"/>
                <w:b/>
                <w:bCs/>
                <w:color w:val="auto"/>
                <w:kern w:val="0"/>
                <w:highlight w:val="none"/>
              </w:rPr>
              <w:t>（元）</w:t>
            </w:r>
          </w:p>
        </w:tc>
      </w:tr>
      <w:tr>
        <w:tblPrEx>
          <w:tblCellMar>
            <w:top w:w="0" w:type="dxa"/>
            <w:left w:w="108" w:type="dxa"/>
            <w:bottom w:w="0" w:type="dxa"/>
            <w:right w:w="108" w:type="dxa"/>
          </w:tblCellMar>
        </w:tblPrEx>
        <w:trPr>
          <w:trHeight w:val="759" w:hRule="atLeast"/>
          <w:tblHeader/>
          <w:jc w:val="center"/>
        </w:trPr>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color w:val="auto"/>
                <w:kern w:val="0"/>
                <w:highlight w:val="none"/>
              </w:rPr>
            </w:pPr>
            <w:r>
              <w:rPr>
                <w:rFonts w:hint="eastAsia" w:ascii="仿宋" w:hAnsi="仿宋" w:eastAsia="仿宋" w:cs="仿宋"/>
                <w:color w:val="auto"/>
                <w:kern w:val="0"/>
                <w:highlight w:val="none"/>
              </w:rPr>
              <w:t>1</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p>
        </w:tc>
        <w:tc>
          <w:tcPr>
            <w:tcW w:w="11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p>
        </w:tc>
        <w:tc>
          <w:tcPr>
            <w:tcW w:w="22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p>
        </w:tc>
        <w:tc>
          <w:tcPr>
            <w:tcW w:w="5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p>
        </w:tc>
        <w:tc>
          <w:tcPr>
            <w:tcW w:w="55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color w:val="auto"/>
                <w:kern w:val="0"/>
                <w:highlight w:val="none"/>
              </w:rPr>
            </w:pP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auto"/>
                <w:kern w:val="0"/>
                <w:highlight w:val="none"/>
              </w:rPr>
            </w:pPr>
          </w:p>
        </w:tc>
        <w:tc>
          <w:tcPr>
            <w:tcW w:w="14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auto"/>
                <w:kern w:val="0"/>
                <w:highlight w:val="none"/>
              </w:rPr>
            </w:pPr>
          </w:p>
        </w:tc>
      </w:tr>
      <w:tr>
        <w:tblPrEx>
          <w:tblCellMar>
            <w:top w:w="0" w:type="dxa"/>
            <w:left w:w="108" w:type="dxa"/>
            <w:bottom w:w="0" w:type="dxa"/>
            <w:right w:w="108" w:type="dxa"/>
          </w:tblCellMar>
        </w:tblPrEx>
        <w:trPr>
          <w:trHeight w:val="428" w:hRule="atLeast"/>
          <w:jc w:val="center"/>
        </w:trPr>
        <w:tc>
          <w:tcPr>
            <w:tcW w:w="6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r>
              <w:rPr>
                <w:rFonts w:hint="eastAsia" w:ascii="仿宋" w:hAnsi="仿宋" w:eastAsia="仿宋" w:cs="仿宋"/>
                <w:color w:val="auto"/>
                <w:kern w:val="0"/>
                <w:highlight w:val="none"/>
              </w:rPr>
              <w:t>2</w:t>
            </w:r>
          </w:p>
        </w:tc>
        <w:tc>
          <w:tcPr>
            <w:tcW w:w="111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1113" w:type="dxa"/>
            <w:tcBorders>
              <w:top w:val="nil"/>
              <w:left w:val="nil"/>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1104" w:type="dxa"/>
            <w:tcBorders>
              <w:top w:val="nil"/>
              <w:left w:val="nil"/>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2234" w:type="dxa"/>
            <w:tcBorders>
              <w:top w:val="nil"/>
              <w:left w:val="single" w:color="auto" w:sz="4" w:space="0"/>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5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55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11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48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r>
      <w:tr>
        <w:tblPrEx>
          <w:tblCellMar>
            <w:top w:w="0" w:type="dxa"/>
            <w:left w:w="108" w:type="dxa"/>
            <w:bottom w:w="0" w:type="dxa"/>
            <w:right w:w="108" w:type="dxa"/>
          </w:tblCellMar>
        </w:tblPrEx>
        <w:trPr>
          <w:trHeight w:val="416" w:hRule="atLeast"/>
          <w:jc w:val="center"/>
        </w:trPr>
        <w:tc>
          <w:tcPr>
            <w:tcW w:w="6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r>
              <w:rPr>
                <w:rFonts w:hint="eastAsia" w:ascii="仿宋" w:hAnsi="仿宋" w:eastAsia="仿宋" w:cs="仿宋"/>
                <w:color w:val="auto"/>
                <w:kern w:val="0"/>
                <w:highlight w:val="none"/>
              </w:rPr>
              <w:t>3</w:t>
            </w:r>
          </w:p>
        </w:tc>
        <w:tc>
          <w:tcPr>
            <w:tcW w:w="111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1113"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highlight w:val="none"/>
              </w:rPr>
            </w:pPr>
          </w:p>
        </w:tc>
        <w:tc>
          <w:tcPr>
            <w:tcW w:w="1104" w:type="dxa"/>
            <w:tcBorders>
              <w:top w:val="nil"/>
              <w:left w:val="nil"/>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2234" w:type="dxa"/>
            <w:tcBorders>
              <w:top w:val="nil"/>
              <w:left w:val="single" w:color="auto" w:sz="4" w:space="0"/>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5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55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11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48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416" w:hRule="atLeast"/>
          <w:jc w:val="center"/>
        </w:trPr>
        <w:tc>
          <w:tcPr>
            <w:tcW w:w="6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r>
              <w:rPr>
                <w:rFonts w:hint="eastAsia" w:ascii="仿宋" w:hAnsi="仿宋" w:eastAsia="仿宋" w:cs="仿宋"/>
                <w:color w:val="auto"/>
                <w:kern w:val="0"/>
                <w:highlight w:val="none"/>
              </w:rPr>
              <w:t>4</w:t>
            </w:r>
          </w:p>
        </w:tc>
        <w:tc>
          <w:tcPr>
            <w:tcW w:w="111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111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1104" w:type="dxa"/>
            <w:tcBorders>
              <w:top w:val="nil"/>
              <w:left w:val="nil"/>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2234" w:type="dxa"/>
            <w:tcBorders>
              <w:top w:val="nil"/>
              <w:left w:val="single" w:color="auto" w:sz="4" w:space="0"/>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5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55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11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48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416" w:hRule="atLeast"/>
          <w:jc w:val="center"/>
        </w:trPr>
        <w:tc>
          <w:tcPr>
            <w:tcW w:w="6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r>
              <w:rPr>
                <w:rFonts w:hint="eastAsia" w:ascii="仿宋" w:hAnsi="仿宋" w:eastAsia="仿宋" w:cs="仿宋"/>
                <w:color w:val="auto"/>
                <w:kern w:val="0"/>
                <w:highlight w:val="none"/>
              </w:rPr>
              <w:t>5</w:t>
            </w:r>
          </w:p>
        </w:tc>
        <w:tc>
          <w:tcPr>
            <w:tcW w:w="111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111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1104" w:type="dxa"/>
            <w:tcBorders>
              <w:top w:val="nil"/>
              <w:left w:val="nil"/>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2234" w:type="dxa"/>
            <w:tcBorders>
              <w:top w:val="nil"/>
              <w:left w:val="single" w:color="auto" w:sz="4" w:space="0"/>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5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55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11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48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383" w:hRule="atLeast"/>
          <w:jc w:val="center"/>
        </w:trPr>
        <w:tc>
          <w:tcPr>
            <w:tcW w:w="6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r>
              <w:rPr>
                <w:rFonts w:hint="eastAsia" w:ascii="仿宋" w:hAnsi="仿宋" w:eastAsia="仿宋" w:cs="仿宋"/>
                <w:color w:val="auto"/>
                <w:kern w:val="0"/>
                <w:highlight w:val="none"/>
              </w:rPr>
              <w:t>…</w:t>
            </w:r>
          </w:p>
        </w:tc>
        <w:tc>
          <w:tcPr>
            <w:tcW w:w="111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111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1104" w:type="dxa"/>
            <w:tcBorders>
              <w:top w:val="nil"/>
              <w:left w:val="nil"/>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2234" w:type="dxa"/>
            <w:tcBorders>
              <w:top w:val="nil"/>
              <w:left w:val="single" w:color="auto" w:sz="4" w:space="0"/>
              <w:bottom w:val="single" w:color="auto" w:sz="4" w:space="0"/>
              <w:right w:val="single" w:color="auto" w:sz="4" w:space="0"/>
            </w:tcBorders>
            <w:vAlign w:val="center"/>
          </w:tcPr>
          <w:p>
            <w:pPr>
              <w:widowControl/>
              <w:rPr>
                <w:rFonts w:ascii="仿宋" w:hAnsi="仿宋" w:eastAsia="仿宋" w:cs="仿宋"/>
                <w:color w:val="auto"/>
                <w:kern w:val="0"/>
                <w:highlight w:val="none"/>
              </w:rPr>
            </w:pPr>
          </w:p>
        </w:tc>
        <w:tc>
          <w:tcPr>
            <w:tcW w:w="5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highlight w:val="none"/>
              </w:rPr>
            </w:pPr>
          </w:p>
        </w:tc>
        <w:tc>
          <w:tcPr>
            <w:tcW w:w="55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11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kern w:val="0"/>
                <w:highlight w:val="none"/>
              </w:rPr>
            </w:pPr>
          </w:p>
        </w:tc>
        <w:tc>
          <w:tcPr>
            <w:tcW w:w="148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highlight w:val="none"/>
              </w:rPr>
            </w:pPr>
          </w:p>
        </w:tc>
      </w:tr>
      <w:tr>
        <w:tblPrEx>
          <w:tblCellMar>
            <w:top w:w="0" w:type="dxa"/>
            <w:left w:w="108" w:type="dxa"/>
            <w:bottom w:w="0" w:type="dxa"/>
            <w:right w:w="108" w:type="dxa"/>
          </w:tblCellMar>
        </w:tblPrEx>
        <w:trPr>
          <w:trHeight w:val="659" w:hRule="atLeast"/>
          <w:jc w:val="center"/>
        </w:trPr>
        <w:tc>
          <w:tcPr>
            <w:tcW w:w="8456" w:type="dxa"/>
            <w:gridSpan w:val="8"/>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highlight w:val="none"/>
                <w:u w:val="single"/>
              </w:rPr>
            </w:pPr>
            <w:r>
              <w:rPr>
                <w:rFonts w:hint="eastAsia" w:ascii="仿宋" w:hAnsi="仿宋" w:eastAsia="仿宋" w:cs="仿宋"/>
                <w:b/>
                <w:bCs/>
                <w:color w:val="auto"/>
                <w:kern w:val="0"/>
                <w:highlight w:val="none"/>
              </w:rPr>
              <w:t>投标总报价：人民币（大写）</w:t>
            </w:r>
            <w:r>
              <w:rPr>
                <w:rFonts w:hint="eastAsia" w:ascii="仿宋" w:hAnsi="仿宋" w:eastAsia="仿宋" w:cs="仿宋"/>
                <w:b/>
                <w:bCs/>
                <w:color w:val="auto"/>
                <w:kern w:val="0"/>
                <w:highlight w:val="none"/>
                <w:u w:val="single"/>
              </w:rPr>
              <w:t xml:space="preserve">                                              </w:t>
            </w:r>
          </w:p>
        </w:tc>
        <w:tc>
          <w:tcPr>
            <w:tcW w:w="1484" w:type="dxa"/>
            <w:tcBorders>
              <w:top w:val="nil"/>
              <w:left w:val="nil"/>
              <w:bottom w:val="single" w:color="auto" w:sz="4" w:space="0"/>
              <w:right w:val="single" w:color="auto" w:sz="4" w:space="0"/>
            </w:tcBorders>
            <w:vAlign w:val="center"/>
          </w:tcPr>
          <w:p>
            <w:pPr>
              <w:rPr>
                <w:rFonts w:ascii="仿宋" w:hAnsi="仿宋" w:eastAsia="仿宋" w:cs="仿宋"/>
                <w:color w:val="auto"/>
                <w:highlight w:val="none"/>
                <w:u w:val="single"/>
              </w:rPr>
            </w:pP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w:t>
            </w:r>
          </w:p>
        </w:tc>
      </w:tr>
    </w:tbl>
    <w:p>
      <w:pPr>
        <w:ind w:firstLine="241" w:firstLineChars="1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投标单位全称（单位公章）：</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全权代表签字：                 职务：                     日期：</w:t>
      </w:r>
    </w:p>
    <w:p>
      <w:pPr>
        <w:ind w:firstLine="241" w:firstLineChars="100"/>
        <w:rPr>
          <w:rFonts w:ascii="仿宋" w:hAnsi="仿宋" w:eastAsia="仿宋" w:cs="仿宋"/>
          <w:b/>
          <w:color w:val="auto"/>
          <w:sz w:val="24"/>
          <w:szCs w:val="24"/>
          <w:highlight w:val="none"/>
        </w:rPr>
      </w:pPr>
    </w:p>
    <w:p>
      <w:pPr>
        <w:snapToGrid w:val="0"/>
        <w:ind w:left="1258" w:hanging="1258" w:hangingChars="522"/>
        <w:rPr>
          <w:rFonts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 xml:space="preserve">备注： </w:t>
      </w:r>
      <w:r>
        <w:rPr>
          <w:rFonts w:hint="eastAsia" w:ascii="仿宋" w:hAnsi="仿宋" w:eastAsia="仿宋" w:cs="仿宋"/>
          <w:bCs/>
          <w:color w:val="auto"/>
          <w:sz w:val="24"/>
          <w:szCs w:val="24"/>
          <w:highlight w:val="none"/>
        </w:rPr>
        <w:t>1、以上总金额包括供货、运输、装卸、安装调试、产品保护、备品备件、税金、培训、验收、辅助工作、售后服务等完成本项目的所有费用。</w:t>
      </w:r>
    </w:p>
    <w:p>
      <w:pPr>
        <w:snapToGrid w:val="0"/>
        <w:ind w:firstLine="823" w:firstLineChars="343"/>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2. 此表在不改变表式的情况下，可自行制作，必须加盖公章。          </w:t>
      </w:r>
    </w:p>
    <w:p>
      <w:pPr>
        <w:snapToGrid w:val="0"/>
        <w:ind w:firstLine="823" w:firstLineChars="343"/>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 投标方不能拆分标项内容投标。</w:t>
      </w:r>
    </w:p>
    <w:p>
      <w:pPr>
        <w:snapToGrid w:val="0"/>
        <w:ind w:firstLine="823" w:firstLineChars="343"/>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 投标产品的具体技术参数内容可另附在该表后。</w:t>
      </w:r>
    </w:p>
    <w:p>
      <w:pPr>
        <w:snapToGrid w:val="0"/>
        <w:ind w:left="1180" w:leftChars="390" w:hanging="361" w:hangingChars="150"/>
        <w:jc w:val="left"/>
        <w:rPr>
          <w:rStyle w:val="98"/>
          <w:rFonts w:ascii="仿宋" w:hAnsi="仿宋" w:eastAsia="仿宋" w:cs="仿宋"/>
          <w:bCs/>
          <w:color w:val="auto"/>
          <w:szCs w:val="24"/>
          <w:highlight w:val="none"/>
        </w:rPr>
      </w:pPr>
      <w:r>
        <w:rPr>
          <w:rFonts w:hint="eastAsia" w:ascii="仿宋" w:hAnsi="仿宋" w:eastAsia="仿宋" w:cs="仿宋"/>
          <w:b/>
          <w:bCs/>
          <w:color w:val="auto"/>
          <w:sz w:val="24"/>
          <w:szCs w:val="24"/>
          <w:highlight w:val="none"/>
        </w:rPr>
        <w:t xml:space="preserve">5. </w:t>
      </w:r>
      <w:r>
        <w:rPr>
          <w:rFonts w:hint="eastAsia" w:ascii="仿宋" w:hAnsi="仿宋" w:eastAsia="仿宋" w:cs="仿宋"/>
          <w:b/>
          <w:bCs/>
          <w:color w:val="auto"/>
          <w:sz w:val="24"/>
          <w:szCs w:val="24"/>
          <w:highlight w:val="none"/>
          <w:u w:val="single"/>
        </w:rPr>
        <w:t>特别提醒：本表的商务报价内容不能出现在资格审查文件、技术文件、资信及商务文件正副本中。</w:t>
      </w: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p>
    <w:p>
      <w:pPr>
        <w:widowControl/>
        <w:snapToGrid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 xml:space="preserve">附件三                </w:t>
      </w:r>
    </w:p>
    <w:p>
      <w:pPr>
        <w:widowControl/>
        <w:snapToGrid w:val="0"/>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投 标 函</w:t>
      </w:r>
    </w:p>
    <w:p>
      <w:pPr>
        <w:widowControl/>
        <w:snapToGrid w:val="0"/>
        <w:jc w:val="center"/>
        <w:rPr>
          <w:rFonts w:ascii="仿宋" w:hAnsi="仿宋" w:eastAsia="仿宋" w:cs="仿宋"/>
          <w:b/>
          <w:color w:val="auto"/>
          <w:kern w:val="0"/>
          <w:sz w:val="36"/>
          <w:szCs w:val="36"/>
          <w:highlight w:val="none"/>
        </w:rPr>
      </w:pPr>
    </w:p>
    <w:p>
      <w:pPr>
        <w:pStyle w:val="43"/>
        <w:autoSpaceDE w:val="0"/>
        <w:adjustRightInd w:val="0"/>
        <w:snapToGrid w:val="0"/>
        <w:spacing w:before="0" w:beforeAutospacing="0" w:after="0" w:afterAutospacing="0" w:line="420" w:lineRule="exact"/>
        <w:jc w:val="both"/>
        <w:rPr>
          <w:rFonts w:ascii="仿宋" w:hAnsi="仿宋" w:eastAsia="仿宋" w:cs="仿宋"/>
          <w:color w:val="auto"/>
          <w:highlight w:val="none"/>
        </w:rPr>
      </w:pPr>
      <w:r>
        <w:rPr>
          <w:rFonts w:hint="eastAsia" w:ascii="仿宋" w:hAnsi="仿宋" w:eastAsia="仿宋" w:cs="仿宋"/>
          <w:color w:val="auto"/>
          <w:highlight w:val="none"/>
          <w:u w:val="single"/>
        </w:rPr>
        <w:t>杭州杭新固体废物处置有限公司、浙江建安工程管理有限公司</w:t>
      </w:r>
      <w:r>
        <w:rPr>
          <w:rFonts w:hint="eastAsia" w:ascii="仿宋" w:hAnsi="仿宋" w:eastAsia="仿宋" w:cs="仿宋"/>
          <w:color w:val="auto"/>
          <w:highlight w:val="none"/>
        </w:rPr>
        <w:t>：</w:t>
      </w:r>
    </w:p>
    <w:p>
      <w:pPr>
        <w:widowControl/>
        <w:snapToGrid w:val="0"/>
        <w:spacing w:line="480" w:lineRule="exac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_________________________(投标供应商全称）授权____________________ (全权代表姓名）____________________(职务、职称）为全权代表，参加贵方组织的</w:t>
      </w:r>
      <w:r>
        <w:rPr>
          <w:rFonts w:hint="eastAsia" w:ascii="仿宋" w:hAnsi="仿宋" w:eastAsia="仿宋" w:cs="仿宋"/>
          <w:color w:val="auto"/>
          <w:kern w:val="0"/>
          <w:sz w:val="24"/>
          <w:szCs w:val="24"/>
          <w:highlight w:val="none"/>
          <w:u w:val="single"/>
        </w:rPr>
        <w:t>杭州杭新固体废物处置有限公司废气在线监测系统升级改造项目</w:t>
      </w:r>
      <w:r>
        <w:rPr>
          <w:rFonts w:hint="eastAsia" w:ascii="仿宋" w:hAnsi="仿宋" w:eastAsia="仿宋" w:cs="仿宋"/>
          <w:color w:val="auto"/>
          <w:kern w:val="0"/>
          <w:sz w:val="24"/>
          <w:szCs w:val="24"/>
          <w:highlight w:val="none"/>
        </w:rPr>
        <w:t>公开招标(招标编号：</w:t>
      </w:r>
      <w:r>
        <w:rPr>
          <w:rFonts w:hint="eastAsia" w:ascii="仿宋" w:hAnsi="仿宋" w:eastAsia="仿宋" w:cs="仿宋"/>
          <w:color w:val="auto"/>
          <w:sz w:val="24"/>
          <w:szCs w:val="24"/>
          <w:highlight w:val="none"/>
          <w:lang w:eastAsia="zh-CN"/>
        </w:rPr>
        <w:t>ZJJAJD2024B-019</w:t>
      </w: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的有关活动，并对此项目进行投标。为此：</w:t>
      </w:r>
    </w:p>
    <w:p>
      <w:pPr>
        <w:widowControl/>
        <w:snapToGrid w:val="0"/>
        <w:spacing w:line="480" w:lineRule="exact"/>
        <w:ind w:left="-2" w:firstLine="436"/>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1、我方同意在投标供应商须知规定的开标日期起遵守本投标函中的承诺且在投标有效期满之前均具有约束力。</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2、我方承诺已经具备《中华人民共和国政府采购法》中规定的参加政府采购活动的供应商应当具备的条件：</w:t>
      </w:r>
    </w:p>
    <w:p>
      <w:pPr>
        <w:widowControl/>
        <w:snapToGrid w:val="0"/>
        <w:spacing w:line="480" w:lineRule="exact"/>
        <w:ind w:firstLine="487" w:firstLineChars="203"/>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（1）具有独立承担民事责任和履行合同的能力；</w:t>
      </w:r>
    </w:p>
    <w:p>
      <w:pPr>
        <w:widowControl/>
        <w:snapToGrid w:val="0"/>
        <w:spacing w:line="480" w:lineRule="exact"/>
        <w:ind w:firstLine="487" w:firstLineChars="203"/>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（2）遵守国家法律、行政法规，在市场中具有良好信誉和商业道德；</w:t>
      </w:r>
    </w:p>
    <w:p>
      <w:pPr>
        <w:widowControl/>
        <w:snapToGrid w:val="0"/>
        <w:spacing w:line="480" w:lineRule="exact"/>
        <w:ind w:firstLine="487" w:firstLineChars="203"/>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（3）具有一定规模和良好的资金、财务状况；</w:t>
      </w:r>
    </w:p>
    <w:p>
      <w:pPr>
        <w:widowControl/>
        <w:snapToGrid w:val="0"/>
        <w:spacing w:line="480" w:lineRule="exact"/>
        <w:ind w:firstLine="487" w:firstLineChars="203"/>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（4）具备国家有关部门和采购主管部门规定的其他条件；</w:t>
      </w:r>
    </w:p>
    <w:p>
      <w:pPr>
        <w:widowControl/>
        <w:snapToGrid w:val="0"/>
        <w:spacing w:line="480" w:lineRule="exact"/>
        <w:ind w:left="-2" w:firstLine="436"/>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提供投标供应商须知规定的全部投标文件，包括资格审查文件、报价文件、技术文件、商务资信文件。资格审查文件、报价文件、技术文件和商务资信文件、分别装订成册、单独密封。资格审查文件正本1份，报价文件、技术文件、商务资信文件、各正本1份、副本5份。</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4、按招标文件要求提供和交付的货物和服务的投标报价详见《投标报价函》和《开标一览表》。</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5、保证忠实地执行双方所签订的合同，并承担合同规定的责任和义务。</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6、保证遵守招标文件中的其他有关规定。</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7、如果在开标后的投标有效期内撤回投标，我方同意按招标方的规定进行处罚。</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8、我方完全理解贵方不一定要接受最低价的投标或收到的任何投标。</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10、我方已详细阅读全部招标文件，包括招标文件修改书（如有的话）、参考资料及有关附件，确认无误。</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我方将严格遵守《中华人民共和国政府采购法》等相关法律法规的规定：供应商有下列情形之一的，处以采购金额5‰以上10‰以下的罚款，列入不良行为记录名单，在一至三年内禁止参加政府采购活动；如有违法所得并将其没收；情节严重的，由工商行政管理机关吊销营业执照；构成犯罪的，依法追究刑事责任：</w:t>
      </w:r>
    </w:p>
    <w:p>
      <w:pPr>
        <w:snapToGrid w:val="0"/>
        <w:spacing w:line="480" w:lineRule="exact"/>
        <w:ind w:left="-2" w:firstLine="436"/>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（1）提供虚假材料谋取中标、成交的；</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（2）采取不正当手段诋毁、排挤其他投标供应商的；</w:t>
      </w:r>
    </w:p>
    <w:p>
      <w:pPr>
        <w:snapToGrid w:val="0"/>
        <w:spacing w:line="480" w:lineRule="exact"/>
        <w:ind w:left="-2" w:firstLine="436"/>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（3）与其他投标供应商恶意串通的；</w:t>
      </w:r>
    </w:p>
    <w:p>
      <w:pPr>
        <w:snapToGrid w:val="0"/>
        <w:spacing w:line="480" w:lineRule="exact"/>
        <w:ind w:left="-2" w:firstLine="436"/>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（4）向招标方行贿或者提供其他不正当利益的；</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（5）拒绝有关部门监督检查或提供虚假情况的。</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12、我方的投标文件在开标后</w:t>
      </w:r>
      <w:r>
        <w:rPr>
          <w:rFonts w:hint="eastAsia" w:ascii="仿宋" w:hAnsi="仿宋" w:eastAsia="仿宋" w:cs="仿宋"/>
          <w:color w:val="auto"/>
          <w:kern w:val="0"/>
          <w:sz w:val="24"/>
          <w:szCs w:val="24"/>
          <w:highlight w:val="none"/>
          <w:u w:val="single"/>
        </w:rPr>
        <w:t>90</w:t>
      </w:r>
      <w:r>
        <w:rPr>
          <w:rFonts w:hint="eastAsia" w:ascii="仿宋" w:hAnsi="仿宋" w:eastAsia="仿宋" w:cs="仿宋"/>
          <w:color w:val="auto"/>
          <w:kern w:val="0"/>
          <w:sz w:val="24"/>
          <w:szCs w:val="24"/>
          <w:highlight w:val="none"/>
        </w:rPr>
        <w:t>天内有效。</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与本投标有关的一切往来通信请寄：</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地址：___________________________________</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邮编：____________　</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电话：____________　</w:t>
      </w:r>
    </w:p>
    <w:p>
      <w:pPr>
        <w:widowControl/>
        <w:snapToGrid w:val="0"/>
        <w:spacing w:line="480" w:lineRule="exact"/>
        <w:ind w:left="-2" w:firstLine="436"/>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传真：____________</w:t>
      </w:r>
    </w:p>
    <w:p>
      <w:pPr>
        <w:autoSpaceDE w:val="0"/>
        <w:adjustRightInd w:val="0"/>
        <w:snapToGrid w:val="0"/>
        <w:ind w:firstLine="3427" w:firstLineChars="1428"/>
        <w:rPr>
          <w:rFonts w:ascii="仿宋" w:hAnsi="仿宋" w:eastAsia="仿宋" w:cs="仿宋"/>
          <w:color w:val="auto"/>
          <w:kern w:val="0"/>
          <w:sz w:val="24"/>
          <w:szCs w:val="24"/>
          <w:highlight w:val="none"/>
        </w:rPr>
      </w:pPr>
    </w:p>
    <w:p>
      <w:pPr>
        <w:autoSpaceDE w:val="0"/>
        <w:adjustRightInd w:val="0"/>
        <w:snapToGrid w:val="0"/>
        <w:ind w:firstLine="3427" w:firstLineChars="1428"/>
        <w:rPr>
          <w:rFonts w:ascii="仿宋" w:hAnsi="仿宋" w:eastAsia="仿宋" w:cs="仿宋"/>
          <w:color w:val="auto"/>
          <w:kern w:val="0"/>
          <w:sz w:val="24"/>
          <w:szCs w:val="24"/>
          <w:highlight w:val="none"/>
        </w:rPr>
      </w:pPr>
    </w:p>
    <w:p>
      <w:pPr>
        <w:autoSpaceDE w:val="0"/>
        <w:adjustRightInd w:val="0"/>
        <w:snapToGrid w:val="0"/>
        <w:ind w:firstLine="3441" w:firstLineChars="1428"/>
        <w:rPr>
          <w:rFonts w:ascii="仿宋" w:hAnsi="仿宋" w:eastAsia="仿宋" w:cs="仿宋"/>
          <w:b/>
          <w:bCs/>
          <w:color w:val="auto"/>
          <w:kern w:val="0"/>
          <w:sz w:val="24"/>
          <w:szCs w:val="24"/>
          <w:highlight w:val="none"/>
        </w:rPr>
      </w:pPr>
    </w:p>
    <w:p>
      <w:pPr>
        <w:widowControl/>
        <w:snapToGrid w:val="0"/>
        <w:spacing w:line="360" w:lineRule="auto"/>
        <w:ind w:firstLine="5940" w:firstLineChars="2475"/>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全权代表(签字）：</w:t>
      </w:r>
    </w:p>
    <w:p>
      <w:pPr>
        <w:widowControl/>
        <w:snapToGrid w:val="0"/>
        <w:spacing w:line="360" w:lineRule="auto"/>
        <w:ind w:firstLine="5940" w:firstLineChars="2475"/>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投标供应商(盖章）：</w:t>
      </w:r>
    </w:p>
    <w:p>
      <w:pPr>
        <w:autoSpaceDE w:val="0"/>
        <w:adjustRightInd w:val="0"/>
        <w:snapToGrid w:val="0"/>
        <w:spacing w:line="360" w:lineRule="auto"/>
        <w:ind w:firstLine="5940" w:firstLineChars="2475"/>
        <w:rPr>
          <w:rFonts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日期：2024年 月  日</w:t>
      </w:r>
    </w:p>
    <w:p>
      <w:pPr>
        <w:widowControl/>
        <w:snapToGrid w:val="0"/>
        <w:spacing w:line="480" w:lineRule="exact"/>
        <w:ind w:left="420" w:hanging="420"/>
        <w:jc w:val="center"/>
        <w:rPr>
          <w:rFonts w:ascii="仿宋" w:hAnsi="仿宋" w:eastAsia="仿宋" w:cs="仿宋"/>
          <w:b/>
          <w:bCs/>
          <w:color w:val="auto"/>
          <w:kern w:val="0"/>
          <w:sz w:val="28"/>
          <w:szCs w:val="28"/>
          <w:highlight w:val="none"/>
        </w:rPr>
      </w:pPr>
    </w:p>
    <w:p>
      <w:pPr>
        <w:spacing w:line="480" w:lineRule="auto"/>
        <w:jc w:val="left"/>
        <w:rPr>
          <w:rStyle w:val="98"/>
          <w:rFonts w:ascii="仿宋" w:hAnsi="仿宋" w:eastAsia="仿宋" w:cs="仿宋"/>
          <w:color w:val="auto"/>
          <w:sz w:val="28"/>
          <w:szCs w:val="28"/>
          <w:highlight w:val="none"/>
        </w:rPr>
      </w:pPr>
    </w:p>
    <w:p>
      <w:pPr>
        <w:pStyle w:val="56"/>
        <w:ind w:firstLine="552"/>
        <w:rPr>
          <w:rStyle w:val="98"/>
          <w:rFonts w:ascii="仿宋" w:hAnsi="仿宋" w:eastAsia="仿宋" w:cs="仿宋"/>
          <w:color w:val="auto"/>
          <w:sz w:val="28"/>
          <w:szCs w:val="28"/>
          <w:highlight w:val="none"/>
        </w:rPr>
      </w:pPr>
    </w:p>
    <w:p>
      <w:pPr>
        <w:rPr>
          <w:rStyle w:val="98"/>
          <w:rFonts w:ascii="仿宋" w:hAnsi="仿宋" w:eastAsia="仿宋" w:cs="仿宋"/>
          <w:color w:val="auto"/>
          <w:sz w:val="28"/>
          <w:szCs w:val="28"/>
          <w:highlight w:val="none"/>
        </w:rPr>
      </w:pPr>
    </w:p>
    <w:p>
      <w:pPr>
        <w:spacing w:line="480" w:lineRule="auto"/>
        <w:jc w:val="left"/>
        <w:rPr>
          <w:rStyle w:val="98"/>
          <w:rFonts w:ascii="仿宋" w:hAnsi="仿宋" w:eastAsia="仿宋" w:cs="仿宋"/>
          <w:color w:val="auto"/>
          <w:szCs w:val="32"/>
          <w:highlight w:val="none"/>
        </w:rPr>
      </w:pPr>
    </w:p>
    <w:p>
      <w:pPr>
        <w:spacing w:line="480" w:lineRule="auto"/>
        <w:jc w:val="left"/>
        <w:rPr>
          <w:rStyle w:val="98"/>
          <w:rFonts w:ascii="仿宋" w:hAnsi="仿宋" w:eastAsia="仿宋" w:cs="仿宋"/>
          <w:color w:val="auto"/>
          <w:szCs w:val="32"/>
          <w:highlight w:val="none"/>
        </w:rPr>
      </w:pPr>
      <w:r>
        <w:rPr>
          <w:rStyle w:val="98"/>
          <w:rFonts w:hint="eastAsia" w:ascii="仿宋" w:hAnsi="仿宋" w:eastAsia="仿宋" w:cs="仿宋"/>
          <w:color w:val="auto"/>
          <w:szCs w:val="32"/>
          <w:highlight w:val="none"/>
        </w:rPr>
        <w:t>附件四</w:t>
      </w:r>
    </w:p>
    <w:p>
      <w:pPr>
        <w:adjustRightInd w:val="0"/>
        <w:snapToGrid w:val="0"/>
        <w:jc w:val="center"/>
        <w:rPr>
          <w:rFonts w:ascii="仿宋" w:hAnsi="仿宋" w:eastAsia="仿宋" w:cs="仿宋"/>
          <w:b/>
          <w:bCs/>
          <w:iCs/>
          <w:color w:val="auto"/>
          <w:spacing w:val="20"/>
          <w:sz w:val="36"/>
          <w:szCs w:val="36"/>
          <w:highlight w:val="none"/>
        </w:rPr>
      </w:pPr>
      <w:r>
        <w:rPr>
          <w:rFonts w:hint="eastAsia" w:ascii="仿宋" w:hAnsi="仿宋" w:eastAsia="仿宋" w:cs="仿宋"/>
          <w:b/>
          <w:bCs/>
          <w:iCs/>
          <w:color w:val="auto"/>
          <w:spacing w:val="20"/>
          <w:sz w:val="36"/>
          <w:szCs w:val="36"/>
          <w:highlight w:val="none"/>
        </w:rPr>
        <w:t>技术参数对照表</w:t>
      </w:r>
    </w:p>
    <w:p>
      <w:pPr>
        <w:adjustRightInd w:val="0"/>
        <w:snapToGrid w:val="0"/>
        <w:jc w:val="center"/>
        <w:rPr>
          <w:rFonts w:ascii="仿宋" w:hAnsi="仿宋" w:eastAsia="仿宋" w:cs="仿宋"/>
          <w:b/>
          <w:bCs/>
          <w:iCs/>
          <w:color w:val="auto"/>
          <w:spacing w:val="20"/>
          <w:sz w:val="36"/>
          <w:szCs w:val="36"/>
          <w:highlight w:val="none"/>
        </w:rPr>
      </w:pPr>
    </w:p>
    <w:p>
      <w:pPr>
        <w:adjustRightInd w:val="0"/>
        <w:snapToGrid w:val="0"/>
        <w:jc w:val="center"/>
        <w:rPr>
          <w:rFonts w:ascii="仿宋" w:hAnsi="仿宋" w:eastAsia="仿宋" w:cs="仿宋"/>
          <w:iCs/>
          <w:color w:val="auto"/>
          <w:spacing w:val="20"/>
          <w:sz w:val="30"/>
          <w:szCs w:val="30"/>
          <w:highlight w:val="none"/>
        </w:rPr>
      </w:pPr>
    </w:p>
    <w:p>
      <w:pPr>
        <w:adjustRightInd w:val="0"/>
        <w:snapToGrid w:val="0"/>
        <w:spacing w:line="360" w:lineRule="auto"/>
        <w:ind w:firstLine="160" w:firstLineChars="50"/>
        <w:rPr>
          <w:rFonts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招标编号：</w:t>
      </w:r>
      <w:r>
        <w:rPr>
          <w:rFonts w:hint="eastAsia" w:ascii="仿宋" w:hAnsi="仿宋" w:eastAsia="仿宋" w:cs="仿宋"/>
          <w:color w:val="auto"/>
          <w:spacing w:val="20"/>
          <w:sz w:val="28"/>
          <w:szCs w:val="28"/>
          <w:highlight w:val="none"/>
          <w:lang w:eastAsia="zh-CN"/>
        </w:rPr>
        <w:t>ZJJAJD2024B-019</w:t>
      </w:r>
      <w:r>
        <w:rPr>
          <w:rFonts w:hint="eastAsia" w:ascii="仿宋" w:hAnsi="仿宋" w:eastAsia="仿宋" w:cs="仿宋"/>
          <w:color w:val="auto"/>
          <w:spacing w:val="20"/>
          <w:sz w:val="28"/>
          <w:szCs w:val="28"/>
          <w:highlight w:val="none"/>
        </w:rPr>
        <w:t xml:space="preserve">         </w:t>
      </w:r>
    </w:p>
    <w:tbl>
      <w:tblPr>
        <w:tblStyle w:val="48"/>
        <w:tblpPr w:leftFromText="180" w:rightFromText="180" w:vertAnchor="text" w:horzAnchor="page" w:tblpX="1182" w:tblpY="428"/>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77"/>
        <w:gridCol w:w="1620"/>
        <w:gridCol w:w="1080"/>
        <w:gridCol w:w="1313"/>
        <w:gridCol w:w="1959"/>
        <w:gridCol w:w="1036"/>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序号</w:t>
            </w:r>
          </w:p>
        </w:tc>
        <w:tc>
          <w:tcPr>
            <w:tcW w:w="1177" w:type="dxa"/>
            <w:vAlign w:val="center"/>
          </w:tcPr>
          <w:p>
            <w:pPr>
              <w:adjustRightInd w:val="0"/>
              <w:snapToGrid w:val="0"/>
              <w:jc w:val="center"/>
              <w:rPr>
                <w:rFonts w:ascii="仿宋" w:hAnsi="仿宋" w:eastAsia="仿宋" w:cs="仿宋"/>
                <w:bCs/>
                <w:color w:val="auto"/>
                <w:spacing w:val="20"/>
                <w:szCs w:val="21"/>
                <w:highlight w:val="none"/>
              </w:rPr>
            </w:pPr>
            <w:r>
              <w:rPr>
                <w:rFonts w:hint="eastAsia" w:ascii="仿宋" w:hAnsi="仿宋" w:eastAsia="仿宋" w:cs="仿宋"/>
                <w:bCs/>
                <w:color w:val="auto"/>
                <w:spacing w:val="20"/>
                <w:szCs w:val="21"/>
                <w:highlight w:val="none"/>
              </w:rPr>
              <w:t>项目（货物）名称</w:t>
            </w:r>
          </w:p>
        </w:tc>
        <w:tc>
          <w:tcPr>
            <w:tcW w:w="1620" w:type="dxa"/>
            <w:vAlign w:val="center"/>
          </w:tcPr>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招标规格和技术要求</w:t>
            </w:r>
          </w:p>
        </w:tc>
        <w:tc>
          <w:tcPr>
            <w:tcW w:w="1080" w:type="dxa"/>
            <w:vAlign w:val="center"/>
          </w:tcPr>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投标产品品牌</w:t>
            </w:r>
          </w:p>
        </w:tc>
        <w:tc>
          <w:tcPr>
            <w:tcW w:w="1313" w:type="dxa"/>
            <w:vAlign w:val="center"/>
          </w:tcPr>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投标产品</w:t>
            </w:r>
          </w:p>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规格型号</w:t>
            </w:r>
          </w:p>
        </w:tc>
        <w:tc>
          <w:tcPr>
            <w:tcW w:w="1959" w:type="dxa"/>
            <w:vAlign w:val="center"/>
          </w:tcPr>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技术参数和需求响应</w:t>
            </w:r>
          </w:p>
        </w:tc>
        <w:tc>
          <w:tcPr>
            <w:tcW w:w="1036" w:type="dxa"/>
            <w:vAlign w:val="center"/>
          </w:tcPr>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偏离</w:t>
            </w:r>
          </w:p>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情况</w:t>
            </w:r>
          </w:p>
        </w:tc>
        <w:tc>
          <w:tcPr>
            <w:tcW w:w="912" w:type="dxa"/>
            <w:vAlign w:val="center"/>
          </w:tcPr>
          <w:p>
            <w:pPr>
              <w:adjustRightInd w:val="0"/>
              <w:snapToGrid w:val="0"/>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w:t>
            </w:r>
          </w:p>
        </w:tc>
        <w:tc>
          <w:tcPr>
            <w:tcW w:w="1177" w:type="dxa"/>
          </w:tcPr>
          <w:p>
            <w:pPr>
              <w:adjustRightInd w:val="0"/>
              <w:snapToGrid w:val="0"/>
              <w:spacing w:line="480" w:lineRule="auto"/>
              <w:jc w:val="center"/>
              <w:rPr>
                <w:rFonts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ascii="仿宋" w:hAnsi="仿宋" w:eastAsia="仿宋" w:cs="仿宋"/>
                <w:color w:val="auto"/>
                <w:spacing w:val="20"/>
                <w:szCs w:val="21"/>
                <w:highlight w:val="none"/>
              </w:rPr>
            </w:pPr>
          </w:p>
        </w:tc>
      </w:tr>
    </w:tbl>
    <w:p>
      <w:pPr>
        <w:adjustRightInd w:val="0"/>
        <w:snapToGrid w:val="0"/>
        <w:spacing w:line="500" w:lineRule="exact"/>
        <w:ind w:firstLine="800" w:firstLineChars="250"/>
        <w:rPr>
          <w:rFonts w:ascii="仿宋" w:hAnsi="仿宋" w:eastAsia="仿宋" w:cs="仿宋"/>
          <w:color w:val="auto"/>
          <w:sz w:val="28"/>
          <w:szCs w:val="28"/>
          <w:highlight w:val="none"/>
        </w:rPr>
      </w:pPr>
      <w:r>
        <w:rPr>
          <w:rFonts w:hint="eastAsia" w:ascii="仿宋" w:hAnsi="仿宋" w:eastAsia="仿宋" w:cs="仿宋"/>
          <w:color w:val="auto"/>
          <w:spacing w:val="20"/>
          <w:sz w:val="28"/>
          <w:szCs w:val="28"/>
          <w:highlight w:val="none"/>
        </w:rPr>
        <w:t>注：1、必须与相应项目的所有技术规格相比较填列。</w:t>
      </w:r>
    </w:p>
    <w:p>
      <w:pPr>
        <w:adjustRightInd w:val="0"/>
        <w:snapToGrid w:val="0"/>
        <w:rPr>
          <w:rFonts w:ascii="仿宋" w:hAnsi="仿宋" w:eastAsia="仿宋" w:cs="仿宋"/>
          <w:color w:val="auto"/>
          <w:spacing w:val="20"/>
          <w:sz w:val="28"/>
          <w:szCs w:val="28"/>
          <w:highlight w:val="none"/>
        </w:rPr>
      </w:pPr>
    </w:p>
    <w:p>
      <w:pPr>
        <w:adjustRightInd w:val="0"/>
        <w:snapToGrid w:val="0"/>
        <w:rPr>
          <w:rFonts w:ascii="仿宋" w:hAnsi="仿宋" w:eastAsia="仿宋" w:cs="仿宋"/>
          <w:color w:val="auto"/>
          <w:spacing w:val="20"/>
          <w:sz w:val="28"/>
          <w:szCs w:val="28"/>
          <w:highlight w:val="none"/>
        </w:rPr>
      </w:pPr>
    </w:p>
    <w:p>
      <w:pPr>
        <w:autoSpaceDE w:val="0"/>
        <w:adjustRightInd w:val="0"/>
        <w:snapToGrid w:val="0"/>
        <w:ind w:firstLine="3735" w:firstLineChars="1550"/>
        <w:rPr>
          <w:rFonts w:ascii="仿宋" w:hAnsi="仿宋" w:eastAsia="仿宋" w:cs="仿宋"/>
          <w:b/>
          <w:bCs/>
          <w:color w:val="auto"/>
          <w:kern w:val="0"/>
          <w:sz w:val="24"/>
          <w:highlight w:val="none"/>
        </w:rPr>
      </w:pPr>
    </w:p>
    <w:p>
      <w:pPr>
        <w:widowControl/>
        <w:snapToGrid w:val="0"/>
        <w:spacing w:line="360" w:lineRule="auto"/>
        <w:ind w:firstLine="6370" w:firstLineChars="22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6370" w:firstLineChars="22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6370" w:firstLineChars="2275"/>
        <w:rPr>
          <w:rFonts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日期：2024年 月  日</w:t>
      </w:r>
    </w:p>
    <w:p>
      <w:pPr>
        <w:spacing w:line="480" w:lineRule="auto"/>
        <w:jc w:val="left"/>
        <w:rPr>
          <w:rStyle w:val="98"/>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Cs w:val="32"/>
          <w:highlight w:val="none"/>
        </w:rPr>
      </w:pPr>
      <w:r>
        <w:rPr>
          <w:rStyle w:val="98"/>
          <w:rFonts w:hint="eastAsia" w:ascii="仿宋" w:hAnsi="仿宋" w:eastAsia="仿宋" w:cs="仿宋"/>
          <w:color w:val="auto"/>
          <w:szCs w:val="32"/>
          <w:highlight w:val="none"/>
        </w:rPr>
        <w:t>附件五</w:t>
      </w:r>
    </w:p>
    <w:p>
      <w:pPr>
        <w:snapToGrid w:val="0"/>
        <w:spacing w:before="159" w:beforeLines="50" w:after="50"/>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项目实施人员（主要从业人员及其技术资格）一览表</w:t>
      </w:r>
    </w:p>
    <w:p>
      <w:pPr>
        <w:pStyle w:val="56"/>
        <w:ind w:firstLine="420"/>
        <w:rPr>
          <w:rFonts w:ascii="仿宋" w:hAnsi="仿宋" w:eastAsia="仿宋" w:cs="仿宋"/>
          <w:color w:val="auto"/>
          <w:highlight w:val="none"/>
        </w:rPr>
      </w:pPr>
    </w:p>
    <w:tbl>
      <w:tblPr>
        <w:tblStyle w:val="48"/>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职务</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专业技</w:t>
            </w:r>
          </w:p>
          <w:p>
            <w:pPr>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证书</w:t>
            </w:r>
          </w:p>
          <w:p>
            <w:pPr>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参加本单位工作时间</w:t>
            </w:r>
          </w:p>
        </w:tc>
        <w:tc>
          <w:tcPr>
            <w:tcW w:w="1620"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劳动合</w:t>
            </w:r>
          </w:p>
          <w:p>
            <w:pPr>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pStyle w:val="27"/>
              <w:snapToGrid w:val="0"/>
              <w:spacing w:before="159" w:beforeLines="50" w:after="50" w:line="460" w:lineRule="exact"/>
              <w:ind w:left="5250"/>
              <w:rPr>
                <w:rFonts w:ascii="仿宋" w:hAnsi="仿宋" w:eastAsia="仿宋" w:cs="仿宋"/>
                <w:color w:val="auto"/>
                <w:kern w:val="2"/>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ascii="仿宋" w:hAnsi="仿宋" w:eastAsia="仿宋" w:cs="仿宋"/>
                <w:color w:val="auto"/>
                <w:sz w:val="28"/>
                <w:szCs w:val="28"/>
                <w:highlight w:val="none"/>
              </w:rPr>
            </w:pPr>
          </w:p>
        </w:tc>
      </w:tr>
    </w:tbl>
    <w:p>
      <w:pPr>
        <w:snapToGrid w:val="0"/>
        <w:spacing w:before="50" w:after="159" w:afterLines="50" w:line="460" w:lineRule="exact"/>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注：在填写时，如本表格不适合投标供应商的实际情况，可根据本表格式自行划表填写。 </w:t>
      </w:r>
    </w:p>
    <w:p>
      <w:pPr>
        <w:snapToGrid w:val="0"/>
        <w:spacing w:before="50" w:after="159" w:afterLines="50" w:line="460" w:lineRule="exact"/>
        <w:jc w:val="left"/>
        <w:rPr>
          <w:rFonts w:ascii="仿宋" w:hAnsi="仿宋" w:eastAsia="仿宋" w:cs="仿宋"/>
          <w:color w:val="auto"/>
          <w:sz w:val="28"/>
          <w:szCs w:val="28"/>
          <w:highlight w:val="none"/>
        </w:rPr>
      </w:pP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日期：2024年 月  日</w:t>
      </w:r>
    </w:p>
    <w:p>
      <w:pPr>
        <w:snapToGrid w:val="0"/>
        <w:spacing w:before="50" w:after="159" w:afterLines="50" w:line="460" w:lineRule="exact"/>
        <w:jc w:val="left"/>
        <w:rPr>
          <w:rFonts w:ascii="仿宋" w:hAnsi="仿宋" w:eastAsia="仿宋" w:cs="仿宋"/>
          <w:color w:val="auto"/>
          <w:sz w:val="28"/>
          <w:szCs w:val="28"/>
          <w:highlight w:val="none"/>
        </w:rPr>
      </w:pPr>
    </w:p>
    <w:p>
      <w:pPr>
        <w:autoSpaceDE w:val="0"/>
        <w:adjustRightInd w:val="0"/>
        <w:snapToGrid w:val="0"/>
        <w:rPr>
          <w:rStyle w:val="98"/>
          <w:rFonts w:ascii="仿宋" w:hAnsi="仿宋" w:eastAsia="仿宋" w:cs="仿宋"/>
          <w:color w:val="auto"/>
          <w:sz w:val="30"/>
          <w:szCs w:val="30"/>
          <w:highlight w:val="none"/>
        </w:rPr>
      </w:pPr>
    </w:p>
    <w:p>
      <w:pPr>
        <w:rPr>
          <w:rFonts w:ascii="仿宋" w:hAnsi="仿宋" w:eastAsia="仿宋" w:cs="仿宋"/>
          <w:color w:val="auto"/>
          <w:highlight w:val="none"/>
        </w:rPr>
      </w:pPr>
    </w:p>
    <w:p>
      <w:pPr>
        <w:autoSpaceDE w:val="0"/>
        <w:adjustRightInd w:val="0"/>
        <w:snapToGrid w:val="0"/>
        <w:rPr>
          <w:rStyle w:val="98"/>
          <w:rFonts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t>附件六</w:t>
      </w:r>
    </w:p>
    <w:p>
      <w:pPr>
        <w:ind w:left="-178" w:leftChars="-85"/>
        <w:jc w:val="center"/>
        <w:rPr>
          <w:rFonts w:ascii="仿宋" w:hAnsi="仿宋" w:eastAsia="仿宋" w:cs="仿宋"/>
          <w:b/>
          <w:color w:val="auto"/>
          <w:sz w:val="30"/>
          <w:szCs w:val="30"/>
          <w:highlight w:val="none"/>
        </w:rPr>
      </w:pPr>
      <w:r>
        <w:rPr>
          <w:rFonts w:hint="eastAsia" w:ascii="仿宋" w:hAnsi="仿宋" w:eastAsia="仿宋" w:cs="仿宋"/>
          <w:b/>
          <w:color w:val="auto"/>
          <w:spacing w:val="20"/>
          <w:sz w:val="36"/>
          <w:szCs w:val="36"/>
          <w:highlight w:val="none"/>
        </w:rPr>
        <w:t>商务条款应对表</w:t>
      </w:r>
    </w:p>
    <w:p>
      <w:pPr>
        <w:rPr>
          <w:rFonts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招标编号：</w:t>
      </w:r>
      <w:r>
        <w:rPr>
          <w:rFonts w:hint="eastAsia" w:ascii="仿宋" w:hAnsi="仿宋" w:eastAsia="仿宋" w:cs="仿宋"/>
          <w:b/>
          <w:color w:val="auto"/>
          <w:sz w:val="24"/>
          <w:szCs w:val="24"/>
          <w:highlight w:val="none"/>
          <w:lang w:eastAsia="zh-CN"/>
        </w:rPr>
        <w:t>ZJJAJD2024B-019</w:t>
      </w: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8"/>
          <w:szCs w:val="28"/>
          <w:highlight w:val="none"/>
        </w:rPr>
        <w:t xml:space="preserve">                                          </w:t>
      </w:r>
    </w:p>
    <w:tbl>
      <w:tblPr>
        <w:tblStyle w:val="48"/>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60"/>
        <w:gridCol w:w="3420"/>
        <w:gridCol w:w="12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48" w:type="dxa"/>
            <w:vAlign w:val="center"/>
          </w:tcPr>
          <w:p>
            <w:pPr>
              <w:adjustRightInd w:val="0"/>
              <w:snapToGrid w:val="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序号</w:t>
            </w:r>
          </w:p>
        </w:tc>
        <w:tc>
          <w:tcPr>
            <w:tcW w:w="3960" w:type="dxa"/>
            <w:vAlign w:val="center"/>
          </w:tcPr>
          <w:p>
            <w:pPr>
              <w:adjustRightInd w:val="0"/>
              <w:snapToGrid w:val="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招标文件要求</w:t>
            </w:r>
          </w:p>
        </w:tc>
        <w:tc>
          <w:tcPr>
            <w:tcW w:w="3420" w:type="dxa"/>
            <w:vAlign w:val="center"/>
          </w:tcPr>
          <w:p>
            <w:pPr>
              <w:adjustRightInd w:val="0"/>
              <w:snapToGrid w:val="0"/>
              <w:ind w:firstLine="140" w:firstLineChars="5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投标响应</w:t>
            </w:r>
          </w:p>
        </w:tc>
        <w:tc>
          <w:tcPr>
            <w:tcW w:w="1260" w:type="dxa"/>
            <w:vAlign w:val="center"/>
          </w:tcPr>
          <w:p>
            <w:pPr>
              <w:adjustRightInd w:val="0"/>
              <w:snapToGrid w:val="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偏离情况</w:t>
            </w:r>
          </w:p>
        </w:tc>
        <w:tc>
          <w:tcPr>
            <w:tcW w:w="720" w:type="dxa"/>
            <w:vAlign w:val="center"/>
          </w:tcPr>
          <w:p>
            <w:pPr>
              <w:adjustRightInd w:val="0"/>
              <w:snapToGrid w:val="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648" w:type="dxa"/>
            <w:vAlign w:val="center"/>
          </w:tcPr>
          <w:p>
            <w:pPr>
              <w:adjustRightInd w:val="0"/>
              <w:snapToGrid w:val="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1</w:t>
            </w:r>
          </w:p>
        </w:tc>
        <w:tc>
          <w:tcPr>
            <w:tcW w:w="3960" w:type="dxa"/>
            <w:vAlign w:val="center"/>
          </w:tcPr>
          <w:p>
            <w:pPr>
              <w:numPr>
                <w:ilvl w:val="0"/>
                <w:numId w:val="18"/>
              </w:numPr>
              <w:adjustRightInd w:val="0"/>
              <w:snapToGrid w:val="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总体要求</w:t>
            </w:r>
          </w:p>
          <w:p>
            <w:pPr>
              <w:adjustRightInd w:val="0"/>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1、必须符合招标文件(包括补充更正，如有）的技术要求和配置；必须是国内相应制造厂商生产并提供的原装合格产品；必须是2024年1月1日以后生产的、符合国家质量技术标准的设备。</w:t>
            </w:r>
          </w:p>
          <w:p>
            <w:pPr>
              <w:adjustRightInd w:val="0"/>
              <w:snapToGrid w:val="0"/>
              <w:rPr>
                <w:rFonts w:ascii="仿宋" w:hAnsi="仿宋" w:eastAsia="仿宋" w:cs="仿宋"/>
                <w:color w:val="auto"/>
                <w:sz w:val="32"/>
                <w:szCs w:val="28"/>
                <w:highlight w:val="none"/>
              </w:rPr>
            </w:pPr>
            <w:r>
              <w:rPr>
                <w:rFonts w:hint="eastAsia" w:ascii="仿宋" w:hAnsi="仿宋" w:eastAsia="仿宋" w:cs="仿宋"/>
                <w:color w:val="auto"/>
                <w:sz w:val="24"/>
                <w:szCs w:val="24"/>
                <w:highlight w:val="none"/>
              </w:rPr>
              <w:t>2、售后服务按国家市场监督管理总局和国家其他有关规定执行，国家没有规定的按厂商规定执行。国家规定标准低于厂商标准的按厂商标准执行。</w:t>
            </w:r>
          </w:p>
        </w:tc>
        <w:tc>
          <w:tcPr>
            <w:tcW w:w="3420" w:type="dxa"/>
            <w:vAlign w:val="center"/>
          </w:tcPr>
          <w:p>
            <w:pPr>
              <w:adjustRightInd w:val="0"/>
              <w:snapToGrid w:val="0"/>
              <w:jc w:val="center"/>
              <w:rPr>
                <w:rFonts w:ascii="仿宋" w:hAnsi="仿宋" w:eastAsia="仿宋" w:cs="仿宋"/>
                <w:color w:val="auto"/>
                <w:spacing w:val="20"/>
                <w:sz w:val="24"/>
                <w:szCs w:val="24"/>
                <w:highlight w:val="none"/>
              </w:rPr>
            </w:pPr>
          </w:p>
        </w:tc>
        <w:tc>
          <w:tcPr>
            <w:tcW w:w="1260" w:type="dxa"/>
            <w:vAlign w:val="center"/>
          </w:tcPr>
          <w:p>
            <w:pPr>
              <w:adjustRightInd w:val="0"/>
              <w:snapToGrid w:val="0"/>
              <w:jc w:val="center"/>
              <w:rPr>
                <w:rFonts w:ascii="仿宋" w:hAnsi="仿宋" w:eastAsia="仿宋" w:cs="仿宋"/>
                <w:color w:val="auto"/>
                <w:spacing w:val="20"/>
                <w:sz w:val="24"/>
                <w:szCs w:val="24"/>
                <w:highlight w:val="none"/>
              </w:rPr>
            </w:pPr>
          </w:p>
        </w:tc>
        <w:tc>
          <w:tcPr>
            <w:tcW w:w="720" w:type="dxa"/>
            <w:vAlign w:val="center"/>
          </w:tcPr>
          <w:p>
            <w:pPr>
              <w:adjustRightInd w:val="0"/>
              <w:snapToGrid w:val="0"/>
              <w:jc w:val="center"/>
              <w:rPr>
                <w:rFonts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8" w:type="dxa"/>
            <w:vAlign w:val="center"/>
          </w:tcPr>
          <w:p>
            <w:pPr>
              <w:adjustRightInd w:val="0"/>
              <w:snapToGrid w:val="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2</w:t>
            </w:r>
          </w:p>
        </w:tc>
        <w:tc>
          <w:tcPr>
            <w:tcW w:w="3960" w:type="dxa"/>
            <w:vAlign w:val="center"/>
          </w:tcPr>
          <w:p>
            <w:pPr>
              <w:adjustRightInd w:val="0"/>
              <w:snapToGrid w:val="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二、付款方式</w:t>
            </w:r>
          </w:p>
          <w:p>
            <w:pPr>
              <w:adjustRightInd w:val="0"/>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按财务结算要求，通过银行划账方式结算。</w:t>
            </w:r>
          </w:p>
        </w:tc>
        <w:tc>
          <w:tcPr>
            <w:tcW w:w="3420" w:type="dxa"/>
            <w:vAlign w:val="center"/>
          </w:tcPr>
          <w:p>
            <w:pPr>
              <w:adjustRightInd w:val="0"/>
              <w:snapToGrid w:val="0"/>
              <w:jc w:val="center"/>
              <w:rPr>
                <w:rFonts w:ascii="仿宋" w:hAnsi="仿宋" w:eastAsia="仿宋" w:cs="仿宋"/>
                <w:color w:val="auto"/>
                <w:spacing w:val="20"/>
                <w:sz w:val="24"/>
                <w:szCs w:val="24"/>
                <w:highlight w:val="none"/>
              </w:rPr>
            </w:pPr>
          </w:p>
        </w:tc>
        <w:tc>
          <w:tcPr>
            <w:tcW w:w="1260" w:type="dxa"/>
            <w:vAlign w:val="center"/>
          </w:tcPr>
          <w:p>
            <w:pPr>
              <w:adjustRightInd w:val="0"/>
              <w:snapToGrid w:val="0"/>
              <w:jc w:val="center"/>
              <w:rPr>
                <w:rFonts w:ascii="仿宋" w:hAnsi="仿宋" w:eastAsia="仿宋" w:cs="仿宋"/>
                <w:color w:val="auto"/>
                <w:spacing w:val="20"/>
                <w:sz w:val="24"/>
                <w:szCs w:val="24"/>
                <w:highlight w:val="none"/>
              </w:rPr>
            </w:pPr>
          </w:p>
        </w:tc>
        <w:tc>
          <w:tcPr>
            <w:tcW w:w="720" w:type="dxa"/>
            <w:vAlign w:val="center"/>
          </w:tcPr>
          <w:p>
            <w:pPr>
              <w:adjustRightInd w:val="0"/>
              <w:snapToGrid w:val="0"/>
              <w:jc w:val="center"/>
              <w:rPr>
                <w:rFonts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8" w:type="dxa"/>
            <w:vAlign w:val="center"/>
          </w:tcPr>
          <w:p>
            <w:pPr>
              <w:adjustRightInd w:val="0"/>
              <w:snapToGrid w:val="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3</w:t>
            </w:r>
          </w:p>
        </w:tc>
        <w:tc>
          <w:tcPr>
            <w:tcW w:w="3960" w:type="dxa"/>
            <w:vAlign w:val="center"/>
          </w:tcPr>
          <w:p>
            <w:pPr>
              <w:adjustRightInd w:val="0"/>
              <w:snapToGrid w:val="0"/>
              <w:rPr>
                <w:rFonts w:ascii="仿宋" w:hAnsi="仿宋" w:eastAsia="仿宋" w:cs="仿宋"/>
                <w:bCs/>
                <w:color w:val="auto"/>
                <w:sz w:val="24"/>
                <w:szCs w:val="24"/>
                <w:highlight w:val="none"/>
              </w:rPr>
            </w:pPr>
          </w:p>
        </w:tc>
        <w:tc>
          <w:tcPr>
            <w:tcW w:w="3420" w:type="dxa"/>
            <w:vAlign w:val="center"/>
          </w:tcPr>
          <w:p>
            <w:pPr>
              <w:adjustRightInd w:val="0"/>
              <w:snapToGrid w:val="0"/>
              <w:jc w:val="center"/>
              <w:rPr>
                <w:rFonts w:ascii="仿宋" w:hAnsi="仿宋" w:eastAsia="仿宋" w:cs="仿宋"/>
                <w:color w:val="auto"/>
                <w:spacing w:val="20"/>
                <w:sz w:val="24"/>
                <w:szCs w:val="24"/>
                <w:highlight w:val="none"/>
              </w:rPr>
            </w:pPr>
          </w:p>
        </w:tc>
        <w:tc>
          <w:tcPr>
            <w:tcW w:w="1260" w:type="dxa"/>
            <w:vAlign w:val="center"/>
          </w:tcPr>
          <w:p>
            <w:pPr>
              <w:adjustRightInd w:val="0"/>
              <w:snapToGrid w:val="0"/>
              <w:jc w:val="center"/>
              <w:rPr>
                <w:rFonts w:ascii="仿宋" w:hAnsi="仿宋" w:eastAsia="仿宋" w:cs="仿宋"/>
                <w:color w:val="auto"/>
                <w:spacing w:val="20"/>
                <w:sz w:val="24"/>
                <w:szCs w:val="24"/>
                <w:highlight w:val="none"/>
              </w:rPr>
            </w:pPr>
          </w:p>
        </w:tc>
        <w:tc>
          <w:tcPr>
            <w:tcW w:w="720" w:type="dxa"/>
            <w:vAlign w:val="center"/>
          </w:tcPr>
          <w:p>
            <w:pPr>
              <w:adjustRightInd w:val="0"/>
              <w:snapToGrid w:val="0"/>
              <w:jc w:val="center"/>
              <w:rPr>
                <w:rFonts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8" w:type="dxa"/>
            <w:vAlign w:val="center"/>
          </w:tcPr>
          <w:p>
            <w:pPr>
              <w:adjustRightInd w:val="0"/>
              <w:snapToGrid w:val="0"/>
              <w:jc w:val="center"/>
              <w:rPr>
                <w:rFonts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3960" w:type="dxa"/>
            <w:vAlign w:val="center"/>
          </w:tcPr>
          <w:p>
            <w:pPr>
              <w:adjustRightInd w:val="0"/>
              <w:snapToGrid w:val="0"/>
              <w:rPr>
                <w:rFonts w:ascii="仿宋" w:hAnsi="仿宋" w:eastAsia="仿宋" w:cs="仿宋"/>
                <w:b/>
                <w:color w:val="auto"/>
                <w:sz w:val="24"/>
                <w:szCs w:val="24"/>
                <w:highlight w:val="none"/>
              </w:rPr>
            </w:pPr>
            <w:r>
              <w:rPr>
                <w:rFonts w:hint="eastAsia" w:ascii="仿宋" w:hAnsi="仿宋" w:eastAsia="仿宋" w:cs="仿宋"/>
                <w:color w:val="auto"/>
                <w:spacing w:val="20"/>
                <w:sz w:val="24"/>
                <w:szCs w:val="24"/>
                <w:highlight w:val="none"/>
              </w:rPr>
              <w:t>……</w:t>
            </w:r>
          </w:p>
        </w:tc>
        <w:tc>
          <w:tcPr>
            <w:tcW w:w="3420" w:type="dxa"/>
            <w:vAlign w:val="center"/>
          </w:tcPr>
          <w:p>
            <w:pPr>
              <w:adjustRightInd w:val="0"/>
              <w:snapToGrid w:val="0"/>
              <w:jc w:val="center"/>
              <w:rPr>
                <w:rFonts w:ascii="仿宋" w:hAnsi="仿宋" w:eastAsia="仿宋" w:cs="仿宋"/>
                <w:color w:val="auto"/>
                <w:spacing w:val="20"/>
                <w:sz w:val="24"/>
                <w:szCs w:val="24"/>
                <w:highlight w:val="none"/>
              </w:rPr>
            </w:pPr>
          </w:p>
        </w:tc>
        <w:tc>
          <w:tcPr>
            <w:tcW w:w="1260" w:type="dxa"/>
            <w:vAlign w:val="center"/>
          </w:tcPr>
          <w:p>
            <w:pPr>
              <w:adjustRightInd w:val="0"/>
              <w:snapToGrid w:val="0"/>
              <w:jc w:val="center"/>
              <w:rPr>
                <w:rFonts w:ascii="仿宋" w:hAnsi="仿宋" w:eastAsia="仿宋" w:cs="仿宋"/>
                <w:color w:val="auto"/>
                <w:spacing w:val="20"/>
                <w:sz w:val="24"/>
                <w:szCs w:val="24"/>
                <w:highlight w:val="none"/>
              </w:rPr>
            </w:pPr>
          </w:p>
        </w:tc>
        <w:tc>
          <w:tcPr>
            <w:tcW w:w="720" w:type="dxa"/>
            <w:vAlign w:val="center"/>
          </w:tcPr>
          <w:p>
            <w:pPr>
              <w:adjustRightInd w:val="0"/>
              <w:snapToGrid w:val="0"/>
              <w:jc w:val="center"/>
              <w:rPr>
                <w:rFonts w:ascii="仿宋" w:hAnsi="仿宋" w:eastAsia="仿宋" w:cs="仿宋"/>
                <w:color w:val="auto"/>
                <w:spacing w:val="20"/>
                <w:sz w:val="24"/>
                <w:szCs w:val="24"/>
                <w:highlight w:val="none"/>
              </w:rPr>
            </w:pPr>
          </w:p>
        </w:tc>
      </w:tr>
    </w:tbl>
    <w:p>
      <w:pPr>
        <w:adjustRightInd w:val="0"/>
        <w:snapToGrid w:val="0"/>
        <w:spacing w:line="360" w:lineRule="auto"/>
        <w:rPr>
          <w:rFonts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注：1、对照商务条款逐项比较填写；</w:t>
      </w:r>
    </w:p>
    <w:p>
      <w:pPr>
        <w:adjustRightInd w:val="0"/>
        <w:snapToGrid w:val="0"/>
        <w:spacing w:line="360" w:lineRule="auto"/>
        <w:ind w:left="319" w:leftChars="152" w:firstLine="320" w:firstLineChars="100"/>
        <w:rPr>
          <w:rFonts w:ascii="仿宋" w:hAnsi="仿宋" w:eastAsia="仿宋" w:cs="仿宋"/>
          <w:color w:val="auto"/>
          <w:sz w:val="28"/>
          <w:szCs w:val="28"/>
          <w:highlight w:val="none"/>
        </w:rPr>
      </w:pPr>
      <w:r>
        <w:rPr>
          <w:rFonts w:hint="eastAsia" w:ascii="仿宋" w:hAnsi="仿宋" w:eastAsia="仿宋" w:cs="仿宋"/>
          <w:color w:val="auto"/>
          <w:spacing w:val="20"/>
          <w:sz w:val="28"/>
          <w:szCs w:val="28"/>
          <w:highlight w:val="none"/>
        </w:rPr>
        <w:t>2、行数不够可自行增加。</w:t>
      </w:r>
    </w:p>
    <w:p>
      <w:pPr>
        <w:autoSpaceDE w:val="0"/>
        <w:adjustRightInd w:val="0"/>
        <w:snapToGrid w:val="0"/>
        <w:rPr>
          <w:rFonts w:ascii="仿宋" w:hAnsi="仿宋" w:eastAsia="仿宋" w:cs="仿宋"/>
          <w:color w:val="auto"/>
          <w:kern w:val="0"/>
          <w:sz w:val="28"/>
          <w:szCs w:val="28"/>
          <w:highlight w:val="none"/>
        </w:rPr>
      </w:pP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日期：2024年 月  日</w:t>
      </w:r>
    </w:p>
    <w:p>
      <w:pPr>
        <w:autoSpaceDE w:val="0"/>
        <w:adjustRightInd w:val="0"/>
        <w:snapToGrid w:val="0"/>
        <w:rPr>
          <w:rStyle w:val="98"/>
          <w:rFonts w:ascii="仿宋" w:hAnsi="仿宋" w:eastAsia="仿宋" w:cs="仿宋"/>
          <w:color w:val="auto"/>
          <w:sz w:val="30"/>
          <w:szCs w:val="32"/>
          <w:highlight w:val="none"/>
        </w:rPr>
      </w:pPr>
    </w:p>
    <w:p>
      <w:pPr>
        <w:autoSpaceDE w:val="0"/>
        <w:adjustRightInd w:val="0"/>
        <w:snapToGrid w:val="0"/>
        <w:rPr>
          <w:rStyle w:val="98"/>
          <w:rFonts w:ascii="仿宋" w:hAnsi="仿宋" w:eastAsia="仿宋" w:cs="仿宋"/>
          <w:color w:val="auto"/>
          <w:sz w:val="30"/>
          <w:szCs w:val="32"/>
          <w:highlight w:val="none"/>
        </w:rPr>
      </w:pPr>
    </w:p>
    <w:p>
      <w:pPr>
        <w:autoSpaceDE w:val="0"/>
        <w:adjustRightInd w:val="0"/>
        <w:snapToGrid w:val="0"/>
        <w:rPr>
          <w:rStyle w:val="98"/>
          <w:rFonts w:ascii="仿宋" w:hAnsi="仿宋" w:eastAsia="仿宋" w:cs="仿宋"/>
          <w:color w:val="auto"/>
          <w:sz w:val="30"/>
          <w:szCs w:val="32"/>
          <w:highlight w:val="none"/>
        </w:rPr>
      </w:pPr>
    </w:p>
    <w:p>
      <w:pPr>
        <w:autoSpaceDE w:val="0"/>
        <w:adjustRightInd w:val="0"/>
        <w:snapToGrid w:val="0"/>
        <w:rPr>
          <w:rStyle w:val="98"/>
          <w:rFonts w:ascii="仿宋" w:hAnsi="仿宋" w:eastAsia="仿宋" w:cs="仿宋"/>
          <w:color w:val="auto"/>
          <w:sz w:val="30"/>
          <w:szCs w:val="32"/>
          <w:highlight w:val="none"/>
        </w:rPr>
      </w:pPr>
    </w:p>
    <w:p>
      <w:pPr>
        <w:autoSpaceDE w:val="0"/>
        <w:adjustRightInd w:val="0"/>
        <w:snapToGrid w:val="0"/>
        <w:rPr>
          <w:rStyle w:val="98"/>
          <w:rFonts w:ascii="仿宋" w:hAnsi="仿宋" w:eastAsia="仿宋" w:cs="仿宋"/>
          <w:color w:val="auto"/>
          <w:sz w:val="30"/>
          <w:szCs w:val="32"/>
          <w:highlight w:val="none"/>
        </w:rPr>
      </w:pPr>
    </w:p>
    <w:p>
      <w:pPr>
        <w:autoSpaceDE w:val="0"/>
        <w:adjustRightInd w:val="0"/>
        <w:snapToGrid w:val="0"/>
        <w:rPr>
          <w:rStyle w:val="98"/>
          <w:rFonts w:ascii="仿宋" w:hAnsi="仿宋" w:eastAsia="仿宋" w:cs="仿宋"/>
          <w:color w:val="auto"/>
          <w:sz w:val="30"/>
          <w:szCs w:val="32"/>
          <w:highlight w:val="none"/>
        </w:rPr>
      </w:pPr>
    </w:p>
    <w:p>
      <w:pPr>
        <w:autoSpaceDE w:val="0"/>
        <w:adjustRightInd w:val="0"/>
        <w:snapToGrid w:val="0"/>
        <w:rPr>
          <w:rStyle w:val="98"/>
          <w:rFonts w:ascii="仿宋" w:hAnsi="仿宋" w:eastAsia="仿宋" w:cs="仿宋"/>
          <w:color w:val="auto"/>
          <w:sz w:val="30"/>
          <w:szCs w:val="32"/>
          <w:highlight w:val="none"/>
        </w:rPr>
      </w:pPr>
      <w:r>
        <w:rPr>
          <w:rStyle w:val="98"/>
          <w:rFonts w:hint="eastAsia" w:ascii="仿宋" w:hAnsi="仿宋" w:eastAsia="仿宋" w:cs="仿宋"/>
          <w:color w:val="auto"/>
          <w:sz w:val="30"/>
          <w:szCs w:val="32"/>
          <w:highlight w:val="none"/>
        </w:rPr>
        <w:t>附件七：</w:t>
      </w:r>
    </w:p>
    <w:p>
      <w:pPr>
        <w:ind w:left="-178" w:leftChars="-85"/>
        <w:jc w:val="center"/>
        <w:rPr>
          <w:rFonts w:ascii="仿宋" w:hAnsi="仿宋" w:eastAsia="仿宋" w:cs="仿宋"/>
          <w:b/>
          <w:color w:val="auto"/>
          <w:spacing w:val="20"/>
          <w:sz w:val="36"/>
          <w:highlight w:val="none"/>
        </w:rPr>
      </w:pPr>
      <w:r>
        <w:rPr>
          <w:rFonts w:hint="eastAsia" w:ascii="仿宋" w:hAnsi="仿宋" w:eastAsia="仿宋" w:cs="仿宋"/>
          <w:b/>
          <w:color w:val="auto"/>
          <w:spacing w:val="20"/>
          <w:sz w:val="36"/>
          <w:highlight w:val="none"/>
        </w:rPr>
        <w:t>服务计划表</w:t>
      </w:r>
    </w:p>
    <w:p>
      <w:pPr>
        <w:adjustRightInd w:val="0"/>
        <w:snapToGrid w:val="0"/>
        <w:spacing w:after="159" w:afterLines="50"/>
        <w:rPr>
          <w:rFonts w:ascii="仿宋" w:hAnsi="仿宋" w:eastAsia="仿宋" w:cs="仿宋"/>
          <w:color w:val="auto"/>
          <w:spacing w:val="20"/>
          <w:sz w:val="28"/>
          <w:szCs w:val="28"/>
          <w:highlight w:val="none"/>
        </w:rPr>
      </w:pPr>
    </w:p>
    <w:p>
      <w:pPr>
        <w:adjustRightInd w:val="0"/>
        <w:snapToGrid w:val="0"/>
        <w:spacing w:after="159" w:afterLines="50"/>
        <w:rPr>
          <w:rFonts w:ascii="仿宋" w:hAnsi="仿宋" w:eastAsia="仿宋" w:cs="仿宋"/>
          <w:b/>
          <w:color w:val="auto"/>
          <w:spacing w:val="20"/>
          <w:sz w:val="36"/>
          <w:highlight w:val="none"/>
        </w:rPr>
      </w:pPr>
      <w:r>
        <w:rPr>
          <w:rFonts w:hint="eastAsia" w:ascii="仿宋" w:hAnsi="仿宋" w:eastAsia="仿宋" w:cs="仿宋"/>
          <w:color w:val="auto"/>
          <w:spacing w:val="20"/>
          <w:sz w:val="28"/>
          <w:szCs w:val="28"/>
          <w:highlight w:val="none"/>
        </w:rPr>
        <w:t>招标编号：</w:t>
      </w:r>
      <w:r>
        <w:rPr>
          <w:rFonts w:hint="eastAsia" w:ascii="仿宋" w:hAnsi="仿宋" w:eastAsia="仿宋" w:cs="仿宋"/>
          <w:color w:val="auto"/>
          <w:spacing w:val="20"/>
          <w:sz w:val="28"/>
          <w:szCs w:val="28"/>
          <w:highlight w:val="none"/>
          <w:lang w:eastAsia="zh-CN"/>
        </w:rPr>
        <w:t>ZJJAJD2024B-019</w:t>
      </w:r>
      <w:r>
        <w:rPr>
          <w:rFonts w:hint="eastAsia" w:ascii="仿宋" w:hAnsi="仿宋" w:eastAsia="仿宋" w:cs="仿宋"/>
          <w:color w:val="auto"/>
          <w:spacing w:val="20"/>
          <w:sz w:val="28"/>
          <w:szCs w:val="28"/>
          <w:highlight w:val="none"/>
        </w:rPr>
        <w:t xml:space="preserve">      </w:t>
      </w:r>
      <w:r>
        <w:rPr>
          <w:rFonts w:hint="eastAsia" w:ascii="仿宋" w:hAnsi="仿宋" w:eastAsia="仿宋" w:cs="仿宋"/>
          <w:color w:val="auto"/>
          <w:highlight w:val="none"/>
        </w:rPr>
        <w:t xml:space="preserve">                       </w:t>
      </w:r>
    </w:p>
    <w:tbl>
      <w:tblPr>
        <w:tblStyle w:val="48"/>
        <w:tblW w:w="9174" w:type="dxa"/>
        <w:jc w:val="center"/>
        <w:tblLayout w:type="fixed"/>
        <w:tblCellMar>
          <w:top w:w="0" w:type="dxa"/>
          <w:left w:w="0" w:type="dxa"/>
          <w:bottom w:w="0" w:type="dxa"/>
          <w:right w:w="0" w:type="dxa"/>
        </w:tblCellMar>
      </w:tblPr>
      <w:tblGrid>
        <w:gridCol w:w="740"/>
        <w:gridCol w:w="3366"/>
        <w:gridCol w:w="3537"/>
        <w:gridCol w:w="1531"/>
      </w:tblGrid>
      <w:tr>
        <w:tblPrEx>
          <w:tblCellMar>
            <w:top w:w="0" w:type="dxa"/>
            <w:left w:w="0" w:type="dxa"/>
            <w:bottom w:w="0" w:type="dxa"/>
            <w:right w:w="0" w:type="dxa"/>
          </w:tblCellMar>
        </w:tblPrEx>
        <w:trPr>
          <w:cantSplit/>
          <w:trHeight w:val="655" w:hRule="atLeast"/>
          <w:jc w:val="center"/>
        </w:trPr>
        <w:tc>
          <w:tcPr>
            <w:tcW w:w="7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序号</w:t>
            </w:r>
          </w:p>
        </w:tc>
        <w:tc>
          <w:tcPr>
            <w:tcW w:w="3366" w:type="dxa"/>
            <w:tcBorders>
              <w:top w:val="single" w:color="auto" w:sz="8" w:space="0"/>
              <w:left w:val="nil"/>
              <w:bottom w:val="single" w:color="auto" w:sz="8" w:space="0"/>
              <w:right w:val="single" w:color="auto" w:sz="4" w:space="0"/>
            </w:tcBorders>
            <w:vAlign w:val="center"/>
          </w:tcPr>
          <w:p>
            <w:pPr>
              <w:widowControl/>
              <w:snapToGrid w:val="0"/>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质量保障措施及服务内容</w:t>
            </w:r>
          </w:p>
        </w:tc>
        <w:tc>
          <w:tcPr>
            <w:tcW w:w="3537" w:type="dxa"/>
            <w:tcBorders>
              <w:top w:val="single" w:color="auto" w:sz="8" w:space="0"/>
              <w:left w:val="single" w:color="auto" w:sz="4" w:space="0"/>
              <w:bottom w:val="single" w:color="auto" w:sz="8" w:space="0"/>
              <w:right w:val="single" w:color="auto" w:sz="8" w:space="0"/>
            </w:tcBorders>
            <w:vAlign w:val="center"/>
          </w:tcPr>
          <w:p>
            <w:pPr>
              <w:widowControl/>
              <w:snapToGrid w:val="0"/>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承  诺</w:t>
            </w:r>
          </w:p>
        </w:tc>
        <w:tc>
          <w:tcPr>
            <w:tcW w:w="15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备注</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3366" w:type="dxa"/>
            <w:tcBorders>
              <w:top w:val="nil"/>
              <w:left w:val="nil"/>
              <w:bottom w:val="single" w:color="auto" w:sz="8" w:space="0"/>
              <w:right w:val="single" w:color="auto" w:sz="4" w:space="0"/>
            </w:tcBorders>
            <w:vAlign w:val="center"/>
          </w:tcPr>
          <w:p>
            <w:pPr>
              <w:widowControl/>
              <w:snapToGrid w:val="0"/>
              <w:textAlignment w:val="baseline"/>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产品保修</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p>
        </w:tc>
        <w:tc>
          <w:tcPr>
            <w:tcW w:w="3366" w:type="dxa"/>
            <w:tcBorders>
              <w:top w:val="nil"/>
              <w:left w:val="nil"/>
              <w:bottom w:val="single" w:color="auto" w:sz="8" w:space="0"/>
              <w:right w:val="single" w:color="auto" w:sz="4" w:space="0"/>
            </w:tcBorders>
            <w:vAlign w:val="center"/>
          </w:tcPr>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有关技术人员免费</w:t>
            </w:r>
          </w:p>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提供安装技术指导</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ascii="仿宋" w:hAnsi="仿宋" w:eastAsia="仿宋" w:cs="仿宋"/>
                <w:color w:val="auto"/>
                <w:kern w:val="0"/>
                <w:sz w:val="28"/>
                <w:szCs w:val="28"/>
                <w:highlight w:val="none"/>
              </w:rPr>
            </w:pPr>
          </w:p>
          <w:p>
            <w:pPr>
              <w:widowControl/>
              <w:snapToGrid w:val="0"/>
              <w:jc w:val="center"/>
              <w:rPr>
                <w:rFonts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w:t>
            </w:r>
          </w:p>
        </w:tc>
        <w:tc>
          <w:tcPr>
            <w:tcW w:w="3366" w:type="dxa"/>
            <w:tcBorders>
              <w:top w:val="nil"/>
              <w:left w:val="nil"/>
              <w:bottom w:val="single" w:color="auto" w:sz="8" w:space="0"/>
              <w:right w:val="single" w:color="auto" w:sz="4" w:space="0"/>
            </w:tcBorders>
            <w:vAlign w:val="center"/>
          </w:tcPr>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产品免费换货期限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w:t>
            </w:r>
          </w:p>
        </w:tc>
        <w:tc>
          <w:tcPr>
            <w:tcW w:w="3366" w:type="dxa"/>
            <w:tcBorders>
              <w:top w:val="nil"/>
              <w:left w:val="nil"/>
              <w:bottom w:val="single" w:color="auto" w:sz="8" w:space="0"/>
              <w:right w:val="single" w:color="auto" w:sz="4" w:space="0"/>
            </w:tcBorders>
            <w:vAlign w:val="center"/>
          </w:tcPr>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免费上门服务期限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w:t>
            </w:r>
          </w:p>
        </w:tc>
        <w:tc>
          <w:tcPr>
            <w:tcW w:w="3366" w:type="dxa"/>
            <w:tcBorders>
              <w:top w:val="nil"/>
              <w:left w:val="nil"/>
              <w:bottom w:val="single" w:color="auto" w:sz="8" w:space="0"/>
              <w:right w:val="single" w:color="auto" w:sz="4" w:space="0"/>
            </w:tcBorders>
            <w:vAlign w:val="center"/>
          </w:tcPr>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质保期内产品故障</w:t>
            </w:r>
          </w:p>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服务响应时限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ascii="仿宋" w:hAnsi="仿宋" w:eastAsia="仿宋" w:cs="仿宋"/>
                <w:color w:val="auto"/>
                <w:kern w:val="0"/>
                <w:sz w:val="28"/>
                <w:szCs w:val="28"/>
                <w:highlight w:val="none"/>
              </w:rPr>
            </w:pPr>
          </w:p>
          <w:p>
            <w:pPr>
              <w:widowControl/>
              <w:snapToGrid w:val="0"/>
              <w:jc w:val="center"/>
              <w:rPr>
                <w:rFonts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w:t>
            </w:r>
          </w:p>
        </w:tc>
        <w:tc>
          <w:tcPr>
            <w:tcW w:w="3366" w:type="dxa"/>
            <w:tcBorders>
              <w:top w:val="nil"/>
              <w:left w:val="nil"/>
              <w:bottom w:val="single" w:color="auto" w:sz="8" w:space="0"/>
              <w:right w:val="single" w:color="auto" w:sz="4" w:space="0"/>
            </w:tcBorders>
            <w:vAlign w:val="center"/>
          </w:tcPr>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服务时间（5*8、5*24、</w:t>
            </w:r>
          </w:p>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7*8、7*24小时）</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ascii="仿宋" w:hAnsi="仿宋" w:eastAsia="仿宋" w:cs="仿宋"/>
                <w:color w:val="auto"/>
                <w:kern w:val="0"/>
                <w:sz w:val="28"/>
                <w:szCs w:val="28"/>
                <w:highlight w:val="none"/>
              </w:rPr>
            </w:pPr>
          </w:p>
          <w:p>
            <w:pPr>
              <w:widowControl/>
              <w:snapToGrid w:val="0"/>
              <w:jc w:val="center"/>
              <w:rPr>
                <w:rFonts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1"/>
                <w:highlight w:val="none"/>
              </w:rPr>
              <w:t>每周的服务天数和服务时间</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4"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7</w:t>
            </w:r>
          </w:p>
        </w:tc>
        <w:tc>
          <w:tcPr>
            <w:tcW w:w="3366" w:type="dxa"/>
            <w:tcBorders>
              <w:top w:val="nil"/>
              <w:left w:val="nil"/>
              <w:bottom w:val="single" w:color="auto" w:sz="4" w:space="0"/>
              <w:right w:val="single" w:color="auto" w:sz="4" w:space="0"/>
            </w:tcBorders>
            <w:vAlign w:val="center"/>
          </w:tcPr>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质保期满后的保修</w:t>
            </w:r>
          </w:p>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服务费用</w:t>
            </w:r>
          </w:p>
        </w:tc>
        <w:tc>
          <w:tcPr>
            <w:tcW w:w="3537" w:type="dxa"/>
            <w:tcBorders>
              <w:top w:val="nil"/>
              <w:left w:val="single" w:color="auto" w:sz="4" w:space="0"/>
              <w:bottom w:val="single" w:color="auto" w:sz="4" w:space="0"/>
              <w:right w:val="single" w:color="auto" w:sz="8" w:space="0"/>
            </w:tcBorders>
            <w:vAlign w:val="center"/>
          </w:tcPr>
          <w:p>
            <w:pPr>
              <w:widowControl/>
              <w:snapToGrid w:val="0"/>
              <w:jc w:val="left"/>
              <w:rPr>
                <w:rFonts w:ascii="仿宋" w:hAnsi="仿宋" w:eastAsia="仿宋" w:cs="仿宋"/>
                <w:color w:val="auto"/>
                <w:kern w:val="0"/>
                <w:sz w:val="28"/>
                <w:szCs w:val="28"/>
                <w:highlight w:val="none"/>
              </w:rPr>
            </w:pPr>
          </w:p>
          <w:p>
            <w:pPr>
              <w:widowControl/>
              <w:snapToGrid w:val="0"/>
              <w:jc w:val="center"/>
              <w:rPr>
                <w:rFonts w:ascii="仿宋" w:hAnsi="仿宋" w:eastAsia="仿宋" w:cs="仿宋"/>
                <w:color w:val="auto"/>
                <w:kern w:val="0"/>
                <w:sz w:val="28"/>
                <w:szCs w:val="28"/>
                <w:highlight w:val="none"/>
              </w:rPr>
            </w:pPr>
          </w:p>
        </w:tc>
        <w:tc>
          <w:tcPr>
            <w:tcW w:w="153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738"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8</w:t>
            </w:r>
          </w:p>
        </w:tc>
        <w:tc>
          <w:tcPr>
            <w:tcW w:w="3366" w:type="dxa"/>
            <w:tcBorders>
              <w:top w:val="single" w:color="auto" w:sz="4" w:space="0"/>
              <w:left w:val="nil"/>
              <w:bottom w:val="single" w:color="auto" w:sz="4" w:space="0"/>
              <w:right w:val="single" w:color="auto" w:sz="4" w:space="0"/>
            </w:tcBorders>
            <w:vAlign w:val="center"/>
          </w:tcPr>
          <w:p>
            <w:pPr>
              <w:widowControl/>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交货时间</w:t>
            </w:r>
          </w:p>
        </w:tc>
        <w:tc>
          <w:tcPr>
            <w:tcW w:w="3537" w:type="dxa"/>
            <w:tcBorders>
              <w:top w:val="single" w:color="auto" w:sz="4" w:space="0"/>
              <w:left w:val="single" w:color="auto" w:sz="4" w:space="0"/>
              <w:bottom w:val="single" w:color="auto" w:sz="4"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p>
        </w:tc>
        <w:tc>
          <w:tcPr>
            <w:tcW w:w="15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783" w:hRule="atLeast"/>
          <w:jc w:val="center"/>
        </w:trPr>
        <w:tc>
          <w:tcPr>
            <w:tcW w:w="740" w:type="dxa"/>
            <w:tcBorders>
              <w:top w:val="single" w:color="auto" w:sz="4" w:space="0"/>
              <w:left w:val="single" w:color="auto" w:sz="8" w:space="0"/>
              <w:bottom w:val="single" w:color="auto" w:sz="8" w:space="0"/>
              <w:right w:val="single" w:color="auto" w:sz="8" w:space="0"/>
            </w:tcBorders>
            <w:vAlign w:val="center"/>
          </w:tcPr>
          <w:p>
            <w:pPr>
              <w:snapToGrid w:val="0"/>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9</w:t>
            </w:r>
          </w:p>
        </w:tc>
        <w:tc>
          <w:tcPr>
            <w:tcW w:w="3366" w:type="dxa"/>
            <w:tcBorders>
              <w:top w:val="single" w:color="auto" w:sz="4" w:space="0"/>
              <w:left w:val="nil"/>
              <w:bottom w:val="single" w:color="auto" w:sz="8" w:space="0"/>
              <w:right w:val="single" w:color="auto" w:sz="4" w:space="0"/>
            </w:tcBorders>
            <w:vAlign w:val="center"/>
          </w:tcPr>
          <w:p>
            <w:pPr>
              <w:snapToGrid w:val="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其他服务</w:t>
            </w:r>
          </w:p>
        </w:tc>
        <w:tc>
          <w:tcPr>
            <w:tcW w:w="3537" w:type="dxa"/>
            <w:tcBorders>
              <w:top w:val="single" w:color="auto" w:sz="4" w:space="0"/>
              <w:left w:val="single" w:color="auto" w:sz="4" w:space="0"/>
              <w:bottom w:val="single" w:color="auto" w:sz="8" w:space="0"/>
              <w:right w:val="single" w:color="auto" w:sz="8" w:space="0"/>
            </w:tcBorders>
            <w:vAlign w:val="center"/>
          </w:tcPr>
          <w:p>
            <w:pPr>
              <w:widowControl/>
              <w:snapToGrid w:val="0"/>
              <w:jc w:val="center"/>
              <w:rPr>
                <w:rFonts w:ascii="仿宋" w:hAnsi="仿宋" w:eastAsia="仿宋" w:cs="仿宋"/>
                <w:color w:val="auto"/>
                <w:kern w:val="0"/>
                <w:sz w:val="28"/>
                <w:szCs w:val="28"/>
                <w:highlight w:val="none"/>
              </w:rPr>
            </w:pPr>
          </w:p>
        </w:tc>
        <w:tc>
          <w:tcPr>
            <w:tcW w:w="15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仿宋"/>
                <w:color w:val="auto"/>
                <w:kern w:val="0"/>
                <w:sz w:val="28"/>
                <w:szCs w:val="28"/>
                <w:highlight w:val="none"/>
              </w:rPr>
            </w:pPr>
          </w:p>
        </w:tc>
      </w:tr>
    </w:tbl>
    <w:p>
      <w:pPr>
        <w:widowControl/>
        <w:snapToGrid w:val="0"/>
        <w:jc w:val="right"/>
        <w:rPr>
          <w:rFonts w:ascii="仿宋" w:hAnsi="仿宋" w:eastAsia="仿宋" w:cs="仿宋"/>
          <w:color w:val="auto"/>
          <w:sz w:val="24"/>
          <w:highlight w:val="none"/>
        </w:rPr>
      </w:pPr>
    </w:p>
    <w:p>
      <w:pPr>
        <w:autoSpaceDE w:val="0"/>
        <w:adjustRightInd w:val="0"/>
        <w:snapToGrid w:val="0"/>
        <w:ind w:firstLine="3735" w:firstLineChars="1550"/>
        <w:rPr>
          <w:rFonts w:ascii="仿宋" w:hAnsi="仿宋" w:eastAsia="仿宋" w:cs="仿宋"/>
          <w:b/>
          <w:bCs/>
          <w:color w:val="auto"/>
          <w:kern w:val="0"/>
          <w:sz w:val="24"/>
          <w:highlight w:val="none"/>
        </w:rPr>
      </w:pP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日期：2024年 月  日</w:t>
      </w:r>
    </w:p>
    <w:p>
      <w:pPr>
        <w:ind w:left="540" w:firstLine="30"/>
        <w:jc w:val="center"/>
        <w:rPr>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t>附件八</w:t>
      </w:r>
    </w:p>
    <w:p>
      <w:pPr>
        <w:widowControl/>
        <w:snapToGrid w:val="0"/>
        <w:ind w:firstLine="3238" w:firstLineChars="896"/>
        <w:rPr>
          <w:rFonts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法定代表人授权书</w:t>
      </w:r>
    </w:p>
    <w:p>
      <w:pPr>
        <w:widowControl/>
        <w:snapToGrid w:val="0"/>
        <w:rPr>
          <w:rFonts w:ascii="仿宋" w:hAnsi="仿宋" w:eastAsia="仿宋" w:cs="仿宋"/>
          <w:color w:val="auto"/>
          <w:kern w:val="0"/>
          <w:sz w:val="24"/>
          <w:highlight w:val="none"/>
        </w:rPr>
      </w:pP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浙江建安工程管理有限公司：</w:t>
      </w:r>
    </w:p>
    <w:p>
      <w:pPr>
        <w:pStyle w:val="43"/>
        <w:autoSpaceDE w:val="0"/>
        <w:adjustRightInd w:val="0"/>
        <w:snapToGrid w:val="0"/>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本授权书声明：注册于</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（投标供应商地址）的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（投标供应商名称）</w:t>
      </w:r>
      <w:r>
        <w:rPr>
          <w:rFonts w:hint="eastAsia" w:ascii="仿宋" w:hAnsi="仿宋" w:eastAsia="仿宋" w:cs="仿宋"/>
          <w:color w:val="auto"/>
          <w:sz w:val="30"/>
          <w:szCs w:val="30"/>
          <w:highlight w:val="none"/>
          <w:u w:val="single"/>
        </w:rPr>
        <w:t>            </w:t>
      </w:r>
      <w:r>
        <w:rPr>
          <w:rFonts w:hint="eastAsia" w:ascii="仿宋" w:hAnsi="仿宋" w:eastAsia="仿宋" w:cs="仿宋"/>
          <w:color w:val="auto"/>
          <w:sz w:val="30"/>
          <w:szCs w:val="30"/>
          <w:highlight w:val="none"/>
        </w:rPr>
        <w:t>法定代表人（法定代表人职务、姓名）代表本公司授权在下面签字的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（全权代表人姓名、职务）为本公司的合法代理人，就贵方组织的</w:t>
      </w:r>
      <w:r>
        <w:rPr>
          <w:rFonts w:hint="eastAsia" w:ascii="仿宋" w:hAnsi="仿宋" w:eastAsia="仿宋" w:cs="仿宋"/>
          <w:color w:val="auto"/>
          <w:sz w:val="30"/>
          <w:szCs w:val="30"/>
          <w:highlight w:val="none"/>
          <w:u w:val="single"/>
        </w:rPr>
        <w:t>杭州杭新固体废物处置有限公司废气在线监测系统升级改造项目</w:t>
      </w:r>
      <w:r>
        <w:rPr>
          <w:rFonts w:hint="eastAsia" w:ascii="仿宋" w:hAnsi="仿宋" w:eastAsia="仿宋" w:cs="仿宋"/>
          <w:color w:val="auto"/>
          <w:sz w:val="30"/>
          <w:szCs w:val="30"/>
          <w:highlight w:val="none"/>
        </w:rPr>
        <w:t>（招标编号：</w:t>
      </w:r>
      <w:r>
        <w:rPr>
          <w:rFonts w:hint="eastAsia" w:ascii="仿宋" w:hAnsi="仿宋" w:eastAsia="仿宋" w:cs="仿宋"/>
          <w:color w:val="auto"/>
          <w:sz w:val="30"/>
          <w:szCs w:val="30"/>
          <w:highlight w:val="none"/>
          <w:lang w:eastAsia="zh-CN"/>
        </w:rPr>
        <w:t>ZJJAJD2024B-019</w:t>
      </w:r>
      <w:r>
        <w:rPr>
          <w:rFonts w:hint="eastAsia" w:ascii="仿宋" w:hAnsi="仿宋" w:eastAsia="仿宋" w:cs="仿宋"/>
          <w:color w:val="auto"/>
          <w:sz w:val="30"/>
          <w:szCs w:val="30"/>
          <w:highlight w:val="none"/>
        </w:rPr>
        <w:t xml:space="preserve"> ）以本公司名义处理一切与之有关的事务。</w:t>
      </w:r>
    </w:p>
    <w:p>
      <w:pPr>
        <w:widowControl/>
        <w:snapToGrid w:val="0"/>
        <w:spacing w:line="360" w:lineRule="auto"/>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本授权书于2024年 月 日签字生效，特此声明。 </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w:t>
      </w:r>
    </w:p>
    <w:p>
      <w:pPr>
        <w:widowControl/>
        <w:snapToGrid w:val="0"/>
        <w:ind w:firstLine="900" w:firstLineChars="300"/>
        <w:rPr>
          <w:rFonts w:ascii="仿宋" w:hAnsi="仿宋" w:eastAsia="仿宋" w:cs="仿宋"/>
          <w:color w:val="auto"/>
          <w:kern w:val="0"/>
          <w:sz w:val="30"/>
          <w:szCs w:val="30"/>
          <w:highlight w:val="none"/>
          <w:u w:val="single"/>
        </w:rPr>
      </w:pPr>
      <w:r>
        <w:rPr>
          <w:rFonts w:hint="eastAsia" w:ascii="仿宋" w:hAnsi="仿宋" w:eastAsia="仿宋" w:cs="仿宋"/>
          <w:color w:val="auto"/>
          <w:kern w:val="0"/>
          <w:sz w:val="30"/>
          <w:szCs w:val="30"/>
          <w:highlight w:val="none"/>
        </w:rPr>
        <w:t>法定代表人签字：</w:t>
      </w:r>
      <w:r>
        <w:rPr>
          <w:rFonts w:hint="eastAsia" w:ascii="仿宋" w:hAnsi="仿宋" w:eastAsia="仿宋" w:cs="仿宋"/>
          <w:color w:val="auto"/>
          <w:kern w:val="0"/>
          <w:sz w:val="30"/>
          <w:szCs w:val="30"/>
          <w:highlight w:val="none"/>
          <w:u w:val="single"/>
        </w:rPr>
        <w:t xml:space="preserve">                       </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职  务： </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单位名称： </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办公地址：</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联系电话：</w:t>
      </w:r>
    </w:p>
    <w:p>
      <w:pPr>
        <w:widowControl/>
        <w:snapToGrid w:val="0"/>
        <w:ind w:firstLine="900" w:firstLineChars="300"/>
        <w:rPr>
          <w:rFonts w:ascii="仿宋" w:hAnsi="仿宋" w:eastAsia="仿宋" w:cs="仿宋"/>
          <w:color w:val="auto"/>
          <w:kern w:val="0"/>
          <w:sz w:val="30"/>
          <w:szCs w:val="30"/>
          <w:highlight w:val="none"/>
        </w:rPr>
      </w:pPr>
    </w:p>
    <w:p>
      <w:pPr>
        <w:widowControl/>
        <w:snapToGrid w:val="0"/>
        <w:ind w:firstLine="900" w:firstLineChars="300"/>
        <w:rPr>
          <w:rFonts w:ascii="仿宋" w:hAnsi="仿宋" w:eastAsia="仿宋" w:cs="仿宋"/>
          <w:color w:val="auto"/>
          <w:kern w:val="0"/>
          <w:sz w:val="30"/>
          <w:szCs w:val="30"/>
          <w:highlight w:val="none"/>
          <w:u w:val="single"/>
        </w:rPr>
      </w:pPr>
      <w:r>
        <w:rPr>
          <w:rFonts w:hint="eastAsia" w:ascii="仿宋" w:hAnsi="仿宋" w:eastAsia="仿宋" w:cs="仿宋"/>
          <w:color w:val="auto"/>
          <w:kern w:val="0"/>
          <w:sz w:val="30"/>
          <w:szCs w:val="30"/>
          <w:highlight w:val="none"/>
        </w:rPr>
        <w:t>全权代表人签字：</w:t>
      </w:r>
      <w:r>
        <w:rPr>
          <w:rFonts w:hint="eastAsia" w:ascii="仿宋" w:hAnsi="仿宋" w:eastAsia="仿宋" w:cs="仿宋"/>
          <w:color w:val="auto"/>
          <w:kern w:val="0"/>
          <w:sz w:val="30"/>
          <w:szCs w:val="30"/>
          <w:highlight w:val="none"/>
          <w:u w:val="single"/>
        </w:rPr>
        <w:t xml:space="preserve">                         </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职  务：</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身份证号： </w:t>
      </w:r>
    </w:p>
    <w:p>
      <w:pPr>
        <w:widowControl/>
        <w:snapToGrid w:val="0"/>
        <w:ind w:firstLine="900" w:firstLineChars="30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单位名称：</w:t>
      </w:r>
    </w:p>
    <w:p>
      <w:pPr>
        <w:widowControl/>
        <w:snapToGrid w:val="0"/>
        <w:ind w:firstLine="900" w:firstLineChars="30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办公地址：</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联系电话：</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传  真：</w:t>
      </w:r>
    </w:p>
    <w:p>
      <w:pPr>
        <w:widowControl/>
        <w:snapToGrid w:val="0"/>
        <w:ind w:firstLine="1800" w:firstLineChars="60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邮政编码：</w:t>
      </w:r>
    </w:p>
    <w:p>
      <w:pPr>
        <w:widowControl/>
        <w:snapToGrid w:val="0"/>
        <w:ind w:firstLine="1500" w:firstLineChars="500"/>
        <w:rPr>
          <w:rFonts w:ascii="仿宋" w:hAnsi="仿宋" w:eastAsia="仿宋" w:cs="仿宋"/>
          <w:color w:val="auto"/>
          <w:kern w:val="0"/>
          <w:sz w:val="30"/>
          <w:szCs w:val="30"/>
          <w:highlight w:val="none"/>
        </w:rPr>
      </w:pPr>
    </w:p>
    <w:p>
      <w:pPr>
        <w:widowControl/>
        <w:snapToGrid w:val="0"/>
        <w:ind w:firstLine="600" w:firstLineChars="20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w:t>
      </w:r>
    </w:p>
    <w:p>
      <w:pPr>
        <w:widowControl/>
        <w:snapToGrid w:val="0"/>
        <w:ind w:firstLine="600" w:firstLineChars="200"/>
        <w:rPr>
          <w:rFonts w:ascii="仿宋" w:hAnsi="仿宋" w:eastAsia="仿宋" w:cs="仿宋"/>
          <w:color w:val="auto"/>
          <w:kern w:val="0"/>
          <w:sz w:val="30"/>
          <w:szCs w:val="30"/>
          <w:highlight w:val="none"/>
        </w:rPr>
      </w:pPr>
    </w:p>
    <w:p>
      <w:pPr>
        <w:widowControl/>
        <w:snapToGrid w:val="0"/>
        <w:jc w:val="center"/>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投标供应商公章：</w:t>
      </w:r>
    </w:p>
    <w:p>
      <w:pPr>
        <w:widowControl/>
        <w:snapToGrid w:val="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w:t>
      </w:r>
    </w:p>
    <w:p>
      <w:pPr>
        <w:widowControl/>
        <w:snapToGrid w:val="0"/>
        <w:jc w:val="center"/>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2024年  月  日</w:t>
      </w:r>
    </w:p>
    <w:p>
      <w:pPr>
        <w:spacing w:line="480" w:lineRule="auto"/>
        <w:jc w:val="left"/>
        <w:rPr>
          <w:rStyle w:val="98"/>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t>附件九</w:t>
      </w:r>
    </w:p>
    <w:p>
      <w:pPr>
        <w:jc w:val="center"/>
        <w:rPr>
          <w:rFonts w:ascii="仿宋" w:hAnsi="仿宋" w:eastAsia="仿宋" w:cs="仿宋"/>
          <w:b/>
          <w:color w:val="auto"/>
          <w:spacing w:val="20"/>
          <w:kern w:val="4"/>
          <w:sz w:val="36"/>
          <w:szCs w:val="36"/>
          <w:highlight w:val="none"/>
        </w:rPr>
      </w:pPr>
      <w:r>
        <w:rPr>
          <w:rFonts w:hint="eastAsia" w:ascii="仿宋" w:hAnsi="仿宋" w:eastAsia="仿宋" w:cs="仿宋"/>
          <w:b/>
          <w:color w:val="auto"/>
          <w:spacing w:val="20"/>
          <w:kern w:val="4"/>
          <w:sz w:val="36"/>
          <w:szCs w:val="36"/>
          <w:highlight w:val="none"/>
        </w:rPr>
        <w:t>关于资格的声明函</w:t>
      </w:r>
    </w:p>
    <w:p>
      <w:pPr>
        <w:ind w:left="540" w:firstLine="30"/>
        <w:jc w:val="center"/>
        <w:rPr>
          <w:rFonts w:ascii="仿宋" w:hAnsi="仿宋" w:eastAsia="仿宋" w:cs="仿宋"/>
          <w:b/>
          <w:color w:val="auto"/>
          <w:sz w:val="36"/>
          <w:szCs w:val="36"/>
          <w:highlight w:val="none"/>
        </w:rPr>
      </w:pPr>
    </w:p>
    <w:p>
      <w:pPr>
        <w:spacing w:line="6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浙江建安工程管理有限公司：</w:t>
      </w:r>
    </w:p>
    <w:p>
      <w:pPr>
        <w:spacing w:line="6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关于贵方2024年  月 日</w:t>
      </w:r>
      <w:r>
        <w:rPr>
          <w:rFonts w:hint="eastAsia" w:ascii="仿宋" w:hAnsi="仿宋" w:eastAsia="仿宋" w:cs="仿宋"/>
          <w:bCs/>
          <w:color w:val="auto"/>
          <w:sz w:val="28"/>
          <w:szCs w:val="28"/>
          <w:highlight w:val="none"/>
          <w:u w:val="single"/>
        </w:rPr>
        <w:t>杭州杭新固体废物处置有限公司废气在线监测系统升级改造项目</w:t>
      </w:r>
      <w:r>
        <w:rPr>
          <w:rFonts w:hint="eastAsia" w:ascii="仿宋" w:hAnsi="仿宋" w:eastAsia="仿宋" w:cs="仿宋"/>
          <w:color w:val="auto"/>
          <w:sz w:val="30"/>
          <w:szCs w:val="30"/>
          <w:highlight w:val="none"/>
        </w:rPr>
        <w:t>（</w:t>
      </w:r>
      <w:r>
        <w:rPr>
          <w:rFonts w:hint="eastAsia" w:ascii="仿宋" w:hAnsi="仿宋" w:eastAsia="仿宋" w:cs="仿宋"/>
          <w:color w:val="auto"/>
          <w:sz w:val="28"/>
          <w:szCs w:val="28"/>
          <w:highlight w:val="none"/>
        </w:rPr>
        <w:t>编号为</w:t>
      </w:r>
      <w:r>
        <w:rPr>
          <w:rFonts w:hint="eastAsia" w:ascii="仿宋" w:hAnsi="仿宋" w:eastAsia="仿宋" w:cs="仿宋"/>
          <w:color w:val="auto"/>
          <w:sz w:val="28"/>
          <w:szCs w:val="28"/>
          <w:highlight w:val="none"/>
          <w:u w:val="single"/>
          <w:lang w:eastAsia="zh-CN"/>
        </w:rPr>
        <w:t>ZJJAJD2024B-019</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）的投标邀请，本公司愿意参加投标，并证明提交的下列文件和说明是准确和真实的。</w:t>
      </w:r>
    </w:p>
    <w:p>
      <w:pPr>
        <w:spacing w:line="6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1、工商营业执照年检后副本复印件（加盖公章）</w:t>
      </w:r>
    </w:p>
    <w:p>
      <w:pPr>
        <w:spacing w:line="6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2、投标方一般情况。</w:t>
      </w:r>
    </w:p>
    <w:p>
      <w:pPr>
        <w:spacing w:line="600" w:lineRule="exact"/>
        <w:ind w:firstLine="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3、相关资质证明材料</w:t>
      </w:r>
    </w:p>
    <w:p>
      <w:pPr>
        <w:spacing w:line="600" w:lineRule="exact"/>
        <w:jc w:val="center"/>
        <w:rPr>
          <w:rFonts w:ascii="仿宋" w:hAnsi="仿宋" w:eastAsia="仿宋" w:cs="仿宋"/>
          <w:color w:val="auto"/>
          <w:sz w:val="28"/>
          <w:szCs w:val="28"/>
          <w:highlight w:val="none"/>
        </w:rPr>
      </w:pPr>
    </w:p>
    <w:p>
      <w:pPr>
        <w:spacing w:line="600" w:lineRule="exact"/>
        <w:jc w:val="center"/>
        <w:rPr>
          <w:rFonts w:ascii="仿宋" w:hAnsi="仿宋" w:eastAsia="仿宋" w:cs="仿宋"/>
          <w:color w:val="auto"/>
          <w:sz w:val="28"/>
          <w:szCs w:val="28"/>
          <w:highlight w:val="none"/>
        </w:rPr>
      </w:pPr>
    </w:p>
    <w:p>
      <w:pPr>
        <w:adjustRightInd w:val="0"/>
        <w:snapToGrid w:val="0"/>
        <w:rPr>
          <w:rFonts w:ascii="仿宋" w:hAnsi="仿宋" w:eastAsia="仿宋" w:cs="仿宋"/>
          <w:color w:val="auto"/>
          <w:sz w:val="28"/>
          <w:szCs w:val="28"/>
          <w:highlight w:val="none"/>
          <w:u w:val="single"/>
        </w:rPr>
      </w:pP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日期：2024年 月  日</w:t>
      </w:r>
    </w:p>
    <w:p>
      <w:pPr>
        <w:spacing w:line="600" w:lineRule="exact"/>
        <w:jc w:val="cente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spacing w:line="480" w:lineRule="auto"/>
        <w:jc w:val="left"/>
        <w:rPr>
          <w:rStyle w:val="98"/>
          <w:rFonts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br w:type="page"/>
      </w:r>
    </w:p>
    <w:p>
      <w:pPr>
        <w:spacing w:line="480" w:lineRule="auto"/>
        <w:jc w:val="left"/>
        <w:rPr>
          <w:rStyle w:val="98"/>
          <w:rFonts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t>附件十</w:t>
      </w: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投标方一般情况</w:t>
      </w:r>
    </w:p>
    <w:tbl>
      <w:tblPr>
        <w:tblStyle w:val="48"/>
        <w:tblW w:w="83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935"/>
        <w:gridCol w:w="958"/>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7636" w:type="dxa"/>
            <w:gridSpan w:val="3"/>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7636" w:type="dxa"/>
            <w:gridSpan w:val="3"/>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7636" w:type="dxa"/>
            <w:gridSpan w:val="3"/>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3893" w:type="dxa"/>
            <w:gridSpan w:val="2"/>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电  话：</w:t>
            </w:r>
          </w:p>
        </w:tc>
        <w:tc>
          <w:tcPr>
            <w:tcW w:w="3743" w:type="dxa"/>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p>
        </w:tc>
        <w:tc>
          <w:tcPr>
            <w:tcW w:w="3893" w:type="dxa"/>
            <w:gridSpan w:val="2"/>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传  真：</w:t>
            </w:r>
          </w:p>
        </w:tc>
        <w:tc>
          <w:tcPr>
            <w:tcW w:w="3743" w:type="dxa"/>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p>
        </w:tc>
        <w:tc>
          <w:tcPr>
            <w:tcW w:w="3893" w:type="dxa"/>
            <w:gridSpan w:val="2"/>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注册地：</w:t>
            </w:r>
          </w:p>
        </w:tc>
        <w:tc>
          <w:tcPr>
            <w:tcW w:w="3743" w:type="dxa"/>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p>
        </w:tc>
        <w:tc>
          <w:tcPr>
            <w:tcW w:w="7636" w:type="dxa"/>
            <w:gridSpan w:val="3"/>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w:t>
            </w:r>
          </w:p>
        </w:tc>
        <w:tc>
          <w:tcPr>
            <w:tcW w:w="7636" w:type="dxa"/>
            <w:gridSpan w:val="3"/>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65" w:type="dxa"/>
            <w:vAlign w:val="center"/>
          </w:tcPr>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w:t>
            </w:r>
          </w:p>
        </w:tc>
        <w:tc>
          <w:tcPr>
            <w:tcW w:w="2935" w:type="dxa"/>
            <w:vAlign w:val="center"/>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其他需要说明的情况</w:t>
            </w:r>
          </w:p>
        </w:tc>
        <w:tc>
          <w:tcPr>
            <w:tcW w:w="4701" w:type="dxa"/>
            <w:gridSpan w:val="2"/>
            <w:vAlign w:val="center"/>
          </w:tcPr>
          <w:p>
            <w:pPr>
              <w:spacing w:line="360" w:lineRule="auto"/>
              <w:rPr>
                <w:rFonts w:ascii="仿宋" w:hAnsi="仿宋" w:eastAsia="仿宋" w:cs="仿宋"/>
                <w:color w:val="auto"/>
                <w:sz w:val="28"/>
                <w:szCs w:val="28"/>
                <w:highlight w:val="none"/>
              </w:rPr>
            </w:pPr>
          </w:p>
        </w:tc>
      </w:tr>
    </w:tbl>
    <w:p>
      <w:pPr>
        <w:ind w:firstLine="573"/>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说明：所有独立投标申请人或联合体成员都须填写此表；</w:t>
      </w:r>
    </w:p>
    <w:p>
      <w:pPr>
        <w:jc w:val="center"/>
        <w:rPr>
          <w:rFonts w:ascii="仿宋" w:hAnsi="仿宋" w:eastAsia="仿宋" w:cs="仿宋"/>
          <w:color w:val="auto"/>
          <w:sz w:val="28"/>
          <w:szCs w:val="28"/>
          <w:highlight w:val="none"/>
        </w:rPr>
      </w:pPr>
    </w:p>
    <w:p>
      <w:pPr>
        <w:autoSpaceDE w:val="0"/>
        <w:adjustRightInd w:val="0"/>
        <w:snapToGrid w:val="0"/>
        <w:ind w:firstLine="3614" w:firstLineChars="1500"/>
        <w:jc w:val="left"/>
        <w:rPr>
          <w:rFonts w:ascii="仿宋" w:hAnsi="仿宋" w:eastAsia="仿宋" w:cs="仿宋"/>
          <w:b/>
          <w:bCs/>
          <w:color w:val="auto"/>
          <w:kern w:val="0"/>
          <w:sz w:val="24"/>
          <w:highlight w:val="none"/>
        </w:rPr>
      </w:pP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日期：2024年 月  日</w:t>
      </w:r>
    </w:p>
    <w:p>
      <w:pPr>
        <w:adjustRightInd w:val="0"/>
        <w:snapToGrid w:val="0"/>
        <w:jc w:val="center"/>
        <w:rPr>
          <w:rFonts w:ascii="仿宋" w:hAnsi="仿宋" w:eastAsia="仿宋" w:cs="仿宋"/>
          <w:color w:val="auto"/>
          <w:sz w:val="28"/>
          <w:szCs w:val="28"/>
          <w:highlight w:val="none"/>
          <w:u w:val="single"/>
        </w:rPr>
      </w:pPr>
    </w:p>
    <w:p>
      <w:pPr>
        <w:snapToGrid w:val="0"/>
        <w:spacing w:before="50" w:after="159" w:afterLines="50" w:line="360" w:lineRule="auto"/>
        <w:jc w:val="left"/>
        <w:rPr>
          <w:rFonts w:ascii="仿宋" w:hAnsi="仿宋" w:eastAsia="仿宋" w:cs="仿宋"/>
          <w:b/>
          <w:color w:val="auto"/>
          <w:sz w:val="30"/>
          <w:szCs w:val="30"/>
          <w:highlight w:val="none"/>
        </w:rPr>
      </w:pPr>
    </w:p>
    <w:p>
      <w:pPr>
        <w:snapToGrid w:val="0"/>
        <w:spacing w:before="50" w:after="159" w:afterLines="50" w:line="360" w:lineRule="auto"/>
        <w:jc w:val="left"/>
        <w:rPr>
          <w:rFonts w:ascii="仿宋" w:hAnsi="仿宋" w:eastAsia="仿宋" w:cs="仿宋"/>
          <w:b/>
          <w:color w:val="auto"/>
          <w:sz w:val="30"/>
          <w:szCs w:val="30"/>
          <w:highlight w:val="none"/>
        </w:rPr>
      </w:pPr>
    </w:p>
    <w:p>
      <w:pPr>
        <w:snapToGrid w:val="0"/>
        <w:spacing w:before="50" w:after="159" w:afterLines="50" w:line="360" w:lineRule="auto"/>
        <w:jc w:val="left"/>
        <w:rPr>
          <w:rFonts w:ascii="仿宋" w:hAnsi="仿宋" w:eastAsia="仿宋" w:cs="仿宋"/>
          <w:b/>
          <w:color w:val="auto"/>
          <w:sz w:val="30"/>
          <w:szCs w:val="30"/>
          <w:highlight w:val="none"/>
        </w:rPr>
      </w:pPr>
    </w:p>
    <w:p>
      <w:pPr>
        <w:jc w:val="left"/>
        <w:rPr>
          <w:rStyle w:val="98"/>
          <w:rFonts w:ascii="仿宋" w:hAnsi="仿宋" w:eastAsia="仿宋" w:cs="仿宋"/>
          <w:color w:val="auto"/>
          <w:sz w:val="30"/>
          <w:szCs w:val="32"/>
          <w:highlight w:val="none"/>
        </w:rPr>
      </w:pPr>
      <w:r>
        <w:rPr>
          <w:rStyle w:val="98"/>
          <w:rFonts w:hint="eastAsia" w:ascii="仿宋" w:hAnsi="仿宋" w:eastAsia="仿宋" w:cs="仿宋"/>
          <w:color w:val="auto"/>
          <w:sz w:val="30"/>
          <w:szCs w:val="32"/>
          <w:highlight w:val="none"/>
        </w:rPr>
        <w:t>附件十一</w:t>
      </w:r>
    </w:p>
    <w:p>
      <w:pPr>
        <w:pStyle w:val="36"/>
        <w:snapToGrid w:val="0"/>
        <w:spacing w:line="360" w:lineRule="auto"/>
        <w:ind w:left="803" w:hanging="803"/>
        <w:jc w:val="center"/>
        <w:rPr>
          <w:rFonts w:ascii="仿宋" w:hAnsi="仿宋" w:eastAsia="仿宋" w:cs="仿宋"/>
          <w:b/>
          <w:color w:val="auto"/>
          <w:spacing w:val="20"/>
          <w:sz w:val="36"/>
          <w:szCs w:val="20"/>
          <w:highlight w:val="none"/>
        </w:rPr>
      </w:pPr>
      <w:r>
        <w:rPr>
          <w:rFonts w:hint="eastAsia" w:ascii="仿宋" w:hAnsi="仿宋" w:eastAsia="仿宋" w:cs="仿宋"/>
          <w:b/>
          <w:color w:val="auto"/>
          <w:spacing w:val="20"/>
          <w:sz w:val="36"/>
          <w:szCs w:val="20"/>
          <w:highlight w:val="none"/>
        </w:rPr>
        <w:t>投标供应商类似项目实施情况一览表</w:t>
      </w:r>
    </w:p>
    <w:p>
      <w:pPr>
        <w:pStyle w:val="36"/>
        <w:snapToGrid w:val="0"/>
        <w:spacing w:line="360" w:lineRule="auto"/>
        <w:ind w:left="666" w:leftChars="-85" w:hanging="844" w:hangingChars="264"/>
        <w:rPr>
          <w:rFonts w:ascii="仿宋" w:hAnsi="仿宋" w:eastAsia="仿宋" w:cs="仿宋"/>
          <w:b/>
          <w:color w:val="auto"/>
          <w:szCs w:val="28"/>
          <w:highlight w:val="none"/>
          <w:u w:val="single"/>
        </w:rPr>
      </w:pPr>
      <w:r>
        <w:rPr>
          <w:rFonts w:hint="eastAsia" w:ascii="仿宋" w:hAnsi="仿宋" w:eastAsia="仿宋" w:cs="仿宋"/>
          <w:color w:val="auto"/>
          <w:spacing w:val="20"/>
          <w:szCs w:val="28"/>
          <w:highlight w:val="none"/>
        </w:rPr>
        <w:t>招标编号：</w:t>
      </w:r>
      <w:r>
        <w:rPr>
          <w:rFonts w:hint="eastAsia" w:ascii="仿宋" w:hAnsi="仿宋" w:eastAsia="仿宋" w:cs="仿宋"/>
          <w:color w:val="auto"/>
          <w:highlight w:val="none"/>
          <w:lang w:eastAsia="zh-CN"/>
        </w:rPr>
        <w:t>ZJJAJD2024B-019</w:t>
      </w:r>
      <w:r>
        <w:rPr>
          <w:rFonts w:hint="eastAsia" w:ascii="仿宋" w:hAnsi="仿宋" w:eastAsia="仿宋" w:cs="仿宋"/>
          <w:color w:val="auto"/>
          <w:highlight w:val="none"/>
        </w:rPr>
        <w:t xml:space="preserve">               </w:t>
      </w:r>
    </w:p>
    <w:tbl>
      <w:tblPr>
        <w:tblStyle w:val="48"/>
        <w:tblW w:w="92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900"/>
        <w:gridCol w:w="900"/>
        <w:gridCol w:w="1440"/>
        <w:gridCol w:w="1242"/>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368" w:type="dxa"/>
            <w:vMerge w:val="restart"/>
            <w:tcBorders>
              <w:top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采购单位名称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w:t>
            </w:r>
          </w:p>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w:t>
            </w:r>
          </w:p>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附件页码</w:t>
            </w:r>
          </w:p>
        </w:tc>
        <w:tc>
          <w:tcPr>
            <w:tcW w:w="2025" w:type="dxa"/>
            <w:vMerge w:val="restart"/>
            <w:tcBorders>
              <w:top w:val="single" w:color="auto" w:sz="4" w:space="0"/>
              <w:left w:val="single" w:color="auto" w:sz="4" w:space="0"/>
              <w:bottom w:val="single" w:color="auto" w:sz="4" w:space="0"/>
            </w:tcBorders>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1368" w:type="dxa"/>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szCs w:val="24"/>
                <w:highlight w:val="none"/>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szCs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szCs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szCs w:val="24"/>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w:t>
            </w:r>
          </w:p>
        </w:tc>
        <w:tc>
          <w:tcPr>
            <w:tcW w:w="2025"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368" w:type="dxa"/>
            <w:tcBorders>
              <w:top w:val="single" w:color="auto" w:sz="4" w:space="0"/>
              <w:bottom w:val="single" w:color="auto" w:sz="4" w:space="0"/>
              <w:right w:val="single" w:color="auto" w:sz="4" w:space="0"/>
            </w:tcBorders>
            <w:vAlign w:val="center"/>
          </w:tcPr>
          <w:p>
            <w:pPr>
              <w:snapToGrid w:val="0"/>
              <w:spacing w:before="50" w:after="159" w:afterLine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7839" w:type="dxa"/>
            <w:gridSpan w:val="6"/>
            <w:tcBorders>
              <w:top w:val="single" w:color="auto" w:sz="4" w:space="0"/>
              <w:left w:val="single" w:color="auto" w:sz="4" w:space="0"/>
              <w:bottom w:val="single" w:color="auto" w:sz="4" w:space="0"/>
            </w:tcBorders>
            <w:vAlign w:val="center"/>
          </w:tcPr>
          <w:p>
            <w:pPr>
              <w:snapToGrid w:val="0"/>
              <w:spacing w:before="50" w:after="159" w:afterLine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须提供投标供应商同类项目合同复印件。</w:t>
            </w:r>
          </w:p>
        </w:tc>
      </w:tr>
    </w:tbl>
    <w:p>
      <w:pPr>
        <w:widowControl/>
        <w:snapToGrid w:val="0"/>
        <w:spacing w:line="480" w:lineRule="exact"/>
        <w:jc w:val="center"/>
        <w:rPr>
          <w:rFonts w:ascii="仿宋" w:hAnsi="仿宋" w:eastAsia="仿宋" w:cs="仿宋"/>
          <w:color w:val="auto"/>
          <w:kern w:val="0"/>
          <w:sz w:val="28"/>
          <w:szCs w:val="28"/>
          <w:highlight w:val="none"/>
        </w:rPr>
      </w:pPr>
    </w:p>
    <w:p>
      <w:pPr>
        <w:autoSpaceDE w:val="0"/>
        <w:adjustRightInd w:val="0"/>
        <w:snapToGrid w:val="0"/>
        <w:ind w:firstLine="3735" w:firstLineChars="1550"/>
        <w:rPr>
          <w:rFonts w:ascii="仿宋" w:hAnsi="仿宋" w:eastAsia="仿宋" w:cs="仿宋"/>
          <w:b/>
          <w:bCs/>
          <w:color w:val="auto"/>
          <w:kern w:val="0"/>
          <w:sz w:val="24"/>
          <w:highlight w:val="none"/>
        </w:rPr>
      </w:pP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日期：2024年 月  日</w:t>
      </w:r>
    </w:p>
    <w:p>
      <w:pPr>
        <w:spacing w:line="480" w:lineRule="auto"/>
        <w:jc w:val="left"/>
        <w:rPr>
          <w:rStyle w:val="98"/>
          <w:rFonts w:ascii="仿宋" w:hAnsi="仿宋" w:eastAsia="仿宋" w:cs="仿宋"/>
          <w:color w:val="auto"/>
          <w:sz w:val="30"/>
          <w:szCs w:val="30"/>
          <w:highlight w:val="none"/>
        </w:rPr>
      </w:pPr>
    </w:p>
    <w:p>
      <w:pPr>
        <w:spacing w:line="480" w:lineRule="auto"/>
        <w:jc w:val="left"/>
        <w:rPr>
          <w:rStyle w:val="98"/>
          <w:rFonts w:ascii="仿宋" w:hAnsi="仿宋" w:eastAsia="仿宋" w:cs="仿宋"/>
          <w:color w:val="auto"/>
          <w:sz w:val="30"/>
          <w:szCs w:val="30"/>
          <w:highlight w:val="none"/>
        </w:rPr>
      </w:pPr>
    </w:p>
    <w:p>
      <w:pPr>
        <w:rPr>
          <w:rStyle w:val="98"/>
          <w:rFonts w:ascii="仿宋" w:hAnsi="仿宋" w:eastAsia="仿宋" w:cs="仿宋"/>
          <w:color w:val="auto"/>
          <w:sz w:val="30"/>
          <w:szCs w:val="30"/>
          <w:highlight w:val="none"/>
        </w:rPr>
      </w:pPr>
    </w:p>
    <w:p>
      <w:pPr>
        <w:rPr>
          <w:rStyle w:val="98"/>
          <w:rFonts w:ascii="仿宋" w:hAnsi="仿宋" w:eastAsia="仿宋" w:cs="仿宋"/>
          <w:color w:val="auto"/>
          <w:sz w:val="30"/>
          <w:szCs w:val="30"/>
          <w:highlight w:val="none"/>
        </w:rPr>
      </w:pPr>
    </w:p>
    <w:p>
      <w:pPr>
        <w:rPr>
          <w:rStyle w:val="98"/>
          <w:rFonts w:ascii="仿宋" w:hAnsi="仿宋" w:eastAsia="仿宋" w:cs="仿宋"/>
          <w:color w:val="auto"/>
          <w:sz w:val="30"/>
          <w:szCs w:val="30"/>
          <w:highlight w:val="none"/>
        </w:rPr>
      </w:pPr>
      <w:r>
        <w:rPr>
          <w:rStyle w:val="98"/>
          <w:rFonts w:hint="eastAsia" w:ascii="仿宋" w:hAnsi="仿宋" w:eastAsia="仿宋" w:cs="仿宋"/>
          <w:b/>
          <w:bCs/>
          <w:color w:val="auto"/>
          <w:sz w:val="30"/>
          <w:szCs w:val="30"/>
          <w:highlight w:val="none"/>
        </w:rPr>
        <w:t>附件十二</w:t>
      </w:r>
      <w:r>
        <w:rPr>
          <w:rStyle w:val="98"/>
          <w:rFonts w:hint="eastAsia" w:ascii="仿宋" w:hAnsi="仿宋" w:eastAsia="仿宋" w:cs="仿宋"/>
          <w:color w:val="auto"/>
          <w:sz w:val="30"/>
          <w:szCs w:val="30"/>
          <w:highlight w:val="none"/>
        </w:rPr>
        <w:t>（1）投标文件封面格式</w:t>
      </w:r>
    </w:p>
    <w:p>
      <w:pPr>
        <w:ind w:firstLine="321" w:firstLineChars="100"/>
        <w:jc w:val="right"/>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正（副）本</w:t>
      </w:r>
    </w:p>
    <w:p>
      <w:pPr>
        <w:spacing w:line="360" w:lineRule="auto"/>
        <w:jc w:val="center"/>
        <w:rPr>
          <w:rFonts w:ascii="仿宋" w:hAnsi="仿宋" w:eastAsia="仿宋" w:cs="仿宋"/>
          <w:b/>
          <w:color w:val="auto"/>
          <w:spacing w:val="-20"/>
          <w:sz w:val="52"/>
          <w:szCs w:val="52"/>
          <w:highlight w:val="none"/>
        </w:rPr>
      </w:pPr>
      <w:r>
        <w:rPr>
          <w:rFonts w:hint="eastAsia" w:ascii="仿宋" w:hAnsi="仿宋" w:eastAsia="仿宋" w:cs="仿宋"/>
          <w:b/>
          <w:color w:val="auto"/>
          <w:spacing w:val="-20"/>
          <w:sz w:val="52"/>
          <w:szCs w:val="52"/>
          <w:highlight w:val="none"/>
        </w:rPr>
        <w:t>杭州杭新固体废物处置有限公司废气在线监测系统升级改造项目</w:t>
      </w:r>
    </w:p>
    <w:p>
      <w:pPr>
        <w:spacing w:line="360" w:lineRule="auto"/>
        <w:jc w:val="center"/>
        <w:rPr>
          <w:rFonts w:ascii="仿宋" w:hAnsi="仿宋" w:eastAsia="仿宋" w:cs="仿宋"/>
          <w:color w:val="auto"/>
          <w:sz w:val="32"/>
          <w:szCs w:val="32"/>
          <w:highlight w:val="none"/>
        </w:rPr>
      </w:pP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招标编号：</w:t>
      </w:r>
      <w:r>
        <w:rPr>
          <w:rFonts w:hint="eastAsia" w:ascii="仿宋" w:hAnsi="仿宋" w:eastAsia="仿宋" w:cs="仿宋"/>
          <w:color w:val="auto"/>
          <w:sz w:val="32"/>
          <w:szCs w:val="32"/>
          <w:highlight w:val="none"/>
          <w:lang w:eastAsia="zh-CN"/>
        </w:rPr>
        <w:t>ZJJAJD2024B-019</w:t>
      </w:r>
      <w:r>
        <w:rPr>
          <w:rFonts w:hint="eastAsia" w:ascii="仿宋" w:hAnsi="仿宋" w:eastAsia="仿宋" w:cs="仿宋"/>
          <w:color w:val="auto"/>
          <w:sz w:val="32"/>
          <w:szCs w:val="32"/>
          <w:highlight w:val="none"/>
        </w:rPr>
        <w:t xml:space="preserve">   </w:t>
      </w:r>
    </w:p>
    <w:p>
      <w:pPr>
        <w:jc w:val="center"/>
        <w:rPr>
          <w:rFonts w:ascii="仿宋" w:hAnsi="仿宋" w:eastAsia="仿宋" w:cs="仿宋"/>
          <w:color w:val="auto"/>
          <w:sz w:val="32"/>
          <w:highlight w:val="none"/>
        </w:rPr>
      </w:pPr>
    </w:p>
    <w:p>
      <w:pPr>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（资格审查文件或技术文件或商务资信文件或报价文件）</w:t>
      </w:r>
    </w:p>
    <w:p>
      <w:pPr>
        <w:spacing w:line="1000" w:lineRule="exact"/>
        <w:rPr>
          <w:rFonts w:ascii="仿宋" w:hAnsi="仿宋" w:eastAsia="仿宋" w:cs="仿宋"/>
          <w:color w:val="auto"/>
          <w:sz w:val="24"/>
          <w:szCs w:val="24"/>
          <w:highlight w:val="none"/>
        </w:rPr>
      </w:pPr>
    </w:p>
    <w:p>
      <w:pPr>
        <w:spacing w:line="1000" w:lineRule="exact"/>
        <w:jc w:val="center"/>
        <w:rPr>
          <w:rFonts w:ascii="仿宋" w:hAnsi="仿宋" w:eastAsia="仿宋" w:cs="仿宋"/>
          <w:color w:val="auto"/>
          <w:sz w:val="72"/>
          <w:szCs w:val="72"/>
          <w:highlight w:val="none"/>
        </w:rPr>
      </w:pPr>
      <w:r>
        <w:rPr>
          <w:rFonts w:hint="eastAsia" w:ascii="仿宋" w:hAnsi="仿宋" w:eastAsia="仿宋" w:cs="仿宋"/>
          <w:color w:val="auto"/>
          <w:sz w:val="72"/>
          <w:szCs w:val="72"/>
          <w:highlight w:val="none"/>
        </w:rPr>
        <w:t>投</w:t>
      </w:r>
    </w:p>
    <w:p>
      <w:pPr>
        <w:spacing w:line="1000" w:lineRule="exact"/>
        <w:jc w:val="center"/>
        <w:rPr>
          <w:rFonts w:ascii="仿宋" w:hAnsi="仿宋" w:eastAsia="仿宋" w:cs="仿宋"/>
          <w:color w:val="auto"/>
          <w:sz w:val="72"/>
          <w:szCs w:val="72"/>
          <w:highlight w:val="none"/>
        </w:rPr>
      </w:pPr>
      <w:r>
        <w:rPr>
          <w:rFonts w:hint="eastAsia" w:ascii="仿宋" w:hAnsi="仿宋" w:eastAsia="仿宋" w:cs="仿宋"/>
          <w:color w:val="auto"/>
          <w:sz w:val="72"/>
          <w:szCs w:val="72"/>
          <w:highlight w:val="none"/>
        </w:rPr>
        <w:t>标</w:t>
      </w:r>
    </w:p>
    <w:p>
      <w:pPr>
        <w:spacing w:line="1000" w:lineRule="exact"/>
        <w:jc w:val="center"/>
        <w:rPr>
          <w:rFonts w:ascii="仿宋" w:hAnsi="仿宋" w:eastAsia="仿宋" w:cs="仿宋"/>
          <w:color w:val="auto"/>
          <w:sz w:val="72"/>
          <w:szCs w:val="72"/>
          <w:highlight w:val="none"/>
        </w:rPr>
      </w:pPr>
      <w:r>
        <w:rPr>
          <w:rFonts w:hint="eastAsia" w:ascii="仿宋" w:hAnsi="仿宋" w:eastAsia="仿宋" w:cs="仿宋"/>
          <w:color w:val="auto"/>
          <w:sz w:val="72"/>
          <w:szCs w:val="72"/>
          <w:highlight w:val="none"/>
        </w:rPr>
        <w:t>文</w:t>
      </w:r>
    </w:p>
    <w:p>
      <w:pPr>
        <w:spacing w:line="1000" w:lineRule="exact"/>
        <w:jc w:val="center"/>
        <w:rPr>
          <w:rFonts w:ascii="仿宋" w:hAnsi="仿宋" w:eastAsia="仿宋" w:cs="仿宋"/>
          <w:color w:val="auto"/>
          <w:sz w:val="72"/>
          <w:szCs w:val="72"/>
          <w:highlight w:val="none"/>
        </w:rPr>
      </w:pPr>
      <w:r>
        <w:rPr>
          <w:rFonts w:hint="eastAsia" w:ascii="仿宋" w:hAnsi="仿宋" w:eastAsia="仿宋" w:cs="仿宋"/>
          <w:color w:val="auto"/>
          <w:sz w:val="72"/>
          <w:szCs w:val="72"/>
          <w:highlight w:val="none"/>
        </w:rPr>
        <w:t>件</w:t>
      </w:r>
    </w:p>
    <w:p>
      <w:pPr>
        <w:jc w:val="center"/>
        <w:rPr>
          <w:rFonts w:ascii="仿宋" w:hAnsi="仿宋" w:eastAsia="仿宋" w:cs="仿宋"/>
          <w:color w:val="auto"/>
          <w:sz w:val="24"/>
          <w:szCs w:val="24"/>
          <w:highlight w:val="none"/>
        </w:rPr>
      </w:pPr>
    </w:p>
    <w:p>
      <w:pPr>
        <w:jc w:val="cente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spacing w:line="48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投标供应商全称：（加盖单位公章）</w:t>
      </w:r>
    </w:p>
    <w:p>
      <w:pPr>
        <w:spacing w:line="48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2024年 月  日</w:t>
      </w:r>
    </w:p>
    <w:p>
      <w:pPr>
        <w:pStyle w:val="56"/>
        <w:ind w:firstLine="0" w:firstLineChars="0"/>
        <w:rPr>
          <w:rFonts w:ascii="仿宋" w:hAnsi="仿宋" w:eastAsia="仿宋" w:cs="仿宋"/>
          <w:color w:val="auto"/>
          <w:highlight w:val="none"/>
        </w:rPr>
      </w:pPr>
    </w:p>
    <w:p>
      <w:pPr>
        <w:spacing w:line="480" w:lineRule="auto"/>
        <w:rPr>
          <w:rStyle w:val="98"/>
          <w:rFonts w:ascii="仿宋" w:hAnsi="仿宋" w:eastAsia="仿宋" w:cs="仿宋"/>
          <w:color w:val="auto"/>
          <w:sz w:val="30"/>
          <w:szCs w:val="30"/>
          <w:highlight w:val="none"/>
        </w:rPr>
      </w:pPr>
    </w:p>
    <w:p>
      <w:pPr>
        <w:spacing w:line="480" w:lineRule="auto"/>
        <w:rPr>
          <w:rStyle w:val="98"/>
          <w:rFonts w:ascii="仿宋" w:hAnsi="仿宋" w:eastAsia="仿宋" w:cs="仿宋"/>
          <w:color w:val="auto"/>
          <w:sz w:val="30"/>
          <w:szCs w:val="30"/>
          <w:highlight w:val="none"/>
        </w:rPr>
      </w:pPr>
    </w:p>
    <w:p>
      <w:pPr>
        <w:spacing w:line="480" w:lineRule="auto"/>
        <w:rPr>
          <w:rStyle w:val="98"/>
          <w:rFonts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t>（2）投标文件外包装格式</w:t>
      </w:r>
    </w:p>
    <w:p>
      <w:pPr>
        <w:spacing w:line="480" w:lineRule="auto"/>
        <w:rPr>
          <w:rStyle w:val="98"/>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20"/>
          <w:sz w:val="52"/>
          <w:szCs w:val="52"/>
          <w:highlight w:val="none"/>
        </w:rPr>
      </w:pPr>
      <w:r>
        <w:rPr>
          <w:rFonts w:hint="eastAsia" w:ascii="仿宋" w:hAnsi="仿宋" w:eastAsia="仿宋" w:cs="仿宋"/>
          <w:b/>
          <w:color w:val="auto"/>
          <w:spacing w:val="-8"/>
          <w:sz w:val="52"/>
          <w:szCs w:val="52"/>
          <w:highlight w:val="none"/>
        </w:rPr>
        <w:t>杭州杭新固体废物处置有限公司废气在线监测系统升级改造项目</w:t>
      </w:r>
    </w:p>
    <w:p>
      <w:pPr>
        <w:spacing w:line="360" w:lineRule="auto"/>
        <w:jc w:val="center"/>
        <w:rPr>
          <w:rFonts w:ascii="仿宋" w:hAnsi="仿宋" w:eastAsia="仿宋" w:cs="仿宋"/>
          <w:color w:val="auto"/>
          <w:sz w:val="32"/>
          <w:szCs w:val="32"/>
          <w:highlight w:val="none"/>
        </w:rPr>
      </w:pP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招标编号：</w:t>
      </w:r>
      <w:r>
        <w:rPr>
          <w:rFonts w:hint="eastAsia" w:ascii="仿宋" w:hAnsi="仿宋" w:eastAsia="仿宋" w:cs="仿宋"/>
          <w:color w:val="auto"/>
          <w:sz w:val="32"/>
          <w:szCs w:val="32"/>
          <w:highlight w:val="none"/>
          <w:lang w:eastAsia="zh-CN"/>
        </w:rPr>
        <w:t>ZJJAJD2024B-019</w:t>
      </w:r>
      <w:r>
        <w:rPr>
          <w:rFonts w:hint="eastAsia" w:ascii="仿宋" w:hAnsi="仿宋" w:eastAsia="仿宋" w:cs="仿宋"/>
          <w:color w:val="auto"/>
          <w:sz w:val="32"/>
          <w:szCs w:val="32"/>
          <w:highlight w:val="none"/>
        </w:rPr>
        <w:t xml:space="preserve">  </w:t>
      </w:r>
    </w:p>
    <w:p>
      <w:pPr>
        <w:spacing w:line="360" w:lineRule="auto"/>
        <w:jc w:val="center"/>
        <w:rPr>
          <w:rFonts w:ascii="仿宋" w:hAnsi="仿宋" w:eastAsia="仿宋" w:cs="仿宋"/>
          <w:color w:val="auto"/>
          <w:sz w:val="32"/>
          <w:szCs w:val="32"/>
          <w:highlight w:val="none"/>
        </w:rPr>
      </w:pPr>
    </w:p>
    <w:p>
      <w:pPr>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（资格审查文件或技术文件或商务资信文件或报价文件）</w:t>
      </w:r>
    </w:p>
    <w:p>
      <w:pPr>
        <w:pStyle w:val="25"/>
        <w:spacing w:line="360" w:lineRule="auto"/>
        <w:ind w:firstLine="800" w:firstLineChars="250"/>
        <w:rPr>
          <w:rFonts w:ascii="仿宋" w:hAnsi="仿宋" w:eastAsia="仿宋" w:cs="仿宋"/>
          <w:color w:val="auto"/>
          <w:sz w:val="32"/>
          <w:highlight w:val="none"/>
        </w:rPr>
      </w:pPr>
    </w:p>
    <w:p>
      <w:pPr>
        <w:pStyle w:val="25"/>
        <w:spacing w:line="360" w:lineRule="auto"/>
        <w:ind w:firstLine="800" w:firstLineChars="250"/>
        <w:rPr>
          <w:rFonts w:ascii="仿宋" w:hAnsi="仿宋" w:eastAsia="仿宋" w:cs="仿宋"/>
          <w:color w:val="auto"/>
          <w:sz w:val="32"/>
          <w:highlight w:val="none"/>
        </w:rPr>
      </w:pPr>
    </w:p>
    <w:p>
      <w:pPr>
        <w:pStyle w:val="25"/>
        <w:spacing w:line="360" w:lineRule="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采购单位名称：</w:t>
      </w:r>
    </w:p>
    <w:p>
      <w:pPr>
        <w:pStyle w:val="25"/>
        <w:spacing w:line="360" w:lineRule="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投标供应商名称：                                (盖公章）</w:t>
      </w:r>
    </w:p>
    <w:p>
      <w:pPr>
        <w:pStyle w:val="25"/>
        <w:spacing w:line="360" w:lineRule="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投标供应商法定代表人或其委托代理人：         (签字或盖章）</w:t>
      </w:r>
    </w:p>
    <w:p>
      <w:pPr>
        <w:pStyle w:val="25"/>
        <w:spacing w:line="360" w:lineRule="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 xml:space="preserve">投标供应商地址：                                   </w:t>
      </w:r>
    </w:p>
    <w:p>
      <w:pPr>
        <w:pStyle w:val="25"/>
        <w:spacing w:line="360" w:lineRule="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邮编：                                           </w:t>
      </w:r>
    </w:p>
    <w:p>
      <w:pPr>
        <w:pStyle w:val="25"/>
        <w:spacing w:line="360" w:lineRule="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联系人：                                         </w:t>
      </w:r>
    </w:p>
    <w:p>
      <w:pPr>
        <w:pStyle w:val="25"/>
        <w:spacing w:line="360" w:lineRule="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联系电话：   </w:t>
      </w:r>
    </w:p>
    <w:p>
      <w:pPr>
        <w:pStyle w:val="25"/>
        <w:spacing w:after="159" w:afterLines="50" w:line="360" w:lineRule="auto"/>
        <w:rPr>
          <w:rFonts w:ascii="仿宋" w:hAnsi="仿宋" w:eastAsia="仿宋" w:cs="仿宋"/>
          <w:color w:val="auto"/>
          <w:sz w:val="32"/>
          <w:highlight w:val="none"/>
          <w:u w:val="single"/>
        </w:rPr>
      </w:pPr>
    </w:p>
    <w:p>
      <w:pPr>
        <w:pStyle w:val="25"/>
        <w:spacing w:after="159" w:afterLines="50" w:line="360" w:lineRule="auto"/>
        <w:rPr>
          <w:rFonts w:ascii="仿宋" w:hAnsi="仿宋" w:eastAsia="仿宋" w:cs="仿宋"/>
          <w:color w:val="auto"/>
          <w:sz w:val="32"/>
          <w:highlight w:val="none"/>
          <w:u w:val="single"/>
        </w:rPr>
      </w:pPr>
    </w:p>
    <w:p>
      <w:pPr>
        <w:rPr>
          <w:rFonts w:ascii="仿宋" w:hAnsi="仿宋" w:eastAsia="仿宋" w:cs="仿宋"/>
          <w:color w:val="auto"/>
          <w:highlight w:val="none"/>
        </w:rPr>
      </w:pPr>
    </w:p>
    <w:p>
      <w:pPr>
        <w:rPr>
          <w:rStyle w:val="98"/>
          <w:rFonts w:ascii="仿宋" w:hAnsi="仿宋" w:eastAsia="仿宋" w:cs="仿宋"/>
          <w:bCs/>
          <w:color w:val="auto"/>
          <w:sz w:val="30"/>
          <w:szCs w:val="30"/>
          <w:highlight w:val="none"/>
        </w:rPr>
      </w:pPr>
      <w:r>
        <w:rPr>
          <w:rStyle w:val="98"/>
          <w:rFonts w:hint="eastAsia" w:ascii="仿宋" w:hAnsi="仿宋" w:eastAsia="仿宋" w:cs="仿宋"/>
          <w:bCs/>
          <w:color w:val="auto"/>
          <w:sz w:val="30"/>
          <w:szCs w:val="30"/>
          <w:highlight w:val="none"/>
        </w:rPr>
        <w:t>附件十三</w:t>
      </w:r>
    </w:p>
    <w:p>
      <w:pPr>
        <w:jc w:val="center"/>
        <w:rPr>
          <w:rFonts w:ascii="仿宋" w:hAnsi="仿宋" w:eastAsia="仿宋" w:cs="仿宋"/>
          <w:color w:val="auto"/>
          <w:sz w:val="32"/>
          <w:szCs w:val="40"/>
          <w:highlight w:val="none"/>
        </w:rPr>
      </w:pPr>
      <w:r>
        <w:rPr>
          <w:rFonts w:hint="eastAsia" w:ascii="仿宋" w:hAnsi="仿宋" w:eastAsia="仿宋" w:cs="仿宋"/>
          <w:b/>
          <w:bCs/>
          <w:color w:val="auto"/>
          <w:sz w:val="40"/>
          <w:szCs w:val="48"/>
          <w:highlight w:val="none"/>
        </w:rPr>
        <w:t>现场踏勘确认书</w:t>
      </w:r>
    </w:p>
    <w:p>
      <w:pPr>
        <w:spacing w:line="360" w:lineRule="auto"/>
        <w:rPr>
          <w:rFonts w:ascii="仿宋" w:hAnsi="仿宋" w:eastAsia="仿宋" w:cs="仿宋"/>
          <w:color w:val="auto"/>
          <w:sz w:val="28"/>
          <w:szCs w:val="36"/>
          <w:highlight w:val="none"/>
        </w:rPr>
      </w:pPr>
      <w:r>
        <w:rPr>
          <w:rFonts w:hint="eastAsia" w:ascii="仿宋" w:hAnsi="仿宋" w:eastAsia="仿宋" w:cs="仿宋"/>
          <w:color w:val="auto"/>
          <w:sz w:val="28"/>
          <w:szCs w:val="36"/>
          <w:highlight w:val="none"/>
        </w:rPr>
        <w:t>杭州杭新固体废物处置有限公司：</w:t>
      </w:r>
    </w:p>
    <w:p>
      <w:pPr>
        <w:spacing w:line="360" w:lineRule="auto"/>
        <w:rPr>
          <w:rFonts w:ascii="仿宋" w:hAnsi="仿宋" w:eastAsia="仿宋" w:cs="仿宋"/>
          <w:color w:val="auto"/>
          <w:sz w:val="28"/>
          <w:szCs w:val="36"/>
          <w:highlight w:val="none"/>
        </w:rPr>
      </w:pPr>
      <w:r>
        <w:rPr>
          <w:rFonts w:hint="eastAsia" w:ascii="仿宋" w:hAnsi="仿宋" w:eastAsia="仿宋" w:cs="仿宋"/>
          <w:color w:val="auto"/>
          <w:sz w:val="28"/>
          <w:szCs w:val="36"/>
          <w:highlight w:val="none"/>
        </w:rPr>
        <w:t xml:space="preserve">   根据招标文件要求，我方已对</w:t>
      </w:r>
      <w:r>
        <w:rPr>
          <w:rFonts w:hint="eastAsia" w:ascii="仿宋" w:hAnsi="仿宋" w:eastAsia="仿宋" w:cs="仿宋"/>
          <w:color w:val="auto"/>
          <w:sz w:val="28"/>
          <w:szCs w:val="36"/>
          <w:highlight w:val="none"/>
          <w:u w:val="single"/>
        </w:rPr>
        <w:t xml:space="preserve"> 杭州杭新固体废物处置有限公司废气在线监测系统升级改造项目</w:t>
      </w:r>
      <w:r>
        <w:rPr>
          <w:rFonts w:hint="eastAsia" w:ascii="仿宋" w:hAnsi="仿宋" w:eastAsia="仿宋" w:cs="仿宋"/>
          <w:color w:val="auto"/>
          <w:sz w:val="28"/>
          <w:szCs w:val="36"/>
          <w:highlight w:val="none"/>
        </w:rPr>
        <w:t>现场进行实地踏勘，并获得投标所需要相关数据和资料：</w:t>
      </w:r>
    </w:p>
    <w:p>
      <w:pPr>
        <w:spacing w:line="360" w:lineRule="auto"/>
        <w:rPr>
          <w:rFonts w:ascii="仿宋" w:hAnsi="仿宋" w:eastAsia="仿宋" w:cs="仿宋"/>
          <w:color w:val="auto"/>
          <w:sz w:val="28"/>
          <w:szCs w:val="36"/>
          <w:highlight w:val="none"/>
        </w:rPr>
      </w:pPr>
      <w:r>
        <w:rPr>
          <w:rFonts w:hint="eastAsia" w:ascii="仿宋" w:hAnsi="仿宋" w:eastAsia="仿宋" w:cs="仿宋"/>
          <w:color w:val="auto"/>
          <w:sz w:val="28"/>
          <w:szCs w:val="36"/>
          <w:highlight w:val="none"/>
        </w:rPr>
        <w:t>经现场踏勘，我方对该项目场地现状已充分了解。</w:t>
      </w:r>
    </w:p>
    <w:p>
      <w:pPr>
        <w:spacing w:line="360" w:lineRule="auto"/>
        <w:rPr>
          <w:rFonts w:ascii="仿宋" w:hAnsi="仿宋" w:eastAsia="仿宋" w:cs="仿宋"/>
          <w:color w:val="auto"/>
          <w:sz w:val="28"/>
          <w:szCs w:val="36"/>
          <w:highlight w:val="none"/>
        </w:rPr>
      </w:pPr>
      <w:r>
        <w:rPr>
          <w:rFonts w:hint="eastAsia" w:ascii="仿宋" w:hAnsi="仿宋" w:eastAsia="仿宋" w:cs="仿宋"/>
          <w:color w:val="auto"/>
          <w:sz w:val="28"/>
          <w:szCs w:val="36"/>
          <w:highlight w:val="none"/>
        </w:rPr>
        <w:t>若我方中标，不会对场地现状提出异议，不以场地存在瑕疵为由拒绝签署项目合同书或履行所约定的各项义务。</w:t>
      </w:r>
    </w:p>
    <w:p>
      <w:pPr>
        <w:rPr>
          <w:rFonts w:ascii="仿宋" w:hAnsi="仿宋" w:eastAsia="仿宋" w:cs="仿宋"/>
          <w:color w:val="auto"/>
          <w:sz w:val="28"/>
          <w:szCs w:val="36"/>
          <w:highlight w:val="none"/>
        </w:rPr>
      </w:pPr>
    </w:p>
    <w:p>
      <w:pPr>
        <w:jc w:val="right"/>
        <w:rPr>
          <w:rFonts w:ascii="仿宋" w:hAnsi="仿宋" w:eastAsia="仿宋" w:cs="仿宋"/>
          <w:color w:val="auto"/>
          <w:sz w:val="28"/>
          <w:szCs w:val="36"/>
          <w:highlight w:val="none"/>
          <w:u w:val="single"/>
        </w:rPr>
      </w:pPr>
      <w:r>
        <w:rPr>
          <w:rFonts w:hint="eastAsia" w:ascii="仿宋" w:hAnsi="仿宋" w:eastAsia="仿宋" w:cs="仿宋"/>
          <w:color w:val="auto"/>
          <w:sz w:val="28"/>
          <w:szCs w:val="36"/>
          <w:highlight w:val="none"/>
        </w:rPr>
        <w:t>采购单位：</w:t>
      </w:r>
      <w:r>
        <w:rPr>
          <w:rFonts w:hint="eastAsia" w:ascii="仿宋" w:hAnsi="仿宋" w:eastAsia="仿宋" w:cs="仿宋"/>
          <w:color w:val="auto"/>
          <w:sz w:val="28"/>
          <w:szCs w:val="36"/>
          <w:highlight w:val="none"/>
          <w:u w:val="single"/>
        </w:rPr>
        <w:t xml:space="preserve">                     （签字或盖章）</w:t>
      </w:r>
    </w:p>
    <w:p>
      <w:pPr>
        <w:jc w:val="center"/>
        <w:rPr>
          <w:rFonts w:ascii="仿宋" w:hAnsi="仿宋" w:eastAsia="仿宋" w:cs="仿宋"/>
          <w:color w:val="auto"/>
          <w:sz w:val="28"/>
          <w:szCs w:val="36"/>
          <w:highlight w:val="none"/>
        </w:rPr>
      </w:pPr>
      <w:r>
        <w:rPr>
          <w:rFonts w:hint="eastAsia" w:ascii="仿宋" w:hAnsi="仿宋" w:eastAsia="仿宋" w:cs="仿宋"/>
          <w:color w:val="auto"/>
          <w:sz w:val="28"/>
          <w:szCs w:val="36"/>
          <w:highlight w:val="none"/>
        </w:rPr>
        <w:t xml:space="preserve">                            </w:t>
      </w:r>
    </w:p>
    <w:p>
      <w:pPr>
        <w:jc w:val="right"/>
        <w:rPr>
          <w:rFonts w:ascii="仿宋" w:hAnsi="仿宋" w:eastAsia="仿宋" w:cs="仿宋"/>
          <w:color w:val="auto"/>
          <w:sz w:val="28"/>
          <w:szCs w:val="36"/>
          <w:highlight w:val="none"/>
        </w:rPr>
      </w:pPr>
      <w:r>
        <w:rPr>
          <w:rFonts w:hint="eastAsia" w:ascii="仿宋" w:hAnsi="仿宋" w:eastAsia="仿宋" w:cs="仿宋"/>
          <w:color w:val="auto"/>
          <w:sz w:val="28"/>
          <w:szCs w:val="36"/>
          <w:highlight w:val="none"/>
        </w:rPr>
        <w:t>投标单位名称：</w:t>
      </w:r>
      <w:r>
        <w:rPr>
          <w:rFonts w:hint="eastAsia" w:ascii="仿宋" w:hAnsi="仿宋" w:eastAsia="仿宋" w:cs="仿宋"/>
          <w:color w:val="auto"/>
          <w:sz w:val="28"/>
          <w:szCs w:val="36"/>
          <w:highlight w:val="none"/>
          <w:u w:val="single"/>
        </w:rPr>
        <w:t xml:space="preserve">                       （盖章）</w:t>
      </w:r>
    </w:p>
    <w:p>
      <w:pPr>
        <w:jc w:val="right"/>
        <w:rPr>
          <w:rFonts w:ascii="仿宋" w:hAnsi="仿宋" w:eastAsia="仿宋" w:cs="仿宋"/>
          <w:color w:val="auto"/>
          <w:sz w:val="28"/>
          <w:szCs w:val="36"/>
          <w:highlight w:val="none"/>
        </w:rPr>
      </w:pPr>
    </w:p>
    <w:p>
      <w:pPr>
        <w:spacing w:line="360" w:lineRule="auto"/>
        <w:jc w:val="right"/>
        <w:rPr>
          <w:rFonts w:ascii="仿宋" w:hAnsi="仿宋" w:eastAsia="仿宋" w:cs="仿宋"/>
          <w:color w:val="auto"/>
          <w:sz w:val="28"/>
          <w:szCs w:val="36"/>
          <w:highlight w:val="none"/>
          <w:u w:val="single"/>
        </w:rPr>
      </w:pPr>
      <w:r>
        <w:rPr>
          <w:rFonts w:hint="eastAsia" w:ascii="仿宋" w:hAnsi="仿宋" w:eastAsia="仿宋" w:cs="仿宋"/>
          <w:color w:val="auto"/>
          <w:sz w:val="28"/>
          <w:szCs w:val="36"/>
          <w:highlight w:val="none"/>
        </w:rPr>
        <w:t>投标单位授权代表：</w:t>
      </w:r>
      <w:r>
        <w:rPr>
          <w:rFonts w:hint="eastAsia" w:ascii="仿宋" w:hAnsi="仿宋" w:eastAsia="仿宋" w:cs="仿宋"/>
          <w:color w:val="auto"/>
          <w:sz w:val="28"/>
          <w:szCs w:val="36"/>
          <w:highlight w:val="none"/>
          <w:u w:val="single"/>
        </w:rPr>
        <w:t xml:space="preserve">          （签字）</w:t>
      </w:r>
    </w:p>
    <w:p>
      <w:pPr>
        <w:pStyle w:val="2"/>
        <w:spacing w:before="159"/>
        <w:jc w:val="right"/>
        <w:rPr>
          <w:rFonts w:ascii="仿宋" w:hAnsi="仿宋" w:eastAsia="仿宋" w:cs="仿宋"/>
          <w:color w:val="auto"/>
          <w:highlight w:val="none"/>
        </w:rPr>
      </w:pPr>
      <w:r>
        <w:rPr>
          <w:rFonts w:hint="eastAsia" w:ascii="仿宋" w:hAnsi="仿宋" w:eastAsia="仿宋" w:cs="仿宋"/>
          <w:color w:val="auto"/>
          <w:sz w:val="28"/>
          <w:szCs w:val="36"/>
          <w:highlight w:val="none"/>
        </w:rPr>
        <w:t>踏勘日期：2024年  月  日</w:t>
      </w:r>
    </w:p>
    <w:sectPr>
      <w:headerReference r:id="rId9" w:type="default"/>
      <w:footerReference r:id="rId10" w:type="default"/>
      <w:pgSz w:w="11906" w:h="16838"/>
      <w:pgMar w:top="1247" w:right="1247" w:bottom="1559" w:left="1247" w:header="851" w:footer="850" w:gutter="17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Helv">
    <w:altName w:val="Segoe Print"/>
    <w:panose1 w:val="020B0604020202030204"/>
    <w:charset w:val="00"/>
    <w:family w:val="swiss"/>
    <w:pitch w:val="default"/>
    <w:sig w:usb0="00000000" w:usb1="00000000" w:usb2="00000000" w:usb3="00000000" w:csb0="00000001" w:csb1="00000000"/>
  </w:font>
  <w:font w:name="Myriad Pro">
    <w:altName w:val="DejaVu Math TeX Gyre"/>
    <w:panose1 w:val="00000000000000000000"/>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entury">
    <w:panose1 w:val="02040604050505020304"/>
    <w:charset w:val="00"/>
    <w:family w:val="roman"/>
    <w:pitch w:val="default"/>
    <w:sig w:usb0="00000287" w:usb1="00000000" w:usb2="00000000" w:usb3="00000000" w:csb0="2000009F" w:csb1="DFD70000"/>
  </w:font>
  <w:font w:name="Wingdings-Regular">
    <w:altName w:val="Courier New"/>
    <w:panose1 w:val="00000000000000000000"/>
    <w:charset w:val="02"/>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rPr>
        <w:rFonts w:hint="eastAsia"/>
      </w:rPr>
      <w:t>浙江建安工程管理有限公司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szCs w:val="32"/>
      </w:rPr>
    </w:pPr>
    <w:r>
      <w:rPr>
        <w:rStyle w:val="52"/>
        <w:szCs w:val="32"/>
      </w:rPr>
      <w:fldChar w:fldCharType="begin"/>
    </w:r>
    <w:r>
      <w:rPr>
        <w:rStyle w:val="52"/>
        <w:szCs w:val="32"/>
      </w:rPr>
      <w:instrText xml:space="preserve">PAGE  </w:instrText>
    </w:r>
    <w:r>
      <w:rPr>
        <w:rStyle w:val="52"/>
        <w:szCs w:val="32"/>
      </w:rP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rPr>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F3109"/>
    <w:multiLevelType w:val="singleLevel"/>
    <w:tmpl w:val="D0FF3109"/>
    <w:lvl w:ilvl="0" w:tentative="0">
      <w:start w:val="3"/>
      <w:numFmt w:val="chineseCounting"/>
      <w:suff w:val="nothing"/>
      <w:lvlText w:val="%1、"/>
      <w:lvlJc w:val="left"/>
      <w:rPr>
        <w:rFonts w:hint="eastAsia" w:cs="Times New Roman"/>
      </w:rPr>
    </w:lvl>
  </w:abstractNum>
  <w:abstractNum w:abstractNumId="1">
    <w:nsid w:val="0000000B"/>
    <w:multiLevelType w:val="multilevel"/>
    <w:tmpl w:val="0000000B"/>
    <w:lvl w:ilvl="0" w:tentative="0">
      <w:start w:val="1"/>
      <w:numFmt w:val="decimal"/>
      <w:pStyle w:val="3"/>
      <w:isLgl/>
      <w:lvlText w:val="%1."/>
      <w:lvlJc w:val="left"/>
      <w:pPr>
        <w:tabs>
          <w:tab w:val="left" w:pos="360"/>
        </w:tabs>
      </w:pPr>
      <w:rPr>
        <w:rFonts w:hint="default" w:ascii="Arial" w:hAnsi="Arial" w:cs="Times New Roman"/>
        <w:b/>
        <w:i w:val="0"/>
        <w:sz w:val="32"/>
      </w:rPr>
    </w:lvl>
    <w:lvl w:ilvl="1" w:tentative="0">
      <w:start w:val="1"/>
      <w:numFmt w:val="decimal"/>
      <w:pStyle w:val="4"/>
      <w:lvlText w:val="%1.%2."/>
      <w:lvlJc w:val="left"/>
      <w:pPr>
        <w:tabs>
          <w:tab w:val="left" w:pos="720"/>
        </w:tabs>
        <w:ind w:left="567" w:hanging="567"/>
      </w:pPr>
      <w:rPr>
        <w:rFonts w:hint="eastAsia" w:cs="Times New Roman"/>
      </w:rPr>
    </w:lvl>
    <w:lvl w:ilvl="2" w:tentative="0">
      <w:start w:val="1"/>
      <w:numFmt w:val="decimal"/>
      <w:pStyle w:val="5"/>
      <w:lvlText w:val="%1.%2.%3."/>
      <w:lvlJc w:val="left"/>
      <w:pPr>
        <w:tabs>
          <w:tab w:val="left" w:pos="709"/>
        </w:tabs>
        <w:ind w:left="56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0000000C"/>
    <w:multiLevelType w:val="multilevel"/>
    <w:tmpl w:val="0000000C"/>
    <w:lvl w:ilvl="0" w:tentative="0">
      <w:start w:val="1"/>
      <w:numFmt w:val="japaneseCounting"/>
      <w:lvlText w:val="〈%1〉"/>
      <w:lvlJc w:val="left"/>
      <w:pPr>
        <w:tabs>
          <w:tab w:val="left" w:pos="1425"/>
        </w:tabs>
        <w:ind w:left="1485" w:hanging="855"/>
      </w:pPr>
      <w:rPr>
        <w:rFonts w:hint="default" w:cs="Times New Roman"/>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3">
    <w:nsid w:val="0000000D"/>
    <w:multiLevelType w:val="singleLevel"/>
    <w:tmpl w:val="0000000D"/>
    <w:lvl w:ilvl="0" w:tentative="0">
      <w:start w:val="1"/>
      <w:numFmt w:val="bullet"/>
      <w:pStyle w:val="186"/>
      <w:lvlText w:val=""/>
      <w:lvlJc w:val="left"/>
      <w:pPr>
        <w:tabs>
          <w:tab w:val="left" w:pos="360"/>
        </w:tabs>
        <w:ind w:left="360" w:hanging="360"/>
      </w:pPr>
      <w:rPr>
        <w:rFonts w:hint="default" w:ascii="Symbol" w:hAnsi="Symbol"/>
      </w:rPr>
    </w:lvl>
  </w:abstractNum>
  <w:abstractNum w:abstractNumId="4">
    <w:nsid w:val="0000000E"/>
    <w:multiLevelType w:val="multilevel"/>
    <w:tmpl w:val="0000000E"/>
    <w:lvl w:ilvl="0" w:tentative="0">
      <w:start w:val="1"/>
      <w:numFmt w:val="bullet"/>
      <w:pStyle w:val="27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0"/>
    <w:multiLevelType w:val="singleLevel"/>
    <w:tmpl w:val="00000010"/>
    <w:lvl w:ilvl="0" w:tentative="0">
      <w:start w:val="1"/>
      <w:numFmt w:val="bullet"/>
      <w:pStyle w:val="146"/>
      <w:lvlText w:val=""/>
      <w:lvlJc w:val="left"/>
      <w:pPr>
        <w:tabs>
          <w:tab w:val="left" w:pos="360"/>
        </w:tabs>
        <w:ind w:left="360" w:hanging="360"/>
      </w:pPr>
      <w:rPr>
        <w:rFonts w:hint="default" w:ascii="Wingdings" w:hAnsi="Wingdings"/>
      </w:rPr>
    </w:lvl>
  </w:abstractNum>
  <w:abstractNum w:abstractNumId="6">
    <w:nsid w:val="00000011"/>
    <w:multiLevelType w:val="multilevel"/>
    <w:tmpl w:val="00000011"/>
    <w:lvl w:ilvl="0" w:tentative="0">
      <w:start w:val="1"/>
      <w:numFmt w:val="chineseCountingThousand"/>
      <w:lvlText w:val="%1. "/>
      <w:legacy w:legacy="1" w:legacySpace="0" w:legacyIndent="0"/>
      <w:lvlJc w:val="left"/>
      <w:rPr>
        <w:rFonts w:cs="Times New Roman"/>
        <w:sz w:val="32"/>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pStyle w:val="9"/>
      <w:suff w:val="nothing"/>
      <w:lvlText w:val=""/>
      <w:lvlJc w:val="left"/>
      <w:rPr>
        <w:rFonts w:cs="Times New Roman"/>
      </w:rPr>
    </w:lvl>
    <w:lvl w:ilvl="7" w:tentative="0">
      <w:start w:val="1"/>
      <w:numFmt w:val="none"/>
      <w:pStyle w:val="10"/>
      <w:suff w:val="nothing"/>
      <w:lvlText w:val=""/>
      <w:lvlJc w:val="left"/>
      <w:rPr>
        <w:rFonts w:cs="Times New Roman"/>
      </w:rPr>
    </w:lvl>
    <w:lvl w:ilvl="8" w:tentative="0">
      <w:start w:val="1"/>
      <w:numFmt w:val="none"/>
      <w:pStyle w:val="11"/>
      <w:suff w:val="nothing"/>
      <w:lvlText w:val=""/>
      <w:lvlJc w:val="left"/>
      <w:rPr>
        <w:rFonts w:cs="Times New Roman"/>
      </w:rPr>
    </w:lvl>
  </w:abstractNum>
  <w:abstractNum w:abstractNumId="7">
    <w:nsid w:val="00000012"/>
    <w:multiLevelType w:val="multilevel"/>
    <w:tmpl w:val="00000012"/>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208"/>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8">
    <w:nsid w:val="00000013"/>
    <w:multiLevelType w:val="multilevel"/>
    <w:tmpl w:val="00000013"/>
    <w:lvl w:ilvl="0" w:tentative="0">
      <w:start w:val="4"/>
      <w:numFmt w:val="decimal"/>
      <w:lvlText w:val="%1．"/>
      <w:lvlJc w:val="left"/>
      <w:pPr>
        <w:tabs>
          <w:tab w:val="left" w:pos="360"/>
        </w:tabs>
        <w:ind w:left="360" w:hanging="360"/>
      </w:pPr>
      <w:rPr>
        <w:rFonts w:hint="eastAsia"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cs="Times New Roman"/>
      </w:rPr>
    </w:lvl>
    <w:lvl w:ilvl="4" w:tentative="0">
      <w:start w:val="1"/>
      <w:numFmt w:val="decimal"/>
      <w:pStyle w:val="190"/>
      <w:lvlText w:val="%5．"/>
      <w:lvlJc w:val="left"/>
      <w:pPr>
        <w:tabs>
          <w:tab w:val="left" w:pos="2040"/>
        </w:tabs>
        <w:ind w:left="2040" w:hanging="360"/>
      </w:pPr>
      <w:rPr>
        <w:rFonts w:hint="eastAsia" w:cs="Times New Roman"/>
      </w:rPr>
    </w:lvl>
    <w:lvl w:ilvl="5" w:tentative="0">
      <w:start w:val="1"/>
      <w:numFmt w:val="lowerRoman"/>
      <w:pStyle w:val="201"/>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14"/>
    <w:multiLevelType w:val="multilevel"/>
    <w:tmpl w:val="00000014"/>
    <w:lvl w:ilvl="0" w:tentative="0">
      <w:start w:val="1"/>
      <w:numFmt w:val="decimal"/>
      <w:pStyle w:val="172"/>
      <w:suff w:val="nothing"/>
      <w:lvlText w:val="%1."/>
      <w:lvlJc w:val="left"/>
      <w:rPr>
        <w:rFonts w:hint="eastAsia" w:cs="Times New Roman"/>
        <w:b/>
        <w:i w:val="0"/>
        <w:sz w:val="32"/>
        <w:szCs w:val="32"/>
      </w:rPr>
    </w:lvl>
    <w:lvl w:ilvl="1" w:tentative="0">
      <w:start w:val="0"/>
      <w:numFmt w:val="decimal"/>
      <w:pStyle w:val="182"/>
      <w:suff w:val="nothing"/>
      <w:lvlText w:val="%1.%2."/>
      <w:lvlJc w:val="left"/>
      <w:pPr>
        <w:ind w:left="380" w:hanging="380"/>
      </w:pPr>
      <w:rPr>
        <w:rFonts w:hint="eastAsia" w:cs="Times New Roman"/>
        <w:b/>
        <w:i w:val="0"/>
        <w:sz w:val="28"/>
        <w:szCs w:val="28"/>
      </w:rPr>
    </w:lvl>
    <w:lvl w:ilvl="2" w:tentative="0">
      <w:start w:val="1"/>
      <w:numFmt w:val="decimal"/>
      <w:pStyle w:val="260"/>
      <w:suff w:val="nothing"/>
      <w:lvlText w:val="%1.%2.%3."/>
      <w:lvlJc w:val="left"/>
      <w:rPr>
        <w:rFonts w:hint="eastAsia" w:cs="Times New Roman"/>
        <w:b/>
        <w:i w:val="0"/>
        <w:sz w:val="24"/>
        <w:szCs w:val="24"/>
      </w:rPr>
    </w:lvl>
    <w:lvl w:ilvl="3" w:tentative="0">
      <w:start w:val="1"/>
      <w:numFmt w:val="decimal"/>
      <w:suff w:val="nothing"/>
      <w:lvlText w:val="%1.%2.%3.%4."/>
      <w:lvlJc w:val="left"/>
      <w:rPr>
        <w:rFonts w:hint="eastAsia" w:cs="Times New Roman"/>
        <w:b/>
        <w:i w:val="0"/>
        <w:sz w:val="21"/>
        <w:szCs w:val="21"/>
      </w:rPr>
    </w:lvl>
    <w:lvl w:ilvl="4" w:tentative="0">
      <w:start w:val="1"/>
      <w:numFmt w:val="decimal"/>
      <w:lvlText w:val="%1.%2.%3.%4.%5."/>
      <w:lvlJc w:val="left"/>
      <w:pPr>
        <w:tabs>
          <w:tab w:val="left" w:pos="9067"/>
        </w:tabs>
        <w:ind w:left="9067" w:hanging="992"/>
      </w:pPr>
      <w:rPr>
        <w:rFonts w:hint="eastAsia" w:cs="Times New Roman"/>
      </w:rPr>
    </w:lvl>
    <w:lvl w:ilvl="5" w:tentative="0">
      <w:start w:val="1"/>
      <w:numFmt w:val="decimal"/>
      <w:lvlText w:val="%1.%2.%3.%4.%5.%6."/>
      <w:lvlJc w:val="left"/>
      <w:pPr>
        <w:tabs>
          <w:tab w:val="left" w:pos="9209"/>
        </w:tabs>
        <w:ind w:left="9209" w:hanging="1134"/>
      </w:pPr>
      <w:rPr>
        <w:rFonts w:hint="eastAsia" w:cs="Times New Roman"/>
      </w:rPr>
    </w:lvl>
    <w:lvl w:ilvl="6" w:tentative="0">
      <w:start w:val="1"/>
      <w:numFmt w:val="decimal"/>
      <w:lvlText w:val="%1.%2.%3.%4.%5.%6.%7."/>
      <w:lvlJc w:val="left"/>
      <w:pPr>
        <w:tabs>
          <w:tab w:val="left" w:pos="9351"/>
        </w:tabs>
        <w:ind w:left="9351" w:hanging="1276"/>
      </w:pPr>
      <w:rPr>
        <w:rFonts w:hint="eastAsia" w:cs="Times New Roman"/>
      </w:rPr>
    </w:lvl>
    <w:lvl w:ilvl="7" w:tentative="0">
      <w:start w:val="1"/>
      <w:numFmt w:val="decimal"/>
      <w:lvlText w:val="%1.%2.%3.%4.%5.%6.%7.%8."/>
      <w:lvlJc w:val="left"/>
      <w:pPr>
        <w:tabs>
          <w:tab w:val="left" w:pos="9493"/>
        </w:tabs>
        <w:ind w:left="9493" w:hanging="1418"/>
      </w:pPr>
      <w:rPr>
        <w:rFonts w:hint="eastAsia" w:cs="Times New Roman"/>
      </w:rPr>
    </w:lvl>
    <w:lvl w:ilvl="8" w:tentative="0">
      <w:start w:val="1"/>
      <w:numFmt w:val="decimal"/>
      <w:lvlText w:val="%1.%2.%3.%4.%5.%6.%7.%8.%9."/>
      <w:lvlJc w:val="left"/>
      <w:pPr>
        <w:tabs>
          <w:tab w:val="left" w:pos="9634"/>
        </w:tabs>
        <w:ind w:left="9634" w:hanging="1559"/>
      </w:pPr>
      <w:rPr>
        <w:rFonts w:hint="eastAsia" w:cs="Times New Roman"/>
      </w:rPr>
    </w:lvl>
  </w:abstractNum>
  <w:abstractNum w:abstractNumId="10">
    <w:nsid w:val="0667461E"/>
    <w:multiLevelType w:val="multilevel"/>
    <w:tmpl w:val="0667461E"/>
    <w:lvl w:ilvl="0" w:tentative="0">
      <w:start w:val="1"/>
      <w:numFmt w:val="chineseCountingThousand"/>
      <w:pStyle w:val="328"/>
      <w:suff w:val="space"/>
      <w:lvlText w:val="第%1章"/>
      <w:lvlJc w:val="left"/>
      <w:pPr>
        <w:ind w:left="0" w:firstLine="0"/>
      </w:pPr>
      <w:rPr>
        <w:rFonts w:hint="default" w:ascii="Times New Roman" w:hAnsi="Times New Roman" w:eastAsia="宋体"/>
        <w:b/>
        <w:i w:val="0"/>
        <w:sz w:val="36"/>
      </w:rPr>
    </w:lvl>
    <w:lvl w:ilvl="1" w:tentative="0">
      <w:start w:val="1"/>
      <w:numFmt w:val="decimal"/>
      <w:pStyle w:val="322"/>
      <w:isLgl/>
      <w:suff w:val="space"/>
      <w:lvlText w:val="%1.%2"/>
      <w:lvlJc w:val="left"/>
      <w:pPr>
        <w:ind w:left="0" w:firstLine="0"/>
      </w:pPr>
      <w:rPr>
        <w:rFonts w:hint="default" w:ascii="Times New Roman" w:hAnsi="Times New Roman"/>
        <w:b/>
        <w:i w:val="0"/>
        <w:sz w:val="32"/>
      </w:rPr>
    </w:lvl>
    <w:lvl w:ilvl="2" w:tentative="0">
      <w:start w:val="1"/>
      <w:numFmt w:val="decimal"/>
      <w:pStyle w:val="323"/>
      <w:isLgl/>
      <w:suff w:val="space"/>
      <w:lvlText w:val="%1.%2.%3"/>
      <w:lvlJc w:val="left"/>
      <w:pPr>
        <w:ind w:left="0" w:firstLine="0"/>
      </w:pPr>
      <w:rPr>
        <w:rFonts w:hint="default" w:ascii="Times New Roman" w:hAnsi="Times New Roman"/>
        <w:b/>
        <w:i w:val="0"/>
        <w:color w:val="auto"/>
        <w:sz w:val="30"/>
      </w:rPr>
    </w:lvl>
    <w:lvl w:ilvl="3" w:tentative="0">
      <w:start w:val="1"/>
      <w:numFmt w:val="decimal"/>
      <w:pStyle w:val="324"/>
      <w:isLgl/>
      <w:suff w:val="space"/>
      <w:lvlText w:val="%1.%2.%3.%4"/>
      <w:lvlJc w:val="left"/>
      <w:pPr>
        <w:ind w:left="0" w:firstLine="0"/>
      </w:pPr>
      <w:rPr>
        <w:rFonts w:hint="default" w:ascii="Times New Roman" w:hAnsi="Times New Roman"/>
        <w:b/>
        <w:i w:val="0"/>
        <w:sz w:val="28"/>
      </w:rPr>
    </w:lvl>
    <w:lvl w:ilvl="4" w:tentative="0">
      <w:start w:val="1"/>
      <w:numFmt w:val="decimal"/>
      <w:pStyle w:val="325"/>
      <w:isLgl/>
      <w:suff w:val="space"/>
      <w:lvlText w:val="%1.%2.%3.%4.%5"/>
      <w:lvlJc w:val="left"/>
      <w:pPr>
        <w:ind w:left="0" w:firstLine="0"/>
      </w:pPr>
      <w:rPr>
        <w:rFonts w:hint="default" w:ascii="Times New Roman" w:hAnsi="Times New Roman"/>
        <w:b/>
        <w:i w:val="0"/>
        <w:sz w:val="24"/>
      </w:rPr>
    </w:lvl>
    <w:lvl w:ilvl="5" w:tentative="0">
      <w:start w:val="1"/>
      <w:numFmt w:val="decimal"/>
      <w:isLgl/>
      <w:suff w:val="space"/>
      <w:lvlText w:val="%1.%2.%3.%4.%5.%6"/>
      <w:lvlJc w:val="left"/>
      <w:pPr>
        <w:ind w:left="0" w:firstLine="0"/>
      </w:pPr>
      <w:rPr>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default" w:ascii="Times New Roman" w:hAnsi="Times New Roman"/>
        <w:b/>
        <w:i w:val="0"/>
        <w:sz w:val="24"/>
      </w:rPr>
    </w:lvl>
    <w:lvl w:ilvl="7" w:tentative="0">
      <w:start w:val="1"/>
      <w:numFmt w:val="decimal"/>
      <w:isLgl/>
      <w:suff w:val="space"/>
      <w:lvlText w:val="%1.%2.%3.%4.%5.%6.%7.%8"/>
      <w:lvlJc w:val="left"/>
      <w:pPr>
        <w:ind w:left="0" w:firstLine="0"/>
      </w:pPr>
      <w:rPr>
        <w:rFonts w:hint="default" w:ascii="Times New Roman" w:hAnsi="Times New Roman"/>
        <w:b/>
        <w:i w:val="0"/>
        <w:sz w:val="24"/>
      </w:rPr>
    </w:lvl>
    <w:lvl w:ilvl="8" w:tentative="0">
      <w:start w:val="1"/>
      <w:numFmt w:val="decimal"/>
      <w:isLgl/>
      <w:suff w:val="space"/>
      <w:lvlText w:val="%1.%2.%3.%4.%5.%6.%7.%8.%9"/>
      <w:lvlJc w:val="left"/>
      <w:pPr>
        <w:ind w:left="0" w:firstLine="0"/>
      </w:pPr>
      <w:rPr>
        <w:rFonts w:hint="default" w:ascii="Times New Roman" w:hAnsi="Times New Roman"/>
        <w:b/>
        <w:i w:val="0"/>
        <w:sz w:val="24"/>
      </w:rPr>
    </w:lvl>
  </w:abstractNum>
  <w:abstractNum w:abstractNumId="11">
    <w:nsid w:val="3C19EAE1"/>
    <w:multiLevelType w:val="singleLevel"/>
    <w:tmpl w:val="3C19EAE1"/>
    <w:lvl w:ilvl="0" w:tentative="0">
      <w:start w:val="9"/>
      <w:numFmt w:val="chineseCounting"/>
      <w:suff w:val="space"/>
      <w:lvlText w:val="第%1章"/>
      <w:lvlJc w:val="left"/>
      <w:rPr>
        <w:rFonts w:hint="eastAsia"/>
      </w:rPr>
    </w:lvl>
  </w:abstractNum>
  <w:abstractNum w:abstractNumId="12">
    <w:nsid w:val="4C34E433"/>
    <w:multiLevelType w:val="singleLevel"/>
    <w:tmpl w:val="4C34E433"/>
    <w:lvl w:ilvl="0" w:tentative="0">
      <w:start w:val="4"/>
      <w:numFmt w:val="chineseCounting"/>
      <w:suff w:val="space"/>
      <w:lvlText w:val="第%1章"/>
      <w:lvlJc w:val="left"/>
      <w:rPr>
        <w:rFonts w:hint="eastAsia"/>
      </w:rPr>
    </w:lvl>
  </w:abstractNum>
  <w:abstractNum w:abstractNumId="13">
    <w:nsid w:val="4CA75A52"/>
    <w:multiLevelType w:val="multilevel"/>
    <w:tmpl w:val="4CA75A52"/>
    <w:lvl w:ilvl="0" w:tentative="0">
      <w:start w:val="1"/>
      <w:numFmt w:val="decimal"/>
      <w:pStyle w:val="331"/>
      <w:lvlText w:val="%1)"/>
      <w:lvlJc w:val="left"/>
      <w:pPr>
        <w:ind w:left="840" w:hanging="42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4">
    <w:nsid w:val="56013031"/>
    <w:multiLevelType w:val="multilevel"/>
    <w:tmpl w:val="56013031"/>
    <w:lvl w:ilvl="0" w:tentative="0">
      <w:start w:val="1"/>
      <w:numFmt w:val="bullet"/>
      <w:lvlText w:val="◇"/>
      <w:lvlJc w:val="left"/>
      <w:pPr>
        <w:tabs>
          <w:tab w:val="left" w:pos="1500"/>
        </w:tabs>
        <w:ind w:left="1500" w:hanging="600"/>
      </w:pPr>
      <w:rPr>
        <w:rFonts w:hint="eastAsia" w:ascii="宋体" w:hAnsi="宋体" w:eastAsia="宋体" w:cs="Times New Roman"/>
      </w:rPr>
    </w:lvl>
    <w:lvl w:ilvl="1" w:tentative="0">
      <w:start w:val="1"/>
      <w:numFmt w:val="bullet"/>
      <w:lvlText w:val=""/>
      <w:lvlJc w:val="left"/>
      <w:pPr>
        <w:tabs>
          <w:tab w:val="left" w:pos="1020"/>
        </w:tabs>
        <w:ind w:left="1020" w:hanging="420"/>
      </w:pPr>
      <w:rPr>
        <w:rFonts w:hint="default" w:ascii="Wingdings" w:hAnsi="Wingdings"/>
      </w:rPr>
    </w:lvl>
    <w:lvl w:ilvl="2" w:tentative="0">
      <w:start w:val="1"/>
      <w:numFmt w:val="bullet"/>
      <w:lvlText w:val=""/>
      <w:lvlJc w:val="left"/>
      <w:pPr>
        <w:tabs>
          <w:tab w:val="left" w:pos="1440"/>
        </w:tabs>
        <w:ind w:left="1440" w:hanging="420"/>
      </w:pPr>
      <w:rPr>
        <w:rFonts w:hint="default" w:ascii="Wingdings" w:hAnsi="Wingdings"/>
      </w:rPr>
    </w:lvl>
    <w:lvl w:ilvl="3" w:tentative="0">
      <w:start w:val="1"/>
      <w:numFmt w:val="bullet"/>
      <w:lvlText w:val=""/>
      <w:lvlJc w:val="left"/>
      <w:pPr>
        <w:tabs>
          <w:tab w:val="left" w:pos="1860"/>
        </w:tabs>
        <w:ind w:left="1860" w:hanging="420"/>
      </w:pPr>
      <w:rPr>
        <w:rFonts w:hint="default" w:ascii="Wingdings" w:hAnsi="Wingdings"/>
      </w:rPr>
    </w:lvl>
    <w:lvl w:ilvl="4" w:tentative="0">
      <w:start w:val="1"/>
      <w:numFmt w:val="bullet"/>
      <w:lvlText w:val=""/>
      <w:lvlJc w:val="left"/>
      <w:pPr>
        <w:tabs>
          <w:tab w:val="left" w:pos="2280"/>
        </w:tabs>
        <w:ind w:left="2280" w:hanging="420"/>
      </w:pPr>
      <w:rPr>
        <w:rFonts w:hint="default" w:ascii="Wingdings" w:hAnsi="Wingdings"/>
      </w:rPr>
    </w:lvl>
    <w:lvl w:ilvl="5" w:tentative="0">
      <w:start w:val="1"/>
      <w:numFmt w:val="bullet"/>
      <w:lvlText w:val=""/>
      <w:lvlJc w:val="left"/>
      <w:pPr>
        <w:tabs>
          <w:tab w:val="left" w:pos="2700"/>
        </w:tabs>
        <w:ind w:left="2700" w:hanging="420"/>
      </w:pPr>
      <w:rPr>
        <w:rFonts w:hint="default" w:ascii="Wingdings" w:hAnsi="Wingdings"/>
      </w:rPr>
    </w:lvl>
    <w:lvl w:ilvl="6" w:tentative="0">
      <w:start w:val="1"/>
      <w:numFmt w:val="bullet"/>
      <w:lvlText w:val=""/>
      <w:lvlJc w:val="left"/>
      <w:pPr>
        <w:tabs>
          <w:tab w:val="left" w:pos="3120"/>
        </w:tabs>
        <w:ind w:left="3120" w:hanging="420"/>
      </w:pPr>
      <w:rPr>
        <w:rFonts w:hint="default" w:ascii="Wingdings" w:hAnsi="Wingdings"/>
      </w:rPr>
    </w:lvl>
    <w:lvl w:ilvl="7" w:tentative="0">
      <w:start w:val="1"/>
      <w:numFmt w:val="bullet"/>
      <w:lvlText w:val=""/>
      <w:lvlJc w:val="left"/>
      <w:pPr>
        <w:tabs>
          <w:tab w:val="left" w:pos="3540"/>
        </w:tabs>
        <w:ind w:left="3540" w:hanging="420"/>
      </w:pPr>
      <w:rPr>
        <w:rFonts w:hint="default" w:ascii="Wingdings" w:hAnsi="Wingdings"/>
      </w:rPr>
    </w:lvl>
    <w:lvl w:ilvl="8" w:tentative="0">
      <w:start w:val="1"/>
      <w:numFmt w:val="bullet"/>
      <w:lvlText w:val=""/>
      <w:lvlJc w:val="left"/>
      <w:pPr>
        <w:tabs>
          <w:tab w:val="left" w:pos="3960"/>
        </w:tabs>
        <w:ind w:left="3960" w:hanging="420"/>
      </w:pPr>
      <w:rPr>
        <w:rFonts w:hint="default" w:ascii="Wingdings" w:hAnsi="Wingdings"/>
      </w:rPr>
    </w:lvl>
  </w:abstractNum>
  <w:abstractNum w:abstractNumId="15">
    <w:nsid w:val="6C8866FF"/>
    <w:multiLevelType w:val="multilevel"/>
    <w:tmpl w:val="6C8866FF"/>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6">
    <w:nsid w:val="73280354"/>
    <w:multiLevelType w:val="multilevel"/>
    <w:tmpl w:val="73280354"/>
    <w:lvl w:ilvl="0" w:tentative="0">
      <w:start w:val="1"/>
      <w:numFmt w:val="japaneseCounting"/>
      <w:lvlText w:val="%1、"/>
      <w:lvlJc w:val="left"/>
      <w:pPr>
        <w:ind w:left="360" w:hanging="360"/>
      </w:pPr>
      <w:rPr>
        <w:rFonts w:hint="eastAsia" w:cs="Times New Roman"/>
      </w:rPr>
    </w:lvl>
    <w:lvl w:ilvl="1" w:tentative="0">
      <w:start w:val="1"/>
      <w:numFmt w:val="lowerLetter"/>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lowerLetter"/>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lowerLetter"/>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17">
    <w:nsid w:val="74134AE0"/>
    <w:multiLevelType w:val="multilevel"/>
    <w:tmpl w:val="74134AE0"/>
    <w:lvl w:ilvl="0" w:tentative="0">
      <w:start w:val="0"/>
      <w:numFmt w:val="bullet"/>
      <w:lvlText w:val="★"/>
      <w:lvlJc w:val="left"/>
      <w:pPr>
        <w:ind w:left="840" w:hanging="360"/>
      </w:pPr>
      <w:rPr>
        <w:rFonts w:hint="eastAsia" w:ascii="宋体" w:hAnsi="宋体" w:eastAsia="宋体" w:cs="宋体"/>
        <w:color w:val="auto"/>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num w:numId="1">
    <w:abstractNumId w:val="1"/>
  </w:num>
  <w:num w:numId="2">
    <w:abstractNumId w:val="6"/>
  </w:num>
  <w:num w:numId="3">
    <w:abstractNumId w:val="5"/>
  </w:num>
  <w:num w:numId="4">
    <w:abstractNumId w:val="9"/>
  </w:num>
  <w:num w:numId="5">
    <w:abstractNumId w:val="3"/>
  </w:num>
  <w:num w:numId="6">
    <w:abstractNumId w:val="8"/>
  </w:num>
  <w:num w:numId="7">
    <w:abstractNumId w:val="7"/>
  </w:num>
  <w:num w:numId="8">
    <w:abstractNumId w:val="4"/>
  </w:num>
  <w:num w:numId="9">
    <w:abstractNumId w:val="10"/>
  </w:num>
  <w:num w:numId="10">
    <w:abstractNumId w:val="13"/>
  </w:num>
  <w:num w:numId="11">
    <w:abstractNumId w:val="0"/>
  </w:num>
  <w:num w:numId="12">
    <w:abstractNumId w:val="2"/>
  </w:num>
  <w:num w:numId="13">
    <w:abstractNumId w:val="12"/>
  </w:num>
  <w:num w:numId="14">
    <w:abstractNumId w:val="15"/>
  </w:num>
  <w:num w:numId="15">
    <w:abstractNumId w:val="17"/>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hideSpellingErrors/>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YmMxMzc0YzRjMmQ5MTJhNWFjMGQyNDI2Y2ZmYjMifQ=="/>
  </w:docVars>
  <w:rsids>
    <w:rsidRoot w:val="00172A27"/>
    <w:rsid w:val="0000196F"/>
    <w:rsid w:val="00002507"/>
    <w:rsid w:val="00016044"/>
    <w:rsid w:val="00026261"/>
    <w:rsid w:val="00030D9E"/>
    <w:rsid w:val="00037133"/>
    <w:rsid w:val="00037B1C"/>
    <w:rsid w:val="00040AD8"/>
    <w:rsid w:val="00056A50"/>
    <w:rsid w:val="00062475"/>
    <w:rsid w:val="00065EF9"/>
    <w:rsid w:val="0007014B"/>
    <w:rsid w:val="0007028A"/>
    <w:rsid w:val="00070E81"/>
    <w:rsid w:val="00071626"/>
    <w:rsid w:val="000734F7"/>
    <w:rsid w:val="00074E59"/>
    <w:rsid w:val="00075829"/>
    <w:rsid w:val="00076446"/>
    <w:rsid w:val="000828A1"/>
    <w:rsid w:val="00095DEC"/>
    <w:rsid w:val="000A0496"/>
    <w:rsid w:val="000A0A62"/>
    <w:rsid w:val="000A1971"/>
    <w:rsid w:val="000A299F"/>
    <w:rsid w:val="000A420F"/>
    <w:rsid w:val="000A4F4F"/>
    <w:rsid w:val="000A59B2"/>
    <w:rsid w:val="000A6482"/>
    <w:rsid w:val="000B21DC"/>
    <w:rsid w:val="000B5ECD"/>
    <w:rsid w:val="000B6999"/>
    <w:rsid w:val="000C537B"/>
    <w:rsid w:val="000C5801"/>
    <w:rsid w:val="000C69BE"/>
    <w:rsid w:val="000D376A"/>
    <w:rsid w:val="000D4997"/>
    <w:rsid w:val="000E1C44"/>
    <w:rsid w:val="000E7D53"/>
    <w:rsid w:val="000F660F"/>
    <w:rsid w:val="00100279"/>
    <w:rsid w:val="00105984"/>
    <w:rsid w:val="00110D76"/>
    <w:rsid w:val="00110F1F"/>
    <w:rsid w:val="0012209B"/>
    <w:rsid w:val="0012429A"/>
    <w:rsid w:val="00124361"/>
    <w:rsid w:val="0013459B"/>
    <w:rsid w:val="00136A3B"/>
    <w:rsid w:val="00140D90"/>
    <w:rsid w:val="00141324"/>
    <w:rsid w:val="001416C1"/>
    <w:rsid w:val="00147C80"/>
    <w:rsid w:val="00151AFB"/>
    <w:rsid w:val="001538C5"/>
    <w:rsid w:val="001573CF"/>
    <w:rsid w:val="001679CF"/>
    <w:rsid w:val="00171AF3"/>
    <w:rsid w:val="00172A27"/>
    <w:rsid w:val="001735B1"/>
    <w:rsid w:val="00173804"/>
    <w:rsid w:val="00180864"/>
    <w:rsid w:val="001817B5"/>
    <w:rsid w:val="00181890"/>
    <w:rsid w:val="00190392"/>
    <w:rsid w:val="00192E2F"/>
    <w:rsid w:val="00194F81"/>
    <w:rsid w:val="001A2969"/>
    <w:rsid w:val="001A465D"/>
    <w:rsid w:val="001A62F7"/>
    <w:rsid w:val="001A682F"/>
    <w:rsid w:val="001A6D59"/>
    <w:rsid w:val="001A768C"/>
    <w:rsid w:val="001B0E77"/>
    <w:rsid w:val="001B30A0"/>
    <w:rsid w:val="001B485B"/>
    <w:rsid w:val="001B5864"/>
    <w:rsid w:val="001B5D31"/>
    <w:rsid w:val="001C5228"/>
    <w:rsid w:val="001E00A5"/>
    <w:rsid w:val="001E19FA"/>
    <w:rsid w:val="001E1D97"/>
    <w:rsid w:val="001E2068"/>
    <w:rsid w:val="001E7053"/>
    <w:rsid w:val="001F1F21"/>
    <w:rsid w:val="001F235A"/>
    <w:rsid w:val="001F3CF2"/>
    <w:rsid w:val="001F4F0B"/>
    <w:rsid w:val="001F7143"/>
    <w:rsid w:val="002017AA"/>
    <w:rsid w:val="0020565E"/>
    <w:rsid w:val="00207F98"/>
    <w:rsid w:val="002109A3"/>
    <w:rsid w:val="00213864"/>
    <w:rsid w:val="00214097"/>
    <w:rsid w:val="002163A8"/>
    <w:rsid w:val="00222F70"/>
    <w:rsid w:val="00223B1F"/>
    <w:rsid w:val="00232821"/>
    <w:rsid w:val="00232A12"/>
    <w:rsid w:val="00237AD7"/>
    <w:rsid w:val="002458D9"/>
    <w:rsid w:val="002500DA"/>
    <w:rsid w:val="002536C7"/>
    <w:rsid w:val="00257FD9"/>
    <w:rsid w:val="002603BC"/>
    <w:rsid w:val="00260FD4"/>
    <w:rsid w:val="00267424"/>
    <w:rsid w:val="00272149"/>
    <w:rsid w:val="0027479B"/>
    <w:rsid w:val="00277ECF"/>
    <w:rsid w:val="002A5682"/>
    <w:rsid w:val="002B00DC"/>
    <w:rsid w:val="002B0516"/>
    <w:rsid w:val="002B19F6"/>
    <w:rsid w:val="002B2EAA"/>
    <w:rsid w:val="002B501B"/>
    <w:rsid w:val="002B7C3F"/>
    <w:rsid w:val="002C2BCA"/>
    <w:rsid w:val="002C58B9"/>
    <w:rsid w:val="002C7A8B"/>
    <w:rsid w:val="002D2A14"/>
    <w:rsid w:val="002E0D7B"/>
    <w:rsid w:val="002E3230"/>
    <w:rsid w:val="002E5027"/>
    <w:rsid w:val="002E5BA4"/>
    <w:rsid w:val="002F17A4"/>
    <w:rsid w:val="002F7FF0"/>
    <w:rsid w:val="00310822"/>
    <w:rsid w:val="003222F0"/>
    <w:rsid w:val="00323D9C"/>
    <w:rsid w:val="0032411B"/>
    <w:rsid w:val="00332666"/>
    <w:rsid w:val="00332A89"/>
    <w:rsid w:val="00334D36"/>
    <w:rsid w:val="00337D7E"/>
    <w:rsid w:val="00341237"/>
    <w:rsid w:val="00341470"/>
    <w:rsid w:val="003454A2"/>
    <w:rsid w:val="0035104E"/>
    <w:rsid w:val="00351E7A"/>
    <w:rsid w:val="0035259D"/>
    <w:rsid w:val="00352D5E"/>
    <w:rsid w:val="0035316B"/>
    <w:rsid w:val="003547AF"/>
    <w:rsid w:val="00357BD6"/>
    <w:rsid w:val="00360A4D"/>
    <w:rsid w:val="003644D4"/>
    <w:rsid w:val="00366EF0"/>
    <w:rsid w:val="00367E4E"/>
    <w:rsid w:val="00371682"/>
    <w:rsid w:val="00372CF4"/>
    <w:rsid w:val="00376C56"/>
    <w:rsid w:val="00376F3A"/>
    <w:rsid w:val="003775FE"/>
    <w:rsid w:val="0038499B"/>
    <w:rsid w:val="00384E7D"/>
    <w:rsid w:val="003A6525"/>
    <w:rsid w:val="003A779E"/>
    <w:rsid w:val="003B36C6"/>
    <w:rsid w:val="003B4FF8"/>
    <w:rsid w:val="003B5965"/>
    <w:rsid w:val="003B7CA3"/>
    <w:rsid w:val="003C052C"/>
    <w:rsid w:val="003C1D30"/>
    <w:rsid w:val="003C2957"/>
    <w:rsid w:val="003C4F1F"/>
    <w:rsid w:val="003C5D49"/>
    <w:rsid w:val="003C62AD"/>
    <w:rsid w:val="003D0E88"/>
    <w:rsid w:val="003D100F"/>
    <w:rsid w:val="003D6E61"/>
    <w:rsid w:val="003E34D4"/>
    <w:rsid w:val="003E3CA8"/>
    <w:rsid w:val="003E7634"/>
    <w:rsid w:val="003E7824"/>
    <w:rsid w:val="003F1D5D"/>
    <w:rsid w:val="003F27D2"/>
    <w:rsid w:val="003F32AB"/>
    <w:rsid w:val="003F3FE9"/>
    <w:rsid w:val="003F7CF4"/>
    <w:rsid w:val="00402982"/>
    <w:rsid w:val="00406BC9"/>
    <w:rsid w:val="004075B3"/>
    <w:rsid w:val="00412C0A"/>
    <w:rsid w:val="004145B3"/>
    <w:rsid w:val="004200E5"/>
    <w:rsid w:val="00423C15"/>
    <w:rsid w:val="00432868"/>
    <w:rsid w:val="00443BE5"/>
    <w:rsid w:val="0045189F"/>
    <w:rsid w:val="00451DA7"/>
    <w:rsid w:val="00464AA6"/>
    <w:rsid w:val="004673DF"/>
    <w:rsid w:val="00472D32"/>
    <w:rsid w:val="00474E11"/>
    <w:rsid w:val="0047581D"/>
    <w:rsid w:val="00475FC8"/>
    <w:rsid w:val="00481905"/>
    <w:rsid w:val="00491671"/>
    <w:rsid w:val="00492427"/>
    <w:rsid w:val="004934CF"/>
    <w:rsid w:val="00493815"/>
    <w:rsid w:val="0049684E"/>
    <w:rsid w:val="00496F2E"/>
    <w:rsid w:val="004972CC"/>
    <w:rsid w:val="0049782B"/>
    <w:rsid w:val="004A237C"/>
    <w:rsid w:val="004A272C"/>
    <w:rsid w:val="004A662F"/>
    <w:rsid w:val="004B12C9"/>
    <w:rsid w:val="004B2190"/>
    <w:rsid w:val="004B6A37"/>
    <w:rsid w:val="004B7BB2"/>
    <w:rsid w:val="004C11FA"/>
    <w:rsid w:val="004C34E2"/>
    <w:rsid w:val="004C38C3"/>
    <w:rsid w:val="004C421F"/>
    <w:rsid w:val="004C5EAC"/>
    <w:rsid w:val="004C63D6"/>
    <w:rsid w:val="004C7395"/>
    <w:rsid w:val="004D12B5"/>
    <w:rsid w:val="004D6942"/>
    <w:rsid w:val="004E06B9"/>
    <w:rsid w:val="004E4D37"/>
    <w:rsid w:val="004E6209"/>
    <w:rsid w:val="004F08A0"/>
    <w:rsid w:val="004F1207"/>
    <w:rsid w:val="004F122E"/>
    <w:rsid w:val="004F14CF"/>
    <w:rsid w:val="004F5754"/>
    <w:rsid w:val="004F6D7F"/>
    <w:rsid w:val="004F6FAB"/>
    <w:rsid w:val="004F7B44"/>
    <w:rsid w:val="00501984"/>
    <w:rsid w:val="0050242D"/>
    <w:rsid w:val="0050568F"/>
    <w:rsid w:val="00506A86"/>
    <w:rsid w:val="00510A71"/>
    <w:rsid w:val="005120B9"/>
    <w:rsid w:val="00513F61"/>
    <w:rsid w:val="005146EA"/>
    <w:rsid w:val="00514B23"/>
    <w:rsid w:val="005226CA"/>
    <w:rsid w:val="00527679"/>
    <w:rsid w:val="00530876"/>
    <w:rsid w:val="005405C7"/>
    <w:rsid w:val="00547C98"/>
    <w:rsid w:val="00547F71"/>
    <w:rsid w:val="00550B40"/>
    <w:rsid w:val="0055615E"/>
    <w:rsid w:val="00556286"/>
    <w:rsid w:val="0056056E"/>
    <w:rsid w:val="00563125"/>
    <w:rsid w:val="005664C5"/>
    <w:rsid w:val="00572180"/>
    <w:rsid w:val="00572BC9"/>
    <w:rsid w:val="005828D7"/>
    <w:rsid w:val="0058603E"/>
    <w:rsid w:val="00587476"/>
    <w:rsid w:val="005950AC"/>
    <w:rsid w:val="005955CD"/>
    <w:rsid w:val="005A308A"/>
    <w:rsid w:val="005A5A82"/>
    <w:rsid w:val="005A704F"/>
    <w:rsid w:val="005B0B5E"/>
    <w:rsid w:val="005B1ABA"/>
    <w:rsid w:val="005B3D8E"/>
    <w:rsid w:val="005B4B8D"/>
    <w:rsid w:val="005B6F41"/>
    <w:rsid w:val="005C2804"/>
    <w:rsid w:val="005C517E"/>
    <w:rsid w:val="005C6D71"/>
    <w:rsid w:val="005D7D19"/>
    <w:rsid w:val="005E11C8"/>
    <w:rsid w:val="005E525F"/>
    <w:rsid w:val="005F37E6"/>
    <w:rsid w:val="005F6933"/>
    <w:rsid w:val="00600B32"/>
    <w:rsid w:val="00600BF4"/>
    <w:rsid w:val="00611366"/>
    <w:rsid w:val="006120F8"/>
    <w:rsid w:val="00612642"/>
    <w:rsid w:val="00612E6B"/>
    <w:rsid w:val="00613447"/>
    <w:rsid w:val="00615073"/>
    <w:rsid w:val="00617B34"/>
    <w:rsid w:val="00620CE3"/>
    <w:rsid w:val="00623A6B"/>
    <w:rsid w:val="00624035"/>
    <w:rsid w:val="00636A95"/>
    <w:rsid w:val="00640B40"/>
    <w:rsid w:val="00647C81"/>
    <w:rsid w:val="00647E6C"/>
    <w:rsid w:val="00647F38"/>
    <w:rsid w:val="00651C8F"/>
    <w:rsid w:val="00652E9C"/>
    <w:rsid w:val="0065306D"/>
    <w:rsid w:val="00653E2A"/>
    <w:rsid w:val="00656F86"/>
    <w:rsid w:val="00657C0E"/>
    <w:rsid w:val="006628F6"/>
    <w:rsid w:val="00663A28"/>
    <w:rsid w:val="00663EE5"/>
    <w:rsid w:val="006704D4"/>
    <w:rsid w:val="00671178"/>
    <w:rsid w:val="006755C1"/>
    <w:rsid w:val="00680E25"/>
    <w:rsid w:val="00680F90"/>
    <w:rsid w:val="00683EF1"/>
    <w:rsid w:val="00686D3D"/>
    <w:rsid w:val="0069658F"/>
    <w:rsid w:val="006978CD"/>
    <w:rsid w:val="006B10DB"/>
    <w:rsid w:val="006B2C7E"/>
    <w:rsid w:val="006B3A50"/>
    <w:rsid w:val="006B45F1"/>
    <w:rsid w:val="006B6587"/>
    <w:rsid w:val="006B72C8"/>
    <w:rsid w:val="006C321C"/>
    <w:rsid w:val="006C60D4"/>
    <w:rsid w:val="006C6604"/>
    <w:rsid w:val="006E22BF"/>
    <w:rsid w:val="006E2309"/>
    <w:rsid w:val="006E43CF"/>
    <w:rsid w:val="006F1E48"/>
    <w:rsid w:val="006F451E"/>
    <w:rsid w:val="006F5AB8"/>
    <w:rsid w:val="006F5E0F"/>
    <w:rsid w:val="006F6947"/>
    <w:rsid w:val="0070250A"/>
    <w:rsid w:val="007076DA"/>
    <w:rsid w:val="00711BE8"/>
    <w:rsid w:val="00712269"/>
    <w:rsid w:val="00712397"/>
    <w:rsid w:val="0071267E"/>
    <w:rsid w:val="00714D36"/>
    <w:rsid w:val="00722579"/>
    <w:rsid w:val="007245DC"/>
    <w:rsid w:val="00731340"/>
    <w:rsid w:val="0073453B"/>
    <w:rsid w:val="00740522"/>
    <w:rsid w:val="007414D9"/>
    <w:rsid w:val="00744CAD"/>
    <w:rsid w:val="0075258C"/>
    <w:rsid w:val="00754CC1"/>
    <w:rsid w:val="00754FDC"/>
    <w:rsid w:val="00755150"/>
    <w:rsid w:val="00755B24"/>
    <w:rsid w:val="00755F7F"/>
    <w:rsid w:val="00763BF4"/>
    <w:rsid w:val="007679CA"/>
    <w:rsid w:val="007724C2"/>
    <w:rsid w:val="00775CA8"/>
    <w:rsid w:val="00776553"/>
    <w:rsid w:val="00783457"/>
    <w:rsid w:val="00787997"/>
    <w:rsid w:val="00790717"/>
    <w:rsid w:val="00792B28"/>
    <w:rsid w:val="00792D61"/>
    <w:rsid w:val="0079550C"/>
    <w:rsid w:val="007B00E7"/>
    <w:rsid w:val="007B33A9"/>
    <w:rsid w:val="007B4136"/>
    <w:rsid w:val="007B564A"/>
    <w:rsid w:val="007B6767"/>
    <w:rsid w:val="007C6D74"/>
    <w:rsid w:val="007C716E"/>
    <w:rsid w:val="007D0EB1"/>
    <w:rsid w:val="007D337A"/>
    <w:rsid w:val="007D3655"/>
    <w:rsid w:val="007D491A"/>
    <w:rsid w:val="007E1B63"/>
    <w:rsid w:val="007E28D5"/>
    <w:rsid w:val="007E2ED4"/>
    <w:rsid w:val="007E48D6"/>
    <w:rsid w:val="007E4CD2"/>
    <w:rsid w:val="007E62B8"/>
    <w:rsid w:val="007E7379"/>
    <w:rsid w:val="007E7CE9"/>
    <w:rsid w:val="007E7EDE"/>
    <w:rsid w:val="007F6237"/>
    <w:rsid w:val="007F7756"/>
    <w:rsid w:val="00804279"/>
    <w:rsid w:val="00820E61"/>
    <w:rsid w:val="0082213E"/>
    <w:rsid w:val="0082246E"/>
    <w:rsid w:val="008226A3"/>
    <w:rsid w:val="0082579B"/>
    <w:rsid w:val="00827257"/>
    <w:rsid w:val="0083088D"/>
    <w:rsid w:val="00830ADD"/>
    <w:rsid w:val="00830ED5"/>
    <w:rsid w:val="0083136E"/>
    <w:rsid w:val="008355F0"/>
    <w:rsid w:val="0083659C"/>
    <w:rsid w:val="00837993"/>
    <w:rsid w:val="00847961"/>
    <w:rsid w:val="00851E53"/>
    <w:rsid w:val="00851FFF"/>
    <w:rsid w:val="00865610"/>
    <w:rsid w:val="008663FF"/>
    <w:rsid w:val="008666A2"/>
    <w:rsid w:val="00867D33"/>
    <w:rsid w:val="008716F4"/>
    <w:rsid w:val="00873888"/>
    <w:rsid w:val="00886A7E"/>
    <w:rsid w:val="0089267E"/>
    <w:rsid w:val="00893752"/>
    <w:rsid w:val="00894678"/>
    <w:rsid w:val="0089642B"/>
    <w:rsid w:val="008A0031"/>
    <w:rsid w:val="008A0675"/>
    <w:rsid w:val="008A22F3"/>
    <w:rsid w:val="008A7A55"/>
    <w:rsid w:val="008B6AC1"/>
    <w:rsid w:val="008C1548"/>
    <w:rsid w:val="008C28A7"/>
    <w:rsid w:val="008C6C5D"/>
    <w:rsid w:val="008D0638"/>
    <w:rsid w:val="008D124E"/>
    <w:rsid w:val="008D6DC8"/>
    <w:rsid w:val="008E26FF"/>
    <w:rsid w:val="008E4644"/>
    <w:rsid w:val="008E664E"/>
    <w:rsid w:val="008E6C16"/>
    <w:rsid w:val="008E7B14"/>
    <w:rsid w:val="008F0072"/>
    <w:rsid w:val="008F315F"/>
    <w:rsid w:val="008F53A4"/>
    <w:rsid w:val="00902145"/>
    <w:rsid w:val="00905773"/>
    <w:rsid w:val="00905CEC"/>
    <w:rsid w:val="00911709"/>
    <w:rsid w:val="00913B38"/>
    <w:rsid w:val="00914F08"/>
    <w:rsid w:val="00914FA2"/>
    <w:rsid w:val="00916933"/>
    <w:rsid w:val="0091693C"/>
    <w:rsid w:val="0091747F"/>
    <w:rsid w:val="00921F0D"/>
    <w:rsid w:val="009257DF"/>
    <w:rsid w:val="00930977"/>
    <w:rsid w:val="009347C6"/>
    <w:rsid w:val="009427A3"/>
    <w:rsid w:val="00943EB5"/>
    <w:rsid w:val="009443E3"/>
    <w:rsid w:val="00945DB3"/>
    <w:rsid w:val="009505A4"/>
    <w:rsid w:val="009516FE"/>
    <w:rsid w:val="00955587"/>
    <w:rsid w:val="009560A3"/>
    <w:rsid w:val="009620FC"/>
    <w:rsid w:val="00962CC4"/>
    <w:rsid w:val="0096316A"/>
    <w:rsid w:val="0096550E"/>
    <w:rsid w:val="00972CEE"/>
    <w:rsid w:val="00976A64"/>
    <w:rsid w:val="00984313"/>
    <w:rsid w:val="00984869"/>
    <w:rsid w:val="00985090"/>
    <w:rsid w:val="00985258"/>
    <w:rsid w:val="0099427F"/>
    <w:rsid w:val="009A056B"/>
    <w:rsid w:val="009A57CB"/>
    <w:rsid w:val="009B0EF0"/>
    <w:rsid w:val="009B29B6"/>
    <w:rsid w:val="009B5941"/>
    <w:rsid w:val="009C051B"/>
    <w:rsid w:val="009C09E7"/>
    <w:rsid w:val="009C31B4"/>
    <w:rsid w:val="009C32C3"/>
    <w:rsid w:val="009C4192"/>
    <w:rsid w:val="009C62B1"/>
    <w:rsid w:val="009C763B"/>
    <w:rsid w:val="009D0491"/>
    <w:rsid w:val="009D1EA2"/>
    <w:rsid w:val="009D3572"/>
    <w:rsid w:val="009D65B3"/>
    <w:rsid w:val="009E1D6A"/>
    <w:rsid w:val="009E4EA1"/>
    <w:rsid w:val="009E4F3C"/>
    <w:rsid w:val="009E68DC"/>
    <w:rsid w:val="009F3283"/>
    <w:rsid w:val="009F331D"/>
    <w:rsid w:val="009F7323"/>
    <w:rsid w:val="00A01E11"/>
    <w:rsid w:val="00A11CF2"/>
    <w:rsid w:val="00A155B4"/>
    <w:rsid w:val="00A16F53"/>
    <w:rsid w:val="00A17C57"/>
    <w:rsid w:val="00A26960"/>
    <w:rsid w:val="00A30F7E"/>
    <w:rsid w:val="00A34349"/>
    <w:rsid w:val="00A34456"/>
    <w:rsid w:val="00A34D19"/>
    <w:rsid w:val="00A365F1"/>
    <w:rsid w:val="00A4428F"/>
    <w:rsid w:val="00A45412"/>
    <w:rsid w:val="00A51501"/>
    <w:rsid w:val="00A53A01"/>
    <w:rsid w:val="00A62F50"/>
    <w:rsid w:val="00A64D8A"/>
    <w:rsid w:val="00A70188"/>
    <w:rsid w:val="00A711D0"/>
    <w:rsid w:val="00A7182F"/>
    <w:rsid w:val="00A724BE"/>
    <w:rsid w:val="00A75F17"/>
    <w:rsid w:val="00A76BEB"/>
    <w:rsid w:val="00A77FDE"/>
    <w:rsid w:val="00A81CA3"/>
    <w:rsid w:val="00A82747"/>
    <w:rsid w:val="00A83787"/>
    <w:rsid w:val="00A84ED2"/>
    <w:rsid w:val="00A937B2"/>
    <w:rsid w:val="00A94AEF"/>
    <w:rsid w:val="00A95C6F"/>
    <w:rsid w:val="00A96EE1"/>
    <w:rsid w:val="00AA0AAB"/>
    <w:rsid w:val="00AA469A"/>
    <w:rsid w:val="00AA5AB1"/>
    <w:rsid w:val="00AB22BE"/>
    <w:rsid w:val="00AB5AD0"/>
    <w:rsid w:val="00AB5B86"/>
    <w:rsid w:val="00AC052E"/>
    <w:rsid w:val="00AC6F45"/>
    <w:rsid w:val="00AD30E7"/>
    <w:rsid w:val="00AD4ED7"/>
    <w:rsid w:val="00AD5CCE"/>
    <w:rsid w:val="00AD64AD"/>
    <w:rsid w:val="00AD7C01"/>
    <w:rsid w:val="00AE0683"/>
    <w:rsid w:val="00AF2CB3"/>
    <w:rsid w:val="00AF67F7"/>
    <w:rsid w:val="00B0059E"/>
    <w:rsid w:val="00B009D3"/>
    <w:rsid w:val="00B10D6F"/>
    <w:rsid w:val="00B10F33"/>
    <w:rsid w:val="00B14885"/>
    <w:rsid w:val="00B15B83"/>
    <w:rsid w:val="00B17EE1"/>
    <w:rsid w:val="00B2113D"/>
    <w:rsid w:val="00B269AD"/>
    <w:rsid w:val="00B33514"/>
    <w:rsid w:val="00B34FBC"/>
    <w:rsid w:val="00B36A7D"/>
    <w:rsid w:val="00B40CDB"/>
    <w:rsid w:val="00B41C54"/>
    <w:rsid w:val="00B42404"/>
    <w:rsid w:val="00B44594"/>
    <w:rsid w:val="00B45CAB"/>
    <w:rsid w:val="00B510B8"/>
    <w:rsid w:val="00B55353"/>
    <w:rsid w:val="00B55702"/>
    <w:rsid w:val="00B6307D"/>
    <w:rsid w:val="00B64011"/>
    <w:rsid w:val="00B72091"/>
    <w:rsid w:val="00B72D6B"/>
    <w:rsid w:val="00B743A0"/>
    <w:rsid w:val="00B74DA5"/>
    <w:rsid w:val="00B75EC6"/>
    <w:rsid w:val="00B82421"/>
    <w:rsid w:val="00B853DE"/>
    <w:rsid w:val="00B85634"/>
    <w:rsid w:val="00B9784B"/>
    <w:rsid w:val="00BA48FF"/>
    <w:rsid w:val="00BB1055"/>
    <w:rsid w:val="00BB456B"/>
    <w:rsid w:val="00BB4F8C"/>
    <w:rsid w:val="00BB5669"/>
    <w:rsid w:val="00BB7409"/>
    <w:rsid w:val="00BC112E"/>
    <w:rsid w:val="00BC20FD"/>
    <w:rsid w:val="00BC460D"/>
    <w:rsid w:val="00BC574E"/>
    <w:rsid w:val="00BD0767"/>
    <w:rsid w:val="00BD320A"/>
    <w:rsid w:val="00BD3978"/>
    <w:rsid w:val="00BD4637"/>
    <w:rsid w:val="00BD4810"/>
    <w:rsid w:val="00BD57EA"/>
    <w:rsid w:val="00BD62D2"/>
    <w:rsid w:val="00BE629F"/>
    <w:rsid w:val="00BF5B65"/>
    <w:rsid w:val="00C01401"/>
    <w:rsid w:val="00C01669"/>
    <w:rsid w:val="00C04ABF"/>
    <w:rsid w:val="00C0578C"/>
    <w:rsid w:val="00C22D49"/>
    <w:rsid w:val="00C31BD9"/>
    <w:rsid w:val="00C3241C"/>
    <w:rsid w:val="00C3469F"/>
    <w:rsid w:val="00C3499E"/>
    <w:rsid w:val="00C34F3F"/>
    <w:rsid w:val="00C351D8"/>
    <w:rsid w:val="00C3631E"/>
    <w:rsid w:val="00C363F3"/>
    <w:rsid w:val="00C37487"/>
    <w:rsid w:val="00C40CCC"/>
    <w:rsid w:val="00C41172"/>
    <w:rsid w:val="00C44F59"/>
    <w:rsid w:val="00C4511F"/>
    <w:rsid w:val="00C51F20"/>
    <w:rsid w:val="00C527BD"/>
    <w:rsid w:val="00C56025"/>
    <w:rsid w:val="00C60F98"/>
    <w:rsid w:val="00C6268F"/>
    <w:rsid w:val="00C6630F"/>
    <w:rsid w:val="00C66387"/>
    <w:rsid w:val="00C670C9"/>
    <w:rsid w:val="00C70486"/>
    <w:rsid w:val="00C72C8E"/>
    <w:rsid w:val="00C72F18"/>
    <w:rsid w:val="00C738CB"/>
    <w:rsid w:val="00C768AB"/>
    <w:rsid w:val="00C7795C"/>
    <w:rsid w:val="00C8126A"/>
    <w:rsid w:val="00C82A1D"/>
    <w:rsid w:val="00C83A9B"/>
    <w:rsid w:val="00C879DD"/>
    <w:rsid w:val="00C87DAA"/>
    <w:rsid w:val="00C907DF"/>
    <w:rsid w:val="00C93654"/>
    <w:rsid w:val="00C944D0"/>
    <w:rsid w:val="00C950DB"/>
    <w:rsid w:val="00C95287"/>
    <w:rsid w:val="00C95465"/>
    <w:rsid w:val="00C95D79"/>
    <w:rsid w:val="00C96CC6"/>
    <w:rsid w:val="00CA288B"/>
    <w:rsid w:val="00CA2DA5"/>
    <w:rsid w:val="00CA7C42"/>
    <w:rsid w:val="00CB086D"/>
    <w:rsid w:val="00CB340A"/>
    <w:rsid w:val="00CB3F7D"/>
    <w:rsid w:val="00CB58BD"/>
    <w:rsid w:val="00CC501B"/>
    <w:rsid w:val="00CC72F7"/>
    <w:rsid w:val="00CD1331"/>
    <w:rsid w:val="00CD5FF6"/>
    <w:rsid w:val="00CE3AB6"/>
    <w:rsid w:val="00CE6F10"/>
    <w:rsid w:val="00CF072B"/>
    <w:rsid w:val="00CF0F5A"/>
    <w:rsid w:val="00CF1F32"/>
    <w:rsid w:val="00CF2939"/>
    <w:rsid w:val="00CF445D"/>
    <w:rsid w:val="00CF5D32"/>
    <w:rsid w:val="00CF69FD"/>
    <w:rsid w:val="00D001A5"/>
    <w:rsid w:val="00D040CE"/>
    <w:rsid w:val="00D06704"/>
    <w:rsid w:val="00D14C63"/>
    <w:rsid w:val="00D23711"/>
    <w:rsid w:val="00D239F3"/>
    <w:rsid w:val="00D242AE"/>
    <w:rsid w:val="00D30FEB"/>
    <w:rsid w:val="00D3130E"/>
    <w:rsid w:val="00D33BB1"/>
    <w:rsid w:val="00D34D77"/>
    <w:rsid w:val="00D36B29"/>
    <w:rsid w:val="00D40D79"/>
    <w:rsid w:val="00D4139C"/>
    <w:rsid w:val="00D46CF7"/>
    <w:rsid w:val="00D4754D"/>
    <w:rsid w:val="00D47A13"/>
    <w:rsid w:val="00D51522"/>
    <w:rsid w:val="00D53910"/>
    <w:rsid w:val="00D5680F"/>
    <w:rsid w:val="00D576BC"/>
    <w:rsid w:val="00D6537C"/>
    <w:rsid w:val="00D6783E"/>
    <w:rsid w:val="00D70615"/>
    <w:rsid w:val="00D7708B"/>
    <w:rsid w:val="00D829BF"/>
    <w:rsid w:val="00D83974"/>
    <w:rsid w:val="00D910F9"/>
    <w:rsid w:val="00D94119"/>
    <w:rsid w:val="00D94BFE"/>
    <w:rsid w:val="00D965BB"/>
    <w:rsid w:val="00DA0B6F"/>
    <w:rsid w:val="00DA101C"/>
    <w:rsid w:val="00DA19FD"/>
    <w:rsid w:val="00DA4AAE"/>
    <w:rsid w:val="00DA684D"/>
    <w:rsid w:val="00DA6A6F"/>
    <w:rsid w:val="00DB2F2E"/>
    <w:rsid w:val="00DB3057"/>
    <w:rsid w:val="00DB70E1"/>
    <w:rsid w:val="00DD231B"/>
    <w:rsid w:val="00DD3440"/>
    <w:rsid w:val="00DD503C"/>
    <w:rsid w:val="00DE0886"/>
    <w:rsid w:val="00DE1372"/>
    <w:rsid w:val="00DE7A21"/>
    <w:rsid w:val="00DF06C0"/>
    <w:rsid w:val="00DF4DBB"/>
    <w:rsid w:val="00E01671"/>
    <w:rsid w:val="00E12D24"/>
    <w:rsid w:val="00E141EF"/>
    <w:rsid w:val="00E16E00"/>
    <w:rsid w:val="00E16F29"/>
    <w:rsid w:val="00E17715"/>
    <w:rsid w:val="00E17B7C"/>
    <w:rsid w:val="00E32325"/>
    <w:rsid w:val="00E336F1"/>
    <w:rsid w:val="00E4469F"/>
    <w:rsid w:val="00E52B0E"/>
    <w:rsid w:val="00E566C7"/>
    <w:rsid w:val="00E62D92"/>
    <w:rsid w:val="00E63CBF"/>
    <w:rsid w:val="00E667CF"/>
    <w:rsid w:val="00E707A1"/>
    <w:rsid w:val="00E70A42"/>
    <w:rsid w:val="00E70F3B"/>
    <w:rsid w:val="00E71875"/>
    <w:rsid w:val="00E84BF0"/>
    <w:rsid w:val="00E86F19"/>
    <w:rsid w:val="00E908EE"/>
    <w:rsid w:val="00E91182"/>
    <w:rsid w:val="00E94F8A"/>
    <w:rsid w:val="00E975C7"/>
    <w:rsid w:val="00EA12D2"/>
    <w:rsid w:val="00EB031F"/>
    <w:rsid w:val="00EB31DB"/>
    <w:rsid w:val="00EC1A24"/>
    <w:rsid w:val="00EC2473"/>
    <w:rsid w:val="00EC42D0"/>
    <w:rsid w:val="00EC61C8"/>
    <w:rsid w:val="00EC7183"/>
    <w:rsid w:val="00ED2389"/>
    <w:rsid w:val="00ED4089"/>
    <w:rsid w:val="00ED4535"/>
    <w:rsid w:val="00EE1196"/>
    <w:rsid w:val="00EE16F7"/>
    <w:rsid w:val="00EE27F8"/>
    <w:rsid w:val="00EE442F"/>
    <w:rsid w:val="00EE57F5"/>
    <w:rsid w:val="00EE7E1F"/>
    <w:rsid w:val="00EF0AAF"/>
    <w:rsid w:val="00EF248F"/>
    <w:rsid w:val="00EF6BEA"/>
    <w:rsid w:val="00EF796B"/>
    <w:rsid w:val="00F00C46"/>
    <w:rsid w:val="00F01B24"/>
    <w:rsid w:val="00F03039"/>
    <w:rsid w:val="00F03870"/>
    <w:rsid w:val="00F04B42"/>
    <w:rsid w:val="00F06814"/>
    <w:rsid w:val="00F07584"/>
    <w:rsid w:val="00F1130E"/>
    <w:rsid w:val="00F128B9"/>
    <w:rsid w:val="00F20FBC"/>
    <w:rsid w:val="00F21E41"/>
    <w:rsid w:val="00F27D33"/>
    <w:rsid w:val="00F329C4"/>
    <w:rsid w:val="00F3474A"/>
    <w:rsid w:val="00F35D90"/>
    <w:rsid w:val="00F41BCA"/>
    <w:rsid w:val="00F4233E"/>
    <w:rsid w:val="00F43107"/>
    <w:rsid w:val="00F43479"/>
    <w:rsid w:val="00F449D7"/>
    <w:rsid w:val="00F45E0C"/>
    <w:rsid w:val="00F53611"/>
    <w:rsid w:val="00F568BE"/>
    <w:rsid w:val="00F56D70"/>
    <w:rsid w:val="00F6173E"/>
    <w:rsid w:val="00F617C1"/>
    <w:rsid w:val="00F62BDC"/>
    <w:rsid w:val="00F662EB"/>
    <w:rsid w:val="00F7310D"/>
    <w:rsid w:val="00F80F2C"/>
    <w:rsid w:val="00F94CD7"/>
    <w:rsid w:val="00FA29E4"/>
    <w:rsid w:val="00FA642F"/>
    <w:rsid w:val="00FB2433"/>
    <w:rsid w:val="00FB42F2"/>
    <w:rsid w:val="00FB5B82"/>
    <w:rsid w:val="00FC12D7"/>
    <w:rsid w:val="00FC1C25"/>
    <w:rsid w:val="00FC2307"/>
    <w:rsid w:val="00FC5973"/>
    <w:rsid w:val="00FC7686"/>
    <w:rsid w:val="00FD1762"/>
    <w:rsid w:val="00FD1D6F"/>
    <w:rsid w:val="00FD6671"/>
    <w:rsid w:val="00FD7591"/>
    <w:rsid w:val="00FE1590"/>
    <w:rsid w:val="00FE42F7"/>
    <w:rsid w:val="011917E0"/>
    <w:rsid w:val="0147153B"/>
    <w:rsid w:val="017E7D60"/>
    <w:rsid w:val="01CD61FD"/>
    <w:rsid w:val="01D33D28"/>
    <w:rsid w:val="01D95F32"/>
    <w:rsid w:val="01E047EB"/>
    <w:rsid w:val="01E413EF"/>
    <w:rsid w:val="020A78EB"/>
    <w:rsid w:val="021823D0"/>
    <w:rsid w:val="022113C8"/>
    <w:rsid w:val="02437453"/>
    <w:rsid w:val="02513FF2"/>
    <w:rsid w:val="027E2898"/>
    <w:rsid w:val="02816262"/>
    <w:rsid w:val="02CF6330"/>
    <w:rsid w:val="02EA14D3"/>
    <w:rsid w:val="03094650"/>
    <w:rsid w:val="030A1D4E"/>
    <w:rsid w:val="03232B43"/>
    <w:rsid w:val="0335290B"/>
    <w:rsid w:val="03447397"/>
    <w:rsid w:val="0358008B"/>
    <w:rsid w:val="038B0332"/>
    <w:rsid w:val="03A9113D"/>
    <w:rsid w:val="03C41F49"/>
    <w:rsid w:val="03E14F49"/>
    <w:rsid w:val="03F14D48"/>
    <w:rsid w:val="03F2420E"/>
    <w:rsid w:val="03FB49D2"/>
    <w:rsid w:val="04130306"/>
    <w:rsid w:val="0424424F"/>
    <w:rsid w:val="04414C80"/>
    <w:rsid w:val="04781CE1"/>
    <w:rsid w:val="04920E96"/>
    <w:rsid w:val="04925647"/>
    <w:rsid w:val="04DC643E"/>
    <w:rsid w:val="04F02024"/>
    <w:rsid w:val="04F43BE4"/>
    <w:rsid w:val="05082C1A"/>
    <w:rsid w:val="050C65C3"/>
    <w:rsid w:val="052E3010"/>
    <w:rsid w:val="054668D8"/>
    <w:rsid w:val="05543586"/>
    <w:rsid w:val="05B72A07"/>
    <w:rsid w:val="05C60EBB"/>
    <w:rsid w:val="05C621BA"/>
    <w:rsid w:val="05CA06F1"/>
    <w:rsid w:val="061F08E4"/>
    <w:rsid w:val="065845B8"/>
    <w:rsid w:val="06633D57"/>
    <w:rsid w:val="06685547"/>
    <w:rsid w:val="067A2A04"/>
    <w:rsid w:val="069B70BE"/>
    <w:rsid w:val="06A30B9A"/>
    <w:rsid w:val="06AB431A"/>
    <w:rsid w:val="06B61A75"/>
    <w:rsid w:val="06C71EB8"/>
    <w:rsid w:val="07074B80"/>
    <w:rsid w:val="071734F7"/>
    <w:rsid w:val="07495AAB"/>
    <w:rsid w:val="07551B02"/>
    <w:rsid w:val="078132CC"/>
    <w:rsid w:val="079E4140"/>
    <w:rsid w:val="07AE4F38"/>
    <w:rsid w:val="07D14020"/>
    <w:rsid w:val="07EE12A9"/>
    <w:rsid w:val="07F222B8"/>
    <w:rsid w:val="08090E13"/>
    <w:rsid w:val="080A40BA"/>
    <w:rsid w:val="081927DC"/>
    <w:rsid w:val="08592DDC"/>
    <w:rsid w:val="08611EA9"/>
    <w:rsid w:val="08662890"/>
    <w:rsid w:val="088244D8"/>
    <w:rsid w:val="08845C81"/>
    <w:rsid w:val="088A5DF8"/>
    <w:rsid w:val="08CC1F27"/>
    <w:rsid w:val="08D62F2F"/>
    <w:rsid w:val="08FA42D7"/>
    <w:rsid w:val="09044919"/>
    <w:rsid w:val="091E79E6"/>
    <w:rsid w:val="092C3189"/>
    <w:rsid w:val="094E342C"/>
    <w:rsid w:val="09517D22"/>
    <w:rsid w:val="096156B5"/>
    <w:rsid w:val="09673EC3"/>
    <w:rsid w:val="09976284"/>
    <w:rsid w:val="09AF2373"/>
    <w:rsid w:val="09B8646A"/>
    <w:rsid w:val="09BE35BD"/>
    <w:rsid w:val="09DB6963"/>
    <w:rsid w:val="0A0739C9"/>
    <w:rsid w:val="0A707699"/>
    <w:rsid w:val="0A7E0E31"/>
    <w:rsid w:val="0A846C8B"/>
    <w:rsid w:val="0AD521E9"/>
    <w:rsid w:val="0AD81609"/>
    <w:rsid w:val="0ADD567E"/>
    <w:rsid w:val="0B0D2FC5"/>
    <w:rsid w:val="0B10410C"/>
    <w:rsid w:val="0B187B0D"/>
    <w:rsid w:val="0B201AF2"/>
    <w:rsid w:val="0B203B80"/>
    <w:rsid w:val="0B454B41"/>
    <w:rsid w:val="0B5027DA"/>
    <w:rsid w:val="0B6661BB"/>
    <w:rsid w:val="0B6E11BD"/>
    <w:rsid w:val="0B7A1C1B"/>
    <w:rsid w:val="0B821E87"/>
    <w:rsid w:val="0B871D6E"/>
    <w:rsid w:val="0B8A320D"/>
    <w:rsid w:val="0B9F7D24"/>
    <w:rsid w:val="0BBF1BEB"/>
    <w:rsid w:val="0C030C35"/>
    <w:rsid w:val="0C0B2ED4"/>
    <w:rsid w:val="0C321039"/>
    <w:rsid w:val="0C4E230F"/>
    <w:rsid w:val="0C5943E9"/>
    <w:rsid w:val="0C6938F1"/>
    <w:rsid w:val="0C7B3FAC"/>
    <w:rsid w:val="0C924776"/>
    <w:rsid w:val="0CA24E60"/>
    <w:rsid w:val="0CC31C91"/>
    <w:rsid w:val="0CF55D26"/>
    <w:rsid w:val="0D075C5D"/>
    <w:rsid w:val="0D324353"/>
    <w:rsid w:val="0D3C6C16"/>
    <w:rsid w:val="0D434210"/>
    <w:rsid w:val="0D443A40"/>
    <w:rsid w:val="0D706A96"/>
    <w:rsid w:val="0D84048B"/>
    <w:rsid w:val="0D8E7C41"/>
    <w:rsid w:val="0DCB5D02"/>
    <w:rsid w:val="0DDE0193"/>
    <w:rsid w:val="0DE37C49"/>
    <w:rsid w:val="0DE76025"/>
    <w:rsid w:val="0DE90D5F"/>
    <w:rsid w:val="0DFF4117"/>
    <w:rsid w:val="0E0620AA"/>
    <w:rsid w:val="0E0A2470"/>
    <w:rsid w:val="0E10004B"/>
    <w:rsid w:val="0E3E6BE7"/>
    <w:rsid w:val="0E4125E2"/>
    <w:rsid w:val="0E4706B2"/>
    <w:rsid w:val="0E4834BD"/>
    <w:rsid w:val="0E705E63"/>
    <w:rsid w:val="0E760DED"/>
    <w:rsid w:val="0E9205ED"/>
    <w:rsid w:val="0EC14EA7"/>
    <w:rsid w:val="0EE12CAF"/>
    <w:rsid w:val="0F014EE3"/>
    <w:rsid w:val="0F1032B9"/>
    <w:rsid w:val="0F1A0C96"/>
    <w:rsid w:val="0F1F5681"/>
    <w:rsid w:val="0F3E1E19"/>
    <w:rsid w:val="0F5D1305"/>
    <w:rsid w:val="0F992376"/>
    <w:rsid w:val="0FB31F5E"/>
    <w:rsid w:val="0FCD7AA8"/>
    <w:rsid w:val="0FD20A25"/>
    <w:rsid w:val="0FE8199E"/>
    <w:rsid w:val="0FEF732A"/>
    <w:rsid w:val="0FFB6CBF"/>
    <w:rsid w:val="0FFF1232"/>
    <w:rsid w:val="10161B5B"/>
    <w:rsid w:val="105F47DF"/>
    <w:rsid w:val="10616B79"/>
    <w:rsid w:val="108D49ED"/>
    <w:rsid w:val="10967993"/>
    <w:rsid w:val="109D36E6"/>
    <w:rsid w:val="10AA5642"/>
    <w:rsid w:val="10B00401"/>
    <w:rsid w:val="10B20C12"/>
    <w:rsid w:val="10B97633"/>
    <w:rsid w:val="10E70644"/>
    <w:rsid w:val="10F767B1"/>
    <w:rsid w:val="10FC4B56"/>
    <w:rsid w:val="10FD3BF0"/>
    <w:rsid w:val="110264BA"/>
    <w:rsid w:val="111331AD"/>
    <w:rsid w:val="111571A1"/>
    <w:rsid w:val="112A7AA9"/>
    <w:rsid w:val="11345325"/>
    <w:rsid w:val="1166018B"/>
    <w:rsid w:val="117F4D78"/>
    <w:rsid w:val="119F2F9C"/>
    <w:rsid w:val="11E61B6C"/>
    <w:rsid w:val="11F55862"/>
    <w:rsid w:val="11F74BAA"/>
    <w:rsid w:val="120E1C01"/>
    <w:rsid w:val="12243228"/>
    <w:rsid w:val="12454B6B"/>
    <w:rsid w:val="12497244"/>
    <w:rsid w:val="12517AE4"/>
    <w:rsid w:val="12556E8C"/>
    <w:rsid w:val="12710410"/>
    <w:rsid w:val="1276256E"/>
    <w:rsid w:val="12DC375B"/>
    <w:rsid w:val="12FD6173"/>
    <w:rsid w:val="130B75F3"/>
    <w:rsid w:val="13177DF7"/>
    <w:rsid w:val="133129E7"/>
    <w:rsid w:val="136D2D5E"/>
    <w:rsid w:val="13924E35"/>
    <w:rsid w:val="13B84C03"/>
    <w:rsid w:val="13DC6C94"/>
    <w:rsid w:val="13E76BAD"/>
    <w:rsid w:val="14134EB3"/>
    <w:rsid w:val="143B7739"/>
    <w:rsid w:val="149E0C82"/>
    <w:rsid w:val="14CC09EC"/>
    <w:rsid w:val="153730A4"/>
    <w:rsid w:val="15411966"/>
    <w:rsid w:val="15582377"/>
    <w:rsid w:val="155823C4"/>
    <w:rsid w:val="15634BA9"/>
    <w:rsid w:val="157D1D16"/>
    <w:rsid w:val="15CB6F73"/>
    <w:rsid w:val="1607138A"/>
    <w:rsid w:val="160F090A"/>
    <w:rsid w:val="16125384"/>
    <w:rsid w:val="16445BF1"/>
    <w:rsid w:val="16933CBB"/>
    <w:rsid w:val="16B46B86"/>
    <w:rsid w:val="16B80A98"/>
    <w:rsid w:val="16C409FE"/>
    <w:rsid w:val="16E11692"/>
    <w:rsid w:val="16E4345B"/>
    <w:rsid w:val="16EB431C"/>
    <w:rsid w:val="1700420E"/>
    <w:rsid w:val="170800F8"/>
    <w:rsid w:val="171F0F97"/>
    <w:rsid w:val="17274ADB"/>
    <w:rsid w:val="17525917"/>
    <w:rsid w:val="17843F45"/>
    <w:rsid w:val="178972D5"/>
    <w:rsid w:val="17CA6475"/>
    <w:rsid w:val="17D84072"/>
    <w:rsid w:val="17F12D72"/>
    <w:rsid w:val="181C7052"/>
    <w:rsid w:val="182E7B5E"/>
    <w:rsid w:val="184F50C0"/>
    <w:rsid w:val="18786978"/>
    <w:rsid w:val="187C1EFD"/>
    <w:rsid w:val="18952023"/>
    <w:rsid w:val="189B608D"/>
    <w:rsid w:val="18A94431"/>
    <w:rsid w:val="18E828B4"/>
    <w:rsid w:val="18EB67F8"/>
    <w:rsid w:val="194D4F21"/>
    <w:rsid w:val="194D7A02"/>
    <w:rsid w:val="197C6F70"/>
    <w:rsid w:val="19815758"/>
    <w:rsid w:val="19837F24"/>
    <w:rsid w:val="1999291E"/>
    <w:rsid w:val="19AB7732"/>
    <w:rsid w:val="19E92C40"/>
    <w:rsid w:val="19FC2745"/>
    <w:rsid w:val="1A392129"/>
    <w:rsid w:val="1A3B6336"/>
    <w:rsid w:val="1A6A3780"/>
    <w:rsid w:val="1AB86451"/>
    <w:rsid w:val="1ACC24A7"/>
    <w:rsid w:val="1ADF6042"/>
    <w:rsid w:val="1B1309E5"/>
    <w:rsid w:val="1B232D26"/>
    <w:rsid w:val="1B2D45FF"/>
    <w:rsid w:val="1B397D65"/>
    <w:rsid w:val="1B460F25"/>
    <w:rsid w:val="1B487F8D"/>
    <w:rsid w:val="1B4A661E"/>
    <w:rsid w:val="1B4F155D"/>
    <w:rsid w:val="1B6528D4"/>
    <w:rsid w:val="1B8D642E"/>
    <w:rsid w:val="1B903939"/>
    <w:rsid w:val="1BC329A0"/>
    <w:rsid w:val="1C153794"/>
    <w:rsid w:val="1C35198A"/>
    <w:rsid w:val="1C383762"/>
    <w:rsid w:val="1C567DC3"/>
    <w:rsid w:val="1C6E364F"/>
    <w:rsid w:val="1C980D70"/>
    <w:rsid w:val="1CC25250"/>
    <w:rsid w:val="1CCF5716"/>
    <w:rsid w:val="1CE676A2"/>
    <w:rsid w:val="1CF144A0"/>
    <w:rsid w:val="1CF96EAF"/>
    <w:rsid w:val="1D003AE2"/>
    <w:rsid w:val="1D084B49"/>
    <w:rsid w:val="1D0D7BC6"/>
    <w:rsid w:val="1D1A3B4F"/>
    <w:rsid w:val="1D343DF6"/>
    <w:rsid w:val="1D4311E6"/>
    <w:rsid w:val="1D7F210C"/>
    <w:rsid w:val="1D874F90"/>
    <w:rsid w:val="1DB4093C"/>
    <w:rsid w:val="1DF204C2"/>
    <w:rsid w:val="1E1604C8"/>
    <w:rsid w:val="1E197046"/>
    <w:rsid w:val="1E314D11"/>
    <w:rsid w:val="1E460C18"/>
    <w:rsid w:val="1E633DAF"/>
    <w:rsid w:val="1E704929"/>
    <w:rsid w:val="1E773EE0"/>
    <w:rsid w:val="1E7E3C6A"/>
    <w:rsid w:val="1E9F2DDA"/>
    <w:rsid w:val="1EA000F6"/>
    <w:rsid w:val="1EA0746E"/>
    <w:rsid w:val="1EAC1836"/>
    <w:rsid w:val="1EB16568"/>
    <w:rsid w:val="1ED341F3"/>
    <w:rsid w:val="1EE44415"/>
    <w:rsid w:val="1EF54CAC"/>
    <w:rsid w:val="1F047581"/>
    <w:rsid w:val="1F250811"/>
    <w:rsid w:val="1F3D292F"/>
    <w:rsid w:val="1F6110E2"/>
    <w:rsid w:val="1FC625C5"/>
    <w:rsid w:val="1FDC333E"/>
    <w:rsid w:val="2007660D"/>
    <w:rsid w:val="200E4997"/>
    <w:rsid w:val="20283A1F"/>
    <w:rsid w:val="2048353E"/>
    <w:rsid w:val="20882F37"/>
    <w:rsid w:val="20B3672A"/>
    <w:rsid w:val="20CA5655"/>
    <w:rsid w:val="210657BE"/>
    <w:rsid w:val="210E4A00"/>
    <w:rsid w:val="211E1C6F"/>
    <w:rsid w:val="212E7391"/>
    <w:rsid w:val="213C3352"/>
    <w:rsid w:val="21580F6A"/>
    <w:rsid w:val="215A6C10"/>
    <w:rsid w:val="216271EC"/>
    <w:rsid w:val="2179562E"/>
    <w:rsid w:val="21EE732A"/>
    <w:rsid w:val="221555BD"/>
    <w:rsid w:val="223A2560"/>
    <w:rsid w:val="2241377E"/>
    <w:rsid w:val="224C0D41"/>
    <w:rsid w:val="22610ADC"/>
    <w:rsid w:val="226808F7"/>
    <w:rsid w:val="226B0733"/>
    <w:rsid w:val="228D7C9D"/>
    <w:rsid w:val="229357FA"/>
    <w:rsid w:val="22972CD2"/>
    <w:rsid w:val="22995958"/>
    <w:rsid w:val="22A92FC0"/>
    <w:rsid w:val="22BC2ECF"/>
    <w:rsid w:val="22CB540B"/>
    <w:rsid w:val="22E855A8"/>
    <w:rsid w:val="230B4AC3"/>
    <w:rsid w:val="2329590D"/>
    <w:rsid w:val="233A2855"/>
    <w:rsid w:val="23523791"/>
    <w:rsid w:val="237A6D08"/>
    <w:rsid w:val="238E1C43"/>
    <w:rsid w:val="23902990"/>
    <w:rsid w:val="23A44128"/>
    <w:rsid w:val="23A85B35"/>
    <w:rsid w:val="23A92476"/>
    <w:rsid w:val="23B60015"/>
    <w:rsid w:val="24140222"/>
    <w:rsid w:val="24486B22"/>
    <w:rsid w:val="249A2783"/>
    <w:rsid w:val="249C2E16"/>
    <w:rsid w:val="24BB6A68"/>
    <w:rsid w:val="24BE7090"/>
    <w:rsid w:val="24CE0110"/>
    <w:rsid w:val="251F46A9"/>
    <w:rsid w:val="25296688"/>
    <w:rsid w:val="25494FFA"/>
    <w:rsid w:val="254C68D0"/>
    <w:rsid w:val="256B0D5F"/>
    <w:rsid w:val="25740E8A"/>
    <w:rsid w:val="25822111"/>
    <w:rsid w:val="25844E5A"/>
    <w:rsid w:val="259F7026"/>
    <w:rsid w:val="25EC6881"/>
    <w:rsid w:val="25FA6BCA"/>
    <w:rsid w:val="26057CCC"/>
    <w:rsid w:val="26411246"/>
    <w:rsid w:val="266B6BC3"/>
    <w:rsid w:val="26BC4F7B"/>
    <w:rsid w:val="26BF150C"/>
    <w:rsid w:val="26D34679"/>
    <w:rsid w:val="26D46B1D"/>
    <w:rsid w:val="26F82CAB"/>
    <w:rsid w:val="270962CA"/>
    <w:rsid w:val="271D04C4"/>
    <w:rsid w:val="27341992"/>
    <w:rsid w:val="27373B49"/>
    <w:rsid w:val="27557645"/>
    <w:rsid w:val="27636E70"/>
    <w:rsid w:val="278067C7"/>
    <w:rsid w:val="279A1A1D"/>
    <w:rsid w:val="279E72B1"/>
    <w:rsid w:val="27BB4313"/>
    <w:rsid w:val="27D505CF"/>
    <w:rsid w:val="28023BA1"/>
    <w:rsid w:val="28240813"/>
    <w:rsid w:val="283B0F7B"/>
    <w:rsid w:val="28490A33"/>
    <w:rsid w:val="285F4386"/>
    <w:rsid w:val="28805007"/>
    <w:rsid w:val="288D2290"/>
    <w:rsid w:val="28D80D72"/>
    <w:rsid w:val="28DF17A9"/>
    <w:rsid w:val="292911DD"/>
    <w:rsid w:val="2937796D"/>
    <w:rsid w:val="2953360C"/>
    <w:rsid w:val="29741CCB"/>
    <w:rsid w:val="2987256D"/>
    <w:rsid w:val="298A5E4C"/>
    <w:rsid w:val="29AD0EC6"/>
    <w:rsid w:val="29B7494E"/>
    <w:rsid w:val="29C963B3"/>
    <w:rsid w:val="2A2B5E5C"/>
    <w:rsid w:val="2A6B5DDC"/>
    <w:rsid w:val="2A8709E5"/>
    <w:rsid w:val="2A8C512D"/>
    <w:rsid w:val="2AAE4521"/>
    <w:rsid w:val="2AC62096"/>
    <w:rsid w:val="2AC8572A"/>
    <w:rsid w:val="2AD30B29"/>
    <w:rsid w:val="2AD359D3"/>
    <w:rsid w:val="2AE9526F"/>
    <w:rsid w:val="2B334FBF"/>
    <w:rsid w:val="2B6B4122"/>
    <w:rsid w:val="2B7B7EAF"/>
    <w:rsid w:val="2BC01E75"/>
    <w:rsid w:val="2BC81F51"/>
    <w:rsid w:val="2BC87BBB"/>
    <w:rsid w:val="2BD03FD3"/>
    <w:rsid w:val="2BDA7B69"/>
    <w:rsid w:val="2BE22842"/>
    <w:rsid w:val="2BFE003F"/>
    <w:rsid w:val="2C34585E"/>
    <w:rsid w:val="2C3931AB"/>
    <w:rsid w:val="2C425456"/>
    <w:rsid w:val="2C467FD9"/>
    <w:rsid w:val="2C780513"/>
    <w:rsid w:val="2C7E2CB1"/>
    <w:rsid w:val="2C875D6D"/>
    <w:rsid w:val="2C941EB4"/>
    <w:rsid w:val="2CB018C6"/>
    <w:rsid w:val="2D247F68"/>
    <w:rsid w:val="2D504D52"/>
    <w:rsid w:val="2D874A4A"/>
    <w:rsid w:val="2D963B2C"/>
    <w:rsid w:val="2D9C172F"/>
    <w:rsid w:val="2D9C7F36"/>
    <w:rsid w:val="2DA80633"/>
    <w:rsid w:val="2DAA04E2"/>
    <w:rsid w:val="2DAD692B"/>
    <w:rsid w:val="2DAF3582"/>
    <w:rsid w:val="2DCB2E33"/>
    <w:rsid w:val="2DD0545E"/>
    <w:rsid w:val="2E1000F9"/>
    <w:rsid w:val="2E3C185E"/>
    <w:rsid w:val="2E456552"/>
    <w:rsid w:val="2E570FD5"/>
    <w:rsid w:val="2E8B6184"/>
    <w:rsid w:val="2E963724"/>
    <w:rsid w:val="2E9F2F01"/>
    <w:rsid w:val="2EC465DF"/>
    <w:rsid w:val="2EF1118F"/>
    <w:rsid w:val="2F0F3497"/>
    <w:rsid w:val="2F140012"/>
    <w:rsid w:val="2F5142C8"/>
    <w:rsid w:val="2F631386"/>
    <w:rsid w:val="2F9840F5"/>
    <w:rsid w:val="2F9B4F5A"/>
    <w:rsid w:val="2FAB7C18"/>
    <w:rsid w:val="2FC74994"/>
    <w:rsid w:val="2FCB1037"/>
    <w:rsid w:val="2FDF7494"/>
    <w:rsid w:val="302A78E2"/>
    <w:rsid w:val="303B1266"/>
    <w:rsid w:val="30702335"/>
    <w:rsid w:val="30A12166"/>
    <w:rsid w:val="30B12153"/>
    <w:rsid w:val="30D505AF"/>
    <w:rsid w:val="30E40164"/>
    <w:rsid w:val="31141D36"/>
    <w:rsid w:val="31707D24"/>
    <w:rsid w:val="31880C30"/>
    <w:rsid w:val="319835B4"/>
    <w:rsid w:val="31A21DD0"/>
    <w:rsid w:val="31A5215A"/>
    <w:rsid w:val="31AC70E0"/>
    <w:rsid w:val="31C13828"/>
    <w:rsid w:val="31C5236D"/>
    <w:rsid w:val="31CA513E"/>
    <w:rsid w:val="31CF7D49"/>
    <w:rsid w:val="31DE43E9"/>
    <w:rsid w:val="31EC48DA"/>
    <w:rsid w:val="31F25CE5"/>
    <w:rsid w:val="32086A7B"/>
    <w:rsid w:val="32436EE4"/>
    <w:rsid w:val="330142AE"/>
    <w:rsid w:val="330E3649"/>
    <w:rsid w:val="331533CF"/>
    <w:rsid w:val="334014E2"/>
    <w:rsid w:val="334134A1"/>
    <w:rsid w:val="334D5D44"/>
    <w:rsid w:val="33817283"/>
    <w:rsid w:val="3396611C"/>
    <w:rsid w:val="33B62415"/>
    <w:rsid w:val="33B9690F"/>
    <w:rsid w:val="33BA0788"/>
    <w:rsid w:val="33BD51A0"/>
    <w:rsid w:val="33E16D1D"/>
    <w:rsid w:val="33F125EB"/>
    <w:rsid w:val="33FC015A"/>
    <w:rsid w:val="33FE0882"/>
    <w:rsid w:val="340F28FE"/>
    <w:rsid w:val="3410683A"/>
    <w:rsid w:val="34110404"/>
    <w:rsid w:val="34173357"/>
    <w:rsid w:val="34234173"/>
    <w:rsid w:val="342A758D"/>
    <w:rsid w:val="342F36CF"/>
    <w:rsid w:val="343F7B90"/>
    <w:rsid w:val="34710119"/>
    <w:rsid w:val="347D2F95"/>
    <w:rsid w:val="34963664"/>
    <w:rsid w:val="349A419B"/>
    <w:rsid w:val="349F3547"/>
    <w:rsid w:val="34A71E2F"/>
    <w:rsid w:val="34E60112"/>
    <w:rsid w:val="34E6796E"/>
    <w:rsid w:val="3522139B"/>
    <w:rsid w:val="359B245C"/>
    <w:rsid w:val="359C7DBA"/>
    <w:rsid w:val="35A11890"/>
    <w:rsid w:val="35A316ED"/>
    <w:rsid w:val="35A42C59"/>
    <w:rsid w:val="35A646F2"/>
    <w:rsid w:val="35B41B10"/>
    <w:rsid w:val="35E91D6F"/>
    <w:rsid w:val="35F10500"/>
    <w:rsid w:val="361442C5"/>
    <w:rsid w:val="362267C3"/>
    <w:rsid w:val="36312331"/>
    <w:rsid w:val="3641212A"/>
    <w:rsid w:val="36484E32"/>
    <w:rsid w:val="366848A0"/>
    <w:rsid w:val="367D3810"/>
    <w:rsid w:val="36816585"/>
    <w:rsid w:val="368D3F20"/>
    <w:rsid w:val="36965ACB"/>
    <w:rsid w:val="369D4F48"/>
    <w:rsid w:val="36A8100E"/>
    <w:rsid w:val="36AD61D4"/>
    <w:rsid w:val="36C57C32"/>
    <w:rsid w:val="36DE12F2"/>
    <w:rsid w:val="36E82ED8"/>
    <w:rsid w:val="3744782D"/>
    <w:rsid w:val="375F2433"/>
    <w:rsid w:val="37765F01"/>
    <w:rsid w:val="3779679F"/>
    <w:rsid w:val="377C2B26"/>
    <w:rsid w:val="377D6009"/>
    <w:rsid w:val="37A1573C"/>
    <w:rsid w:val="37C93D50"/>
    <w:rsid w:val="37D26FE9"/>
    <w:rsid w:val="37F05285"/>
    <w:rsid w:val="37F54B45"/>
    <w:rsid w:val="380F71B6"/>
    <w:rsid w:val="3859444F"/>
    <w:rsid w:val="3864063D"/>
    <w:rsid w:val="389205E6"/>
    <w:rsid w:val="3892272B"/>
    <w:rsid w:val="389471A0"/>
    <w:rsid w:val="391C6344"/>
    <w:rsid w:val="39263E3F"/>
    <w:rsid w:val="39356E23"/>
    <w:rsid w:val="393E5003"/>
    <w:rsid w:val="39647D57"/>
    <w:rsid w:val="39766F71"/>
    <w:rsid w:val="3986608A"/>
    <w:rsid w:val="398B39B3"/>
    <w:rsid w:val="39A53A57"/>
    <w:rsid w:val="39AF6354"/>
    <w:rsid w:val="39E25881"/>
    <w:rsid w:val="3A830015"/>
    <w:rsid w:val="3A9F7993"/>
    <w:rsid w:val="3AA20FB4"/>
    <w:rsid w:val="3AD13648"/>
    <w:rsid w:val="3ADE4519"/>
    <w:rsid w:val="3B027070"/>
    <w:rsid w:val="3B131445"/>
    <w:rsid w:val="3B2845D9"/>
    <w:rsid w:val="3B2A0034"/>
    <w:rsid w:val="3B324FE8"/>
    <w:rsid w:val="3B54115C"/>
    <w:rsid w:val="3B7715F7"/>
    <w:rsid w:val="3B8E32E7"/>
    <w:rsid w:val="3BA25407"/>
    <w:rsid w:val="3BBF51E0"/>
    <w:rsid w:val="3C166B52"/>
    <w:rsid w:val="3C28235F"/>
    <w:rsid w:val="3C3405E7"/>
    <w:rsid w:val="3C343766"/>
    <w:rsid w:val="3C3E66B3"/>
    <w:rsid w:val="3C430CF3"/>
    <w:rsid w:val="3C432323"/>
    <w:rsid w:val="3C4F40A7"/>
    <w:rsid w:val="3C823306"/>
    <w:rsid w:val="3CBA5A99"/>
    <w:rsid w:val="3CC65AC6"/>
    <w:rsid w:val="3CE807A0"/>
    <w:rsid w:val="3CEA28EA"/>
    <w:rsid w:val="3D5A0987"/>
    <w:rsid w:val="3D7775CC"/>
    <w:rsid w:val="3D826C79"/>
    <w:rsid w:val="3D93654B"/>
    <w:rsid w:val="3DA422CD"/>
    <w:rsid w:val="3DAF71B4"/>
    <w:rsid w:val="3DC25603"/>
    <w:rsid w:val="3DD26D7F"/>
    <w:rsid w:val="3E25226D"/>
    <w:rsid w:val="3E564A25"/>
    <w:rsid w:val="3E9001F1"/>
    <w:rsid w:val="3E9C37C5"/>
    <w:rsid w:val="3EA24847"/>
    <w:rsid w:val="3EBE06C8"/>
    <w:rsid w:val="3EBE409B"/>
    <w:rsid w:val="3EC953EF"/>
    <w:rsid w:val="3EE55913"/>
    <w:rsid w:val="3EE64907"/>
    <w:rsid w:val="3EF17E70"/>
    <w:rsid w:val="3F0F6E2F"/>
    <w:rsid w:val="3F263625"/>
    <w:rsid w:val="3F266A58"/>
    <w:rsid w:val="3F2B61EE"/>
    <w:rsid w:val="3F4C79D4"/>
    <w:rsid w:val="3F5D7E31"/>
    <w:rsid w:val="3F706032"/>
    <w:rsid w:val="3F714634"/>
    <w:rsid w:val="3FF7649D"/>
    <w:rsid w:val="40215D33"/>
    <w:rsid w:val="40410BA7"/>
    <w:rsid w:val="406D6384"/>
    <w:rsid w:val="40890521"/>
    <w:rsid w:val="41146907"/>
    <w:rsid w:val="41514C7C"/>
    <w:rsid w:val="41801F79"/>
    <w:rsid w:val="418117BB"/>
    <w:rsid w:val="419822E2"/>
    <w:rsid w:val="41B97B1D"/>
    <w:rsid w:val="41BF010B"/>
    <w:rsid w:val="41DE6DF2"/>
    <w:rsid w:val="41E9411B"/>
    <w:rsid w:val="4259090E"/>
    <w:rsid w:val="42672FEB"/>
    <w:rsid w:val="42752198"/>
    <w:rsid w:val="42B63309"/>
    <w:rsid w:val="42B86E9B"/>
    <w:rsid w:val="42BB3480"/>
    <w:rsid w:val="42DC0934"/>
    <w:rsid w:val="42FC2809"/>
    <w:rsid w:val="43493B0B"/>
    <w:rsid w:val="4361083F"/>
    <w:rsid w:val="438569A9"/>
    <w:rsid w:val="438E2857"/>
    <w:rsid w:val="439A4C1C"/>
    <w:rsid w:val="43AB5C4C"/>
    <w:rsid w:val="43AF029E"/>
    <w:rsid w:val="43C256F2"/>
    <w:rsid w:val="44044F72"/>
    <w:rsid w:val="44051FDC"/>
    <w:rsid w:val="44095265"/>
    <w:rsid w:val="440E486B"/>
    <w:rsid w:val="44613C8E"/>
    <w:rsid w:val="44721BE9"/>
    <w:rsid w:val="44955610"/>
    <w:rsid w:val="44BD04CB"/>
    <w:rsid w:val="44C95021"/>
    <w:rsid w:val="44D84861"/>
    <w:rsid w:val="44E56EC9"/>
    <w:rsid w:val="45173EE8"/>
    <w:rsid w:val="451B2EDF"/>
    <w:rsid w:val="451E4351"/>
    <w:rsid w:val="454E6698"/>
    <w:rsid w:val="455001D9"/>
    <w:rsid w:val="456379CB"/>
    <w:rsid w:val="45714242"/>
    <w:rsid w:val="458147D7"/>
    <w:rsid w:val="45C57D12"/>
    <w:rsid w:val="45E71095"/>
    <w:rsid w:val="45F27FB9"/>
    <w:rsid w:val="461D6E69"/>
    <w:rsid w:val="462431C5"/>
    <w:rsid w:val="46435A09"/>
    <w:rsid w:val="465F427C"/>
    <w:rsid w:val="46666DC9"/>
    <w:rsid w:val="46852B2D"/>
    <w:rsid w:val="46916EDC"/>
    <w:rsid w:val="46AF17B6"/>
    <w:rsid w:val="46E81114"/>
    <w:rsid w:val="4702433E"/>
    <w:rsid w:val="47137B45"/>
    <w:rsid w:val="47213261"/>
    <w:rsid w:val="475B27DA"/>
    <w:rsid w:val="476A10AC"/>
    <w:rsid w:val="47717679"/>
    <w:rsid w:val="479559FD"/>
    <w:rsid w:val="47B374E0"/>
    <w:rsid w:val="47B85C40"/>
    <w:rsid w:val="47C06F1E"/>
    <w:rsid w:val="47C91D28"/>
    <w:rsid w:val="47F027BB"/>
    <w:rsid w:val="47F92430"/>
    <w:rsid w:val="482F7BFF"/>
    <w:rsid w:val="483059DD"/>
    <w:rsid w:val="4887575C"/>
    <w:rsid w:val="48C54899"/>
    <w:rsid w:val="48D957A6"/>
    <w:rsid w:val="48DE0909"/>
    <w:rsid w:val="48FE3183"/>
    <w:rsid w:val="491E7A02"/>
    <w:rsid w:val="493101B0"/>
    <w:rsid w:val="49661A00"/>
    <w:rsid w:val="49730F71"/>
    <w:rsid w:val="499B2F86"/>
    <w:rsid w:val="49A939AB"/>
    <w:rsid w:val="49AE54EA"/>
    <w:rsid w:val="49B36701"/>
    <w:rsid w:val="49B60238"/>
    <w:rsid w:val="49E82739"/>
    <w:rsid w:val="49FE029E"/>
    <w:rsid w:val="4A062019"/>
    <w:rsid w:val="4A0F7CE8"/>
    <w:rsid w:val="4A173DF2"/>
    <w:rsid w:val="4A1C63FF"/>
    <w:rsid w:val="4A490878"/>
    <w:rsid w:val="4A826368"/>
    <w:rsid w:val="4A9A3CDD"/>
    <w:rsid w:val="4ABD7AE5"/>
    <w:rsid w:val="4AEC7BBD"/>
    <w:rsid w:val="4AFB5678"/>
    <w:rsid w:val="4AFF1FD5"/>
    <w:rsid w:val="4B1E67B5"/>
    <w:rsid w:val="4B2E6949"/>
    <w:rsid w:val="4B32399B"/>
    <w:rsid w:val="4B427C4A"/>
    <w:rsid w:val="4B6773C6"/>
    <w:rsid w:val="4BE37DDD"/>
    <w:rsid w:val="4C0C237D"/>
    <w:rsid w:val="4C390AD2"/>
    <w:rsid w:val="4C3C28EB"/>
    <w:rsid w:val="4C8303A9"/>
    <w:rsid w:val="4CDF7E46"/>
    <w:rsid w:val="4CE80E73"/>
    <w:rsid w:val="4D043663"/>
    <w:rsid w:val="4D0815F6"/>
    <w:rsid w:val="4D1A0E7E"/>
    <w:rsid w:val="4D263351"/>
    <w:rsid w:val="4D604F98"/>
    <w:rsid w:val="4DCF324A"/>
    <w:rsid w:val="4DD01E83"/>
    <w:rsid w:val="4DD079A2"/>
    <w:rsid w:val="4E2E69A5"/>
    <w:rsid w:val="4E340AD0"/>
    <w:rsid w:val="4E4B26B8"/>
    <w:rsid w:val="4E841C6D"/>
    <w:rsid w:val="4E8C381B"/>
    <w:rsid w:val="4EA21BF4"/>
    <w:rsid w:val="4EA46954"/>
    <w:rsid w:val="4EE0529E"/>
    <w:rsid w:val="4F016F2F"/>
    <w:rsid w:val="4F0576EE"/>
    <w:rsid w:val="4F0F5B7E"/>
    <w:rsid w:val="4F3D4505"/>
    <w:rsid w:val="4F66548E"/>
    <w:rsid w:val="4F6E7EA9"/>
    <w:rsid w:val="4F7F22CD"/>
    <w:rsid w:val="4F855440"/>
    <w:rsid w:val="4F8C4D6C"/>
    <w:rsid w:val="4FC4167D"/>
    <w:rsid w:val="4FC81F97"/>
    <w:rsid w:val="4FD82E97"/>
    <w:rsid w:val="4FDA2F72"/>
    <w:rsid w:val="4FE31710"/>
    <w:rsid w:val="502618E8"/>
    <w:rsid w:val="504903E5"/>
    <w:rsid w:val="505666D7"/>
    <w:rsid w:val="50600C4B"/>
    <w:rsid w:val="506B379F"/>
    <w:rsid w:val="50783C11"/>
    <w:rsid w:val="50CA33A4"/>
    <w:rsid w:val="50D30B89"/>
    <w:rsid w:val="50E522EC"/>
    <w:rsid w:val="50F22635"/>
    <w:rsid w:val="50FA4CB1"/>
    <w:rsid w:val="50FC026A"/>
    <w:rsid w:val="50FC34A6"/>
    <w:rsid w:val="50FE1A5D"/>
    <w:rsid w:val="51257DF2"/>
    <w:rsid w:val="517C185A"/>
    <w:rsid w:val="51BA3670"/>
    <w:rsid w:val="51CE7CF4"/>
    <w:rsid w:val="51F263B7"/>
    <w:rsid w:val="520030B4"/>
    <w:rsid w:val="52095886"/>
    <w:rsid w:val="5210667F"/>
    <w:rsid w:val="522E380C"/>
    <w:rsid w:val="523A6198"/>
    <w:rsid w:val="52483BE5"/>
    <w:rsid w:val="524E64ED"/>
    <w:rsid w:val="52845052"/>
    <w:rsid w:val="52933A77"/>
    <w:rsid w:val="52A35472"/>
    <w:rsid w:val="52A767F6"/>
    <w:rsid w:val="52DB7FC1"/>
    <w:rsid w:val="52E65207"/>
    <w:rsid w:val="52E96AB3"/>
    <w:rsid w:val="52F46467"/>
    <w:rsid w:val="531C02AF"/>
    <w:rsid w:val="535D7562"/>
    <w:rsid w:val="53605111"/>
    <w:rsid w:val="537132FC"/>
    <w:rsid w:val="5375632B"/>
    <w:rsid w:val="538D764B"/>
    <w:rsid w:val="53901CFD"/>
    <w:rsid w:val="539B3C1A"/>
    <w:rsid w:val="53CC6C4A"/>
    <w:rsid w:val="53D366C6"/>
    <w:rsid w:val="53FE02DC"/>
    <w:rsid w:val="542218BA"/>
    <w:rsid w:val="542D13CE"/>
    <w:rsid w:val="54312FB2"/>
    <w:rsid w:val="544946C7"/>
    <w:rsid w:val="548E3176"/>
    <w:rsid w:val="54D6314F"/>
    <w:rsid w:val="54EB19ED"/>
    <w:rsid w:val="54FE1085"/>
    <w:rsid w:val="55203509"/>
    <w:rsid w:val="552D6F21"/>
    <w:rsid w:val="55CE0F5E"/>
    <w:rsid w:val="55F83F0C"/>
    <w:rsid w:val="55FD6C03"/>
    <w:rsid w:val="5616072A"/>
    <w:rsid w:val="561D608B"/>
    <w:rsid w:val="561F07A8"/>
    <w:rsid w:val="5658595A"/>
    <w:rsid w:val="566C4F24"/>
    <w:rsid w:val="56770197"/>
    <w:rsid w:val="56AD1781"/>
    <w:rsid w:val="56E5383B"/>
    <w:rsid w:val="56F0675F"/>
    <w:rsid w:val="56F701E5"/>
    <w:rsid w:val="56FC3F12"/>
    <w:rsid w:val="57124CB5"/>
    <w:rsid w:val="57220686"/>
    <w:rsid w:val="57282C16"/>
    <w:rsid w:val="575339F8"/>
    <w:rsid w:val="575A3E1B"/>
    <w:rsid w:val="57672F12"/>
    <w:rsid w:val="5794177E"/>
    <w:rsid w:val="579B0E0D"/>
    <w:rsid w:val="57A807CD"/>
    <w:rsid w:val="57BF2D4E"/>
    <w:rsid w:val="57E5318A"/>
    <w:rsid w:val="57EF4CB5"/>
    <w:rsid w:val="57FB0E4D"/>
    <w:rsid w:val="580E15DF"/>
    <w:rsid w:val="581C0535"/>
    <w:rsid w:val="581E3565"/>
    <w:rsid w:val="584E0600"/>
    <w:rsid w:val="586002E5"/>
    <w:rsid w:val="58A3442B"/>
    <w:rsid w:val="58B33B8C"/>
    <w:rsid w:val="58BF0B2C"/>
    <w:rsid w:val="58C425E6"/>
    <w:rsid w:val="58DD2755"/>
    <w:rsid w:val="590736D3"/>
    <w:rsid w:val="590C5626"/>
    <w:rsid w:val="59193CE4"/>
    <w:rsid w:val="592B4413"/>
    <w:rsid w:val="5931649C"/>
    <w:rsid w:val="59336CDC"/>
    <w:rsid w:val="5940606E"/>
    <w:rsid w:val="59527BF2"/>
    <w:rsid w:val="59534C13"/>
    <w:rsid w:val="598D4786"/>
    <w:rsid w:val="598E6BE8"/>
    <w:rsid w:val="599D7A79"/>
    <w:rsid w:val="59A428B9"/>
    <w:rsid w:val="59BE7035"/>
    <w:rsid w:val="59C96098"/>
    <w:rsid w:val="5A2D11C0"/>
    <w:rsid w:val="5A6E01CD"/>
    <w:rsid w:val="5AA830AA"/>
    <w:rsid w:val="5AA91A93"/>
    <w:rsid w:val="5AB6510A"/>
    <w:rsid w:val="5AD24740"/>
    <w:rsid w:val="5B0F515D"/>
    <w:rsid w:val="5B165A73"/>
    <w:rsid w:val="5B16721C"/>
    <w:rsid w:val="5B2367C2"/>
    <w:rsid w:val="5B4103D8"/>
    <w:rsid w:val="5B9E0ECC"/>
    <w:rsid w:val="5BA80B50"/>
    <w:rsid w:val="5BF04F20"/>
    <w:rsid w:val="5C052EEE"/>
    <w:rsid w:val="5C2654BF"/>
    <w:rsid w:val="5C2F2F43"/>
    <w:rsid w:val="5C5E7FCE"/>
    <w:rsid w:val="5CA8594E"/>
    <w:rsid w:val="5CD014EC"/>
    <w:rsid w:val="5CD32DF8"/>
    <w:rsid w:val="5CE25F43"/>
    <w:rsid w:val="5D095B77"/>
    <w:rsid w:val="5D0B2A81"/>
    <w:rsid w:val="5D154EB4"/>
    <w:rsid w:val="5D3C0A81"/>
    <w:rsid w:val="5D4164B0"/>
    <w:rsid w:val="5D4D6D86"/>
    <w:rsid w:val="5D4F4B86"/>
    <w:rsid w:val="5D6A5F57"/>
    <w:rsid w:val="5D6D3161"/>
    <w:rsid w:val="5D714692"/>
    <w:rsid w:val="5D996150"/>
    <w:rsid w:val="5D9D3CBF"/>
    <w:rsid w:val="5DB00CF4"/>
    <w:rsid w:val="5DB21F0B"/>
    <w:rsid w:val="5DB836DA"/>
    <w:rsid w:val="5DCB6D3F"/>
    <w:rsid w:val="5DD45079"/>
    <w:rsid w:val="5DED0147"/>
    <w:rsid w:val="5DED62DB"/>
    <w:rsid w:val="5E3027E5"/>
    <w:rsid w:val="5E42030A"/>
    <w:rsid w:val="5E451AD3"/>
    <w:rsid w:val="5E473C94"/>
    <w:rsid w:val="5E581A0F"/>
    <w:rsid w:val="5E59623C"/>
    <w:rsid w:val="5E7B1144"/>
    <w:rsid w:val="5EAB124C"/>
    <w:rsid w:val="5EBC6AC9"/>
    <w:rsid w:val="5EDF7832"/>
    <w:rsid w:val="5EF07C91"/>
    <w:rsid w:val="5F03495E"/>
    <w:rsid w:val="5F171B57"/>
    <w:rsid w:val="5F8A4D8F"/>
    <w:rsid w:val="5FAE2A1D"/>
    <w:rsid w:val="60024E97"/>
    <w:rsid w:val="6012443A"/>
    <w:rsid w:val="6015244D"/>
    <w:rsid w:val="60324ABB"/>
    <w:rsid w:val="603525BF"/>
    <w:rsid w:val="603B2692"/>
    <w:rsid w:val="604279EF"/>
    <w:rsid w:val="606A75F0"/>
    <w:rsid w:val="60AC578B"/>
    <w:rsid w:val="60BA0556"/>
    <w:rsid w:val="60CB09E4"/>
    <w:rsid w:val="60CC1659"/>
    <w:rsid w:val="60E10CAA"/>
    <w:rsid w:val="60ED7D0A"/>
    <w:rsid w:val="60FE73F7"/>
    <w:rsid w:val="610E2650"/>
    <w:rsid w:val="614641F5"/>
    <w:rsid w:val="615362B5"/>
    <w:rsid w:val="61657A8A"/>
    <w:rsid w:val="61842DF0"/>
    <w:rsid w:val="618B10D9"/>
    <w:rsid w:val="61912C49"/>
    <w:rsid w:val="61AD4524"/>
    <w:rsid w:val="61B25965"/>
    <w:rsid w:val="61D7187C"/>
    <w:rsid w:val="61F45CEA"/>
    <w:rsid w:val="62037AAF"/>
    <w:rsid w:val="621C6F7A"/>
    <w:rsid w:val="623D4B40"/>
    <w:rsid w:val="62786818"/>
    <w:rsid w:val="62812554"/>
    <w:rsid w:val="62842DBB"/>
    <w:rsid w:val="628431C8"/>
    <w:rsid w:val="62894684"/>
    <w:rsid w:val="629E17B2"/>
    <w:rsid w:val="62FD761E"/>
    <w:rsid w:val="6319792E"/>
    <w:rsid w:val="632B5A11"/>
    <w:rsid w:val="632C14B3"/>
    <w:rsid w:val="635066FE"/>
    <w:rsid w:val="63754B40"/>
    <w:rsid w:val="638660CB"/>
    <w:rsid w:val="638C22F6"/>
    <w:rsid w:val="639763C0"/>
    <w:rsid w:val="639C08B9"/>
    <w:rsid w:val="639D5F0D"/>
    <w:rsid w:val="643815BC"/>
    <w:rsid w:val="64400567"/>
    <w:rsid w:val="646E3B40"/>
    <w:rsid w:val="64843E2C"/>
    <w:rsid w:val="64FA44E3"/>
    <w:rsid w:val="65071890"/>
    <w:rsid w:val="650E63B1"/>
    <w:rsid w:val="653269D0"/>
    <w:rsid w:val="65C60DEB"/>
    <w:rsid w:val="65D23134"/>
    <w:rsid w:val="65D94174"/>
    <w:rsid w:val="65DFFC44"/>
    <w:rsid w:val="660E3C9E"/>
    <w:rsid w:val="661F0AFE"/>
    <w:rsid w:val="661F33AD"/>
    <w:rsid w:val="663629CA"/>
    <w:rsid w:val="66464337"/>
    <w:rsid w:val="66546DBB"/>
    <w:rsid w:val="666F5074"/>
    <w:rsid w:val="66D659BE"/>
    <w:rsid w:val="66ED4386"/>
    <w:rsid w:val="66FB1098"/>
    <w:rsid w:val="67031AD3"/>
    <w:rsid w:val="6704280D"/>
    <w:rsid w:val="67121F92"/>
    <w:rsid w:val="67192DA5"/>
    <w:rsid w:val="67306B19"/>
    <w:rsid w:val="67410213"/>
    <w:rsid w:val="67803B7C"/>
    <w:rsid w:val="67841693"/>
    <w:rsid w:val="67863B98"/>
    <w:rsid w:val="67893BA9"/>
    <w:rsid w:val="67966607"/>
    <w:rsid w:val="67DB516E"/>
    <w:rsid w:val="67E24C35"/>
    <w:rsid w:val="67E7083D"/>
    <w:rsid w:val="67F45DB9"/>
    <w:rsid w:val="68125140"/>
    <w:rsid w:val="683F4968"/>
    <w:rsid w:val="6841088D"/>
    <w:rsid w:val="68655C8B"/>
    <w:rsid w:val="68837A1C"/>
    <w:rsid w:val="68B91843"/>
    <w:rsid w:val="68D36544"/>
    <w:rsid w:val="68D9372F"/>
    <w:rsid w:val="68F9628B"/>
    <w:rsid w:val="690A7F8E"/>
    <w:rsid w:val="6920726B"/>
    <w:rsid w:val="693076BD"/>
    <w:rsid w:val="69335730"/>
    <w:rsid w:val="694F22CF"/>
    <w:rsid w:val="696C7A3C"/>
    <w:rsid w:val="69825912"/>
    <w:rsid w:val="69BD4382"/>
    <w:rsid w:val="69FA4B21"/>
    <w:rsid w:val="6A5833AB"/>
    <w:rsid w:val="6A605C62"/>
    <w:rsid w:val="6AE91793"/>
    <w:rsid w:val="6AF77B9B"/>
    <w:rsid w:val="6AF91C7B"/>
    <w:rsid w:val="6AF93A8C"/>
    <w:rsid w:val="6B06697E"/>
    <w:rsid w:val="6B482574"/>
    <w:rsid w:val="6B5B5827"/>
    <w:rsid w:val="6B772141"/>
    <w:rsid w:val="6B7C6984"/>
    <w:rsid w:val="6B9448EE"/>
    <w:rsid w:val="6BBB0ABC"/>
    <w:rsid w:val="6BBC1EC4"/>
    <w:rsid w:val="6BC95DA3"/>
    <w:rsid w:val="6BDB7736"/>
    <w:rsid w:val="6C092833"/>
    <w:rsid w:val="6C15141B"/>
    <w:rsid w:val="6C1E130A"/>
    <w:rsid w:val="6C236F38"/>
    <w:rsid w:val="6C3233CE"/>
    <w:rsid w:val="6C472EBA"/>
    <w:rsid w:val="6C8B4EC4"/>
    <w:rsid w:val="6C927AC4"/>
    <w:rsid w:val="6C98177E"/>
    <w:rsid w:val="6C9E5603"/>
    <w:rsid w:val="6CA36342"/>
    <w:rsid w:val="6CA85836"/>
    <w:rsid w:val="6CAB6ED5"/>
    <w:rsid w:val="6CAC5E55"/>
    <w:rsid w:val="6CAE7295"/>
    <w:rsid w:val="6CB0280D"/>
    <w:rsid w:val="6CBE4128"/>
    <w:rsid w:val="6CCD72EF"/>
    <w:rsid w:val="6CD577EB"/>
    <w:rsid w:val="6D072AFE"/>
    <w:rsid w:val="6D0E4819"/>
    <w:rsid w:val="6D296CF6"/>
    <w:rsid w:val="6D432691"/>
    <w:rsid w:val="6D601880"/>
    <w:rsid w:val="6D663515"/>
    <w:rsid w:val="6DAE3C49"/>
    <w:rsid w:val="6DD520AF"/>
    <w:rsid w:val="6E0D759F"/>
    <w:rsid w:val="6E280FA7"/>
    <w:rsid w:val="6E566323"/>
    <w:rsid w:val="6E6411E9"/>
    <w:rsid w:val="6E993574"/>
    <w:rsid w:val="6EB45666"/>
    <w:rsid w:val="6EF249D7"/>
    <w:rsid w:val="6F231BC1"/>
    <w:rsid w:val="6F373794"/>
    <w:rsid w:val="6F5A0DAB"/>
    <w:rsid w:val="6F697C4F"/>
    <w:rsid w:val="6F730093"/>
    <w:rsid w:val="6F8B5149"/>
    <w:rsid w:val="6F9856C9"/>
    <w:rsid w:val="6F9C0A05"/>
    <w:rsid w:val="6FA221CA"/>
    <w:rsid w:val="6FFD2279"/>
    <w:rsid w:val="6FFE5F86"/>
    <w:rsid w:val="70093638"/>
    <w:rsid w:val="700B3A02"/>
    <w:rsid w:val="704F233D"/>
    <w:rsid w:val="705F04F5"/>
    <w:rsid w:val="70AE6124"/>
    <w:rsid w:val="70C36992"/>
    <w:rsid w:val="70CA4C57"/>
    <w:rsid w:val="70F44064"/>
    <w:rsid w:val="712E5AB1"/>
    <w:rsid w:val="71497E7E"/>
    <w:rsid w:val="718F50E7"/>
    <w:rsid w:val="71BB177A"/>
    <w:rsid w:val="71DA041E"/>
    <w:rsid w:val="71E8347B"/>
    <w:rsid w:val="727C2DEE"/>
    <w:rsid w:val="72A16483"/>
    <w:rsid w:val="72A54001"/>
    <w:rsid w:val="72AE4A23"/>
    <w:rsid w:val="72BD5247"/>
    <w:rsid w:val="72D80939"/>
    <w:rsid w:val="72EB2E97"/>
    <w:rsid w:val="72F773E8"/>
    <w:rsid w:val="72FA6627"/>
    <w:rsid w:val="73067DE5"/>
    <w:rsid w:val="732744BC"/>
    <w:rsid w:val="734946AB"/>
    <w:rsid w:val="73A00D70"/>
    <w:rsid w:val="73A41480"/>
    <w:rsid w:val="73B23CBE"/>
    <w:rsid w:val="73C73415"/>
    <w:rsid w:val="73E83016"/>
    <w:rsid w:val="73E83AAA"/>
    <w:rsid w:val="740322BB"/>
    <w:rsid w:val="741629B0"/>
    <w:rsid w:val="741C71F6"/>
    <w:rsid w:val="74314040"/>
    <w:rsid w:val="743E2427"/>
    <w:rsid w:val="74661527"/>
    <w:rsid w:val="749402ED"/>
    <w:rsid w:val="74C71153"/>
    <w:rsid w:val="750665BF"/>
    <w:rsid w:val="750E5B52"/>
    <w:rsid w:val="75264D31"/>
    <w:rsid w:val="754137C9"/>
    <w:rsid w:val="754724E0"/>
    <w:rsid w:val="7558625D"/>
    <w:rsid w:val="75594E45"/>
    <w:rsid w:val="759233F8"/>
    <w:rsid w:val="75946E69"/>
    <w:rsid w:val="75C17839"/>
    <w:rsid w:val="75FF04BB"/>
    <w:rsid w:val="76092AF9"/>
    <w:rsid w:val="761D1FE8"/>
    <w:rsid w:val="762B112B"/>
    <w:rsid w:val="763757A5"/>
    <w:rsid w:val="7646393B"/>
    <w:rsid w:val="76523440"/>
    <w:rsid w:val="76646B96"/>
    <w:rsid w:val="7667431E"/>
    <w:rsid w:val="768052EC"/>
    <w:rsid w:val="769B26DC"/>
    <w:rsid w:val="76B455F0"/>
    <w:rsid w:val="76C661CC"/>
    <w:rsid w:val="76D17FED"/>
    <w:rsid w:val="76E1614E"/>
    <w:rsid w:val="76F42D14"/>
    <w:rsid w:val="76FB2E95"/>
    <w:rsid w:val="770E6685"/>
    <w:rsid w:val="774E387D"/>
    <w:rsid w:val="775104F3"/>
    <w:rsid w:val="77976AA4"/>
    <w:rsid w:val="77CA24A3"/>
    <w:rsid w:val="77DB3552"/>
    <w:rsid w:val="77E774C4"/>
    <w:rsid w:val="77EB7F85"/>
    <w:rsid w:val="77F823E3"/>
    <w:rsid w:val="78066D81"/>
    <w:rsid w:val="780963F2"/>
    <w:rsid w:val="782837D8"/>
    <w:rsid w:val="783016DA"/>
    <w:rsid w:val="783C08C4"/>
    <w:rsid w:val="788879F3"/>
    <w:rsid w:val="788A39FC"/>
    <w:rsid w:val="78A83DBD"/>
    <w:rsid w:val="78AE17DB"/>
    <w:rsid w:val="78B31635"/>
    <w:rsid w:val="78D913E8"/>
    <w:rsid w:val="78DB7B06"/>
    <w:rsid w:val="78E22959"/>
    <w:rsid w:val="78E64B57"/>
    <w:rsid w:val="78F63C9E"/>
    <w:rsid w:val="78FF0DA4"/>
    <w:rsid w:val="79295693"/>
    <w:rsid w:val="792B6967"/>
    <w:rsid w:val="793E3D20"/>
    <w:rsid w:val="793F73F3"/>
    <w:rsid w:val="79556945"/>
    <w:rsid w:val="79664A95"/>
    <w:rsid w:val="79770A9C"/>
    <w:rsid w:val="798C2340"/>
    <w:rsid w:val="799C07D4"/>
    <w:rsid w:val="79A74FA7"/>
    <w:rsid w:val="79BD656A"/>
    <w:rsid w:val="79C71039"/>
    <w:rsid w:val="79F75828"/>
    <w:rsid w:val="79FD73B6"/>
    <w:rsid w:val="7A030BD8"/>
    <w:rsid w:val="7A0A1F38"/>
    <w:rsid w:val="7A153000"/>
    <w:rsid w:val="7A216073"/>
    <w:rsid w:val="7A5769BE"/>
    <w:rsid w:val="7A7C625B"/>
    <w:rsid w:val="7A9C314A"/>
    <w:rsid w:val="7AA61E09"/>
    <w:rsid w:val="7AB5039D"/>
    <w:rsid w:val="7ABD11C9"/>
    <w:rsid w:val="7ABF3BCC"/>
    <w:rsid w:val="7AF004A6"/>
    <w:rsid w:val="7AF97AFC"/>
    <w:rsid w:val="7B1C6D92"/>
    <w:rsid w:val="7B262824"/>
    <w:rsid w:val="7B2B7110"/>
    <w:rsid w:val="7B3C1806"/>
    <w:rsid w:val="7B49649D"/>
    <w:rsid w:val="7B6273C9"/>
    <w:rsid w:val="7B68147B"/>
    <w:rsid w:val="7B8E473F"/>
    <w:rsid w:val="7B8F330B"/>
    <w:rsid w:val="7B93556B"/>
    <w:rsid w:val="7BAC17F7"/>
    <w:rsid w:val="7BF36B62"/>
    <w:rsid w:val="7BFA6A0E"/>
    <w:rsid w:val="7BFE6929"/>
    <w:rsid w:val="7C0912B5"/>
    <w:rsid w:val="7C0F56DD"/>
    <w:rsid w:val="7C271257"/>
    <w:rsid w:val="7C296D4B"/>
    <w:rsid w:val="7C3776DC"/>
    <w:rsid w:val="7C3E5ED5"/>
    <w:rsid w:val="7C4A2E0B"/>
    <w:rsid w:val="7C9A0DE4"/>
    <w:rsid w:val="7CEC751D"/>
    <w:rsid w:val="7D116D86"/>
    <w:rsid w:val="7D2E616D"/>
    <w:rsid w:val="7D4F7E21"/>
    <w:rsid w:val="7D542BA7"/>
    <w:rsid w:val="7D733D77"/>
    <w:rsid w:val="7D737166"/>
    <w:rsid w:val="7D746944"/>
    <w:rsid w:val="7D8A2CCE"/>
    <w:rsid w:val="7D8E085B"/>
    <w:rsid w:val="7DD8007A"/>
    <w:rsid w:val="7DEF6462"/>
    <w:rsid w:val="7DFE4BD2"/>
    <w:rsid w:val="7E115AF8"/>
    <w:rsid w:val="7E320B69"/>
    <w:rsid w:val="7E53317E"/>
    <w:rsid w:val="7E587866"/>
    <w:rsid w:val="7E626826"/>
    <w:rsid w:val="7E82250F"/>
    <w:rsid w:val="7E836041"/>
    <w:rsid w:val="7EC363D0"/>
    <w:rsid w:val="7EF953FA"/>
    <w:rsid w:val="7F0165C3"/>
    <w:rsid w:val="7F28602E"/>
    <w:rsid w:val="7F4E36EE"/>
    <w:rsid w:val="7F5C05D3"/>
    <w:rsid w:val="7F6604A1"/>
    <w:rsid w:val="7F741BB7"/>
    <w:rsid w:val="7F971DDE"/>
    <w:rsid w:val="7F9B666E"/>
    <w:rsid w:val="7FCB4A12"/>
    <w:rsid w:val="7FD47266"/>
    <w:rsid w:val="7FE6130C"/>
    <w:rsid w:val="7FEA3F31"/>
    <w:rsid w:val="7FEE4546"/>
    <w:rsid w:val="9E7D0113"/>
    <w:rsid w:val="BFF529A3"/>
    <w:rsid w:val="F973FE88"/>
    <w:rsid w:val="F9BF9C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0"/>
    <w:autoRedefine/>
    <w:qFormat/>
    <w:uiPriority w:val="99"/>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color w:val="000000"/>
      <w:kern w:val="44"/>
      <w:sz w:val="36"/>
    </w:rPr>
  </w:style>
  <w:style w:type="paragraph" w:styleId="4">
    <w:name w:val="heading 2"/>
    <w:basedOn w:val="1"/>
    <w:next w:val="1"/>
    <w:link w:val="59"/>
    <w:autoRedefine/>
    <w:qFormat/>
    <w:uiPriority w:val="99"/>
    <w:pPr>
      <w:keepNext/>
      <w:keepLines/>
      <w:numPr>
        <w:ilvl w:val="1"/>
        <w:numId w:val="1"/>
      </w:numPr>
      <w:tabs>
        <w:tab w:val="left" w:pos="360"/>
      </w:tabs>
      <w:spacing w:before="260" w:after="260" w:line="416" w:lineRule="auto"/>
      <w:outlineLvl w:val="1"/>
    </w:pPr>
    <w:rPr>
      <w:rFonts w:ascii="Arial" w:hAnsi="Arial" w:eastAsia="黑体"/>
      <w:bCs/>
      <w:kern w:val="0"/>
      <w:sz w:val="32"/>
      <w:szCs w:val="32"/>
    </w:rPr>
  </w:style>
  <w:style w:type="paragraph" w:styleId="5">
    <w:name w:val="heading 3"/>
    <w:basedOn w:val="1"/>
    <w:next w:val="1"/>
    <w:link w:val="61"/>
    <w:autoRedefine/>
    <w:qFormat/>
    <w:uiPriority w:val="99"/>
    <w:pPr>
      <w:numPr>
        <w:ilvl w:val="2"/>
        <w:numId w:val="1"/>
      </w:numPr>
      <w:autoSpaceDE w:val="0"/>
      <w:autoSpaceDN w:val="0"/>
      <w:adjustRightInd w:val="0"/>
      <w:spacing w:line="300" w:lineRule="auto"/>
      <w:textAlignment w:val="baseline"/>
      <w:outlineLvl w:val="2"/>
    </w:pPr>
    <w:rPr>
      <w:rFonts w:ascii="黑体" w:hAnsi="Calibri" w:eastAsia="黑体"/>
      <w:color w:val="000000"/>
      <w:kern w:val="0"/>
      <w:sz w:val="28"/>
    </w:rPr>
  </w:style>
  <w:style w:type="paragraph" w:styleId="6">
    <w:name w:val="heading 4"/>
    <w:basedOn w:val="5"/>
    <w:next w:val="7"/>
    <w:link w:val="58"/>
    <w:autoRedefine/>
    <w:qFormat/>
    <w:uiPriority w:val="99"/>
    <w:pPr>
      <w:keepNext/>
      <w:keepLines/>
      <w:spacing w:before="280" w:after="290" w:line="376" w:lineRule="auto"/>
      <w:outlineLvl w:val="3"/>
    </w:pPr>
    <w:rPr>
      <w:rFonts w:ascii="Cambria" w:hAnsi="Cambria"/>
    </w:rPr>
  </w:style>
  <w:style w:type="paragraph" w:styleId="7">
    <w:name w:val="heading 5"/>
    <w:basedOn w:val="1"/>
    <w:next w:val="1"/>
    <w:link w:val="62"/>
    <w:autoRedefine/>
    <w:qFormat/>
    <w:uiPriority w:val="99"/>
    <w:pPr>
      <w:keepNext/>
      <w:keepLines/>
      <w:spacing w:before="280" w:after="290" w:line="376" w:lineRule="auto"/>
      <w:outlineLvl w:val="4"/>
    </w:pPr>
    <w:rPr>
      <w:rFonts w:ascii="Calibri" w:hAnsi="Calibri"/>
      <w:kern w:val="0"/>
      <w:sz w:val="28"/>
    </w:rPr>
  </w:style>
  <w:style w:type="paragraph" w:styleId="8">
    <w:name w:val="heading 6"/>
    <w:basedOn w:val="1"/>
    <w:next w:val="1"/>
    <w:link w:val="63"/>
    <w:autoRedefine/>
    <w:qFormat/>
    <w:uiPriority w:val="99"/>
    <w:pPr>
      <w:keepNext/>
      <w:keepLines/>
      <w:spacing w:before="240" w:after="64" w:line="320" w:lineRule="auto"/>
      <w:outlineLvl w:val="5"/>
    </w:pPr>
    <w:rPr>
      <w:rFonts w:ascii="Cambria" w:hAnsi="Cambria"/>
      <w:kern w:val="0"/>
      <w:sz w:val="24"/>
    </w:rPr>
  </w:style>
  <w:style w:type="paragraph" w:styleId="9">
    <w:name w:val="heading 7"/>
    <w:basedOn w:val="1"/>
    <w:next w:val="1"/>
    <w:link w:val="64"/>
    <w:autoRedefine/>
    <w:qFormat/>
    <w:uiPriority w:val="99"/>
    <w:pPr>
      <w:keepNext/>
      <w:keepLines/>
      <w:numPr>
        <w:ilvl w:val="6"/>
        <w:numId w:val="2"/>
      </w:numPr>
      <w:adjustRightInd w:val="0"/>
      <w:spacing w:before="240" w:after="64" w:line="320" w:lineRule="atLeast"/>
      <w:textAlignment w:val="baseline"/>
      <w:outlineLvl w:val="6"/>
    </w:pPr>
    <w:rPr>
      <w:rFonts w:ascii="宋体" w:hAnsi="Calibri" w:eastAsia="仿宋_GB2312"/>
      <w:kern w:val="0"/>
      <w:sz w:val="24"/>
    </w:rPr>
  </w:style>
  <w:style w:type="paragraph" w:styleId="10">
    <w:name w:val="heading 8"/>
    <w:basedOn w:val="1"/>
    <w:next w:val="1"/>
    <w:link w:val="65"/>
    <w:autoRedefine/>
    <w:qFormat/>
    <w:uiPriority w:val="99"/>
    <w:pPr>
      <w:keepNext/>
      <w:keepLines/>
      <w:numPr>
        <w:ilvl w:val="7"/>
        <w:numId w:val="2"/>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link w:val="66"/>
    <w:autoRedefine/>
    <w:qFormat/>
    <w:uiPriority w:val="99"/>
    <w:pPr>
      <w:keepNext/>
      <w:keepLines/>
      <w:numPr>
        <w:ilvl w:val="8"/>
        <w:numId w:val="2"/>
      </w:numPr>
      <w:adjustRightInd w:val="0"/>
      <w:spacing w:before="240" w:after="64" w:line="320" w:lineRule="atLeast"/>
      <w:textAlignment w:val="baseline"/>
      <w:outlineLvl w:val="8"/>
    </w:pPr>
    <w:rPr>
      <w:rFonts w:ascii="Arial" w:hAnsi="Arial" w:eastAsia="黑体"/>
      <w:kern w:val="0"/>
      <w:sz w:val="28"/>
    </w:rPr>
  </w:style>
  <w:style w:type="character" w:default="1" w:styleId="50">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customStyle="1" w:styleId="2">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styleId="12">
    <w:name w:val="toc 7"/>
    <w:basedOn w:val="1"/>
    <w:next w:val="1"/>
    <w:autoRedefine/>
    <w:qFormat/>
    <w:uiPriority w:val="99"/>
    <w:pPr>
      <w:ind w:left="2520" w:leftChars="1200"/>
    </w:pPr>
    <w:rPr>
      <w:rFonts w:eastAsia="黑体"/>
      <w:szCs w:val="24"/>
    </w:rPr>
  </w:style>
  <w:style w:type="paragraph" w:styleId="13">
    <w:name w:val="Normal Indent"/>
    <w:basedOn w:val="1"/>
    <w:next w:val="1"/>
    <w:link w:val="89"/>
    <w:autoRedefine/>
    <w:qFormat/>
    <w:uiPriority w:val="99"/>
    <w:pPr>
      <w:ind w:firstLine="420"/>
    </w:pPr>
    <w:rPr>
      <w:rFonts w:ascii="Calibri" w:hAnsi="Calibri"/>
    </w:rPr>
  </w:style>
  <w:style w:type="paragraph" w:styleId="14">
    <w:name w:val="caption"/>
    <w:basedOn w:val="1"/>
    <w:next w:val="1"/>
    <w:autoRedefine/>
    <w:qFormat/>
    <w:uiPriority w:val="99"/>
    <w:rPr>
      <w:rFonts w:ascii="Arial" w:hAnsi="Arial" w:eastAsia="黑体" w:cs="Arial"/>
      <w:sz w:val="20"/>
    </w:rPr>
  </w:style>
  <w:style w:type="paragraph" w:styleId="15">
    <w:name w:val="List Bullet"/>
    <w:basedOn w:val="1"/>
    <w:autoRedefine/>
    <w:qFormat/>
    <w:uiPriority w:val="99"/>
    <w:pPr>
      <w:widowControl/>
      <w:tabs>
        <w:tab w:val="left" w:pos="900"/>
      </w:tabs>
      <w:spacing w:before="100" w:beforeAutospacing="1" w:afterLines="50" w:afterAutospacing="1"/>
      <w:ind w:left="900" w:hanging="420"/>
      <w:jc w:val="left"/>
    </w:pPr>
    <w:rPr>
      <w:kern w:val="0"/>
    </w:rPr>
  </w:style>
  <w:style w:type="paragraph" w:styleId="16">
    <w:name w:val="Document Map"/>
    <w:basedOn w:val="1"/>
    <w:link w:val="67"/>
    <w:autoRedefine/>
    <w:qFormat/>
    <w:uiPriority w:val="99"/>
    <w:pPr>
      <w:shd w:val="clear" w:color="auto" w:fill="000080"/>
    </w:pPr>
    <w:rPr>
      <w:rFonts w:ascii="Calibri" w:hAnsi="Calibri"/>
      <w:kern w:val="0"/>
      <w:sz w:val="2"/>
    </w:rPr>
  </w:style>
  <w:style w:type="paragraph" w:styleId="17">
    <w:name w:val="annotation text"/>
    <w:basedOn w:val="1"/>
    <w:link w:val="68"/>
    <w:autoRedefine/>
    <w:qFormat/>
    <w:uiPriority w:val="99"/>
    <w:pPr>
      <w:jc w:val="left"/>
    </w:pPr>
    <w:rPr>
      <w:rFonts w:ascii="Calibri" w:hAnsi="Calibri"/>
      <w:kern w:val="0"/>
      <w:sz w:val="20"/>
    </w:rPr>
  </w:style>
  <w:style w:type="paragraph" w:styleId="18">
    <w:name w:val="Body Text 3"/>
    <w:basedOn w:val="1"/>
    <w:link w:val="69"/>
    <w:autoRedefine/>
    <w:qFormat/>
    <w:uiPriority w:val="99"/>
    <w:rPr>
      <w:rFonts w:ascii="Calibri" w:hAnsi="Calibri"/>
      <w:kern w:val="0"/>
      <w:sz w:val="16"/>
    </w:rPr>
  </w:style>
  <w:style w:type="paragraph" w:styleId="19">
    <w:name w:val="Body Text"/>
    <w:basedOn w:val="1"/>
    <w:link w:val="70"/>
    <w:autoRedefine/>
    <w:qFormat/>
    <w:uiPriority w:val="99"/>
    <w:pPr>
      <w:spacing w:after="120"/>
    </w:pPr>
    <w:rPr>
      <w:rFonts w:ascii="仿宋_GB2312" w:hAnsi="Calibri"/>
      <w:sz w:val="32"/>
    </w:rPr>
  </w:style>
  <w:style w:type="paragraph" w:styleId="20">
    <w:name w:val="Body Text Indent"/>
    <w:basedOn w:val="1"/>
    <w:next w:val="21"/>
    <w:link w:val="72"/>
    <w:autoRedefine/>
    <w:qFormat/>
    <w:uiPriority w:val="99"/>
    <w:pPr>
      <w:spacing w:line="480" w:lineRule="auto"/>
      <w:ind w:firstLine="600"/>
    </w:pPr>
    <w:rPr>
      <w:rFonts w:ascii="Calibri" w:hAnsi="Calibri"/>
      <w:sz w:val="28"/>
    </w:rPr>
  </w:style>
  <w:style w:type="paragraph" w:customStyle="1" w:styleId="21">
    <w:name w:val="样式 正文文本缩进 + 左  0 字符"/>
    <w:basedOn w:val="1"/>
    <w:autoRedefine/>
    <w:qFormat/>
    <w:uiPriority w:val="0"/>
    <w:pPr>
      <w:spacing w:line="360" w:lineRule="auto"/>
      <w:ind w:firstLine="250" w:firstLineChars="250"/>
    </w:pPr>
    <w:rPr>
      <w:rFonts w:cs="宋体"/>
      <w:sz w:val="24"/>
    </w:rPr>
  </w:style>
  <w:style w:type="paragraph" w:styleId="22">
    <w:name w:val="List Bullet 2"/>
    <w:basedOn w:val="1"/>
    <w:autoRedefine/>
    <w:qFormat/>
    <w:uiPriority w:val="99"/>
    <w:pPr>
      <w:tabs>
        <w:tab w:val="left" w:pos="360"/>
        <w:tab w:val="left" w:pos="1191"/>
      </w:tabs>
      <w:snapToGrid w:val="0"/>
      <w:spacing w:line="360" w:lineRule="auto"/>
      <w:ind w:left="482" w:hanging="482" w:hangingChars="200"/>
      <w:jc w:val="left"/>
    </w:pPr>
    <w:rPr>
      <w:b/>
      <w:bCs/>
      <w:sz w:val="24"/>
      <w:szCs w:val="32"/>
    </w:rPr>
  </w:style>
  <w:style w:type="paragraph" w:styleId="23">
    <w:name w:val="toc 5"/>
    <w:basedOn w:val="1"/>
    <w:next w:val="1"/>
    <w:autoRedefine/>
    <w:qFormat/>
    <w:uiPriority w:val="99"/>
    <w:pPr>
      <w:ind w:left="1680" w:leftChars="800"/>
    </w:pPr>
    <w:rPr>
      <w:rFonts w:eastAsia="黑体"/>
      <w:szCs w:val="24"/>
    </w:rPr>
  </w:style>
  <w:style w:type="paragraph" w:styleId="24">
    <w:name w:val="toc 3"/>
    <w:basedOn w:val="1"/>
    <w:next w:val="1"/>
    <w:autoRedefine/>
    <w:qFormat/>
    <w:uiPriority w:val="99"/>
    <w:pPr>
      <w:ind w:left="840" w:leftChars="400"/>
    </w:pPr>
    <w:rPr>
      <w:rFonts w:eastAsia="黑体"/>
      <w:szCs w:val="24"/>
    </w:rPr>
  </w:style>
  <w:style w:type="paragraph" w:styleId="25">
    <w:name w:val="Plain Text"/>
    <w:basedOn w:val="1"/>
    <w:link w:val="73"/>
    <w:autoRedefine/>
    <w:qFormat/>
    <w:uiPriority w:val="99"/>
    <w:pPr>
      <w:widowControl/>
      <w:overflowPunct w:val="0"/>
      <w:autoSpaceDE w:val="0"/>
      <w:autoSpaceDN w:val="0"/>
      <w:adjustRightInd w:val="0"/>
      <w:jc w:val="left"/>
      <w:textAlignment w:val="baseline"/>
    </w:pPr>
    <w:rPr>
      <w:rFonts w:ascii="宋体" w:hAnsi="Courier New"/>
      <w:kern w:val="0"/>
    </w:rPr>
  </w:style>
  <w:style w:type="paragraph" w:styleId="26">
    <w:name w:val="toc 8"/>
    <w:basedOn w:val="1"/>
    <w:next w:val="1"/>
    <w:autoRedefine/>
    <w:qFormat/>
    <w:uiPriority w:val="99"/>
    <w:pPr>
      <w:ind w:left="2940" w:leftChars="1400"/>
    </w:pPr>
    <w:rPr>
      <w:rFonts w:eastAsia="黑体"/>
      <w:szCs w:val="24"/>
    </w:rPr>
  </w:style>
  <w:style w:type="paragraph" w:styleId="27">
    <w:name w:val="Date"/>
    <w:basedOn w:val="1"/>
    <w:next w:val="1"/>
    <w:link w:val="74"/>
    <w:autoRedefine/>
    <w:qFormat/>
    <w:uiPriority w:val="99"/>
    <w:pPr>
      <w:ind w:left="100"/>
    </w:pPr>
    <w:rPr>
      <w:rFonts w:ascii="Calibri" w:hAnsi="Calibri"/>
      <w:kern w:val="0"/>
      <w:sz w:val="20"/>
    </w:rPr>
  </w:style>
  <w:style w:type="paragraph" w:styleId="28">
    <w:name w:val="Body Text Indent 2"/>
    <w:basedOn w:val="1"/>
    <w:link w:val="75"/>
    <w:autoRedefine/>
    <w:qFormat/>
    <w:uiPriority w:val="99"/>
    <w:pPr>
      <w:spacing w:after="120" w:line="480" w:lineRule="auto"/>
      <w:ind w:left="420" w:leftChars="200"/>
    </w:pPr>
    <w:rPr>
      <w:rFonts w:ascii="Calibri" w:hAnsi="Calibri"/>
      <w:kern w:val="0"/>
      <w:sz w:val="20"/>
    </w:rPr>
  </w:style>
  <w:style w:type="paragraph" w:styleId="29">
    <w:name w:val="endnote text"/>
    <w:basedOn w:val="1"/>
    <w:link w:val="76"/>
    <w:autoRedefine/>
    <w:qFormat/>
    <w:uiPriority w:val="99"/>
    <w:pPr>
      <w:snapToGrid w:val="0"/>
      <w:spacing w:afterLines="50"/>
      <w:jc w:val="left"/>
    </w:pPr>
    <w:rPr>
      <w:rFonts w:ascii="Calibri" w:hAnsi="Calibri"/>
      <w:kern w:val="0"/>
      <w:sz w:val="20"/>
    </w:rPr>
  </w:style>
  <w:style w:type="paragraph" w:styleId="30">
    <w:name w:val="Balloon Text"/>
    <w:basedOn w:val="1"/>
    <w:link w:val="77"/>
    <w:autoRedefine/>
    <w:qFormat/>
    <w:uiPriority w:val="99"/>
    <w:rPr>
      <w:rFonts w:ascii="Calibri" w:hAnsi="Calibri"/>
      <w:kern w:val="0"/>
      <w:sz w:val="2"/>
    </w:rPr>
  </w:style>
  <w:style w:type="paragraph" w:styleId="31">
    <w:name w:val="footer"/>
    <w:basedOn w:val="1"/>
    <w:link w:val="78"/>
    <w:autoRedefine/>
    <w:qFormat/>
    <w:uiPriority w:val="99"/>
    <w:pPr>
      <w:tabs>
        <w:tab w:val="center" w:pos="4153"/>
        <w:tab w:val="right" w:pos="8306"/>
      </w:tabs>
      <w:snapToGrid w:val="0"/>
      <w:jc w:val="left"/>
    </w:pPr>
    <w:rPr>
      <w:rFonts w:ascii="Calibri" w:hAnsi="Calibri"/>
      <w:kern w:val="0"/>
      <w:sz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rFonts w:ascii="Calibri" w:hAnsi="Calibri"/>
      <w:kern w:val="0"/>
      <w:sz w:val="18"/>
    </w:rPr>
  </w:style>
  <w:style w:type="paragraph" w:styleId="33">
    <w:name w:val="toc 1"/>
    <w:basedOn w:val="1"/>
    <w:next w:val="1"/>
    <w:autoRedefine/>
    <w:qFormat/>
    <w:uiPriority w:val="99"/>
    <w:rPr>
      <w:rFonts w:eastAsia="黑体"/>
      <w:b/>
      <w:sz w:val="24"/>
      <w:szCs w:val="24"/>
    </w:rPr>
  </w:style>
  <w:style w:type="paragraph" w:styleId="34">
    <w:name w:val="toc 4"/>
    <w:basedOn w:val="1"/>
    <w:next w:val="1"/>
    <w:autoRedefine/>
    <w:qFormat/>
    <w:uiPriority w:val="99"/>
    <w:pPr>
      <w:ind w:left="1260" w:leftChars="600"/>
    </w:pPr>
    <w:rPr>
      <w:rFonts w:eastAsia="黑体"/>
      <w:szCs w:val="24"/>
    </w:rPr>
  </w:style>
  <w:style w:type="paragraph" w:styleId="35">
    <w:name w:val="Subtitle"/>
    <w:basedOn w:val="1"/>
    <w:link w:val="80"/>
    <w:autoRedefine/>
    <w:qFormat/>
    <w:uiPriority w:val="99"/>
    <w:pPr>
      <w:spacing w:afterLines="50"/>
      <w:jc w:val="center"/>
    </w:pPr>
    <w:rPr>
      <w:rFonts w:ascii="Cambria" w:hAnsi="Cambria"/>
      <w:kern w:val="28"/>
      <w:sz w:val="32"/>
    </w:rPr>
  </w:style>
  <w:style w:type="paragraph" w:styleId="36">
    <w:name w:val="List"/>
    <w:basedOn w:val="1"/>
    <w:autoRedefine/>
    <w:qFormat/>
    <w:uiPriority w:val="99"/>
    <w:pPr>
      <w:ind w:left="200" w:hanging="200" w:hangingChars="200"/>
    </w:pPr>
    <w:rPr>
      <w:sz w:val="28"/>
      <w:szCs w:val="24"/>
    </w:rPr>
  </w:style>
  <w:style w:type="paragraph" w:styleId="37">
    <w:name w:val="toc 6"/>
    <w:basedOn w:val="1"/>
    <w:next w:val="1"/>
    <w:autoRedefine/>
    <w:qFormat/>
    <w:uiPriority w:val="99"/>
    <w:pPr>
      <w:ind w:left="2100" w:leftChars="1000"/>
    </w:pPr>
    <w:rPr>
      <w:rFonts w:eastAsia="黑体"/>
      <w:szCs w:val="24"/>
    </w:rPr>
  </w:style>
  <w:style w:type="paragraph" w:styleId="38">
    <w:name w:val="Body Text Indent 3"/>
    <w:basedOn w:val="1"/>
    <w:link w:val="81"/>
    <w:autoRedefine/>
    <w:qFormat/>
    <w:uiPriority w:val="99"/>
    <w:pPr>
      <w:spacing w:line="500" w:lineRule="atLeast"/>
      <w:ind w:firstLine="720" w:firstLineChars="300"/>
    </w:pPr>
    <w:rPr>
      <w:rFonts w:ascii="Calibri" w:hAnsi="Calibri"/>
      <w:kern w:val="0"/>
      <w:sz w:val="16"/>
    </w:rPr>
  </w:style>
  <w:style w:type="paragraph" w:styleId="39">
    <w:name w:val="toc 2"/>
    <w:basedOn w:val="1"/>
    <w:next w:val="1"/>
    <w:autoRedefine/>
    <w:qFormat/>
    <w:uiPriority w:val="99"/>
    <w:pPr>
      <w:tabs>
        <w:tab w:val="right" w:leader="dot" w:pos="8909"/>
      </w:tabs>
      <w:ind w:left="420" w:leftChars="200"/>
    </w:pPr>
    <w:rPr>
      <w:rFonts w:eastAsia="黑体"/>
      <w:szCs w:val="24"/>
    </w:rPr>
  </w:style>
  <w:style w:type="paragraph" w:styleId="40">
    <w:name w:val="toc 9"/>
    <w:basedOn w:val="1"/>
    <w:next w:val="1"/>
    <w:autoRedefine/>
    <w:qFormat/>
    <w:uiPriority w:val="99"/>
    <w:pPr>
      <w:ind w:left="3360" w:leftChars="1600"/>
    </w:pPr>
    <w:rPr>
      <w:rFonts w:eastAsia="黑体"/>
      <w:szCs w:val="24"/>
    </w:rPr>
  </w:style>
  <w:style w:type="paragraph" w:styleId="41">
    <w:name w:val="Body Text 2"/>
    <w:basedOn w:val="1"/>
    <w:link w:val="82"/>
    <w:autoRedefine/>
    <w:qFormat/>
    <w:uiPriority w:val="99"/>
    <w:pPr>
      <w:autoSpaceDE w:val="0"/>
      <w:autoSpaceDN w:val="0"/>
      <w:adjustRightInd w:val="0"/>
    </w:pPr>
    <w:rPr>
      <w:rFonts w:ascii="Calibri" w:hAnsi="Calibri"/>
      <w:kern w:val="0"/>
      <w:sz w:val="20"/>
    </w:rPr>
  </w:style>
  <w:style w:type="paragraph" w:styleId="42">
    <w:name w:val="HTML Preformatted"/>
    <w:basedOn w:val="1"/>
    <w:link w:val="83"/>
    <w:autoRedefine/>
    <w:qFormat/>
    <w:uiPriority w:val="99"/>
    <w:rPr>
      <w:rFonts w:ascii="Courier New" w:hAnsi="Courier New"/>
      <w:kern w:val="0"/>
      <w:sz w:val="20"/>
    </w:rPr>
  </w:style>
  <w:style w:type="paragraph" w:styleId="43">
    <w:name w:val="Normal (Web)"/>
    <w:basedOn w:val="1"/>
    <w:autoRedefine/>
    <w:qFormat/>
    <w:uiPriority w:val="99"/>
    <w:pPr>
      <w:widowControl/>
      <w:spacing w:before="100" w:beforeAutospacing="1" w:after="100" w:afterAutospacing="1"/>
      <w:jc w:val="left"/>
    </w:pPr>
    <w:rPr>
      <w:rFonts w:ascii="宋体" w:hAnsi="宋体"/>
      <w:color w:val="000000"/>
      <w:kern w:val="0"/>
      <w:sz w:val="24"/>
      <w:szCs w:val="24"/>
    </w:rPr>
  </w:style>
  <w:style w:type="paragraph" w:styleId="44">
    <w:name w:val="Title"/>
    <w:basedOn w:val="1"/>
    <w:link w:val="84"/>
    <w:autoRedefine/>
    <w:qFormat/>
    <w:uiPriority w:val="99"/>
    <w:pPr>
      <w:widowControl/>
      <w:overflowPunct w:val="0"/>
      <w:autoSpaceDE w:val="0"/>
      <w:autoSpaceDN w:val="0"/>
      <w:adjustRightInd w:val="0"/>
      <w:jc w:val="center"/>
      <w:textAlignment w:val="baseline"/>
    </w:pPr>
    <w:rPr>
      <w:rFonts w:ascii="Cambria" w:hAnsi="Cambria"/>
      <w:kern w:val="0"/>
      <w:sz w:val="32"/>
    </w:rPr>
  </w:style>
  <w:style w:type="paragraph" w:styleId="45">
    <w:name w:val="annotation subject"/>
    <w:basedOn w:val="17"/>
    <w:next w:val="17"/>
    <w:link w:val="85"/>
    <w:autoRedefine/>
    <w:qFormat/>
    <w:uiPriority w:val="99"/>
  </w:style>
  <w:style w:type="paragraph" w:styleId="46">
    <w:name w:val="Body Text First Indent"/>
    <w:basedOn w:val="19"/>
    <w:next w:val="1"/>
    <w:link w:val="71"/>
    <w:autoRedefine/>
    <w:qFormat/>
    <w:uiPriority w:val="99"/>
    <w:pPr>
      <w:spacing w:line="360" w:lineRule="auto"/>
      <w:ind w:firstLine="200" w:firstLineChars="200"/>
      <w:jc w:val="left"/>
    </w:pPr>
    <w:rPr>
      <w:sz w:val="20"/>
    </w:rPr>
  </w:style>
  <w:style w:type="paragraph" w:styleId="47">
    <w:name w:val="Body Text First Indent 2"/>
    <w:basedOn w:val="20"/>
    <w:link w:val="86"/>
    <w:autoRedefine/>
    <w:qFormat/>
    <w:uiPriority w:val="99"/>
    <w:pPr>
      <w:spacing w:after="120" w:line="240" w:lineRule="auto"/>
      <w:ind w:left="420" w:leftChars="200" w:firstLine="420" w:firstLineChars="200"/>
    </w:pPr>
    <w:rPr>
      <w:sz w:val="20"/>
    </w:rPr>
  </w:style>
  <w:style w:type="table" w:styleId="49">
    <w:name w:val="Table Grid"/>
    <w:basedOn w:val="48"/>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basedOn w:val="50"/>
    <w:autoRedefine/>
    <w:qFormat/>
    <w:uiPriority w:val="99"/>
    <w:rPr>
      <w:rFonts w:cs="Times New Roman"/>
    </w:rPr>
  </w:style>
  <w:style w:type="character" w:styleId="52">
    <w:name w:val="page number"/>
    <w:basedOn w:val="50"/>
    <w:autoRedefine/>
    <w:qFormat/>
    <w:uiPriority w:val="99"/>
    <w:rPr>
      <w:rFonts w:ascii="仿宋_GB2312" w:eastAsia="仿宋_GB2312" w:cs="Times New Roman"/>
      <w:sz w:val="32"/>
    </w:rPr>
  </w:style>
  <w:style w:type="character" w:styleId="53">
    <w:name w:val="FollowedHyperlink"/>
    <w:basedOn w:val="50"/>
    <w:autoRedefine/>
    <w:qFormat/>
    <w:uiPriority w:val="99"/>
    <w:rPr>
      <w:rFonts w:ascii="仿宋_GB2312" w:eastAsia="仿宋_GB2312" w:cs="Times New Roman"/>
      <w:color w:val="800080"/>
      <w:sz w:val="32"/>
      <w:u w:val="single"/>
    </w:rPr>
  </w:style>
  <w:style w:type="character" w:styleId="54">
    <w:name w:val="Hyperlink"/>
    <w:basedOn w:val="50"/>
    <w:autoRedefine/>
    <w:qFormat/>
    <w:uiPriority w:val="99"/>
    <w:rPr>
      <w:rFonts w:ascii="仿宋_GB2312" w:eastAsia="仿宋_GB2312" w:cs="Times New Roman"/>
      <w:color w:val="0000FF"/>
      <w:sz w:val="32"/>
      <w:u w:val="single"/>
    </w:rPr>
  </w:style>
  <w:style w:type="character" w:styleId="55">
    <w:name w:val="annotation reference"/>
    <w:basedOn w:val="50"/>
    <w:autoRedefine/>
    <w:qFormat/>
    <w:uiPriority w:val="99"/>
    <w:rPr>
      <w:rFonts w:cs="Times New Roman"/>
      <w:sz w:val="21"/>
    </w:rPr>
  </w:style>
  <w:style w:type="paragraph" w:customStyle="1" w:styleId="56">
    <w:name w:val="段"/>
    <w:next w:val="1"/>
    <w:link w:val="348"/>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首行缩进"/>
    <w:basedOn w:val="1"/>
    <w:next w:val="1"/>
    <w:autoRedefine/>
    <w:qFormat/>
    <w:uiPriority w:val="99"/>
    <w:pPr>
      <w:widowControl/>
      <w:tabs>
        <w:tab w:val="left" w:pos="822"/>
      </w:tabs>
      <w:snapToGrid w:val="0"/>
      <w:spacing w:before="40" w:after="40" w:line="300" w:lineRule="atLeast"/>
      <w:ind w:left="1701"/>
    </w:pPr>
    <w:rPr>
      <w:rFonts w:ascii="Arial" w:hAnsi="Arial"/>
      <w:kern w:val="0"/>
    </w:rPr>
  </w:style>
  <w:style w:type="character" w:customStyle="1" w:styleId="58">
    <w:name w:val="标题 4 Char"/>
    <w:basedOn w:val="50"/>
    <w:link w:val="6"/>
    <w:autoRedefine/>
    <w:semiHidden/>
    <w:qFormat/>
    <w:locked/>
    <w:uiPriority w:val="99"/>
    <w:rPr>
      <w:rFonts w:ascii="Cambria" w:hAnsi="Cambria" w:eastAsia="宋体" w:cs="Times New Roman"/>
      <w:sz w:val="28"/>
    </w:rPr>
  </w:style>
  <w:style w:type="character" w:customStyle="1" w:styleId="59">
    <w:name w:val="标题 2 Char"/>
    <w:basedOn w:val="50"/>
    <w:link w:val="4"/>
    <w:autoRedefine/>
    <w:qFormat/>
    <w:locked/>
    <w:uiPriority w:val="99"/>
    <w:rPr>
      <w:rFonts w:ascii="Arial" w:hAnsi="Arial" w:eastAsia="黑体"/>
      <w:bCs/>
      <w:kern w:val="0"/>
      <w:sz w:val="32"/>
      <w:szCs w:val="32"/>
    </w:rPr>
  </w:style>
  <w:style w:type="character" w:customStyle="1" w:styleId="60">
    <w:name w:val="标题 1 Char"/>
    <w:basedOn w:val="50"/>
    <w:link w:val="3"/>
    <w:autoRedefine/>
    <w:qFormat/>
    <w:locked/>
    <w:uiPriority w:val="99"/>
    <w:rPr>
      <w:rFonts w:ascii="宋体" w:hAnsi="Arial" w:eastAsia="黑体"/>
      <w:color w:val="000000"/>
      <w:kern w:val="44"/>
      <w:sz w:val="36"/>
      <w:szCs w:val="20"/>
    </w:rPr>
  </w:style>
  <w:style w:type="character" w:customStyle="1" w:styleId="61">
    <w:name w:val="标题 3 Char"/>
    <w:basedOn w:val="50"/>
    <w:link w:val="5"/>
    <w:autoRedefine/>
    <w:qFormat/>
    <w:locked/>
    <w:uiPriority w:val="99"/>
    <w:rPr>
      <w:rFonts w:ascii="黑体" w:eastAsia="黑体"/>
      <w:color w:val="000000"/>
      <w:kern w:val="0"/>
      <w:sz w:val="28"/>
      <w:szCs w:val="20"/>
    </w:rPr>
  </w:style>
  <w:style w:type="character" w:customStyle="1" w:styleId="62">
    <w:name w:val="标题 5 Char"/>
    <w:basedOn w:val="50"/>
    <w:link w:val="7"/>
    <w:autoRedefine/>
    <w:semiHidden/>
    <w:qFormat/>
    <w:locked/>
    <w:uiPriority w:val="99"/>
    <w:rPr>
      <w:rFonts w:cs="Times New Roman"/>
      <w:sz w:val="28"/>
    </w:rPr>
  </w:style>
  <w:style w:type="character" w:customStyle="1" w:styleId="63">
    <w:name w:val="标题 6 Char"/>
    <w:basedOn w:val="50"/>
    <w:link w:val="8"/>
    <w:autoRedefine/>
    <w:semiHidden/>
    <w:qFormat/>
    <w:locked/>
    <w:uiPriority w:val="99"/>
    <w:rPr>
      <w:rFonts w:ascii="Cambria" w:hAnsi="Cambria" w:eastAsia="宋体" w:cs="Times New Roman"/>
      <w:sz w:val="24"/>
    </w:rPr>
  </w:style>
  <w:style w:type="character" w:customStyle="1" w:styleId="64">
    <w:name w:val="标题 7 Char"/>
    <w:basedOn w:val="50"/>
    <w:link w:val="9"/>
    <w:autoRedefine/>
    <w:qFormat/>
    <w:locked/>
    <w:uiPriority w:val="99"/>
    <w:rPr>
      <w:rFonts w:ascii="宋体" w:eastAsia="仿宋_GB2312"/>
      <w:kern w:val="0"/>
      <w:sz w:val="24"/>
      <w:szCs w:val="20"/>
    </w:rPr>
  </w:style>
  <w:style w:type="character" w:customStyle="1" w:styleId="65">
    <w:name w:val="标题 8 Char"/>
    <w:basedOn w:val="50"/>
    <w:link w:val="10"/>
    <w:autoRedefine/>
    <w:qFormat/>
    <w:locked/>
    <w:uiPriority w:val="99"/>
    <w:rPr>
      <w:rFonts w:ascii="Arial" w:hAnsi="Arial" w:eastAsia="黑体"/>
      <w:kern w:val="0"/>
      <w:sz w:val="24"/>
      <w:szCs w:val="20"/>
    </w:rPr>
  </w:style>
  <w:style w:type="character" w:customStyle="1" w:styleId="66">
    <w:name w:val="标题 9 Char"/>
    <w:basedOn w:val="50"/>
    <w:link w:val="11"/>
    <w:autoRedefine/>
    <w:qFormat/>
    <w:locked/>
    <w:uiPriority w:val="99"/>
    <w:rPr>
      <w:rFonts w:ascii="Arial" w:hAnsi="Arial" w:eastAsia="黑体"/>
      <w:kern w:val="0"/>
      <w:sz w:val="28"/>
      <w:szCs w:val="20"/>
    </w:rPr>
  </w:style>
  <w:style w:type="character" w:customStyle="1" w:styleId="67">
    <w:name w:val="文档结构图 Char"/>
    <w:basedOn w:val="50"/>
    <w:link w:val="16"/>
    <w:autoRedefine/>
    <w:semiHidden/>
    <w:qFormat/>
    <w:locked/>
    <w:uiPriority w:val="99"/>
    <w:rPr>
      <w:rFonts w:cs="Times New Roman"/>
      <w:sz w:val="2"/>
    </w:rPr>
  </w:style>
  <w:style w:type="character" w:customStyle="1" w:styleId="68">
    <w:name w:val="批注文字 Char"/>
    <w:basedOn w:val="50"/>
    <w:link w:val="17"/>
    <w:autoRedefine/>
    <w:semiHidden/>
    <w:qFormat/>
    <w:locked/>
    <w:uiPriority w:val="99"/>
    <w:rPr>
      <w:rFonts w:cs="Times New Roman"/>
      <w:sz w:val="20"/>
    </w:rPr>
  </w:style>
  <w:style w:type="character" w:customStyle="1" w:styleId="69">
    <w:name w:val="正文文本 3 Char"/>
    <w:basedOn w:val="50"/>
    <w:link w:val="18"/>
    <w:autoRedefine/>
    <w:semiHidden/>
    <w:qFormat/>
    <w:locked/>
    <w:uiPriority w:val="99"/>
    <w:rPr>
      <w:rFonts w:cs="Times New Roman"/>
      <w:sz w:val="16"/>
    </w:rPr>
  </w:style>
  <w:style w:type="character" w:customStyle="1" w:styleId="70">
    <w:name w:val="正文文本 Char"/>
    <w:basedOn w:val="50"/>
    <w:link w:val="19"/>
    <w:autoRedefine/>
    <w:qFormat/>
    <w:locked/>
    <w:uiPriority w:val="99"/>
    <w:rPr>
      <w:rFonts w:ascii="仿宋_GB2312" w:eastAsia="宋体" w:cs="Times New Roman"/>
      <w:kern w:val="2"/>
      <w:sz w:val="32"/>
      <w:lang w:val="en-US" w:eastAsia="zh-CN"/>
    </w:rPr>
  </w:style>
  <w:style w:type="character" w:customStyle="1" w:styleId="71">
    <w:name w:val="正文首行缩进 Char"/>
    <w:basedOn w:val="70"/>
    <w:link w:val="46"/>
    <w:autoRedefine/>
    <w:semiHidden/>
    <w:qFormat/>
    <w:locked/>
    <w:uiPriority w:val="99"/>
    <w:rPr>
      <w:rFonts w:ascii="仿宋_GB2312" w:eastAsia="宋体" w:cs="Times New Roman"/>
      <w:kern w:val="2"/>
      <w:sz w:val="20"/>
      <w:lang w:val="en-US" w:eastAsia="zh-CN"/>
    </w:rPr>
  </w:style>
  <w:style w:type="character" w:customStyle="1" w:styleId="72">
    <w:name w:val="正文文本缩进 Char"/>
    <w:basedOn w:val="50"/>
    <w:link w:val="20"/>
    <w:autoRedefine/>
    <w:qFormat/>
    <w:locked/>
    <w:uiPriority w:val="99"/>
    <w:rPr>
      <w:rFonts w:eastAsia="宋体" w:cs="Times New Roman"/>
      <w:kern w:val="2"/>
      <w:sz w:val="28"/>
      <w:lang w:val="en-US" w:eastAsia="zh-CN"/>
    </w:rPr>
  </w:style>
  <w:style w:type="character" w:customStyle="1" w:styleId="73">
    <w:name w:val="纯文本 Char1"/>
    <w:basedOn w:val="50"/>
    <w:link w:val="25"/>
    <w:autoRedefine/>
    <w:qFormat/>
    <w:locked/>
    <w:uiPriority w:val="99"/>
    <w:rPr>
      <w:rFonts w:ascii="宋体" w:hAnsi="Courier New" w:eastAsia="宋体" w:cs="Times New Roman"/>
      <w:sz w:val="21"/>
      <w:lang w:val="en-US" w:eastAsia="zh-CN"/>
    </w:rPr>
  </w:style>
  <w:style w:type="character" w:customStyle="1" w:styleId="74">
    <w:name w:val="日期 Char"/>
    <w:basedOn w:val="50"/>
    <w:link w:val="27"/>
    <w:autoRedefine/>
    <w:semiHidden/>
    <w:qFormat/>
    <w:locked/>
    <w:uiPriority w:val="99"/>
    <w:rPr>
      <w:rFonts w:cs="Times New Roman"/>
      <w:sz w:val="20"/>
    </w:rPr>
  </w:style>
  <w:style w:type="character" w:customStyle="1" w:styleId="75">
    <w:name w:val="正文文本缩进 2 Char"/>
    <w:basedOn w:val="50"/>
    <w:link w:val="28"/>
    <w:autoRedefine/>
    <w:semiHidden/>
    <w:qFormat/>
    <w:locked/>
    <w:uiPriority w:val="99"/>
    <w:rPr>
      <w:rFonts w:cs="Times New Roman"/>
      <w:sz w:val="20"/>
    </w:rPr>
  </w:style>
  <w:style w:type="character" w:customStyle="1" w:styleId="76">
    <w:name w:val="尾注文本 Char"/>
    <w:basedOn w:val="50"/>
    <w:link w:val="29"/>
    <w:autoRedefine/>
    <w:semiHidden/>
    <w:qFormat/>
    <w:locked/>
    <w:uiPriority w:val="99"/>
    <w:rPr>
      <w:rFonts w:cs="Times New Roman"/>
      <w:sz w:val="20"/>
    </w:rPr>
  </w:style>
  <w:style w:type="character" w:customStyle="1" w:styleId="77">
    <w:name w:val="批注框文本 Char"/>
    <w:basedOn w:val="50"/>
    <w:link w:val="30"/>
    <w:autoRedefine/>
    <w:semiHidden/>
    <w:qFormat/>
    <w:locked/>
    <w:uiPriority w:val="99"/>
    <w:rPr>
      <w:rFonts w:cs="Times New Roman"/>
      <w:sz w:val="2"/>
    </w:rPr>
  </w:style>
  <w:style w:type="character" w:customStyle="1" w:styleId="78">
    <w:name w:val="页脚 Char"/>
    <w:basedOn w:val="50"/>
    <w:link w:val="31"/>
    <w:autoRedefine/>
    <w:semiHidden/>
    <w:qFormat/>
    <w:locked/>
    <w:uiPriority w:val="99"/>
    <w:rPr>
      <w:rFonts w:cs="Times New Roman"/>
      <w:sz w:val="18"/>
    </w:rPr>
  </w:style>
  <w:style w:type="character" w:customStyle="1" w:styleId="79">
    <w:name w:val="页眉 Char"/>
    <w:basedOn w:val="50"/>
    <w:link w:val="32"/>
    <w:autoRedefine/>
    <w:semiHidden/>
    <w:qFormat/>
    <w:locked/>
    <w:uiPriority w:val="99"/>
    <w:rPr>
      <w:rFonts w:cs="Times New Roman"/>
      <w:sz w:val="18"/>
    </w:rPr>
  </w:style>
  <w:style w:type="character" w:customStyle="1" w:styleId="80">
    <w:name w:val="副标题 Char"/>
    <w:basedOn w:val="50"/>
    <w:link w:val="35"/>
    <w:autoRedefine/>
    <w:qFormat/>
    <w:locked/>
    <w:uiPriority w:val="99"/>
    <w:rPr>
      <w:rFonts w:ascii="Cambria" w:hAnsi="Cambria" w:cs="Times New Roman"/>
      <w:kern w:val="28"/>
      <w:sz w:val="32"/>
    </w:rPr>
  </w:style>
  <w:style w:type="character" w:customStyle="1" w:styleId="81">
    <w:name w:val="正文文本缩进 3 Char"/>
    <w:basedOn w:val="50"/>
    <w:link w:val="38"/>
    <w:autoRedefine/>
    <w:semiHidden/>
    <w:qFormat/>
    <w:locked/>
    <w:uiPriority w:val="99"/>
    <w:rPr>
      <w:rFonts w:cs="Times New Roman"/>
      <w:sz w:val="16"/>
    </w:rPr>
  </w:style>
  <w:style w:type="character" w:customStyle="1" w:styleId="82">
    <w:name w:val="正文文本 2 Char"/>
    <w:basedOn w:val="50"/>
    <w:link w:val="41"/>
    <w:autoRedefine/>
    <w:semiHidden/>
    <w:qFormat/>
    <w:locked/>
    <w:uiPriority w:val="99"/>
    <w:rPr>
      <w:rFonts w:cs="Times New Roman"/>
      <w:sz w:val="20"/>
    </w:rPr>
  </w:style>
  <w:style w:type="character" w:customStyle="1" w:styleId="83">
    <w:name w:val="HTML 预设格式 Char"/>
    <w:basedOn w:val="50"/>
    <w:link w:val="42"/>
    <w:autoRedefine/>
    <w:semiHidden/>
    <w:qFormat/>
    <w:locked/>
    <w:uiPriority w:val="99"/>
    <w:rPr>
      <w:rFonts w:ascii="Courier New" w:hAnsi="Courier New" w:cs="Times New Roman"/>
      <w:sz w:val="20"/>
    </w:rPr>
  </w:style>
  <w:style w:type="character" w:customStyle="1" w:styleId="84">
    <w:name w:val="标题 Char"/>
    <w:basedOn w:val="50"/>
    <w:link w:val="44"/>
    <w:autoRedefine/>
    <w:qFormat/>
    <w:locked/>
    <w:uiPriority w:val="99"/>
    <w:rPr>
      <w:rFonts w:ascii="Cambria" w:hAnsi="Cambria" w:cs="Times New Roman"/>
      <w:sz w:val="32"/>
    </w:rPr>
  </w:style>
  <w:style w:type="character" w:customStyle="1" w:styleId="85">
    <w:name w:val="批注主题 Char"/>
    <w:basedOn w:val="68"/>
    <w:link w:val="45"/>
    <w:autoRedefine/>
    <w:semiHidden/>
    <w:qFormat/>
    <w:locked/>
    <w:uiPriority w:val="99"/>
    <w:rPr>
      <w:rFonts w:cs="Times New Roman"/>
      <w:sz w:val="20"/>
    </w:rPr>
  </w:style>
  <w:style w:type="character" w:customStyle="1" w:styleId="86">
    <w:name w:val="正文首行缩进 2 Char"/>
    <w:basedOn w:val="72"/>
    <w:link w:val="47"/>
    <w:autoRedefine/>
    <w:semiHidden/>
    <w:qFormat/>
    <w:locked/>
    <w:uiPriority w:val="99"/>
    <w:rPr>
      <w:rFonts w:eastAsia="宋体" w:cs="Times New Roman"/>
      <w:kern w:val="2"/>
      <w:sz w:val="20"/>
      <w:lang w:val="en-US" w:eastAsia="zh-CN"/>
    </w:rPr>
  </w:style>
  <w:style w:type="paragraph" w:customStyle="1" w:styleId="87">
    <w:name w:val="_Style 10"/>
    <w:basedOn w:val="1"/>
    <w:autoRedefine/>
    <w:qFormat/>
    <w:uiPriority w:val="99"/>
    <w:rPr>
      <w:rFonts w:ascii="仿宋_GB2312" w:eastAsia="仿宋_GB2312"/>
      <w:b/>
      <w:sz w:val="32"/>
      <w:szCs w:val="32"/>
    </w:rPr>
  </w:style>
  <w:style w:type="character" w:customStyle="1" w:styleId="88">
    <w:name w:val="pubtime"/>
    <w:autoRedefine/>
    <w:qFormat/>
    <w:uiPriority w:val="99"/>
    <w:rPr>
      <w:color w:val="000000"/>
      <w:sz w:val="18"/>
    </w:rPr>
  </w:style>
  <w:style w:type="character" w:customStyle="1" w:styleId="89">
    <w:name w:val="正文缩进 Char1"/>
    <w:link w:val="13"/>
    <w:autoRedefine/>
    <w:qFormat/>
    <w:locked/>
    <w:uiPriority w:val="99"/>
    <w:rPr>
      <w:rFonts w:eastAsia="宋体"/>
      <w:kern w:val="2"/>
      <w:sz w:val="21"/>
      <w:lang w:val="en-US" w:eastAsia="zh-CN"/>
    </w:rPr>
  </w:style>
  <w:style w:type="character" w:customStyle="1" w:styleId="90">
    <w:name w:val="tpc_content1"/>
    <w:autoRedefine/>
    <w:qFormat/>
    <w:uiPriority w:val="99"/>
    <w:rPr>
      <w:sz w:val="20"/>
    </w:rPr>
  </w:style>
  <w:style w:type="character" w:customStyle="1" w:styleId="91">
    <w:name w:val="font31"/>
    <w:basedOn w:val="50"/>
    <w:autoRedefine/>
    <w:qFormat/>
    <w:uiPriority w:val="99"/>
    <w:rPr>
      <w:rFonts w:ascii="宋体" w:hAnsi="宋体" w:eastAsia="宋体"/>
      <w:b/>
      <w:color w:val="000000"/>
      <w:sz w:val="20"/>
      <w:u w:val="none"/>
    </w:rPr>
  </w:style>
  <w:style w:type="character" w:customStyle="1" w:styleId="92">
    <w:name w:val="time"/>
    <w:autoRedefine/>
    <w:qFormat/>
    <w:uiPriority w:val="99"/>
    <w:rPr>
      <w:color w:val="769199"/>
    </w:rPr>
  </w:style>
  <w:style w:type="character" w:customStyle="1" w:styleId="93">
    <w:name w:val="Normal Indent Char"/>
    <w:autoRedefine/>
    <w:qFormat/>
    <w:locked/>
    <w:uiPriority w:val="99"/>
    <w:rPr>
      <w:rFonts w:eastAsia="宋体"/>
      <w:kern w:val="2"/>
      <w:sz w:val="21"/>
      <w:lang w:val="en-US" w:eastAsia="zh-CN"/>
    </w:rPr>
  </w:style>
  <w:style w:type="character" w:customStyle="1" w:styleId="94">
    <w:name w:val="more"/>
    <w:autoRedefine/>
    <w:qFormat/>
    <w:uiPriority w:val="99"/>
    <w:rPr>
      <w:rFonts w:ascii="仿宋_GB2312" w:eastAsia="仿宋_GB2312"/>
      <w:sz w:val="32"/>
    </w:rPr>
  </w:style>
  <w:style w:type="character" w:customStyle="1" w:styleId="95">
    <w:name w:val="huide001"/>
    <w:autoRedefine/>
    <w:qFormat/>
    <w:uiPriority w:val="99"/>
    <w:rPr>
      <w:rFonts w:ascii="Arial" w:hAnsi="Arial"/>
      <w:color w:val="666666"/>
      <w:sz w:val="18"/>
    </w:rPr>
  </w:style>
  <w:style w:type="character" w:customStyle="1" w:styleId="96">
    <w:name w:val="unnamed11"/>
    <w:autoRedefine/>
    <w:qFormat/>
    <w:uiPriority w:val="99"/>
    <w:rPr>
      <w:sz w:val="20"/>
    </w:rPr>
  </w:style>
  <w:style w:type="character" w:customStyle="1" w:styleId="97">
    <w:name w:val="tw4winTerm"/>
    <w:autoRedefine/>
    <w:qFormat/>
    <w:uiPriority w:val="99"/>
    <w:rPr>
      <w:color w:val="0000FF"/>
    </w:rPr>
  </w:style>
  <w:style w:type="character" w:customStyle="1" w:styleId="98">
    <w:name w:val="标题 1 Char Char"/>
    <w:basedOn w:val="50"/>
    <w:autoRedefine/>
    <w:qFormat/>
    <w:uiPriority w:val="99"/>
    <w:rPr>
      <w:rFonts w:ascii="仿宋_GB2312" w:eastAsia="宋体" w:cs="Times New Roman"/>
      <w:spacing w:val="-2"/>
      <w:sz w:val="32"/>
      <w:lang w:val="en-US" w:eastAsia="zh-CN"/>
    </w:rPr>
  </w:style>
  <w:style w:type="character" w:customStyle="1" w:styleId="99">
    <w:name w:val="font3"/>
    <w:autoRedefine/>
    <w:qFormat/>
    <w:uiPriority w:val="99"/>
    <w:rPr>
      <w:rFonts w:ascii="仿宋_GB2312" w:eastAsia="仿宋_GB2312"/>
      <w:sz w:val="32"/>
    </w:rPr>
  </w:style>
  <w:style w:type="character" w:customStyle="1" w:styleId="100">
    <w:name w:val="纯文本 Char"/>
    <w:autoRedefine/>
    <w:qFormat/>
    <w:uiPriority w:val="99"/>
    <w:rPr>
      <w:rFonts w:ascii="宋体" w:hAnsi="Courier New" w:eastAsia="宋体"/>
      <w:kern w:val="2"/>
      <w:sz w:val="20"/>
      <w:lang w:val="en-US" w:eastAsia="zh-CN"/>
    </w:rPr>
  </w:style>
  <w:style w:type="character" w:customStyle="1" w:styleId="101">
    <w:name w:val="书籍标题1"/>
    <w:autoRedefine/>
    <w:qFormat/>
    <w:uiPriority w:val="99"/>
    <w:rPr>
      <w:b/>
      <w:smallCaps/>
      <w:spacing w:val="5"/>
    </w:rPr>
  </w:style>
  <w:style w:type="character" w:customStyle="1" w:styleId="102">
    <w:name w:val="标题 3 Char Char"/>
    <w:autoRedefine/>
    <w:qFormat/>
    <w:uiPriority w:val="99"/>
    <w:rPr>
      <w:rFonts w:eastAsia="宋体"/>
      <w:b/>
      <w:kern w:val="2"/>
      <w:sz w:val="32"/>
      <w:lang w:val="en-US" w:eastAsia="zh-CN"/>
    </w:rPr>
  </w:style>
  <w:style w:type="character" w:customStyle="1" w:styleId="103">
    <w:name w:val="tw4winMark"/>
    <w:autoRedefine/>
    <w:qFormat/>
    <w:uiPriority w:val="99"/>
    <w:rPr>
      <w:rFonts w:ascii="Courier New" w:hAnsi="Courier New"/>
      <w:vanish/>
      <w:color w:val="800080"/>
      <w:vertAlign w:val="subscript"/>
    </w:rPr>
  </w:style>
  <w:style w:type="character" w:customStyle="1" w:styleId="104">
    <w:name w:val="point_normal1"/>
    <w:autoRedefine/>
    <w:qFormat/>
    <w:uiPriority w:val="99"/>
    <w:rPr>
      <w:rFonts w:ascii="Arial" w:hAnsi="Arial"/>
      <w:sz w:val="18"/>
    </w:rPr>
  </w:style>
  <w:style w:type="character" w:customStyle="1" w:styleId="105">
    <w:name w:val="font21"/>
    <w:basedOn w:val="50"/>
    <w:autoRedefine/>
    <w:qFormat/>
    <w:uiPriority w:val="99"/>
    <w:rPr>
      <w:rFonts w:ascii="宋体" w:hAnsi="宋体" w:eastAsia="宋体"/>
      <w:b/>
      <w:color w:val="000000"/>
      <w:sz w:val="20"/>
      <w:u w:val="none"/>
    </w:rPr>
  </w:style>
  <w:style w:type="character" w:customStyle="1" w:styleId="106">
    <w:name w:val="Char Char3"/>
    <w:autoRedefine/>
    <w:qFormat/>
    <w:uiPriority w:val="99"/>
    <w:rPr>
      <w:rFonts w:ascii="宋体" w:hAnsi="Courier New" w:eastAsia="宋体"/>
      <w:sz w:val="21"/>
      <w:lang w:val="en-US" w:eastAsia="zh-CN"/>
    </w:rPr>
  </w:style>
  <w:style w:type="character" w:customStyle="1" w:styleId="107">
    <w:name w:val="font71"/>
    <w:autoRedefine/>
    <w:qFormat/>
    <w:uiPriority w:val="99"/>
    <w:rPr>
      <w:rFonts w:ascii="宋体" w:hAnsi="宋体" w:eastAsia="宋体"/>
      <w:b/>
      <w:color w:val="000000"/>
      <w:sz w:val="20"/>
      <w:u w:val="none"/>
    </w:rPr>
  </w:style>
  <w:style w:type="character" w:customStyle="1" w:styleId="108">
    <w:name w:val="A C"/>
    <w:autoRedefine/>
    <w:qFormat/>
    <w:uiPriority w:val="99"/>
    <w:rPr>
      <w:rFonts w:ascii="仿宋_GB2312"/>
      <w:sz w:val="24"/>
    </w:rPr>
  </w:style>
  <w:style w:type="character" w:customStyle="1" w:styleId="109">
    <w:name w:val="保留正文 Char"/>
    <w:link w:val="110"/>
    <w:autoRedefine/>
    <w:qFormat/>
    <w:locked/>
    <w:uiPriority w:val="99"/>
    <w:rPr>
      <w:rFonts w:ascii="仿宋_GB2312" w:eastAsia="宋体"/>
      <w:b/>
      <w:kern w:val="2"/>
      <w:sz w:val="24"/>
      <w:lang w:val="en-US" w:eastAsia="zh-CN"/>
    </w:rPr>
  </w:style>
  <w:style w:type="paragraph" w:customStyle="1" w:styleId="110">
    <w:name w:val="保留正文"/>
    <w:basedOn w:val="19"/>
    <w:link w:val="109"/>
    <w:autoRedefine/>
    <w:qFormat/>
    <w:uiPriority w:val="99"/>
    <w:pPr>
      <w:keepNext/>
      <w:spacing w:after="160"/>
    </w:pPr>
    <w:rPr>
      <w:b/>
      <w:sz w:val="24"/>
    </w:rPr>
  </w:style>
  <w:style w:type="character" w:customStyle="1" w:styleId="111">
    <w:name w:val="para"/>
    <w:autoRedefine/>
    <w:qFormat/>
    <w:uiPriority w:val="99"/>
    <w:rPr>
      <w:rFonts w:ascii="仿宋_GB2312" w:eastAsia="仿宋_GB2312"/>
      <w:sz w:val="32"/>
    </w:rPr>
  </w:style>
  <w:style w:type="character" w:customStyle="1" w:styleId="112">
    <w:name w:val="样式 标题 4 + 黑体 五号 Char"/>
    <w:autoRedefine/>
    <w:qFormat/>
    <w:uiPriority w:val="99"/>
    <w:rPr>
      <w:rFonts w:ascii="黑体" w:hAnsi="黑体" w:eastAsia="黑体"/>
      <w:b/>
      <w:kern w:val="2"/>
      <w:sz w:val="28"/>
      <w:lang w:val="en-US" w:eastAsia="zh-CN"/>
    </w:rPr>
  </w:style>
  <w:style w:type="character" w:customStyle="1" w:styleId="113">
    <w:name w:val="1051"/>
    <w:autoRedefine/>
    <w:qFormat/>
    <w:uiPriority w:val="99"/>
    <w:rPr>
      <w:sz w:val="21"/>
    </w:rPr>
  </w:style>
  <w:style w:type="character" w:customStyle="1" w:styleId="114">
    <w:name w:val="Head 2"/>
    <w:autoRedefine/>
    <w:qFormat/>
    <w:uiPriority w:val="99"/>
    <w:rPr>
      <w:rFonts w:ascii="仿宋_GB2312"/>
      <w:sz w:val="24"/>
    </w:rPr>
  </w:style>
  <w:style w:type="character" w:customStyle="1" w:styleId="115">
    <w:name w:val="line1"/>
    <w:autoRedefine/>
    <w:qFormat/>
    <w:uiPriority w:val="99"/>
    <w:rPr>
      <w:u w:val="none"/>
    </w:rPr>
  </w:style>
  <w:style w:type="character" w:customStyle="1" w:styleId="116">
    <w:name w:val="表格 Char Char"/>
    <w:link w:val="117"/>
    <w:autoRedefine/>
    <w:qFormat/>
    <w:locked/>
    <w:uiPriority w:val="99"/>
    <w:rPr>
      <w:rFonts w:ascii="仿宋_GB2312" w:hAnsi="宋体" w:eastAsia="仿宋_GB2312"/>
      <w:sz w:val="21"/>
      <w:lang w:val="en-US" w:eastAsia="zh-CN"/>
    </w:rPr>
  </w:style>
  <w:style w:type="paragraph" w:customStyle="1" w:styleId="117">
    <w:name w:val="表格"/>
    <w:basedOn w:val="1"/>
    <w:link w:val="116"/>
    <w:autoRedefine/>
    <w:qFormat/>
    <w:uiPriority w:val="99"/>
    <w:pPr>
      <w:snapToGrid w:val="0"/>
      <w:spacing w:after="156"/>
    </w:pPr>
    <w:rPr>
      <w:rFonts w:ascii="仿宋_GB2312" w:hAnsi="宋体" w:eastAsia="仿宋_GB2312"/>
      <w:kern w:val="0"/>
    </w:rPr>
  </w:style>
  <w:style w:type="character" w:customStyle="1" w:styleId="118">
    <w:name w:val="ho121"/>
    <w:autoRedefine/>
    <w:qFormat/>
    <w:uiPriority w:val="99"/>
    <w:rPr>
      <w:color w:val="CC0000"/>
    </w:rPr>
  </w:style>
  <w:style w:type="character" w:customStyle="1" w:styleId="119">
    <w:name w:val="Normal Indent Char1 Char1 Char2 Char Char Char Char Char Char Char Char Char Char Char Char Char Char"/>
    <w:autoRedefine/>
    <w:qFormat/>
    <w:uiPriority w:val="99"/>
    <w:rPr>
      <w:rFonts w:eastAsia="仿宋_GB2312"/>
      <w:kern w:val="2"/>
      <w:sz w:val="24"/>
      <w:lang w:val="en-US" w:eastAsia="zh-CN"/>
    </w:rPr>
  </w:style>
  <w:style w:type="character" w:customStyle="1" w:styleId="120">
    <w:name w:val="font51"/>
    <w:basedOn w:val="50"/>
    <w:autoRedefine/>
    <w:qFormat/>
    <w:uiPriority w:val="99"/>
    <w:rPr>
      <w:rFonts w:ascii="宋体" w:hAnsi="宋体" w:eastAsia="宋体"/>
      <w:b/>
      <w:color w:val="000000"/>
      <w:sz w:val="20"/>
      <w:u w:val="none"/>
    </w:rPr>
  </w:style>
  <w:style w:type="character" w:customStyle="1" w:styleId="121">
    <w:name w:val="tw4winError"/>
    <w:autoRedefine/>
    <w:qFormat/>
    <w:uiPriority w:val="99"/>
    <w:rPr>
      <w:rFonts w:ascii="Courier New" w:hAnsi="Courier New"/>
      <w:color w:val="00FF00"/>
      <w:sz w:val="40"/>
    </w:rPr>
  </w:style>
  <w:style w:type="character" w:customStyle="1" w:styleId="122">
    <w:name w:val="font41"/>
    <w:autoRedefine/>
    <w:qFormat/>
    <w:uiPriority w:val="99"/>
    <w:rPr>
      <w:rFonts w:ascii="宋体" w:hAnsi="宋体" w:eastAsia="宋体"/>
      <w:b/>
      <w:color w:val="000000"/>
      <w:sz w:val="20"/>
      <w:u w:val="none"/>
    </w:rPr>
  </w:style>
  <w:style w:type="character" w:customStyle="1" w:styleId="123">
    <w:name w:val="font81"/>
    <w:autoRedefine/>
    <w:qFormat/>
    <w:uiPriority w:val="99"/>
    <w:rPr>
      <w:rFonts w:ascii="宋体" w:hAnsi="宋体" w:eastAsia="宋体"/>
      <w:b/>
      <w:color w:val="000000"/>
      <w:sz w:val="20"/>
      <w:u w:val="none"/>
    </w:rPr>
  </w:style>
  <w:style w:type="character" w:customStyle="1" w:styleId="124">
    <w:name w:val="tw4winJump"/>
    <w:autoRedefine/>
    <w:qFormat/>
    <w:uiPriority w:val="99"/>
    <w:rPr>
      <w:rFonts w:ascii="Courier New" w:hAnsi="Courier New"/>
      <w:color w:val="008080"/>
    </w:rPr>
  </w:style>
  <w:style w:type="character" w:customStyle="1" w:styleId="125">
    <w:name w:val="样式 小四"/>
    <w:autoRedefine/>
    <w:qFormat/>
    <w:uiPriority w:val="99"/>
    <w:rPr>
      <w:sz w:val="21"/>
    </w:rPr>
  </w:style>
  <w:style w:type="character" w:customStyle="1" w:styleId="126">
    <w:name w:val="hei14b1"/>
    <w:autoRedefine/>
    <w:qFormat/>
    <w:uiPriority w:val="99"/>
    <w:rPr>
      <w:b/>
      <w:color w:val="333333"/>
      <w:sz w:val="21"/>
    </w:rPr>
  </w:style>
  <w:style w:type="character" w:customStyle="1" w:styleId="127">
    <w:name w:val="flname7"/>
    <w:autoRedefine/>
    <w:qFormat/>
    <w:uiPriority w:val="99"/>
    <w:rPr>
      <w:rFonts w:ascii="仿宋_GB2312" w:eastAsia="仿宋_GB2312"/>
      <w:sz w:val="32"/>
    </w:rPr>
  </w:style>
  <w:style w:type="character" w:customStyle="1" w:styleId="128">
    <w:name w:val="style591"/>
    <w:autoRedefine/>
    <w:qFormat/>
    <w:uiPriority w:val="99"/>
    <w:rPr>
      <w:rFonts w:ascii="Arial" w:hAnsi="Arial"/>
      <w:sz w:val="18"/>
      <w:u w:val="none"/>
    </w:rPr>
  </w:style>
  <w:style w:type="character" w:customStyle="1" w:styleId="129">
    <w:name w:val="表正文 Char"/>
    <w:autoRedefine/>
    <w:qFormat/>
    <w:uiPriority w:val="99"/>
    <w:rPr>
      <w:rFonts w:eastAsia="宋体"/>
      <w:kern w:val="2"/>
      <w:sz w:val="21"/>
      <w:lang w:val="en-US" w:eastAsia="zh-CN"/>
    </w:rPr>
  </w:style>
  <w:style w:type="character" w:customStyle="1" w:styleId="130">
    <w:name w:val="font61"/>
    <w:autoRedefine/>
    <w:qFormat/>
    <w:uiPriority w:val="99"/>
    <w:rPr>
      <w:rFonts w:ascii="宋体" w:hAnsi="宋体" w:eastAsia="宋体"/>
      <w:b/>
      <w:color w:val="000000"/>
      <w:sz w:val="20"/>
      <w:u w:val="none"/>
    </w:rPr>
  </w:style>
  <w:style w:type="character" w:customStyle="1" w:styleId="131">
    <w:name w:val="tw4winPopup"/>
    <w:autoRedefine/>
    <w:qFormat/>
    <w:uiPriority w:val="99"/>
    <w:rPr>
      <w:rFonts w:ascii="Courier New" w:hAnsi="Courier New"/>
      <w:color w:val="008000"/>
    </w:rPr>
  </w:style>
  <w:style w:type="character" w:customStyle="1" w:styleId="132">
    <w:name w:val="样式 样式3 + 宋体 五号 Char Char Char Char Char"/>
    <w:autoRedefine/>
    <w:qFormat/>
    <w:uiPriority w:val="99"/>
    <w:rPr>
      <w:rFonts w:ascii="宋体" w:hAnsi="宋体" w:eastAsia="宋体"/>
      <w:b/>
      <w:kern w:val="2"/>
      <w:sz w:val="24"/>
      <w:lang w:val="en-US" w:eastAsia="zh-CN"/>
    </w:rPr>
  </w:style>
  <w:style w:type="character" w:customStyle="1" w:styleId="133">
    <w:name w:val="普通文字 Char Char1"/>
    <w:autoRedefine/>
    <w:qFormat/>
    <w:uiPriority w:val="99"/>
    <w:rPr>
      <w:rFonts w:ascii="宋体" w:hAnsi="Courier New" w:eastAsia="宋体"/>
      <w:sz w:val="21"/>
      <w:lang w:val="en-US" w:eastAsia="zh-CN"/>
    </w:rPr>
  </w:style>
  <w:style w:type="character" w:customStyle="1" w:styleId="134">
    <w:name w:val="tw4winExternal"/>
    <w:autoRedefine/>
    <w:qFormat/>
    <w:uiPriority w:val="99"/>
    <w:rPr>
      <w:rFonts w:ascii="Courier New" w:hAnsi="Courier New"/>
      <w:color w:val="808080"/>
    </w:rPr>
  </w:style>
  <w:style w:type="character" w:customStyle="1" w:styleId="135">
    <w:name w:val="tw4winInternal"/>
    <w:autoRedefine/>
    <w:qFormat/>
    <w:uiPriority w:val="99"/>
    <w:rPr>
      <w:rFonts w:ascii="Courier New" w:hAnsi="Courier New"/>
      <w:color w:val="FF0000"/>
    </w:rPr>
  </w:style>
  <w:style w:type="character" w:customStyle="1" w:styleId="136">
    <w:name w:val="正文缩进 Char"/>
    <w:autoRedefine/>
    <w:qFormat/>
    <w:uiPriority w:val="99"/>
    <w:rPr>
      <w:rFonts w:eastAsia="宋体"/>
      <w:kern w:val="2"/>
      <w:sz w:val="24"/>
      <w:lang w:val="en-US" w:eastAsia="zh-CN"/>
    </w:rPr>
  </w:style>
  <w:style w:type="character" w:customStyle="1" w:styleId="137">
    <w:name w:val="size31"/>
    <w:autoRedefine/>
    <w:qFormat/>
    <w:uiPriority w:val="99"/>
    <w:rPr>
      <w:rFonts w:ascii="Arial" w:hAnsi="Arial"/>
      <w:color w:val="2D2D2D"/>
      <w:sz w:val="18"/>
    </w:rPr>
  </w:style>
  <w:style w:type="paragraph" w:customStyle="1" w:styleId="138">
    <w:name w:val="font5"/>
    <w:basedOn w:val="1"/>
    <w:autoRedefine/>
    <w:qFormat/>
    <w:uiPriority w:val="99"/>
    <w:pPr>
      <w:widowControl/>
      <w:spacing w:before="100" w:beforeAutospacing="1" w:after="100" w:afterAutospacing="1"/>
      <w:jc w:val="left"/>
    </w:pPr>
    <w:rPr>
      <w:rFonts w:ascii="宋体" w:hAnsi="宋体"/>
      <w:kern w:val="0"/>
      <w:sz w:val="18"/>
      <w:szCs w:val="18"/>
    </w:rPr>
  </w:style>
  <w:style w:type="paragraph" w:customStyle="1" w:styleId="139">
    <w:name w:val="沈标题四"/>
    <w:basedOn w:val="6"/>
    <w:next w:val="1"/>
    <w:autoRedefine/>
    <w:qFormat/>
    <w:uiPriority w:val="99"/>
    <w:pPr>
      <w:keepNext w:val="0"/>
      <w:keepLines w:val="0"/>
      <w:spacing w:line="377" w:lineRule="auto"/>
    </w:pPr>
    <w:rPr>
      <w:rFonts w:ascii="Arial Narrow" w:hAnsi="Arial Narrow" w:eastAsia="方正姚体"/>
      <w:sz w:val="24"/>
      <w:szCs w:val="24"/>
    </w:rPr>
  </w:style>
  <w:style w:type="paragraph" w:customStyle="1" w:styleId="140">
    <w:name w:val="Char Char Char Char Char Char Char Char"/>
    <w:basedOn w:val="1"/>
    <w:autoRedefine/>
    <w:qFormat/>
    <w:uiPriority w:val="99"/>
    <w:pPr>
      <w:tabs>
        <w:tab w:val="left" w:pos="360"/>
      </w:tabs>
    </w:pPr>
    <w:rPr>
      <w:sz w:val="24"/>
      <w:szCs w:val="24"/>
    </w:rPr>
  </w:style>
  <w:style w:type="paragraph" w:customStyle="1" w:styleId="141">
    <w:name w:val="标准标题1"/>
    <w:basedOn w:val="3"/>
    <w:autoRedefine/>
    <w:qFormat/>
    <w:uiPriority w:val="99"/>
    <w:pPr>
      <w:pageBreakBefore/>
      <w:numPr>
        <w:numId w:val="0"/>
      </w:numPr>
      <w:tabs>
        <w:tab w:val="left" w:pos="1080"/>
      </w:tabs>
      <w:autoSpaceDE/>
      <w:autoSpaceDN/>
      <w:adjustRightInd/>
      <w:spacing w:line="578" w:lineRule="auto"/>
      <w:ind w:left="425" w:hanging="425"/>
      <w:jc w:val="both"/>
      <w:textAlignment w:val="auto"/>
    </w:pPr>
    <w:rPr>
      <w:rFonts w:ascii="Times New Roman" w:hAnsi="Times New Roman" w:eastAsia="仿宋_GB2312"/>
      <w:bCs/>
      <w:color w:val="auto"/>
      <w:sz w:val="32"/>
      <w:szCs w:val="44"/>
    </w:rPr>
  </w:style>
  <w:style w:type="paragraph" w:customStyle="1" w:styleId="142">
    <w:name w:val="S4-I-U-L15-No-dot"/>
    <w:basedOn w:val="1"/>
    <w:autoRedefine/>
    <w:qFormat/>
    <w:uiPriority w:val="99"/>
    <w:pPr>
      <w:tabs>
        <w:tab w:val="left" w:pos="1112"/>
      </w:tabs>
      <w:spacing w:after="120" w:line="360" w:lineRule="auto"/>
      <w:ind w:left="1112" w:hanging="420"/>
    </w:pPr>
    <w:rPr>
      <w:i/>
      <w:sz w:val="24"/>
      <w:szCs w:val="24"/>
      <w:u w:val="single"/>
    </w:rPr>
  </w:style>
  <w:style w:type="paragraph" w:customStyle="1" w:styleId="143">
    <w:name w:val="xl4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144">
    <w:name w:val="表格内容"/>
    <w:basedOn w:val="19"/>
    <w:autoRedefine/>
    <w:qFormat/>
    <w:uiPriority w:val="99"/>
    <w:pPr>
      <w:suppressLineNumbers/>
      <w:suppressAutoHyphens/>
    </w:pPr>
    <w:rPr>
      <w:kern w:val="1"/>
      <w:szCs w:val="24"/>
      <w:lang w:eastAsia="ar-SA"/>
    </w:rPr>
  </w:style>
  <w:style w:type="paragraph" w:customStyle="1" w:styleId="145">
    <w:name w:val="自动更正"/>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样式 标题 2Chapter X.X. Statementh22Header 2l2Level 2 Headhea...1"/>
    <w:basedOn w:val="5"/>
    <w:autoRedefine/>
    <w:qFormat/>
    <w:uiPriority w:val="99"/>
    <w:pPr>
      <w:keepNext/>
      <w:numPr>
        <w:ilvl w:val="0"/>
        <w:numId w:val="3"/>
      </w:numPr>
      <w:tabs>
        <w:tab w:val="clear" w:pos="360"/>
      </w:tabs>
      <w:autoSpaceDE/>
      <w:autoSpaceDN/>
      <w:adjustRightInd/>
      <w:spacing w:before="120" w:afterLines="50" w:line="240" w:lineRule="auto"/>
      <w:ind w:left="0" w:firstLine="0"/>
      <w:jc w:val="left"/>
      <w:textAlignment w:val="auto"/>
    </w:pPr>
    <w:rPr>
      <w:rFonts w:ascii="宋体" w:eastAsia="宋体" w:cs="宋体"/>
      <w:bCs/>
      <w:color w:val="auto"/>
      <w:sz w:val="24"/>
    </w:rPr>
  </w:style>
  <w:style w:type="paragraph" w:customStyle="1" w:styleId="147">
    <w:name w:val="Bullet"/>
    <w:basedOn w:val="1"/>
    <w:autoRedefine/>
    <w:qFormat/>
    <w:uiPriority w:val="99"/>
    <w:pPr>
      <w:widowControl/>
      <w:tabs>
        <w:tab w:val="left" w:pos="720"/>
        <w:tab w:val="left" w:pos="964"/>
      </w:tabs>
      <w:spacing w:before="120" w:afterLines="50"/>
      <w:ind w:left="720" w:right="360" w:hanging="482"/>
    </w:pPr>
    <w:rPr>
      <w:rFonts w:ascii="宋体"/>
      <w:kern w:val="0"/>
    </w:rPr>
  </w:style>
  <w:style w:type="paragraph" w:customStyle="1" w:styleId="148">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4"/>
      <w:szCs w:val="24"/>
    </w:rPr>
  </w:style>
  <w:style w:type="paragraph" w:customStyle="1" w:styleId="149">
    <w:name w:val="Char Char Char Char1 Char Char"/>
    <w:basedOn w:val="1"/>
    <w:autoRedefine/>
    <w:qFormat/>
    <w:uiPriority w:val="99"/>
    <w:pPr>
      <w:widowControl/>
      <w:spacing w:after="160" w:line="240" w:lineRule="exact"/>
      <w:jc w:val="left"/>
    </w:pPr>
    <w:rPr>
      <w:rFonts w:ascii="Verdana" w:hAnsi="Verdana"/>
      <w:kern w:val="0"/>
      <w:sz w:val="20"/>
      <w:lang w:eastAsia="en-US"/>
    </w:rPr>
  </w:style>
  <w:style w:type="paragraph" w:customStyle="1" w:styleId="150">
    <w:name w:val="二级项目符号"/>
    <w:basedOn w:val="1"/>
    <w:autoRedefine/>
    <w:qFormat/>
    <w:uiPriority w:val="99"/>
    <w:pPr>
      <w:widowControl/>
      <w:tabs>
        <w:tab w:val="left" w:pos="964"/>
      </w:tabs>
      <w:spacing w:line="360" w:lineRule="auto"/>
      <w:ind w:left="964" w:hanging="482"/>
    </w:pPr>
    <w:rPr>
      <w:kern w:val="0"/>
      <w:sz w:val="24"/>
    </w:rPr>
  </w:style>
  <w:style w:type="paragraph" w:customStyle="1" w:styleId="151">
    <w:name w:val="Paragraph3"/>
    <w:basedOn w:val="1"/>
    <w:autoRedefine/>
    <w:qFormat/>
    <w:uiPriority w:val="99"/>
    <w:pPr>
      <w:spacing w:before="80" w:afterLines="50"/>
      <w:ind w:left="1530"/>
    </w:pPr>
    <w:rPr>
      <w:rFonts w:ascii="宋体"/>
      <w:kern w:val="0"/>
    </w:rPr>
  </w:style>
  <w:style w:type="paragraph" w:customStyle="1" w:styleId="152">
    <w:name w:val="样式 样式 正文文本缩进 + 仿宋_GB2312 小四 首行缩进:  0 厘米 行距: 1.5 倍行距 + (中文) 仿宋_GB..."/>
    <w:basedOn w:val="153"/>
    <w:autoRedefine/>
    <w:qFormat/>
    <w:uiPriority w:val="99"/>
    <w:pPr>
      <w:ind w:firstLine="480" w:firstLineChars="200"/>
    </w:pPr>
  </w:style>
  <w:style w:type="paragraph" w:customStyle="1" w:styleId="153">
    <w:name w:val="样式 正文文本缩进 + 仿宋_GB2312 小四 首行缩进:  0 厘米 行距: 1.5 倍行距"/>
    <w:basedOn w:val="20"/>
    <w:autoRedefine/>
    <w:qFormat/>
    <w:uiPriority w:val="99"/>
    <w:pPr>
      <w:spacing w:line="360" w:lineRule="auto"/>
      <w:ind w:firstLine="0"/>
    </w:pPr>
    <w:rPr>
      <w:rFonts w:ascii="仿宋_GB2312" w:eastAsia="新宋体"/>
      <w:sz w:val="24"/>
    </w:rPr>
  </w:style>
  <w:style w:type="paragraph" w:customStyle="1" w:styleId="154">
    <w:name w:val="样式6"/>
    <w:basedOn w:val="1"/>
    <w:autoRedefine/>
    <w:qFormat/>
    <w:uiPriority w:val="99"/>
    <w:pPr>
      <w:adjustRightInd w:val="0"/>
      <w:spacing w:beforeLines="50" w:afterLines="50"/>
      <w:ind w:firstLine="669"/>
      <w:textAlignment w:val="baseline"/>
    </w:pPr>
    <w:rPr>
      <w:rFonts w:ascii="宋体" w:hAnsi="宋体"/>
      <w:kern w:val="0"/>
      <w:sz w:val="28"/>
    </w:rPr>
  </w:style>
  <w:style w:type="paragraph" w:customStyle="1" w:styleId="155">
    <w:name w:val="Bullet1"/>
    <w:basedOn w:val="1"/>
    <w:autoRedefine/>
    <w:qFormat/>
    <w:uiPriority w:val="99"/>
    <w:pPr>
      <w:spacing w:afterLines="50"/>
      <w:ind w:left="720" w:hanging="432"/>
      <w:jc w:val="left"/>
    </w:pPr>
    <w:rPr>
      <w:rFonts w:ascii="宋体"/>
      <w:kern w:val="0"/>
    </w:rPr>
  </w:style>
  <w:style w:type="paragraph" w:customStyle="1" w:styleId="156">
    <w:name w:val="Table - Col. Head"/>
    <w:basedOn w:val="1"/>
    <w:autoRedefine/>
    <w:qFormat/>
    <w:uiPriority w:val="99"/>
    <w:pPr>
      <w:keepNext/>
      <w:widowControl/>
      <w:spacing w:before="60" w:afterLines="50"/>
      <w:jc w:val="left"/>
    </w:pPr>
    <w:rPr>
      <w:rFonts w:ascii="Arial" w:hAnsi="Arial"/>
      <w:b/>
      <w:kern w:val="0"/>
      <w:sz w:val="18"/>
      <w:lang w:eastAsia="en-US"/>
    </w:rPr>
  </w:style>
  <w:style w:type="paragraph" w:customStyle="1" w:styleId="157">
    <w:name w:val="Char1"/>
    <w:basedOn w:val="1"/>
    <w:autoRedefine/>
    <w:qFormat/>
    <w:uiPriority w:val="99"/>
    <w:rPr>
      <w:rFonts w:ascii="仿宋_GB2312" w:eastAsia="仿宋_GB2312"/>
      <w:b/>
      <w:sz w:val="32"/>
      <w:szCs w:val="32"/>
    </w:rPr>
  </w:style>
  <w:style w:type="paragraph" w:customStyle="1" w:styleId="158">
    <w:name w:val="xl35"/>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20"/>
    </w:rPr>
  </w:style>
  <w:style w:type="paragraph" w:customStyle="1" w:styleId="159">
    <w:name w:val="xl45"/>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4"/>
      <w:szCs w:val="24"/>
    </w:rPr>
  </w:style>
  <w:style w:type="paragraph" w:customStyle="1" w:styleId="160">
    <w:name w:val="样式 标题 3"/>
    <w:basedOn w:val="5"/>
    <w:next w:val="161"/>
    <w:autoRedefine/>
    <w:qFormat/>
    <w:uiPriority w:val="99"/>
    <w:pPr>
      <w:keepNext/>
      <w:numPr>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161">
    <w:name w:val="最新标题4"/>
    <w:basedOn w:val="162"/>
    <w:next w:val="1"/>
    <w:autoRedefine/>
    <w:qFormat/>
    <w:uiPriority w:val="99"/>
    <w:pPr>
      <w:tabs>
        <w:tab w:val="left" w:pos="709"/>
        <w:tab w:val="left" w:pos="2100"/>
      </w:tabs>
      <w:spacing w:after="120"/>
      <w:ind w:left="0" w:firstLine="0"/>
    </w:pPr>
  </w:style>
  <w:style w:type="paragraph" w:customStyle="1" w:styleId="162">
    <w:name w:val="样式 标题 4"/>
    <w:basedOn w:val="163"/>
    <w:next w:val="165"/>
    <w:autoRedefine/>
    <w:qFormat/>
    <w:uiPriority w:val="99"/>
    <w:pPr>
      <w:tabs>
        <w:tab w:val="left" w:pos="709"/>
        <w:tab w:val="left" w:pos="2100"/>
      </w:tabs>
      <w:spacing w:after="50"/>
      <w:ind w:left="2100" w:hanging="420"/>
    </w:pPr>
  </w:style>
  <w:style w:type="paragraph" w:customStyle="1" w:styleId="163">
    <w:name w:val="样式 标题 4Chapter X.X.X.X. + 段后: 0.5 行1"/>
    <w:basedOn w:val="164"/>
    <w:autoRedefine/>
    <w:qFormat/>
    <w:uiPriority w:val="99"/>
    <w:pPr>
      <w:tabs>
        <w:tab w:val="left" w:pos="709"/>
      </w:tabs>
      <w:spacing w:afterLines="0"/>
    </w:pPr>
  </w:style>
  <w:style w:type="paragraph" w:customStyle="1" w:styleId="164">
    <w:name w:val="样式 标题 4 + 段后: 0.5 行"/>
    <w:basedOn w:val="6"/>
    <w:autoRedefine/>
    <w:qFormat/>
    <w:uiPriority w:val="99"/>
    <w:pPr>
      <w:keepLines w:val="0"/>
      <w:spacing w:before="120" w:afterLines="50" w:line="240" w:lineRule="auto"/>
      <w:jc w:val="left"/>
    </w:pPr>
    <w:rPr>
      <w:rFonts w:ascii="宋体" w:hAnsi="Times New Roman" w:cs="宋体"/>
      <w:sz w:val="21"/>
    </w:rPr>
  </w:style>
  <w:style w:type="paragraph" w:customStyle="1" w:styleId="165">
    <w:name w:val="样式 正文"/>
    <w:basedOn w:val="1"/>
    <w:next w:val="1"/>
    <w:autoRedefine/>
    <w:qFormat/>
    <w:uiPriority w:val="99"/>
    <w:pPr>
      <w:spacing w:afterLines="50"/>
      <w:jc w:val="left"/>
    </w:pPr>
    <w:rPr>
      <w:rFonts w:ascii="宋体" w:cs="宋体"/>
      <w:kern w:val="0"/>
    </w:rPr>
  </w:style>
  <w:style w:type="paragraph" w:customStyle="1" w:styleId="166">
    <w:name w:val="样式 标题1"/>
    <w:basedOn w:val="167"/>
    <w:next w:val="168"/>
    <w:autoRedefine/>
    <w:qFormat/>
    <w:uiPriority w:val="99"/>
    <w:pPr>
      <w:tabs>
        <w:tab w:val="left" w:pos="360"/>
        <w:tab w:val="left" w:pos="1140"/>
      </w:tabs>
      <w:spacing w:afterLines="0"/>
      <w:ind w:left="1140" w:hanging="720"/>
    </w:pPr>
    <w:rPr>
      <w:bCs w:val="0"/>
      <w:sz w:val="32"/>
    </w:rPr>
  </w:style>
  <w:style w:type="paragraph" w:customStyle="1" w:styleId="167">
    <w:name w:val="样式 标题 1 + 段后: 0.5 行"/>
    <w:basedOn w:val="3"/>
    <w:autoRedefine/>
    <w:qFormat/>
    <w:uiPriority w:val="99"/>
    <w:pPr>
      <w:keepLines w:val="0"/>
      <w:numPr>
        <w:numId w:val="0"/>
      </w:numPr>
      <w:autoSpaceDE/>
      <w:autoSpaceDN/>
      <w:adjustRightInd/>
      <w:spacing w:before="120" w:afterLines="50" w:line="240" w:lineRule="auto"/>
      <w:textAlignment w:val="auto"/>
    </w:pPr>
    <w:rPr>
      <w:rFonts w:hAnsi="Times New Roman" w:eastAsia="宋体" w:cs="宋体"/>
      <w:bCs/>
      <w:color w:val="auto"/>
      <w:kern w:val="0"/>
      <w:sz w:val="28"/>
    </w:rPr>
  </w:style>
  <w:style w:type="paragraph" w:customStyle="1" w:styleId="168">
    <w:name w:val="最新标题2"/>
    <w:basedOn w:val="169"/>
    <w:next w:val="170"/>
    <w:autoRedefine/>
    <w:qFormat/>
    <w:uiPriority w:val="99"/>
    <w:pPr>
      <w:tabs>
        <w:tab w:val="left" w:pos="360"/>
        <w:tab w:val="left" w:pos="720"/>
      </w:tabs>
      <w:spacing w:afterLines="0"/>
    </w:pPr>
  </w:style>
  <w:style w:type="paragraph" w:customStyle="1" w:styleId="169">
    <w:name w:val="样式 标题 2"/>
    <w:basedOn w:val="4"/>
    <w:next w:val="170"/>
    <w:autoRedefine/>
    <w:qFormat/>
    <w:uiPriority w:val="99"/>
    <w:pPr>
      <w:keepLines w:val="0"/>
      <w:numPr>
        <w:ilvl w:val="0"/>
        <w:numId w:val="0"/>
      </w:numPr>
      <w:spacing w:before="120" w:afterLines="50" w:line="240" w:lineRule="auto"/>
      <w:ind w:left="380" w:hanging="380"/>
      <w:jc w:val="left"/>
    </w:pPr>
    <w:rPr>
      <w:rFonts w:ascii="宋体" w:hAnsi="Times New Roman" w:eastAsia="宋体" w:cs="宋体"/>
      <w:sz w:val="28"/>
      <w:szCs w:val="20"/>
    </w:rPr>
  </w:style>
  <w:style w:type="paragraph" w:customStyle="1" w:styleId="170">
    <w:name w:val="最新标题3"/>
    <w:basedOn w:val="160"/>
    <w:next w:val="161"/>
    <w:autoRedefine/>
    <w:qFormat/>
    <w:uiPriority w:val="99"/>
    <w:pPr>
      <w:spacing w:afterLines="0"/>
    </w:pPr>
  </w:style>
  <w:style w:type="paragraph" w:customStyle="1" w:styleId="171">
    <w:name w:val="Table - Text"/>
    <w:basedOn w:val="1"/>
    <w:autoRedefine/>
    <w:qFormat/>
    <w:uiPriority w:val="99"/>
    <w:pPr>
      <w:widowControl/>
      <w:spacing w:before="60" w:afterLines="50"/>
      <w:jc w:val="left"/>
    </w:pPr>
    <w:rPr>
      <w:kern w:val="0"/>
      <w:lang w:eastAsia="en-US"/>
    </w:rPr>
  </w:style>
  <w:style w:type="paragraph" w:customStyle="1" w:styleId="172">
    <w:name w:val="最新标题1"/>
    <w:basedOn w:val="166"/>
    <w:next w:val="168"/>
    <w:autoRedefine/>
    <w:qFormat/>
    <w:uiPriority w:val="99"/>
    <w:pPr>
      <w:numPr>
        <w:numId w:val="4"/>
      </w:numPr>
      <w:spacing w:after="120"/>
    </w:pPr>
    <w:rPr>
      <w:bCs/>
    </w:rPr>
  </w:style>
  <w:style w:type="paragraph" w:customStyle="1" w:styleId="173">
    <w:name w:val="z-窗体顶端1"/>
    <w:basedOn w:val="1"/>
    <w:next w:val="1"/>
    <w:autoRedefine/>
    <w:qFormat/>
    <w:uiPriority w:val="99"/>
    <w:pPr>
      <w:pBdr>
        <w:bottom w:val="single" w:color="auto" w:sz="6" w:space="1"/>
      </w:pBdr>
      <w:jc w:val="center"/>
    </w:pPr>
    <w:rPr>
      <w:rFonts w:ascii="Arial"/>
      <w:vanish/>
      <w:sz w:val="16"/>
    </w:rPr>
  </w:style>
  <w:style w:type="paragraph" w:customStyle="1" w:styleId="174">
    <w:name w:val="样式 标题 1 + 五号"/>
    <w:basedOn w:val="3"/>
    <w:autoRedefine/>
    <w:qFormat/>
    <w:uiPriority w:val="99"/>
    <w:pPr>
      <w:numPr>
        <w:numId w:val="0"/>
      </w:numPr>
      <w:autoSpaceDE/>
      <w:autoSpaceDN/>
      <w:adjustRightInd/>
      <w:spacing w:before="0" w:after="0" w:line="240" w:lineRule="auto"/>
      <w:jc w:val="center"/>
      <w:textAlignment w:val="auto"/>
    </w:pPr>
    <w:rPr>
      <w:rFonts w:ascii="Times New Roman" w:hAnsi="Times New Roman" w:eastAsia="宋体"/>
      <w:bCs/>
      <w:color w:val="auto"/>
      <w:sz w:val="32"/>
      <w:szCs w:val="32"/>
    </w:rPr>
  </w:style>
  <w:style w:type="paragraph" w:customStyle="1" w:styleId="175">
    <w:name w:val="Char Char Char Char Char Char Char Char Char1 Char Char Char Char"/>
    <w:basedOn w:val="1"/>
    <w:autoRedefine/>
    <w:qFormat/>
    <w:uiPriority w:val="99"/>
    <w:pPr>
      <w:adjustRightInd w:val="0"/>
      <w:spacing w:line="360" w:lineRule="auto"/>
    </w:pPr>
  </w:style>
  <w:style w:type="paragraph" w:customStyle="1" w:styleId="176">
    <w:name w:val="font14"/>
    <w:basedOn w:val="1"/>
    <w:autoRedefine/>
    <w:qFormat/>
    <w:uiPriority w:val="99"/>
    <w:pPr>
      <w:widowControl/>
      <w:spacing w:before="100" w:beforeAutospacing="1" w:after="100" w:afterAutospacing="1"/>
      <w:jc w:val="left"/>
    </w:pPr>
    <w:rPr>
      <w:kern w:val="0"/>
      <w:sz w:val="22"/>
      <w:szCs w:val="22"/>
    </w:rPr>
  </w:style>
  <w:style w:type="paragraph" w:customStyle="1" w:styleId="177">
    <w:name w:val="P1"/>
    <w:basedOn w:val="1"/>
    <w:autoRedefine/>
    <w:qFormat/>
    <w:uiPriority w:val="99"/>
    <w:pPr>
      <w:widowControl/>
      <w:spacing w:before="240" w:line="240" w:lineRule="atLeast"/>
      <w:jc w:val="left"/>
    </w:pPr>
    <w:rPr>
      <w:b/>
      <w:kern w:val="0"/>
      <w:szCs w:val="21"/>
      <w:lang w:val="en-AU" w:eastAsia="en-US"/>
    </w:rPr>
  </w:style>
  <w:style w:type="paragraph" w:customStyle="1" w:styleId="178">
    <w:name w:val="标准标题2"/>
    <w:basedOn w:val="4"/>
    <w:autoRedefine/>
    <w:qFormat/>
    <w:uiPriority w:val="99"/>
    <w:pPr>
      <w:numPr>
        <w:numId w:val="0"/>
      </w:numPr>
      <w:spacing w:line="360" w:lineRule="auto"/>
    </w:pPr>
    <w:rPr>
      <w:rFonts w:eastAsia="仿宋_GB2312"/>
      <w:bCs w:val="0"/>
      <w:sz w:val="28"/>
    </w:rPr>
  </w:style>
  <w:style w:type="paragraph" w:customStyle="1" w:styleId="179">
    <w:name w:val="标准正文"/>
    <w:basedOn w:val="20"/>
    <w:autoRedefine/>
    <w:qFormat/>
    <w:uiPriority w:val="99"/>
    <w:pPr>
      <w:spacing w:before="60" w:after="60" w:line="360" w:lineRule="auto"/>
      <w:ind w:firstLine="482"/>
    </w:pPr>
    <w:rPr>
      <w:rFonts w:ascii="Arial" w:hAnsi="Arial"/>
      <w:sz w:val="24"/>
    </w:rPr>
  </w:style>
  <w:style w:type="paragraph" w:customStyle="1" w:styleId="180">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81">
    <w:name w:val="font0"/>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182">
    <w:name w:val="样式 模板描述"/>
    <w:basedOn w:val="1"/>
    <w:next w:val="165"/>
    <w:autoRedefine/>
    <w:qFormat/>
    <w:uiPriority w:val="99"/>
    <w:pPr>
      <w:numPr>
        <w:ilvl w:val="1"/>
        <w:numId w:val="4"/>
      </w:numPr>
      <w:spacing w:afterLines="50"/>
      <w:ind w:left="0" w:firstLine="0"/>
      <w:jc w:val="left"/>
    </w:pPr>
    <w:rPr>
      <w:rFonts w:ascii="宋体" w:cs="宋体"/>
      <w:i/>
      <w:iCs/>
      <w:color w:val="0000FF"/>
      <w:kern w:val="0"/>
      <w:szCs w:val="21"/>
    </w:rPr>
  </w:style>
  <w:style w:type="paragraph" w:customStyle="1" w:styleId="183">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184">
    <w:name w:val="xl47"/>
    <w:basedOn w:val="1"/>
    <w:autoRedefine/>
    <w:qFormat/>
    <w:uiPriority w:val="99"/>
    <w:pPr>
      <w:widowControl/>
      <w:pBdr>
        <w:top w:val="single" w:color="auto" w:sz="4" w:space="0"/>
        <w:bottom w:val="single" w:color="auto" w:sz="4" w:space="0"/>
      </w:pBdr>
      <w:spacing w:before="100" w:beforeAutospacing="1" w:after="100" w:afterAutospacing="1"/>
      <w:jc w:val="left"/>
      <w:textAlignment w:val="center"/>
    </w:pPr>
    <w:rPr>
      <w:rFonts w:ascii="Helv" w:hAnsi="Helv"/>
      <w:b/>
      <w:bCs/>
      <w:kern w:val="0"/>
      <w:sz w:val="28"/>
      <w:szCs w:val="28"/>
    </w:rPr>
  </w:style>
  <w:style w:type="paragraph" w:customStyle="1" w:styleId="185">
    <w:name w:val="z-窗体底端1"/>
    <w:basedOn w:val="1"/>
    <w:next w:val="1"/>
    <w:autoRedefine/>
    <w:qFormat/>
    <w:uiPriority w:val="99"/>
    <w:pPr>
      <w:pBdr>
        <w:top w:val="single" w:color="auto" w:sz="6" w:space="1"/>
      </w:pBdr>
      <w:jc w:val="center"/>
    </w:pPr>
    <w:rPr>
      <w:rFonts w:ascii="Arial"/>
      <w:vanish/>
      <w:sz w:val="16"/>
    </w:rPr>
  </w:style>
  <w:style w:type="paragraph" w:customStyle="1" w:styleId="186">
    <w:name w:val="表格标题"/>
    <w:basedOn w:val="144"/>
    <w:autoRedefine/>
    <w:qFormat/>
    <w:uiPriority w:val="99"/>
    <w:pPr>
      <w:numPr>
        <w:ilvl w:val="0"/>
        <w:numId w:val="5"/>
      </w:numPr>
      <w:tabs>
        <w:tab w:val="clear" w:pos="360"/>
      </w:tabs>
      <w:ind w:left="0" w:firstLine="0"/>
      <w:jc w:val="center"/>
    </w:pPr>
    <w:rPr>
      <w:bCs/>
      <w:i/>
      <w:iCs/>
    </w:rPr>
  </w:style>
  <w:style w:type="paragraph" w:customStyle="1" w:styleId="187">
    <w:name w:val="Table Description"/>
    <w:next w:val="1"/>
    <w:autoRedefine/>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188">
    <w:name w:val="样式 标题 3Chapter X.X.X. + 段后: 0.5 行"/>
    <w:basedOn w:val="5"/>
    <w:autoRedefine/>
    <w:qFormat/>
    <w:uiPriority w:val="99"/>
    <w:pPr>
      <w:keepNext/>
      <w:numPr>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189">
    <w:name w:val="段(正文）"/>
    <w:autoRedefine/>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190">
    <w:name w:val="标准有序列表（L1）"/>
    <w:basedOn w:val="13"/>
    <w:autoRedefine/>
    <w:qFormat/>
    <w:uiPriority w:val="99"/>
    <w:pPr>
      <w:numPr>
        <w:ilvl w:val="4"/>
        <w:numId w:val="6"/>
      </w:numPr>
      <w:tabs>
        <w:tab w:val="left" w:pos="0"/>
        <w:tab w:val="clear" w:pos="2040"/>
      </w:tabs>
      <w:spacing w:line="360" w:lineRule="auto"/>
      <w:ind w:left="0" w:firstLine="0"/>
    </w:pPr>
    <w:rPr>
      <w:rFonts w:ascii="黑体" w:eastAsia="黑体"/>
      <w:color w:val="000000"/>
      <w:sz w:val="24"/>
    </w:rPr>
  </w:style>
  <w:style w:type="paragraph" w:customStyle="1" w:styleId="191">
    <w:name w:val="文本框内文字"/>
    <w:basedOn w:val="1"/>
    <w:autoRedefine/>
    <w:qFormat/>
    <w:uiPriority w:val="99"/>
    <w:pPr>
      <w:spacing w:line="240" w:lineRule="atLeast"/>
    </w:pPr>
    <w:rPr>
      <w:rFonts w:eastAsia="仿宋_GB2312"/>
      <w:sz w:val="22"/>
      <w:szCs w:val="24"/>
    </w:rPr>
  </w:style>
  <w:style w:type="paragraph" w:customStyle="1" w:styleId="192">
    <w:name w:val="样式 标题 2Chapter X.X. Statementh22Header 2l2Level 2 Headhea..."/>
    <w:basedOn w:val="4"/>
    <w:autoRedefine/>
    <w:qFormat/>
    <w:uiPriority w:val="99"/>
    <w:pPr>
      <w:keepLines w:val="0"/>
      <w:numPr>
        <w:numId w:val="0"/>
      </w:numPr>
      <w:spacing w:before="120" w:afterLines="50" w:line="240" w:lineRule="auto"/>
      <w:jc w:val="left"/>
    </w:pPr>
    <w:rPr>
      <w:rFonts w:ascii="宋体" w:hAnsi="Times New Roman" w:eastAsia="宋体" w:cs="宋体"/>
      <w:sz w:val="24"/>
      <w:szCs w:val="24"/>
    </w:rPr>
  </w:style>
  <w:style w:type="paragraph" w:customStyle="1" w:styleId="193">
    <w:name w:val="样式 样式 标题 4 + 段后: 0.5 行1"/>
    <w:basedOn w:val="164"/>
    <w:next w:val="29"/>
    <w:autoRedefine/>
    <w:qFormat/>
    <w:uiPriority w:val="99"/>
    <w:pPr>
      <w:spacing w:afterLines="0"/>
    </w:pPr>
  </w:style>
  <w:style w:type="paragraph" w:customStyle="1" w:styleId="194">
    <w:name w:val="圆点"/>
    <w:basedOn w:val="1"/>
    <w:autoRedefine/>
    <w:qFormat/>
    <w:uiPriority w:val="99"/>
    <w:pPr>
      <w:spacing w:beforeLines="50" w:afterLines="50" w:line="360" w:lineRule="auto"/>
      <w:ind w:firstLine="480" w:firstLineChars="200"/>
    </w:pPr>
    <w:rPr>
      <w:rFonts w:ascii="仿宋_GB2312" w:eastAsia="仿宋_GB2312"/>
      <w:sz w:val="24"/>
      <w:szCs w:val="24"/>
    </w:rPr>
  </w:style>
  <w:style w:type="paragraph" w:customStyle="1" w:styleId="195">
    <w:name w:val="xl3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kern w:val="0"/>
      <w:sz w:val="20"/>
    </w:rPr>
  </w:style>
  <w:style w:type="paragraph" w:customStyle="1" w:styleId="196">
    <w:name w:val="Paragraph4"/>
    <w:basedOn w:val="1"/>
    <w:autoRedefine/>
    <w:qFormat/>
    <w:uiPriority w:val="99"/>
    <w:pPr>
      <w:spacing w:before="80" w:afterLines="50"/>
      <w:ind w:left="2250"/>
    </w:pPr>
    <w:rPr>
      <w:rFonts w:ascii="宋体"/>
      <w:kern w:val="0"/>
    </w:rPr>
  </w:style>
  <w:style w:type="paragraph" w:customStyle="1" w:styleId="197">
    <w:name w:val="Plain Text1"/>
    <w:basedOn w:val="1"/>
    <w:autoRedefine/>
    <w:qFormat/>
    <w:uiPriority w:val="99"/>
    <w:pPr>
      <w:autoSpaceDE w:val="0"/>
      <w:autoSpaceDN w:val="0"/>
      <w:adjustRightInd w:val="0"/>
      <w:spacing w:line="360" w:lineRule="auto"/>
    </w:pPr>
    <w:rPr>
      <w:rFonts w:ascii="宋体" w:hAnsi="宋体"/>
      <w:sz w:val="24"/>
    </w:rPr>
  </w:style>
  <w:style w:type="paragraph" w:customStyle="1" w:styleId="198">
    <w:name w:val="Default"/>
    <w:autoRedefine/>
    <w:qFormat/>
    <w:uiPriority w:val="99"/>
    <w:pPr>
      <w:widowControl w:val="0"/>
      <w:autoSpaceDE w:val="0"/>
      <w:autoSpaceDN w:val="0"/>
      <w:adjustRightInd w:val="0"/>
    </w:pPr>
    <w:rPr>
      <w:rFonts w:ascii="Myriad Pro" w:hAnsi="Times New Roman" w:eastAsia="Times New Roman" w:cs="Myriad Pro"/>
      <w:color w:val="000000"/>
      <w:sz w:val="24"/>
      <w:szCs w:val="24"/>
      <w:lang w:val="en-US" w:eastAsia="zh-CN" w:bidi="ar-SA"/>
    </w:rPr>
  </w:style>
  <w:style w:type="paragraph" w:customStyle="1" w:styleId="199">
    <w:name w:val="默认段落字体 Para Char Char Char Char Char Char Char Char Char1 Char Char Char Char"/>
    <w:basedOn w:val="1"/>
    <w:autoRedefine/>
    <w:qFormat/>
    <w:uiPriority w:val="99"/>
    <w:rPr>
      <w:rFonts w:ascii="Tahoma" w:hAnsi="Tahoma"/>
      <w:sz w:val="24"/>
    </w:rPr>
  </w:style>
  <w:style w:type="paragraph" w:customStyle="1" w:styleId="200">
    <w:name w:val="Item List"/>
    <w:autoRedefine/>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201">
    <w:name w:val="二级条标题"/>
    <w:basedOn w:val="1"/>
    <w:next w:val="56"/>
    <w:autoRedefine/>
    <w:qFormat/>
    <w:uiPriority w:val="99"/>
    <w:pPr>
      <w:widowControl/>
      <w:numPr>
        <w:ilvl w:val="5"/>
        <w:numId w:val="6"/>
      </w:numPr>
      <w:tabs>
        <w:tab w:val="left" w:pos="360"/>
        <w:tab w:val="clear" w:pos="2520"/>
      </w:tabs>
      <w:ind w:left="568"/>
      <w:outlineLvl w:val="3"/>
    </w:pPr>
    <w:rPr>
      <w:rFonts w:ascii="黑体" w:eastAsia="黑体"/>
      <w:kern w:val="0"/>
      <w:szCs w:val="22"/>
    </w:rPr>
  </w:style>
  <w:style w:type="paragraph" w:customStyle="1" w:styleId="202">
    <w:name w:val="此正文"/>
    <w:basedOn w:val="1"/>
    <w:autoRedefine/>
    <w:qFormat/>
    <w:uiPriority w:val="99"/>
    <w:pPr>
      <w:spacing w:line="360" w:lineRule="auto"/>
      <w:ind w:firstLine="200" w:firstLineChars="200"/>
    </w:pPr>
    <w:rPr>
      <w:sz w:val="24"/>
    </w:rPr>
  </w:style>
  <w:style w:type="paragraph" w:customStyle="1" w:styleId="203">
    <w:name w:val="CM1"/>
    <w:basedOn w:val="198"/>
    <w:next w:val="198"/>
    <w:autoRedefine/>
    <w:qFormat/>
    <w:uiPriority w:val="99"/>
    <w:pPr>
      <w:spacing w:line="186" w:lineRule="atLeast"/>
    </w:pPr>
    <w:rPr>
      <w:color w:val="auto"/>
    </w:rPr>
  </w:style>
  <w:style w:type="paragraph" w:customStyle="1" w:styleId="204">
    <w:name w:val="xl4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rPr>
  </w:style>
  <w:style w:type="paragraph" w:customStyle="1" w:styleId="205">
    <w:name w:val="font13"/>
    <w:basedOn w:val="1"/>
    <w:autoRedefine/>
    <w:qFormat/>
    <w:uiPriority w:val="99"/>
    <w:pPr>
      <w:widowControl/>
      <w:spacing w:before="100" w:beforeAutospacing="1" w:after="100" w:afterAutospacing="1"/>
      <w:jc w:val="left"/>
    </w:pPr>
    <w:rPr>
      <w:rFonts w:ascii="宋体" w:hAnsi="宋体"/>
      <w:kern w:val="0"/>
      <w:sz w:val="22"/>
      <w:szCs w:val="22"/>
    </w:rPr>
  </w:style>
  <w:style w:type="paragraph" w:customStyle="1" w:styleId="206">
    <w:name w:val="正文1"/>
    <w:basedOn w:val="24"/>
    <w:next w:val="1"/>
    <w:autoRedefine/>
    <w:qFormat/>
    <w:uiPriority w:val="99"/>
    <w:pPr>
      <w:spacing w:before="100" w:after="100" w:line="400" w:lineRule="exact"/>
      <w:ind w:firstLine="480"/>
      <w:jc w:val="left"/>
    </w:pPr>
    <w:rPr>
      <w:rFonts w:ascii="Arial" w:hAnsi="Arial"/>
      <w:sz w:val="24"/>
    </w:rPr>
  </w:style>
  <w:style w:type="paragraph" w:customStyle="1" w:styleId="207">
    <w:name w:val="Char Char Char Char Char Char"/>
    <w:basedOn w:val="1"/>
    <w:autoRedefine/>
    <w:qFormat/>
    <w:uiPriority w:val="99"/>
    <w:pPr>
      <w:widowControl/>
      <w:spacing w:after="160" w:line="240" w:lineRule="exact"/>
      <w:jc w:val="left"/>
    </w:pPr>
    <w:rPr>
      <w:rFonts w:ascii="Verdana" w:hAnsi="Verdana"/>
      <w:kern w:val="0"/>
      <w:sz w:val="20"/>
      <w:lang w:eastAsia="en-US"/>
    </w:rPr>
  </w:style>
  <w:style w:type="paragraph" w:customStyle="1" w:styleId="208">
    <w:name w:val="五号正文项目（标准）"/>
    <w:basedOn w:val="1"/>
    <w:autoRedefine/>
    <w:qFormat/>
    <w:uiPriority w:val="99"/>
    <w:pPr>
      <w:numPr>
        <w:ilvl w:val="1"/>
        <w:numId w:val="7"/>
      </w:numPr>
      <w:tabs>
        <w:tab w:val="left" w:pos="900"/>
        <w:tab w:val="clear" w:pos="1680"/>
      </w:tabs>
      <w:spacing w:line="400" w:lineRule="exact"/>
      <w:ind w:left="900" w:hanging="540"/>
      <w:jc w:val="left"/>
    </w:pPr>
    <w:rPr>
      <w:rFonts w:ascii="宋体" w:hAnsi="宋体"/>
      <w:color w:val="000000"/>
    </w:rPr>
  </w:style>
  <w:style w:type="paragraph" w:customStyle="1" w:styleId="209">
    <w:name w:val="Char"/>
    <w:basedOn w:val="1"/>
    <w:autoRedefine/>
    <w:qFormat/>
    <w:uiPriority w:val="99"/>
    <w:rPr>
      <w:rFonts w:ascii="仿宋_GB2312" w:eastAsia="仿宋_GB2312"/>
      <w:b/>
      <w:sz w:val="32"/>
      <w:szCs w:val="32"/>
    </w:rPr>
  </w:style>
  <w:style w:type="paragraph" w:customStyle="1" w:styleId="210">
    <w:name w:val="font9"/>
    <w:basedOn w:val="1"/>
    <w:autoRedefine/>
    <w:qFormat/>
    <w:uiPriority w:val="99"/>
    <w:pPr>
      <w:widowControl/>
      <w:spacing w:before="100" w:beforeAutospacing="1" w:after="100" w:afterAutospacing="1"/>
      <w:jc w:val="left"/>
    </w:pPr>
    <w:rPr>
      <w:kern w:val="0"/>
      <w:sz w:val="24"/>
      <w:szCs w:val="24"/>
    </w:rPr>
  </w:style>
  <w:style w:type="paragraph" w:customStyle="1" w:styleId="211">
    <w:name w:val="xl46"/>
    <w:basedOn w:val="1"/>
    <w:autoRedefine/>
    <w:qFormat/>
    <w:uiPriority w:val="99"/>
    <w:pPr>
      <w:widowControl/>
      <w:pBdr>
        <w:top w:val="single" w:color="auto" w:sz="4" w:space="0"/>
        <w:bottom w:val="single" w:color="auto" w:sz="4" w:space="0"/>
      </w:pBdr>
      <w:spacing w:before="100" w:beforeAutospacing="1" w:after="100" w:afterAutospacing="1"/>
      <w:jc w:val="left"/>
    </w:pPr>
    <w:rPr>
      <w:rFonts w:ascii="宋体" w:hAnsi="宋体"/>
      <w:b/>
      <w:bCs/>
      <w:kern w:val="0"/>
      <w:sz w:val="24"/>
      <w:szCs w:val="24"/>
    </w:rPr>
  </w:style>
  <w:style w:type="paragraph" w:customStyle="1" w:styleId="212">
    <w:name w:val="xl3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20"/>
    </w:rPr>
  </w:style>
  <w:style w:type="paragraph" w:customStyle="1" w:styleId="213">
    <w:name w:val="huide00"/>
    <w:basedOn w:val="1"/>
    <w:autoRedefine/>
    <w:qFormat/>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214">
    <w:name w:val="CM7"/>
    <w:basedOn w:val="198"/>
    <w:next w:val="198"/>
    <w:autoRedefine/>
    <w:qFormat/>
    <w:uiPriority w:val="99"/>
    <w:pPr>
      <w:spacing w:line="193" w:lineRule="atLeast"/>
    </w:pPr>
    <w:rPr>
      <w:color w:val="auto"/>
    </w:rPr>
  </w:style>
  <w:style w:type="paragraph" w:customStyle="1" w:styleId="215">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216">
    <w:name w:val="样式 三号 加粗 段后: 0.5 行"/>
    <w:basedOn w:val="1"/>
    <w:autoRedefine/>
    <w:qFormat/>
    <w:uiPriority w:val="99"/>
    <w:pPr>
      <w:spacing w:afterLines="50"/>
      <w:jc w:val="left"/>
    </w:pPr>
    <w:rPr>
      <w:rFonts w:ascii="宋体" w:cs="宋体"/>
      <w:b/>
      <w:bCs/>
      <w:kern w:val="0"/>
      <w:sz w:val="32"/>
    </w:rPr>
  </w:style>
  <w:style w:type="paragraph" w:customStyle="1" w:styleId="217">
    <w:name w:val="InfoBlue"/>
    <w:basedOn w:val="1"/>
    <w:next w:val="19"/>
    <w:autoRedefine/>
    <w:qFormat/>
    <w:uiPriority w:val="99"/>
    <w:pPr>
      <w:spacing w:afterLines="50"/>
      <w:ind w:left="720"/>
      <w:jc w:val="left"/>
    </w:pPr>
    <w:rPr>
      <w:rFonts w:ascii="宋体"/>
      <w:i/>
      <w:color w:val="0000FF"/>
      <w:kern w:val="0"/>
    </w:rPr>
  </w:style>
  <w:style w:type="paragraph" w:customStyle="1" w:styleId="218">
    <w:name w:val="xl27"/>
    <w:basedOn w:val="1"/>
    <w:autoRedefine/>
    <w:qFormat/>
    <w:uiPriority w:val="99"/>
    <w:pPr>
      <w:widowControl/>
      <w:spacing w:before="100" w:beforeAutospacing="1" w:after="100" w:afterAutospacing="1"/>
      <w:jc w:val="center"/>
      <w:textAlignment w:val="bottom"/>
    </w:pPr>
    <w:rPr>
      <w:rFonts w:ascii="宋体" w:hAnsi="宋体"/>
      <w:b/>
      <w:bCs/>
      <w:kern w:val="0"/>
      <w:sz w:val="24"/>
      <w:szCs w:val="24"/>
    </w:rPr>
  </w:style>
  <w:style w:type="paragraph" w:customStyle="1" w:styleId="219">
    <w:name w:val="font6"/>
    <w:basedOn w:val="1"/>
    <w:autoRedefine/>
    <w:qFormat/>
    <w:uiPriority w:val="99"/>
    <w:pPr>
      <w:widowControl/>
      <w:spacing w:before="100" w:beforeAutospacing="1" w:after="100" w:afterAutospacing="1"/>
      <w:jc w:val="left"/>
    </w:pPr>
    <w:rPr>
      <w:rFonts w:ascii="宋体" w:hAnsi="宋体"/>
      <w:kern w:val="0"/>
      <w:sz w:val="20"/>
    </w:rPr>
  </w:style>
  <w:style w:type="paragraph" w:customStyle="1" w:styleId="220">
    <w:name w:val="Figure Description"/>
    <w:next w:val="1"/>
    <w:autoRedefine/>
    <w:qFormat/>
    <w:uiPriority w:val="99"/>
    <w:pPr>
      <w:snapToGrid w:val="0"/>
      <w:spacing w:before="80" w:after="320"/>
      <w:ind w:left="1701"/>
      <w:jc w:val="center"/>
    </w:pPr>
    <w:rPr>
      <w:rFonts w:ascii="Arial" w:hAnsi="Arial" w:eastAsia="黑体" w:cs="Times New Roman"/>
      <w:sz w:val="18"/>
      <w:lang w:val="en-US" w:eastAsia="en-US" w:bidi="ar-SA"/>
    </w:rPr>
  </w:style>
  <w:style w:type="paragraph" w:customStyle="1" w:styleId="221">
    <w:name w:val="Char Char Char Char Char Char1 Char"/>
    <w:basedOn w:val="1"/>
    <w:autoRedefine/>
    <w:qFormat/>
    <w:uiPriority w:val="99"/>
    <w:pPr>
      <w:widowControl/>
      <w:spacing w:after="160" w:line="240" w:lineRule="exact"/>
      <w:jc w:val="left"/>
    </w:pPr>
    <w:rPr>
      <w:rFonts w:ascii="Verdana" w:hAnsi="Verdana"/>
      <w:kern w:val="0"/>
      <w:lang w:eastAsia="en-US"/>
    </w:rPr>
  </w:style>
  <w:style w:type="paragraph" w:customStyle="1" w:styleId="222">
    <w:name w:val="Paragraph2"/>
    <w:basedOn w:val="1"/>
    <w:autoRedefine/>
    <w:qFormat/>
    <w:uiPriority w:val="99"/>
    <w:pPr>
      <w:spacing w:before="80" w:afterLines="50"/>
      <w:ind w:left="720"/>
    </w:pPr>
    <w:rPr>
      <w:rFonts w:ascii="宋体"/>
      <w:color w:val="000000"/>
      <w:kern w:val="0"/>
      <w:lang w:val="en-AU"/>
    </w:rPr>
  </w:style>
  <w:style w:type="paragraph" w:customStyle="1" w:styleId="223">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0"/>
    </w:rPr>
  </w:style>
  <w:style w:type="paragraph" w:customStyle="1" w:styleId="224">
    <w:name w:val="标准标题3"/>
    <w:basedOn w:val="5"/>
    <w:autoRedefine/>
    <w:qFormat/>
    <w:uiPriority w:val="99"/>
    <w:pPr>
      <w:keepNext/>
      <w:keepLines/>
      <w:numPr>
        <w:numId w:val="0"/>
      </w:numPr>
      <w:tabs>
        <w:tab w:val="left" w:pos="1050"/>
      </w:tabs>
      <w:autoSpaceDE/>
      <w:autoSpaceDN/>
      <w:adjustRightInd/>
      <w:spacing w:before="260" w:after="260" w:line="240" w:lineRule="auto"/>
      <w:ind w:left="-258" w:leftChars="-258"/>
      <w:textAlignment w:val="auto"/>
    </w:pPr>
    <w:rPr>
      <w:rFonts w:ascii="Times New Roman" w:eastAsia="仿宋_GB2312"/>
      <w:bCs/>
      <w:color w:val="auto"/>
      <w:kern w:val="2"/>
      <w:szCs w:val="32"/>
    </w:rPr>
  </w:style>
  <w:style w:type="paragraph" w:customStyle="1" w:styleId="225">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6">
    <w:name w:val="Blockquote"/>
    <w:basedOn w:val="1"/>
    <w:autoRedefine/>
    <w:qFormat/>
    <w:uiPriority w:val="99"/>
    <w:pPr>
      <w:widowControl/>
      <w:spacing w:before="100" w:afterLines="50"/>
      <w:ind w:left="360" w:right="360"/>
      <w:jc w:val="left"/>
    </w:pPr>
    <w:rPr>
      <w:rFonts w:ascii="宋体"/>
      <w:kern w:val="0"/>
      <w:sz w:val="24"/>
      <w:lang w:val="en-CA"/>
    </w:rPr>
  </w:style>
  <w:style w:type="paragraph" w:customStyle="1" w:styleId="227">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228">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229">
    <w:name w:val="Paragraph1"/>
    <w:basedOn w:val="1"/>
    <w:autoRedefine/>
    <w:qFormat/>
    <w:uiPriority w:val="99"/>
    <w:pPr>
      <w:spacing w:before="80" w:afterLines="50"/>
    </w:pPr>
    <w:rPr>
      <w:rFonts w:ascii="宋体"/>
      <w:kern w:val="0"/>
    </w:rPr>
  </w:style>
  <w:style w:type="paragraph" w:customStyle="1" w:styleId="230">
    <w:name w:val="xl30"/>
    <w:basedOn w:val="1"/>
    <w:autoRedefine/>
    <w:qFormat/>
    <w:uiPriority w:val="99"/>
    <w:pPr>
      <w:widowControl/>
      <w:pBdr>
        <w:top w:val="single" w:color="auto" w:sz="8" w:space="0"/>
        <w:bottom w:val="single" w:color="auto" w:sz="8" w:space="0"/>
      </w:pBdr>
      <w:spacing w:before="100" w:beforeAutospacing="1" w:after="100" w:afterAutospacing="1"/>
      <w:jc w:val="center"/>
      <w:textAlignment w:val="bottom"/>
    </w:pPr>
    <w:rPr>
      <w:rFonts w:ascii="宋体" w:hAnsi="宋体"/>
      <w:b/>
      <w:bCs/>
      <w:kern w:val="0"/>
      <w:sz w:val="24"/>
      <w:szCs w:val="24"/>
    </w:rPr>
  </w:style>
  <w:style w:type="paragraph" w:customStyle="1" w:styleId="231">
    <w:name w:val="Char Char3 Char Char Char Char"/>
    <w:basedOn w:val="1"/>
    <w:autoRedefine/>
    <w:qFormat/>
    <w:uiPriority w:val="99"/>
    <w:pPr>
      <w:widowControl/>
      <w:spacing w:after="160" w:line="360" w:lineRule="auto"/>
      <w:jc w:val="left"/>
    </w:pPr>
    <w:rPr>
      <w:rFonts w:ascii="Verdana" w:hAnsi="Verdana"/>
      <w:kern w:val="0"/>
      <w:sz w:val="24"/>
      <w:lang w:eastAsia="en-US"/>
    </w:rPr>
  </w:style>
  <w:style w:type="paragraph" w:customStyle="1" w:styleId="232">
    <w:name w:val="xl28"/>
    <w:basedOn w:val="1"/>
    <w:autoRedefine/>
    <w:qFormat/>
    <w:uiPriority w:val="99"/>
    <w:pPr>
      <w:widowControl/>
      <w:pBdr>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33">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34">
    <w:name w:val="List Paragraph1"/>
    <w:basedOn w:val="1"/>
    <w:autoRedefine/>
    <w:qFormat/>
    <w:uiPriority w:val="99"/>
    <w:pPr>
      <w:ind w:firstLine="420" w:firstLineChars="200"/>
    </w:pPr>
    <w:rPr>
      <w:rFonts w:ascii="Calibri" w:hAnsi="Calibri"/>
      <w:szCs w:val="22"/>
    </w:rPr>
  </w:style>
  <w:style w:type="paragraph" w:customStyle="1" w:styleId="235">
    <w:name w:val="样式 标题 3Chapter X.X.X"/>
    <w:basedOn w:val="236"/>
    <w:autoRedefine/>
    <w:qFormat/>
    <w:uiPriority w:val="99"/>
    <w:pPr>
      <w:spacing w:afterLines="0"/>
    </w:pPr>
  </w:style>
  <w:style w:type="paragraph" w:customStyle="1" w:styleId="236">
    <w:name w:val="标题 3Chapter X.X.X. + 段后: 0.5 行 + 段后: 0.5 行 + 段后: 0.5 行1"/>
    <w:basedOn w:val="237"/>
    <w:autoRedefine/>
    <w:qFormat/>
    <w:uiPriority w:val="99"/>
    <w:pPr/>
  </w:style>
  <w:style w:type="paragraph" w:customStyle="1" w:styleId="237">
    <w:name w:val="样式 样式 标题 3Chapter X.X.X. + 段后: 0.5 行 + 段后: 0.5 行"/>
    <w:basedOn w:val="188"/>
    <w:autoRedefine/>
    <w:qFormat/>
    <w:uiPriority w:val="99"/>
    <w:pPr>
      <w:tabs>
        <w:tab w:val="clear" w:pos="709"/>
      </w:tabs>
    </w:pPr>
  </w:style>
  <w:style w:type="paragraph" w:customStyle="1" w:styleId="238">
    <w:name w:val="Char Char Char Char Char Char Char Char Char Char Char Char Char"/>
    <w:basedOn w:val="1"/>
    <w:autoRedefine/>
    <w:qFormat/>
    <w:uiPriority w:val="99"/>
    <w:pPr>
      <w:tabs>
        <w:tab w:val="left" w:pos="432"/>
      </w:tabs>
      <w:ind w:left="432" w:hanging="432"/>
    </w:pPr>
    <w:rPr>
      <w:rFonts w:ascii="Tahoma" w:hAnsi="Tahoma"/>
      <w:sz w:val="24"/>
    </w:rPr>
  </w:style>
  <w:style w:type="paragraph" w:customStyle="1" w:styleId="239">
    <w:name w:val="Char Char Char Char Char Char Char"/>
    <w:basedOn w:val="1"/>
    <w:autoRedefine/>
    <w:qFormat/>
    <w:uiPriority w:val="99"/>
    <w:pPr>
      <w:tabs>
        <w:tab w:val="left" w:pos="432"/>
      </w:tabs>
      <w:ind w:left="432" w:hanging="432"/>
    </w:pPr>
    <w:rPr>
      <w:rFonts w:ascii="Tahoma" w:hAnsi="Tahoma"/>
      <w:sz w:val="24"/>
    </w:rPr>
  </w:style>
  <w:style w:type="paragraph" w:customStyle="1" w:styleId="240">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41">
    <w:name w:val="xl32"/>
    <w:basedOn w:val="1"/>
    <w:autoRedefine/>
    <w:qFormat/>
    <w:uiPriority w:val="99"/>
    <w:pPr>
      <w:widowControl/>
      <w:spacing w:before="100" w:beforeAutospacing="1" w:after="100" w:afterAutospacing="1"/>
      <w:jc w:val="left"/>
      <w:textAlignment w:val="bottom"/>
    </w:pPr>
    <w:rPr>
      <w:rFonts w:ascii="宋体" w:hAnsi="宋体"/>
      <w:b/>
      <w:bCs/>
      <w:kern w:val="0"/>
      <w:sz w:val="24"/>
      <w:szCs w:val="24"/>
    </w:rPr>
  </w:style>
  <w:style w:type="paragraph" w:customStyle="1" w:styleId="242">
    <w:name w:val="样式7"/>
    <w:basedOn w:val="1"/>
    <w:autoRedefine/>
    <w:qFormat/>
    <w:uiPriority w:val="99"/>
    <w:pPr>
      <w:adjustRightInd w:val="0"/>
      <w:spacing w:beforeLines="50" w:afterLines="50" w:line="360" w:lineRule="auto"/>
      <w:ind w:firstLine="669"/>
      <w:textAlignment w:val="baseline"/>
    </w:pPr>
    <w:rPr>
      <w:rFonts w:ascii="宋体" w:hAnsi="宋体"/>
      <w:kern w:val="0"/>
      <w:sz w:val="28"/>
    </w:rPr>
  </w:style>
  <w:style w:type="paragraph" w:customStyle="1" w:styleId="243">
    <w:name w:val="paragraph1"/>
    <w:basedOn w:val="1"/>
    <w:autoRedefine/>
    <w:qFormat/>
    <w:uiPriority w:val="99"/>
    <w:pPr>
      <w:spacing w:afterLines="30" w:line="360" w:lineRule="auto"/>
      <w:ind w:firstLine="420" w:firstLineChars="200"/>
    </w:pPr>
    <w:rPr>
      <w:rFonts w:eastAsia="楷体_GB2312"/>
      <w:sz w:val="24"/>
    </w:rPr>
  </w:style>
  <w:style w:type="paragraph" w:customStyle="1" w:styleId="244">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245">
    <w:name w:val="样式 样式 标题 4 + 段后: 0.5 行 + 段后: 0.5 行"/>
    <w:basedOn w:val="164"/>
    <w:autoRedefine/>
    <w:qFormat/>
    <w:uiPriority w:val="99"/>
  </w:style>
  <w:style w:type="paragraph" w:customStyle="1" w:styleId="246">
    <w:name w:val="样式3"/>
    <w:basedOn w:val="10"/>
    <w:next w:val="1"/>
    <w:autoRedefine/>
    <w:qFormat/>
    <w:uiPriority w:val="99"/>
    <w:pPr>
      <w:numPr>
        <w:numId w:val="0"/>
      </w:numPr>
      <w:tabs>
        <w:tab w:val="left" w:pos="1050"/>
      </w:tabs>
      <w:adjustRightInd/>
      <w:spacing w:line="319" w:lineRule="auto"/>
      <w:ind w:left="1050" w:hanging="450"/>
      <w:jc w:val="left"/>
      <w:textAlignment w:val="auto"/>
    </w:pPr>
    <w:rPr>
      <w:b/>
      <w:kern w:val="2"/>
      <w:szCs w:val="24"/>
    </w:rPr>
  </w:style>
  <w:style w:type="paragraph" w:customStyle="1" w:styleId="247">
    <w:name w:val="页面边线"/>
    <w:basedOn w:val="1"/>
    <w:autoRedefine/>
    <w:qFormat/>
    <w:uiPriority w:val="99"/>
    <w:pPr>
      <w:adjustRightInd w:val="0"/>
      <w:spacing w:line="360" w:lineRule="atLeast"/>
      <w:textAlignment w:val="baseline"/>
    </w:pPr>
    <w:rPr>
      <w:rFonts w:ascii="Century" w:hAnsi="Century"/>
      <w:kern w:val="0"/>
      <w:lang w:eastAsia="ja-JP"/>
    </w:rPr>
  </w:style>
  <w:style w:type="paragraph" w:customStyle="1" w:styleId="248">
    <w:name w:val="样式 标题 2 + 五号"/>
    <w:basedOn w:val="4"/>
    <w:autoRedefine/>
    <w:qFormat/>
    <w:uiPriority w:val="99"/>
    <w:pPr>
      <w:numPr>
        <w:numId w:val="0"/>
      </w:numPr>
      <w:spacing w:before="0" w:after="0" w:line="240" w:lineRule="auto"/>
    </w:pPr>
    <w:rPr>
      <w:rFonts w:ascii="宋体" w:hAnsi="宋体" w:eastAsia="宋体"/>
      <w:sz w:val="21"/>
    </w:rPr>
  </w:style>
  <w:style w:type="paragraph" w:customStyle="1" w:styleId="249">
    <w:name w:val="xl33"/>
    <w:basedOn w:val="1"/>
    <w:autoRedefine/>
    <w:qFormat/>
    <w:uiPriority w:val="99"/>
    <w:pPr>
      <w:widowControl/>
      <w:pBdr>
        <w:top w:val="single" w:color="auto" w:sz="8" w:space="0"/>
        <w:bottom w:val="single" w:color="auto" w:sz="8" w:space="0"/>
      </w:pBdr>
      <w:spacing w:before="100" w:beforeAutospacing="1" w:after="100" w:afterAutospacing="1"/>
      <w:jc w:val="right"/>
      <w:textAlignment w:val="bottom"/>
    </w:pPr>
    <w:rPr>
      <w:rFonts w:ascii="宋体" w:hAnsi="宋体"/>
      <w:b/>
      <w:bCs/>
      <w:kern w:val="0"/>
      <w:sz w:val="24"/>
      <w:szCs w:val="24"/>
    </w:rPr>
  </w:style>
  <w:style w:type="paragraph" w:customStyle="1" w:styleId="250">
    <w:name w:val="Main Title"/>
    <w:basedOn w:val="1"/>
    <w:autoRedefine/>
    <w:qFormat/>
    <w:uiPriority w:val="99"/>
    <w:pPr>
      <w:spacing w:before="480" w:afterLines="50"/>
      <w:jc w:val="center"/>
    </w:pPr>
    <w:rPr>
      <w:rFonts w:ascii="宋体"/>
      <w:b/>
      <w:kern w:val="28"/>
      <w:sz w:val="32"/>
    </w:rPr>
  </w:style>
  <w:style w:type="paragraph" w:customStyle="1" w:styleId="251">
    <w:name w:val="xl48"/>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Helv" w:hAnsi="Helv"/>
      <w:kern w:val="0"/>
      <w:sz w:val="20"/>
    </w:rPr>
  </w:style>
  <w:style w:type="paragraph" w:customStyle="1" w:styleId="252">
    <w:name w:val="Char Char Char Char1 Char Char1"/>
    <w:basedOn w:val="1"/>
    <w:autoRedefine/>
    <w:qFormat/>
    <w:uiPriority w:val="99"/>
    <w:pPr>
      <w:widowControl/>
      <w:spacing w:after="160" w:line="240" w:lineRule="exact"/>
      <w:jc w:val="left"/>
    </w:pPr>
    <w:rPr>
      <w:rFonts w:ascii="Verdana" w:hAnsi="Verdana"/>
      <w:kern w:val="0"/>
      <w:sz w:val="20"/>
      <w:lang w:eastAsia="en-US"/>
    </w:rPr>
  </w:style>
  <w:style w:type="paragraph" w:customStyle="1" w:styleId="253">
    <w:name w:val="xl29"/>
    <w:basedOn w:val="1"/>
    <w:autoRedefine/>
    <w:qFormat/>
    <w:uiPriority w:val="99"/>
    <w:pPr>
      <w:widowControl/>
      <w:pBdr>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54">
    <w:name w:val="font12"/>
    <w:basedOn w:val="1"/>
    <w:autoRedefine/>
    <w:qFormat/>
    <w:uiPriority w:val="99"/>
    <w:pPr>
      <w:widowControl/>
      <w:spacing w:before="100" w:beforeAutospacing="1" w:after="100" w:afterAutospacing="1"/>
      <w:jc w:val="left"/>
    </w:pPr>
    <w:rPr>
      <w:kern w:val="0"/>
      <w:sz w:val="20"/>
    </w:rPr>
  </w:style>
  <w:style w:type="paragraph" w:customStyle="1" w:styleId="255">
    <w:name w:val="封面标准文稿编辑信息"/>
    <w:autoRedefine/>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56">
    <w:name w:val="S4-L15-No"/>
    <w:basedOn w:val="257"/>
    <w:autoRedefine/>
    <w:qFormat/>
    <w:uiPriority w:val="99"/>
    <w:pPr>
      <w:tabs>
        <w:tab w:val="left" w:pos="720"/>
      </w:tabs>
      <w:ind w:hanging="720"/>
    </w:pPr>
  </w:style>
  <w:style w:type="paragraph" w:customStyle="1" w:styleId="257">
    <w:name w:val="S4-L15"/>
    <w:basedOn w:val="1"/>
    <w:autoRedefine/>
    <w:qFormat/>
    <w:uiPriority w:val="99"/>
    <w:pPr>
      <w:spacing w:after="120" w:line="360" w:lineRule="auto"/>
      <w:ind w:left="720" w:firstLine="392"/>
    </w:pPr>
    <w:rPr>
      <w:szCs w:val="21"/>
      <w:lang w:val="fr-FR"/>
    </w:rPr>
  </w:style>
  <w:style w:type="paragraph" w:customStyle="1" w:styleId="258">
    <w:name w:val="Body"/>
    <w:basedOn w:val="1"/>
    <w:autoRedefine/>
    <w:qFormat/>
    <w:uiPriority w:val="99"/>
    <w:pPr>
      <w:widowControl/>
      <w:spacing w:before="120" w:afterLines="50"/>
    </w:pPr>
    <w:rPr>
      <w:rFonts w:ascii="宋体"/>
      <w:kern w:val="0"/>
    </w:rPr>
  </w:style>
  <w:style w:type="paragraph" w:customStyle="1" w:styleId="259">
    <w:name w:val="Proposals body"/>
    <w:basedOn w:val="1"/>
    <w:next w:val="1"/>
    <w:autoRedefine/>
    <w:qFormat/>
    <w:uiPriority w:val="99"/>
    <w:pPr>
      <w:widowControl/>
      <w:spacing w:line="360" w:lineRule="auto"/>
      <w:jc w:val="left"/>
    </w:pPr>
    <w:rPr>
      <w:rFonts w:ascii="宋体"/>
      <w:color w:val="000000"/>
      <w:kern w:val="0"/>
      <w:sz w:val="24"/>
    </w:rPr>
  </w:style>
  <w:style w:type="paragraph" w:customStyle="1" w:styleId="260">
    <w:name w:val="样式　标题4"/>
    <w:basedOn w:val="261"/>
    <w:next w:val="1"/>
    <w:autoRedefine/>
    <w:qFormat/>
    <w:uiPriority w:val="99"/>
    <w:pPr>
      <w:numPr>
        <w:numId w:val="4"/>
      </w:numPr>
      <w:tabs>
        <w:tab w:val="left" w:pos="709"/>
      </w:tabs>
      <w:ind w:left="425" w:hanging="425"/>
    </w:pPr>
  </w:style>
  <w:style w:type="paragraph" w:customStyle="1" w:styleId="261">
    <w:name w:val="样式 标题 4Chapter X.X.X. + 段后: 0.5 行1"/>
    <w:basedOn w:val="6"/>
    <w:next w:val="6"/>
    <w:autoRedefine/>
    <w:qFormat/>
    <w:uiPriority w:val="99"/>
    <w:pPr>
      <w:keepLines w:val="0"/>
      <w:spacing w:before="120" w:afterLines="50" w:line="240" w:lineRule="auto"/>
      <w:ind w:left="425" w:hanging="425"/>
      <w:jc w:val="left"/>
    </w:pPr>
    <w:rPr>
      <w:rFonts w:ascii="宋体" w:hAnsi="Times New Roman" w:cs="宋体"/>
      <w:sz w:val="21"/>
    </w:rPr>
  </w:style>
  <w:style w:type="paragraph" w:customStyle="1" w:styleId="262">
    <w:name w:val="IBM 正文"/>
    <w:basedOn w:val="1"/>
    <w:autoRedefine/>
    <w:qFormat/>
    <w:uiPriority w:val="99"/>
    <w:pPr>
      <w:spacing w:line="360" w:lineRule="atLeast"/>
    </w:pPr>
    <w:rPr>
      <w:sz w:val="24"/>
    </w:rPr>
  </w:style>
  <w:style w:type="paragraph" w:customStyle="1" w:styleId="263">
    <w:name w:val="普通正文"/>
    <w:basedOn w:val="1"/>
    <w:autoRedefine/>
    <w:qFormat/>
    <w:uiPriority w:val="99"/>
    <w:pPr>
      <w:tabs>
        <w:tab w:val="left" w:pos="360"/>
      </w:tabs>
      <w:spacing w:line="360" w:lineRule="auto"/>
      <w:ind w:firstLine="720" w:firstLineChars="225"/>
    </w:pPr>
    <w:rPr>
      <w:rFonts w:ascii="仿宋_GB2312" w:hAnsi="宋体" w:eastAsia="仿宋_GB2312"/>
      <w:iCs/>
      <w:sz w:val="32"/>
      <w:szCs w:val="32"/>
    </w:rPr>
  </w:style>
  <w:style w:type="paragraph" w:customStyle="1" w:styleId="264">
    <w:name w:val="Char2"/>
    <w:basedOn w:val="1"/>
    <w:autoRedefine/>
    <w:qFormat/>
    <w:uiPriority w:val="99"/>
  </w:style>
  <w:style w:type="paragraph" w:customStyle="1" w:styleId="265">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266">
    <w:name w:val="样式 左侧:  1 厘米 段后: 0.5 行"/>
    <w:basedOn w:val="1"/>
    <w:autoRedefine/>
    <w:qFormat/>
    <w:uiPriority w:val="99"/>
    <w:pPr>
      <w:spacing w:afterLines="50"/>
      <w:ind w:firstLine="425"/>
      <w:jc w:val="left"/>
    </w:pPr>
    <w:rPr>
      <w:rFonts w:ascii="宋体" w:cs="宋体"/>
      <w:kern w:val="0"/>
    </w:rPr>
  </w:style>
  <w:style w:type="paragraph" w:customStyle="1" w:styleId="267">
    <w:name w:val="样式 样式 样式 标题 3Chapter X.X.X. + 段后: 0.5 行 + 段后: 0.5 行 + 段后: 0.5 行"/>
    <w:basedOn w:val="237"/>
    <w:autoRedefine/>
    <w:qFormat/>
    <w:uiPriority w:val="99"/>
    <w:pPr>
      <w:spacing w:afterLines="0"/>
    </w:pPr>
  </w:style>
  <w:style w:type="paragraph" w:customStyle="1" w:styleId="268">
    <w:name w:val="List Paragraph2"/>
    <w:basedOn w:val="1"/>
    <w:link w:val="307"/>
    <w:autoRedefine/>
    <w:qFormat/>
    <w:uiPriority w:val="99"/>
    <w:pPr>
      <w:ind w:firstLine="420" w:firstLineChars="200"/>
    </w:pPr>
    <w:rPr>
      <w:rFonts w:ascii="Calibri" w:hAnsi="Calibri"/>
      <w:sz w:val="22"/>
    </w:rPr>
  </w:style>
  <w:style w:type="paragraph" w:customStyle="1" w:styleId="269">
    <w:name w:val="S4-I-L15-U"/>
    <w:basedOn w:val="1"/>
    <w:autoRedefine/>
    <w:qFormat/>
    <w:uiPriority w:val="99"/>
    <w:pPr>
      <w:spacing w:line="360" w:lineRule="auto"/>
    </w:pPr>
    <w:rPr>
      <w:b/>
      <w:i/>
      <w:sz w:val="24"/>
      <w:szCs w:val="24"/>
      <w:u w:val="single"/>
    </w:rPr>
  </w:style>
  <w:style w:type="paragraph" w:customStyle="1" w:styleId="270">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271">
    <w:name w:val="样式 标题 4Chapter X.X.X. + 段后: 0.5 行1 + 段后: 0.5 行"/>
    <w:basedOn w:val="261"/>
    <w:autoRedefine/>
    <w:qFormat/>
    <w:uiPriority w:val="99"/>
    <w:rPr>
      <w:szCs w:val="21"/>
    </w:rPr>
  </w:style>
  <w:style w:type="paragraph" w:customStyle="1" w:styleId="272">
    <w:name w:val="正文 + 小四"/>
    <w:basedOn w:val="1"/>
    <w:autoRedefine/>
    <w:qFormat/>
    <w:uiPriority w:val="99"/>
    <w:pPr>
      <w:jc w:val="center"/>
    </w:pPr>
    <w:rPr>
      <w:sz w:val="24"/>
      <w:szCs w:val="24"/>
    </w:rPr>
  </w:style>
  <w:style w:type="paragraph" w:customStyle="1" w:styleId="273">
    <w:name w:val="样式 标题 3Chapter X.X.X. + 五号 段后: 0.5 行"/>
    <w:basedOn w:val="5"/>
    <w:autoRedefine/>
    <w:qFormat/>
    <w:uiPriority w:val="99"/>
    <w:pPr>
      <w:keepNext/>
      <w:numPr>
        <w:numId w:val="0"/>
      </w:numPr>
      <w:autoSpaceDE/>
      <w:autoSpaceDN/>
      <w:adjustRightInd/>
      <w:spacing w:before="120" w:afterLines="50" w:line="240" w:lineRule="auto"/>
      <w:jc w:val="left"/>
      <w:textAlignment w:val="auto"/>
    </w:pPr>
    <w:rPr>
      <w:rFonts w:ascii="宋体" w:eastAsia="宋体" w:cs="宋体"/>
      <w:bCs/>
      <w:color w:val="auto"/>
      <w:sz w:val="21"/>
    </w:rPr>
  </w:style>
  <w:style w:type="paragraph" w:customStyle="1" w:styleId="274">
    <w:name w:val="正文 + 宋体"/>
    <w:basedOn w:val="1"/>
    <w:autoRedefine/>
    <w:qFormat/>
    <w:uiPriority w:val="99"/>
    <w:pPr>
      <w:spacing w:line="660" w:lineRule="exact"/>
    </w:pPr>
    <w:rPr>
      <w:rFonts w:ascii="宋体" w:hAnsi="宋体"/>
      <w:color w:val="000000"/>
      <w:sz w:val="24"/>
      <w:szCs w:val="24"/>
    </w:rPr>
  </w:style>
  <w:style w:type="paragraph" w:customStyle="1" w:styleId="275">
    <w:name w:val="符号列表"/>
    <w:basedOn w:val="1"/>
    <w:autoRedefine/>
    <w:qFormat/>
    <w:uiPriority w:val="99"/>
    <w:pPr>
      <w:widowControl/>
      <w:numPr>
        <w:ilvl w:val="0"/>
        <w:numId w:val="8"/>
      </w:numPr>
      <w:snapToGrid w:val="0"/>
      <w:spacing w:before="120" w:line="360" w:lineRule="auto"/>
      <w:jc w:val="left"/>
    </w:pPr>
    <w:rPr>
      <w:rFonts w:ascii="楷体_GB2312" w:hAnsi="宋体" w:eastAsia="楷体_GB2312"/>
      <w:b/>
      <w:color w:val="000000"/>
      <w:sz w:val="24"/>
      <w:szCs w:val="24"/>
    </w:rPr>
  </w:style>
  <w:style w:type="paragraph" w:customStyle="1" w:styleId="276">
    <w:name w:val="xl31"/>
    <w:basedOn w:val="1"/>
    <w:autoRedefine/>
    <w:qFormat/>
    <w:uiPriority w:val="99"/>
    <w:pPr>
      <w:widowControl/>
      <w:pBdr>
        <w:top w:val="single" w:color="auto" w:sz="8" w:space="0"/>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77">
    <w:name w:val="Style-正文"/>
    <w:basedOn w:val="1"/>
    <w:autoRedefine/>
    <w:qFormat/>
    <w:uiPriority w:val="99"/>
    <w:pPr>
      <w:spacing w:line="360" w:lineRule="auto"/>
      <w:ind w:firstLine="420"/>
    </w:pPr>
    <w:rPr>
      <w:rFonts w:ascii="宋体" w:hAnsi="宋体"/>
      <w:sz w:val="24"/>
      <w:szCs w:val="24"/>
    </w:rPr>
  </w:style>
  <w:style w:type="paragraph" w:customStyle="1" w:styleId="278">
    <w:name w:val="表内文字"/>
    <w:basedOn w:val="1"/>
    <w:autoRedefine/>
    <w:qFormat/>
    <w:uiPriority w:val="99"/>
    <w:pPr>
      <w:tabs>
        <w:tab w:val="left" w:pos="3060"/>
      </w:tabs>
      <w:spacing w:line="400" w:lineRule="atLeast"/>
    </w:pPr>
    <w:rPr>
      <w:rFonts w:ascii="仿宋_GB2312" w:eastAsia="仿宋_GB2312"/>
      <w:b/>
      <w:bCs/>
      <w:sz w:val="24"/>
      <w:szCs w:val="24"/>
    </w:rPr>
  </w:style>
  <w:style w:type="paragraph" w:customStyle="1" w:styleId="279">
    <w:name w:val="Bullet2"/>
    <w:basedOn w:val="1"/>
    <w:autoRedefine/>
    <w:qFormat/>
    <w:uiPriority w:val="99"/>
    <w:pPr>
      <w:spacing w:afterLines="50"/>
      <w:ind w:left="1440" w:hanging="360"/>
      <w:jc w:val="left"/>
    </w:pPr>
    <w:rPr>
      <w:rFonts w:ascii="宋体"/>
      <w:color w:val="000080"/>
      <w:kern w:val="0"/>
    </w:rPr>
  </w:style>
  <w:style w:type="paragraph" w:customStyle="1" w:styleId="280">
    <w:name w:val="样式 标题 3Chapter X.X.X. + 段后: 0.5 行1"/>
    <w:basedOn w:val="5"/>
    <w:next w:val="1"/>
    <w:autoRedefine/>
    <w:qFormat/>
    <w:uiPriority w:val="99"/>
    <w:pPr>
      <w:keepNext/>
      <w:numPr>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281">
    <w:name w:val="font10"/>
    <w:basedOn w:val="1"/>
    <w:autoRedefine/>
    <w:qFormat/>
    <w:uiPriority w:val="99"/>
    <w:pPr>
      <w:widowControl/>
      <w:spacing w:before="100" w:beforeAutospacing="1" w:after="100" w:afterAutospacing="1"/>
      <w:jc w:val="left"/>
    </w:pPr>
    <w:rPr>
      <w:rFonts w:ascii="宋体" w:hAnsi="宋体"/>
      <w:b/>
      <w:bCs/>
      <w:kern w:val="0"/>
      <w:sz w:val="24"/>
      <w:szCs w:val="24"/>
    </w:rPr>
  </w:style>
  <w:style w:type="paragraph" w:customStyle="1" w:styleId="282">
    <w:name w:val="Char Char Char Char"/>
    <w:basedOn w:val="1"/>
    <w:autoRedefine/>
    <w:qFormat/>
    <w:uiPriority w:val="99"/>
    <w:pPr>
      <w:widowControl/>
      <w:spacing w:after="160" w:line="240" w:lineRule="exact"/>
      <w:jc w:val="left"/>
    </w:pPr>
    <w:rPr>
      <w:rFonts w:ascii="Verdana" w:hAnsi="Verdana"/>
      <w:kern w:val="0"/>
      <w:sz w:val="20"/>
      <w:lang w:eastAsia="en-US"/>
    </w:rPr>
  </w:style>
  <w:style w:type="paragraph" w:customStyle="1" w:styleId="283">
    <w:name w:val="Tabletext"/>
    <w:basedOn w:val="1"/>
    <w:autoRedefine/>
    <w:qFormat/>
    <w:uiPriority w:val="99"/>
    <w:pPr>
      <w:keepLines/>
      <w:spacing w:afterLines="50"/>
      <w:jc w:val="left"/>
    </w:pPr>
    <w:rPr>
      <w:rFonts w:ascii="宋体"/>
      <w:kern w:val="0"/>
    </w:rPr>
  </w:style>
  <w:style w:type="paragraph" w:customStyle="1" w:styleId="284">
    <w:name w:val="Char3 Char Char Char"/>
    <w:basedOn w:val="1"/>
    <w:autoRedefine/>
    <w:qFormat/>
    <w:uiPriority w:val="99"/>
    <w:pPr>
      <w:widowControl/>
      <w:spacing w:after="160" w:line="240" w:lineRule="exact"/>
      <w:jc w:val="left"/>
    </w:pPr>
  </w:style>
  <w:style w:type="paragraph" w:customStyle="1" w:styleId="285">
    <w:name w:val="不可偏离参数"/>
    <w:basedOn w:val="7"/>
    <w:autoRedefine/>
    <w:qFormat/>
    <w:uiPriority w:val="99"/>
    <w:pPr>
      <w:tabs>
        <w:tab w:val="left" w:pos="630"/>
      </w:tabs>
      <w:spacing w:before="0" w:after="0" w:line="240" w:lineRule="auto"/>
    </w:pPr>
    <w:rPr>
      <w:rFonts w:eastAsia="黑体"/>
      <w:sz w:val="24"/>
    </w:rPr>
  </w:style>
  <w:style w:type="paragraph" w:customStyle="1" w:styleId="286">
    <w:name w:val="样式 标题 3(A-3)sect1.2.3h3H3level_3PIM 3Level 3 HeadHeading..."/>
    <w:basedOn w:val="5"/>
    <w:autoRedefine/>
    <w:qFormat/>
    <w:uiPriority w:val="99"/>
    <w:pPr>
      <w:keepNext/>
      <w:keepLines/>
      <w:numPr>
        <w:numId w:val="0"/>
      </w:numPr>
      <w:autoSpaceDE/>
      <w:autoSpaceDN/>
      <w:adjustRightInd/>
      <w:spacing w:before="260" w:after="260" w:line="416" w:lineRule="auto"/>
      <w:textAlignment w:val="auto"/>
    </w:pPr>
    <w:rPr>
      <w:rFonts w:ascii="Arial" w:hAnsi="Arial" w:eastAsia="宋体"/>
      <w:bCs/>
      <w:color w:val="auto"/>
      <w:kern w:val="2"/>
      <w:sz w:val="30"/>
      <w:szCs w:val="32"/>
    </w:rPr>
  </w:style>
  <w:style w:type="paragraph" w:customStyle="1" w:styleId="287">
    <w:name w:val="样式 标题 1 + 五号1 Char Char Char Char Char Char Char Char Char Char Char Char Char Char Char Char Char"/>
    <w:basedOn w:val="3"/>
    <w:autoRedefine/>
    <w:qFormat/>
    <w:uiPriority w:val="99"/>
    <w:pPr>
      <w:numPr>
        <w:numId w:val="0"/>
      </w:numPr>
      <w:autoSpaceDE/>
      <w:autoSpaceDN/>
      <w:adjustRightInd/>
      <w:spacing w:before="0" w:after="0" w:line="480" w:lineRule="auto"/>
      <w:jc w:val="both"/>
      <w:textAlignment w:val="auto"/>
    </w:pPr>
    <w:rPr>
      <w:rFonts w:ascii="Times New Roman" w:hAnsi="Times New Roman" w:eastAsia="宋体"/>
      <w:bCs/>
      <w:color w:val="auto"/>
      <w:sz w:val="21"/>
      <w:szCs w:val="44"/>
    </w:rPr>
  </w:style>
  <w:style w:type="paragraph" w:customStyle="1" w:styleId="288">
    <w:name w:val="S4-B-L15"/>
    <w:basedOn w:val="1"/>
    <w:autoRedefine/>
    <w:qFormat/>
    <w:uiPriority w:val="99"/>
    <w:pPr>
      <w:spacing w:line="360" w:lineRule="auto"/>
    </w:pPr>
    <w:rPr>
      <w:b/>
      <w:bCs/>
      <w:sz w:val="24"/>
      <w:szCs w:val="24"/>
    </w:rPr>
  </w:style>
  <w:style w:type="paragraph" w:customStyle="1" w:styleId="289">
    <w:name w:val="样式2"/>
    <w:basedOn w:val="4"/>
    <w:autoRedefine/>
    <w:qFormat/>
    <w:uiPriority w:val="99"/>
    <w:pPr>
      <w:numPr>
        <w:numId w:val="0"/>
      </w:numPr>
      <w:tabs>
        <w:tab w:val="left" w:pos="600"/>
      </w:tabs>
      <w:ind w:left="600" w:hanging="600"/>
    </w:pPr>
    <w:rPr>
      <w:rFonts w:eastAsia="宋体"/>
    </w:rPr>
  </w:style>
  <w:style w:type="paragraph" w:customStyle="1" w:styleId="290">
    <w:name w:val="标题1"/>
    <w:basedOn w:val="25"/>
    <w:autoRedefine/>
    <w:qFormat/>
    <w:uiPriority w:val="99"/>
    <w:pPr>
      <w:widowControl w:val="0"/>
      <w:overflowPunct/>
      <w:autoSpaceDE/>
      <w:autoSpaceDN/>
      <w:adjustRightInd/>
      <w:spacing w:line="360" w:lineRule="auto"/>
      <w:jc w:val="both"/>
      <w:textAlignment w:val="auto"/>
    </w:pPr>
    <w:rPr>
      <w:b/>
      <w:kern w:val="2"/>
      <w:sz w:val="30"/>
    </w:rPr>
  </w:style>
  <w:style w:type="paragraph" w:customStyle="1" w:styleId="291">
    <w:name w:val="font11"/>
    <w:basedOn w:val="1"/>
    <w:autoRedefine/>
    <w:qFormat/>
    <w:uiPriority w:val="99"/>
    <w:pPr>
      <w:widowControl/>
      <w:spacing w:before="100" w:beforeAutospacing="1" w:after="100" w:afterAutospacing="1"/>
      <w:jc w:val="left"/>
    </w:pPr>
    <w:rPr>
      <w:b/>
      <w:bCs/>
      <w:kern w:val="0"/>
      <w:sz w:val="24"/>
      <w:szCs w:val="24"/>
    </w:rPr>
  </w:style>
  <w:style w:type="paragraph" w:customStyle="1" w:styleId="292">
    <w:name w:val="样式 样式 正文文本缩进 + 仿宋_GB2312 小四 首行缩进:  0 厘米 行距: 1.5 倍行距 + (中文) 仿宋_GB... Char Char"/>
    <w:basedOn w:val="153"/>
    <w:autoRedefine/>
    <w:qFormat/>
    <w:uiPriority w:val="99"/>
    <w:pPr>
      <w:ind w:firstLine="480" w:firstLineChars="200"/>
    </w:pPr>
  </w:style>
  <w:style w:type="paragraph" w:customStyle="1" w:styleId="293">
    <w:name w:val="font7"/>
    <w:basedOn w:val="1"/>
    <w:autoRedefine/>
    <w:qFormat/>
    <w:uiPriority w:val="99"/>
    <w:pPr>
      <w:widowControl/>
      <w:spacing w:before="100" w:beforeAutospacing="1" w:after="100" w:afterAutospacing="1"/>
      <w:jc w:val="left"/>
    </w:pPr>
    <w:rPr>
      <w:kern w:val="0"/>
      <w:sz w:val="20"/>
    </w:rPr>
  </w:style>
  <w:style w:type="paragraph" w:customStyle="1" w:styleId="294">
    <w:name w:val="S4-L15-C"/>
    <w:basedOn w:val="1"/>
    <w:autoRedefine/>
    <w:qFormat/>
    <w:uiPriority w:val="99"/>
    <w:pPr>
      <w:spacing w:after="120" w:line="360" w:lineRule="auto"/>
      <w:jc w:val="center"/>
    </w:pPr>
    <w:rPr>
      <w:szCs w:val="21"/>
    </w:rPr>
  </w:style>
  <w:style w:type="paragraph" w:customStyle="1" w:styleId="295">
    <w:name w:val="P3"/>
    <w:basedOn w:val="1"/>
    <w:autoRedefine/>
    <w:qFormat/>
    <w:uiPriority w:val="99"/>
    <w:pPr>
      <w:widowControl/>
      <w:spacing w:before="240" w:line="240" w:lineRule="atLeast"/>
      <w:ind w:left="1152"/>
      <w:jc w:val="left"/>
    </w:pPr>
    <w:rPr>
      <w:b/>
      <w:kern w:val="0"/>
      <w:szCs w:val="21"/>
      <w:lang w:val="en-AU" w:eastAsia="en-US"/>
    </w:rPr>
  </w:style>
  <w:style w:type="paragraph" w:customStyle="1" w:styleId="296">
    <w:name w:val="P2"/>
    <w:basedOn w:val="1"/>
    <w:autoRedefine/>
    <w:qFormat/>
    <w:uiPriority w:val="99"/>
    <w:pPr>
      <w:widowControl/>
      <w:spacing w:before="240" w:line="240" w:lineRule="atLeast"/>
      <w:ind w:left="578"/>
      <w:jc w:val="left"/>
    </w:pPr>
    <w:rPr>
      <w:b/>
      <w:kern w:val="0"/>
      <w:szCs w:val="21"/>
      <w:lang w:val="en-AU" w:eastAsia="en-US"/>
    </w:rPr>
  </w:style>
  <w:style w:type="paragraph" w:customStyle="1" w:styleId="297">
    <w:name w:val="font8"/>
    <w:basedOn w:val="1"/>
    <w:autoRedefine/>
    <w:qFormat/>
    <w:uiPriority w:val="99"/>
    <w:pPr>
      <w:widowControl/>
      <w:spacing w:before="100" w:beforeAutospacing="1" w:after="100" w:afterAutospacing="1"/>
      <w:jc w:val="left"/>
    </w:pPr>
    <w:rPr>
      <w:rFonts w:ascii="宋体" w:hAnsi="宋体"/>
      <w:kern w:val="0"/>
      <w:sz w:val="18"/>
      <w:szCs w:val="18"/>
    </w:rPr>
  </w:style>
  <w:style w:type="paragraph" w:customStyle="1" w:styleId="298">
    <w:name w:val="Char Char Char Char1"/>
    <w:basedOn w:val="1"/>
    <w:autoRedefine/>
    <w:qFormat/>
    <w:uiPriority w:val="99"/>
    <w:pPr>
      <w:widowControl/>
      <w:spacing w:after="160" w:line="240" w:lineRule="exact"/>
      <w:jc w:val="left"/>
    </w:pPr>
  </w:style>
  <w:style w:type="paragraph" w:customStyle="1" w:styleId="299">
    <w:name w:val="正文 New New New New New New New New New New New New New"/>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_Style 274"/>
    <w:basedOn w:val="1"/>
    <w:next w:val="1"/>
    <w:autoRedefine/>
    <w:qFormat/>
    <w:uiPriority w:val="99"/>
    <w:pPr>
      <w:pBdr>
        <w:bottom w:val="single" w:color="auto" w:sz="6" w:space="1"/>
      </w:pBdr>
      <w:jc w:val="center"/>
    </w:pPr>
    <w:rPr>
      <w:rFonts w:ascii="Arial"/>
      <w:vanish/>
      <w:sz w:val="16"/>
    </w:rPr>
  </w:style>
  <w:style w:type="paragraph" w:customStyle="1" w:styleId="301">
    <w:name w:val="_Style 275"/>
    <w:basedOn w:val="1"/>
    <w:next w:val="1"/>
    <w:autoRedefine/>
    <w:qFormat/>
    <w:uiPriority w:val="99"/>
    <w:pPr>
      <w:pBdr>
        <w:top w:val="single" w:color="auto" w:sz="6" w:space="1"/>
      </w:pBdr>
      <w:jc w:val="center"/>
    </w:pPr>
    <w:rPr>
      <w:rFonts w:ascii="Arial"/>
      <w:vanish/>
      <w:sz w:val="16"/>
    </w:rPr>
  </w:style>
  <w:style w:type="paragraph" w:customStyle="1" w:styleId="302">
    <w:name w:val="列出段落1"/>
    <w:basedOn w:val="1"/>
    <w:autoRedefine/>
    <w:qFormat/>
    <w:uiPriority w:val="99"/>
    <w:pPr>
      <w:ind w:firstLine="420" w:firstLineChars="200"/>
    </w:pPr>
  </w:style>
  <w:style w:type="character" w:customStyle="1" w:styleId="303">
    <w:name w:val="lemmatitleh11"/>
    <w:autoRedefine/>
    <w:qFormat/>
    <w:uiPriority w:val="99"/>
  </w:style>
  <w:style w:type="character" w:customStyle="1" w:styleId="304">
    <w:name w:val="无"/>
    <w:autoRedefine/>
    <w:qFormat/>
    <w:uiPriority w:val="99"/>
  </w:style>
  <w:style w:type="paragraph" w:customStyle="1" w:styleId="305">
    <w:name w:val="样式 首行缩进:  0 字符"/>
    <w:basedOn w:val="1"/>
    <w:link w:val="306"/>
    <w:autoRedefine/>
    <w:qFormat/>
    <w:uiPriority w:val="99"/>
    <w:pPr>
      <w:spacing w:line="360" w:lineRule="auto"/>
      <w:ind w:firstLine="200" w:firstLineChars="200"/>
    </w:pPr>
    <w:rPr>
      <w:sz w:val="24"/>
    </w:rPr>
  </w:style>
  <w:style w:type="character" w:customStyle="1" w:styleId="306">
    <w:name w:val="样式 首行缩进:  0 字符 Char"/>
    <w:link w:val="305"/>
    <w:autoRedefine/>
    <w:qFormat/>
    <w:locked/>
    <w:uiPriority w:val="99"/>
    <w:rPr>
      <w:rFonts w:ascii="Times New Roman" w:hAnsi="Times New Roman"/>
      <w:kern w:val="2"/>
      <w:sz w:val="24"/>
    </w:rPr>
  </w:style>
  <w:style w:type="character" w:customStyle="1" w:styleId="307">
    <w:name w:val="列出段落 Char"/>
    <w:link w:val="268"/>
    <w:autoRedefine/>
    <w:qFormat/>
    <w:locked/>
    <w:uiPriority w:val="99"/>
    <w:rPr>
      <w:kern w:val="2"/>
      <w:sz w:val="22"/>
    </w:rPr>
  </w:style>
  <w:style w:type="character" w:customStyle="1" w:styleId="308">
    <w:name w:val="ABC - 正文列表 Char"/>
    <w:link w:val="309"/>
    <w:autoRedefine/>
    <w:qFormat/>
    <w:locked/>
    <w:uiPriority w:val="99"/>
    <w:rPr>
      <w:rFonts w:ascii="Cambria" w:hAnsi="Cambria"/>
      <w:kern w:val="2"/>
      <w:sz w:val="22"/>
    </w:rPr>
  </w:style>
  <w:style w:type="paragraph" w:customStyle="1" w:styleId="309">
    <w:name w:val="ABC - 正文列表"/>
    <w:basedOn w:val="1"/>
    <w:link w:val="308"/>
    <w:autoRedefine/>
    <w:qFormat/>
    <w:uiPriority w:val="99"/>
    <w:pPr>
      <w:widowControl/>
      <w:spacing w:afterLines="50" w:line="300" w:lineRule="auto"/>
      <w:ind w:left="840" w:hanging="420" w:firstLineChars="200"/>
      <w:jc w:val="left"/>
    </w:pPr>
    <w:rPr>
      <w:rFonts w:ascii="Cambria" w:hAnsi="Cambria"/>
      <w:sz w:val="22"/>
    </w:rPr>
  </w:style>
  <w:style w:type="paragraph" w:customStyle="1" w:styleId="310">
    <w:name w:val="GP正文(首行缩进)"/>
    <w:basedOn w:val="1"/>
    <w:autoRedefine/>
    <w:qFormat/>
    <w:uiPriority w:val="99"/>
    <w:pPr>
      <w:spacing w:line="360" w:lineRule="auto"/>
      <w:ind w:firstLine="200" w:firstLineChars="200"/>
      <w:jc w:val="left"/>
    </w:pPr>
    <w:rPr>
      <w:sz w:val="24"/>
      <w:szCs w:val="21"/>
    </w:rPr>
  </w:style>
  <w:style w:type="paragraph" w:customStyle="1" w:styleId="311">
    <w:name w:val="hik 正文"/>
    <w:basedOn w:val="1"/>
    <w:autoRedefine/>
    <w:qFormat/>
    <w:uiPriority w:val="99"/>
    <w:pPr>
      <w:spacing w:line="360" w:lineRule="auto"/>
      <w:ind w:firstLine="480" w:firstLineChars="200"/>
    </w:pPr>
    <w:rPr>
      <w:kern w:val="0"/>
      <w:sz w:val="24"/>
      <w:szCs w:val="24"/>
    </w:rPr>
  </w:style>
  <w:style w:type="paragraph" w:customStyle="1" w:styleId="312">
    <w:name w:val="纯文本1"/>
    <w:basedOn w:val="1"/>
    <w:autoRedefine/>
    <w:qFormat/>
    <w:uiPriority w:val="99"/>
    <w:pPr>
      <w:widowControl/>
      <w:overflowPunct w:val="0"/>
      <w:autoSpaceDE w:val="0"/>
      <w:autoSpaceDN w:val="0"/>
      <w:adjustRightInd w:val="0"/>
      <w:jc w:val="left"/>
      <w:textAlignment w:val="baseline"/>
    </w:pPr>
    <w:rPr>
      <w:rFonts w:ascii="宋体" w:hAnsi="Courier New"/>
      <w:szCs w:val="21"/>
    </w:rPr>
  </w:style>
  <w:style w:type="paragraph" w:customStyle="1" w:styleId="313">
    <w:name w:val="_Style 48"/>
    <w:basedOn w:val="1"/>
    <w:autoRedefine/>
    <w:qFormat/>
    <w:uiPriority w:val="99"/>
    <w:rPr>
      <w:rFonts w:ascii="仿宋_GB2312" w:hAnsi="Calibri" w:eastAsia="仿宋_GB2312"/>
      <w:b/>
      <w:sz w:val="32"/>
      <w:szCs w:val="32"/>
    </w:rPr>
  </w:style>
  <w:style w:type="character" w:customStyle="1" w:styleId="314">
    <w:name w:val="fontstyle01"/>
    <w:autoRedefine/>
    <w:qFormat/>
    <w:uiPriority w:val="99"/>
    <w:rPr>
      <w:rFonts w:ascii="宋体" w:hAnsi="宋体" w:eastAsia="宋体"/>
      <w:color w:val="000000"/>
      <w:sz w:val="24"/>
    </w:rPr>
  </w:style>
  <w:style w:type="paragraph" w:customStyle="1" w:styleId="315">
    <w:name w:val="ABC - 正文"/>
    <w:autoRedefine/>
    <w:qFormat/>
    <w:uiPriority w:val="99"/>
    <w:pPr>
      <w:spacing w:afterLines="50" w:line="300" w:lineRule="auto"/>
      <w:ind w:firstLine="480" w:firstLineChars="200"/>
    </w:pPr>
    <w:rPr>
      <w:rFonts w:ascii="Cambria" w:hAnsi="Cambria" w:eastAsia="宋体" w:cs="Times New Roman"/>
      <w:kern w:val="2"/>
      <w:sz w:val="21"/>
      <w:szCs w:val="22"/>
      <w:lang w:val="en-US" w:eastAsia="zh-CN" w:bidi="ar-SA"/>
    </w:rPr>
  </w:style>
  <w:style w:type="paragraph" w:customStyle="1" w:styleId="316">
    <w:name w:val="正文一级小标题"/>
    <w:basedOn w:val="1"/>
    <w:next w:val="268"/>
    <w:autoRedefine/>
    <w:qFormat/>
    <w:uiPriority w:val="99"/>
    <w:pPr>
      <w:ind w:firstLine="420" w:firstLineChars="200"/>
    </w:pPr>
    <w:rPr>
      <w:rFonts w:ascii="Calibri" w:hAnsi="Calibri"/>
      <w:szCs w:val="22"/>
    </w:rPr>
  </w:style>
  <w:style w:type="character" w:customStyle="1" w:styleId="317">
    <w:name w:val="fontstyle21"/>
    <w:autoRedefine/>
    <w:qFormat/>
    <w:uiPriority w:val="99"/>
    <w:rPr>
      <w:rFonts w:ascii="Wingdings-Regular" w:hAnsi="Wingdings-Regular"/>
      <w:color w:val="000000"/>
      <w:sz w:val="24"/>
    </w:rPr>
  </w:style>
  <w:style w:type="paragraph" w:customStyle="1" w:styleId="318">
    <w:name w:val="A正文小四"/>
    <w:basedOn w:val="1"/>
    <w:autoRedefine/>
    <w:qFormat/>
    <w:uiPriority w:val="99"/>
    <w:pPr>
      <w:spacing w:line="360" w:lineRule="auto"/>
      <w:ind w:firstLine="200" w:firstLineChars="200"/>
    </w:pPr>
    <w:rPr>
      <w:szCs w:val="24"/>
    </w:rPr>
  </w:style>
  <w:style w:type="paragraph" w:customStyle="1" w:styleId="319">
    <w:name w:val="正文首行缩进（绿盟科技）"/>
    <w:autoRedefine/>
    <w:qFormat/>
    <w:uiPriority w:val="99"/>
    <w:pPr>
      <w:spacing w:after="50" w:line="300" w:lineRule="auto"/>
      <w:ind w:firstLine="200" w:firstLineChars="200"/>
    </w:pPr>
    <w:rPr>
      <w:rFonts w:ascii="Times New Roman" w:hAnsi="Times New Roman" w:eastAsia="宋体" w:cs="Times New Roman"/>
      <w:sz w:val="21"/>
      <w:szCs w:val="21"/>
      <w:lang w:val="en-US" w:eastAsia="zh-CN" w:bidi="ar-SA"/>
    </w:rPr>
  </w:style>
  <w:style w:type="paragraph" w:customStyle="1" w:styleId="320">
    <w:name w:val="模板正文"/>
    <w:basedOn w:val="1"/>
    <w:autoRedefine/>
    <w:qFormat/>
    <w:uiPriority w:val="99"/>
    <w:pPr>
      <w:wordWrap w:val="0"/>
      <w:spacing w:line="360" w:lineRule="auto"/>
      <w:jc w:val="left"/>
    </w:pPr>
    <w:rPr>
      <w:sz w:val="22"/>
      <w:szCs w:val="21"/>
      <w:lang w:val="zh-CN"/>
    </w:rPr>
  </w:style>
  <w:style w:type="paragraph" w:customStyle="1" w:styleId="321">
    <w:name w:val="my正文"/>
    <w:basedOn w:val="1"/>
    <w:autoRedefine/>
    <w:qFormat/>
    <w:uiPriority w:val="99"/>
    <w:pPr>
      <w:spacing w:line="360" w:lineRule="auto"/>
      <w:ind w:firstLine="200" w:firstLineChars="200"/>
    </w:pPr>
    <w:rPr>
      <w:rFonts w:eastAsia="仿宋"/>
      <w:kern w:val="0"/>
      <w:sz w:val="24"/>
    </w:rPr>
  </w:style>
  <w:style w:type="paragraph" w:customStyle="1" w:styleId="322">
    <w:name w:val="二级"/>
    <w:next w:val="323"/>
    <w:autoRedefine/>
    <w:qFormat/>
    <w:uiPriority w:val="0"/>
    <w:pPr>
      <w:numPr>
        <w:ilvl w:val="1"/>
        <w:numId w:val="9"/>
      </w:numPr>
      <w:spacing w:beforeLines="50" w:afterLines="50" w:line="360" w:lineRule="auto"/>
      <w:jc w:val="both"/>
      <w:outlineLvl w:val="1"/>
    </w:pPr>
    <w:rPr>
      <w:rFonts w:ascii="Times New Roman" w:hAnsi="Times New Roman" w:eastAsia="宋体" w:cs="Times New Roman"/>
      <w:b/>
      <w:kern w:val="2"/>
      <w:sz w:val="32"/>
      <w:szCs w:val="22"/>
      <w:lang w:val="en-US" w:eastAsia="zh-CN" w:bidi="ar-SA"/>
    </w:rPr>
  </w:style>
  <w:style w:type="paragraph" w:customStyle="1" w:styleId="323">
    <w:name w:val="三级"/>
    <w:next w:val="324"/>
    <w:autoRedefine/>
    <w:qFormat/>
    <w:uiPriority w:val="0"/>
    <w:pPr>
      <w:numPr>
        <w:ilvl w:val="2"/>
        <w:numId w:val="9"/>
      </w:numPr>
      <w:spacing w:beforeLines="50" w:afterLines="50" w:line="360" w:lineRule="auto"/>
      <w:jc w:val="both"/>
      <w:outlineLvl w:val="2"/>
    </w:pPr>
    <w:rPr>
      <w:rFonts w:ascii="Times New Roman" w:hAnsi="Times New Roman" w:eastAsiaTheme="minorEastAsia" w:cstheme="minorBidi"/>
      <w:b/>
      <w:kern w:val="2"/>
      <w:sz w:val="30"/>
      <w:szCs w:val="22"/>
      <w:lang w:val="en-US" w:eastAsia="zh-CN" w:bidi="ar-SA"/>
    </w:rPr>
  </w:style>
  <w:style w:type="paragraph" w:customStyle="1" w:styleId="324">
    <w:name w:val="四级"/>
    <w:next w:val="325"/>
    <w:autoRedefine/>
    <w:qFormat/>
    <w:uiPriority w:val="0"/>
    <w:pPr>
      <w:numPr>
        <w:ilvl w:val="3"/>
        <w:numId w:val="9"/>
      </w:numPr>
      <w:spacing w:line="360" w:lineRule="auto"/>
      <w:jc w:val="both"/>
      <w:outlineLvl w:val="3"/>
    </w:pPr>
    <w:rPr>
      <w:rFonts w:ascii="Times New Roman" w:hAnsi="Times New Roman" w:eastAsia="宋体" w:cs="Times New Roman"/>
      <w:b/>
      <w:kern w:val="2"/>
      <w:sz w:val="28"/>
      <w:szCs w:val="22"/>
      <w:lang w:val="en-US" w:eastAsia="zh-CN" w:bidi="ar-SA"/>
    </w:rPr>
  </w:style>
  <w:style w:type="paragraph" w:customStyle="1" w:styleId="325">
    <w:name w:val="五级及以下"/>
    <w:autoRedefine/>
    <w:qFormat/>
    <w:uiPriority w:val="0"/>
    <w:pPr>
      <w:numPr>
        <w:ilvl w:val="4"/>
        <w:numId w:val="9"/>
      </w:numPr>
      <w:spacing w:before="156" w:after="156" w:line="360" w:lineRule="auto"/>
      <w:jc w:val="both"/>
      <w:outlineLvl w:val="4"/>
    </w:pPr>
    <w:rPr>
      <w:rFonts w:ascii="Times New Roman" w:hAnsi="Times New Roman" w:eastAsia="宋体" w:cs="Times New Roman"/>
      <w:b/>
      <w:kern w:val="2"/>
      <w:sz w:val="24"/>
      <w:szCs w:val="22"/>
      <w:lang w:val="en-US" w:eastAsia="zh-CN" w:bidi="ar-SA"/>
    </w:rPr>
  </w:style>
  <w:style w:type="paragraph" w:customStyle="1" w:styleId="326">
    <w:name w:val="正文缩进2字符"/>
    <w:basedOn w:val="1"/>
    <w:autoRedefine/>
    <w:qFormat/>
    <w:uiPriority w:val="0"/>
    <w:pPr>
      <w:adjustRightInd w:val="0"/>
      <w:snapToGrid w:val="0"/>
      <w:spacing w:line="360" w:lineRule="auto"/>
      <w:ind w:firstLine="480" w:firstLineChars="200"/>
    </w:pPr>
    <w:rPr>
      <w:szCs w:val="24"/>
    </w:rPr>
  </w:style>
  <w:style w:type="paragraph" w:styleId="327">
    <w:name w:val="List Paragraph"/>
    <w:basedOn w:val="1"/>
    <w:autoRedefine/>
    <w:qFormat/>
    <w:uiPriority w:val="34"/>
    <w:pPr>
      <w:widowControl/>
      <w:adjustRightInd w:val="0"/>
      <w:snapToGrid w:val="0"/>
      <w:spacing w:line="360" w:lineRule="auto"/>
      <w:ind w:firstLine="420" w:firstLineChars="200"/>
      <w:jc w:val="left"/>
    </w:pPr>
    <w:rPr>
      <w:rFonts w:ascii="Calibri" w:hAnsi="Calibri"/>
      <w:kern w:val="0"/>
    </w:rPr>
  </w:style>
  <w:style w:type="paragraph" w:customStyle="1" w:styleId="328">
    <w:name w:val="一级"/>
    <w:basedOn w:val="1"/>
    <w:next w:val="322"/>
    <w:autoRedefine/>
    <w:qFormat/>
    <w:uiPriority w:val="0"/>
    <w:pPr>
      <w:numPr>
        <w:ilvl w:val="0"/>
        <w:numId w:val="9"/>
      </w:numPr>
      <w:spacing w:beforeLines="50" w:afterLines="50" w:line="360" w:lineRule="auto"/>
      <w:jc w:val="center"/>
      <w:outlineLvl w:val="0"/>
    </w:pPr>
    <w:rPr>
      <w:b/>
      <w:sz w:val="36"/>
    </w:rPr>
  </w:style>
  <w:style w:type="table" w:customStyle="1" w:styleId="329">
    <w:name w:val="网格表 4 - 着色 31"/>
    <w:basedOn w:val="48"/>
    <w:autoRedefine/>
    <w:qFormat/>
    <w:uiPriority w:val="49"/>
    <w:rPr>
      <w:kern w:val="2"/>
      <w:sz w:val="21"/>
      <w:szCs w:val="22"/>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paragraph" w:customStyle="1" w:styleId="330">
    <w:name w:val="列表段落1"/>
    <w:basedOn w:val="1"/>
    <w:autoRedefine/>
    <w:qFormat/>
    <w:uiPriority w:val="34"/>
    <w:pPr>
      <w:spacing w:beforeLines="25" w:afterLines="25"/>
      <w:ind w:firstLine="420"/>
    </w:pPr>
    <w:rPr>
      <w:rFonts w:eastAsia="仿宋_GB2312"/>
      <w:sz w:val="24"/>
    </w:rPr>
  </w:style>
  <w:style w:type="paragraph" w:customStyle="1" w:styleId="331">
    <w:name w:val="编号，小四"/>
    <w:basedOn w:val="1"/>
    <w:autoRedefine/>
    <w:qFormat/>
    <w:uiPriority w:val="0"/>
    <w:pPr>
      <w:numPr>
        <w:ilvl w:val="0"/>
        <w:numId w:val="10"/>
      </w:numPr>
      <w:ind w:left="420" w:firstLine="0"/>
    </w:pPr>
  </w:style>
  <w:style w:type="paragraph" w:customStyle="1" w:styleId="332">
    <w:name w:val="正文（1）"/>
    <w:basedOn w:val="1"/>
    <w:autoRedefine/>
    <w:qFormat/>
    <w:uiPriority w:val="0"/>
    <w:pPr>
      <w:ind w:left="420"/>
    </w:pPr>
    <w:rPr>
      <w:rFonts w:cstheme="minorBidi"/>
      <w:szCs w:val="21"/>
    </w:rPr>
  </w:style>
  <w:style w:type="paragraph" w:customStyle="1" w:styleId="333">
    <w:name w:val="*正文"/>
    <w:basedOn w:val="1"/>
    <w:autoRedefine/>
    <w:qFormat/>
    <w:uiPriority w:val="0"/>
    <w:pPr>
      <w:spacing w:line="300" w:lineRule="auto"/>
      <w:ind w:firstLine="480"/>
    </w:pPr>
    <w:rPr>
      <w:rFonts w:ascii="宋体" w:hAnsi="宋体" w:cs="仿宋_GB2312"/>
      <w:szCs w:val="24"/>
    </w:rPr>
  </w:style>
  <w:style w:type="paragraph" w:customStyle="1" w:styleId="334">
    <w:name w:val="图片说明"/>
    <w:basedOn w:val="1"/>
    <w:autoRedefine/>
    <w:qFormat/>
    <w:uiPriority w:val="0"/>
    <w:pPr>
      <w:jc w:val="center"/>
    </w:pPr>
    <w:rPr>
      <w:rFonts w:asciiTheme="minorHAnsi" w:hAnsiTheme="minorHAnsi" w:eastAsiaTheme="minorEastAsia" w:cstheme="minorBidi"/>
      <w:b/>
      <w:sz w:val="18"/>
      <w:szCs w:val="22"/>
    </w:rPr>
  </w:style>
  <w:style w:type="paragraph" w:customStyle="1" w:styleId="335">
    <w:name w:val="标题3"/>
    <w:basedOn w:val="5"/>
    <w:autoRedefine/>
    <w:qFormat/>
    <w:uiPriority w:val="0"/>
    <w:pPr>
      <w:spacing w:line="240" w:lineRule="auto"/>
      <w:ind w:firstLine="200" w:firstLineChars="200"/>
    </w:pPr>
    <w:rPr>
      <w:szCs w:val="28"/>
    </w:rPr>
  </w:style>
  <w:style w:type="paragraph" w:customStyle="1" w:styleId="336">
    <w:name w:val="标题4"/>
    <w:basedOn w:val="6"/>
    <w:autoRedefine/>
    <w:qFormat/>
    <w:uiPriority w:val="0"/>
    <w:pPr>
      <w:spacing w:before="0" w:line="240" w:lineRule="auto"/>
      <w:ind w:left="0" w:firstLine="200" w:firstLineChars="200"/>
    </w:pPr>
  </w:style>
  <w:style w:type="paragraph" w:customStyle="1" w:styleId="337">
    <w:name w:val="标题5"/>
    <w:basedOn w:val="7"/>
    <w:autoRedefine/>
    <w:qFormat/>
    <w:uiPriority w:val="0"/>
    <w:pPr>
      <w:spacing w:before="0" w:after="0" w:line="240" w:lineRule="auto"/>
    </w:pPr>
  </w:style>
  <w:style w:type="character" w:customStyle="1" w:styleId="338">
    <w:name w:val="font91"/>
    <w:basedOn w:val="50"/>
    <w:autoRedefine/>
    <w:qFormat/>
    <w:uiPriority w:val="0"/>
    <w:rPr>
      <w:rFonts w:ascii="Calibri" w:hAnsi="Calibri" w:cs="Calibri"/>
      <w:color w:val="000000"/>
      <w:sz w:val="20"/>
      <w:szCs w:val="20"/>
      <w:u w:val="none"/>
    </w:rPr>
  </w:style>
  <w:style w:type="paragraph" w:customStyle="1" w:styleId="339">
    <w:name w:val="列出段落2"/>
    <w:basedOn w:val="1"/>
    <w:autoRedefine/>
    <w:qFormat/>
    <w:uiPriority w:val="99"/>
    <w:pPr>
      <w:ind w:firstLine="420" w:firstLineChars="200"/>
    </w:pPr>
    <w:rPr>
      <w:rFonts w:ascii="Calibri" w:hAnsi="Calibri"/>
      <w:szCs w:val="22"/>
    </w:rPr>
  </w:style>
  <w:style w:type="character" w:customStyle="1" w:styleId="340">
    <w:name w:val="font111"/>
    <w:basedOn w:val="50"/>
    <w:autoRedefine/>
    <w:qFormat/>
    <w:uiPriority w:val="0"/>
    <w:rPr>
      <w:rFonts w:hint="eastAsia" w:ascii="宋体" w:hAnsi="宋体" w:eastAsia="宋体" w:cs="宋体"/>
      <w:color w:val="000000"/>
      <w:sz w:val="20"/>
      <w:szCs w:val="20"/>
      <w:u w:val="none"/>
    </w:rPr>
  </w:style>
  <w:style w:type="character" w:customStyle="1" w:styleId="341">
    <w:name w:val="font122"/>
    <w:basedOn w:val="50"/>
    <w:autoRedefine/>
    <w:qFormat/>
    <w:uiPriority w:val="0"/>
    <w:rPr>
      <w:rFonts w:ascii="Arial" w:hAnsi="Arial" w:cs="Arial"/>
      <w:color w:val="000000"/>
      <w:sz w:val="20"/>
      <w:szCs w:val="20"/>
      <w:u w:val="none"/>
    </w:rPr>
  </w:style>
  <w:style w:type="character" w:customStyle="1" w:styleId="342">
    <w:name w:val="font01"/>
    <w:basedOn w:val="50"/>
    <w:autoRedefine/>
    <w:qFormat/>
    <w:uiPriority w:val="0"/>
    <w:rPr>
      <w:rFonts w:hint="eastAsia" w:ascii="宋体" w:hAnsi="宋体" w:eastAsia="宋体" w:cs="宋体"/>
      <w:b/>
      <w:color w:val="000000"/>
      <w:sz w:val="24"/>
      <w:szCs w:val="24"/>
      <w:u w:val="none"/>
    </w:rPr>
  </w:style>
  <w:style w:type="character" w:customStyle="1" w:styleId="343">
    <w:name w:val="font151"/>
    <w:basedOn w:val="50"/>
    <w:autoRedefine/>
    <w:qFormat/>
    <w:uiPriority w:val="0"/>
    <w:rPr>
      <w:rFonts w:hint="eastAsia" w:ascii="宋体" w:hAnsi="宋体" w:eastAsia="宋体" w:cs="宋体"/>
      <w:color w:val="000000"/>
      <w:sz w:val="22"/>
      <w:szCs w:val="22"/>
      <w:u w:val="none"/>
      <w:vertAlign w:val="superscript"/>
    </w:rPr>
  </w:style>
  <w:style w:type="character" w:customStyle="1" w:styleId="344">
    <w:name w:val="font171"/>
    <w:basedOn w:val="50"/>
    <w:autoRedefine/>
    <w:qFormat/>
    <w:uiPriority w:val="0"/>
    <w:rPr>
      <w:rFonts w:ascii="Arial" w:hAnsi="Arial" w:cs="Arial"/>
      <w:color w:val="000000"/>
      <w:sz w:val="22"/>
      <w:szCs w:val="22"/>
      <w:u w:val="none"/>
    </w:rPr>
  </w:style>
  <w:style w:type="character" w:customStyle="1" w:styleId="345">
    <w:name w:val="font181"/>
    <w:basedOn w:val="50"/>
    <w:autoRedefine/>
    <w:qFormat/>
    <w:uiPriority w:val="0"/>
    <w:rPr>
      <w:rFonts w:hint="eastAsia" w:ascii="宋体" w:hAnsi="宋体" w:eastAsia="宋体" w:cs="宋体"/>
      <w:color w:val="000000"/>
      <w:sz w:val="22"/>
      <w:szCs w:val="22"/>
      <w:u w:val="none"/>
      <w:vertAlign w:val="subscript"/>
    </w:rPr>
  </w:style>
  <w:style w:type="character" w:customStyle="1" w:styleId="346">
    <w:name w:val="font161"/>
    <w:basedOn w:val="50"/>
    <w:autoRedefine/>
    <w:qFormat/>
    <w:uiPriority w:val="0"/>
    <w:rPr>
      <w:rFonts w:ascii="宋体" w:hAnsi="宋体" w:eastAsia="宋体" w:cs="宋体"/>
      <w:color w:val="000000"/>
      <w:sz w:val="22"/>
      <w:szCs w:val="22"/>
      <w:u w:val="none"/>
    </w:rPr>
  </w:style>
  <w:style w:type="character" w:customStyle="1" w:styleId="347">
    <w:name w:val="font191"/>
    <w:basedOn w:val="50"/>
    <w:autoRedefine/>
    <w:qFormat/>
    <w:uiPriority w:val="0"/>
    <w:rPr>
      <w:rFonts w:ascii="微软雅黑" w:hAnsi="微软雅黑" w:eastAsia="微软雅黑" w:cs="微软雅黑"/>
      <w:color w:val="000000"/>
      <w:sz w:val="22"/>
      <w:szCs w:val="22"/>
      <w:u w:val="none"/>
    </w:rPr>
  </w:style>
  <w:style w:type="character" w:customStyle="1" w:styleId="348">
    <w:name w:val="段 Char"/>
    <w:link w:val="56"/>
    <w:autoRedefine/>
    <w:qFormat/>
    <w:uiPriority w:val="0"/>
    <w:rPr>
      <w:rFonts w:ascii="宋体" w:hAnsi="Times New Roman" w:eastAsia="宋体" w:cs="Times New Roman"/>
      <w:sz w:val="21"/>
      <w:lang w:val="en-US" w:eastAsia="zh-CN" w:bidi="ar-SA"/>
    </w:rPr>
  </w:style>
  <w:style w:type="paragraph" w:customStyle="1" w:styleId="349">
    <w:name w:val="Table Paragraph"/>
    <w:basedOn w:val="1"/>
    <w:autoRedefine/>
    <w:qFormat/>
    <w:uiPriority w:val="1"/>
    <w:rPr>
      <w:rFonts w:ascii="宋体" w:hAnsi="宋体" w:cs="宋体"/>
      <w:lang w:val="zh-CN" w:bidi="zh-CN"/>
    </w:rPr>
  </w:style>
  <w:style w:type="paragraph" w:customStyle="1" w:styleId="350">
    <w:name w:val="Table Text"/>
    <w:basedOn w:val="1"/>
    <w:autoRedefine/>
    <w:semiHidden/>
    <w:qFormat/>
    <w:uiPriority w:val="0"/>
    <w:rPr>
      <w:rFonts w:ascii="宋体" w:hAnsi="宋体" w:cs="宋体"/>
      <w:sz w:val="24"/>
      <w:szCs w:val="24"/>
      <w:lang w:eastAsia="en-US"/>
    </w:rPr>
  </w:style>
  <w:style w:type="table" w:customStyle="1" w:styleId="351">
    <w:name w:val="Table Normal"/>
    <w:autoRedefine/>
    <w:semiHidden/>
    <w:unhideWhenUsed/>
    <w:qFormat/>
    <w:uiPriority w:val="0"/>
    <w:tblPr>
      <w:tblCellMar>
        <w:top w:w="0" w:type="dxa"/>
        <w:left w:w="0" w:type="dxa"/>
        <w:bottom w:w="0" w:type="dxa"/>
        <w:right w:w="0" w:type="dxa"/>
      </w:tblCellMar>
    </w:tblPr>
  </w:style>
  <w:style w:type="paragraph" w:customStyle="1" w:styleId="352">
    <w:name w:val="cucd-0"/>
    <w:autoRedefine/>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353">
    <w:name w:val="Body text|1"/>
    <w:basedOn w:val="1"/>
    <w:autoRedefine/>
    <w:qFormat/>
    <w:uiPriority w:val="0"/>
    <w:pPr>
      <w:spacing w:after="40" w:line="386" w:lineRule="auto"/>
      <w:ind w:firstLine="10"/>
    </w:pPr>
    <w:rPr>
      <w:rFonts w:ascii="宋体" w:hAnsi="宋体" w:cs="宋体"/>
      <w:sz w:val="22"/>
      <w:szCs w:val="22"/>
      <w:lang w:val="zh-TW" w:eastAsia="zh-TW" w:bidi="zh-TW"/>
    </w:rPr>
  </w:style>
  <w:style w:type="paragraph" w:customStyle="1" w:styleId="354">
    <w:name w:val="cucd-4"/>
    <w:next w:val="352"/>
    <w:autoRedefine/>
    <w:qFormat/>
    <w:uiPriority w:val="0"/>
    <w:pPr>
      <w:tabs>
        <w:tab w:val="left" w:pos="1050"/>
        <w:tab w:val="left" w:pos="1200"/>
      </w:tabs>
      <w:spacing w:line="360" w:lineRule="auto"/>
      <w:outlineLvl w:val="3"/>
    </w:pPr>
    <w:rPr>
      <w:rFonts w:asciiTheme="minorHAnsi" w:hAnsiTheme="minorHAnsi" w:eastAsiaTheme="minorEastAsia" w:cstheme="minorBidi"/>
      <w:kern w:val="2"/>
      <w:sz w:val="24"/>
      <w:szCs w:val="24"/>
      <w:lang w:val="en-US" w:eastAsia="zh-CN" w:bidi="ar-SA"/>
    </w:rPr>
  </w:style>
  <w:style w:type="paragraph" w:customStyle="1" w:styleId="355">
    <w:name w:val="表格文字"/>
    <w:basedOn w:val="1"/>
    <w:next w:val="1"/>
    <w:autoRedefine/>
    <w:qFormat/>
    <w:uiPriority w:val="0"/>
    <w:rPr>
      <w:rFonts w:ascii="宋体" w:hAnsi="宋体"/>
      <w:color w:val="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5205</Words>
  <Characters>29669</Characters>
  <Lines>247</Lines>
  <Paragraphs>69</Paragraphs>
  <TotalTime>8</TotalTime>
  <ScaleCrop>false</ScaleCrop>
  <LinksUpToDate>false</LinksUpToDate>
  <CharactersWithSpaces>34805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2021-11-10T01:49:00Z</dcterms:created>
  <dc:creator>dududu</dc:creator>
  <cp:lastModifiedBy>Patience</cp:lastModifiedBy>
  <cp:lastPrinted>2022-07-11T00:50:00Z</cp:lastPrinted>
  <dcterms:modified xsi:type="dcterms:W3CDTF">2024-04-18T01:50:02Z</dcterms:modified>
  <dc:title>寿昌横钢纪念馆布展采购项目</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6C9963DC07934680A6A1BD8B0DA00330_13</vt:lpwstr>
  </property>
</Properties>
</file>