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eastAsia="仿宋"/>
          <w:b/>
          <w:bCs/>
          <w:color w:val="auto"/>
          <w:sz w:val="52"/>
          <w:szCs w:val="52"/>
          <w:highlight w:val="none"/>
        </w:rPr>
      </w:pPr>
      <w:r>
        <w:rPr>
          <w:rFonts w:hint="eastAsia" w:ascii="仿宋" w:eastAsia="仿宋"/>
          <w:b/>
          <w:bCs/>
          <w:color w:val="auto"/>
          <w:sz w:val="52"/>
          <w:szCs w:val="52"/>
          <w:highlight w:val="none"/>
          <w:u w:val="single"/>
          <w:lang w:eastAsia="zh-CN"/>
        </w:rPr>
        <w:t>浙江金融职业学院绍兴校区新建工程家具采购</w:t>
      </w:r>
      <w:r>
        <w:rPr>
          <w:rFonts w:hint="eastAsia" w:ascii="仿宋" w:eastAsia="仿宋"/>
          <w:b/>
          <w:bCs/>
          <w:color w:val="auto"/>
          <w:sz w:val="52"/>
          <w:szCs w:val="52"/>
          <w:highlight w:val="none"/>
        </w:rPr>
        <w:t>项目</w:t>
      </w:r>
    </w:p>
    <w:p>
      <w:pPr>
        <w:rPr>
          <w:rFonts w:hint="eastAsia" w:ascii="仿宋" w:eastAsia="仿宋"/>
          <w:color w:val="auto"/>
          <w:sz w:val="36"/>
          <w:szCs w:val="36"/>
          <w:highlight w:val="none"/>
        </w:rPr>
      </w:pPr>
    </w:p>
    <w:p>
      <w:pPr>
        <w:rPr>
          <w:rFonts w:hint="eastAsia" w:ascii="仿宋" w:eastAsia="仿宋"/>
          <w:color w:val="auto"/>
          <w:sz w:val="36"/>
          <w:szCs w:val="36"/>
          <w:highlight w:val="none"/>
        </w:rPr>
      </w:pPr>
    </w:p>
    <w:p>
      <w:pPr>
        <w:rPr>
          <w:rFonts w:hint="eastAsia" w:ascii="仿宋" w:eastAsia="仿宋"/>
          <w:color w:val="auto"/>
          <w:sz w:val="36"/>
          <w:szCs w:val="36"/>
          <w:highlight w:val="none"/>
        </w:rPr>
      </w:pPr>
    </w:p>
    <w:p>
      <w:pPr>
        <w:jc w:val="center"/>
        <w:rPr>
          <w:rFonts w:hint="eastAsia" w:ascii="仿宋" w:eastAsia="仿宋"/>
          <w:b/>
          <w:bCs/>
          <w:color w:val="auto"/>
          <w:sz w:val="72"/>
          <w:szCs w:val="72"/>
          <w:highlight w:val="none"/>
        </w:rPr>
      </w:pPr>
      <w:r>
        <w:rPr>
          <w:rFonts w:hint="eastAsia" w:ascii="仿宋" w:eastAsia="仿宋"/>
          <w:b/>
          <w:bCs/>
          <w:color w:val="auto"/>
          <w:sz w:val="72"/>
          <w:szCs w:val="72"/>
          <w:highlight w:val="none"/>
        </w:rPr>
        <w:t>采</w:t>
      </w:r>
    </w:p>
    <w:p>
      <w:pPr>
        <w:jc w:val="center"/>
        <w:rPr>
          <w:rFonts w:hint="eastAsia" w:ascii="仿宋" w:eastAsia="仿宋"/>
          <w:b/>
          <w:bCs/>
          <w:color w:val="auto"/>
          <w:sz w:val="72"/>
          <w:szCs w:val="72"/>
          <w:highlight w:val="none"/>
        </w:rPr>
      </w:pPr>
      <w:r>
        <w:rPr>
          <w:rFonts w:hint="eastAsia" w:ascii="仿宋" w:eastAsia="仿宋"/>
          <w:b/>
          <w:bCs/>
          <w:color w:val="auto"/>
          <w:sz w:val="72"/>
          <w:szCs w:val="72"/>
          <w:highlight w:val="none"/>
        </w:rPr>
        <w:t>购</w:t>
      </w:r>
    </w:p>
    <w:p>
      <w:pPr>
        <w:jc w:val="center"/>
        <w:rPr>
          <w:rFonts w:hint="eastAsia" w:ascii="仿宋" w:eastAsia="仿宋"/>
          <w:b/>
          <w:bCs/>
          <w:color w:val="auto"/>
          <w:sz w:val="72"/>
          <w:szCs w:val="72"/>
          <w:highlight w:val="none"/>
        </w:rPr>
      </w:pPr>
      <w:r>
        <w:rPr>
          <w:rFonts w:hint="eastAsia" w:ascii="仿宋" w:eastAsia="仿宋"/>
          <w:b/>
          <w:bCs/>
          <w:color w:val="auto"/>
          <w:sz w:val="72"/>
          <w:szCs w:val="72"/>
          <w:highlight w:val="none"/>
        </w:rPr>
        <w:t>文</w:t>
      </w:r>
    </w:p>
    <w:p>
      <w:pPr>
        <w:jc w:val="center"/>
        <w:rPr>
          <w:rFonts w:hint="eastAsia" w:ascii="仿宋" w:eastAsia="仿宋"/>
          <w:b/>
          <w:bCs/>
          <w:color w:val="auto"/>
          <w:sz w:val="72"/>
          <w:szCs w:val="72"/>
          <w:highlight w:val="none"/>
        </w:rPr>
      </w:pPr>
      <w:r>
        <w:rPr>
          <w:rFonts w:hint="eastAsia" w:ascii="仿宋" w:eastAsia="仿宋"/>
          <w:b/>
          <w:bCs/>
          <w:color w:val="auto"/>
          <w:sz w:val="72"/>
          <w:szCs w:val="72"/>
          <w:highlight w:val="none"/>
        </w:rPr>
        <w:t>件</w:t>
      </w:r>
    </w:p>
    <w:p>
      <w:pPr>
        <w:rPr>
          <w:rFonts w:hint="eastAsia" w:ascii="仿宋" w:eastAsia="仿宋"/>
          <w:color w:val="auto"/>
          <w:sz w:val="36"/>
          <w:szCs w:val="36"/>
          <w:highlight w:val="none"/>
        </w:rPr>
      </w:pPr>
    </w:p>
    <w:p>
      <w:pPr>
        <w:rPr>
          <w:rFonts w:hint="eastAsia" w:ascii="仿宋" w:eastAsia="仿宋"/>
          <w:color w:val="auto"/>
          <w:sz w:val="36"/>
          <w:szCs w:val="36"/>
          <w:highlight w:val="none"/>
        </w:rPr>
      </w:pPr>
    </w:p>
    <w:tbl>
      <w:tblPr>
        <w:tblStyle w:val="28"/>
        <w:tblW w:w="8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5"/>
        <w:gridCol w:w="61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5" w:type="dxa"/>
            <w:tcBorders>
              <w:tl2br w:val="nil"/>
              <w:tr2bl w:val="nil"/>
            </w:tcBorders>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rPr>
            </w:pPr>
            <w:r>
              <w:rPr>
                <w:rFonts w:hint="eastAsia" w:ascii="仿宋" w:eastAsia="仿宋"/>
                <w:color w:val="auto"/>
                <w:sz w:val="28"/>
                <w:highlight w:val="none"/>
              </w:rPr>
              <w:t>项目编号：</w:t>
            </w:r>
          </w:p>
        </w:tc>
        <w:tc>
          <w:tcPr>
            <w:tcW w:w="6193" w:type="dxa"/>
            <w:tcBorders>
              <w:tl2br w:val="nil"/>
              <w:tr2bl w:val="nil"/>
            </w:tcBorders>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u w:val="single"/>
                <w:lang w:eastAsia="zh-CN"/>
              </w:rPr>
            </w:pPr>
            <w:r>
              <w:rPr>
                <w:rFonts w:hint="eastAsia" w:ascii="仿宋" w:eastAsia="仿宋"/>
                <w:color w:val="auto"/>
                <w:sz w:val="28"/>
                <w:highlight w:val="none"/>
                <w:u w:val="none"/>
                <w:lang w:eastAsia="zh-CN"/>
              </w:rPr>
              <w:t>YCDL2024-04-0013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5" w:type="dxa"/>
            <w:tcBorders>
              <w:tl2br w:val="nil"/>
              <w:tr2bl w:val="nil"/>
            </w:tcBorders>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rPr>
            </w:pPr>
            <w:r>
              <w:rPr>
                <w:rFonts w:hint="eastAsia" w:ascii="仿宋" w:eastAsia="仿宋"/>
                <w:color w:val="auto"/>
                <w:sz w:val="28"/>
                <w:highlight w:val="none"/>
              </w:rPr>
              <w:t>采购单位：</w:t>
            </w:r>
          </w:p>
        </w:tc>
        <w:tc>
          <w:tcPr>
            <w:tcW w:w="6193" w:type="dxa"/>
            <w:tcBorders>
              <w:tl2br w:val="nil"/>
              <w:tr2bl w:val="nil"/>
            </w:tcBorders>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rPr>
            </w:pPr>
            <w:r>
              <w:rPr>
                <w:rFonts w:hint="eastAsia" w:ascii="仿宋" w:hAnsi="Times New Roman" w:eastAsia="仿宋" w:cs="Times New Roman"/>
                <w:color w:val="auto"/>
                <w:sz w:val="28"/>
                <w:highlight w:val="none"/>
                <w:lang w:eastAsia="zh-CN"/>
              </w:rPr>
              <w:t>浙江滨海新区投资发展集团有限公司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395" w:type="dxa"/>
            <w:tcBorders>
              <w:tl2br w:val="nil"/>
              <w:tr2bl w:val="nil"/>
            </w:tcBorders>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rPr>
            </w:pPr>
            <w:r>
              <w:rPr>
                <w:rFonts w:hint="eastAsia" w:ascii="仿宋" w:eastAsia="仿宋"/>
                <w:color w:val="auto"/>
                <w:sz w:val="28"/>
                <w:highlight w:val="none"/>
              </w:rPr>
              <w:t>采购代理机构：</w:t>
            </w:r>
          </w:p>
        </w:tc>
        <w:tc>
          <w:tcPr>
            <w:tcW w:w="6193" w:type="dxa"/>
            <w:tcBorders>
              <w:tl2br w:val="nil"/>
              <w:tr2bl w:val="nil"/>
            </w:tcBorders>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rPr>
            </w:pPr>
            <w:r>
              <w:rPr>
                <w:rFonts w:hint="eastAsia" w:ascii="仿宋" w:hAnsi="Times New Roman" w:eastAsia="仿宋" w:cs="Times New Roman"/>
                <w:color w:val="auto"/>
                <w:sz w:val="28"/>
                <w:highlight w:val="none"/>
                <w:lang w:eastAsia="zh-CN"/>
              </w:rPr>
              <w:t>上海上咨协实工程顾问有限公司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jc w:val="center"/>
        </w:trPr>
        <w:tc>
          <w:tcPr>
            <w:tcW w:w="2395" w:type="dxa"/>
            <w:tcBorders>
              <w:tl2br w:val="nil"/>
              <w:tr2bl w:val="nil"/>
            </w:tcBorders>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rPr>
            </w:pPr>
            <w:r>
              <w:rPr>
                <w:rFonts w:hint="eastAsia" w:ascii="仿宋" w:eastAsia="仿宋"/>
                <w:color w:val="auto"/>
                <w:sz w:val="28"/>
                <w:highlight w:val="none"/>
              </w:rPr>
              <w:t>监督单位：</w:t>
            </w:r>
          </w:p>
        </w:tc>
        <w:tc>
          <w:tcPr>
            <w:tcW w:w="6193" w:type="dxa"/>
            <w:tcBorders>
              <w:tl2br w:val="nil"/>
              <w:tr2bl w:val="nil"/>
            </w:tcBorders>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rPr>
            </w:pPr>
            <w:r>
              <w:rPr>
                <w:rFonts w:hint="eastAsia" w:ascii="仿宋" w:eastAsia="仿宋"/>
                <w:color w:val="auto"/>
                <w:sz w:val="28"/>
                <w:highlight w:val="none"/>
              </w:rPr>
              <w:t>绍兴滨海新区管理委员会财政局</w:t>
            </w:r>
          </w:p>
        </w:tc>
      </w:tr>
    </w:tbl>
    <w:p>
      <w:pPr>
        <w:jc w:val="center"/>
        <w:rPr>
          <w:rFonts w:ascii="仿宋" w:eastAsia="仿宋"/>
          <w:color w:val="auto"/>
          <w:sz w:val="28"/>
          <w:highlight w:val="none"/>
        </w:rPr>
      </w:pPr>
    </w:p>
    <w:p>
      <w:pPr>
        <w:jc w:val="center"/>
        <w:rPr>
          <w:rFonts w:hint="eastAsia" w:ascii="仿宋" w:eastAsia="仿宋"/>
          <w:color w:val="auto"/>
          <w:sz w:val="28"/>
          <w:highlight w:val="none"/>
        </w:rPr>
      </w:pPr>
    </w:p>
    <w:p>
      <w:pPr>
        <w:jc w:val="center"/>
        <w:rPr>
          <w:rFonts w:ascii="仿宋" w:eastAsia="仿宋"/>
          <w:color w:val="auto"/>
          <w:sz w:val="28"/>
          <w:highlight w:val="none"/>
        </w:rPr>
      </w:pPr>
      <w:r>
        <w:rPr>
          <w:rFonts w:hint="eastAsia" w:ascii="仿宋" w:eastAsia="仿宋"/>
          <w:color w:val="auto"/>
          <w:sz w:val="28"/>
          <w:highlight w:val="none"/>
          <w:u w:val="single" w:color="auto"/>
          <w:lang w:val="en-US" w:eastAsia="zh-CN"/>
        </w:rPr>
        <w:t>2024</w:t>
      </w:r>
      <w:r>
        <w:rPr>
          <w:rFonts w:hint="eastAsia" w:ascii="仿宋" w:eastAsia="仿宋"/>
          <w:color w:val="auto"/>
          <w:sz w:val="28"/>
          <w:highlight w:val="none"/>
        </w:rPr>
        <w:t>年</w:t>
      </w:r>
      <w:r>
        <w:rPr>
          <w:rFonts w:hint="eastAsia" w:ascii="仿宋" w:eastAsia="仿宋"/>
          <w:color w:val="auto"/>
          <w:sz w:val="28"/>
          <w:highlight w:val="none"/>
          <w:u w:val="single"/>
          <w:lang w:val="en-US" w:eastAsia="zh-CN"/>
        </w:rPr>
        <w:t xml:space="preserve"> 4  </w:t>
      </w:r>
      <w:r>
        <w:rPr>
          <w:rFonts w:hint="eastAsia" w:ascii="仿宋" w:eastAsia="仿宋"/>
          <w:color w:val="auto"/>
          <w:sz w:val="28"/>
          <w:highlight w:val="none"/>
        </w:rPr>
        <w:t>月</w:t>
      </w:r>
    </w:p>
    <w:p>
      <w:pPr>
        <w:jc w:val="both"/>
        <w:rPr>
          <w:rFonts w:ascii="仿宋" w:eastAsia="仿宋"/>
          <w:b/>
          <w:color w:val="auto"/>
          <w:sz w:val="44"/>
          <w:szCs w:val="44"/>
          <w:highlight w:val="none"/>
        </w:rPr>
        <w:sectPr>
          <w:footerReference r:id="rId5" w:type="default"/>
          <w:footerReference r:id="rId6" w:type="even"/>
          <w:pgSz w:w="11907" w:h="16840"/>
          <w:pgMar w:top="1440" w:right="1463" w:bottom="1440" w:left="1803" w:header="851" w:footer="992" w:gutter="0"/>
          <w:pgBorders>
            <w:top w:val="none" w:sz="0" w:space="0"/>
            <w:left w:val="none" w:sz="0" w:space="0"/>
            <w:bottom w:val="none" w:sz="0" w:space="0"/>
            <w:right w:val="none" w:sz="0" w:space="0"/>
          </w:pgBorders>
          <w:cols w:space="720" w:num="1"/>
          <w:docGrid w:type="lines" w:linePitch="312" w:charSpace="0"/>
        </w:sectPr>
      </w:pPr>
    </w:p>
    <w:p>
      <w:pPr>
        <w:jc w:val="center"/>
        <w:rPr>
          <w:rFonts w:ascii="仿宋" w:eastAsia="仿宋"/>
          <w:color w:val="auto"/>
          <w:sz w:val="28"/>
          <w:highlight w:val="none"/>
        </w:rPr>
      </w:pPr>
      <w:r>
        <w:rPr>
          <w:rFonts w:hint="eastAsia" w:ascii="仿宋" w:eastAsia="仿宋"/>
          <w:b/>
          <w:color w:val="auto"/>
          <w:sz w:val="44"/>
          <w:szCs w:val="44"/>
          <w:highlight w:val="none"/>
        </w:rPr>
        <w:t>目录</w:t>
      </w:r>
    </w:p>
    <w:p>
      <w:pPr>
        <w:jc w:val="center"/>
        <w:rPr>
          <w:rFonts w:hint="eastAsia" w:ascii="仿宋" w:eastAsia="仿宋"/>
          <w:b/>
          <w:color w:val="auto"/>
          <w:sz w:val="44"/>
          <w:szCs w:val="44"/>
          <w:highlight w:val="none"/>
        </w:rPr>
      </w:pPr>
    </w:p>
    <w:p>
      <w:pPr>
        <w:pStyle w:val="24"/>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 TOC \o "1-2" \h \u </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"_Toc643610525"</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第一章  采购公告</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_Toc643610525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4"/>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"_Toc643610526"</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第二章  供应商须知</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_Toc643610526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5</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6"/>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"_Toc643610527"</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一、前附表</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_Toc643610527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5</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6"/>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"_Toc643610528"</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二、采购文件</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_Toc643610528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11</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6"/>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"_Toc643610529"</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三、投标文件</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_Toc643610529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13</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6"/>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"_Toc643610530"</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四、开标评标</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_Toc643610530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16</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6"/>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"_Toc643610531"</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五、合同签订及履约</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_Toc643610531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20</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4"/>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"_Toc643610532"</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第三章  采购需求</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_Toc643610532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21</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6"/>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"_Toc643610533"</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一、货物清单及技术要求</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_Toc643610533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21</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6"/>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"_Toc643610534"</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二、商务要求</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_Toc643610534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213</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4"/>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"_Toc643610535"</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第四章  拟签订合同的主要条款</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_Toc643610535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222</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4"/>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"_Toc643610536"</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第五章  评标办法及标准</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_Toc643610536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227</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4"/>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"_Toc643610537"</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第六章  投标文件格式附件</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_Toc643610537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230</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4"/>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"_Toc643610538"</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第七章  询问、质疑及投诉</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_Toc643610538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251</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6"/>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"_Toc643610539"</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一、供应商询问</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_Toc643610539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251</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6"/>
        <w:tabs>
          <w:tab w:val="right" w:leader="dot" w:pos="8301"/>
        </w:tabs>
        <w:rPr>
          <w:rFonts w:hint="eastAsia"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"_Toc643610540"</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二、供应商质疑</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_Toc643610540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251</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pStyle w:val="26"/>
        <w:tabs>
          <w:tab w:val="right" w:leader="dot" w:pos="8301"/>
        </w:tabs>
        <w:rPr>
          <w:rFonts w:ascii="仿宋" w:eastAsia="仿宋"/>
          <w:color w:val="auto"/>
          <w:sz w:val="28"/>
          <w:szCs w:val="28"/>
          <w:highlight w:val="none"/>
        </w:rPr>
      </w:pP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Hyperlink \l "_Toc643610541"</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三、供应商投诉</w:t>
      </w:r>
      <w:r>
        <w:rPr>
          <w:rFonts w:hint="eastAsia" w:ascii="仿宋" w:eastAsia="仿宋"/>
          <w:color w:val="auto"/>
          <w:sz w:val="28"/>
          <w:szCs w:val="28"/>
          <w:highlight w:val="none"/>
        </w:rPr>
        <w:tab/>
      </w:r>
      <w:r>
        <w:rPr>
          <w:rFonts w:hint="eastAsia" w:ascii="仿宋" w:eastAsia="仿宋"/>
          <w:color w:val="auto"/>
          <w:sz w:val="28"/>
          <w:szCs w:val="28"/>
          <w:highlight w:val="none"/>
        </w:rPr>
        <w:fldChar w:fldCharType="begin"/>
      </w:r>
      <w:r>
        <w:rPr>
          <w:rFonts w:hint="eastAsia" w:ascii="仿宋" w:eastAsia="仿宋"/>
          <w:color w:val="auto"/>
          <w:sz w:val="28"/>
          <w:szCs w:val="28"/>
          <w:highlight w:val="none"/>
        </w:rPr>
        <w:instrText xml:space="preserve">PageRef _Toc643610541 \h</w:instrText>
      </w:r>
      <w:r>
        <w:rPr>
          <w:rFonts w:hint="eastAsia" w:ascii="仿宋" w:eastAsia="仿宋"/>
          <w:color w:val="auto"/>
          <w:sz w:val="28"/>
          <w:szCs w:val="28"/>
          <w:highlight w:val="none"/>
        </w:rPr>
        <w:fldChar w:fldCharType="separate"/>
      </w:r>
      <w:r>
        <w:rPr>
          <w:rFonts w:hint="eastAsia" w:ascii="仿宋" w:eastAsia="仿宋"/>
          <w:color w:val="auto"/>
          <w:sz w:val="28"/>
          <w:szCs w:val="28"/>
          <w:highlight w:val="none"/>
        </w:rPr>
        <w:t>252</w:t>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r>
        <w:rPr>
          <w:rFonts w:hint="eastAsia" w:ascii="仿宋" w:eastAsia="仿宋"/>
          <w:color w:val="auto"/>
          <w:sz w:val="28"/>
          <w:szCs w:val="28"/>
          <w:highlight w:val="none"/>
        </w:rPr>
        <w:fldChar w:fldCharType="end"/>
      </w:r>
    </w:p>
    <w:p>
      <w:pPr>
        <w:rPr>
          <w:color w:val="auto"/>
          <w:highlight w:val="none"/>
        </w:rPr>
      </w:pPr>
    </w:p>
    <w:p>
      <w:pPr>
        <w:pStyle w:val="3"/>
        <w:rPr>
          <w:color w:val="auto"/>
          <w:highlight w:val="none"/>
        </w:rPr>
        <w:sectPr>
          <w:footerReference r:id="rId7" w:type="default"/>
          <w:pgSz w:w="11907" w:h="16840"/>
          <w:pgMar w:top="1440" w:right="1463" w:bottom="1440" w:left="1803" w:header="851" w:footer="992" w:gutter="0"/>
          <w:pgBorders>
            <w:top w:val="none" w:sz="0" w:space="0"/>
            <w:left w:val="none" w:sz="0" w:space="0"/>
            <w:bottom w:val="none" w:sz="0" w:space="0"/>
            <w:right w:val="none" w:sz="0" w:space="0"/>
          </w:pgBorders>
          <w:cols w:space="720" w:num="1"/>
          <w:docGrid w:type="lines" w:linePitch="312" w:charSpace="0"/>
        </w:sectPr>
      </w:pPr>
      <w:bookmarkStart w:id="0" w:name="_Toc643610525"/>
    </w:p>
    <w:bookmarkEnd w:id="0"/>
    <w:p>
      <w:pPr>
        <w:pStyle w:val="3"/>
        <w:rPr>
          <w:color w:val="auto"/>
          <w:highlight w:val="none"/>
        </w:rPr>
      </w:pPr>
      <w:r>
        <w:rPr>
          <w:color w:val="auto"/>
          <w:highlight w:val="none"/>
        </w:rPr>
        <w:t>第一章  采购公告</w:t>
      </w:r>
    </w:p>
    <w:p>
      <w:pPr>
        <w:spacing w:line="360" w:lineRule="auto"/>
        <w:ind w:firstLine="480" w:firstLineChars="200"/>
        <w:rPr>
          <w:rFonts w:hint="eastAsia" w:ascii="仿宋" w:eastAsia="仿宋" w:cs="Arial"/>
          <w:bCs/>
          <w:color w:val="auto"/>
          <w:sz w:val="24"/>
          <w:highlight w:val="none"/>
        </w:rPr>
      </w:pPr>
      <w:r>
        <w:rPr>
          <w:rFonts w:hint="eastAsia" w:ascii="仿宋" w:eastAsia="仿宋" w:cs="Arial"/>
          <w:bCs/>
          <w:color w:val="auto"/>
          <w:sz w:val="24"/>
          <w:highlight w:val="none"/>
          <w:u w:val="single"/>
        </w:rPr>
        <w:t>上海上咨协实工程顾问有限公司</w:t>
      </w:r>
      <w:r>
        <w:rPr>
          <w:rFonts w:hint="eastAsia" w:ascii="仿宋" w:eastAsia="仿宋" w:cs="Arial"/>
          <w:bCs/>
          <w:color w:val="auto"/>
          <w:sz w:val="24"/>
          <w:highlight w:val="none"/>
        </w:rPr>
        <w:t xml:space="preserve">受 </w:t>
      </w:r>
      <w:r>
        <w:rPr>
          <w:rFonts w:hint="eastAsia" w:ascii="仿宋" w:eastAsia="仿宋" w:cs="Arial"/>
          <w:bCs/>
          <w:color w:val="auto"/>
          <w:sz w:val="24"/>
          <w:highlight w:val="none"/>
          <w:u w:val="single"/>
        </w:rPr>
        <w:t>浙江滨海新区投资发展集团有限公司</w:t>
      </w:r>
      <w:r>
        <w:rPr>
          <w:rFonts w:hint="eastAsia" w:ascii="仿宋" w:eastAsia="仿宋" w:cs="Arial"/>
          <w:bCs/>
          <w:color w:val="auto"/>
          <w:sz w:val="24"/>
          <w:highlight w:val="none"/>
        </w:rPr>
        <w:t>委托，就下列项目进行</w:t>
      </w:r>
      <w:r>
        <w:rPr>
          <w:rFonts w:hint="eastAsia" w:ascii="仿宋" w:eastAsia="仿宋" w:cs="Arial"/>
          <w:bCs/>
          <w:color w:val="auto"/>
          <w:sz w:val="24"/>
          <w:highlight w:val="none"/>
          <w:u w:val="single"/>
        </w:rPr>
        <w:t xml:space="preserve">   </w:t>
      </w:r>
      <w:r>
        <w:rPr>
          <w:rFonts w:ascii="仿宋" w:eastAsia="仿宋" w:cs="Arial"/>
          <w:bCs/>
          <w:color w:val="auto"/>
          <w:sz w:val="24"/>
          <w:highlight w:val="none"/>
          <w:u w:val="single"/>
        </w:rPr>
        <w:t>公开招标</w:t>
      </w:r>
      <w:r>
        <w:rPr>
          <w:rFonts w:hint="eastAsia" w:ascii="仿宋" w:eastAsia="仿宋" w:cs="Arial"/>
          <w:bCs/>
          <w:color w:val="auto"/>
          <w:sz w:val="24"/>
          <w:highlight w:val="none"/>
          <w:u w:val="single"/>
        </w:rPr>
        <w:t xml:space="preserve">   </w:t>
      </w:r>
      <w:r>
        <w:rPr>
          <w:rFonts w:hint="eastAsia" w:ascii="仿宋" w:eastAsia="仿宋" w:cs="Arial"/>
          <w:bCs/>
          <w:color w:val="auto"/>
          <w:sz w:val="24"/>
          <w:highlight w:val="none"/>
        </w:rPr>
        <w:t>，现将有关事项公告如下：</w:t>
      </w:r>
    </w:p>
    <w:p>
      <w:pPr>
        <w:numPr>
          <w:ilvl w:val="0"/>
          <w:numId w:val="3"/>
        </w:numPr>
        <w:spacing w:line="360" w:lineRule="auto"/>
        <w:rPr>
          <w:rFonts w:hint="eastAsia" w:ascii="仿宋" w:eastAsia="仿宋" w:cs="Arial"/>
          <w:bCs/>
          <w:color w:val="auto"/>
          <w:sz w:val="24"/>
          <w:highlight w:val="none"/>
        </w:rPr>
      </w:pPr>
      <w:r>
        <w:rPr>
          <w:rFonts w:hint="eastAsia" w:ascii="仿宋" w:eastAsia="仿宋" w:cs="Arial"/>
          <w:b/>
          <w:bCs/>
          <w:color w:val="auto"/>
          <w:sz w:val="24"/>
          <w:highlight w:val="none"/>
        </w:rPr>
        <w:t>项目编号：</w:t>
      </w:r>
      <w:r>
        <w:rPr>
          <w:rFonts w:hint="eastAsia" w:ascii="仿宋" w:eastAsia="仿宋" w:cs="Arial"/>
          <w:bCs/>
          <w:color w:val="auto"/>
          <w:sz w:val="24"/>
          <w:highlight w:val="none"/>
          <w:u w:val="single"/>
          <w:lang w:val="en-US" w:eastAsia="zh-CN"/>
        </w:rPr>
        <w:t xml:space="preserve">   YCDL2024-04-0013   </w:t>
      </w:r>
      <w:r>
        <w:rPr>
          <w:rFonts w:hint="eastAsia" w:ascii="仿宋" w:eastAsia="仿宋" w:cs="Arial"/>
          <w:bCs/>
          <w:color w:val="auto"/>
          <w:sz w:val="24"/>
          <w:highlight w:val="none"/>
          <w:u w:val="single"/>
        </w:rPr>
        <w:t xml:space="preserve"> </w:t>
      </w:r>
    </w:p>
    <w:p>
      <w:pPr>
        <w:numPr>
          <w:ilvl w:val="0"/>
          <w:numId w:val="3"/>
        </w:numPr>
        <w:spacing w:line="360" w:lineRule="auto"/>
        <w:rPr>
          <w:rFonts w:hint="eastAsia" w:ascii="仿宋" w:eastAsia="仿宋" w:cs="Arial"/>
          <w:bCs/>
          <w:color w:val="auto"/>
          <w:sz w:val="24"/>
          <w:highlight w:val="none"/>
        </w:rPr>
      </w:pPr>
      <w:r>
        <w:rPr>
          <w:rFonts w:hint="eastAsia" w:ascii="仿宋" w:eastAsia="仿宋" w:cs="Arial"/>
          <w:b/>
          <w:bCs/>
          <w:color w:val="auto"/>
          <w:sz w:val="24"/>
          <w:highlight w:val="none"/>
        </w:rPr>
        <w:t>采购组织类型：</w:t>
      </w:r>
      <w:r>
        <w:rPr>
          <w:rFonts w:hint="eastAsia" w:ascii="仿宋" w:eastAsia="仿宋" w:cs="Arial"/>
          <w:bCs/>
          <w:color w:val="auto"/>
          <w:sz w:val="24"/>
          <w:highlight w:val="none"/>
          <w:u w:val="single"/>
        </w:rPr>
        <w:t xml:space="preserve">  </w:t>
      </w:r>
      <w:r>
        <w:rPr>
          <w:rFonts w:ascii="仿宋" w:eastAsia="仿宋" w:cs="Arial"/>
          <w:bCs/>
          <w:color w:val="auto"/>
          <w:sz w:val="24"/>
          <w:highlight w:val="none"/>
          <w:u w:val="single"/>
        </w:rPr>
        <w:t>国企采购委托代理</w:t>
      </w:r>
      <w:r>
        <w:rPr>
          <w:rFonts w:hint="eastAsia" w:ascii="仿宋" w:eastAsia="仿宋" w:cs="Arial"/>
          <w:bCs/>
          <w:color w:val="auto"/>
          <w:sz w:val="24"/>
          <w:highlight w:val="none"/>
          <w:u w:val="single"/>
        </w:rPr>
        <w:t xml:space="preserve">  </w:t>
      </w:r>
      <w:r>
        <w:rPr>
          <w:rFonts w:ascii="仿宋" w:eastAsia="仿宋" w:cs="Arial"/>
          <w:bCs/>
          <w:color w:val="auto"/>
          <w:sz w:val="24"/>
          <w:highlight w:val="none"/>
          <w:u w:val="single"/>
        </w:rPr>
        <w:t xml:space="preserve"> </w:t>
      </w:r>
      <w:r>
        <w:rPr>
          <w:rFonts w:ascii="仿宋" w:eastAsia="仿宋" w:cs="Arial"/>
          <w:bCs/>
          <w:color w:val="auto"/>
          <w:sz w:val="24"/>
          <w:highlight w:val="none"/>
        </w:rPr>
        <w:t xml:space="preserve">           </w:t>
      </w:r>
      <w:r>
        <w:rPr>
          <w:rFonts w:hint="eastAsia" w:ascii="仿宋" w:eastAsia="仿宋" w:cs="Arial"/>
          <w:b/>
          <w:bCs/>
          <w:color w:val="auto"/>
          <w:sz w:val="24"/>
          <w:highlight w:val="none"/>
        </w:rPr>
        <w:t>采购类别：</w:t>
      </w:r>
      <w:r>
        <w:rPr>
          <w:rFonts w:hint="eastAsia" w:ascii="仿宋" w:eastAsia="仿宋" w:cs="Arial"/>
          <w:b/>
          <w:bCs/>
          <w:color w:val="auto"/>
          <w:sz w:val="24"/>
          <w:highlight w:val="none"/>
          <w:u w:val="single"/>
        </w:rPr>
        <w:t xml:space="preserve">  </w:t>
      </w:r>
      <w:r>
        <w:rPr>
          <w:rFonts w:hint="eastAsia" w:ascii="仿宋" w:eastAsia="仿宋" w:cs="Arial"/>
          <w:color w:val="auto"/>
          <w:sz w:val="24"/>
          <w:highlight w:val="none"/>
          <w:u w:val="single"/>
        </w:rPr>
        <w:t>货物</w:t>
      </w:r>
      <w:r>
        <w:rPr>
          <w:rFonts w:ascii="仿宋" w:eastAsia="仿宋" w:cs="Arial"/>
          <w:color w:val="auto"/>
          <w:sz w:val="24"/>
          <w:highlight w:val="none"/>
          <w:u w:val="single"/>
        </w:rPr>
        <w:t xml:space="preserve">  </w:t>
      </w:r>
    </w:p>
    <w:p>
      <w:pPr>
        <w:numPr>
          <w:ilvl w:val="0"/>
          <w:numId w:val="3"/>
        </w:numPr>
        <w:spacing w:line="360" w:lineRule="auto"/>
        <w:rPr>
          <w:rFonts w:hint="eastAsia" w:ascii="仿宋" w:eastAsia="仿宋" w:cs="Arial"/>
          <w:bCs/>
          <w:color w:val="auto"/>
          <w:sz w:val="24"/>
          <w:highlight w:val="none"/>
        </w:rPr>
      </w:pPr>
      <w:r>
        <w:rPr>
          <w:rFonts w:hint="eastAsia" w:ascii="仿宋" w:eastAsia="仿宋" w:cs="Arial"/>
          <w:b/>
          <w:bCs/>
          <w:color w:val="auto"/>
          <w:sz w:val="24"/>
          <w:highlight w:val="none"/>
        </w:rPr>
        <w:t>项目</w:t>
      </w:r>
      <w:r>
        <w:rPr>
          <w:rFonts w:ascii="仿宋" w:eastAsia="仿宋" w:cs="Arial"/>
          <w:b/>
          <w:bCs/>
          <w:color w:val="auto"/>
          <w:sz w:val="24"/>
          <w:highlight w:val="none"/>
        </w:rPr>
        <w:t>概况</w:t>
      </w:r>
      <w:r>
        <w:rPr>
          <w:rFonts w:hint="eastAsia" w:ascii="仿宋" w:eastAsia="仿宋" w:cs="Arial"/>
          <w:b/>
          <w:bCs/>
          <w:color w:val="auto"/>
          <w:sz w:val="24"/>
          <w:highlight w:val="none"/>
        </w:rPr>
        <w:t>：</w:t>
      </w:r>
    </w:p>
    <w:tbl>
      <w:tblPr>
        <w:tblStyle w:val="28"/>
        <w:tblW w:w="8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4033"/>
        <w:gridCol w:w="2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95"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center"/>
              <w:rPr>
                <w:rFonts w:hint="eastAsia" w:ascii="仿宋" w:eastAsia="仿宋" w:cs="Arial"/>
                <w:b/>
                <w:color w:val="auto"/>
                <w:sz w:val="24"/>
                <w:szCs w:val="24"/>
                <w:highlight w:val="none"/>
              </w:rPr>
            </w:pPr>
            <w:r>
              <w:rPr>
                <w:rFonts w:hint="eastAsia" w:ascii="仿宋" w:eastAsia="仿宋" w:cs="宋体"/>
                <w:b/>
                <w:color w:val="auto"/>
                <w:sz w:val="24"/>
                <w:szCs w:val="24"/>
                <w:highlight w:val="none"/>
              </w:rPr>
              <w:t>标段</w:t>
            </w:r>
            <w:r>
              <w:rPr>
                <w:rFonts w:ascii="仿宋" w:eastAsia="仿宋" w:cs="宋体"/>
                <w:b/>
                <w:color w:val="auto"/>
                <w:sz w:val="24"/>
                <w:szCs w:val="24"/>
                <w:highlight w:val="none"/>
              </w:rPr>
              <w:t>编号</w:t>
            </w:r>
          </w:p>
        </w:tc>
        <w:tc>
          <w:tcPr>
            <w:tcW w:w="4033"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center"/>
              <w:rPr>
                <w:rFonts w:hint="eastAsia" w:ascii="仿宋" w:eastAsia="仿宋" w:cs="宋体"/>
                <w:b/>
                <w:color w:val="auto"/>
                <w:sz w:val="24"/>
                <w:szCs w:val="24"/>
                <w:highlight w:val="none"/>
              </w:rPr>
            </w:pPr>
            <w:r>
              <w:rPr>
                <w:rFonts w:hint="eastAsia" w:ascii="仿宋" w:eastAsia="仿宋" w:cs="宋体"/>
                <w:b/>
                <w:color w:val="auto"/>
                <w:sz w:val="24"/>
                <w:szCs w:val="24"/>
                <w:highlight w:val="none"/>
              </w:rPr>
              <w:t>标段名称</w:t>
            </w:r>
          </w:p>
        </w:tc>
        <w:tc>
          <w:tcPr>
            <w:tcW w:w="2446"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center"/>
              <w:rPr>
                <w:rFonts w:ascii="仿宋" w:eastAsia="仿宋" w:cs="Arial"/>
                <w:b/>
                <w:color w:val="auto"/>
                <w:sz w:val="24"/>
                <w:szCs w:val="24"/>
                <w:highlight w:val="none"/>
              </w:rPr>
            </w:pPr>
            <w:r>
              <w:rPr>
                <w:rFonts w:hint="eastAsia" w:ascii="仿宋" w:eastAsia="仿宋" w:cs="Arial"/>
                <w:b/>
                <w:color w:val="auto"/>
                <w:sz w:val="24"/>
                <w:szCs w:val="24"/>
                <w:highlight w:val="none"/>
              </w:rPr>
              <w:t>预算金额或上限价</w:t>
            </w:r>
          </w:p>
          <w:p>
            <w:pPr>
              <w:spacing w:line="360" w:lineRule="exact"/>
              <w:jc w:val="center"/>
              <w:rPr>
                <w:rFonts w:hint="eastAsia" w:ascii="仿宋" w:eastAsia="仿宋" w:cs="Arial"/>
                <w:b/>
                <w:color w:val="auto"/>
                <w:sz w:val="24"/>
                <w:szCs w:val="24"/>
                <w:highlight w:val="none"/>
              </w:rPr>
            </w:pPr>
            <w:r>
              <w:rPr>
                <w:rFonts w:hint="eastAsia" w:ascii="仿宋" w:eastAsia="仿宋" w:cs="Arial"/>
                <w:b/>
                <w:color w:val="auto"/>
                <w:sz w:val="24"/>
                <w:szCs w:val="24"/>
                <w:highlight w:val="none"/>
              </w:rPr>
              <w:t>（</w:t>
            </w:r>
            <w:r>
              <w:rPr>
                <w:rFonts w:ascii="仿宋" w:eastAsia="仿宋" w:cs="Arial"/>
                <w:b/>
                <w:color w:val="auto"/>
                <w:sz w:val="24"/>
                <w:szCs w:val="24"/>
                <w:highlight w:val="none"/>
              </w:rPr>
              <w:t>单位：人民币</w:t>
            </w:r>
            <w:r>
              <w:rPr>
                <w:rFonts w:hint="eastAsia" w:ascii="仿宋" w:eastAsia="仿宋" w:cs="Arial"/>
                <w:b/>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95"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center"/>
              <w:rPr>
                <w:rFonts w:hint="default" w:ascii="仿宋" w:eastAsia="仿宋" w:cs="Arial"/>
                <w:color w:val="auto"/>
                <w:szCs w:val="21"/>
                <w:highlight w:val="none"/>
                <w:lang w:val="en-US" w:eastAsia="zh-CN"/>
              </w:rPr>
            </w:pPr>
            <w:r>
              <w:rPr>
                <w:rFonts w:hint="eastAsia" w:ascii="仿宋" w:eastAsia="仿宋" w:cs="Arial"/>
                <w:color w:val="auto"/>
                <w:szCs w:val="21"/>
                <w:highlight w:val="none"/>
                <w:lang w:val="en-US" w:eastAsia="zh-CN"/>
              </w:rPr>
              <w:t>01</w:t>
            </w:r>
          </w:p>
        </w:tc>
        <w:tc>
          <w:tcPr>
            <w:tcW w:w="4033" w:type="dxa"/>
            <w:tcBorders>
              <w:top w:val="single" w:color="auto" w:sz="4" w:space="0"/>
              <w:left w:val="single" w:color="auto" w:sz="4" w:space="0"/>
              <w:bottom w:val="single" w:color="auto" w:sz="4" w:space="0"/>
              <w:right w:val="single" w:color="auto" w:sz="4" w:space="0"/>
              <w:tl2br w:val="nil"/>
              <w:tr2bl w:val="nil"/>
            </w:tcBorders>
            <w:vAlign w:val="center"/>
          </w:tcPr>
          <w:p>
            <w:pPr>
              <w:spacing w:line="340" w:lineRule="exact"/>
              <w:jc w:val="center"/>
              <w:rPr>
                <w:rFonts w:hint="eastAsia" w:ascii="仿宋" w:hAnsi="Times New Roman" w:eastAsia="仿宋" w:cs="Arial"/>
                <w:color w:val="auto"/>
                <w:szCs w:val="21"/>
                <w:highlight w:val="none"/>
                <w:lang w:val="en-US" w:eastAsia="zh-CN"/>
              </w:rPr>
            </w:pPr>
            <w:r>
              <w:rPr>
                <w:rFonts w:hint="eastAsia" w:ascii="仿宋" w:hAnsi="Times New Roman" w:eastAsia="仿宋" w:cs="Arial"/>
                <w:color w:val="auto"/>
                <w:szCs w:val="21"/>
                <w:highlight w:val="none"/>
              </w:rPr>
              <w:t>浙江金融职业学院绍兴校区新建工程家具采购项目（</w:t>
            </w:r>
            <w:r>
              <w:rPr>
                <w:rFonts w:hint="eastAsia" w:ascii="仿宋" w:eastAsia="仿宋" w:cs="Arial"/>
                <w:color w:val="auto"/>
                <w:szCs w:val="21"/>
                <w:highlight w:val="none"/>
                <w:lang w:val="en-US" w:eastAsia="zh-CN"/>
              </w:rPr>
              <w:t>标段一：</w:t>
            </w:r>
            <w:r>
              <w:rPr>
                <w:rFonts w:hint="eastAsia" w:ascii="仿宋" w:hAnsi="Times New Roman" w:eastAsia="仿宋" w:cs="Arial"/>
                <w:color w:val="auto"/>
                <w:szCs w:val="21"/>
                <w:highlight w:val="none"/>
              </w:rPr>
              <w:t>图书馆、教学及其他家具）</w:t>
            </w:r>
          </w:p>
        </w:tc>
        <w:tc>
          <w:tcPr>
            <w:tcW w:w="2446" w:type="dxa"/>
            <w:tcBorders>
              <w:top w:val="single" w:color="auto" w:sz="4" w:space="0"/>
              <w:left w:val="single" w:color="auto" w:sz="4" w:space="0"/>
              <w:bottom w:val="single" w:color="auto" w:sz="4" w:space="0"/>
              <w:right w:val="single" w:color="auto" w:sz="4" w:space="0"/>
              <w:tl2br w:val="nil"/>
              <w:tr2bl w:val="nil"/>
            </w:tcBorders>
            <w:vAlign w:val="center"/>
          </w:tcPr>
          <w:p>
            <w:pPr>
              <w:spacing w:line="340" w:lineRule="exact"/>
              <w:jc w:val="center"/>
              <w:rPr>
                <w:rFonts w:hint="default" w:ascii="仿宋" w:hAnsi="Times New Roman" w:eastAsia="仿宋" w:cs="Arial"/>
                <w:color w:val="auto"/>
                <w:szCs w:val="21"/>
                <w:highlight w:val="none"/>
                <w:lang w:val="en-US" w:eastAsia="zh-CN"/>
              </w:rPr>
            </w:pPr>
            <w:r>
              <w:rPr>
                <w:rFonts w:hint="eastAsia" w:ascii="仿宋" w:hAnsi="Times New Roman" w:eastAsia="仿宋" w:cs="Arial"/>
                <w:color w:val="auto"/>
                <w:szCs w:val="21"/>
                <w:highlight w:val="none"/>
              </w:rPr>
              <w:t>￥</w:t>
            </w:r>
            <w:r>
              <w:rPr>
                <w:rFonts w:hint="eastAsia" w:ascii="仿宋" w:eastAsia="仿宋" w:cs="Arial"/>
                <w:color w:val="auto"/>
                <w:szCs w:val="21"/>
                <w:highlight w:val="none"/>
                <w:lang w:val="en-US" w:eastAsia="zh-CN"/>
              </w:rPr>
              <w:t xml:space="preserve">30070000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95"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exact"/>
              <w:jc w:val="center"/>
              <w:rPr>
                <w:rFonts w:hint="default" w:ascii="仿宋" w:eastAsia="仿宋" w:cs="Arial"/>
                <w:color w:val="auto"/>
                <w:szCs w:val="21"/>
                <w:highlight w:val="none"/>
                <w:lang w:val="en-US" w:eastAsia="zh-CN"/>
              </w:rPr>
            </w:pPr>
            <w:r>
              <w:rPr>
                <w:rFonts w:hint="eastAsia" w:ascii="仿宋" w:eastAsia="仿宋" w:cs="Arial"/>
                <w:color w:val="auto"/>
                <w:szCs w:val="21"/>
                <w:highlight w:val="none"/>
                <w:lang w:val="en-US" w:eastAsia="zh-CN"/>
              </w:rPr>
              <w:t>02</w:t>
            </w:r>
          </w:p>
        </w:tc>
        <w:tc>
          <w:tcPr>
            <w:tcW w:w="4033" w:type="dxa"/>
            <w:tcBorders>
              <w:top w:val="single" w:color="auto" w:sz="4" w:space="0"/>
              <w:left w:val="single" w:color="auto" w:sz="4" w:space="0"/>
              <w:bottom w:val="single" w:color="auto" w:sz="4" w:space="0"/>
              <w:right w:val="single" w:color="auto" w:sz="4" w:space="0"/>
              <w:tl2br w:val="nil"/>
              <w:tr2bl w:val="nil"/>
            </w:tcBorders>
            <w:vAlign w:val="center"/>
          </w:tcPr>
          <w:p>
            <w:pPr>
              <w:spacing w:line="340" w:lineRule="exact"/>
              <w:jc w:val="center"/>
              <w:rPr>
                <w:rFonts w:hint="eastAsia" w:ascii="仿宋" w:eastAsia="仿宋" w:cs="Arial"/>
                <w:color w:val="auto"/>
                <w:szCs w:val="21"/>
                <w:highlight w:val="none"/>
                <w:lang w:eastAsia="zh-CN"/>
              </w:rPr>
            </w:pPr>
            <w:r>
              <w:rPr>
                <w:rFonts w:hint="eastAsia" w:ascii="仿宋" w:eastAsia="仿宋" w:cs="Arial"/>
                <w:color w:val="auto"/>
                <w:szCs w:val="21"/>
                <w:highlight w:val="none"/>
                <w:lang w:eastAsia="zh-CN"/>
              </w:rPr>
              <w:t>浙江金融职业学院绍兴校区新建工程家具采购</w:t>
            </w:r>
            <w:r>
              <w:rPr>
                <w:rFonts w:hint="eastAsia" w:ascii="仿宋" w:hAnsi="Times New Roman" w:eastAsia="仿宋" w:cs="Arial"/>
                <w:color w:val="auto"/>
                <w:szCs w:val="21"/>
                <w:highlight w:val="none"/>
              </w:rPr>
              <w:t>项目</w:t>
            </w:r>
            <w:r>
              <w:rPr>
                <w:rFonts w:hint="eastAsia" w:ascii="仿宋" w:eastAsia="仿宋" w:cs="Arial"/>
                <w:color w:val="auto"/>
                <w:szCs w:val="21"/>
                <w:highlight w:val="none"/>
                <w:lang w:eastAsia="zh-CN"/>
              </w:rPr>
              <w:t>（</w:t>
            </w:r>
            <w:r>
              <w:rPr>
                <w:rFonts w:hint="eastAsia" w:ascii="仿宋" w:eastAsia="仿宋" w:cs="Arial"/>
                <w:color w:val="auto"/>
                <w:szCs w:val="21"/>
                <w:highlight w:val="none"/>
                <w:lang w:val="en-US" w:eastAsia="zh-CN"/>
              </w:rPr>
              <w:t>标段二：</w:t>
            </w:r>
            <w:r>
              <w:rPr>
                <w:rFonts w:hint="eastAsia" w:ascii="仿宋" w:eastAsia="仿宋" w:cs="Arial"/>
                <w:color w:val="auto"/>
                <w:szCs w:val="21"/>
                <w:highlight w:val="none"/>
                <w:lang w:eastAsia="zh-CN"/>
              </w:rPr>
              <w:t>宿舍及餐厅家具）</w:t>
            </w:r>
          </w:p>
        </w:tc>
        <w:tc>
          <w:tcPr>
            <w:tcW w:w="2446" w:type="dxa"/>
            <w:tcBorders>
              <w:top w:val="single" w:color="auto" w:sz="4" w:space="0"/>
              <w:left w:val="single" w:color="auto" w:sz="4" w:space="0"/>
              <w:bottom w:val="single" w:color="auto" w:sz="4" w:space="0"/>
              <w:right w:val="single" w:color="auto" w:sz="4" w:space="0"/>
              <w:tl2br w:val="nil"/>
              <w:tr2bl w:val="nil"/>
            </w:tcBorders>
            <w:vAlign w:val="center"/>
          </w:tcPr>
          <w:p>
            <w:pPr>
              <w:spacing w:line="340" w:lineRule="exact"/>
              <w:jc w:val="center"/>
              <w:rPr>
                <w:rFonts w:hint="default" w:ascii="仿宋" w:eastAsia="仿宋" w:cs="Arial"/>
                <w:color w:val="auto"/>
                <w:szCs w:val="21"/>
                <w:highlight w:val="none"/>
                <w:lang w:val="en-US" w:eastAsia="zh-CN"/>
              </w:rPr>
            </w:pPr>
            <w:r>
              <w:rPr>
                <w:rFonts w:hint="eastAsia" w:ascii="仿宋" w:hAnsi="Times New Roman" w:eastAsia="仿宋" w:cs="Arial"/>
                <w:color w:val="auto"/>
                <w:szCs w:val="21"/>
                <w:highlight w:val="none"/>
              </w:rPr>
              <w:t>￥</w:t>
            </w:r>
            <w:r>
              <w:rPr>
                <w:rFonts w:hint="eastAsia" w:ascii="仿宋" w:eastAsia="仿宋" w:cs="Arial"/>
                <w:color w:val="auto"/>
                <w:szCs w:val="21"/>
                <w:highlight w:val="none"/>
                <w:lang w:val="en-US" w:eastAsia="zh-CN"/>
              </w:rPr>
              <w:t>31260000</w:t>
            </w:r>
          </w:p>
        </w:tc>
      </w:tr>
    </w:tbl>
    <w:p>
      <w:pPr>
        <w:spacing w:line="360" w:lineRule="auto"/>
        <w:ind w:left="480" w:firstLine="0"/>
        <w:rPr>
          <w:rFonts w:ascii="仿宋" w:eastAsia="仿宋"/>
          <w:b/>
          <w:bCs/>
          <w:color w:val="auto"/>
          <w:sz w:val="24"/>
          <w:szCs w:val="24"/>
          <w:highlight w:val="none"/>
        </w:rPr>
      </w:pPr>
      <w:r>
        <w:rPr>
          <w:rFonts w:hint="eastAsia" w:ascii="仿宋" w:eastAsia="仿宋"/>
          <w:b/>
          <w:bCs/>
          <w:color w:val="auto"/>
          <w:sz w:val="24"/>
          <w:szCs w:val="24"/>
          <w:highlight w:val="none"/>
        </w:rPr>
        <w:t>注：开标顺序为：各标段分别定标，允许供应商同时报名2个标段，</w:t>
      </w:r>
      <w:r>
        <w:rPr>
          <w:rFonts w:hint="eastAsia" w:ascii="仿宋" w:eastAsia="仿宋"/>
          <w:b/>
          <w:bCs/>
          <w:color w:val="auto"/>
          <w:sz w:val="24"/>
          <w:szCs w:val="24"/>
          <w:highlight w:val="none"/>
          <w:lang w:val="en-US" w:eastAsia="zh-CN"/>
        </w:rPr>
        <w:t>但</w:t>
      </w:r>
      <w:r>
        <w:rPr>
          <w:rFonts w:hint="eastAsia" w:ascii="仿宋" w:eastAsia="仿宋"/>
          <w:b/>
          <w:bCs/>
          <w:color w:val="auto"/>
          <w:sz w:val="24"/>
          <w:szCs w:val="24"/>
          <w:highlight w:val="none"/>
        </w:rPr>
        <w:t>不允许同时中2个标段。已中标</w:t>
      </w:r>
      <w:r>
        <w:rPr>
          <w:rFonts w:hint="eastAsia" w:ascii="仿宋" w:eastAsia="仿宋"/>
          <w:b/>
          <w:bCs/>
          <w:color w:val="auto"/>
          <w:sz w:val="24"/>
          <w:szCs w:val="24"/>
          <w:highlight w:val="none"/>
          <w:lang w:val="en-US" w:eastAsia="zh-CN"/>
        </w:rPr>
        <w:t>标段一的</w:t>
      </w:r>
      <w:r>
        <w:rPr>
          <w:rFonts w:hint="eastAsia" w:ascii="仿宋" w:eastAsia="仿宋"/>
          <w:b/>
          <w:bCs/>
          <w:color w:val="auto"/>
          <w:sz w:val="24"/>
          <w:szCs w:val="24"/>
          <w:highlight w:val="none"/>
        </w:rPr>
        <w:t>投标单位</w:t>
      </w:r>
      <w:r>
        <w:rPr>
          <w:rFonts w:hint="eastAsia" w:ascii="仿宋" w:eastAsia="仿宋"/>
          <w:b/>
          <w:bCs/>
          <w:color w:val="auto"/>
          <w:sz w:val="24"/>
          <w:szCs w:val="24"/>
          <w:highlight w:val="none"/>
          <w:lang w:eastAsia="zh-CN"/>
        </w:rPr>
        <w:t>，</w:t>
      </w:r>
      <w:r>
        <w:rPr>
          <w:rFonts w:hint="eastAsia" w:ascii="仿宋" w:eastAsia="仿宋"/>
          <w:b/>
          <w:bCs/>
          <w:color w:val="auto"/>
          <w:sz w:val="24"/>
          <w:szCs w:val="24"/>
          <w:highlight w:val="none"/>
        </w:rPr>
        <w:t>不再接受</w:t>
      </w:r>
      <w:r>
        <w:rPr>
          <w:rFonts w:hint="eastAsia" w:ascii="仿宋" w:eastAsia="仿宋"/>
          <w:b/>
          <w:bCs/>
          <w:color w:val="auto"/>
          <w:sz w:val="24"/>
          <w:szCs w:val="24"/>
          <w:highlight w:val="none"/>
          <w:lang w:val="en-US" w:eastAsia="zh-CN"/>
        </w:rPr>
        <w:t>其标段二的投标文件</w:t>
      </w:r>
      <w:r>
        <w:rPr>
          <w:rFonts w:hint="eastAsia" w:ascii="仿宋" w:eastAsia="仿宋"/>
          <w:b/>
          <w:bCs/>
          <w:color w:val="auto"/>
          <w:sz w:val="24"/>
          <w:szCs w:val="24"/>
          <w:highlight w:val="none"/>
        </w:rPr>
        <w:t>。</w:t>
      </w:r>
    </w:p>
    <w:p>
      <w:pPr>
        <w:spacing w:line="360" w:lineRule="auto"/>
        <w:ind w:left="480" w:firstLine="0"/>
        <w:rPr>
          <w:rFonts w:ascii="仿宋" w:eastAsia="仿宋"/>
          <w:color w:val="auto"/>
          <w:sz w:val="24"/>
          <w:szCs w:val="24"/>
          <w:highlight w:val="none"/>
        </w:rPr>
      </w:pPr>
      <w:r>
        <w:rPr>
          <w:rFonts w:ascii="仿宋" w:eastAsia="仿宋"/>
          <w:b/>
          <w:bCs/>
          <w:color w:val="auto"/>
          <w:sz w:val="24"/>
          <w:szCs w:val="24"/>
          <w:highlight w:val="none"/>
        </w:rPr>
        <w:t>四、采购需求：</w:t>
      </w:r>
      <w:r>
        <w:rPr>
          <w:rFonts w:ascii="仿宋" w:eastAsia="仿宋"/>
          <w:color w:val="auto"/>
          <w:sz w:val="24"/>
          <w:szCs w:val="24"/>
          <w:highlight w:val="none"/>
        </w:rPr>
        <w:t>详见采购文件第三章。</w:t>
      </w:r>
    </w:p>
    <w:p>
      <w:pPr>
        <w:spacing w:line="360" w:lineRule="auto"/>
        <w:ind w:left="480" w:firstLine="0"/>
        <w:rPr>
          <w:rFonts w:ascii="仿宋" w:eastAsia="仿宋"/>
          <w:b/>
          <w:bCs/>
          <w:color w:val="auto"/>
          <w:sz w:val="24"/>
          <w:szCs w:val="24"/>
          <w:highlight w:val="none"/>
        </w:rPr>
      </w:pPr>
      <w:r>
        <w:rPr>
          <w:rFonts w:ascii="仿宋" w:eastAsia="仿宋"/>
          <w:b/>
          <w:bCs/>
          <w:color w:val="auto"/>
          <w:sz w:val="24"/>
          <w:szCs w:val="24"/>
          <w:highlight w:val="none"/>
        </w:rPr>
        <w:t>五、本项目资格条件：</w:t>
      </w:r>
    </w:p>
    <w:p>
      <w:pPr>
        <w:spacing w:line="360" w:lineRule="exact"/>
        <w:ind w:firstLine="470" w:firstLineChars="196"/>
        <w:rPr>
          <w:rFonts w:hint="eastAsia" w:ascii="仿宋" w:eastAsia="仿宋" w:cs="宋体"/>
          <w:color w:val="auto"/>
          <w:kern w:val="0"/>
          <w:sz w:val="24"/>
          <w:highlight w:val="none"/>
        </w:rPr>
      </w:pPr>
      <w:r>
        <w:rPr>
          <w:rFonts w:hint="eastAsia" w:ascii="仿宋" w:eastAsia="仿宋" w:cs="宋体"/>
          <w:color w:val="auto"/>
          <w:kern w:val="0"/>
          <w:sz w:val="24"/>
          <w:highlight w:val="none"/>
        </w:rPr>
        <w:t>1.符合政府采购法第二十二条之供应商资格规定；</w:t>
      </w:r>
    </w:p>
    <w:p>
      <w:pPr>
        <w:spacing w:line="360" w:lineRule="exact"/>
        <w:ind w:firstLine="470" w:firstLineChars="196"/>
        <w:rPr>
          <w:rFonts w:hint="eastAsia" w:ascii="仿宋" w:eastAsia="仿宋" w:cs="宋体"/>
          <w:color w:val="auto"/>
          <w:kern w:val="0"/>
          <w:sz w:val="24"/>
          <w:highlight w:val="none"/>
        </w:rPr>
      </w:pPr>
      <w:r>
        <w:rPr>
          <w:rFonts w:hint="eastAsia" w:ascii="仿宋" w:eastAsia="仿宋" w:cs="宋体"/>
          <w:color w:val="auto"/>
          <w:kern w:val="0"/>
          <w:sz w:val="24"/>
          <w:highlight w:val="none"/>
        </w:rPr>
        <w:t>2.未被“信用中国”（www.creditchina.gov.cn）、中国政府采购网（www.ccgp.gov.cn）列入失信被执行人、重大税收违法案件当事人名单、政府采购严重违法失信行为记录名单；</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snapToGrid/>
        <w:spacing w:line="360" w:lineRule="auto"/>
        <w:ind w:firstLine="480"/>
        <w:contextualSpacing w:val="0"/>
        <w:jc w:val="left"/>
        <w:rPr>
          <w:rFonts w:ascii="仿宋" w:eastAsia="仿宋" w:cs="宋体"/>
          <w:color w:val="auto"/>
          <w:kern w:val="0"/>
          <w:sz w:val="24"/>
          <w:highlight w:val="none"/>
          <w:lang w:bidi="ar-SA"/>
        </w:rPr>
      </w:pPr>
      <w:r>
        <w:rPr>
          <w:rFonts w:hint="eastAsia" w:ascii="仿宋" w:eastAsia="仿宋" w:cs="宋体"/>
          <w:color w:val="auto"/>
          <w:kern w:val="0"/>
          <w:sz w:val="24"/>
          <w:highlight w:val="none"/>
          <w:lang w:bidi="ar-SA"/>
        </w:rPr>
        <w:t>3．本项目</w:t>
      </w:r>
      <w:r>
        <w:rPr>
          <w:rFonts w:hint="eastAsia" w:ascii="仿宋" w:eastAsia="仿宋" w:cs="宋体"/>
          <w:color w:val="auto"/>
          <w:kern w:val="0"/>
          <w:sz w:val="24"/>
          <w:highlight w:val="none"/>
          <w:u w:val="single"/>
          <w:lang w:bidi="ar-SA"/>
        </w:rPr>
        <w:t>不允许</w:t>
      </w:r>
      <w:r>
        <w:rPr>
          <w:rFonts w:hint="eastAsia" w:ascii="仿宋" w:eastAsia="仿宋" w:cs="宋体"/>
          <w:color w:val="auto"/>
          <w:kern w:val="0"/>
          <w:sz w:val="24"/>
          <w:highlight w:val="none"/>
          <w:lang w:bidi="ar-SA"/>
        </w:rPr>
        <w:t>联合体</w:t>
      </w:r>
      <w:r>
        <w:rPr>
          <w:rFonts w:ascii="仿宋" w:eastAsia="仿宋" w:cs="宋体"/>
          <w:color w:val="auto"/>
          <w:kern w:val="0"/>
          <w:sz w:val="24"/>
          <w:highlight w:val="none"/>
          <w:lang w:bidi="ar-SA"/>
        </w:rPr>
        <w:t>投标</w:t>
      </w:r>
      <w:r>
        <w:rPr>
          <w:rFonts w:hint="eastAsia" w:ascii="仿宋" w:eastAsia="仿宋" w:cs="宋体"/>
          <w:color w:val="auto"/>
          <w:kern w:val="0"/>
          <w:sz w:val="24"/>
          <w:highlight w:val="none"/>
          <w:lang w:bidi="ar-SA"/>
        </w:rPr>
        <w:t>。</w:t>
      </w:r>
    </w:p>
    <w:p>
      <w:pPr>
        <w:spacing w:line="360" w:lineRule="auto"/>
        <w:ind w:left="480" w:firstLine="0"/>
        <w:rPr>
          <w:rFonts w:ascii="仿宋" w:eastAsia="仿宋" w:cs="宋体"/>
          <w:b/>
          <w:bCs/>
          <w:color w:val="auto"/>
          <w:kern w:val="0"/>
          <w:sz w:val="24"/>
          <w:highlight w:val="none"/>
        </w:rPr>
      </w:pPr>
      <w:r>
        <w:rPr>
          <w:rFonts w:ascii="仿宋" w:eastAsia="仿宋" w:cs="宋体"/>
          <w:b/>
          <w:bCs/>
          <w:color w:val="auto"/>
          <w:kern w:val="0"/>
          <w:sz w:val="24"/>
          <w:highlight w:val="none"/>
        </w:rPr>
        <w:t>4．特定资格条件：</w:t>
      </w:r>
    </w:p>
    <w:p>
      <w:pPr>
        <w:spacing w:line="360" w:lineRule="auto"/>
        <w:ind w:firstLine="480"/>
        <w:rPr>
          <w:rFonts w:ascii="仿宋" w:eastAsia="仿宋" w:cs="宋体"/>
          <w:color w:val="auto"/>
          <w:kern w:val="0"/>
          <w:sz w:val="24"/>
          <w:highlight w:val="none"/>
        </w:rPr>
      </w:pPr>
      <w:r>
        <w:rPr>
          <w:rFonts w:ascii="仿宋" w:eastAsia="仿宋"/>
          <w:color w:val="auto"/>
          <w:sz w:val="24"/>
          <w:szCs w:val="24"/>
          <w:highlight w:val="none"/>
        </w:rPr>
        <w:t>注：</w:t>
      </w:r>
      <w:r>
        <w:rPr>
          <w:rFonts w:ascii="仿宋" w:eastAsia="仿宋" w:cs="宋体"/>
          <w:color w:val="auto"/>
          <w:kern w:val="0"/>
          <w:sz w:val="24"/>
          <w:highlight w:val="none"/>
        </w:rPr>
        <w:t>1</w:t>
      </w:r>
      <w:r>
        <w:rPr>
          <w:rFonts w:hint="eastAsia" w:ascii="仿宋" w:eastAsia="仿宋" w:cs="宋体"/>
          <w:color w:val="auto"/>
          <w:kern w:val="0"/>
          <w:sz w:val="24"/>
          <w:highlight w:val="none"/>
        </w:rPr>
        <w:t>.</w:t>
      </w:r>
      <w:r>
        <w:rPr>
          <w:rFonts w:ascii="仿宋" w:eastAsia="仿宋" w:cs="宋体"/>
          <w:color w:val="auto"/>
          <w:kern w:val="0"/>
          <w:sz w:val="24"/>
          <w:highlight w:val="none"/>
        </w:rPr>
        <w:t>单位负责人为同一人或者存在直接控股、管理关系的不同供应商，不得同时参加同一标段的投标。</w:t>
      </w:r>
    </w:p>
    <w:p>
      <w:pPr>
        <w:spacing w:line="360" w:lineRule="exact"/>
        <w:ind w:firstLine="540" w:firstLineChars="225"/>
        <w:rPr>
          <w:rFonts w:ascii="仿宋" w:eastAsia="仿宋" w:cs="宋体"/>
          <w:color w:val="auto"/>
          <w:kern w:val="0"/>
          <w:sz w:val="24"/>
          <w:highlight w:val="none"/>
        </w:rPr>
      </w:pPr>
      <w:r>
        <w:rPr>
          <w:rFonts w:ascii="仿宋" w:eastAsia="仿宋" w:cs="宋体"/>
          <w:color w:val="auto"/>
          <w:kern w:val="0"/>
          <w:sz w:val="24"/>
          <w:highlight w:val="none"/>
        </w:rPr>
        <w:t>2.为项目提供整体设计、规范编制或者项目管理、监理、检测等服务的供应商，不得再参加该采购项目的其他采购活动。</w:t>
      </w:r>
    </w:p>
    <w:p>
      <w:pPr>
        <w:spacing w:line="360" w:lineRule="exact"/>
        <w:ind w:firstLine="542" w:firstLineChars="225"/>
        <w:rPr>
          <w:rFonts w:hint="eastAsia" w:ascii="仿宋" w:eastAsia="仿宋" w:cs="宋体"/>
          <w:color w:val="auto"/>
          <w:kern w:val="0"/>
          <w:sz w:val="24"/>
          <w:highlight w:val="none"/>
        </w:rPr>
      </w:pPr>
      <w:r>
        <w:rPr>
          <w:rFonts w:hint="eastAsia" w:ascii="仿宋" w:eastAsia="仿宋" w:cs="Arial"/>
          <w:b/>
          <w:bCs/>
          <w:color w:val="auto"/>
          <w:sz w:val="24"/>
          <w:highlight w:val="none"/>
        </w:rPr>
        <w:t>六、资格审查</w:t>
      </w:r>
      <w:r>
        <w:rPr>
          <w:rFonts w:ascii="仿宋" w:eastAsia="仿宋" w:cs="Arial"/>
          <w:b/>
          <w:bCs/>
          <w:color w:val="auto"/>
          <w:sz w:val="24"/>
          <w:highlight w:val="none"/>
        </w:rPr>
        <w:t>方式</w:t>
      </w:r>
      <w:r>
        <w:rPr>
          <w:rFonts w:hint="eastAsia" w:ascii="仿宋" w:eastAsia="仿宋" w:cs="Arial"/>
          <w:b/>
          <w:bCs/>
          <w:color w:val="auto"/>
          <w:sz w:val="24"/>
          <w:highlight w:val="none"/>
        </w:rPr>
        <w:t>：</w:t>
      </w:r>
    </w:p>
    <w:p>
      <w:pPr>
        <w:spacing w:line="360" w:lineRule="exact"/>
        <w:ind w:firstLine="540" w:firstLineChars="225"/>
        <w:rPr>
          <w:rFonts w:hint="eastAsia" w:ascii="仿宋" w:eastAsia="仿宋" w:cs="Arial"/>
          <w:bCs/>
          <w:color w:val="auto"/>
          <w:sz w:val="24"/>
          <w:highlight w:val="none"/>
        </w:rPr>
      </w:pPr>
      <w:r>
        <w:rPr>
          <w:rFonts w:hint="eastAsia" w:ascii="仿宋" w:eastAsia="仿宋" w:cs="Arial"/>
          <w:bCs/>
          <w:color w:val="auto"/>
          <w:sz w:val="24"/>
          <w:highlight w:val="none"/>
        </w:rPr>
        <w:t>1.资格后审。</w:t>
      </w:r>
    </w:p>
    <w:p>
      <w:pPr>
        <w:spacing w:line="360" w:lineRule="exact"/>
        <w:ind w:firstLine="542" w:firstLineChars="225"/>
        <w:rPr>
          <w:rFonts w:hint="eastAsia" w:ascii="仿宋" w:eastAsia="仿宋" w:cs="Arial"/>
          <w:color w:val="auto"/>
          <w:sz w:val="24"/>
          <w:highlight w:val="none"/>
        </w:rPr>
      </w:pPr>
      <w:r>
        <w:rPr>
          <w:rFonts w:hint="eastAsia" w:ascii="仿宋" w:eastAsia="仿宋" w:cs="Arial"/>
          <w:b/>
          <w:bCs/>
          <w:color w:val="auto"/>
          <w:sz w:val="24"/>
          <w:highlight w:val="none"/>
        </w:rPr>
        <w:t>七、</w:t>
      </w:r>
      <w:r>
        <w:rPr>
          <w:rFonts w:ascii="仿宋" w:eastAsia="仿宋" w:cs="Arial"/>
          <w:b/>
          <w:bCs/>
          <w:color w:val="auto"/>
          <w:sz w:val="24"/>
          <w:highlight w:val="none"/>
        </w:rPr>
        <w:t>报名</w:t>
      </w:r>
      <w:r>
        <w:rPr>
          <w:rFonts w:hint="eastAsia" w:ascii="仿宋" w:eastAsia="仿宋" w:cs="Arial"/>
          <w:b/>
          <w:bCs/>
          <w:color w:val="auto"/>
          <w:sz w:val="24"/>
          <w:highlight w:val="none"/>
        </w:rPr>
        <w:t>时间及方式</w:t>
      </w:r>
      <w:r>
        <w:rPr>
          <w:rFonts w:hint="eastAsia" w:ascii="仿宋" w:eastAsia="仿宋" w:cs="Arial"/>
          <w:color w:val="auto"/>
          <w:sz w:val="24"/>
          <w:highlight w:val="none"/>
        </w:rPr>
        <w:t>：</w:t>
      </w:r>
    </w:p>
    <w:p>
      <w:pPr>
        <w:spacing w:line="360" w:lineRule="exact"/>
        <w:ind w:firstLine="540" w:firstLineChars="225"/>
        <w:rPr>
          <w:rFonts w:hint="eastAsia" w:ascii="仿宋" w:eastAsia="仿宋" w:cs="Arial"/>
          <w:bCs/>
          <w:color w:val="auto"/>
          <w:sz w:val="24"/>
          <w:highlight w:val="none"/>
        </w:rPr>
      </w:pPr>
      <w:r>
        <w:rPr>
          <w:rFonts w:hint="eastAsia" w:ascii="仿宋" w:eastAsia="仿宋" w:cs="Arial"/>
          <w:bCs/>
          <w:color w:val="auto"/>
          <w:sz w:val="24"/>
          <w:highlight w:val="none"/>
        </w:rPr>
        <w:t>1.</w:t>
      </w:r>
      <w:r>
        <w:rPr>
          <w:rFonts w:ascii="仿宋" w:eastAsia="仿宋" w:cs="Arial"/>
          <w:bCs/>
          <w:color w:val="auto"/>
          <w:sz w:val="24"/>
          <w:highlight w:val="none"/>
        </w:rPr>
        <w:t>报名</w:t>
      </w:r>
      <w:r>
        <w:rPr>
          <w:rFonts w:hint="eastAsia" w:ascii="仿宋" w:eastAsia="仿宋" w:cs="Arial"/>
          <w:bCs/>
          <w:color w:val="auto"/>
          <w:sz w:val="24"/>
          <w:highlight w:val="none"/>
        </w:rPr>
        <w:t>时间：投标截止时间前。</w:t>
      </w:r>
    </w:p>
    <w:p>
      <w:pPr>
        <w:spacing w:line="360" w:lineRule="exact"/>
        <w:ind w:firstLine="540" w:firstLineChars="225"/>
        <w:rPr>
          <w:rFonts w:hint="eastAsia" w:ascii="仿宋" w:eastAsia="仿宋"/>
          <w:i w:val="0"/>
          <w:iCs w:val="0"/>
          <w:strike/>
          <w:dstrike w:val="0"/>
          <w:color w:val="auto"/>
          <w:sz w:val="24"/>
          <w:highlight w:val="none"/>
          <w:u w:val="none"/>
          <w:lang w:val="en-US" w:eastAsia="zh-CN"/>
        </w:rPr>
      </w:pPr>
      <w:r>
        <w:rPr>
          <w:rFonts w:hint="eastAsia" w:ascii="仿宋" w:eastAsia="仿宋" w:cs="Arial"/>
          <w:bCs/>
          <w:color w:val="auto"/>
          <w:sz w:val="24"/>
          <w:highlight w:val="none"/>
        </w:rPr>
        <w:t>2.</w:t>
      </w:r>
      <w:r>
        <w:rPr>
          <w:rFonts w:ascii="仿宋" w:eastAsia="仿宋" w:cs="Arial"/>
          <w:bCs/>
          <w:color w:val="auto"/>
          <w:sz w:val="24"/>
          <w:highlight w:val="none"/>
        </w:rPr>
        <w:t>报名方式</w:t>
      </w:r>
      <w:r>
        <w:rPr>
          <w:rFonts w:hint="eastAsia" w:ascii="仿宋" w:eastAsia="仿宋" w:cs="Arial"/>
          <w:bCs/>
          <w:color w:val="auto"/>
          <w:sz w:val="24"/>
          <w:highlight w:val="none"/>
        </w:rPr>
        <w:t>：</w:t>
      </w:r>
      <w:r>
        <w:rPr>
          <w:rFonts w:ascii="仿宋" w:eastAsia="仿宋" w:cs="Arial"/>
          <w:bCs/>
          <w:color w:val="auto"/>
          <w:sz w:val="24"/>
          <w:highlight w:val="none"/>
        </w:rPr>
        <w:t>越城区公共资源电子交易</w:t>
      </w:r>
      <w:r>
        <w:rPr>
          <w:rFonts w:hint="eastAsia" w:ascii="仿宋" w:eastAsia="仿宋" w:cs="Arial"/>
          <w:bCs/>
          <w:color w:val="auto"/>
          <w:sz w:val="24"/>
          <w:highlight w:val="none"/>
        </w:rPr>
        <w:t>平台（以下简称“</w:t>
      </w:r>
      <w:r>
        <w:rPr>
          <w:rFonts w:ascii="仿宋" w:eastAsia="仿宋" w:cs="Arial"/>
          <w:bCs/>
          <w:color w:val="auto"/>
          <w:sz w:val="24"/>
          <w:highlight w:val="none"/>
        </w:rPr>
        <w:t>区交易</w:t>
      </w:r>
      <w:r>
        <w:rPr>
          <w:rFonts w:hint="eastAsia" w:ascii="仿宋" w:eastAsia="仿宋" w:cs="Arial"/>
          <w:bCs/>
          <w:color w:val="auto"/>
          <w:sz w:val="24"/>
          <w:highlight w:val="none"/>
        </w:rPr>
        <w:t>平台”），网址</w:t>
      </w:r>
      <w:r>
        <w:rPr>
          <w:rFonts w:ascii="仿宋" w:eastAsia="仿宋" w:cs="Arial"/>
          <w:bCs/>
          <w:color w:val="auto"/>
          <w:sz w:val="24"/>
          <w:highlight w:val="none"/>
          <w:u w:val="single"/>
        </w:rPr>
        <w:t>http://ztb.sxyc.gov.cn/TPBidder/memberLogin</w:t>
      </w:r>
      <w:r>
        <w:rPr>
          <w:rFonts w:hint="eastAsia" w:ascii="仿宋" w:eastAsia="仿宋" w:cs="Arial"/>
          <w:bCs/>
          <w:color w:val="auto"/>
          <w:sz w:val="24"/>
          <w:highlight w:val="none"/>
        </w:rPr>
        <w:t>。</w:t>
      </w:r>
      <w:r>
        <w:rPr>
          <w:rFonts w:ascii="仿宋" w:eastAsia="仿宋" w:cs="Arial"/>
          <w:bCs/>
          <w:color w:val="auto"/>
          <w:sz w:val="24"/>
          <w:highlight w:val="none"/>
        </w:rPr>
        <w:t>报名后不参加投标的供应商，须向采购代理机构提供书面说明。</w:t>
      </w:r>
    </w:p>
    <w:p>
      <w:pPr>
        <w:spacing w:line="360" w:lineRule="exact"/>
        <w:ind w:firstLine="540" w:firstLineChars="225"/>
        <w:rPr>
          <w:rFonts w:hint="eastAsia" w:ascii="仿宋" w:eastAsia="仿宋"/>
          <w:color w:val="auto"/>
          <w:sz w:val="24"/>
          <w:highlight w:val="none"/>
        </w:rPr>
      </w:pPr>
      <w:r>
        <w:rPr>
          <w:rFonts w:hint="eastAsia" w:ascii="仿宋" w:eastAsia="仿宋"/>
          <w:color w:val="auto"/>
          <w:sz w:val="24"/>
          <w:highlight w:val="none"/>
          <w:lang w:val="en-US" w:eastAsia="zh-CN"/>
        </w:rPr>
        <w:t>3</w:t>
      </w:r>
      <w:r>
        <w:rPr>
          <w:rFonts w:ascii="仿宋" w:eastAsia="仿宋"/>
          <w:color w:val="auto"/>
          <w:sz w:val="24"/>
          <w:highlight w:val="none"/>
        </w:rPr>
        <w:t>、采购文件售价：</w:t>
      </w:r>
      <w:r>
        <w:rPr>
          <w:rFonts w:ascii="仿宋" w:eastAsia="仿宋"/>
          <w:color w:val="auto"/>
          <w:sz w:val="24"/>
          <w:highlight w:val="none"/>
          <w:u w:val="single"/>
        </w:rPr>
        <w:t>免费</w:t>
      </w:r>
      <w:r>
        <w:rPr>
          <w:rFonts w:ascii="仿宋" w:eastAsia="仿宋"/>
          <w:color w:val="auto"/>
          <w:sz w:val="24"/>
          <w:highlight w:val="none"/>
        </w:rPr>
        <w:t>。</w:t>
      </w:r>
    </w:p>
    <w:p>
      <w:pPr>
        <w:spacing w:line="360" w:lineRule="exact"/>
        <w:ind w:firstLine="542" w:firstLineChars="225"/>
        <w:rPr>
          <w:rFonts w:hint="eastAsia" w:ascii="仿宋" w:eastAsia="仿宋"/>
          <w:color w:val="auto"/>
          <w:sz w:val="24"/>
          <w:highlight w:val="none"/>
        </w:rPr>
      </w:pPr>
      <w:r>
        <w:rPr>
          <w:rFonts w:hint="eastAsia" w:ascii="仿宋" w:eastAsia="仿宋" w:cs="Arial"/>
          <w:b/>
          <w:bCs/>
          <w:color w:val="auto"/>
          <w:sz w:val="24"/>
          <w:highlight w:val="none"/>
        </w:rPr>
        <w:t>八、投标截止时间及地点</w:t>
      </w:r>
      <w:r>
        <w:rPr>
          <w:rFonts w:hint="eastAsia" w:ascii="仿宋" w:eastAsia="仿宋" w:cs="Arial"/>
          <w:color w:val="auto"/>
          <w:sz w:val="24"/>
          <w:highlight w:val="none"/>
        </w:rPr>
        <w:t>：</w:t>
      </w:r>
      <w:r>
        <w:rPr>
          <w:rFonts w:hint="eastAsia" w:ascii="仿宋" w:eastAsia="仿宋"/>
          <w:color w:val="auto"/>
          <w:sz w:val="24"/>
          <w:highlight w:val="none"/>
        </w:rPr>
        <w:t>供应商应于</w:t>
      </w:r>
      <w:r>
        <w:rPr>
          <w:rFonts w:hint="eastAsia" w:ascii="仿宋" w:eastAsia="仿宋"/>
          <w:color w:val="auto"/>
          <w:sz w:val="24"/>
          <w:highlight w:val="none"/>
          <w:u w:val="single"/>
          <w:lang w:val="en-US" w:eastAsia="zh-CN"/>
        </w:rPr>
        <w:t>2024</w:t>
      </w:r>
      <w:r>
        <w:rPr>
          <w:rFonts w:hint="eastAsia" w:ascii="仿宋" w:eastAsia="仿宋"/>
          <w:color w:val="auto"/>
          <w:sz w:val="24"/>
          <w:highlight w:val="none"/>
        </w:rPr>
        <w:t>年</w:t>
      </w:r>
      <w:r>
        <w:rPr>
          <w:rFonts w:ascii="仿宋" w:eastAsia="仿宋"/>
          <w:color w:val="auto"/>
          <w:sz w:val="24"/>
          <w:highlight w:val="none"/>
        </w:rPr>
        <w:t xml:space="preserve"> </w:t>
      </w:r>
      <w:r>
        <w:rPr>
          <w:rFonts w:hint="eastAsia" w:ascii="仿宋" w:eastAsia="仿宋"/>
          <w:color w:val="auto"/>
          <w:sz w:val="24"/>
          <w:highlight w:val="none"/>
          <w:u w:val="single"/>
          <w:lang w:val="en-US" w:eastAsia="zh-CN"/>
        </w:rPr>
        <w:t xml:space="preserve">  </w:t>
      </w:r>
      <w:r>
        <w:rPr>
          <w:rFonts w:hint="eastAsia" w:ascii="仿宋" w:eastAsia="仿宋"/>
          <w:color w:val="auto"/>
          <w:sz w:val="24"/>
          <w:highlight w:val="none"/>
        </w:rPr>
        <w:t>月</w:t>
      </w:r>
      <w:r>
        <w:rPr>
          <w:rFonts w:hint="eastAsia" w:ascii="仿宋" w:eastAsia="仿宋"/>
          <w:color w:val="auto"/>
          <w:sz w:val="24"/>
          <w:highlight w:val="none"/>
          <w:u w:val="single" w:color="auto"/>
          <w:lang w:val="en-US" w:eastAsia="zh-CN"/>
        </w:rPr>
        <w:t xml:space="preserve">  </w:t>
      </w:r>
      <w:r>
        <w:rPr>
          <w:rFonts w:ascii="仿宋" w:eastAsia="仿宋"/>
          <w:color w:val="auto"/>
          <w:sz w:val="24"/>
          <w:highlight w:val="none"/>
          <w:u w:val="single" w:color="auto"/>
        </w:rPr>
        <w:t xml:space="preserve"> </w:t>
      </w:r>
      <w:r>
        <w:rPr>
          <w:rFonts w:hint="eastAsia" w:ascii="仿宋" w:eastAsia="仿宋"/>
          <w:color w:val="auto"/>
          <w:sz w:val="24"/>
          <w:highlight w:val="none"/>
        </w:rPr>
        <w:t>日</w:t>
      </w:r>
      <w:r>
        <w:rPr>
          <w:rFonts w:hint="eastAsia" w:ascii="仿宋" w:eastAsia="仿宋"/>
          <w:color w:val="auto"/>
          <w:sz w:val="24"/>
          <w:highlight w:val="none"/>
          <w:u w:val="single" w:color="auto"/>
          <w:lang w:val="en-US" w:eastAsia="zh-CN"/>
        </w:rPr>
        <w:t>9</w:t>
      </w:r>
      <w:r>
        <w:rPr>
          <w:rFonts w:ascii="仿宋" w:eastAsia="仿宋"/>
          <w:color w:val="auto"/>
          <w:sz w:val="24"/>
          <w:highlight w:val="none"/>
          <w:u w:val="single" w:color="auto"/>
        </w:rPr>
        <w:t>：</w:t>
      </w:r>
      <w:r>
        <w:rPr>
          <w:rFonts w:hint="eastAsia" w:ascii="仿宋" w:eastAsia="仿宋"/>
          <w:color w:val="auto"/>
          <w:sz w:val="24"/>
          <w:highlight w:val="none"/>
          <w:u w:val="single" w:color="auto"/>
          <w:lang w:val="en-US" w:eastAsia="zh-CN"/>
        </w:rPr>
        <w:t>30</w:t>
      </w:r>
      <w:r>
        <w:rPr>
          <w:rFonts w:hint="eastAsia" w:ascii="仿宋" w:eastAsia="仿宋"/>
          <w:color w:val="auto"/>
          <w:sz w:val="24"/>
          <w:highlight w:val="none"/>
        </w:rPr>
        <w:t>时整以前将投标文件密封送交到浙江省</w:t>
      </w:r>
      <w:r>
        <w:rPr>
          <w:rFonts w:hint="eastAsia" w:ascii="仿宋" w:eastAsia="仿宋" w:cs="Arial"/>
          <w:color w:val="auto"/>
          <w:sz w:val="24"/>
          <w:highlight w:val="none"/>
        </w:rPr>
        <w:t>绍兴市延安东路660号新地大厦</w:t>
      </w:r>
      <w:r>
        <w:rPr>
          <w:rFonts w:hint="eastAsia" w:ascii="仿宋" w:eastAsia="仿宋" w:cs="Arial"/>
          <w:color w:val="auto"/>
          <w:sz w:val="24"/>
          <w:highlight w:val="none"/>
          <w:lang w:val="en-US" w:eastAsia="zh-CN"/>
        </w:rPr>
        <w:t>二</w:t>
      </w:r>
      <w:r>
        <w:rPr>
          <w:rFonts w:hint="eastAsia" w:ascii="仿宋" w:eastAsia="仿宋" w:cs="Arial"/>
          <w:color w:val="auto"/>
          <w:sz w:val="24"/>
          <w:highlight w:val="none"/>
        </w:rPr>
        <w:t>楼绍兴市公共资源交易中心越城区分中心</w:t>
      </w:r>
      <w:r>
        <w:rPr>
          <w:rFonts w:hint="eastAsia" w:ascii="仿宋" w:eastAsia="仿宋" w:cs="Arial"/>
          <w:color w:val="auto"/>
          <w:sz w:val="24"/>
          <w:highlight w:val="none"/>
          <w:u w:val="single" w:color="auto"/>
          <w:lang w:val="en-US" w:eastAsia="zh-CN"/>
        </w:rPr>
        <w:t xml:space="preserve">    </w:t>
      </w:r>
      <w:r>
        <w:rPr>
          <w:rFonts w:hint="eastAsia" w:ascii="仿宋" w:eastAsia="仿宋" w:cs="Arial"/>
          <w:color w:val="auto"/>
          <w:sz w:val="24"/>
          <w:highlight w:val="none"/>
        </w:rPr>
        <w:t>室</w:t>
      </w:r>
      <w:r>
        <w:rPr>
          <w:rFonts w:hint="eastAsia" w:ascii="仿宋" w:eastAsia="仿宋"/>
          <w:color w:val="auto"/>
          <w:sz w:val="24"/>
          <w:highlight w:val="none"/>
        </w:rPr>
        <w:t>，逾期送达不予接收</w:t>
      </w:r>
      <w:r>
        <w:rPr>
          <w:rFonts w:ascii="仿宋" w:eastAsia="仿宋"/>
          <w:color w:val="auto"/>
          <w:sz w:val="24"/>
          <w:highlight w:val="none"/>
        </w:rPr>
        <w:t>，</w:t>
      </w:r>
      <w:r>
        <w:rPr>
          <w:rFonts w:ascii="仿宋" w:eastAsia="仿宋"/>
          <w:b/>
          <w:bCs/>
          <w:color w:val="auto"/>
          <w:sz w:val="24"/>
          <w:highlight w:val="none"/>
        </w:rPr>
        <w:t>时间以开标室时间为准。</w:t>
      </w:r>
    </w:p>
    <w:p>
      <w:pPr>
        <w:spacing w:line="360" w:lineRule="auto"/>
        <w:ind w:firstLine="482" w:firstLineChars="200"/>
        <w:rPr>
          <w:rFonts w:ascii="仿宋" w:eastAsia="仿宋" w:cs="Arial"/>
          <w:bCs/>
          <w:color w:val="auto"/>
          <w:sz w:val="24"/>
          <w:highlight w:val="none"/>
        </w:rPr>
      </w:pPr>
      <w:r>
        <w:rPr>
          <w:rFonts w:hint="eastAsia" w:ascii="仿宋" w:eastAsia="仿宋" w:cs="Arial"/>
          <w:b/>
          <w:bCs/>
          <w:color w:val="auto"/>
          <w:sz w:val="24"/>
          <w:highlight w:val="none"/>
        </w:rPr>
        <w:t>九、开标时间及地点</w:t>
      </w:r>
      <w:r>
        <w:rPr>
          <w:rFonts w:hint="eastAsia" w:ascii="仿宋" w:eastAsia="仿宋" w:cs="Arial"/>
          <w:color w:val="auto"/>
          <w:sz w:val="24"/>
          <w:highlight w:val="none"/>
        </w:rPr>
        <w:t>：</w:t>
      </w:r>
      <w:r>
        <w:rPr>
          <w:rFonts w:ascii="仿宋" w:eastAsia="仿宋"/>
          <w:color w:val="auto"/>
          <w:sz w:val="24"/>
          <w:highlight w:val="none"/>
        </w:rPr>
        <w:t>同投标截止时间及地点。</w:t>
      </w:r>
    </w:p>
    <w:p>
      <w:pPr>
        <w:spacing w:line="360" w:lineRule="auto"/>
        <w:ind w:left="0" w:firstLine="349" w:firstLineChars="150"/>
        <w:rPr>
          <w:rFonts w:ascii="仿宋" w:eastAsia="仿宋" w:cs="Arial"/>
          <w:color w:val="auto"/>
          <w:sz w:val="24"/>
          <w:highlight w:val="none"/>
        </w:rPr>
      </w:pPr>
      <w:r>
        <w:rPr>
          <w:rFonts w:ascii="仿宋" w:eastAsia="仿宋" w:cs="Arial"/>
          <w:b/>
          <w:bCs/>
          <w:color w:val="auto"/>
          <w:spacing w:val="-4"/>
          <w:sz w:val="24"/>
          <w:highlight w:val="none"/>
        </w:rPr>
        <w:t>十</w:t>
      </w:r>
      <w:r>
        <w:rPr>
          <w:rFonts w:hint="eastAsia" w:ascii="仿宋" w:eastAsia="仿宋" w:cs="Arial"/>
          <w:b/>
          <w:bCs/>
          <w:color w:val="auto"/>
          <w:spacing w:val="-4"/>
          <w:sz w:val="24"/>
          <w:highlight w:val="none"/>
        </w:rPr>
        <w:t>、</w:t>
      </w:r>
      <w:r>
        <w:rPr>
          <w:rFonts w:ascii="仿宋" w:eastAsia="仿宋" w:cs="Arial"/>
          <w:b/>
          <w:color w:val="auto"/>
          <w:spacing w:val="-4"/>
          <w:sz w:val="24"/>
          <w:highlight w:val="none"/>
        </w:rPr>
        <w:t>采购</w:t>
      </w:r>
      <w:r>
        <w:rPr>
          <w:rFonts w:hint="eastAsia" w:ascii="仿宋" w:eastAsia="仿宋" w:cs="Arial"/>
          <w:b/>
          <w:color w:val="auto"/>
          <w:spacing w:val="-4"/>
          <w:sz w:val="24"/>
          <w:highlight w:val="none"/>
        </w:rPr>
        <w:t>公告</w:t>
      </w:r>
      <w:r>
        <w:rPr>
          <w:rFonts w:ascii="仿宋" w:eastAsia="仿宋" w:cs="Arial"/>
          <w:b/>
          <w:color w:val="auto"/>
          <w:spacing w:val="-4"/>
          <w:sz w:val="24"/>
          <w:highlight w:val="none"/>
        </w:rPr>
        <w:t>及更正公告</w:t>
      </w:r>
      <w:r>
        <w:rPr>
          <w:rFonts w:hint="eastAsia" w:ascii="仿宋" w:eastAsia="仿宋" w:cs="Arial"/>
          <w:b/>
          <w:color w:val="auto"/>
          <w:spacing w:val="-4"/>
          <w:sz w:val="24"/>
          <w:highlight w:val="none"/>
        </w:rPr>
        <w:t>发布</w:t>
      </w:r>
      <w:r>
        <w:rPr>
          <w:rFonts w:ascii="仿宋" w:eastAsia="仿宋" w:cs="Arial"/>
          <w:b/>
          <w:color w:val="auto"/>
          <w:spacing w:val="-4"/>
          <w:sz w:val="24"/>
          <w:highlight w:val="none"/>
        </w:rPr>
        <w:t>网址</w:t>
      </w:r>
      <w:r>
        <w:rPr>
          <w:rFonts w:hint="eastAsia" w:ascii="仿宋" w:eastAsia="仿宋" w:cs="Arial"/>
          <w:b/>
          <w:color w:val="auto"/>
          <w:spacing w:val="-4"/>
          <w:sz w:val="24"/>
          <w:highlight w:val="none"/>
        </w:rPr>
        <w:t>：</w:t>
      </w:r>
      <w:bookmarkStart w:id="1" w:name="_Hlt10553106"/>
      <w:bookmarkEnd w:id="1"/>
      <w:bookmarkStart w:id="2" w:name="_Hlt10553107"/>
      <w:bookmarkEnd w:id="2"/>
      <w:r>
        <w:rPr>
          <w:rFonts w:ascii="仿宋" w:eastAsia="仿宋" w:cs="Arial"/>
          <w:color w:val="auto"/>
          <w:spacing w:val="-4"/>
          <w:sz w:val="24"/>
          <w:highlight w:val="none"/>
        </w:rPr>
        <w:t>浙江政府采购网：http://zfcg.czt.zj.gov.cn 和绍兴市越城区人民政府网站公共资源交易版块：http://www.sxyc.gov.cn，</w:t>
      </w:r>
      <w:r>
        <w:rPr>
          <w:rFonts w:ascii="仿宋" w:eastAsia="仿宋" w:cs="Arial"/>
          <w:b/>
          <w:bCs/>
          <w:color w:val="auto"/>
          <w:spacing w:val="-4"/>
          <w:sz w:val="24"/>
          <w:highlight w:val="none"/>
        </w:rPr>
        <w:t>采购文件详见后者</w:t>
      </w:r>
      <w:r>
        <w:rPr>
          <w:rFonts w:ascii="仿宋" w:eastAsia="仿宋" w:cs="Arial"/>
          <w:color w:val="auto"/>
          <w:spacing w:val="-4"/>
          <w:sz w:val="24"/>
          <w:highlight w:val="none"/>
        </w:rPr>
        <w:t>。</w:t>
      </w:r>
      <w:r>
        <w:rPr>
          <w:rFonts w:hint="eastAsia" w:ascii="仿宋" w:eastAsia="仿宋"/>
          <w:color w:val="auto"/>
          <w:spacing w:val="-4"/>
          <w:sz w:val="24"/>
          <w:highlight w:val="none"/>
        </w:rPr>
        <w:t>更正公告</w:t>
      </w:r>
      <w:r>
        <w:rPr>
          <w:rFonts w:hint="eastAsia" w:ascii="仿宋" w:eastAsia="仿宋" w:cs="Arial"/>
          <w:bCs/>
          <w:color w:val="auto"/>
          <w:sz w:val="24"/>
          <w:highlight w:val="none"/>
        </w:rPr>
        <w:t>请自行登录</w:t>
      </w:r>
      <w:r>
        <w:rPr>
          <w:rFonts w:ascii="仿宋" w:eastAsia="仿宋" w:cs="Arial"/>
          <w:bCs/>
          <w:color w:val="auto"/>
          <w:sz w:val="24"/>
          <w:highlight w:val="none"/>
        </w:rPr>
        <w:t>区交易</w:t>
      </w:r>
      <w:r>
        <w:rPr>
          <w:rFonts w:hint="eastAsia" w:ascii="仿宋" w:eastAsia="仿宋" w:cs="Arial"/>
          <w:bCs/>
          <w:color w:val="auto"/>
          <w:sz w:val="24"/>
          <w:highlight w:val="none"/>
        </w:rPr>
        <w:t>平台或在浙江政府采购网更正公告页面或越城区人民政府门户网站采购公告页面中下载。</w:t>
      </w:r>
    </w:p>
    <w:p>
      <w:pPr>
        <w:spacing w:line="360" w:lineRule="exact"/>
        <w:ind w:firstLine="466" w:firstLineChars="200"/>
        <w:rPr>
          <w:rFonts w:hint="eastAsia" w:ascii="仿宋" w:eastAsia="仿宋"/>
          <w:color w:val="auto"/>
          <w:spacing w:val="-4"/>
          <w:sz w:val="24"/>
          <w:highlight w:val="none"/>
        </w:rPr>
      </w:pPr>
      <w:r>
        <w:rPr>
          <w:rFonts w:hint="eastAsia" w:ascii="仿宋" w:eastAsia="仿宋"/>
          <w:b/>
          <w:color w:val="auto"/>
          <w:spacing w:val="-4"/>
          <w:sz w:val="24"/>
          <w:highlight w:val="none"/>
        </w:rPr>
        <w:t>十</w:t>
      </w:r>
      <w:r>
        <w:rPr>
          <w:rFonts w:ascii="仿宋" w:eastAsia="仿宋"/>
          <w:b/>
          <w:color w:val="auto"/>
          <w:spacing w:val="-4"/>
          <w:sz w:val="24"/>
          <w:highlight w:val="none"/>
        </w:rPr>
        <w:t>一</w:t>
      </w:r>
      <w:r>
        <w:rPr>
          <w:rFonts w:hint="eastAsia" w:ascii="仿宋" w:eastAsia="仿宋"/>
          <w:b/>
          <w:color w:val="auto"/>
          <w:spacing w:val="-4"/>
          <w:sz w:val="24"/>
          <w:highlight w:val="none"/>
        </w:rPr>
        <w:t>、</w:t>
      </w:r>
      <w:r>
        <w:rPr>
          <w:rFonts w:ascii="仿宋" w:eastAsia="仿宋"/>
          <w:b/>
          <w:color w:val="auto"/>
          <w:spacing w:val="-4"/>
          <w:sz w:val="24"/>
          <w:highlight w:val="none"/>
        </w:rPr>
        <w:t>采购</w:t>
      </w:r>
      <w:r>
        <w:rPr>
          <w:rFonts w:hint="eastAsia" w:ascii="仿宋" w:eastAsia="仿宋"/>
          <w:b/>
          <w:color w:val="auto"/>
          <w:spacing w:val="-4"/>
          <w:sz w:val="24"/>
          <w:highlight w:val="none"/>
        </w:rPr>
        <w:t>公告期限：</w:t>
      </w:r>
      <w:r>
        <w:rPr>
          <w:rFonts w:hint="eastAsia" w:ascii="仿宋" w:eastAsia="仿宋"/>
          <w:color w:val="auto"/>
          <w:spacing w:val="-4"/>
          <w:sz w:val="24"/>
          <w:highlight w:val="none"/>
        </w:rPr>
        <w:t>本公告发布之日起五个工作日。</w:t>
      </w:r>
    </w:p>
    <w:p>
      <w:pPr>
        <w:spacing w:line="360" w:lineRule="exact"/>
        <w:ind w:firstLine="482" w:firstLineChars="200"/>
        <w:rPr>
          <w:rFonts w:hint="eastAsia" w:ascii="仿宋" w:eastAsia="仿宋"/>
          <w:b/>
          <w:color w:val="auto"/>
          <w:sz w:val="24"/>
          <w:highlight w:val="none"/>
        </w:rPr>
      </w:pPr>
      <w:r>
        <w:rPr>
          <w:rFonts w:hint="eastAsia" w:ascii="仿宋" w:eastAsia="仿宋"/>
          <w:b/>
          <w:color w:val="auto"/>
          <w:sz w:val="24"/>
          <w:highlight w:val="none"/>
        </w:rPr>
        <w:t>十</w:t>
      </w:r>
      <w:r>
        <w:rPr>
          <w:rFonts w:ascii="仿宋" w:eastAsia="仿宋"/>
          <w:b/>
          <w:color w:val="auto"/>
          <w:sz w:val="24"/>
          <w:highlight w:val="none"/>
        </w:rPr>
        <w:t>二</w:t>
      </w:r>
      <w:r>
        <w:rPr>
          <w:rFonts w:hint="eastAsia" w:ascii="仿宋" w:eastAsia="仿宋"/>
          <w:b/>
          <w:color w:val="auto"/>
          <w:sz w:val="24"/>
          <w:highlight w:val="none"/>
        </w:rPr>
        <w:t>、质疑和投诉：</w:t>
      </w:r>
    </w:p>
    <w:p>
      <w:pPr>
        <w:spacing w:line="360" w:lineRule="auto"/>
        <w:ind w:left="120" w:leftChars="57" w:firstLine="360" w:firstLineChars="150"/>
        <w:rPr>
          <w:rFonts w:hint="eastAsia" w:ascii="仿宋" w:eastAsia="仿宋"/>
          <w:color w:val="auto"/>
          <w:sz w:val="24"/>
          <w:highlight w:val="none"/>
        </w:rPr>
      </w:pPr>
      <w:r>
        <w:rPr>
          <w:rFonts w:hint="eastAsia" w:ascii="仿宋" w:eastAsia="仿宋"/>
          <w:color w:val="auto"/>
          <w:sz w:val="24"/>
          <w:highlight w:val="none"/>
        </w:rPr>
        <w:t>供应商认为采购公告中的资格条件、</w:t>
      </w:r>
      <w:r>
        <w:rPr>
          <w:rFonts w:ascii="仿宋" w:eastAsia="仿宋"/>
          <w:color w:val="auto"/>
          <w:sz w:val="24"/>
          <w:highlight w:val="none"/>
        </w:rPr>
        <w:t>报名</w:t>
      </w:r>
      <w:r>
        <w:rPr>
          <w:rFonts w:hint="eastAsia" w:ascii="仿宋" w:eastAsia="仿宋"/>
          <w:color w:val="auto"/>
          <w:sz w:val="24"/>
          <w:highlight w:val="none"/>
        </w:rPr>
        <w:t>时间设定等不符合有关规定，致使供应商不能参与本项目采购活动的，可以在知道或者应知其权益受到损害之日起七个工作日内，以书面形式或加盖供应商电子签章的数据电文形式（</w:t>
      </w:r>
      <w:r>
        <w:rPr>
          <w:rFonts w:hint="eastAsia" w:ascii="仿宋" w:eastAsia="仿宋"/>
          <w:b/>
          <w:bCs/>
          <w:color w:val="auto"/>
          <w:sz w:val="24"/>
          <w:highlight w:val="none"/>
        </w:rPr>
        <w:t>不接受扫描件、复印件或图片</w:t>
      </w:r>
      <w:r>
        <w:rPr>
          <w:rFonts w:hint="eastAsia" w:ascii="仿宋" w:eastAsia="仿宋"/>
          <w:color w:val="auto"/>
          <w:sz w:val="24"/>
          <w:highlight w:val="none"/>
        </w:rPr>
        <w:t>）向采购机构提出质疑（</w:t>
      </w:r>
      <w:r>
        <w:rPr>
          <w:rFonts w:hint="eastAsia" w:ascii="仿宋" w:eastAsia="仿宋"/>
          <w:b/>
          <w:bCs/>
          <w:color w:val="auto"/>
          <w:sz w:val="24"/>
          <w:highlight w:val="none"/>
        </w:rPr>
        <w:t>对采购文件其他内容的质疑及投诉需在</w:t>
      </w:r>
      <w:r>
        <w:rPr>
          <w:rFonts w:ascii="仿宋" w:eastAsia="仿宋"/>
          <w:b/>
          <w:bCs/>
          <w:color w:val="auto"/>
          <w:sz w:val="24"/>
          <w:highlight w:val="none"/>
        </w:rPr>
        <w:t>报名</w:t>
      </w:r>
      <w:r>
        <w:rPr>
          <w:rFonts w:hint="eastAsia" w:ascii="仿宋" w:eastAsia="仿宋"/>
          <w:b/>
          <w:bCs/>
          <w:color w:val="auto"/>
          <w:sz w:val="24"/>
          <w:highlight w:val="none"/>
        </w:rPr>
        <w:t>之后提出，否则不予受理。</w:t>
      </w:r>
      <w:r>
        <w:rPr>
          <w:rFonts w:hint="eastAsia" w:ascii="仿宋" w:eastAsia="仿宋"/>
          <w:color w:val="auto"/>
          <w:sz w:val="24"/>
          <w:highlight w:val="none"/>
        </w:rPr>
        <w:t>）质疑受理地点：</w:t>
      </w:r>
      <w:r>
        <w:rPr>
          <w:rFonts w:hint="eastAsia" w:ascii="仿宋" w:eastAsia="仿宋"/>
          <w:color w:val="auto"/>
          <w:sz w:val="24"/>
          <w:highlight w:val="none"/>
          <w:u w:val="single"/>
        </w:rPr>
        <w:t>浙江省绍兴市越城区中富大厦9楼</w:t>
      </w:r>
      <w:r>
        <w:rPr>
          <w:rFonts w:hint="eastAsia" w:ascii="仿宋" w:eastAsia="仿宋"/>
          <w:color w:val="auto"/>
          <w:sz w:val="24"/>
          <w:highlight w:val="none"/>
        </w:rPr>
        <w:t>；联系人：</w:t>
      </w:r>
      <w:r>
        <w:rPr>
          <w:rFonts w:hint="eastAsia" w:ascii="仿宋" w:eastAsia="仿宋"/>
          <w:color w:val="auto"/>
          <w:sz w:val="24"/>
          <w:highlight w:val="none"/>
          <w:u w:val="single"/>
          <w:lang w:val="en-US" w:eastAsia="zh-CN"/>
        </w:rPr>
        <w:t>俞洁</w:t>
      </w:r>
      <w:r>
        <w:rPr>
          <w:rFonts w:hint="eastAsia" w:ascii="仿宋" w:eastAsia="仿宋"/>
          <w:color w:val="auto"/>
          <w:sz w:val="24"/>
          <w:highlight w:val="none"/>
        </w:rPr>
        <w:t>；联系电话：</w:t>
      </w:r>
      <w:r>
        <w:rPr>
          <w:rFonts w:hint="eastAsia" w:ascii="仿宋" w:eastAsia="仿宋"/>
          <w:color w:val="auto"/>
          <w:sz w:val="24"/>
          <w:highlight w:val="none"/>
          <w:u w:val="single"/>
          <w:lang w:val="en-US" w:eastAsia="zh-CN"/>
        </w:rPr>
        <w:t>18208975980</w:t>
      </w:r>
      <w:r>
        <w:rPr>
          <w:rFonts w:ascii="仿宋" w:eastAsia="仿宋"/>
          <w:color w:val="auto"/>
          <w:sz w:val="24"/>
          <w:highlight w:val="none"/>
          <w:u w:val="single"/>
        </w:rPr>
        <w:t xml:space="preserve"> </w:t>
      </w:r>
      <w:r>
        <w:rPr>
          <w:rFonts w:hint="eastAsia" w:ascii="仿宋" w:eastAsia="仿宋"/>
          <w:color w:val="auto"/>
          <w:sz w:val="24"/>
          <w:highlight w:val="none"/>
        </w:rPr>
        <w:t>；数据电文接收邮箱：</w:t>
      </w:r>
      <w:r>
        <w:rPr>
          <w:rFonts w:ascii="仿宋" w:eastAsia="仿宋"/>
          <w:color w:val="auto"/>
          <w:sz w:val="24"/>
          <w:highlight w:val="none"/>
          <w:u w:val="single"/>
        </w:rPr>
        <w:t xml:space="preserve"> </w:t>
      </w:r>
      <w:r>
        <w:rPr>
          <w:rFonts w:hint="eastAsia" w:ascii="仿宋" w:eastAsia="仿宋"/>
          <w:color w:val="auto"/>
          <w:sz w:val="24"/>
          <w:highlight w:val="none"/>
          <w:u w:val="single"/>
          <w:lang w:val="en-US" w:eastAsia="zh-CN"/>
        </w:rPr>
        <w:t>649701617@qq.com</w:t>
      </w:r>
      <w:r>
        <w:rPr>
          <w:rFonts w:ascii="仿宋" w:eastAsia="仿宋"/>
          <w:color w:val="auto"/>
          <w:sz w:val="24"/>
          <w:highlight w:val="none"/>
          <w:u w:val="single"/>
        </w:rPr>
        <w:t xml:space="preserve"> </w:t>
      </w:r>
      <w:r>
        <w:rPr>
          <w:rFonts w:hint="eastAsia" w:ascii="仿宋" w:eastAsia="仿宋"/>
          <w:color w:val="auto"/>
          <w:sz w:val="24"/>
          <w:highlight w:val="none"/>
        </w:rPr>
        <w:t>。</w:t>
      </w:r>
      <w:r>
        <w:rPr>
          <w:rFonts w:hint="eastAsia" w:ascii="仿宋" w:eastAsia="仿宋"/>
          <w:b/>
          <w:bCs/>
          <w:color w:val="auto"/>
          <w:sz w:val="24"/>
          <w:highlight w:val="none"/>
        </w:rPr>
        <w:t>质疑书格式详见采购文件第七章。</w:t>
      </w:r>
    </w:p>
    <w:p>
      <w:pPr>
        <w:spacing w:line="360" w:lineRule="auto"/>
        <w:ind w:left="120" w:leftChars="57" w:firstLine="480" w:firstLineChars="200"/>
        <w:rPr>
          <w:rFonts w:ascii="仿宋" w:eastAsia="仿宋" w:cs="Arial"/>
          <w:bCs/>
          <w:color w:val="auto"/>
          <w:sz w:val="24"/>
          <w:highlight w:val="none"/>
        </w:rPr>
      </w:pPr>
      <w:r>
        <w:rPr>
          <w:rFonts w:hint="eastAsia" w:ascii="仿宋" w:eastAsia="仿宋"/>
          <w:color w:val="auto"/>
          <w:sz w:val="24"/>
          <w:highlight w:val="none"/>
        </w:rPr>
        <w:t>供应商对质疑答复不满意或者采购机构未在规定时间内作出答复的，可以在答复期满后十五个工作日内向</w:t>
      </w:r>
      <w:r>
        <w:rPr>
          <w:rFonts w:ascii="仿宋" w:eastAsia="仿宋"/>
          <w:color w:val="auto"/>
          <w:sz w:val="24"/>
          <w:highlight w:val="none"/>
        </w:rPr>
        <w:t>本项目监督</w:t>
      </w:r>
      <w:r>
        <w:rPr>
          <w:rFonts w:hint="eastAsia" w:ascii="仿宋" w:eastAsia="仿宋"/>
          <w:color w:val="auto"/>
          <w:sz w:val="24"/>
          <w:highlight w:val="none"/>
        </w:rPr>
        <w:t>部门投诉。投诉受理地点：</w:t>
      </w:r>
      <w:r>
        <w:rPr>
          <w:rFonts w:ascii="仿宋" w:eastAsia="仿宋"/>
          <w:color w:val="auto"/>
          <w:sz w:val="24"/>
          <w:highlight w:val="none"/>
          <w:u w:val="single"/>
        </w:rPr>
        <w:t xml:space="preserve"> </w:t>
      </w:r>
      <w:r>
        <w:rPr>
          <w:rFonts w:hint="eastAsia" w:ascii="仿宋" w:hAnsi="仿宋" w:eastAsia="仿宋" w:cs="仿宋"/>
          <w:color w:val="auto"/>
          <w:sz w:val="24"/>
          <w:highlight w:val="none"/>
          <w:u w:val="single"/>
        </w:rPr>
        <w:t>绍兴市越城区南滨东路98号</w:t>
      </w:r>
      <w:r>
        <w:rPr>
          <w:rFonts w:ascii="仿宋" w:eastAsia="仿宋"/>
          <w:color w:val="auto"/>
          <w:sz w:val="24"/>
          <w:highlight w:val="none"/>
          <w:u w:val="single"/>
        </w:rPr>
        <w:t xml:space="preserve"> </w:t>
      </w:r>
      <w:r>
        <w:rPr>
          <w:rFonts w:hint="eastAsia" w:ascii="仿宋" w:eastAsia="仿宋"/>
          <w:color w:val="auto"/>
          <w:sz w:val="24"/>
          <w:highlight w:val="none"/>
        </w:rPr>
        <w:t>；联系人：</w:t>
      </w:r>
      <w:r>
        <w:rPr>
          <w:rFonts w:hint="eastAsia" w:ascii="仿宋" w:hAnsi="仿宋" w:eastAsia="仿宋" w:cs="仿宋"/>
          <w:color w:val="auto"/>
          <w:sz w:val="24"/>
          <w:highlight w:val="none"/>
          <w:u w:val="single"/>
        </w:rPr>
        <w:t>沈焱东</w:t>
      </w:r>
      <w:r>
        <w:rPr>
          <w:rFonts w:hint="eastAsia" w:ascii="仿宋" w:eastAsia="仿宋"/>
          <w:color w:val="auto"/>
          <w:sz w:val="24"/>
          <w:highlight w:val="none"/>
          <w:u w:val="single"/>
        </w:rPr>
        <w:t xml:space="preserve"> </w:t>
      </w:r>
      <w:r>
        <w:rPr>
          <w:rFonts w:hint="eastAsia" w:ascii="仿宋" w:eastAsia="仿宋"/>
          <w:color w:val="auto"/>
          <w:sz w:val="24"/>
          <w:highlight w:val="none"/>
        </w:rPr>
        <w:t>；联系电话：</w:t>
      </w:r>
      <w:r>
        <w:rPr>
          <w:rFonts w:hint="eastAsia" w:ascii="仿宋" w:hAnsi="仿宋" w:eastAsia="仿宋" w:cs="仿宋"/>
          <w:color w:val="auto"/>
          <w:sz w:val="24"/>
          <w:highlight w:val="none"/>
          <w:u w:val="single"/>
        </w:rPr>
        <w:t>0575-89181258</w:t>
      </w:r>
      <w:r>
        <w:rPr>
          <w:rFonts w:hint="eastAsia" w:ascii="仿宋" w:eastAsia="仿宋"/>
          <w:color w:val="auto"/>
          <w:sz w:val="24"/>
          <w:highlight w:val="none"/>
        </w:rPr>
        <w:t>。</w:t>
      </w:r>
    </w:p>
    <w:p>
      <w:pPr>
        <w:spacing w:line="360" w:lineRule="exact"/>
        <w:ind w:firstLine="472" w:firstLineChars="196"/>
        <w:rPr>
          <w:rFonts w:hint="eastAsia" w:ascii="仿宋" w:eastAsia="仿宋"/>
          <w:b/>
          <w:color w:val="auto"/>
          <w:sz w:val="24"/>
          <w:highlight w:val="none"/>
        </w:rPr>
      </w:pPr>
      <w:r>
        <w:rPr>
          <w:rFonts w:hint="eastAsia" w:ascii="仿宋" w:eastAsia="仿宋"/>
          <w:b/>
          <w:color w:val="auto"/>
          <w:sz w:val="24"/>
          <w:highlight w:val="none"/>
        </w:rPr>
        <w:t>十</w:t>
      </w:r>
      <w:r>
        <w:rPr>
          <w:rFonts w:ascii="仿宋" w:eastAsia="仿宋"/>
          <w:b/>
          <w:color w:val="auto"/>
          <w:sz w:val="24"/>
          <w:highlight w:val="none"/>
        </w:rPr>
        <w:t>三</w:t>
      </w:r>
      <w:r>
        <w:rPr>
          <w:rFonts w:hint="eastAsia" w:ascii="仿宋" w:eastAsia="仿宋"/>
          <w:b/>
          <w:color w:val="auto"/>
          <w:sz w:val="24"/>
          <w:highlight w:val="none"/>
        </w:rPr>
        <w:t>、联系方式：</w:t>
      </w:r>
    </w:p>
    <w:p>
      <w:pPr>
        <w:spacing w:line="360" w:lineRule="exact"/>
        <w:ind w:firstLine="470" w:firstLineChars="196"/>
        <w:rPr>
          <w:rFonts w:hint="eastAsia" w:ascii="仿宋" w:eastAsia="仿宋"/>
          <w:b/>
          <w:color w:val="auto"/>
          <w:sz w:val="24"/>
          <w:highlight w:val="none"/>
        </w:rPr>
      </w:pPr>
      <w:r>
        <w:rPr>
          <w:rFonts w:hint="eastAsia" w:ascii="仿宋" w:eastAsia="仿宋"/>
          <w:color w:val="auto"/>
          <w:sz w:val="24"/>
          <w:highlight w:val="none"/>
        </w:rPr>
        <w:t>1. 采购人：</w:t>
      </w:r>
      <w:r>
        <w:rPr>
          <w:rFonts w:hint="eastAsia" w:ascii="仿宋" w:eastAsia="仿宋"/>
          <w:color w:val="auto"/>
          <w:sz w:val="24"/>
          <w:highlight w:val="none"/>
          <w:u w:val="single" w:color="auto"/>
        </w:rPr>
        <w:t>浙江滨海新区投资发展集团有限公司</w:t>
      </w:r>
      <w:r>
        <w:rPr>
          <w:rFonts w:hint="eastAsia" w:ascii="仿宋" w:eastAsia="仿宋"/>
          <w:color w:val="auto"/>
          <w:sz w:val="24"/>
          <w:highlight w:val="none"/>
        </w:rPr>
        <w:t>，</w:t>
      </w:r>
      <w:r>
        <w:rPr>
          <w:rFonts w:ascii="仿宋" w:eastAsia="仿宋"/>
          <w:color w:val="auto"/>
          <w:sz w:val="24"/>
          <w:highlight w:val="none"/>
        </w:rPr>
        <w:t>联系人：</w:t>
      </w:r>
      <w:r>
        <w:rPr>
          <w:rFonts w:hint="eastAsia" w:ascii="仿宋" w:eastAsia="仿宋"/>
          <w:color w:val="auto"/>
          <w:sz w:val="24"/>
          <w:highlight w:val="none"/>
          <w:u w:val="single" w:color="auto"/>
          <w:lang w:val="en-US" w:eastAsia="zh-CN"/>
        </w:rPr>
        <w:t>王工</w:t>
      </w:r>
      <w:r>
        <w:rPr>
          <w:rFonts w:hint="eastAsia" w:ascii="仿宋" w:eastAsia="仿宋"/>
          <w:color w:val="auto"/>
          <w:sz w:val="24"/>
          <w:highlight w:val="none"/>
        </w:rPr>
        <w:t>，</w:t>
      </w:r>
      <w:r>
        <w:rPr>
          <w:rFonts w:ascii="仿宋" w:eastAsia="仿宋"/>
          <w:color w:val="auto"/>
          <w:sz w:val="24"/>
          <w:highlight w:val="none"/>
        </w:rPr>
        <w:t>联系电话：</w:t>
      </w:r>
      <w:r>
        <w:rPr>
          <w:rFonts w:hint="eastAsia" w:ascii="仿宋" w:eastAsia="仿宋"/>
          <w:color w:val="auto"/>
          <w:sz w:val="24"/>
          <w:highlight w:val="none"/>
          <w:u w:val="single" w:color="auto"/>
        </w:rPr>
        <w:t>0575-89198048</w:t>
      </w:r>
      <w:r>
        <w:rPr>
          <w:rFonts w:ascii="仿宋" w:eastAsia="仿宋"/>
          <w:color w:val="auto"/>
          <w:sz w:val="24"/>
          <w:highlight w:val="none"/>
          <w:u w:val="single" w:color="auto"/>
        </w:rPr>
        <w:t xml:space="preserve"> </w:t>
      </w:r>
      <w:r>
        <w:rPr>
          <w:rFonts w:hint="eastAsia" w:ascii="仿宋" w:eastAsia="仿宋" w:cs="Arial"/>
          <w:color w:val="auto"/>
          <w:sz w:val="24"/>
          <w:highlight w:val="none"/>
        </w:rPr>
        <w:t>。</w:t>
      </w:r>
    </w:p>
    <w:p>
      <w:pPr>
        <w:spacing w:line="360" w:lineRule="exact"/>
        <w:ind w:firstLine="470" w:firstLineChars="196"/>
        <w:rPr>
          <w:rFonts w:hint="eastAsia" w:ascii="仿宋" w:eastAsia="仿宋"/>
          <w:color w:val="auto"/>
          <w:sz w:val="24"/>
          <w:highlight w:val="none"/>
        </w:rPr>
      </w:pPr>
      <w:r>
        <w:rPr>
          <w:rFonts w:hint="eastAsia" w:ascii="仿宋" w:eastAsia="仿宋"/>
          <w:color w:val="auto"/>
          <w:sz w:val="24"/>
          <w:highlight w:val="none"/>
        </w:rPr>
        <w:t>2.</w:t>
      </w:r>
      <w:r>
        <w:rPr>
          <w:rFonts w:ascii="仿宋" w:eastAsia="仿宋"/>
          <w:color w:val="auto"/>
          <w:sz w:val="24"/>
          <w:highlight w:val="none"/>
        </w:rPr>
        <w:t>采购代理机构</w:t>
      </w:r>
      <w:r>
        <w:rPr>
          <w:rFonts w:hint="eastAsia" w:ascii="仿宋" w:eastAsia="仿宋"/>
          <w:color w:val="auto"/>
          <w:sz w:val="24"/>
          <w:highlight w:val="none"/>
        </w:rPr>
        <w:t>：</w:t>
      </w:r>
      <w:r>
        <w:rPr>
          <w:rFonts w:hint="eastAsia" w:ascii="仿宋" w:eastAsia="仿宋"/>
          <w:color w:val="auto"/>
          <w:sz w:val="24"/>
          <w:highlight w:val="none"/>
          <w:u w:val="single" w:color="auto"/>
        </w:rPr>
        <w:t>上海上咨协实工程顾问有限公司</w:t>
      </w:r>
      <w:r>
        <w:rPr>
          <w:rFonts w:hint="eastAsia" w:ascii="仿宋" w:eastAsia="仿宋"/>
          <w:color w:val="auto"/>
          <w:sz w:val="24"/>
          <w:highlight w:val="none"/>
        </w:rPr>
        <w:t>，</w:t>
      </w:r>
      <w:r>
        <w:rPr>
          <w:rFonts w:ascii="仿宋" w:eastAsia="仿宋"/>
          <w:color w:val="auto"/>
          <w:sz w:val="24"/>
          <w:highlight w:val="none"/>
        </w:rPr>
        <w:t>联系人：</w:t>
      </w:r>
      <w:r>
        <w:rPr>
          <w:rFonts w:hint="eastAsia" w:ascii="仿宋" w:eastAsia="仿宋"/>
          <w:color w:val="auto"/>
          <w:sz w:val="24"/>
          <w:highlight w:val="none"/>
          <w:u w:val="single"/>
          <w:lang w:val="en-US" w:eastAsia="zh-CN"/>
        </w:rPr>
        <w:t>金生钦</w:t>
      </w:r>
      <w:r>
        <w:rPr>
          <w:rFonts w:ascii="仿宋" w:eastAsia="仿宋"/>
          <w:color w:val="auto"/>
          <w:sz w:val="24"/>
          <w:highlight w:val="none"/>
          <w:u w:val="single" w:color="auto"/>
        </w:rPr>
        <w:t xml:space="preserve"> </w:t>
      </w:r>
      <w:r>
        <w:rPr>
          <w:rFonts w:hint="eastAsia" w:ascii="仿宋" w:eastAsia="仿宋"/>
          <w:color w:val="auto"/>
          <w:sz w:val="24"/>
          <w:highlight w:val="none"/>
        </w:rPr>
        <w:t>，</w:t>
      </w:r>
      <w:r>
        <w:rPr>
          <w:rFonts w:ascii="仿宋" w:eastAsia="仿宋"/>
          <w:color w:val="auto"/>
          <w:sz w:val="24"/>
          <w:highlight w:val="none"/>
        </w:rPr>
        <w:t>联系电话：</w:t>
      </w:r>
      <w:r>
        <w:rPr>
          <w:rFonts w:ascii="仿宋" w:eastAsia="仿宋"/>
          <w:color w:val="auto"/>
          <w:sz w:val="24"/>
          <w:highlight w:val="none"/>
          <w:u w:val="single" w:color="auto"/>
        </w:rPr>
        <w:t xml:space="preserve"> </w:t>
      </w:r>
      <w:r>
        <w:rPr>
          <w:rFonts w:hint="eastAsia" w:ascii="仿宋" w:eastAsia="仿宋"/>
          <w:color w:val="auto"/>
          <w:sz w:val="24"/>
          <w:highlight w:val="none"/>
          <w:u w:val="single" w:color="auto"/>
          <w:lang w:val="en-US" w:eastAsia="zh-CN"/>
        </w:rPr>
        <w:t>18657587980</w:t>
      </w:r>
      <w:r>
        <w:rPr>
          <w:rFonts w:ascii="仿宋" w:eastAsia="仿宋"/>
          <w:color w:val="auto"/>
          <w:sz w:val="24"/>
          <w:highlight w:val="none"/>
          <w:u w:val="single" w:color="auto"/>
        </w:rPr>
        <w:t xml:space="preserve"> </w:t>
      </w:r>
      <w:r>
        <w:rPr>
          <w:rFonts w:hint="eastAsia" w:ascii="仿宋" w:eastAsia="仿宋" w:cs="Arial"/>
          <w:color w:val="auto"/>
          <w:sz w:val="24"/>
          <w:highlight w:val="none"/>
        </w:rPr>
        <w:t>。</w:t>
      </w:r>
    </w:p>
    <w:p>
      <w:pPr>
        <w:spacing w:line="360" w:lineRule="exact"/>
        <w:ind w:firstLine="472" w:firstLineChars="196"/>
        <w:rPr>
          <w:rFonts w:hint="eastAsia" w:ascii="仿宋" w:eastAsia="仿宋"/>
          <w:b/>
          <w:color w:val="auto"/>
          <w:sz w:val="24"/>
          <w:highlight w:val="none"/>
        </w:rPr>
      </w:pPr>
      <w:r>
        <w:rPr>
          <w:rFonts w:hint="eastAsia" w:ascii="仿宋" w:eastAsia="仿宋"/>
          <w:b/>
          <w:color w:val="auto"/>
          <w:sz w:val="24"/>
          <w:highlight w:val="none"/>
        </w:rPr>
        <w:t>十</w:t>
      </w:r>
      <w:r>
        <w:rPr>
          <w:rFonts w:ascii="仿宋" w:eastAsia="仿宋"/>
          <w:b/>
          <w:color w:val="auto"/>
          <w:sz w:val="24"/>
          <w:highlight w:val="none"/>
        </w:rPr>
        <w:t>四</w:t>
      </w:r>
      <w:r>
        <w:rPr>
          <w:rFonts w:hint="eastAsia" w:ascii="仿宋" w:eastAsia="仿宋"/>
          <w:b/>
          <w:color w:val="auto"/>
          <w:sz w:val="24"/>
          <w:highlight w:val="none"/>
        </w:rPr>
        <w:t>、供应商</w:t>
      </w:r>
      <w:r>
        <w:rPr>
          <w:rFonts w:ascii="仿宋" w:eastAsia="仿宋"/>
          <w:b/>
          <w:color w:val="auto"/>
          <w:sz w:val="24"/>
          <w:highlight w:val="none"/>
        </w:rPr>
        <w:t>入驻</w:t>
      </w:r>
      <w:r>
        <w:rPr>
          <w:rFonts w:hint="eastAsia" w:ascii="仿宋" w:eastAsia="仿宋"/>
          <w:b/>
          <w:color w:val="auto"/>
          <w:sz w:val="24"/>
          <w:highlight w:val="none"/>
        </w:rPr>
        <w:t>：</w:t>
      </w:r>
    </w:p>
    <w:p>
      <w:pPr>
        <w:spacing w:line="360" w:lineRule="exact"/>
        <w:ind w:firstLine="480" w:firstLineChars="200"/>
        <w:rPr>
          <w:rFonts w:ascii="仿宋" w:eastAsia="仿宋" w:cs="Arial"/>
          <w:color w:val="auto"/>
          <w:sz w:val="24"/>
          <w:highlight w:val="none"/>
        </w:rPr>
      </w:pPr>
      <w:r>
        <w:rPr>
          <w:rFonts w:hint="eastAsia" w:ascii="仿宋" w:eastAsia="仿宋"/>
          <w:color w:val="auto"/>
          <w:sz w:val="24"/>
          <w:highlight w:val="none"/>
        </w:rPr>
        <w:t>参与越城区</w:t>
      </w:r>
      <w:r>
        <w:rPr>
          <w:rFonts w:ascii="仿宋" w:eastAsia="仿宋"/>
          <w:color w:val="auto"/>
          <w:sz w:val="24"/>
          <w:highlight w:val="none"/>
        </w:rPr>
        <w:t>国企</w:t>
      </w:r>
      <w:r>
        <w:rPr>
          <w:rFonts w:hint="eastAsia" w:ascii="仿宋" w:eastAsia="仿宋"/>
          <w:color w:val="auto"/>
          <w:sz w:val="24"/>
          <w:highlight w:val="none"/>
        </w:rPr>
        <w:t>采购的供应商，必须入驻</w:t>
      </w:r>
      <w:r>
        <w:rPr>
          <w:rFonts w:ascii="仿宋" w:eastAsia="仿宋"/>
          <w:color w:val="auto"/>
          <w:sz w:val="24"/>
          <w:highlight w:val="none"/>
        </w:rPr>
        <w:t>区交易平台</w:t>
      </w:r>
      <w:r>
        <w:rPr>
          <w:rFonts w:hint="eastAsia" w:ascii="仿宋" w:eastAsia="仿宋"/>
          <w:color w:val="auto"/>
          <w:sz w:val="24"/>
          <w:highlight w:val="none"/>
        </w:rPr>
        <w:t>，</w:t>
      </w:r>
      <w:r>
        <w:rPr>
          <w:rFonts w:ascii="仿宋" w:eastAsia="仿宋" w:cs="Arial"/>
          <w:color w:val="auto"/>
          <w:sz w:val="24"/>
          <w:highlight w:val="none"/>
        </w:rPr>
        <w:t>入驻</w:t>
      </w:r>
      <w:r>
        <w:rPr>
          <w:rFonts w:hint="eastAsia" w:ascii="仿宋" w:eastAsia="仿宋" w:cs="Arial"/>
          <w:color w:val="auto"/>
          <w:sz w:val="24"/>
          <w:highlight w:val="none"/>
        </w:rPr>
        <w:t>登记流程详见：</w:t>
      </w:r>
      <w:r>
        <w:rPr>
          <w:rStyle w:val="33"/>
          <w:rFonts w:ascii="仿宋" w:eastAsia="仿宋" w:cs="Arial"/>
          <w:color w:val="auto"/>
          <w:sz w:val="24"/>
          <w:highlight w:val="none"/>
        </w:rPr>
        <w:fldChar w:fldCharType="begin"/>
      </w:r>
      <w:r>
        <w:rPr>
          <w:color w:val="auto"/>
          <w:highlight w:val="none"/>
        </w:rPr>
        <w:instrText xml:space="preserve">HYPERLINK "http://www.sxyc.gov.cn/art/2021/2/23/art_1559761_59026237.html"</w:instrText>
      </w:r>
      <w:r>
        <w:rPr>
          <w:rStyle w:val="33"/>
          <w:rFonts w:ascii="仿宋" w:eastAsia="仿宋" w:cs="Arial"/>
          <w:color w:val="auto"/>
          <w:sz w:val="24"/>
          <w:highlight w:val="none"/>
        </w:rPr>
        <w:fldChar w:fldCharType="separate"/>
      </w:r>
      <w:r>
        <w:rPr>
          <w:rStyle w:val="33"/>
          <w:rFonts w:ascii="仿宋" w:eastAsia="仿宋" w:cs="Arial"/>
          <w:color w:val="auto"/>
          <w:sz w:val="24"/>
          <w:highlight w:val="none"/>
        </w:rPr>
        <w:t>http://www.sxyc.gov.cn/art/2021/2/23/art_1559761_59026237.html</w:t>
      </w:r>
      <w:r>
        <w:rPr>
          <w:rStyle w:val="33"/>
          <w:rFonts w:ascii="仿宋" w:eastAsia="仿宋" w:cs="Arial"/>
          <w:color w:val="auto"/>
          <w:sz w:val="24"/>
          <w:highlight w:val="none"/>
        </w:rPr>
        <w:fldChar w:fldCharType="end"/>
      </w:r>
    </w:p>
    <w:p>
      <w:pPr>
        <w:wordWrap w:val="0"/>
        <w:spacing w:line="360" w:lineRule="exact"/>
        <w:jc w:val="right"/>
        <w:rPr>
          <w:rFonts w:ascii="仿宋" w:eastAsia="仿宋"/>
          <w:color w:val="auto"/>
          <w:highlight w:val="none"/>
        </w:rPr>
      </w:pPr>
    </w:p>
    <w:p>
      <w:pPr>
        <w:wordWrap w:val="0"/>
        <w:spacing w:line="360" w:lineRule="exact"/>
        <w:jc w:val="right"/>
        <w:rPr>
          <w:rFonts w:ascii="仿宋" w:eastAsia="仿宋"/>
          <w:color w:val="auto"/>
          <w:highlight w:val="none"/>
        </w:rPr>
      </w:pPr>
    </w:p>
    <w:p>
      <w:pPr>
        <w:wordWrap w:val="0"/>
        <w:spacing w:line="360" w:lineRule="exact"/>
        <w:jc w:val="right"/>
        <w:rPr>
          <w:rFonts w:hint="eastAsia" w:ascii="仿宋" w:eastAsia="仿宋"/>
          <w:color w:val="auto"/>
          <w:sz w:val="24"/>
          <w:highlight w:val="none"/>
        </w:rPr>
      </w:pPr>
      <w:r>
        <w:rPr>
          <w:rFonts w:hint="eastAsia" w:ascii="仿宋" w:eastAsia="仿宋"/>
          <w:color w:val="auto"/>
          <w:highlight w:val="none"/>
        </w:rPr>
        <w:t xml:space="preserve">             　　　　</w:t>
      </w:r>
      <w:r>
        <w:rPr>
          <w:rFonts w:ascii="仿宋" w:eastAsia="仿宋"/>
          <w:color w:val="auto"/>
          <w:sz w:val="24"/>
          <w:highlight w:val="none"/>
          <w:u w:val="single"/>
        </w:rPr>
        <w:t xml:space="preserve">  </w:t>
      </w:r>
      <w:r>
        <w:rPr>
          <w:rFonts w:hint="eastAsia" w:ascii="仿宋" w:eastAsia="仿宋"/>
          <w:color w:val="auto"/>
          <w:sz w:val="24"/>
          <w:highlight w:val="none"/>
          <w:u w:val="single" w:color="auto"/>
        </w:rPr>
        <w:t>上海上咨协实工程顾问有限公司</w:t>
      </w:r>
      <w:r>
        <w:rPr>
          <w:rFonts w:ascii="仿宋" w:eastAsia="仿宋"/>
          <w:color w:val="auto"/>
          <w:sz w:val="24"/>
          <w:highlight w:val="none"/>
          <w:u w:val="single"/>
        </w:rPr>
        <w:t xml:space="preserve">  </w:t>
      </w:r>
    </w:p>
    <w:p>
      <w:pPr>
        <w:wordWrap w:val="0"/>
        <w:spacing w:line="360" w:lineRule="exact"/>
        <w:jc w:val="right"/>
        <w:rPr>
          <w:rFonts w:hint="eastAsia" w:ascii="仿宋" w:eastAsia="仿宋"/>
          <w:color w:val="auto"/>
          <w:sz w:val="24"/>
          <w:highlight w:val="none"/>
        </w:rPr>
      </w:pPr>
      <w:r>
        <w:rPr>
          <w:rFonts w:hint="eastAsia" w:ascii="仿宋" w:eastAsia="仿宋"/>
          <w:color w:val="auto"/>
          <w:sz w:val="24"/>
          <w:highlight w:val="none"/>
          <w:u w:val="single" w:color="auto"/>
          <w:lang w:val="en-US" w:eastAsia="zh-CN"/>
        </w:rPr>
        <w:t>2024</w:t>
      </w:r>
      <w:r>
        <w:rPr>
          <w:rFonts w:hint="eastAsia" w:ascii="仿宋" w:eastAsia="仿宋"/>
          <w:color w:val="auto"/>
          <w:sz w:val="24"/>
          <w:highlight w:val="none"/>
        </w:rPr>
        <w:t>年</w:t>
      </w:r>
      <w:r>
        <w:rPr>
          <w:rFonts w:hint="eastAsia" w:ascii="仿宋" w:eastAsia="仿宋"/>
          <w:color w:val="auto"/>
          <w:sz w:val="24"/>
          <w:highlight w:val="none"/>
          <w:u w:val="single" w:color="auto"/>
          <w:lang w:val="en-US" w:eastAsia="zh-CN"/>
        </w:rPr>
        <w:t xml:space="preserve">  </w:t>
      </w:r>
      <w:r>
        <w:rPr>
          <w:rFonts w:hint="eastAsia" w:ascii="仿宋" w:eastAsia="仿宋"/>
          <w:color w:val="auto"/>
          <w:sz w:val="24"/>
          <w:highlight w:val="none"/>
        </w:rPr>
        <w:t>月</w:t>
      </w:r>
      <w:r>
        <w:rPr>
          <w:rFonts w:hint="eastAsia" w:ascii="仿宋" w:eastAsia="仿宋"/>
          <w:color w:val="auto"/>
          <w:sz w:val="24"/>
          <w:highlight w:val="none"/>
          <w:u w:val="single" w:color="auto"/>
          <w:lang w:val="en-US" w:eastAsia="zh-CN"/>
        </w:rPr>
        <w:t xml:space="preserve">   </w:t>
      </w:r>
      <w:r>
        <w:rPr>
          <w:rFonts w:hint="eastAsia" w:ascii="仿宋" w:eastAsia="仿宋"/>
          <w:color w:val="auto"/>
          <w:sz w:val="24"/>
          <w:highlight w:val="none"/>
        </w:rPr>
        <w:t>日</w:t>
      </w:r>
    </w:p>
    <w:p>
      <w:pPr>
        <w:pStyle w:val="3"/>
        <w:rPr>
          <w:color w:val="auto"/>
          <w:highlight w:val="none"/>
        </w:rPr>
      </w:pPr>
      <w:bookmarkStart w:id="3" w:name="_Toc643610526"/>
      <w:r>
        <w:rPr>
          <w:color w:val="auto"/>
          <w:highlight w:val="none"/>
        </w:rPr>
        <w:t>第二章  供应商须知</w:t>
      </w:r>
      <w:bookmarkEnd w:id="3"/>
    </w:p>
    <w:p>
      <w:pPr>
        <w:pStyle w:val="4"/>
        <w:rPr>
          <w:color w:val="auto"/>
          <w:highlight w:val="none"/>
        </w:rPr>
      </w:pPr>
      <w:bookmarkStart w:id="4" w:name="_Toc643610527"/>
      <w:r>
        <w:rPr>
          <w:color w:val="auto"/>
          <w:highlight w:val="none"/>
        </w:rPr>
        <w:t>一、前附表</w:t>
      </w:r>
      <w:bookmarkEnd w:id="4"/>
    </w:p>
    <w:tbl>
      <w:tblPr>
        <w:tblStyle w:val="28"/>
        <w:tblW w:w="885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4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before="156" w:beforeLines="50" w:after="94" w:afterLines="30" w:line="300" w:lineRule="exact"/>
              <w:jc w:val="center"/>
              <w:rPr>
                <w:rFonts w:hint="eastAsia" w:ascii="仿宋" w:eastAsia="仿宋"/>
                <w:color w:val="auto"/>
                <w:sz w:val="24"/>
                <w:highlight w:val="none"/>
              </w:rPr>
            </w:pPr>
            <w:r>
              <w:rPr>
                <w:rFonts w:hint="eastAsia" w:ascii="仿宋" w:eastAsia="仿宋"/>
                <w:color w:val="auto"/>
                <w:sz w:val="24"/>
                <w:highlight w:val="none"/>
              </w:rPr>
              <w:t>序号</w:t>
            </w:r>
          </w:p>
        </w:tc>
        <w:tc>
          <w:tcPr>
            <w:tcW w:w="811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before="156" w:beforeLines="50" w:after="94" w:afterLines="30" w:line="300" w:lineRule="exact"/>
              <w:jc w:val="center"/>
              <w:rPr>
                <w:rFonts w:hint="eastAsia" w:ascii="仿宋" w:eastAsia="仿宋"/>
                <w:color w:val="auto"/>
                <w:sz w:val="24"/>
                <w:highlight w:val="none"/>
              </w:rPr>
            </w:pPr>
            <w:r>
              <w:rPr>
                <w:rFonts w:hint="eastAsia" w:ascii="仿宋" w:eastAsia="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74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eastAsia="仿宋"/>
                <w:color w:val="auto"/>
                <w:sz w:val="24"/>
                <w:highlight w:val="none"/>
              </w:rPr>
            </w:pPr>
            <w:r>
              <w:rPr>
                <w:rFonts w:hint="eastAsia" w:ascii="仿宋" w:eastAsia="仿宋"/>
                <w:color w:val="auto"/>
                <w:sz w:val="24"/>
                <w:highlight w:val="none"/>
              </w:rPr>
              <w:t>1</w:t>
            </w:r>
          </w:p>
        </w:tc>
        <w:tc>
          <w:tcPr>
            <w:tcW w:w="811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500" w:lineRule="exact"/>
              <w:rPr>
                <w:rFonts w:hint="eastAsia" w:ascii="仿宋" w:eastAsia="仿宋"/>
                <w:color w:val="auto"/>
                <w:sz w:val="24"/>
                <w:highlight w:val="none"/>
              </w:rPr>
            </w:pPr>
            <w:r>
              <w:rPr>
                <w:rFonts w:hint="eastAsia" w:ascii="仿宋" w:eastAsia="仿宋"/>
                <w:b/>
                <w:color w:val="auto"/>
                <w:sz w:val="24"/>
                <w:highlight w:val="none"/>
              </w:rPr>
              <w:t>项目名称</w:t>
            </w:r>
            <w:r>
              <w:rPr>
                <w:rFonts w:hint="eastAsia" w:ascii="仿宋" w:eastAsia="仿宋"/>
                <w:color w:val="auto"/>
                <w:sz w:val="24"/>
                <w:highlight w:val="none"/>
              </w:rPr>
              <w:t>：</w:t>
            </w:r>
            <w:r>
              <w:rPr>
                <w:rFonts w:ascii="仿宋" w:eastAsia="仿宋"/>
                <w:color w:val="auto"/>
                <w:sz w:val="24"/>
                <w:highlight w:val="none"/>
                <w:u w:val="single" w:color="auto"/>
              </w:rPr>
              <w:t xml:space="preserve"> </w:t>
            </w:r>
            <w:r>
              <w:rPr>
                <w:rFonts w:hint="eastAsia" w:ascii="仿宋" w:eastAsia="仿宋"/>
                <w:color w:val="auto"/>
                <w:sz w:val="24"/>
                <w:highlight w:val="none"/>
                <w:u w:val="single" w:color="auto"/>
                <w:lang w:eastAsia="zh-CN"/>
              </w:rPr>
              <w:t>浙江金融职业学院绍兴校区新建工程家具采购</w:t>
            </w:r>
            <w:r>
              <w:rPr>
                <w:rFonts w:ascii="仿宋" w:eastAsia="仿宋"/>
                <w:color w:val="auto"/>
                <w:sz w:val="24"/>
                <w:highlight w:val="none"/>
                <w:u w:val="single" w:color="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4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eastAsia="仿宋"/>
                <w:color w:val="auto"/>
                <w:sz w:val="24"/>
                <w:highlight w:val="none"/>
              </w:rPr>
            </w:pPr>
            <w:r>
              <w:rPr>
                <w:rFonts w:hint="eastAsia" w:ascii="仿宋" w:eastAsia="仿宋"/>
                <w:color w:val="auto"/>
                <w:sz w:val="24"/>
                <w:highlight w:val="none"/>
              </w:rPr>
              <w:t>2</w:t>
            </w:r>
          </w:p>
        </w:tc>
        <w:tc>
          <w:tcPr>
            <w:tcW w:w="8110" w:type="dxa"/>
            <w:tcBorders>
              <w:top w:val="single" w:color="auto" w:sz="4" w:space="0"/>
              <w:left w:val="single" w:color="auto" w:sz="4" w:space="0"/>
              <w:bottom w:val="single" w:color="auto" w:sz="4" w:space="0"/>
              <w:right w:val="single" w:color="auto" w:sz="4" w:space="0"/>
              <w:tl2br w:val="nil"/>
              <w:tr2bl w:val="nil"/>
            </w:tcBorders>
            <w:noWrap/>
            <w:vAlign w:val="center"/>
          </w:tcPr>
          <w:p>
            <w:pPr>
              <w:autoSpaceDE w:val="0"/>
              <w:autoSpaceDN w:val="0"/>
              <w:spacing w:line="500" w:lineRule="exact"/>
              <w:textAlignment w:val="bottom"/>
              <w:rPr>
                <w:rFonts w:hint="eastAsia" w:ascii="仿宋" w:eastAsia="仿宋"/>
                <w:color w:val="auto"/>
                <w:sz w:val="24"/>
                <w:highlight w:val="none"/>
              </w:rPr>
            </w:pPr>
            <w:r>
              <w:rPr>
                <w:rFonts w:hint="eastAsia" w:ascii="仿宋" w:eastAsia="仿宋"/>
                <w:b/>
                <w:color w:val="auto"/>
                <w:sz w:val="24"/>
                <w:highlight w:val="none"/>
              </w:rPr>
              <w:t>投标有效期：</w:t>
            </w:r>
            <w:r>
              <w:rPr>
                <w:rFonts w:hint="eastAsia" w:ascii="仿宋" w:eastAsia="仿宋"/>
                <w:color w:val="auto"/>
                <w:sz w:val="24"/>
                <w:highlight w:val="none"/>
              </w:rPr>
              <w:t>自投标截止日起60天。如采购人认为必要，可延长至总计最长不超过90天。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eastAsia="仿宋"/>
                <w:color w:val="auto"/>
                <w:sz w:val="24"/>
                <w:highlight w:val="none"/>
              </w:rPr>
            </w:pPr>
            <w:r>
              <w:rPr>
                <w:rFonts w:hint="eastAsia" w:ascii="仿宋" w:eastAsia="仿宋"/>
                <w:color w:val="auto"/>
                <w:sz w:val="24"/>
                <w:highlight w:val="none"/>
              </w:rPr>
              <w:t>3</w:t>
            </w:r>
          </w:p>
        </w:tc>
        <w:tc>
          <w:tcPr>
            <w:tcW w:w="8110" w:type="dxa"/>
            <w:tcBorders>
              <w:top w:val="single" w:color="auto" w:sz="4" w:space="0"/>
              <w:left w:val="single" w:color="auto" w:sz="4" w:space="0"/>
              <w:bottom w:val="single" w:color="auto" w:sz="4" w:space="0"/>
              <w:right w:val="single" w:color="auto" w:sz="4" w:space="0"/>
              <w:tl2br w:val="nil"/>
              <w:tr2bl w:val="nil"/>
            </w:tcBorders>
            <w:noWrap/>
            <w:vAlign w:val="center"/>
          </w:tcPr>
          <w:p>
            <w:pPr>
              <w:autoSpaceDE w:val="0"/>
              <w:autoSpaceDN w:val="0"/>
              <w:spacing w:line="440" w:lineRule="exact"/>
              <w:textAlignment w:val="bottom"/>
              <w:rPr>
                <w:rFonts w:hint="eastAsia" w:ascii="仿宋" w:hAnsi="仿宋" w:eastAsia="仿宋" w:cs="仿宋"/>
                <w:color w:val="auto"/>
                <w:highlight w:val="none"/>
                <w:lang w:eastAsia="zh-CN"/>
              </w:rPr>
            </w:pPr>
            <w:r>
              <w:rPr>
                <w:rFonts w:hint="eastAsia" w:ascii="仿宋" w:hAnsi="仿宋" w:eastAsia="仿宋" w:cs="仿宋"/>
                <w:color w:val="auto"/>
                <w:highlight w:val="none"/>
              </w:rPr>
              <w:t xml:space="preserve">是否提供样品： </w:t>
            </w:r>
            <w:r>
              <w:rPr>
                <w:rFonts w:hint="eastAsia" w:ascii="仿宋" w:hAnsi="仿宋" w:eastAsia="仿宋" w:cs="仿宋"/>
                <w:color w:val="auto"/>
                <w:highlight w:val="none"/>
                <w:lang w:eastAsia="zh-CN"/>
              </w:rPr>
              <w:t>是</w:t>
            </w:r>
          </w:p>
          <w:p>
            <w:pPr>
              <w:autoSpaceDE w:val="0"/>
              <w:autoSpaceDN w:val="0"/>
              <w:spacing w:line="440" w:lineRule="exact"/>
              <w:textAlignment w:val="bottom"/>
              <w:rPr>
                <w:rFonts w:hint="eastAsia" w:ascii="仿宋" w:hAnsi="仿宋" w:eastAsia="仿宋" w:cs="仿宋"/>
                <w:color w:val="auto"/>
                <w:highlight w:val="none"/>
              </w:rPr>
            </w:pPr>
            <w:r>
              <w:rPr>
                <w:rFonts w:hint="eastAsia" w:ascii="仿宋" w:hAnsi="仿宋" w:eastAsia="仿宋" w:cs="仿宋"/>
                <w:color w:val="auto"/>
                <w:highlight w:val="none"/>
              </w:rPr>
              <w:t>1、样品递交时间：投标文件递交截止时间前；</w:t>
            </w:r>
          </w:p>
          <w:p>
            <w:pPr>
              <w:widowControl/>
              <w:snapToGrid w:val="0"/>
              <w:spacing w:line="480" w:lineRule="exact"/>
              <w:ind w:firstLine="0"/>
              <w:rPr>
                <w:rFonts w:hint="eastAsia"/>
                <w:color w:val="auto"/>
                <w:highlight w:val="none"/>
              </w:rPr>
            </w:pPr>
            <w:r>
              <w:rPr>
                <w:rFonts w:hint="eastAsia" w:ascii="仿宋" w:hAnsi="仿宋" w:eastAsia="仿宋" w:cs="仿宋"/>
                <w:color w:val="auto"/>
                <w:highlight w:val="none"/>
              </w:rPr>
              <w:t>2、样品规格及数量：</w:t>
            </w:r>
          </w:p>
          <w:p>
            <w:pPr>
              <w:pStyle w:val="2"/>
              <w:ind w:left="0" w:leftChars="0" w:firstLine="0" w:firstLineChars="0"/>
              <w:rPr>
                <w:rFonts w:hint="eastAsia" w:ascii="仿宋" w:hAnsi="仿宋" w:eastAsia="仿宋" w:cs="仿宋"/>
                <w:b/>
                <w:bCs/>
                <w:color w:val="auto"/>
                <w:highlight w:val="none"/>
                <w:lang w:val="en-US" w:eastAsia="zh-CN"/>
              </w:rPr>
            </w:pPr>
            <w:r>
              <w:rPr>
                <w:rFonts w:hint="eastAsia" w:ascii="仿宋" w:hAnsi="仿宋" w:eastAsia="仿宋" w:cs="仿宋"/>
                <w:b/>
                <w:bCs/>
                <w:color w:val="auto"/>
                <w:sz w:val="28"/>
                <w:szCs w:val="28"/>
                <w:highlight w:val="none"/>
                <w:lang w:val="en-US" w:eastAsia="zh-CN"/>
              </w:rPr>
              <w:t>01标：浙江金融职业学院绍兴校区新建工程家具采购项目（标段一：图书馆、教学及其他家具）</w:t>
            </w:r>
          </w:p>
          <w:p>
            <w:pPr>
              <w:pStyle w:val="14"/>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①报告厅椅，投标时提供样品1把，745mm*560mm*935mm,具体按照清单要求提供：</w:t>
            </w:r>
          </w:p>
          <w:p>
            <w:pPr>
              <w:pStyle w:val="14"/>
              <w:rPr>
                <w:rFonts w:hint="eastAsia"/>
                <w:color w:val="auto"/>
                <w:highlight w:val="none"/>
                <w:lang w:val="en-US" w:eastAsia="zh-CN"/>
              </w:rPr>
            </w:pPr>
            <w:r>
              <w:rPr>
                <w:color w:val="auto"/>
                <w:highlight w:val="none"/>
              </w:rPr>
              <w:drawing>
                <wp:inline distT="0" distB="0" distL="114300" distR="114300">
                  <wp:extent cx="1176020" cy="1087120"/>
                  <wp:effectExtent l="0" t="0" r="5080" b="17780"/>
                  <wp:docPr id="13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2"/>
                          <pic:cNvPicPr>
                            <a:picLocks noChangeAspect="1"/>
                          </pic:cNvPicPr>
                        </pic:nvPicPr>
                        <pic:blipFill>
                          <a:blip r:embed="rId12"/>
                          <a:stretch>
                            <a:fillRect/>
                          </a:stretch>
                        </pic:blipFill>
                        <pic:spPr>
                          <a:xfrm>
                            <a:off x="0" y="0"/>
                            <a:ext cx="1176020" cy="1087120"/>
                          </a:xfrm>
                          <a:prstGeom prst="rect">
                            <a:avLst/>
                          </a:prstGeom>
                          <a:noFill/>
                          <a:ln w="9525">
                            <a:noFill/>
                          </a:ln>
                        </pic:spPr>
                      </pic:pic>
                    </a:graphicData>
                  </a:graphic>
                </wp:inline>
              </w:drawing>
            </w:r>
          </w:p>
          <w:p>
            <w:pPr>
              <w:pStyle w:val="14"/>
              <w:rPr>
                <w:rFonts w:hint="eastAsia" w:ascii="仿宋" w:hAnsi="仿宋" w:eastAsia="仿宋" w:cs="仿宋"/>
                <w:b/>
                <w:bCs/>
                <w:color w:val="auto"/>
                <w:kern w:val="2"/>
                <w:sz w:val="21"/>
                <w:szCs w:val="20"/>
                <w:highlight w:val="none"/>
                <w:lang w:val="en-US" w:eastAsia="zh-CN" w:bidi="ar-SA"/>
              </w:rPr>
            </w:pPr>
            <w:r>
              <w:rPr>
                <w:rFonts w:hint="eastAsia" w:ascii="仿宋" w:hAnsi="仿宋" w:eastAsia="仿宋" w:cs="仿宋"/>
                <w:b/>
                <w:bCs/>
                <w:color w:val="auto"/>
                <w:highlight w:val="none"/>
                <w:lang w:val="en-US" w:eastAsia="zh-CN"/>
              </w:rPr>
              <w:t>②</w:t>
            </w:r>
            <w:r>
              <w:rPr>
                <w:rFonts w:hint="eastAsia" w:ascii="仿宋" w:hAnsi="仿宋" w:eastAsia="仿宋" w:cs="仿宋"/>
                <w:b/>
                <w:bCs/>
                <w:color w:val="auto"/>
                <w:kern w:val="2"/>
                <w:sz w:val="21"/>
                <w:szCs w:val="20"/>
                <w:highlight w:val="none"/>
                <w:lang w:val="en-US" w:eastAsia="zh-CN" w:bidi="ar-SA"/>
              </w:rPr>
              <w:t>单人半隐私沙发，投标时提供样品1组，800mm*750mm*435mm,</w:t>
            </w:r>
            <w:r>
              <w:rPr>
                <w:rFonts w:hint="eastAsia" w:ascii="仿宋" w:hAnsi="仿宋" w:eastAsia="仿宋" w:cs="仿宋"/>
                <w:b/>
                <w:bCs/>
                <w:color w:val="auto"/>
                <w:highlight w:val="none"/>
                <w:lang w:val="en-US" w:eastAsia="zh-CN"/>
              </w:rPr>
              <w:t>具体按照清单要求提供</w:t>
            </w:r>
            <w:r>
              <w:rPr>
                <w:rFonts w:hint="eastAsia" w:ascii="仿宋" w:hAnsi="仿宋" w:eastAsia="仿宋" w:cs="仿宋"/>
                <w:b/>
                <w:bCs/>
                <w:color w:val="auto"/>
                <w:kern w:val="2"/>
                <w:sz w:val="21"/>
                <w:szCs w:val="20"/>
                <w:highlight w:val="none"/>
                <w:lang w:val="en-US" w:eastAsia="zh-CN" w:bidi="ar-SA"/>
              </w:rPr>
              <w:t>：</w:t>
            </w:r>
          </w:p>
          <w:p>
            <w:pPr>
              <w:pStyle w:val="14"/>
              <w:rPr>
                <w:color w:val="auto"/>
                <w:highlight w:val="none"/>
              </w:rPr>
            </w:pPr>
            <w:r>
              <w:rPr>
                <w:color w:val="auto"/>
                <w:highlight w:val="none"/>
              </w:rPr>
              <w:drawing>
                <wp:inline distT="0" distB="0" distL="114300" distR="114300">
                  <wp:extent cx="1403350" cy="1035685"/>
                  <wp:effectExtent l="0" t="0" r="6350" b="12065"/>
                  <wp:docPr id="1399" name="ID_CECF6FD1AA70467A901246CD6153BA49" descr="19e75474235fb069162b74d8aab7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ID_CECF6FD1AA70467A901246CD6153BA49" descr="19e75474235fb069162b74d8aab797a"/>
                          <pic:cNvPicPr>
                            <a:picLocks noChangeAspect="1"/>
                          </pic:cNvPicPr>
                        </pic:nvPicPr>
                        <pic:blipFill>
                          <a:blip r:embed="rId13"/>
                          <a:srcRect l="4340" t="-311" r="3859" b="1849"/>
                          <a:stretch>
                            <a:fillRect/>
                          </a:stretch>
                        </pic:blipFill>
                        <pic:spPr>
                          <a:xfrm>
                            <a:off x="0" y="0"/>
                            <a:ext cx="1403350" cy="1035685"/>
                          </a:xfrm>
                          <a:prstGeom prst="rect">
                            <a:avLst/>
                          </a:prstGeom>
                          <a:noFill/>
                          <a:ln w="9525">
                            <a:noFill/>
                          </a:ln>
                        </pic:spPr>
                      </pic:pic>
                    </a:graphicData>
                  </a:graphic>
                </wp:inline>
              </w:drawing>
            </w:r>
          </w:p>
          <w:p>
            <w:pPr>
              <w:pStyle w:val="15"/>
              <w:ind w:left="0" w:leftChars="0" w:firstLine="0" w:firstLineChars="0"/>
              <w:rPr>
                <w:rFonts w:hint="eastAsia" w:ascii="仿宋" w:hAnsi="仿宋" w:eastAsia="仿宋" w:cs="仿宋"/>
                <w:b/>
                <w:bCs/>
                <w:color w:val="auto"/>
                <w:kern w:val="2"/>
                <w:sz w:val="21"/>
                <w:szCs w:val="20"/>
                <w:highlight w:val="none"/>
                <w:lang w:val="en-US" w:eastAsia="zh-CN" w:bidi="ar-SA"/>
              </w:rPr>
            </w:pPr>
            <w:r>
              <w:rPr>
                <w:rFonts w:hint="eastAsia" w:ascii="仿宋" w:hAnsi="仿宋" w:eastAsia="仿宋" w:cs="仿宋"/>
                <w:b/>
                <w:bCs/>
                <w:color w:val="auto"/>
                <w:highlight w:val="none"/>
                <w:lang w:val="en-US" w:eastAsia="zh-CN"/>
              </w:rPr>
              <w:t>③</w:t>
            </w:r>
            <w:r>
              <w:rPr>
                <w:rFonts w:hint="eastAsia" w:ascii="仿宋" w:hAnsi="仿宋" w:eastAsia="仿宋" w:cs="仿宋"/>
                <w:b/>
                <w:bCs/>
                <w:color w:val="auto"/>
                <w:kern w:val="2"/>
                <w:sz w:val="21"/>
                <w:szCs w:val="20"/>
                <w:highlight w:val="none"/>
                <w:lang w:val="en-US" w:eastAsia="zh-CN" w:bidi="ar-SA"/>
              </w:rPr>
              <w:t xml:space="preserve"> 课桌单人，</w:t>
            </w:r>
            <w:r>
              <w:rPr>
                <w:rFonts w:hint="eastAsia" w:ascii="仿宋" w:hAnsi="仿宋" w:eastAsia="仿宋" w:cs="仿宋"/>
                <w:b/>
                <w:bCs/>
                <w:color w:val="auto"/>
                <w:highlight w:val="none"/>
                <w:lang w:val="en-US" w:eastAsia="zh-CN"/>
              </w:rPr>
              <w:t>投标时提供样品1张</w:t>
            </w:r>
            <w:r>
              <w:rPr>
                <w:rFonts w:hint="eastAsia" w:ascii="仿宋" w:hAnsi="仿宋" w:eastAsia="仿宋" w:cs="仿宋"/>
                <w:b/>
                <w:bCs/>
                <w:color w:val="auto"/>
                <w:kern w:val="2"/>
                <w:sz w:val="21"/>
                <w:szCs w:val="20"/>
                <w:highlight w:val="none"/>
                <w:lang w:val="en-US" w:eastAsia="zh-CN" w:bidi="ar-SA"/>
              </w:rPr>
              <w:t>，650mm*450mm*760mm  ，</w:t>
            </w:r>
            <w:r>
              <w:rPr>
                <w:rFonts w:hint="eastAsia" w:ascii="仿宋" w:hAnsi="仿宋" w:eastAsia="仿宋" w:cs="仿宋"/>
                <w:b/>
                <w:bCs/>
                <w:color w:val="auto"/>
                <w:highlight w:val="none"/>
                <w:lang w:val="en-US" w:eastAsia="zh-CN"/>
              </w:rPr>
              <w:t>具体按照清单要求提供</w:t>
            </w:r>
            <w:r>
              <w:rPr>
                <w:rFonts w:hint="eastAsia" w:ascii="仿宋" w:hAnsi="仿宋" w:eastAsia="仿宋" w:cs="仿宋"/>
                <w:b/>
                <w:bCs/>
                <w:color w:val="auto"/>
                <w:kern w:val="2"/>
                <w:sz w:val="21"/>
                <w:szCs w:val="20"/>
                <w:highlight w:val="none"/>
                <w:lang w:val="en-US" w:eastAsia="zh-CN" w:bidi="ar-SA"/>
              </w:rPr>
              <w:t>：</w:t>
            </w:r>
          </w:p>
          <w:p>
            <w:pPr>
              <w:rPr>
                <w:rFonts w:hint="eastAsia"/>
                <w:color w:val="auto"/>
                <w:highlight w:val="none"/>
                <w:lang w:val="en-US" w:eastAsia="zh-CN"/>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117475</wp:posOffset>
                  </wp:positionH>
                  <wp:positionV relativeFrom="paragraph">
                    <wp:posOffset>12065</wp:posOffset>
                  </wp:positionV>
                  <wp:extent cx="1057910" cy="710565"/>
                  <wp:effectExtent l="0" t="0" r="8890" b="13335"/>
                  <wp:wrapNone/>
                  <wp:docPr id="212" name="图片_81"/>
                  <wp:cNvGraphicFramePr/>
                  <a:graphic xmlns:a="http://schemas.openxmlformats.org/drawingml/2006/main">
                    <a:graphicData uri="http://schemas.openxmlformats.org/drawingml/2006/picture">
                      <pic:pic xmlns:pic="http://schemas.openxmlformats.org/drawingml/2006/picture">
                        <pic:nvPicPr>
                          <pic:cNvPr id="212" name="图片_81"/>
                          <pic:cNvPicPr/>
                        </pic:nvPicPr>
                        <pic:blipFill>
                          <a:blip r:embed="rId14"/>
                          <a:stretch>
                            <a:fillRect/>
                          </a:stretch>
                        </pic:blipFill>
                        <pic:spPr>
                          <a:xfrm>
                            <a:off x="0" y="0"/>
                            <a:ext cx="1057910" cy="710565"/>
                          </a:xfrm>
                          <a:prstGeom prst="rect">
                            <a:avLst/>
                          </a:prstGeom>
                          <a:noFill/>
                          <a:ln>
                            <a:noFill/>
                          </a:ln>
                        </pic:spPr>
                      </pic:pic>
                    </a:graphicData>
                  </a:graphic>
                </wp:anchor>
              </w:drawing>
            </w:r>
          </w:p>
          <w:p>
            <w:pPr>
              <w:rPr>
                <w:rFonts w:hint="eastAsia" w:ascii="宋体" w:hAnsi="宋体" w:eastAsia="宋体" w:cs="宋体"/>
                <w:i w:val="0"/>
                <w:iCs w:val="0"/>
                <w:color w:val="auto"/>
                <w:kern w:val="0"/>
                <w:sz w:val="22"/>
                <w:szCs w:val="22"/>
                <w:highlight w:val="none"/>
                <w:u w:val="none"/>
                <w:bdr w:val="single" w:color="000000" w:sz="4" w:space="0"/>
                <w:lang w:val="en-US" w:eastAsia="zh-CN" w:bidi="ar"/>
              </w:rPr>
            </w:pPr>
          </w:p>
          <w:p>
            <w:pPr>
              <w:pStyle w:val="2"/>
              <w:rPr>
                <w:rFonts w:hint="eastAsia" w:ascii="宋体" w:hAnsi="宋体" w:eastAsia="宋体" w:cs="宋体"/>
                <w:i w:val="0"/>
                <w:iCs w:val="0"/>
                <w:color w:val="auto"/>
                <w:kern w:val="0"/>
                <w:sz w:val="22"/>
                <w:szCs w:val="22"/>
                <w:highlight w:val="none"/>
                <w:u w:val="none"/>
                <w:bdr w:val="single" w:color="000000" w:sz="4" w:space="0"/>
                <w:lang w:val="en-US" w:eastAsia="zh-CN" w:bidi="ar"/>
              </w:rPr>
            </w:pPr>
          </w:p>
          <w:p>
            <w:pPr>
              <w:pStyle w:val="2"/>
              <w:rPr>
                <w:rFonts w:hint="eastAsia" w:ascii="宋体" w:hAnsi="宋体" w:eastAsia="宋体" w:cs="宋体"/>
                <w:i w:val="0"/>
                <w:iCs w:val="0"/>
                <w:color w:val="auto"/>
                <w:kern w:val="0"/>
                <w:sz w:val="22"/>
                <w:szCs w:val="22"/>
                <w:highlight w:val="none"/>
                <w:u w:val="none"/>
                <w:bdr w:val="single" w:color="000000" w:sz="4" w:space="0"/>
                <w:lang w:val="en-US" w:eastAsia="zh-CN" w:bidi="ar"/>
              </w:rPr>
            </w:pPr>
          </w:p>
          <w:p>
            <w:pPr>
              <w:pStyle w:val="2"/>
              <w:rPr>
                <w:rFonts w:hint="eastAsia" w:ascii="宋体" w:hAnsi="宋体" w:eastAsia="宋体" w:cs="宋体"/>
                <w:i w:val="0"/>
                <w:iCs w:val="0"/>
                <w:color w:val="auto"/>
                <w:kern w:val="0"/>
                <w:sz w:val="22"/>
                <w:szCs w:val="22"/>
                <w:highlight w:val="none"/>
                <w:u w:val="none"/>
                <w:bdr w:val="single" w:color="000000" w:sz="4" w:space="0"/>
                <w:lang w:val="en-US" w:eastAsia="zh-CN" w:bidi="ar"/>
              </w:rPr>
            </w:pPr>
          </w:p>
          <w:p>
            <w:pPr>
              <w:pStyle w:val="2"/>
              <w:rPr>
                <w:color w:val="auto"/>
                <w:highlight w:val="none"/>
              </w:rPr>
            </w:pPr>
          </w:p>
          <w:p>
            <w:pPr>
              <w:pStyle w:val="2"/>
              <w:ind w:left="0" w:leftChars="0" w:firstLine="0" w:firstLineChars="0"/>
              <w:rPr>
                <w:color w:val="auto"/>
                <w:highlight w:val="none"/>
              </w:rPr>
            </w:pPr>
            <w:r>
              <w:rPr>
                <w:rFonts w:hint="eastAsia" w:ascii="仿宋" w:hAnsi="仿宋" w:eastAsia="仿宋" w:cs="仿宋"/>
                <w:b/>
                <w:bCs/>
                <w:color w:val="auto"/>
                <w:sz w:val="28"/>
                <w:szCs w:val="28"/>
                <w:highlight w:val="none"/>
                <w:lang w:val="en-US" w:eastAsia="zh-CN"/>
              </w:rPr>
              <w:t>02标：浙江金融职业学院绍兴校区新建工程家具采购项目（标段二：宿舍及餐厅家具）</w:t>
            </w:r>
          </w:p>
          <w:p>
            <w:pPr>
              <w:pStyle w:val="14"/>
              <w:rPr>
                <w:rFonts w:hint="default"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①椅子，投标时提供样品1把，538mm*505mm*800mm，具体按照清单要求提供：</w:t>
            </w:r>
          </w:p>
          <w:p>
            <w:pPr>
              <w:pStyle w:val="14"/>
              <w:rPr>
                <w:rFonts w:hint="eastAsia" w:ascii="宋体" w:hAnsi="宋体" w:eastAsia="宋体" w:cs="宋体"/>
                <w:i w:val="0"/>
                <w:iCs w:val="0"/>
                <w:color w:val="000000"/>
                <w:kern w:val="0"/>
                <w:sz w:val="24"/>
                <w:szCs w:val="24"/>
                <w:highlight w:val="none"/>
                <w:u w:val="none"/>
                <w:bdr w:val="single" w:color="000000" w:sz="4" w:space="0"/>
                <w:shd w:val="clear" w:fill="FFFFFF"/>
                <w:lang w:val="en-US" w:eastAsia="zh-CN" w:bidi="ar"/>
              </w:rPr>
            </w:pPr>
            <w:r>
              <w:rPr>
                <w:rFonts w:hint="eastAsia" w:ascii="宋体" w:hAnsi="宋体" w:eastAsia="宋体" w:cs="宋体"/>
                <w:i w:val="0"/>
                <w:iCs w:val="0"/>
                <w:color w:val="000000"/>
                <w:kern w:val="0"/>
                <w:sz w:val="24"/>
                <w:szCs w:val="24"/>
                <w:highlight w:val="none"/>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73660</wp:posOffset>
                  </wp:positionH>
                  <wp:positionV relativeFrom="paragraph">
                    <wp:posOffset>41275</wp:posOffset>
                  </wp:positionV>
                  <wp:extent cx="895985" cy="930910"/>
                  <wp:effectExtent l="0" t="0" r="5715" b="8890"/>
                  <wp:wrapNone/>
                  <wp:docPr id="446" name="图片_3"/>
                  <wp:cNvGraphicFramePr/>
                  <a:graphic xmlns:a="http://schemas.openxmlformats.org/drawingml/2006/main">
                    <a:graphicData uri="http://schemas.openxmlformats.org/drawingml/2006/picture">
                      <pic:pic xmlns:pic="http://schemas.openxmlformats.org/drawingml/2006/picture">
                        <pic:nvPicPr>
                          <pic:cNvPr id="446" name="图片_3"/>
                          <pic:cNvPicPr/>
                        </pic:nvPicPr>
                        <pic:blipFill>
                          <a:blip r:embed="rId15"/>
                          <a:stretch>
                            <a:fillRect/>
                          </a:stretch>
                        </pic:blipFill>
                        <pic:spPr>
                          <a:xfrm>
                            <a:off x="0" y="0"/>
                            <a:ext cx="895985" cy="930910"/>
                          </a:xfrm>
                          <a:prstGeom prst="rect">
                            <a:avLst/>
                          </a:prstGeom>
                          <a:noFill/>
                          <a:ln>
                            <a:noFill/>
                          </a:ln>
                        </pic:spPr>
                      </pic:pic>
                    </a:graphicData>
                  </a:graphic>
                </wp:anchor>
              </w:drawing>
            </w:r>
          </w:p>
          <w:p>
            <w:pPr>
              <w:pStyle w:val="15"/>
              <w:rPr>
                <w:rFonts w:hint="eastAsia" w:ascii="宋体" w:hAnsi="宋体" w:eastAsia="宋体" w:cs="宋体"/>
                <w:i w:val="0"/>
                <w:iCs w:val="0"/>
                <w:color w:val="000000"/>
                <w:kern w:val="0"/>
                <w:sz w:val="24"/>
                <w:szCs w:val="24"/>
                <w:highlight w:val="none"/>
                <w:u w:val="none"/>
                <w:bdr w:val="single" w:color="000000" w:sz="4" w:space="0"/>
                <w:shd w:val="clear" w:fill="FFFFFF"/>
                <w:lang w:val="en-US" w:eastAsia="zh-CN" w:bidi="ar"/>
              </w:rPr>
            </w:pPr>
          </w:p>
          <w:p>
            <w:pPr>
              <w:rPr>
                <w:rFonts w:hint="eastAsia" w:ascii="宋体" w:hAnsi="宋体" w:eastAsia="宋体" w:cs="宋体"/>
                <w:i w:val="0"/>
                <w:iCs w:val="0"/>
                <w:color w:val="000000"/>
                <w:kern w:val="0"/>
                <w:sz w:val="24"/>
                <w:szCs w:val="24"/>
                <w:highlight w:val="none"/>
                <w:u w:val="none"/>
                <w:bdr w:val="single" w:color="000000" w:sz="4" w:space="0"/>
                <w:shd w:val="clear" w:fill="FFFFFF"/>
                <w:lang w:val="en-US" w:eastAsia="zh-CN" w:bidi="ar"/>
              </w:rPr>
            </w:pPr>
          </w:p>
          <w:p>
            <w:pPr>
              <w:rPr>
                <w:rFonts w:hint="eastAsia" w:ascii="宋体" w:hAnsi="宋体" w:eastAsia="宋体" w:cs="宋体"/>
                <w:i w:val="0"/>
                <w:iCs w:val="0"/>
                <w:color w:val="000000"/>
                <w:kern w:val="0"/>
                <w:sz w:val="24"/>
                <w:szCs w:val="24"/>
                <w:highlight w:val="none"/>
                <w:u w:val="none"/>
                <w:bdr w:val="single" w:color="000000" w:sz="4" w:space="0"/>
                <w:shd w:val="clear" w:fill="FFFFFF"/>
                <w:lang w:val="en-US" w:eastAsia="zh-CN" w:bidi="ar"/>
              </w:rPr>
            </w:pPr>
          </w:p>
          <w:p>
            <w:pPr>
              <w:pStyle w:val="14"/>
              <w:rPr>
                <w:rFonts w:hint="eastAsia" w:ascii="仿宋" w:hAnsi="仿宋" w:eastAsia="仿宋" w:cs="仿宋"/>
                <w:b/>
                <w:bCs/>
                <w:color w:val="auto"/>
                <w:kern w:val="2"/>
                <w:sz w:val="21"/>
                <w:szCs w:val="20"/>
                <w:highlight w:val="none"/>
                <w:lang w:val="en-US" w:eastAsia="zh-CN" w:bidi="ar-SA"/>
              </w:rPr>
            </w:pPr>
            <w:r>
              <w:rPr>
                <w:rFonts w:hint="eastAsia" w:ascii="仿宋" w:hAnsi="仿宋" w:eastAsia="仿宋" w:cs="仿宋"/>
                <w:b/>
                <w:bCs/>
                <w:color w:val="auto"/>
                <w:highlight w:val="none"/>
                <w:lang w:val="en-US" w:eastAsia="zh-CN"/>
              </w:rPr>
              <w:t>②</w:t>
            </w:r>
            <w:r>
              <w:rPr>
                <w:rFonts w:hint="eastAsia" w:ascii="仿宋" w:hAnsi="仿宋" w:eastAsia="仿宋" w:cs="仿宋"/>
                <w:b/>
                <w:bCs/>
                <w:color w:val="auto"/>
                <w:kern w:val="2"/>
                <w:sz w:val="21"/>
                <w:szCs w:val="20"/>
                <w:highlight w:val="none"/>
                <w:lang w:val="en-US" w:eastAsia="zh-CN" w:bidi="ar-SA"/>
              </w:rPr>
              <w:t xml:space="preserve"> 宿舍床，投标时(提供一套床+中间爬梯)，4650mm</w:t>
            </w:r>
            <w:r>
              <w:rPr>
                <w:rFonts w:hint="eastAsia" w:ascii="仿宋" w:hAnsi="仿宋" w:eastAsia="仿宋" w:cs="仿宋"/>
                <w:b/>
                <w:bCs/>
                <w:color w:val="auto"/>
                <w:highlight w:val="none"/>
                <w:lang w:val="en-US" w:eastAsia="zh-CN"/>
              </w:rPr>
              <w:t>*</w:t>
            </w:r>
            <w:r>
              <w:rPr>
                <w:rFonts w:hint="eastAsia" w:ascii="仿宋" w:hAnsi="仿宋" w:eastAsia="仿宋" w:cs="仿宋"/>
                <w:b/>
                <w:bCs/>
                <w:color w:val="auto"/>
                <w:kern w:val="2"/>
                <w:sz w:val="21"/>
                <w:szCs w:val="20"/>
                <w:highlight w:val="none"/>
                <w:lang w:val="en-US" w:eastAsia="zh-CN" w:bidi="ar-SA"/>
              </w:rPr>
              <w:t>900mm</w:t>
            </w:r>
            <w:r>
              <w:rPr>
                <w:rFonts w:hint="eastAsia" w:ascii="仿宋" w:hAnsi="仿宋" w:eastAsia="仿宋" w:cs="仿宋"/>
                <w:b/>
                <w:bCs/>
                <w:color w:val="auto"/>
                <w:highlight w:val="none"/>
                <w:lang w:val="en-US" w:eastAsia="zh-CN"/>
              </w:rPr>
              <w:t>*</w:t>
            </w:r>
            <w:r>
              <w:rPr>
                <w:rFonts w:hint="eastAsia" w:ascii="仿宋" w:hAnsi="仿宋" w:eastAsia="仿宋" w:cs="仿宋"/>
                <w:b/>
                <w:bCs/>
                <w:color w:val="auto"/>
                <w:kern w:val="2"/>
                <w:sz w:val="21"/>
                <w:szCs w:val="20"/>
                <w:highlight w:val="none"/>
                <w:lang w:val="en-US" w:eastAsia="zh-CN" w:bidi="ar-SA"/>
              </w:rPr>
              <w:t>2265mm,</w:t>
            </w:r>
            <w:r>
              <w:rPr>
                <w:rFonts w:hint="eastAsia" w:ascii="仿宋" w:hAnsi="仿宋" w:eastAsia="仿宋" w:cs="仿宋"/>
                <w:b/>
                <w:bCs/>
                <w:color w:val="auto"/>
                <w:highlight w:val="none"/>
                <w:lang w:val="en-US" w:eastAsia="zh-CN"/>
              </w:rPr>
              <w:t>具体按照清单要求提供</w:t>
            </w:r>
            <w:r>
              <w:rPr>
                <w:rFonts w:hint="eastAsia" w:ascii="仿宋" w:hAnsi="仿宋" w:eastAsia="仿宋" w:cs="仿宋"/>
                <w:b/>
                <w:bCs/>
                <w:color w:val="auto"/>
                <w:kern w:val="2"/>
                <w:sz w:val="21"/>
                <w:szCs w:val="20"/>
                <w:highlight w:val="none"/>
                <w:lang w:val="en-US" w:eastAsia="zh-CN" w:bidi="ar-SA"/>
              </w:rPr>
              <w:t>：</w:t>
            </w:r>
          </w:p>
          <w:p>
            <w:pPr>
              <w:pStyle w:val="14"/>
              <w:rPr>
                <w:color w:val="auto"/>
                <w:highlight w:val="none"/>
              </w:rPr>
            </w:pPr>
            <w:r>
              <w:rPr>
                <w:color w:val="auto"/>
                <w:highlight w:val="none"/>
              </w:rPr>
              <w:drawing>
                <wp:inline distT="0" distB="0" distL="114300" distR="114300">
                  <wp:extent cx="919480" cy="819785"/>
                  <wp:effectExtent l="0" t="0" r="13970" b="18415"/>
                  <wp:docPr id="531" name="图片 106" descr="I:/浙江金融职业技术学院/1101/13C.jpg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106" descr="I:/浙江金融职业技术学院/1101/13C.jpg13C"/>
                          <pic:cNvPicPr>
                            <a:picLocks noChangeAspect="1"/>
                          </pic:cNvPicPr>
                        </pic:nvPicPr>
                        <pic:blipFill>
                          <a:blip r:embed="rId16" cstate="print">
                            <a:lum bright="6000"/>
                          </a:blip>
                          <a:srcRect l="2483" r="2483"/>
                          <a:stretch>
                            <a:fillRect/>
                          </a:stretch>
                        </pic:blipFill>
                        <pic:spPr>
                          <a:xfrm>
                            <a:off x="0" y="0"/>
                            <a:ext cx="919480" cy="819785"/>
                          </a:xfrm>
                          <a:prstGeom prst="rect">
                            <a:avLst/>
                          </a:prstGeom>
                        </pic:spPr>
                      </pic:pic>
                    </a:graphicData>
                  </a:graphic>
                </wp:inline>
              </w:drawing>
            </w:r>
          </w:p>
          <w:p>
            <w:pPr>
              <w:pStyle w:val="14"/>
              <w:rPr>
                <w:rFonts w:hint="eastAsia" w:ascii="仿宋" w:hAnsi="仿宋" w:eastAsia="仿宋" w:cs="仿宋"/>
                <w:b/>
                <w:bCs/>
                <w:color w:val="auto"/>
                <w:kern w:val="2"/>
                <w:sz w:val="21"/>
                <w:szCs w:val="20"/>
                <w:highlight w:val="none"/>
                <w:lang w:val="en-US" w:eastAsia="zh-CN" w:bidi="ar-SA"/>
              </w:rPr>
            </w:pPr>
            <w:r>
              <w:rPr>
                <w:rFonts w:hint="eastAsia" w:ascii="仿宋" w:hAnsi="仿宋" w:eastAsia="仿宋" w:cs="仿宋"/>
                <w:b/>
                <w:bCs/>
                <w:color w:val="auto"/>
                <w:highlight w:val="none"/>
                <w:lang w:val="en-US" w:eastAsia="zh-CN"/>
              </w:rPr>
              <w:t>③</w:t>
            </w:r>
            <w:r>
              <w:rPr>
                <w:rFonts w:hint="eastAsia" w:ascii="仿宋" w:hAnsi="仿宋" w:eastAsia="仿宋" w:cs="仿宋"/>
                <w:b/>
                <w:bCs/>
                <w:color w:val="auto"/>
                <w:kern w:val="2"/>
                <w:sz w:val="21"/>
                <w:szCs w:val="20"/>
                <w:highlight w:val="none"/>
                <w:lang w:val="en-US" w:eastAsia="zh-CN" w:bidi="ar-SA"/>
              </w:rPr>
              <w:t xml:space="preserve"> 4人连体餐桌，投标时提供样品1张，1810*1300*760（桌面高度）(土10mm),</w:t>
            </w:r>
            <w:r>
              <w:rPr>
                <w:rFonts w:hint="eastAsia" w:ascii="仿宋" w:hAnsi="仿宋" w:eastAsia="仿宋" w:cs="仿宋"/>
                <w:b/>
                <w:bCs/>
                <w:color w:val="auto"/>
                <w:highlight w:val="none"/>
                <w:lang w:val="en-US" w:eastAsia="zh-CN"/>
              </w:rPr>
              <w:t>具体按照清单要求提供</w:t>
            </w:r>
            <w:r>
              <w:rPr>
                <w:rFonts w:hint="eastAsia" w:ascii="仿宋" w:hAnsi="仿宋" w:eastAsia="仿宋" w:cs="仿宋"/>
                <w:b/>
                <w:bCs/>
                <w:color w:val="auto"/>
                <w:kern w:val="2"/>
                <w:sz w:val="21"/>
                <w:szCs w:val="20"/>
                <w:highlight w:val="none"/>
                <w:lang w:val="en-US" w:eastAsia="zh-CN" w:bidi="ar-SA"/>
              </w:rPr>
              <w:t>：</w:t>
            </w:r>
          </w:p>
          <w:p>
            <w:pPr>
              <w:pStyle w:val="14"/>
              <w:rPr>
                <w:rFonts w:hint="eastAsia" w:ascii="仿宋" w:hAnsi="仿宋" w:eastAsia="仿宋" w:cs="仿宋"/>
                <w:b/>
                <w:bCs/>
                <w:color w:val="auto"/>
                <w:kern w:val="2"/>
                <w:sz w:val="21"/>
                <w:szCs w:val="20"/>
                <w:highlight w:val="none"/>
                <w:lang w:val="en-US" w:eastAsia="zh-CN" w:bidi="ar-SA"/>
              </w:rPr>
            </w:pPr>
            <w:r>
              <w:rPr>
                <w:color w:val="auto"/>
                <w:highlight w:val="none"/>
              </w:rPr>
              <w:drawing>
                <wp:inline distT="0" distB="0" distL="114300" distR="114300">
                  <wp:extent cx="1225550" cy="891540"/>
                  <wp:effectExtent l="0" t="0" r="12700" b="3810"/>
                  <wp:docPr id="5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9"/>
                          <pic:cNvPicPr>
                            <a:picLocks noChangeAspect="1"/>
                          </pic:cNvPicPr>
                        </pic:nvPicPr>
                        <pic:blipFill>
                          <a:blip r:embed="rId17" cstate="print"/>
                          <a:stretch>
                            <a:fillRect/>
                          </a:stretch>
                        </pic:blipFill>
                        <pic:spPr>
                          <a:xfrm>
                            <a:off x="0" y="0"/>
                            <a:ext cx="1225550" cy="891540"/>
                          </a:xfrm>
                          <a:prstGeom prst="rect">
                            <a:avLst/>
                          </a:prstGeom>
                          <a:noFill/>
                          <a:ln w="9525">
                            <a:noFill/>
                          </a:ln>
                        </pic:spPr>
                      </pic:pic>
                    </a:graphicData>
                  </a:graphic>
                </wp:inline>
              </w:drawing>
            </w:r>
          </w:p>
          <w:p>
            <w:pPr>
              <w:pStyle w:val="2"/>
              <w:ind w:left="0" w:leftChars="0" w:firstLine="0" w:firstLineChars="0"/>
              <w:rPr>
                <w:rFonts w:hint="eastAsia" w:ascii="宋体" w:hAnsi="宋体" w:eastAsia="宋体" w:cs="宋体"/>
                <w:color w:val="auto"/>
                <w:sz w:val="21"/>
                <w:szCs w:val="21"/>
                <w:highlight w:val="none"/>
                <w:lang w:val="en-US" w:eastAsia="zh-CN"/>
              </w:rPr>
            </w:pPr>
          </w:p>
          <w:p>
            <w:pPr>
              <w:pStyle w:val="14"/>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注：每家投标供应商按招标文件要求提供样品，投标人没有提供样品的，投标无效。</w:t>
            </w:r>
          </w:p>
          <w:p>
            <w:pPr>
              <w:widowControl/>
              <w:snapToGrid w:val="0"/>
              <w:spacing w:line="480" w:lineRule="exact"/>
              <w:ind w:firstLine="0"/>
              <w:rPr>
                <w:rFonts w:hint="eastAsia" w:ascii="仿宋" w:hAnsi="仿宋" w:eastAsia="仿宋" w:cs="仿宋"/>
                <w:color w:val="auto"/>
                <w:highlight w:val="none"/>
              </w:rPr>
            </w:pPr>
            <w:r>
              <w:rPr>
                <w:rFonts w:hint="eastAsia" w:ascii="仿宋" w:hAnsi="仿宋" w:eastAsia="仿宋" w:cs="仿宋"/>
                <w:color w:val="auto"/>
                <w:highlight w:val="none"/>
                <w:lang w:val="en-US"/>
              </w:rPr>
              <w:t>允许投标供应商提交的样品规格在满足采购人的技术规范要求的情况下，可以允许偏差±2%（含2%），不影响技术标评分。</w:t>
            </w:r>
          </w:p>
          <w:p>
            <w:pPr>
              <w:numPr>
                <w:ilvl w:val="0"/>
                <w:numId w:val="4"/>
              </w:numPr>
              <w:autoSpaceDE w:val="0"/>
              <w:autoSpaceDN w:val="0"/>
              <w:spacing w:line="440" w:lineRule="exact"/>
              <w:textAlignment w:val="bottom"/>
              <w:rPr>
                <w:rFonts w:hint="eastAsia" w:ascii="仿宋" w:hAnsi="仿宋" w:eastAsia="仿宋" w:cs="仿宋"/>
                <w:color w:val="auto"/>
                <w:highlight w:val="none"/>
              </w:rPr>
            </w:pPr>
            <w:r>
              <w:rPr>
                <w:rFonts w:hint="eastAsia" w:ascii="仿宋" w:hAnsi="仿宋" w:eastAsia="仿宋" w:cs="仿宋"/>
                <w:color w:val="auto"/>
                <w:highlight w:val="none"/>
              </w:rPr>
              <w:t>样品送达地点：绍兴市公共资源交易中心越城区分中心【浙江省绍兴市延安东路660号新地大厦三楼317样品摆放间】。未按时送达指定地点的，作无效投标处理。</w:t>
            </w:r>
          </w:p>
          <w:p>
            <w:pPr>
              <w:numPr>
                <w:ilvl w:val="0"/>
                <w:numId w:val="4"/>
              </w:numPr>
              <w:autoSpaceDE w:val="0"/>
              <w:autoSpaceDN w:val="0"/>
              <w:spacing w:line="440" w:lineRule="exact"/>
              <w:textAlignment w:val="bottom"/>
              <w:rPr>
                <w:rFonts w:hint="eastAsia" w:ascii="仿宋" w:hAnsi="仿宋" w:eastAsia="仿宋" w:cs="仿宋"/>
                <w:color w:val="auto"/>
                <w:highlight w:val="none"/>
              </w:rPr>
            </w:pPr>
            <w:r>
              <w:rPr>
                <w:rFonts w:hint="eastAsia" w:ascii="仿宋" w:hAnsi="仿宋" w:eastAsia="仿宋" w:cs="仿宋"/>
                <w:color w:val="auto"/>
                <w:highlight w:val="none"/>
              </w:rPr>
              <w:t>样品需贴有标注供应商名称且加盖公章的标签，标签上注明投标人名称、送样联系人名称及电话。</w:t>
            </w:r>
          </w:p>
          <w:p>
            <w:pPr>
              <w:autoSpaceDE w:val="0"/>
              <w:autoSpaceDN w:val="0"/>
              <w:spacing w:line="440" w:lineRule="exact"/>
              <w:textAlignment w:val="bottom"/>
              <w:rPr>
                <w:rFonts w:hint="eastAsia" w:ascii="仿宋" w:hAnsi="仿宋" w:eastAsia="仿宋" w:cs="仿宋"/>
                <w:color w:val="auto"/>
                <w:highlight w:val="none"/>
              </w:rPr>
            </w:pPr>
            <w:r>
              <w:rPr>
                <w:rFonts w:hint="eastAsia" w:ascii="仿宋" w:hAnsi="仿宋" w:eastAsia="仿宋" w:cs="仿宋"/>
                <w:color w:val="auto"/>
                <w:highlight w:val="none"/>
              </w:rPr>
              <w:t>5、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autoSpaceDE w:val="0"/>
              <w:autoSpaceDN w:val="0"/>
              <w:spacing w:line="500" w:lineRule="exact"/>
              <w:textAlignment w:val="bottom"/>
              <w:rPr>
                <w:rFonts w:hint="eastAsia" w:ascii="仿宋" w:hAnsi="仿宋" w:eastAsia="仿宋" w:cs="仿宋"/>
                <w:color w:val="auto"/>
                <w:highlight w:val="none"/>
              </w:rPr>
            </w:pPr>
            <w:r>
              <w:rPr>
                <w:rFonts w:hint="eastAsia" w:ascii="仿宋" w:hAnsi="仿宋" w:eastAsia="仿宋" w:cs="仿宋"/>
                <w:color w:val="auto"/>
                <w:highlight w:val="none"/>
              </w:rPr>
              <w:t>6、送样联系人：</w:t>
            </w:r>
            <w:r>
              <w:rPr>
                <w:rFonts w:hint="eastAsia" w:ascii="仿宋" w:hAnsi="仿宋" w:eastAsia="仿宋" w:cs="仿宋"/>
                <w:color w:val="auto"/>
                <w:highlight w:val="none"/>
                <w:lang w:val="en-US" w:eastAsia="zh-CN"/>
              </w:rPr>
              <w:t>金生钦</w:t>
            </w:r>
            <w:r>
              <w:rPr>
                <w:rFonts w:hint="eastAsia" w:ascii="仿宋" w:hAnsi="仿宋" w:eastAsia="仿宋" w:cs="仿宋"/>
                <w:color w:val="auto"/>
                <w:highlight w:val="none"/>
              </w:rPr>
              <w:t>，联系电话：</w:t>
            </w:r>
            <w:r>
              <w:rPr>
                <w:rFonts w:hint="eastAsia" w:ascii="仿宋" w:hAnsi="仿宋" w:eastAsia="仿宋" w:cs="仿宋"/>
                <w:color w:val="auto"/>
                <w:highlight w:val="none"/>
                <w:lang w:val="en-US" w:eastAsia="zh-CN"/>
              </w:rPr>
              <w:t>18657587980</w:t>
            </w:r>
            <w:r>
              <w:rPr>
                <w:rFonts w:hint="eastAsia" w:ascii="仿宋" w:hAnsi="仿宋" w:eastAsia="仿宋" w:cs="仿宋"/>
                <w:color w:val="auto"/>
                <w:highlight w:val="none"/>
              </w:rPr>
              <w:t>。</w:t>
            </w:r>
          </w:p>
          <w:p>
            <w:pPr>
              <w:pStyle w:val="14"/>
              <w:rPr>
                <w:rFonts w:hint="eastAsia"/>
                <w:color w:val="auto"/>
                <w:highlight w:val="none"/>
                <w:lang w:eastAsia="zh-CN"/>
              </w:rPr>
            </w:pPr>
            <w:r>
              <w:rPr>
                <w:rFonts w:hint="eastAsia" w:ascii="仿宋" w:hAnsi="仿宋" w:eastAsia="仿宋" w:cs="仿宋"/>
                <w:color w:val="auto"/>
                <w:kern w:val="2"/>
                <w:sz w:val="21"/>
                <w:szCs w:val="20"/>
                <w:highlight w:val="none"/>
                <w:lang w:val="en-US" w:eastAsia="zh-CN" w:bidi="ar-SA"/>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4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ascii="仿宋" w:eastAsia="仿宋"/>
                <w:color w:val="auto"/>
                <w:sz w:val="24"/>
                <w:highlight w:val="none"/>
              </w:rPr>
            </w:pPr>
            <w:r>
              <w:rPr>
                <w:rFonts w:ascii="仿宋" w:eastAsia="仿宋"/>
                <w:color w:val="auto"/>
                <w:sz w:val="24"/>
                <w:highlight w:val="none"/>
              </w:rPr>
              <w:t>4</w:t>
            </w:r>
          </w:p>
        </w:tc>
        <w:tc>
          <w:tcPr>
            <w:tcW w:w="8110" w:type="dxa"/>
            <w:tcBorders>
              <w:top w:val="single" w:color="auto" w:sz="4" w:space="0"/>
              <w:left w:val="single" w:color="auto" w:sz="4" w:space="0"/>
              <w:bottom w:val="single" w:color="auto" w:sz="4" w:space="0"/>
              <w:right w:val="single" w:color="auto" w:sz="4" w:space="0"/>
              <w:tl2br w:val="nil"/>
              <w:tr2bl w:val="nil"/>
            </w:tcBorders>
            <w:noWrap/>
            <w:vAlign w:val="center"/>
          </w:tcPr>
          <w:p>
            <w:pPr>
              <w:autoSpaceDE w:val="0"/>
              <w:autoSpaceDN w:val="0"/>
              <w:spacing w:line="500" w:lineRule="exact"/>
              <w:textAlignment w:val="bottom"/>
              <w:rPr>
                <w:rFonts w:ascii="仿宋" w:eastAsia="仿宋"/>
                <w:b/>
                <w:color w:val="auto"/>
                <w:sz w:val="24"/>
                <w:highlight w:val="none"/>
              </w:rPr>
            </w:pPr>
            <w:r>
              <w:rPr>
                <w:rFonts w:ascii="仿宋" w:eastAsia="仿宋"/>
                <w:b/>
                <w:color w:val="auto"/>
                <w:sz w:val="24"/>
                <w:highlight w:val="none"/>
              </w:rPr>
              <w:t>是否演示：</w:t>
            </w:r>
            <w:r>
              <w:rPr>
                <w:rFonts w:ascii="仿宋" w:eastAsia="仿宋"/>
                <w:b/>
                <w:color w:val="auto"/>
                <w:sz w:val="24"/>
                <w:highlight w:val="none"/>
                <w:u w:val="single"/>
              </w:rPr>
              <w:t xml:space="preserve"> </w:t>
            </w:r>
            <w:r>
              <w:rPr>
                <w:rFonts w:ascii="仿宋" w:eastAsia="仿宋"/>
                <w:color w:val="auto"/>
                <w:sz w:val="24"/>
                <w:highlight w:val="none"/>
                <w:u w:val="single"/>
              </w:rPr>
              <w:t>否</w:t>
            </w:r>
            <w:r>
              <w:rPr>
                <w:rFonts w:ascii="仿宋" w:eastAsia="仿宋"/>
                <w:b/>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4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eastAsia="仿宋"/>
                <w:color w:val="auto"/>
                <w:sz w:val="24"/>
                <w:highlight w:val="none"/>
              </w:rPr>
            </w:pPr>
            <w:r>
              <w:rPr>
                <w:rFonts w:ascii="仿宋" w:eastAsia="仿宋"/>
                <w:color w:val="auto"/>
                <w:sz w:val="24"/>
                <w:highlight w:val="none"/>
              </w:rPr>
              <w:t>5</w:t>
            </w:r>
          </w:p>
        </w:tc>
        <w:tc>
          <w:tcPr>
            <w:tcW w:w="8110" w:type="dxa"/>
            <w:tcBorders>
              <w:top w:val="single" w:color="auto" w:sz="4" w:space="0"/>
              <w:left w:val="single" w:color="auto" w:sz="4" w:space="0"/>
              <w:bottom w:val="single" w:color="auto" w:sz="4" w:space="0"/>
              <w:right w:val="single" w:color="auto" w:sz="4" w:space="0"/>
              <w:tl2br w:val="nil"/>
              <w:tr2bl w:val="nil"/>
            </w:tcBorders>
            <w:noWrap/>
            <w:vAlign w:val="center"/>
          </w:tcPr>
          <w:p>
            <w:pPr>
              <w:autoSpaceDE w:val="0"/>
              <w:autoSpaceDN w:val="0"/>
              <w:textAlignment w:val="bottom"/>
              <w:rPr>
                <w:rFonts w:hint="eastAsia" w:ascii="仿宋" w:eastAsia="仿宋" w:cs="Arial"/>
                <w:b/>
                <w:color w:val="auto"/>
                <w:sz w:val="24"/>
                <w:highlight w:val="none"/>
              </w:rPr>
            </w:pPr>
            <w:r>
              <w:rPr>
                <w:rFonts w:hint="eastAsia" w:ascii="仿宋" w:eastAsia="仿宋"/>
                <w:b/>
                <w:color w:val="auto"/>
                <w:sz w:val="24"/>
                <w:highlight w:val="none"/>
              </w:rPr>
              <w:t>是否组织现场踏勘：</w:t>
            </w:r>
            <w:r>
              <w:rPr>
                <w:rFonts w:hint="eastAsia" w:ascii="仿宋" w:eastAsia="仿宋"/>
                <w:b/>
                <w:color w:val="auto"/>
                <w:sz w:val="24"/>
                <w:highlight w:val="none"/>
                <w:u w:val="single"/>
              </w:rPr>
              <w:t xml:space="preserve">  </w:t>
            </w:r>
            <w:r>
              <w:rPr>
                <w:rFonts w:ascii="仿宋" w:eastAsia="仿宋"/>
                <w:color w:val="auto"/>
                <w:sz w:val="24"/>
                <w:highlight w:val="none"/>
                <w:u w:val="single"/>
              </w:rPr>
              <w:t>否</w:t>
            </w:r>
            <w:r>
              <w:rPr>
                <w:rFonts w:hint="eastAsia" w:ascii="仿宋" w:eastAsia="仿宋"/>
                <w:b/>
                <w:color w:val="auto"/>
                <w:sz w:val="24"/>
                <w:highlight w:val="none"/>
                <w:u w:val="single"/>
              </w:rPr>
              <w:t xml:space="preserve">  </w:t>
            </w:r>
            <w:r>
              <w:rPr>
                <w:rFonts w:hint="eastAsia" w:ascii="仿宋" w:eastAsia="仿宋"/>
                <w:b/>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4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eastAsia="仿宋"/>
                <w:color w:val="auto"/>
                <w:sz w:val="24"/>
                <w:highlight w:val="none"/>
              </w:rPr>
            </w:pPr>
            <w:r>
              <w:rPr>
                <w:rFonts w:ascii="仿宋" w:eastAsia="仿宋"/>
                <w:color w:val="auto"/>
                <w:sz w:val="24"/>
                <w:highlight w:val="none"/>
              </w:rPr>
              <w:t>6</w:t>
            </w:r>
          </w:p>
        </w:tc>
        <w:tc>
          <w:tcPr>
            <w:tcW w:w="811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500" w:lineRule="exact"/>
              <w:rPr>
                <w:rFonts w:hint="eastAsia" w:ascii="仿宋" w:eastAsia="仿宋"/>
                <w:color w:val="auto"/>
                <w:sz w:val="24"/>
                <w:highlight w:val="none"/>
              </w:rPr>
            </w:pPr>
            <w:r>
              <w:rPr>
                <w:rFonts w:hint="eastAsia" w:ascii="仿宋" w:eastAsia="仿宋"/>
                <w:b/>
                <w:color w:val="auto"/>
                <w:sz w:val="24"/>
                <w:highlight w:val="none"/>
              </w:rPr>
              <w:t>投标文件份数：</w:t>
            </w:r>
            <w:r>
              <w:rPr>
                <w:rFonts w:ascii="仿宋" w:eastAsia="仿宋"/>
                <w:b/>
                <w:color w:val="auto"/>
                <w:sz w:val="24"/>
                <w:highlight w:val="none"/>
              </w:rPr>
              <w:t>正本一份，副本</w:t>
            </w:r>
            <w:r>
              <w:rPr>
                <w:rFonts w:hint="eastAsia" w:ascii="仿宋" w:hAnsi="仿宋" w:eastAsia="仿宋" w:cs="仿宋"/>
                <w:b/>
                <w:color w:val="auto"/>
                <w:sz w:val="24"/>
                <w:highlight w:val="none"/>
                <w:u w:val="single"/>
              </w:rPr>
              <w:t>肆</w:t>
            </w:r>
            <w:r>
              <w:rPr>
                <w:rFonts w:ascii="仿宋" w:eastAsia="仿宋"/>
                <w:b/>
                <w:color w:val="auto"/>
                <w:sz w:val="24"/>
                <w:highlight w:val="none"/>
              </w:rPr>
              <w:t>份</w:t>
            </w:r>
            <w:r>
              <w:rPr>
                <w:rFonts w:hint="eastAsia" w:ascii="仿宋" w:eastAsia="仿宋"/>
                <w:color w:val="auto"/>
                <w:sz w:val="24"/>
                <w:highlight w:val="none"/>
              </w:rPr>
              <w:t>。</w:t>
            </w:r>
            <w:r>
              <w:rPr>
                <w:rFonts w:ascii="仿宋" w:eastAsia="仿宋"/>
                <w:color w:val="auto"/>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74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eastAsia="仿宋"/>
                <w:color w:val="auto"/>
                <w:sz w:val="24"/>
                <w:highlight w:val="none"/>
              </w:rPr>
            </w:pPr>
            <w:r>
              <w:rPr>
                <w:rFonts w:ascii="仿宋" w:eastAsia="仿宋"/>
                <w:color w:val="auto"/>
                <w:sz w:val="24"/>
                <w:highlight w:val="none"/>
              </w:rPr>
              <w:t>7</w:t>
            </w:r>
          </w:p>
        </w:tc>
        <w:tc>
          <w:tcPr>
            <w:tcW w:w="8110" w:type="dxa"/>
            <w:tcBorders>
              <w:top w:val="single" w:color="auto" w:sz="4" w:space="0"/>
              <w:left w:val="single" w:color="auto" w:sz="4" w:space="0"/>
              <w:bottom w:val="single" w:color="auto" w:sz="4" w:space="0"/>
              <w:right w:val="single" w:color="auto" w:sz="4" w:space="0"/>
              <w:tl2br w:val="nil"/>
              <w:tr2bl w:val="nil"/>
            </w:tcBorders>
            <w:noWrap/>
            <w:vAlign w:val="center"/>
          </w:tcPr>
          <w:p>
            <w:pPr>
              <w:autoSpaceDE w:val="0"/>
              <w:autoSpaceDN w:val="0"/>
              <w:spacing w:line="500" w:lineRule="exact"/>
              <w:textAlignment w:val="bottom"/>
              <w:rPr>
                <w:rFonts w:ascii="仿宋" w:eastAsia="仿宋"/>
                <w:b/>
                <w:color w:val="auto"/>
                <w:sz w:val="24"/>
                <w:highlight w:val="none"/>
              </w:rPr>
            </w:pPr>
            <w:r>
              <w:rPr>
                <w:rFonts w:hint="eastAsia" w:ascii="仿宋" w:eastAsia="仿宋"/>
                <w:b/>
                <w:color w:val="auto"/>
                <w:sz w:val="24"/>
                <w:highlight w:val="none"/>
              </w:rPr>
              <w:t>履约保证金</w:t>
            </w:r>
            <w:r>
              <w:rPr>
                <w:rFonts w:ascii="仿宋" w:eastAsia="仿宋"/>
                <w:b/>
                <w:color w:val="auto"/>
                <w:sz w:val="24"/>
                <w:highlight w:val="none"/>
              </w:rPr>
              <w:t>及缴退时间</w:t>
            </w:r>
            <w:r>
              <w:rPr>
                <w:rFonts w:hint="eastAsia" w:ascii="仿宋" w:eastAsia="仿宋"/>
                <w:b/>
                <w:color w:val="auto"/>
                <w:sz w:val="24"/>
                <w:highlight w:val="none"/>
              </w:rPr>
              <w:t>：</w:t>
            </w:r>
            <w:r>
              <w:rPr>
                <w:rFonts w:ascii="仿宋" w:eastAsia="仿宋"/>
                <w:b/>
                <w:color w:val="auto"/>
                <w:sz w:val="24"/>
                <w:highlight w:val="none"/>
                <w:u w:val="single"/>
              </w:rPr>
              <w:t xml:space="preserve"> </w:t>
            </w:r>
            <w:r>
              <w:rPr>
                <w:rFonts w:hint="eastAsia" w:ascii="仿宋" w:eastAsia="仿宋"/>
                <w:b/>
                <w:color w:val="auto"/>
                <w:sz w:val="24"/>
                <w:highlight w:val="none"/>
                <w:u w:val="single"/>
              </w:rPr>
              <w:t>履约保证金为中标合同金额的1%，合同履行完毕且经采购人认可的第三方专业检测机构，出具合格报告后退还（不计息），采购人验收不合格的，不予退还履约保证金。</w:t>
            </w:r>
          </w:p>
          <w:p>
            <w:pPr>
              <w:autoSpaceDE w:val="0"/>
              <w:autoSpaceDN w:val="0"/>
              <w:spacing w:line="500" w:lineRule="exact"/>
              <w:textAlignment w:val="bottom"/>
              <w:rPr>
                <w:rFonts w:hint="eastAsia" w:ascii="仿宋" w:eastAsia="仿宋"/>
                <w:b/>
                <w:color w:val="auto"/>
                <w:sz w:val="24"/>
                <w:highlight w:val="none"/>
                <w:lang w:eastAsia="zh-CN"/>
              </w:rPr>
            </w:pPr>
            <w:r>
              <w:rPr>
                <w:rFonts w:hint="eastAsia" w:ascii="仿宋" w:hAnsi="仿宋" w:eastAsia="仿宋" w:cs="仿宋"/>
                <w:b/>
                <w:color w:val="auto"/>
                <w:sz w:val="24"/>
                <w:highlight w:val="none"/>
              </w:rPr>
              <w:t>应当以支票、汇票或者银行出具的保函等非现金形式提交</w:t>
            </w:r>
            <w:r>
              <w:rPr>
                <w:rFonts w:hint="eastAsia" w:ascii="仿宋" w:hAnsi="仿宋" w:eastAsia="仿宋" w:cs="仿宋"/>
                <w:b/>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4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eastAsia="仿宋"/>
                <w:color w:val="auto"/>
                <w:sz w:val="24"/>
                <w:highlight w:val="none"/>
              </w:rPr>
            </w:pPr>
            <w:r>
              <w:rPr>
                <w:rFonts w:ascii="仿宋" w:eastAsia="仿宋"/>
                <w:color w:val="auto"/>
                <w:sz w:val="24"/>
                <w:highlight w:val="none"/>
              </w:rPr>
              <w:t>8</w:t>
            </w:r>
          </w:p>
        </w:tc>
        <w:tc>
          <w:tcPr>
            <w:tcW w:w="8110"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jc w:val="left"/>
              <w:rPr>
                <w:rFonts w:hint="eastAsia" w:ascii="仿宋" w:eastAsia="仿宋"/>
                <w:color w:val="auto"/>
                <w:sz w:val="24"/>
                <w:highlight w:val="none"/>
                <w:lang w:eastAsia="zh-CN"/>
              </w:rPr>
            </w:pPr>
            <w:r>
              <w:rPr>
                <w:rFonts w:ascii="仿宋" w:eastAsia="仿宋"/>
                <w:b/>
                <w:bCs/>
                <w:color w:val="auto"/>
                <w:sz w:val="24"/>
                <w:highlight w:val="none"/>
              </w:rPr>
              <w:t>分包与转包</w:t>
            </w:r>
            <w:r>
              <w:rPr>
                <w:rFonts w:hint="eastAsia" w:ascii="仿宋" w:eastAsia="仿宋"/>
                <w:color w:val="auto"/>
                <w:sz w:val="24"/>
                <w:highlight w:val="none"/>
              </w:rPr>
              <w:t>：本项目</w:t>
            </w:r>
            <w:r>
              <w:rPr>
                <w:rFonts w:hint="eastAsia" w:ascii="仿宋" w:eastAsia="仿宋"/>
                <w:color w:val="auto"/>
                <w:sz w:val="24"/>
                <w:highlight w:val="none"/>
                <w:u w:val="single"/>
              </w:rPr>
              <w:t xml:space="preserve"> 不允许 </w:t>
            </w:r>
            <w:r>
              <w:rPr>
                <w:rFonts w:hint="eastAsia" w:ascii="仿宋" w:eastAsia="仿宋"/>
                <w:color w:val="auto"/>
                <w:sz w:val="24"/>
                <w:highlight w:val="none"/>
              </w:rPr>
              <w:t>分包</w:t>
            </w:r>
            <w:r>
              <w:rPr>
                <w:rFonts w:hint="eastAsia" w:ascii="仿宋" w:eastAsia="仿宋"/>
                <w:color w:val="auto"/>
                <w:sz w:val="24"/>
                <w:highlight w:val="none"/>
                <w:lang w:eastAsia="zh-CN"/>
              </w:rPr>
              <w:t>，</w:t>
            </w:r>
            <w:r>
              <w:rPr>
                <w:rFonts w:hint="eastAsia" w:ascii="仿宋" w:eastAsia="仿宋"/>
                <w:color w:val="auto"/>
                <w:sz w:val="24"/>
                <w:highlight w:val="none"/>
                <w:u w:val="single"/>
              </w:rPr>
              <w:t xml:space="preserve"> 不允许</w:t>
            </w:r>
            <w:r>
              <w:rPr>
                <w:rFonts w:hint="eastAsia" w:ascii="仿宋" w:eastAsia="仿宋"/>
                <w:color w:val="auto"/>
                <w:sz w:val="24"/>
                <w:highlight w:val="none"/>
              </w:rPr>
              <w:t>转包</w:t>
            </w:r>
            <w:r>
              <w:rPr>
                <w:rFonts w:hint="eastAsia" w:ascii="仿宋" w:eastAsia="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74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eastAsia="仿宋"/>
                <w:color w:val="auto"/>
                <w:sz w:val="24"/>
                <w:highlight w:val="none"/>
              </w:rPr>
            </w:pPr>
            <w:r>
              <w:rPr>
                <w:rFonts w:ascii="仿宋" w:eastAsia="仿宋"/>
                <w:color w:val="auto"/>
                <w:sz w:val="24"/>
                <w:highlight w:val="none"/>
              </w:rPr>
              <w:t>9</w:t>
            </w:r>
          </w:p>
        </w:tc>
        <w:tc>
          <w:tcPr>
            <w:tcW w:w="811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500" w:lineRule="exact"/>
              <w:jc w:val="left"/>
              <w:rPr>
                <w:rFonts w:hint="default" w:ascii="仿宋" w:eastAsia="仿宋" w:cs="仿宋_GB2312"/>
                <w:color w:val="auto"/>
                <w:sz w:val="24"/>
                <w:highlight w:val="none"/>
                <w:lang w:val="en-US" w:eastAsia="zh-CN"/>
              </w:rPr>
            </w:pPr>
            <w:r>
              <w:rPr>
                <w:rFonts w:hint="eastAsia" w:ascii="仿宋" w:eastAsia="仿宋" w:cs="仿宋_GB2312"/>
                <w:b/>
                <w:bCs/>
                <w:color w:val="auto"/>
                <w:sz w:val="24"/>
                <w:highlight w:val="none"/>
              </w:rPr>
              <w:t>采购代理服务费：</w:t>
            </w:r>
            <w:r>
              <w:rPr>
                <w:rFonts w:hint="eastAsia" w:ascii="仿宋" w:eastAsia="仿宋"/>
                <w:color w:val="auto"/>
                <w:sz w:val="24"/>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8" w:hRule="atLeast"/>
        </w:trPr>
        <w:tc>
          <w:tcPr>
            <w:tcW w:w="740"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ascii="仿宋" w:eastAsia="仿宋"/>
                <w:color w:val="auto"/>
                <w:sz w:val="24"/>
                <w:highlight w:val="none"/>
              </w:rPr>
            </w:pPr>
            <w:r>
              <w:rPr>
                <w:rFonts w:hint="eastAsia" w:ascii="仿宋" w:eastAsia="仿宋"/>
                <w:color w:val="auto"/>
                <w:sz w:val="24"/>
                <w:highlight w:val="none"/>
              </w:rPr>
              <w:t>1</w:t>
            </w:r>
            <w:r>
              <w:rPr>
                <w:rFonts w:ascii="仿宋" w:eastAsia="仿宋"/>
                <w:color w:val="auto"/>
                <w:sz w:val="24"/>
                <w:highlight w:val="none"/>
              </w:rPr>
              <w:t>0</w:t>
            </w:r>
          </w:p>
        </w:tc>
        <w:tc>
          <w:tcPr>
            <w:tcW w:w="8110"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jc w:val="left"/>
              <w:rPr>
                <w:rFonts w:hint="eastAsia" w:ascii="仿宋" w:eastAsia="仿宋"/>
                <w:b/>
                <w:bCs/>
                <w:color w:val="auto"/>
                <w:sz w:val="24"/>
                <w:highlight w:val="none"/>
                <w:lang w:val="en-US" w:eastAsia="zh-CN"/>
              </w:rPr>
            </w:pPr>
            <w:r>
              <w:rPr>
                <w:rFonts w:hint="eastAsia" w:ascii="仿宋" w:eastAsia="仿宋"/>
                <w:b/>
                <w:bCs/>
                <w:color w:val="auto"/>
                <w:sz w:val="24"/>
                <w:highlight w:val="none"/>
                <w:lang w:val="en-US" w:eastAsia="zh-CN"/>
              </w:rPr>
              <w:t>本项目采购标的（货物部分）所属行业：</w:t>
            </w:r>
          </w:p>
          <w:p>
            <w:pPr>
              <w:pStyle w:val="2"/>
              <w:rPr>
                <w:rFonts w:hint="default"/>
                <w:lang w:val="en-US" w:eastAsia="zh-CN"/>
              </w:rPr>
            </w:pPr>
            <w:r>
              <w:rPr>
                <w:rFonts w:hint="eastAsia" w:ascii="仿宋" w:eastAsia="仿宋"/>
                <w:b/>
                <w:bCs/>
                <w:color w:val="auto"/>
                <w:sz w:val="24"/>
                <w:highlight w:val="none"/>
                <w:lang w:val="en-US" w:eastAsia="zh-CN"/>
              </w:rPr>
              <w:t>01标：</w:t>
            </w:r>
          </w:p>
          <w:tbl>
            <w:tblPr>
              <w:tblStyle w:val="29"/>
              <w:tblpPr w:leftFromText="180" w:rightFromText="180" w:vertAnchor="text" w:horzAnchor="page" w:tblpX="58" w:tblpY="177"/>
              <w:tblOverlap w:val="never"/>
              <w:tblW w:w="8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9"/>
              <w:gridCol w:w="4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default"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采购标的名称</w:t>
                  </w:r>
                </w:p>
              </w:tc>
              <w:tc>
                <w:tcPr>
                  <w:tcW w:w="4070" w:type="dxa"/>
                  <w:vAlign w:val="center"/>
                </w:tcPr>
                <w:p>
                  <w:pPr>
                    <w:snapToGrid w:val="0"/>
                    <w:jc w:val="center"/>
                    <w:rPr>
                      <w:rFonts w:hint="default"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足球门</w:t>
                  </w:r>
                </w:p>
              </w:tc>
              <w:tc>
                <w:tcPr>
                  <w:tcW w:w="4070" w:type="dxa"/>
                  <w:vAlign w:val="center"/>
                </w:tcPr>
                <w:p>
                  <w:pPr>
                    <w:snapToGrid w:val="0"/>
                    <w:jc w:val="center"/>
                    <w:rPr>
                      <w:rFonts w:hint="default"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阅览桌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阅览椅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吧台</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吧椅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班前椅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办公椅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办公桌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半隐私个人工作站</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包厢圆餐桌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报告厅椅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被服柜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比赛跳高架</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病患椅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财务桌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采编桌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餐椅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餐桌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插地式排球柱</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茶几</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茶水柜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茶椅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茶桌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成品矮柜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成品定制低柜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成品定制书柜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储藏柜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储物凳</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储物柜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床垫</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床头柜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床尾凳</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打印机柜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大圆桌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单人半隐私沙发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单人床</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单人静音仓</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单人沙发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单人位课椅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单人位休闲沙发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单折式乒乓球台</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导医台</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道次墩</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电动病床</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电动液压篮球架</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电脑桌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电子型坐位体前屈测试仪  新增</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电子阅览椅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电子阅览桌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调味桌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      固定白板</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      固定黑板</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 打针凳</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 治疗柜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定制工作台（含玻璃门）</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定制固定  书柜1</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定制固定白板</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定制固定橱柜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定制固定低柜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定制固定电视柜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定制固定高柜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定制固定取餐台</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定制固定衣柜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定制黑板</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定制治疗柜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多功能推车</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多人静音仓</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二人沙发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发令台（含发令烟屏）</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方餐桌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高柜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高脚培训椅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更衣凳</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更衣柜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弓形椅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护士椅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花箱</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化妆椅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化妆桌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画架</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会议条桌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会议椅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会议桌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急救物品柜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检查床</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讲台</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讲台椅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接待沙发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接待椅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接待桌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卡座餐桌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可折叠落地晾衣架</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课椅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课桌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课桌单人</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两人工作位</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两人位休闲沙发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铝合金平砂板</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密集书架（手动）</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旁听椅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培训椅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配重式排球柱  新增</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乒乓球挡板  新增</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乒乓球台</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起跑器</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起跑器运输车</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起跳板底座</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起跳板盖板</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气排球地胶、</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洽谈椅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洽谈桌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铅球抵趾板</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铅球投掷圈</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前台桌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取药凳</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软包凳子</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三人沙发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沙发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升降演讲台</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室外地埋式篮球架</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手动密集档案柜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书法椅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书法桌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书柜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双面书架</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双人半隐私沙发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双人床</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双人课桌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双人写字台</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四人排椅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台阶</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特藏书库密集书架（手动）</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田径场终点计时台  新增</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田径跨栏架  新增</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条桌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跳高海绵垫</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跳高海绵垫底架</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跳高海绵垫防护棚</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跳高横杆</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跳高丈量尺</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跳远起跳板</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推车</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推车床</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网球场推水器</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网球中网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网球柱（含网）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文件柜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小圆桌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写字椅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休息室</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休息椅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休息桌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休闲茶几</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休闲沙发椅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休闲沙发组合</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休闲椅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休闲桌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旋转药架</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研讨椅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研讨桌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演讲台</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药品柜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药品置物架</w:t>
                  </w:r>
                  <w:r>
                    <w:rPr>
                      <w:rFonts w:hint="eastAsia" w:ascii="仿宋" w:eastAsia="仿宋"/>
                      <w:b/>
                      <w:bCs/>
                      <w:color w:val="auto"/>
                      <w:sz w:val="24"/>
                      <w:highlight w:val="none"/>
                      <w:vertAlign w:val="baseline"/>
                      <w:lang w:val="en-US" w:eastAsia="zh-CN"/>
                    </w:rPr>
                    <w:br w:type="textWrapping"/>
                  </w:r>
                  <w:r>
                    <w:rPr>
                      <w:rFonts w:hint="eastAsia" w:ascii="仿宋" w:eastAsia="仿宋"/>
                      <w:b/>
                      <w:bCs/>
                      <w:color w:val="auto"/>
                      <w:sz w:val="24"/>
                      <w:highlight w:val="none"/>
                      <w:vertAlign w:val="baseline"/>
                      <w:lang w:val="en-US" w:eastAsia="zh-CN"/>
                    </w:rPr>
                    <w:t>（铝合金药架）</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衣柜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医生凳</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医生值班床（上下铺）</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医生桌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移动还书箱</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移动球柱及球网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移动式五人足球门（含网）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移动式羽毛球柱（含网）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椅子</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异形课桌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异形沙发</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研讨桌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圆餐桌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圆凳</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圆桌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阅览椅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阅览桌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长餐桌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长茶几</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诊桌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治疗车</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中岛书台</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主管桌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主席台条桌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主席椅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主席桌</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注射凳</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桌前椅</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资料柜</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69"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足球场替补席</w:t>
                  </w:r>
                </w:p>
              </w:tc>
              <w:tc>
                <w:tcPr>
                  <w:tcW w:w="4070"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bl>
          <w:p>
            <w:pPr>
              <w:pStyle w:val="2"/>
              <w:ind w:left="0" w:leftChars="0" w:firstLine="0" w:firstLineChars="0"/>
              <w:rPr>
                <w:rFonts w:hint="eastAsia" w:ascii="仿宋" w:eastAsia="仿宋"/>
                <w:b/>
                <w:bCs/>
                <w:color w:val="auto"/>
                <w:sz w:val="24"/>
                <w:highlight w:val="none"/>
                <w:lang w:val="en-US" w:eastAsia="zh-CN"/>
              </w:rPr>
            </w:pPr>
            <w:r>
              <w:rPr>
                <w:rFonts w:hint="eastAsia" w:ascii="仿宋" w:eastAsia="仿宋"/>
                <w:b/>
                <w:bCs/>
                <w:color w:val="auto"/>
                <w:sz w:val="24"/>
                <w:highlight w:val="none"/>
                <w:lang w:val="en-US" w:eastAsia="zh-CN"/>
              </w:rPr>
              <w:t>02标：</w:t>
            </w:r>
          </w:p>
          <w:tbl>
            <w:tblPr>
              <w:tblStyle w:val="29"/>
              <w:tblW w:w="8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4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4人连体餐桌</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办公椅</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办公桌</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餐椅</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茶几</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床头柜</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床中柜</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定制衣柜</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方餐桌</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连体书桌</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沙发</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水槽</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宿舍床</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文件柜</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无障碍宿舍床</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衣柜</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椅子</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长餐桌</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6" w:type="dxa"/>
                  <w:vAlign w:val="center"/>
                </w:tcPr>
                <w:p>
                  <w:pPr>
                    <w:snapToGrid w:val="0"/>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值班床</w:t>
                  </w:r>
                </w:p>
              </w:tc>
              <w:tc>
                <w:tcPr>
                  <w:tcW w:w="4087" w:type="dxa"/>
                </w:tcPr>
                <w:p>
                  <w:pPr>
                    <w:jc w:val="center"/>
                    <w:rPr>
                      <w:rFonts w:hint="eastAsia"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工业</w:t>
                  </w:r>
                </w:p>
              </w:tc>
            </w:tr>
          </w:tbl>
          <w:p>
            <w:pPr>
              <w:pStyle w:val="2"/>
              <w:ind w:left="0" w:leftChars="0" w:firstLine="0" w:firstLineChars="0"/>
              <w:rPr>
                <w:rFonts w:hint="default" w:ascii="仿宋" w:eastAsia="仿宋"/>
                <w:b/>
                <w:bCs/>
                <w:color w:val="auto"/>
                <w:sz w:val="24"/>
                <w:highlight w:val="none"/>
                <w:lang w:val="en-US" w:eastAsia="zh-CN"/>
              </w:rPr>
            </w:pPr>
          </w:p>
        </w:tc>
      </w:tr>
    </w:tbl>
    <w:p>
      <w:pPr>
        <w:ind w:left="238"/>
        <w:jc w:val="center"/>
        <w:rPr>
          <w:rFonts w:hint="eastAsia" w:ascii="仿宋" w:eastAsia="仿宋"/>
          <w:color w:val="auto"/>
          <w:sz w:val="24"/>
          <w:highlight w:val="none"/>
        </w:rPr>
      </w:pPr>
    </w:p>
    <w:p>
      <w:pPr>
        <w:pStyle w:val="4"/>
        <w:spacing w:line="415" w:lineRule="auto"/>
        <w:jc w:val="center"/>
        <w:rPr>
          <w:color w:val="auto"/>
          <w:highlight w:val="none"/>
        </w:rPr>
      </w:pPr>
      <w:bookmarkStart w:id="5" w:name="_Toc643610528"/>
      <w:r>
        <w:rPr>
          <w:color w:val="auto"/>
          <w:highlight w:val="none"/>
        </w:rPr>
        <w:t>二、采购文件</w:t>
      </w:r>
      <w:bookmarkEnd w:id="5"/>
    </w:p>
    <w:p>
      <w:p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 xml:space="preserve">1. </w:t>
      </w:r>
      <w:r>
        <w:rPr>
          <w:rFonts w:ascii="仿宋" w:eastAsia="仿宋"/>
          <w:b/>
          <w:color w:val="auto"/>
          <w:sz w:val="24"/>
          <w:highlight w:val="none"/>
        </w:rPr>
        <w:t>采购文件效力</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1.1本采购文件适用于本次所述项目的招标</w:t>
      </w:r>
      <w:r>
        <w:rPr>
          <w:rFonts w:ascii="仿宋" w:eastAsia="仿宋"/>
          <w:color w:val="auto"/>
          <w:sz w:val="24"/>
          <w:highlight w:val="none"/>
        </w:rPr>
        <w:t>、投标、评标、定标、验收、合同签订及履约、付款等全过程（法律法规另有规定的从其规定）</w:t>
      </w:r>
      <w:r>
        <w:rPr>
          <w:rFonts w:hint="eastAsia" w:ascii="仿宋" w:eastAsia="仿宋"/>
          <w:color w:val="auto"/>
          <w:sz w:val="24"/>
          <w:highlight w:val="none"/>
        </w:rPr>
        <w:t>。</w:t>
      </w:r>
    </w:p>
    <w:p>
      <w:pPr>
        <w:snapToGrid w:val="0"/>
        <w:spacing w:line="440" w:lineRule="exact"/>
        <w:jc w:val="left"/>
        <w:rPr>
          <w:rFonts w:ascii="仿宋" w:eastAsia="仿宋"/>
          <w:b/>
          <w:bCs/>
          <w:color w:val="auto"/>
          <w:sz w:val="24"/>
          <w:highlight w:val="none"/>
        </w:rPr>
      </w:pPr>
      <w:r>
        <w:rPr>
          <w:rFonts w:hint="eastAsia" w:ascii="仿宋" w:eastAsia="仿宋"/>
          <w:color w:val="auto"/>
          <w:sz w:val="24"/>
          <w:highlight w:val="none"/>
        </w:rPr>
        <w:t>1.2</w:t>
      </w:r>
      <w:r>
        <w:rPr>
          <w:rFonts w:ascii="仿宋" w:eastAsia="仿宋"/>
          <w:b/>
          <w:bCs/>
          <w:color w:val="auto"/>
          <w:sz w:val="24"/>
          <w:highlight w:val="none"/>
        </w:rPr>
        <w:t>供应商对本采购文件</w:t>
      </w:r>
      <w:r>
        <w:rPr>
          <w:rFonts w:hint="eastAsia" w:ascii="仿宋" w:eastAsia="仿宋"/>
          <w:b/>
          <w:bCs/>
          <w:color w:val="auto"/>
          <w:sz w:val="24"/>
          <w:highlight w:val="none"/>
        </w:rPr>
        <w:t>如有异议，均应在法定时间内提出</w:t>
      </w:r>
      <w:r>
        <w:rPr>
          <w:rFonts w:ascii="仿宋" w:eastAsia="仿宋"/>
          <w:b/>
          <w:bCs/>
          <w:color w:val="auto"/>
          <w:sz w:val="24"/>
          <w:highlight w:val="none"/>
        </w:rPr>
        <w:t>质疑或投诉，否则即被视为认可采购文件的全部内容。</w:t>
      </w:r>
    </w:p>
    <w:p>
      <w:pPr>
        <w:snapToGrid w:val="0"/>
        <w:spacing w:line="440" w:lineRule="exact"/>
        <w:jc w:val="left"/>
        <w:rPr>
          <w:rFonts w:ascii="仿宋" w:eastAsia="仿宋"/>
          <w:b/>
          <w:bCs/>
          <w:color w:val="auto"/>
          <w:sz w:val="24"/>
          <w:highlight w:val="none"/>
        </w:rPr>
      </w:pPr>
      <w:r>
        <w:rPr>
          <w:rFonts w:ascii="仿宋" w:eastAsia="仿宋"/>
          <w:b/>
          <w:bCs/>
          <w:color w:val="auto"/>
          <w:sz w:val="24"/>
          <w:highlight w:val="none"/>
        </w:rPr>
        <w:t>2、名词定义</w:t>
      </w:r>
    </w:p>
    <w:p>
      <w:pPr>
        <w:snapToGrid w:val="0"/>
        <w:spacing w:line="440" w:lineRule="exact"/>
        <w:jc w:val="left"/>
        <w:rPr>
          <w:rFonts w:hint="eastAsia" w:ascii="仿宋" w:eastAsia="仿宋" w:cs="仿宋_GB2312"/>
          <w:color w:val="auto"/>
          <w:sz w:val="24"/>
          <w:highlight w:val="none"/>
        </w:rPr>
      </w:pPr>
      <w:r>
        <w:rPr>
          <w:rFonts w:hint="eastAsia" w:ascii="仿宋" w:eastAsia="仿宋" w:cs="仿宋_GB2312"/>
          <w:color w:val="auto"/>
          <w:sz w:val="24"/>
          <w:highlight w:val="none"/>
        </w:rPr>
        <w:t>2.1“</w:t>
      </w:r>
      <w:r>
        <w:rPr>
          <w:rFonts w:hint="eastAsia" w:ascii="仿宋" w:eastAsia="仿宋" w:cs="仿宋_GB2312"/>
          <w:b/>
          <w:bCs/>
          <w:color w:val="auto"/>
          <w:sz w:val="24"/>
          <w:highlight w:val="none"/>
        </w:rPr>
        <w:t>采购代理机构</w:t>
      </w:r>
      <w:r>
        <w:rPr>
          <w:rFonts w:hint="eastAsia" w:ascii="仿宋" w:eastAsia="仿宋" w:cs="仿宋_GB2312"/>
          <w:color w:val="auto"/>
          <w:sz w:val="24"/>
          <w:highlight w:val="none"/>
        </w:rPr>
        <w:t>”：</w:t>
      </w:r>
      <w:r>
        <w:rPr>
          <w:rFonts w:ascii="仿宋" w:eastAsia="仿宋" w:cs="仿宋_GB2312"/>
          <w:color w:val="auto"/>
          <w:sz w:val="24"/>
          <w:highlight w:val="none"/>
        </w:rPr>
        <w:t>国企</w:t>
      </w:r>
      <w:r>
        <w:rPr>
          <w:rFonts w:hint="eastAsia" w:ascii="仿宋" w:eastAsia="仿宋" w:cs="仿宋_GB2312"/>
          <w:color w:val="auto"/>
          <w:sz w:val="24"/>
          <w:highlight w:val="none"/>
        </w:rPr>
        <w:t>采购项目的采购代理机构为社会中介代理机构。采购代理机构按照与采购人的采购代理合同约定</w:t>
      </w:r>
      <w:r>
        <w:rPr>
          <w:rFonts w:ascii="仿宋" w:eastAsia="仿宋" w:cs="仿宋_GB2312"/>
          <w:color w:val="auto"/>
          <w:sz w:val="24"/>
          <w:highlight w:val="none"/>
        </w:rPr>
        <w:t>组织</w:t>
      </w:r>
      <w:r>
        <w:rPr>
          <w:rFonts w:hint="eastAsia" w:ascii="仿宋" w:eastAsia="仿宋" w:cs="仿宋_GB2312"/>
          <w:color w:val="auto"/>
          <w:sz w:val="24"/>
          <w:highlight w:val="none"/>
        </w:rPr>
        <w:t>采购活动等事宜。</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2.2“</w:t>
      </w:r>
      <w:r>
        <w:rPr>
          <w:rFonts w:hint="eastAsia" w:ascii="仿宋" w:eastAsia="仿宋"/>
          <w:b/>
          <w:bCs/>
          <w:color w:val="auto"/>
          <w:sz w:val="24"/>
          <w:highlight w:val="none"/>
        </w:rPr>
        <w:t>采购机构</w:t>
      </w:r>
      <w:r>
        <w:rPr>
          <w:rFonts w:hint="eastAsia" w:ascii="仿宋" w:eastAsia="仿宋"/>
          <w:color w:val="auto"/>
          <w:sz w:val="24"/>
          <w:highlight w:val="none"/>
        </w:rPr>
        <w:t>”：采购人及其采购代理机构。</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2.3 “</w:t>
      </w:r>
      <w:r>
        <w:rPr>
          <w:rFonts w:hint="eastAsia" w:ascii="仿宋" w:eastAsia="仿宋"/>
          <w:b/>
          <w:bCs/>
          <w:color w:val="auto"/>
          <w:sz w:val="24"/>
          <w:highlight w:val="none"/>
        </w:rPr>
        <w:t>产品</w:t>
      </w:r>
      <w:r>
        <w:rPr>
          <w:rFonts w:hint="eastAsia" w:ascii="仿宋" w:eastAsia="仿宋"/>
          <w:color w:val="auto"/>
          <w:sz w:val="24"/>
          <w:highlight w:val="none"/>
        </w:rPr>
        <w:t>”系指供方按采购文件规定，经合法途径取得的，须向采购人提供的一切产品、保险、税金、安装、施工、调试、备品备件、工具、手册及其他有关技术资料和材料。</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2.4 “</w:t>
      </w:r>
      <w:r>
        <w:rPr>
          <w:rFonts w:hint="eastAsia" w:ascii="仿宋" w:eastAsia="仿宋"/>
          <w:b/>
          <w:bCs/>
          <w:color w:val="auto"/>
          <w:sz w:val="24"/>
          <w:highlight w:val="none"/>
        </w:rPr>
        <w:t>服务</w:t>
      </w:r>
      <w:r>
        <w:rPr>
          <w:rFonts w:hint="eastAsia" w:ascii="仿宋" w:eastAsia="仿宋"/>
          <w:color w:val="auto"/>
          <w:sz w:val="24"/>
          <w:highlight w:val="none"/>
        </w:rPr>
        <w:t>”系指采购文件规定供应商须承担的安装、调试、技术协助、校准、培训、技术指导以及其他类似的义务。</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2.5 “</w:t>
      </w:r>
      <w:r>
        <w:rPr>
          <w:rFonts w:hint="eastAsia" w:ascii="仿宋" w:eastAsia="仿宋"/>
          <w:b/>
          <w:bCs/>
          <w:color w:val="auto"/>
          <w:sz w:val="24"/>
          <w:highlight w:val="none"/>
        </w:rPr>
        <w:t>供应商</w:t>
      </w:r>
      <w:r>
        <w:rPr>
          <w:rFonts w:hint="eastAsia" w:ascii="仿宋" w:eastAsia="仿宋"/>
          <w:color w:val="auto"/>
          <w:sz w:val="24"/>
          <w:highlight w:val="none"/>
        </w:rPr>
        <w:t>”指已经按采购公告要求</w:t>
      </w:r>
      <w:r>
        <w:rPr>
          <w:rFonts w:ascii="仿宋" w:eastAsia="仿宋"/>
          <w:color w:val="auto"/>
          <w:sz w:val="24"/>
          <w:highlight w:val="none"/>
        </w:rPr>
        <w:t>报名</w:t>
      </w:r>
      <w:r>
        <w:rPr>
          <w:rFonts w:hint="eastAsia" w:ascii="仿宋" w:eastAsia="仿宋"/>
          <w:color w:val="auto"/>
          <w:sz w:val="24"/>
          <w:highlight w:val="none"/>
        </w:rPr>
        <w:t>的投标供应商。“</w:t>
      </w:r>
      <w:r>
        <w:rPr>
          <w:rFonts w:hint="eastAsia" w:ascii="仿宋" w:eastAsia="仿宋"/>
          <w:b/>
          <w:bCs/>
          <w:color w:val="auto"/>
          <w:sz w:val="24"/>
          <w:highlight w:val="none"/>
        </w:rPr>
        <w:t>潜在供应商</w:t>
      </w:r>
      <w:r>
        <w:rPr>
          <w:rFonts w:hint="eastAsia" w:ascii="仿宋" w:eastAsia="仿宋"/>
          <w:color w:val="auto"/>
          <w:sz w:val="24"/>
          <w:highlight w:val="none"/>
        </w:rPr>
        <w:t>”指未按采购公告要求</w:t>
      </w:r>
      <w:r>
        <w:rPr>
          <w:rFonts w:ascii="仿宋" w:eastAsia="仿宋"/>
          <w:color w:val="auto"/>
          <w:sz w:val="24"/>
          <w:highlight w:val="none"/>
        </w:rPr>
        <w:t>报名</w:t>
      </w:r>
      <w:r>
        <w:rPr>
          <w:rFonts w:hint="eastAsia" w:ascii="仿宋" w:eastAsia="仿宋"/>
          <w:color w:val="auto"/>
          <w:sz w:val="24"/>
          <w:highlight w:val="none"/>
        </w:rPr>
        <w:t>的供应商。</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2.6 “</w:t>
      </w:r>
      <w:r>
        <w:rPr>
          <w:rFonts w:hint="eastAsia" w:ascii="仿宋" w:eastAsia="仿宋"/>
          <w:b/>
          <w:bCs/>
          <w:color w:val="auto"/>
          <w:sz w:val="24"/>
          <w:highlight w:val="none"/>
        </w:rPr>
        <w:t>授权代表</w:t>
      </w:r>
      <w:r>
        <w:rPr>
          <w:rFonts w:hint="eastAsia" w:ascii="仿宋" w:eastAsia="仿宋"/>
          <w:color w:val="auto"/>
          <w:sz w:val="24"/>
          <w:highlight w:val="none"/>
        </w:rPr>
        <w:t>”即“</w:t>
      </w:r>
      <w:r>
        <w:rPr>
          <w:rFonts w:hint="eastAsia" w:ascii="仿宋" w:eastAsia="仿宋"/>
          <w:b/>
          <w:bCs/>
          <w:color w:val="auto"/>
          <w:sz w:val="24"/>
          <w:highlight w:val="none"/>
        </w:rPr>
        <w:t>供应商代表</w:t>
      </w:r>
      <w:r>
        <w:rPr>
          <w:rFonts w:hint="eastAsia" w:ascii="仿宋" w:eastAsia="仿宋"/>
          <w:color w:val="auto"/>
          <w:sz w:val="24"/>
          <w:highlight w:val="none"/>
        </w:rPr>
        <w:t>”，指受投标供应商的法定代表人委托，办理本项目投标、质疑投诉、合同签订等整个采购活动的被授权委托人。个体工商户参与投标的，经营者等同于法定代表人。</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2.7“</w:t>
      </w:r>
      <w:r>
        <w:rPr>
          <w:rFonts w:hint="eastAsia" w:ascii="仿宋" w:eastAsia="仿宋"/>
          <w:b/>
          <w:bCs/>
          <w:color w:val="auto"/>
          <w:sz w:val="24"/>
          <w:highlight w:val="none"/>
        </w:rPr>
        <w:t>实质性响应条款</w:t>
      </w:r>
      <w:r>
        <w:rPr>
          <w:rFonts w:hint="eastAsia" w:ascii="仿宋" w:eastAsia="仿宋"/>
          <w:color w:val="auto"/>
          <w:sz w:val="24"/>
          <w:highlight w:val="none"/>
        </w:rPr>
        <w:t>”：供应商必须响应的条款，未响应的作无效投标处理。在本采购文件中，实质性响应条款前标注“▲”符号。</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2.8</w:t>
      </w:r>
      <w:r>
        <w:rPr>
          <w:rFonts w:hint="eastAsia" w:ascii="仿宋" w:eastAsia="仿宋"/>
          <w:b/>
          <w:bCs/>
          <w:color w:val="auto"/>
          <w:sz w:val="24"/>
          <w:highlight w:val="none"/>
        </w:rPr>
        <w:t>“公章”</w:t>
      </w:r>
      <w:r>
        <w:rPr>
          <w:rFonts w:hint="eastAsia" w:ascii="仿宋" w:eastAsia="仿宋"/>
          <w:color w:val="auto"/>
          <w:sz w:val="24"/>
          <w:highlight w:val="none"/>
        </w:rPr>
        <w:t>指供应商</w:t>
      </w:r>
      <w:r>
        <w:rPr>
          <w:rFonts w:ascii="仿宋" w:eastAsia="仿宋"/>
          <w:color w:val="auto"/>
          <w:sz w:val="24"/>
          <w:highlight w:val="none"/>
        </w:rPr>
        <w:t>或采购人的</w:t>
      </w:r>
      <w:r>
        <w:rPr>
          <w:rFonts w:hint="eastAsia" w:ascii="仿宋" w:eastAsia="仿宋"/>
          <w:b/>
          <w:bCs/>
          <w:color w:val="auto"/>
          <w:sz w:val="24"/>
          <w:highlight w:val="none"/>
          <w:u w:val="single"/>
        </w:rPr>
        <w:t>法定名称章</w:t>
      </w:r>
      <w:r>
        <w:rPr>
          <w:rFonts w:hint="eastAsia" w:ascii="仿宋" w:eastAsia="仿宋"/>
          <w:color w:val="auto"/>
          <w:sz w:val="24"/>
          <w:highlight w:val="none"/>
        </w:rPr>
        <w:t>。</w:t>
      </w:r>
      <w:r>
        <w:rPr>
          <w:rFonts w:ascii="仿宋" w:eastAsia="仿宋"/>
          <w:color w:val="auto"/>
          <w:sz w:val="24"/>
          <w:highlight w:val="none"/>
        </w:rPr>
        <w:t>投标响应文件内供应商盖章处均需盖公章。</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2.9“</w:t>
      </w:r>
      <w:r>
        <w:rPr>
          <w:rFonts w:hint="eastAsia" w:ascii="仿宋" w:eastAsia="仿宋"/>
          <w:b/>
          <w:bCs/>
          <w:color w:val="auto"/>
          <w:sz w:val="24"/>
          <w:highlight w:val="none"/>
        </w:rPr>
        <w:t>投标有效期</w:t>
      </w:r>
      <w:r>
        <w:rPr>
          <w:rFonts w:hint="eastAsia" w:ascii="仿宋" w:eastAsia="仿宋"/>
          <w:color w:val="auto"/>
          <w:sz w:val="24"/>
          <w:highlight w:val="none"/>
        </w:rPr>
        <w:t>”指采购文件中规定的一个适当时间，投标有效期内需完成开评标以及与中标人签订合同</w:t>
      </w:r>
      <w:r>
        <w:rPr>
          <w:rFonts w:ascii="仿宋" w:eastAsia="仿宋"/>
          <w:color w:val="auto"/>
          <w:sz w:val="24"/>
          <w:highlight w:val="none"/>
        </w:rPr>
        <w:t>等</w:t>
      </w:r>
      <w:r>
        <w:rPr>
          <w:rFonts w:hint="eastAsia" w:ascii="仿宋" w:eastAsia="仿宋"/>
          <w:color w:val="auto"/>
          <w:sz w:val="24"/>
          <w:highlight w:val="none"/>
        </w:rPr>
        <w:t>事宜。</w:t>
      </w:r>
    </w:p>
    <w:p>
      <w:pPr>
        <w:snapToGrid w:val="0"/>
        <w:spacing w:line="440" w:lineRule="exact"/>
        <w:jc w:val="left"/>
        <w:rPr>
          <w:rFonts w:ascii="仿宋" w:eastAsia="仿宋"/>
          <w:b/>
          <w:bCs/>
          <w:color w:val="auto"/>
          <w:sz w:val="24"/>
          <w:highlight w:val="none"/>
        </w:rPr>
      </w:pPr>
      <w:r>
        <w:rPr>
          <w:rFonts w:ascii="仿宋" w:eastAsia="仿宋"/>
          <w:b/>
          <w:bCs/>
          <w:color w:val="auto"/>
          <w:sz w:val="24"/>
          <w:highlight w:val="none"/>
        </w:rPr>
        <w:t>3、本项目执行的采购政策性规定</w:t>
      </w:r>
    </w:p>
    <w:p>
      <w:pPr>
        <w:snapToGrid w:val="0"/>
        <w:spacing w:line="440" w:lineRule="exact"/>
        <w:jc w:val="left"/>
        <w:rPr>
          <w:rFonts w:ascii="仿宋" w:eastAsia="仿宋"/>
          <w:color w:val="auto"/>
          <w:sz w:val="24"/>
          <w:highlight w:val="none"/>
        </w:rPr>
      </w:pPr>
      <w:r>
        <w:rPr>
          <w:rFonts w:ascii="仿宋" w:eastAsia="仿宋"/>
          <w:b/>
          <w:bCs/>
          <w:color w:val="auto"/>
          <w:sz w:val="24"/>
          <w:highlight w:val="none"/>
        </w:rPr>
        <w:t>3.1采购本国产品</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val="0"/>
        <w:spacing w:before="0" w:beforeAutospacing="0" w:after="0" w:afterAutospacing="0" w:line="440" w:lineRule="exact"/>
        <w:ind w:left="0" w:right="0" w:firstLine="482" w:firstLineChars="200"/>
        <w:contextualSpacing w:val="0"/>
        <w:jc w:val="left"/>
        <w:textAlignment w:val="auto"/>
        <w:outlineLvl w:val="9"/>
        <w:rPr>
          <w:rFonts w:hint="eastAsia" w:ascii="仿宋" w:eastAsia="仿宋"/>
          <w:caps w:val="0"/>
          <w:smallCaps w:val="0"/>
          <w:vanish w:val="0"/>
          <w:color w:val="auto"/>
          <w:sz w:val="24"/>
          <w:szCs w:val="24"/>
          <w:highlight w:val="none"/>
          <w:vertAlign w:val="baseline"/>
        </w:rPr>
      </w:pPr>
      <w:r>
        <w:rPr>
          <w:rFonts w:hint="eastAsia" w:ascii="仿宋" w:eastAsia="仿宋"/>
          <w:b/>
          <w:bCs/>
          <w:caps w:val="0"/>
          <w:smallCaps w:val="0"/>
          <w:vanish w:val="0"/>
          <w:color w:val="auto"/>
          <w:sz w:val="24"/>
          <w:szCs w:val="24"/>
          <w:highlight w:val="none"/>
          <w:vertAlign w:val="baseline"/>
        </w:rPr>
        <w:t>除采购文件明确允许采购进口产品外，应当提供本国生产的产品，否则作无效投标处理。</w:t>
      </w:r>
      <w:r>
        <w:rPr>
          <w:rFonts w:hint="eastAsia" w:ascii="仿宋" w:eastAsia="仿宋"/>
          <w:caps w:val="0"/>
          <w:smallCaps w:val="0"/>
          <w:vanish w:val="0"/>
          <w:color w:val="auto"/>
          <w:sz w:val="24"/>
          <w:szCs w:val="24"/>
          <w:highlight w:val="none"/>
          <w:vertAlign w:val="baseline"/>
        </w:rPr>
        <w:t>采购进口产品的，不得限制潜在国产的同类产品参与投标。</w:t>
      </w:r>
    </w:p>
    <w:p>
      <w:pPr>
        <w:snapToGrid w:val="0"/>
        <w:spacing w:line="440" w:lineRule="exact"/>
        <w:jc w:val="left"/>
        <w:rPr>
          <w:rFonts w:ascii="仿宋" w:eastAsia="仿宋"/>
          <w:color w:val="auto"/>
          <w:sz w:val="24"/>
          <w:highlight w:val="none"/>
        </w:rPr>
      </w:pPr>
      <w:r>
        <w:rPr>
          <w:rFonts w:ascii="仿宋" w:eastAsia="仿宋"/>
          <w:b/>
          <w:bCs/>
          <w:color w:val="auto"/>
          <w:sz w:val="24"/>
          <w:highlight w:val="none"/>
        </w:rPr>
        <w:t>3.2扶持中小企业</w:t>
      </w:r>
    </w:p>
    <w:p>
      <w:pPr>
        <w:snapToGrid w:val="0"/>
        <w:spacing w:line="420" w:lineRule="exact"/>
        <w:ind w:left="0" w:firstLine="360" w:firstLineChars="150"/>
        <w:rPr>
          <w:rFonts w:hint="eastAsia" w:ascii="仿宋" w:eastAsia="仿宋" w:cs="仿宋_GB2312"/>
          <w:color w:val="auto"/>
          <w:sz w:val="24"/>
          <w:highlight w:val="none"/>
        </w:rPr>
      </w:pPr>
      <w:r>
        <w:rPr>
          <w:rFonts w:hint="eastAsia" w:ascii="仿宋" w:eastAsia="仿宋" w:cs="仿宋_GB2312"/>
          <w:color w:val="auto"/>
          <w:sz w:val="24"/>
          <w:highlight w:val="none"/>
          <w:lang w:eastAsia="zh-CN"/>
        </w:rPr>
        <w:t>本项目参照</w:t>
      </w:r>
      <w:r>
        <w:rPr>
          <w:rFonts w:ascii="仿宋" w:eastAsia="仿宋" w:cs="仿宋_GB2312"/>
          <w:color w:val="auto"/>
          <w:sz w:val="24"/>
          <w:highlight w:val="none"/>
        </w:rPr>
        <w:t>《政府采购促进中小企业发展管理办法》（</w:t>
      </w:r>
      <w:r>
        <w:rPr>
          <w:rFonts w:hint="eastAsia" w:ascii="楷体" w:eastAsia="楷体"/>
          <w:b w:val="0"/>
          <w:bCs w:val="0"/>
          <w:i w:val="0"/>
          <w:iCs w:val="0"/>
          <w:caps w:val="0"/>
          <w:smallCaps w:val="0"/>
          <w:color w:val="auto"/>
          <w:spacing w:val="0"/>
          <w:sz w:val="24"/>
          <w:szCs w:val="24"/>
          <w:highlight w:val="none"/>
          <w:shd w:val="clear" w:color="auto" w:fill="FFFFFF"/>
        </w:rPr>
        <w:t>财库〔2020〕46号</w:t>
      </w:r>
      <w:r>
        <w:rPr>
          <w:rFonts w:ascii="仿宋" w:eastAsia="仿宋" w:cs="仿宋_GB2312"/>
          <w:color w:val="auto"/>
          <w:sz w:val="24"/>
          <w:highlight w:val="none"/>
        </w:rPr>
        <w:t>）、</w:t>
      </w:r>
      <w:r>
        <w:rPr>
          <w:rFonts w:ascii="仿宋" w:eastAsia="仿宋" w:cs="宋体"/>
          <w:color w:val="auto"/>
          <w:kern w:val="0"/>
          <w:sz w:val="24"/>
          <w:szCs w:val="24"/>
          <w:highlight w:val="none"/>
        </w:rPr>
        <w:t>《浙江省贯彻落实国务院扎实稳住经济一揽子政策措施实施方案》（浙政发</w:t>
      </w:r>
      <w:r>
        <w:rPr>
          <w:rFonts w:hint="eastAsia" w:ascii="楷体" w:eastAsia="楷体"/>
          <w:b w:val="0"/>
          <w:bCs w:val="0"/>
          <w:i w:val="0"/>
          <w:iCs w:val="0"/>
          <w:caps w:val="0"/>
          <w:smallCaps w:val="0"/>
          <w:color w:val="auto"/>
          <w:spacing w:val="0"/>
          <w:sz w:val="24"/>
          <w:szCs w:val="24"/>
          <w:highlight w:val="none"/>
          <w:shd w:val="clear" w:color="auto" w:fill="FFFFFF"/>
        </w:rPr>
        <w:t>〔202</w:t>
      </w:r>
      <w:r>
        <w:rPr>
          <w:rFonts w:ascii="楷体" w:eastAsia="楷体"/>
          <w:b w:val="0"/>
          <w:bCs w:val="0"/>
          <w:i w:val="0"/>
          <w:iCs w:val="0"/>
          <w:caps w:val="0"/>
          <w:smallCaps w:val="0"/>
          <w:color w:val="auto"/>
          <w:spacing w:val="0"/>
          <w:sz w:val="24"/>
          <w:szCs w:val="24"/>
          <w:highlight w:val="none"/>
          <w:shd w:val="clear" w:color="auto" w:fill="FFFFFF"/>
        </w:rPr>
        <w:t>2</w:t>
      </w:r>
      <w:r>
        <w:rPr>
          <w:rFonts w:hint="eastAsia" w:ascii="楷体" w:eastAsia="楷体"/>
          <w:b w:val="0"/>
          <w:bCs w:val="0"/>
          <w:i w:val="0"/>
          <w:iCs w:val="0"/>
          <w:caps w:val="0"/>
          <w:smallCaps w:val="0"/>
          <w:color w:val="auto"/>
          <w:spacing w:val="0"/>
          <w:sz w:val="24"/>
          <w:szCs w:val="24"/>
          <w:highlight w:val="none"/>
          <w:shd w:val="clear" w:color="auto" w:fill="FFFFFF"/>
        </w:rPr>
        <w:t>〕</w:t>
      </w:r>
      <w:r>
        <w:rPr>
          <w:rFonts w:ascii="楷体" w:eastAsia="楷体"/>
          <w:b w:val="0"/>
          <w:bCs w:val="0"/>
          <w:i w:val="0"/>
          <w:iCs w:val="0"/>
          <w:caps w:val="0"/>
          <w:smallCaps w:val="0"/>
          <w:color w:val="auto"/>
          <w:spacing w:val="0"/>
          <w:sz w:val="24"/>
          <w:szCs w:val="24"/>
          <w:highlight w:val="none"/>
          <w:shd w:val="clear" w:color="auto" w:fill="FFFFFF"/>
        </w:rPr>
        <w:t>14</w:t>
      </w:r>
      <w:r>
        <w:rPr>
          <w:rFonts w:ascii="仿宋" w:eastAsia="仿宋" w:cs="宋体"/>
          <w:color w:val="auto"/>
          <w:kern w:val="0"/>
          <w:sz w:val="24"/>
          <w:szCs w:val="24"/>
          <w:highlight w:val="none"/>
        </w:rPr>
        <w:t>号）等</w:t>
      </w:r>
      <w:r>
        <w:rPr>
          <w:rFonts w:hint="eastAsia" w:ascii="仿宋" w:eastAsia="仿宋" w:cs="仿宋_GB2312"/>
          <w:color w:val="auto"/>
          <w:sz w:val="24"/>
          <w:highlight w:val="none"/>
        </w:rPr>
        <w:t>规定</w:t>
      </w:r>
      <w:r>
        <w:rPr>
          <w:rFonts w:hint="eastAsia" w:ascii="仿宋" w:eastAsia="仿宋" w:cs="仿宋_GB2312"/>
          <w:color w:val="auto"/>
          <w:sz w:val="24"/>
          <w:highlight w:val="none"/>
          <w:lang w:eastAsia="zh-CN"/>
        </w:rPr>
        <w:t>，</w:t>
      </w:r>
      <w:r>
        <w:rPr>
          <w:rFonts w:hint="eastAsia" w:ascii="仿宋" w:eastAsia="仿宋" w:cs="仿宋_GB2312"/>
          <w:b w:val="0"/>
          <w:bCs w:val="0"/>
          <w:color w:val="auto"/>
          <w:sz w:val="24"/>
          <w:highlight w:val="none"/>
          <w:lang w:eastAsia="zh-CN"/>
        </w:rPr>
        <w:t>投标供应商</w:t>
      </w:r>
      <w:r>
        <w:rPr>
          <w:rFonts w:hint="eastAsia" w:ascii="仿宋" w:eastAsia="仿宋" w:cs="仿宋_GB2312"/>
          <w:b w:val="0"/>
          <w:bCs w:val="0"/>
          <w:color w:val="auto"/>
          <w:sz w:val="24"/>
          <w:highlight w:val="none"/>
        </w:rPr>
        <w:t>提供</w:t>
      </w:r>
      <w:r>
        <w:rPr>
          <w:rFonts w:hint="eastAsia" w:ascii="仿宋" w:eastAsia="仿宋" w:cs="仿宋_GB2312"/>
          <w:b w:val="0"/>
          <w:bCs w:val="0"/>
          <w:color w:val="auto"/>
          <w:sz w:val="24"/>
          <w:highlight w:val="none"/>
          <w:lang w:eastAsia="zh-CN"/>
        </w:rPr>
        <w:t>的</w:t>
      </w:r>
      <w:r>
        <w:rPr>
          <w:rFonts w:hint="eastAsia" w:ascii="仿宋" w:eastAsia="仿宋" w:cs="仿宋_GB2312"/>
          <w:b w:val="0"/>
          <w:bCs w:val="0"/>
          <w:color w:val="auto"/>
          <w:sz w:val="24"/>
          <w:highlight w:val="none"/>
        </w:rPr>
        <w:t>货物</w:t>
      </w:r>
      <w:r>
        <w:rPr>
          <w:rFonts w:hint="eastAsia" w:ascii="仿宋" w:eastAsia="仿宋" w:cs="仿宋_GB2312"/>
          <w:b w:val="0"/>
          <w:bCs w:val="0"/>
          <w:color w:val="auto"/>
          <w:sz w:val="24"/>
          <w:highlight w:val="none"/>
          <w:lang w:eastAsia="zh-CN"/>
        </w:rPr>
        <w:t>部分（不含服务部分，详见前附表）全部</w:t>
      </w:r>
      <w:r>
        <w:rPr>
          <w:rFonts w:hint="eastAsia" w:ascii="仿宋" w:eastAsia="仿宋" w:cs="仿宋_GB2312"/>
          <w:b w:val="0"/>
          <w:bCs w:val="0"/>
          <w:color w:val="auto"/>
          <w:sz w:val="24"/>
          <w:highlight w:val="none"/>
        </w:rPr>
        <w:t>为</w:t>
      </w:r>
      <w:r>
        <w:rPr>
          <w:rFonts w:hint="eastAsia" w:ascii="仿宋" w:eastAsia="仿宋" w:cs="仿宋_GB2312"/>
          <w:b w:val="0"/>
          <w:bCs w:val="0"/>
          <w:color w:val="auto"/>
          <w:sz w:val="24"/>
          <w:highlight w:val="none"/>
          <w:lang w:eastAsia="zh-CN"/>
        </w:rPr>
        <w:t>小微</w:t>
      </w:r>
      <w:r>
        <w:rPr>
          <w:rFonts w:hint="eastAsia" w:ascii="仿宋" w:eastAsia="仿宋" w:cs="仿宋_GB2312"/>
          <w:b w:val="0"/>
          <w:bCs w:val="0"/>
          <w:color w:val="auto"/>
          <w:sz w:val="24"/>
          <w:highlight w:val="none"/>
        </w:rPr>
        <w:t>企业制造</w:t>
      </w:r>
      <w:r>
        <w:rPr>
          <w:rFonts w:hint="eastAsia" w:ascii="仿宋" w:eastAsia="仿宋" w:cs="仿宋_GB2312"/>
          <w:b w:val="0"/>
          <w:bCs w:val="0"/>
          <w:color w:val="auto"/>
          <w:sz w:val="24"/>
          <w:highlight w:val="none"/>
          <w:lang w:eastAsia="zh-CN"/>
        </w:rPr>
        <w:t>的，</w:t>
      </w:r>
      <w:r>
        <w:rPr>
          <w:rFonts w:ascii="仿宋" w:eastAsia="仿宋" w:cs="仿宋_GB2312"/>
          <w:color w:val="auto"/>
          <w:sz w:val="24"/>
          <w:highlight w:val="none"/>
        </w:rPr>
        <w:t>对</w:t>
      </w:r>
      <w:r>
        <w:rPr>
          <w:rFonts w:hint="eastAsia" w:ascii="仿宋" w:eastAsia="仿宋" w:cs="仿宋_GB2312"/>
          <w:color w:val="auto"/>
          <w:sz w:val="24"/>
          <w:highlight w:val="none"/>
          <w:lang w:eastAsia="zh-CN"/>
        </w:rPr>
        <w:t>投标</w:t>
      </w:r>
      <w:r>
        <w:rPr>
          <w:rFonts w:hint="eastAsia" w:ascii="仿宋" w:eastAsia="仿宋" w:cs="仿宋_GB2312"/>
          <w:b w:val="0"/>
          <w:bCs w:val="0"/>
          <w:color w:val="auto"/>
          <w:sz w:val="24"/>
          <w:highlight w:val="none"/>
        </w:rPr>
        <w:t>报价给予</w:t>
      </w:r>
      <w:r>
        <w:rPr>
          <w:rFonts w:hint="eastAsia" w:ascii="仿宋" w:eastAsia="仿宋" w:cs="仿宋_GB2312"/>
          <w:b w:val="0"/>
          <w:bCs w:val="0"/>
          <w:color w:val="auto"/>
          <w:sz w:val="24"/>
          <w:highlight w:val="none"/>
          <w:lang w:val="en-US" w:eastAsia="zh-CN"/>
        </w:rPr>
        <w:t>1</w:t>
      </w:r>
      <w:r>
        <w:rPr>
          <w:rFonts w:ascii="仿宋" w:eastAsia="仿宋" w:cs="仿宋_GB2312"/>
          <w:b w:val="0"/>
          <w:bCs w:val="0"/>
          <w:color w:val="auto"/>
          <w:sz w:val="24"/>
          <w:highlight w:val="none"/>
        </w:rPr>
        <w:t>0</w:t>
      </w:r>
      <w:r>
        <w:rPr>
          <w:rFonts w:hint="eastAsia" w:ascii="仿宋" w:eastAsia="仿宋" w:cs="仿宋_GB2312"/>
          <w:b w:val="0"/>
          <w:bCs w:val="0"/>
          <w:color w:val="auto"/>
          <w:sz w:val="24"/>
          <w:highlight w:val="none"/>
        </w:rPr>
        <w:t>%</w:t>
      </w:r>
      <w:r>
        <w:rPr>
          <w:rFonts w:hint="eastAsia" w:ascii="仿宋" w:eastAsia="仿宋" w:cs="仿宋_GB2312"/>
          <w:color w:val="auto"/>
          <w:sz w:val="24"/>
          <w:highlight w:val="none"/>
        </w:rPr>
        <w:t>的扣除，用扣除后的价格参加评审。</w:t>
      </w:r>
    </w:p>
    <w:p>
      <w:pPr>
        <w:snapToGrid w:val="0"/>
        <w:spacing w:line="420" w:lineRule="exact"/>
        <w:ind w:left="0" w:firstLine="360" w:firstLineChars="150"/>
        <w:rPr>
          <w:rFonts w:hint="eastAsia" w:ascii="仿宋" w:eastAsia="仿宋" w:cs="仿宋_GB2312"/>
          <w:b w:val="0"/>
          <w:bCs w:val="0"/>
          <w:color w:val="auto"/>
          <w:sz w:val="24"/>
          <w:highlight w:val="none"/>
        </w:rPr>
      </w:pPr>
      <w:r>
        <w:rPr>
          <w:rFonts w:hint="eastAsia" w:ascii="仿宋" w:eastAsia="仿宋" w:cs="仿宋_GB2312"/>
          <w:b w:val="0"/>
          <w:bCs w:val="0"/>
          <w:color w:val="auto"/>
          <w:sz w:val="24"/>
          <w:highlight w:val="none"/>
          <w:lang w:eastAsia="zh-CN"/>
        </w:rPr>
        <w:t>以</w:t>
      </w:r>
      <w:r>
        <w:rPr>
          <w:rFonts w:hint="eastAsia" w:ascii="仿宋" w:eastAsia="仿宋" w:cs="仿宋_GB2312"/>
          <w:b w:val="0"/>
          <w:bCs w:val="0"/>
          <w:color w:val="auto"/>
          <w:sz w:val="24"/>
          <w:highlight w:val="none"/>
        </w:rPr>
        <w:t>联合体</w:t>
      </w:r>
      <w:r>
        <w:rPr>
          <w:rFonts w:hint="eastAsia" w:ascii="仿宋" w:eastAsia="仿宋" w:cs="仿宋_GB2312"/>
          <w:b w:val="0"/>
          <w:bCs w:val="0"/>
          <w:color w:val="auto"/>
          <w:sz w:val="24"/>
          <w:highlight w:val="none"/>
          <w:lang w:eastAsia="zh-CN"/>
        </w:rPr>
        <w:t>或分包方式参与政府采购活动的，</w:t>
      </w:r>
      <w:r>
        <w:rPr>
          <w:rFonts w:hint="eastAsia" w:ascii="仿宋" w:eastAsia="仿宋" w:cs="仿宋_GB2312"/>
          <w:b w:val="0"/>
          <w:bCs w:val="0"/>
          <w:color w:val="auto"/>
          <w:sz w:val="24"/>
          <w:highlight w:val="none"/>
        </w:rPr>
        <w:t>联合体</w:t>
      </w:r>
      <w:r>
        <w:rPr>
          <w:rFonts w:hint="eastAsia" w:ascii="仿宋" w:eastAsia="仿宋" w:cs="仿宋_GB2312"/>
          <w:b w:val="0"/>
          <w:bCs w:val="0"/>
          <w:color w:val="auto"/>
          <w:sz w:val="24"/>
          <w:highlight w:val="none"/>
          <w:lang w:eastAsia="zh-CN"/>
        </w:rPr>
        <w:t>或分包方</w:t>
      </w:r>
      <w:r>
        <w:rPr>
          <w:rFonts w:hint="eastAsia" w:ascii="仿宋" w:eastAsia="仿宋" w:cs="仿宋_GB2312"/>
          <w:b w:val="0"/>
          <w:bCs w:val="0"/>
          <w:color w:val="auto"/>
          <w:sz w:val="24"/>
          <w:highlight w:val="none"/>
        </w:rPr>
        <w:t>中</w:t>
      </w:r>
      <w:r>
        <w:rPr>
          <w:rFonts w:hint="eastAsia" w:ascii="仿宋" w:eastAsia="仿宋" w:cs="仿宋_GB2312"/>
          <w:b w:val="0"/>
          <w:bCs w:val="0"/>
          <w:color w:val="auto"/>
          <w:sz w:val="24"/>
          <w:highlight w:val="none"/>
          <w:lang w:eastAsia="zh-CN"/>
        </w:rPr>
        <w:t>任意</w:t>
      </w:r>
      <w:r>
        <w:rPr>
          <w:rFonts w:hint="eastAsia" w:ascii="仿宋" w:eastAsia="仿宋" w:cs="仿宋_GB2312"/>
          <w:b w:val="0"/>
          <w:bCs w:val="0"/>
          <w:color w:val="auto"/>
          <w:sz w:val="24"/>
          <w:highlight w:val="none"/>
        </w:rPr>
        <w:t>一方</w:t>
      </w:r>
      <w:r>
        <w:rPr>
          <w:rFonts w:hint="eastAsia" w:ascii="仿宋" w:eastAsia="仿宋" w:cs="仿宋_GB2312"/>
          <w:b w:val="0"/>
          <w:bCs w:val="0"/>
          <w:color w:val="auto"/>
          <w:sz w:val="24"/>
          <w:highlight w:val="none"/>
          <w:lang w:eastAsia="zh-CN"/>
        </w:rPr>
        <w:t>（或多方）所</w:t>
      </w:r>
      <w:r>
        <w:rPr>
          <w:rFonts w:hint="eastAsia" w:ascii="仿宋" w:eastAsia="仿宋" w:cs="仿宋_GB2312"/>
          <w:b w:val="0"/>
          <w:bCs w:val="0"/>
          <w:color w:val="auto"/>
          <w:sz w:val="24"/>
          <w:highlight w:val="none"/>
        </w:rPr>
        <w:t>提供的全部货物为小微企业制造，</w:t>
      </w:r>
      <w:r>
        <w:rPr>
          <w:rFonts w:hint="eastAsia" w:ascii="仿宋" w:eastAsia="仿宋" w:cs="仿宋_GB2312"/>
          <w:b w:val="0"/>
          <w:bCs w:val="0"/>
          <w:color w:val="auto"/>
          <w:sz w:val="24"/>
          <w:highlight w:val="none"/>
          <w:lang w:eastAsia="zh-CN"/>
        </w:rPr>
        <w:t>则这一方（或多方）视为小微企业，其在联合体协议或分包意向协议中约定的</w:t>
      </w:r>
      <w:r>
        <w:rPr>
          <w:rFonts w:hint="eastAsia" w:ascii="仿宋" w:eastAsia="仿宋" w:cs="仿宋_GB2312"/>
          <w:b w:val="0"/>
          <w:bCs w:val="0"/>
          <w:color w:val="auto"/>
          <w:sz w:val="24"/>
          <w:highlight w:val="none"/>
        </w:rPr>
        <w:t>合同份额占到合同总金额30%以上的，可按规定享受</w:t>
      </w:r>
      <w:r>
        <w:rPr>
          <w:rFonts w:hint="eastAsia" w:ascii="仿宋" w:eastAsia="仿宋" w:cs="仿宋_GB2312"/>
          <w:b w:val="0"/>
          <w:bCs w:val="0"/>
          <w:color w:val="auto"/>
          <w:sz w:val="24"/>
          <w:highlight w:val="none"/>
          <w:lang w:val="en-US" w:eastAsia="zh-CN"/>
        </w:rPr>
        <w:t>4</w:t>
      </w:r>
      <w:r>
        <w:rPr>
          <w:rFonts w:hint="eastAsia" w:ascii="仿宋" w:eastAsia="仿宋" w:cs="仿宋_GB2312"/>
          <w:b w:val="0"/>
          <w:bCs w:val="0"/>
          <w:color w:val="auto"/>
          <w:sz w:val="24"/>
          <w:highlight w:val="none"/>
        </w:rPr>
        <w:t>%的价格扣除。</w:t>
      </w:r>
    </w:p>
    <w:p>
      <w:pPr>
        <w:snapToGrid w:val="0"/>
        <w:spacing w:line="420" w:lineRule="exact"/>
        <w:ind w:firstLine="480" w:firstLineChars="200"/>
        <w:rPr>
          <w:rFonts w:hint="eastAsia" w:ascii="仿宋" w:eastAsia="仿宋" w:cs="仿宋_GB2312"/>
          <w:b w:val="0"/>
          <w:bCs w:val="0"/>
          <w:color w:val="auto"/>
          <w:sz w:val="24"/>
          <w:highlight w:val="none"/>
        </w:rPr>
      </w:pPr>
      <w:r>
        <w:rPr>
          <w:rFonts w:hint="eastAsia" w:ascii="仿宋" w:eastAsia="仿宋" w:cs="仿宋_GB2312"/>
          <w:color w:val="auto"/>
          <w:sz w:val="24"/>
          <w:highlight w:val="none"/>
          <w:lang w:eastAsia="zh-CN"/>
        </w:rPr>
        <w:t>供应商</w:t>
      </w:r>
      <w:r>
        <w:rPr>
          <w:rFonts w:hint="eastAsia" w:ascii="仿宋" w:eastAsia="仿宋" w:cs="仿宋_GB2312"/>
          <w:b w:val="0"/>
          <w:bCs w:val="0"/>
          <w:color w:val="auto"/>
          <w:sz w:val="24"/>
          <w:highlight w:val="none"/>
        </w:rPr>
        <w:t>应当在</w:t>
      </w:r>
      <w:r>
        <w:rPr>
          <w:rFonts w:hint="eastAsia" w:ascii="仿宋" w:eastAsia="仿宋" w:cs="仿宋_GB2312"/>
          <w:b w:val="0"/>
          <w:bCs w:val="0"/>
          <w:color w:val="auto"/>
          <w:sz w:val="24"/>
          <w:highlight w:val="none"/>
          <w:lang w:eastAsia="zh-CN"/>
        </w:rPr>
        <w:t>联合体协议或分包意向协议中约定各方承担的货物和服务内容以及各方的合同份额，并在</w:t>
      </w:r>
      <w:r>
        <w:rPr>
          <w:rFonts w:hint="eastAsia" w:ascii="仿宋" w:eastAsia="仿宋" w:cs="仿宋_GB2312"/>
          <w:b w:val="0"/>
          <w:bCs w:val="0"/>
          <w:color w:val="auto"/>
          <w:sz w:val="24"/>
          <w:highlight w:val="none"/>
        </w:rPr>
        <w:t>《中小企业声明函》</w:t>
      </w:r>
      <w:r>
        <w:rPr>
          <w:rFonts w:hint="eastAsia" w:ascii="仿宋" w:eastAsia="仿宋" w:cs="仿宋_GB2312"/>
          <w:b w:val="0"/>
          <w:bCs w:val="0"/>
          <w:color w:val="auto"/>
          <w:sz w:val="24"/>
          <w:highlight w:val="none"/>
          <w:lang w:eastAsia="zh-CN"/>
        </w:rPr>
        <w:t>中</w:t>
      </w:r>
      <w:r>
        <w:rPr>
          <w:rFonts w:hint="eastAsia" w:ascii="仿宋" w:eastAsia="仿宋" w:cs="仿宋_GB2312"/>
          <w:b w:val="0"/>
          <w:bCs w:val="0"/>
          <w:color w:val="auto"/>
          <w:sz w:val="24"/>
          <w:highlight w:val="none"/>
        </w:rPr>
        <w:t>填写所提供货物制造商的小微企业相关信息</w:t>
      </w:r>
      <w:r>
        <w:rPr>
          <w:rFonts w:hint="eastAsia" w:ascii="仿宋" w:eastAsia="仿宋" w:cs="仿宋_GB2312"/>
          <w:b w:val="0"/>
          <w:bCs w:val="0"/>
          <w:color w:val="auto"/>
          <w:sz w:val="24"/>
          <w:highlight w:val="none"/>
          <w:lang w:eastAsia="zh-CN"/>
        </w:rPr>
        <w:t>，否则不予享受价格扣除</w:t>
      </w:r>
      <w:r>
        <w:rPr>
          <w:rFonts w:hint="eastAsia" w:ascii="仿宋" w:eastAsia="仿宋" w:cs="仿宋_GB2312"/>
          <w:b w:val="0"/>
          <w:bCs w:val="0"/>
          <w:color w:val="auto"/>
          <w:sz w:val="24"/>
          <w:highlight w:val="none"/>
        </w:rPr>
        <w:t>。</w:t>
      </w:r>
    </w:p>
    <w:p>
      <w:pPr>
        <w:snapToGrid w:val="0"/>
        <w:spacing w:line="420" w:lineRule="exact"/>
        <w:ind w:left="0" w:firstLine="480" w:firstLineChars="200"/>
        <w:rPr>
          <w:rFonts w:hint="eastAsia" w:ascii="仿宋" w:eastAsia="仿宋" w:cs="仿宋_GB2312"/>
          <w:color w:val="auto"/>
          <w:sz w:val="24"/>
          <w:highlight w:val="none"/>
        </w:rPr>
      </w:pPr>
      <w:r>
        <w:rPr>
          <w:rFonts w:ascii="仿宋" w:eastAsia="仿宋" w:cs="仿宋_GB2312"/>
          <w:color w:val="auto"/>
          <w:sz w:val="24"/>
          <w:highlight w:val="none"/>
        </w:rPr>
        <w:t>组成联合体或者接受分包的小微企业与联合体内其他企业、分包企业之间存在直接控股、管理关系的，不享受价格扣除优惠政策。</w:t>
      </w:r>
    </w:p>
    <w:p>
      <w:pPr>
        <w:snapToGrid w:val="0"/>
        <w:spacing w:line="440" w:lineRule="exact"/>
        <w:ind w:firstLine="480" w:firstLineChars="200"/>
        <w:jc w:val="left"/>
        <w:rPr>
          <w:rFonts w:hint="eastAsia" w:ascii="仿宋" w:eastAsia="仿宋" w:cs="仿宋_GB2312"/>
          <w:b w:val="0"/>
          <w:bCs w:val="0"/>
          <w:color w:val="auto"/>
          <w:sz w:val="24"/>
          <w:highlight w:val="none"/>
        </w:rPr>
      </w:pPr>
      <w:r>
        <w:rPr>
          <w:rFonts w:hint="eastAsia" w:ascii="仿宋" w:eastAsia="仿宋" w:cs="仿宋_GB2312"/>
          <w:color w:val="auto"/>
          <w:sz w:val="24"/>
          <w:highlight w:val="none"/>
        </w:rPr>
        <w:t>符合《关于促进残疾人就业政府采购政策的通知》（财库〔2017〕141号）规定的条件并按照采购文件的格式要求提供《残疾人福利性单位声明函》的</w:t>
      </w:r>
      <w:r>
        <w:rPr>
          <w:rFonts w:hint="eastAsia" w:ascii="仿宋" w:eastAsia="仿宋" w:cs="仿宋_GB2312"/>
          <w:b w:val="0"/>
          <w:bCs w:val="0"/>
          <w:color w:val="auto"/>
          <w:sz w:val="24"/>
          <w:highlight w:val="none"/>
        </w:rPr>
        <w:t>残疾人福利性单位视同小型、微型企业。</w:t>
      </w:r>
      <w:r>
        <w:rPr>
          <w:rFonts w:ascii="仿宋" w:eastAsia="仿宋" w:cs="仿宋_GB2312"/>
          <w:b w:val="0"/>
          <w:bCs w:val="0"/>
          <w:color w:val="auto"/>
          <w:sz w:val="24"/>
          <w:highlight w:val="none"/>
        </w:rPr>
        <w:t>供应商</w:t>
      </w:r>
      <w:r>
        <w:rPr>
          <w:rFonts w:hint="eastAsia" w:ascii="仿宋" w:eastAsia="仿宋" w:cs="仿宋_GB2312"/>
          <w:b w:val="0"/>
          <w:bCs w:val="0"/>
          <w:color w:val="auto"/>
          <w:sz w:val="24"/>
          <w:highlight w:val="none"/>
        </w:rPr>
        <w:t>提供由省级以上监狱管理局、戒毒管理局（含新疆生产建设兵团）出具的属于监狱企业的证明文件（格式自拟），视同为小型和微型企业。</w:t>
      </w:r>
    </w:p>
    <w:p>
      <w:pPr>
        <w:snapToGrid w:val="0"/>
        <w:spacing w:line="440" w:lineRule="exact"/>
        <w:jc w:val="left"/>
        <w:rPr>
          <w:rFonts w:ascii="仿宋" w:eastAsia="仿宋"/>
          <w:b/>
          <w:bCs/>
          <w:color w:val="auto"/>
          <w:sz w:val="24"/>
          <w:highlight w:val="none"/>
        </w:rPr>
      </w:pPr>
      <w:r>
        <w:rPr>
          <w:rFonts w:ascii="仿宋" w:eastAsia="仿宋"/>
          <w:b/>
          <w:bCs/>
          <w:color w:val="auto"/>
          <w:sz w:val="24"/>
          <w:highlight w:val="none"/>
        </w:rPr>
        <w:t>4.采购文件的澄清与修改</w:t>
      </w:r>
    </w:p>
    <w:p>
      <w:pPr>
        <w:pStyle w:val="8"/>
        <w:widowControl w:val="0"/>
        <w:numPr>
          <w:ilvl w:val="0"/>
          <w:numId w:val="0"/>
        </w:numPr>
        <w:spacing w:after="0" w:afterLines="0" w:line="440" w:lineRule="exact"/>
        <w:rPr>
          <w:rFonts w:hint="eastAsia" w:ascii="仿宋" w:eastAsia="仿宋"/>
          <w:color w:val="auto"/>
          <w:highlight w:val="none"/>
        </w:rPr>
      </w:pPr>
      <w:r>
        <w:rPr>
          <w:rFonts w:hint="eastAsia" w:ascii="仿宋" w:eastAsia="仿宋"/>
          <w:color w:val="auto"/>
          <w:highlight w:val="none"/>
        </w:rPr>
        <w:t>4.1</w:t>
      </w:r>
      <w:r>
        <w:rPr>
          <w:rFonts w:ascii="仿宋" w:eastAsia="仿宋"/>
          <w:color w:val="auto"/>
          <w:highlight w:val="none"/>
        </w:rPr>
        <w:t>采购人</w:t>
      </w:r>
      <w:r>
        <w:rPr>
          <w:rFonts w:hint="eastAsia" w:ascii="仿宋" w:eastAsia="仿宋"/>
          <w:color w:val="auto"/>
          <w:highlight w:val="none"/>
        </w:rPr>
        <w:t>如对采购文件进行澄清、</w:t>
      </w:r>
      <w:r>
        <w:rPr>
          <w:rFonts w:ascii="仿宋" w:eastAsia="仿宋"/>
          <w:color w:val="auto"/>
          <w:highlight w:val="none"/>
        </w:rPr>
        <w:t>补充、变更</w:t>
      </w:r>
      <w:r>
        <w:rPr>
          <w:rFonts w:hint="eastAsia" w:ascii="仿宋" w:eastAsia="仿宋"/>
          <w:color w:val="auto"/>
          <w:highlight w:val="none"/>
        </w:rPr>
        <w:t>的，或者在投标截止时间前规定时间内，招标人需要对采购文件进行补充或修改的，</w:t>
      </w:r>
      <w:r>
        <w:rPr>
          <w:rFonts w:ascii="仿宋" w:eastAsia="仿宋"/>
          <w:color w:val="auto"/>
          <w:highlight w:val="none"/>
        </w:rPr>
        <w:t>采购</w:t>
      </w:r>
      <w:r>
        <w:rPr>
          <w:rFonts w:hint="eastAsia" w:ascii="仿宋" w:eastAsia="仿宋"/>
          <w:color w:val="auto"/>
          <w:highlight w:val="none"/>
        </w:rPr>
        <w:t>人将会</w:t>
      </w:r>
      <w:r>
        <w:rPr>
          <w:rFonts w:ascii="仿宋" w:eastAsia="仿宋"/>
          <w:color w:val="auto"/>
          <w:highlight w:val="none"/>
        </w:rPr>
        <w:t>通过</w:t>
      </w:r>
      <w:r>
        <w:rPr>
          <w:rFonts w:ascii="仿宋" w:eastAsia="仿宋" w:cs="Arial"/>
          <w:color w:val="auto"/>
          <w:spacing w:val="-4"/>
          <w:sz w:val="24"/>
          <w:highlight w:val="none"/>
        </w:rPr>
        <w:t>浙江政府采购网http://zfcg.czt.zj.gov.cn 和绍兴市越城区人民政府网站公共资源交易板块http://www.sxyc.gov.cn</w:t>
      </w:r>
      <w:r>
        <w:rPr>
          <w:rFonts w:hint="eastAsia" w:ascii="仿宋" w:eastAsia="仿宋"/>
          <w:color w:val="auto"/>
          <w:highlight w:val="none"/>
        </w:rPr>
        <w:t>以更正公告的形式发布，公告中没有注明更改投标截止时间的视为截止时间不变。更正公告作为采购文件的补充和组成部分，对所有供应商均有约束力。</w:t>
      </w:r>
      <w:r>
        <w:rPr>
          <w:rFonts w:hint="eastAsia" w:ascii="仿宋" w:eastAsia="仿宋" w:cs="Arial"/>
          <w:bCs/>
          <w:color w:val="auto"/>
          <w:sz w:val="24"/>
          <w:highlight w:val="none"/>
        </w:rPr>
        <w:t>请自行登录</w:t>
      </w:r>
      <w:r>
        <w:rPr>
          <w:rFonts w:ascii="仿宋" w:eastAsia="仿宋" w:cs="Arial"/>
          <w:bCs/>
          <w:color w:val="auto"/>
          <w:sz w:val="24"/>
          <w:highlight w:val="none"/>
        </w:rPr>
        <w:t>区交易</w:t>
      </w:r>
      <w:r>
        <w:rPr>
          <w:rFonts w:hint="eastAsia" w:ascii="仿宋" w:eastAsia="仿宋" w:cs="Arial"/>
          <w:bCs/>
          <w:color w:val="auto"/>
          <w:sz w:val="24"/>
          <w:highlight w:val="none"/>
        </w:rPr>
        <w:t>平台或在浙江政府采购网更正公告页面或越城区人民政府门户网站采购公告页面中下载。</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4.2为使供应商有足够的时间按修改文件要求修正投标文件，招标人可酌情推迟投标截止时间和开标时间，并将此变更以更正公告的形式通过上述途径通知供应商。</w:t>
      </w:r>
    </w:p>
    <w:p>
      <w:pPr>
        <w:snapToGrid w:val="0"/>
        <w:spacing w:line="440" w:lineRule="exact"/>
        <w:jc w:val="left"/>
        <w:rPr>
          <w:rFonts w:ascii="仿宋" w:eastAsia="仿宋"/>
          <w:b/>
          <w:bCs/>
          <w:color w:val="auto"/>
          <w:sz w:val="24"/>
          <w:highlight w:val="none"/>
        </w:rPr>
      </w:pPr>
      <w:r>
        <w:rPr>
          <w:rFonts w:ascii="仿宋" w:eastAsia="仿宋"/>
          <w:b/>
          <w:bCs/>
          <w:color w:val="auto"/>
          <w:sz w:val="24"/>
          <w:highlight w:val="none"/>
        </w:rPr>
        <w:t>5、参考品牌</w:t>
      </w:r>
    </w:p>
    <w:p>
      <w:pPr>
        <w:snapToGrid w:val="0"/>
        <w:spacing w:line="440" w:lineRule="exact"/>
        <w:ind w:firstLine="480" w:firstLineChars="200"/>
        <w:jc w:val="left"/>
        <w:rPr>
          <w:rFonts w:ascii="仿宋" w:eastAsia="仿宋"/>
          <w:color w:val="auto"/>
          <w:sz w:val="24"/>
          <w:highlight w:val="none"/>
        </w:rPr>
      </w:pPr>
      <w:r>
        <w:rPr>
          <w:rFonts w:hint="eastAsia" w:ascii="仿宋" w:eastAsia="仿宋"/>
          <w:color w:val="auto"/>
          <w:sz w:val="24"/>
          <w:highlight w:val="none"/>
        </w:rPr>
        <w:t>本采购文件如涉及各类品牌、型号，则所述品牌、型号是结合实际现有情况的推荐性参考方案，供应商也可根据采购文件得要求推荐性能相当或高于、服务条款相等或高于、符合</w:t>
      </w:r>
      <w:r>
        <w:rPr>
          <w:rFonts w:ascii="仿宋" w:eastAsia="仿宋"/>
          <w:color w:val="auto"/>
          <w:sz w:val="24"/>
          <w:highlight w:val="none"/>
        </w:rPr>
        <w:t>采购人</w:t>
      </w:r>
      <w:r>
        <w:rPr>
          <w:rFonts w:hint="eastAsia" w:ascii="仿宋" w:eastAsia="仿宋"/>
          <w:color w:val="auto"/>
          <w:sz w:val="24"/>
          <w:highlight w:val="none"/>
        </w:rPr>
        <w:t>实际业务需求其他同档次优质品牌的产品，进行方案优化。</w:t>
      </w:r>
    </w:p>
    <w:p>
      <w:pPr>
        <w:pStyle w:val="4"/>
        <w:spacing w:line="415" w:lineRule="auto"/>
        <w:jc w:val="center"/>
        <w:rPr>
          <w:color w:val="auto"/>
          <w:highlight w:val="none"/>
        </w:rPr>
      </w:pPr>
      <w:bookmarkStart w:id="6" w:name="_Toc643610529"/>
      <w:r>
        <w:rPr>
          <w:color w:val="auto"/>
          <w:highlight w:val="none"/>
        </w:rPr>
        <w:t>三、投标文件</w:t>
      </w:r>
      <w:bookmarkEnd w:id="6"/>
    </w:p>
    <w:p>
      <w:pPr>
        <w:numPr>
          <w:ilvl w:val="0"/>
          <w:numId w:val="5"/>
        </w:num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投标文件的语言</w:t>
      </w:r>
      <w:r>
        <w:rPr>
          <w:rFonts w:ascii="仿宋" w:eastAsia="仿宋"/>
          <w:b/>
          <w:color w:val="auto"/>
          <w:sz w:val="24"/>
          <w:highlight w:val="none"/>
        </w:rPr>
        <w:t>及货币单位</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1.1</w:t>
      </w:r>
      <w:r>
        <w:rPr>
          <w:rFonts w:ascii="仿宋" w:eastAsia="仿宋"/>
          <w:color w:val="auto"/>
          <w:sz w:val="24"/>
          <w:highlight w:val="none"/>
        </w:rPr>
        <w:t>投标文件以及</w:t>
      </w:r>
      <w:r>
        <w:rPr>
          <w:rFonts w:hint="eastAsia" w:ascii="仿宋" w:eastAsia="仿宋"/>
          <w:color w:val="auto"/>
          <w:sz w:val="24"/>
          <w:highlight w:val="none"/>
        </w:rPr>
        <w:t>有关投标事宜的所有来往函电</w:t>
      </w:r>
      <w:r>
        <w:rPr>
          <w:rFonts w:ascii="仿宋" w:eastAsia="仿宋"/>
          <w:color w:val="auto"/>
          <w:sz w:val="24"/>
          <w:highlight w:val="none"/>
        </w:rPr>
        <w:t>均应以中文书写，专业术语和外文证明材料除外。</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1.2投标文件以人民币元报价或以下浮率（优惠率）报价，具体详见《开标一览表》。</w:t>
      </w:r>
    </w:p>
    <w:p>
      <w:pPr>
        <w:numPr>
          <w:ilvl w:val="0"/>
          <w:numId w:val="5"/>
        </w:num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投标文件的</w:t>
      </w:r>
      <w:r>
        <w:rPr>
          <w:rFonts w:ascii="仿宋" w:eastAsia="仿宋"/>
          <w:b/>
          <w:color w:val="auto"/>
          <w:sz w:val="24"/>
          <w:highlight w:val="none"/>
        </w:rPr>
        <w:t>组成</w:t>
      </w:r>
    </w:p>
    <w:p>
      <w:pPr>
        <w:snapToGrid w:val="0"/>
        <w:spacing w:line="440" w:lineRule="exact"/>
        <w:ind w:firstLine="479"/>
        <w:jc w:val="left"/>
        <w:rPr>
          <w:rFonts w:ascii="仿宋" w:eastAsia="仿宋"/>
          <w:color w:val="auto"/>
          <w:sz w:val="24"/>
          <w:highlight w:val="none"/>
        </w:rPr>
      </w:pPr>
      <w:r>
        <w:rPr>
          <w:rFonts w:ascii="仿宋" w:eastAsia="仿宋"/>
          <w:color w:val="auto"/>
          <w:sz w:val="24"/>
          <w:highlight w:val="none"/>
        </w:rPr>
        <w:t>本项目投标文件由</w:t>
      </w:r>
      <w:r>
        <w:rPr>
          <w:rFonts w:hint="eastAsia" w:ascii="仿宋" w:eastAsia="仿宋"/>
          <w:color w:val="auto"/>
          <w:sz w:val="24"/>
          <w:highlight w:val="none"/>
        </w:rPr>
        <w:t>“</w:t>
      </w:r>
      <w:r>
        <w:rPr>
          <w:rFonts w:ascii="仿宋" w:eastAsia="仿宋"/>
          <w:color w:val="auto"/>
          <w:sz w:val="24"/>
          <w:highlight w:val="none"/>
        </w:rPr>
        <w:t>资格</w:t>
      </w:r>
      <w:r>
        <w:rPr>
          <w:rFonts w:hint="eastAsia" w:ascii="仿宋" w:eastAsia="仿宋"/>
          <w:color w:val="auto"/>
          <w:sz w:val="24"/>
          <w:highlight w:val="none"/>
          <w:lang w:eastAsia="zh-CN"/>
        </w:rPr>
        <w:t>文件</w:t>
      </w:r>
      <w:r>
        <w:rPr>
          <w:rFonts w:hint="eastAsia" w:ascii="仿宋" w:eastAsia="仿宋"/>
          <w:color w:val="auto"/>
          <w:sz w:val="24"/>
          <w:highlight w:val="none"/>
        </w:rPr>
        <w:t>”</w:t>
      </w:r>
      <w:r>
        <w:rPr>
          <w:rFonts w:ascii="仿宋" w:eastAsia="仿宋"/>
          <w:color w:val="auto"/>
          <w:sz w:val="24"/>
          <w:highlight w:val="none"/>
        </w:rPr>
        <w:t>、</w:t>
      </w:r>
      <w:r>
        <w:rPr>
          <w:rFonts w:hint="eastAsia" w:ascii="仿宋" w:eastAsia="仿宋"/>
          <w:color w:val="auto"/>
          <w:sz w:val="24"/>
          <w:highlight w:val="none"/>
        </w:rPr>
        <w:t>“</w:t>
      </w:r>
      <w:r>
        <w:rPr>
          <w:rFonts w:ascii="仿宋" w:eastAsia="仿宋"/>
          <w:color w:val="auto"/>
          <w:sz w:val="24"/>
          <w:highlight w:val="none"/>
        </w:rPr>
        <w:t>商务和技术文件</w:t>
      </w:r>
      <w:r>
        <w:rPr>
          <w:rFonts w:hint="eastAsia" w:ascii="仿宋" w:eastAsia="仿宋"/>
          <w:color w:val="auto"/>
          <w:sz w:val="24"/>
          <w:highlight w:val="none"/>
        </w:rPr>
        <w:t>”、“</w:t>
      </w:r>
      <w:r>
        <w:rPr>
          <w:rFonts w:ascii="仿宋" w:eastAsia="仿宋"/>
          <w:color w:val="auto"/>
          <w:sz w:val="24"/>
          <w:highlight w:val="none"/>
        </w:rPr>
        <w:t>报价文件</w:t>
      </w:r>
      <w:r>
        <w:rPr>
          <w:rFonts w:hint="eastAsia" w:ascii="仿宋" w:eastAsia="仿宋"/>
          <w:color w:val="auto"/>
          <w:sz w:val="24"/>
          <w:highlight w:val="none"/>
        </w:rPr>
        <w:t>”</w:t>
      </w:r>
      <w:r>
        <w:rPr>
          <w:rFonts w:ascii="仿宋" w:eastAsia="仿宋"/>
          <w:color w:val="auto"/>
          <w:sz w:val="24"/>
          <w:highlight w:val="none"/>
        </w:rPr>
        <w:t>三部分组成：</w:t>
      </w:r>
    </w:p>
    <w:p>
      <w:pPr>
        <w:snapToGrid w:val="0"/>
        <w:spacing w:line="440" w:lineRule="exact"/>
        <w:ind w:left="0"/>
        <w:jc w:val="left"/>
        <w:rPr>
          <w:rFonts w:hint="eastAsia" w:ascii="仿宋" w:eastAsia="仿宋"/>
          <w:b/>
          <w:bCs/>
          <w:color w:val="auto"/>
          <w:sz w:val="24"/>
          <w:highlight w:val="none"/>
        </w:rPr>
      </w:pPr>
      <w:r>
        <w:rPr>
          <w:rFonts w:hint="eastAsia" w:ascii="仿宋" w:eastAsia="仿宋"/>
          <w:b/>
          <w:bCs/>
          <w:color w:val="auto"/>
          <w:sz w:val="24"/>
          <w:highlight w:val="none"/>
        </w:rPr>
        <w:t>2.1“资格文件”包括以下内容：</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2.1.1投标声明函；</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2.1.2联合体协议书（如有）；</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2.1.3法定代表人授权委托书（个体工商户需经营者参与投标，不得授权)</w:t>
      </w:r>
      <w:r>
        <w:rPr>
          <w:rFonts w:hint="eastAsia" w:ascii="仿宋" w:eastAsia="仿宋" w:cs="Arial"/>
          <w:bCs/>
          <w:color w:val="auto"/>
          <w:sz w:val="24"/>
          <w:highlight w:val="none"/>
          <w:lang w:bidi="ar-SA"/>
        </w:rPr>
        <w:t>；</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2.1.4法定代表人及其授权代表的身份证</w:t>
      </w:r>
      <w:r>
        <w:rPr>
          <w:rFonts w:ascii="仿宋" w:eastAsia="仿宋"/>
          <w:color w:val="auto"/>
          <w:sz w:val="24"/>
          <w:highlight w:val="none"/>
        </w:rPr>
        <w:t>（复印件）</w:t>
      </w:r>
      <w:r>
        <w:rPr>
          <w:rFonts w:hint="eastAsia" w:ascii="仿宋" w:eastAsia="仿宋"/>
          <w:color w:val="auto"/>
          <w:sz w:val="24"/>
          <w:highlight w:val="none"/>
        </w:rPr>
        <w:t>；</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2.1.</w:t>
      </w:r>
      <w:r>
        <w:rPr>
          <w:rFonts w:ascii="仿宋" w:eastAsia="仿宋"/>
          <w:color w:val="auto"/>
          <w:sz w:val="24"/>
          <w:highlight w:val="none"/>
        </w:rPr>
        <w:t>5</w:t>
      </w:r>
      <w:r>
        <w:rPr>
          <w:rFonts w:hint="eastAsia" w:ascii="仿宋" w:eastAsia="仿宋"/>
          <w:color w:val="auto"/>
          <w:sz w:val="24"/>
          <w:highlight w:val="none"/>
        </w:rPr>
        <w:t xml:space="preserve"> 资格条件证明材料</w:t>
      </w:r>
      <w:r>
        <w:rPr>
          <w:rFonts w:ascii="仿宋" w:eastAsia="仿宋"/>
          <w:color w:val="auto"/>
          <w:sz w:val="24"/>
          <w:highlight w:val="none"/>
        </w:rPr>
        <w:t>（复印件或打印件）</w:t>
      </w:r>
      <w:r>
        <w:rPr>
          <w:rFonts w:hint="eastAsia" w:ascii="仿宋" w:eastAsia="仿宋"/>
          <w:color w:val="auto"/>
          <w:sz w:val="24"/>
          <w:highlight w:val="none"/>
        </w:rPr>
        <w:t>：</w:t>
      </w:r>
    </w:p>
    <w:p>
      <w:pPr>
        <w:snapToGrid w:val="0"/>
        <w:spacing w:line="440" w:lineRule="exact"/>
        <w:ind w:firstLine="600" w:firstLineChars="250"/>
        <w:jc w:val="left"/>
        <w:rPr>
          <w:rFonts w:hint="eastAsia" w:ascii="仿宋" w:eastAsia="仿宋"/>
          <w:color w:val="auto"/>
          <w:sz w:val="24"/>
          <w:highlight w:val="none"/>
        </w:rPr>
      </w:pPr>
      <w:r>
        <w:rPr>
          <w:rFonts w:hint="eastAsia" w:ascii="仿宋" w:eastAsia="仿宋"/>
          <w:color w:val="auto"/>
          <w:sz w:val="24"/>
          <w:highlight w:val="none"/>
        </w:rPr>
        <w:t>2.1.</w:t>
      </w:r>
      <w:r>
        <w:rPr>
          <w:rFonts w:ascii="仿宋" w:eastAsia="仿宋"/>
          <w:color w:val="auto"/>
          <w:sz w:val="24"/>
          <w:highlight w:val="none"/>
        </w:rPr>
        <w:t>5</w:t>
      </w:r>
      <w:r>
        <w:rPr>
          <w:rFonts w:hint="eastAsia" w:ascii="仿宋" w:eastAsia="仿宋"/>
          <w:color w:val="auto"/>
          <w:sz w:val="24"/>
          <w:highlight w:val="none"/>
        </w:rPr>
        <w:t>.1营业执照或事业单位法人登记证书；</w:t>
      </w:r>
    </w:p>
    <w:p>
      <w:pPr>
        <w:snapToGrid w:val="0"/>
        <w:spacing w:line="440" w:lineRule="exact"/>
        <w:ind w:firstLine="600" w:firstLineChars="250"/>
        <w:jc w:val="left"/>
        <w:rPr>
          <w:rFonts w:hint="eastAsia" w:ascii="仿宋" w:eastAsia="仿宋"/>
          <w:color w:val="auto"/>
          <w:sz w:val="24"/>
          <w:highlight w:val="none"/>
        </w:rPr>
      </w:pPr>
      <w:r>
        <w:rPr>
          <w:rFonts w:hint="eastAsia" w:ascii="仿宋" w:eastAsia="仿宋"/>
          <w:color w:val="auto"/>
          <w:sz w:val="24"/>
          <w:highlight w:val="none"/>
        </w:rPr>
        <w:t>2.1.</w:t>
      </w:r>
      <w:r>
        <w:rPr>
          <w:rFonts w:ascii="仿宋" w:eastAsia="仿宋"/>
          <w:color w:val="auto"/>
          <w:sz w:val="24"/>
          <w:highlight w:val="none"/>
        </w:rPr>
        <w:t>5</w:t>
      </w:r>
      <w:r>
        <w:rPr>
          <w:rFonts w:hint="eastAsia" w:ascii="仿宋" w:eastAsia="仿宋"/>
          <w:color w:val="auto"/>
          <w:sz w:val="24"/>
          <w:highlight w:val="none"/>
        </w:rPr>
        <w:t>.</w:t>
      </w:r>
      <w:r>
        <w:rPr>
          <w:rFonts w:ascii="仿宋" w:eastAsia="仿宋"/>
          <w:color w:val="auto"/>
          <w:sz w:val="24"/>
          <w:highlight w:val="none"/>
        </w:rPr>
        <w:t>2</w:t>
      </w:r>
      <w:r>
        <w:rPr>
          <w:rFonts w:hint="eastAsia" w:ascii="仿宋" w:eastAsia="仿宋"/>
          <w:color w:val="auto"/>
          <w:sz w:val="24"/>
          <w:highlight w:val="none"/>
        </w:rPr>
        <w:t>特定资格条件证明材料（如有）。</w:t>
      </w:r>
    </w:p>
    <w:p>
      <w:pPr>
        <w:snapToGrid w:val="0"/>
        <w:spacing w:line="440" w:lineRule="exact"/>
        <w:ind w:left="0"/>
        <w:jc w:val="left"/>
        <w:rPr>
          <w:rFonts w:hint="eastAsia" w:ascii="仿宋" w:eastAsia="仿宋"/>
          <w:b/>
          <w:bCs/>
          <w:color w:val="auto"/>
          <w:sz w:val="32"/>
          <w:szCs w:val="32"/>
          <w:highlight w:val="none"/>
          <w:u w:val="single"/>
          <w:shd w:val="solid" w:color="FFFF00" w:fill="FFFFFF"/>
        </w:rPr>
      </w:pPr>
      <w:r>
        <w:rPr>
          <w:rFonts w:hint="eastAsia" w:ascii="仿宋" w:eastAsia="仿宋"/>
          <w:b/>
          <w:bCs/>
          <w:color w:val="auto"/>
          <w:sz w:val="32"/>
          <w:szCs w:val="32"/>
          <w:highlight w:val="none"/>
          <w:u w:val="single"/>
          <w:shd w:val="solid" w:color="FFFF00" w:fill="FFFFFF"/>
        </w:rPr>
        <w:t>注：“资格文件”需按采购文件</w:t>
      </w:r>
      <w:r>
        <w:rPr>
          <w:rFonts w:ascii="仿宋" w:eastAsia="仿宋"/>
          <w:b/>
          <w:bCs/>
          <w:color w:val="auto"/>
          <w:sz w:val="32"/>
          <w:szCs w:val="32"/>
          <w:highlight w:val="none"/>
          <w:u w:val="single"/>
          <w:shd w:val="solid" w:color="FFFF00" w:fill="FFFFFF"/>
        </w:rPr>
        <w:t>要求的内容制作，复印件需加盖供应商公章。未按第六章附件的要求签字、盖章或内容实质性偏离的，资格审查不通过。</w:t>
      </w:r>
    </w:p>
    <w:p>
      <w:pPr>
        <w:snapToGrid w:val="0"/>
        <w:spacing w:line="440" w:lineRule="exact"/>
        <w:ind w:left="0"/>
        <w:jc w:val="left"/>
        <w:rPr>
          <w:rFonts w:hint="eastAsia" w:ascii="仿宋" w:eastAsia="仿宋"/>
          <w:b/>
          <w:bCs/>
          <w:color w:val="auto"/>
          <w:sz w:val="24"/>
          <w:highlight w:val="none"/>
        </w:rPr>
      </w:pPr>
      <w:r>
        <w:rPr>
          <w:rFonts w:hint="eastAsia" w:ascii="仿宋" w:eastAsia="仿宋"/>
          <w:b/>
          <w:bCs/>
          <w:color w:val="auto"/>
          <w:sz w:val="24"/>
          <w:highlight w:val="none"/>
        </w:rPr>
        <w:t>2.2“商务和技术文件”包括以下内容：</w:t>
      </w:r>
    </w:p>
    <w:p>
      <w:pPr>
        <w:snapToGrid w:val="0"/>
        <w:spacing w:line="440" w:lineRule="exact"/>
        <w:ind w:left="0"/>
        <w:jc w:val="left"/>
        <w:rPr>
          <w:rFonts w:ascii="仿宋" w:eastAsia="仿宋"/>
          <w:color w:val="auto"/>
          <w:sz w:val="24"/>
          <w:highlight w:val="none"/>
        </w:rPr>
      </w:pPr>
      <w:r>
        <w:rPr>
          <w:rFonts w:ascii="仿宋" w:eastAsia="仿宋"/>
          <w:color w:val="auto"/>
          <w:sz w:val="24"/>
          <w:highlight w:val="none"/>
        </w:rPr>
        <w:t>2.2.1评分对应表；</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2.2.</w:t>
      </w:r>
      <w:r>
        <w:rPr>
          <w:rFonts w:ascii="仿宋" w:eastAsia="仿宋"/>
          <w:color w:val="auto"/>
          <w:sz w:val="24"/>
          <w:highlight w:val="none"/>
        </w:rPr>
        <w:t>2</w:t>
      </w:r>
      <w:r>
        <w:rPr>
          <w:rFonts w:hint="eastAsia" w:ascii="仿宋" w:eastAsia="仿宋"/>
          <w:color w:val="auto"/>
          <w:sz w:val="24"/>
          <w:highlight w:val="none"/>
        </w:rPr>
        <w:t>项目明细清单；</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2.2.</w:t>
      </w:r>
      <w:r>
        <w:rPr>
          <w:rFonts w:ascii="仿宋" w:eastAsia="仿宋"/>
          <w:color w:val="auto"/>
          <w:sz w:val="24"/>
          <w:highlight w:val="none"/>
        </w:rPr>
        <w:t>3</w:t>
      </w:r>
      <w:r>
        <w:rPr>
          <w:rFonts w:hint="eastAsia" w:ascii="仿宋" w:eastAsia="仿宋"/>
          <w:color w:val="auto"/>
          <w:sz w:val="24"/>
          <w:highlight w:val="none"/>
        </w:rPr>
        <w:t>技术响应表（</w:t>
      </w:r>
      <w:r>
        <w:rPr>
          <w:rFonts w:hint="eastAsia" w:ascii="仿宋" w:eastAsia="仿宋" w:cs="仿宋_GB2312"/>
          <w:color w:val="auto"/>
          <w:sz w:val="24"/>
          <w:highlight w:val="none"/>
        </w:rPr>
        <w:t>供应商在技术响应表中，</w:t>
      </w:r>
      <w:r>
        <w:rPr>
          <w:rFonts w:hint="eastAsia" w:ascii="仿宋" w:eastAsia="仿宋" w:cs="仿宋_GB2312"/>
          <w:color w:val="auto"/>
          <w:kern w:val="0"/>
          <w:sz w:val="24"/>
          <w:highlight w:val="none"/>
          <w:lang w:val="zh-CN"/>
        </w:rPr>
        <w:t>应对</w:t>
      </w:r>
      <w:r>
        <w:rPr>
          <w:rFonts w:hint="eastAsia" w:ascii="仿宋" w:eastAsia="仿宋" w:cs="仿宋_GB2312"/>
          <w:color w:val="auto"/>
          <w:sz w:val="24"/>
          <w:highlight w:val="none"/>
        </w:rPr>
        <w:t>采购需求中的各项技术规范</w:t>
      </w:r>
      <w:r>
        <w:rPr>
          <w:rFonts w:hint="eastAsia" w:ascii="仿宋" w:eastAsia="仿宋" w:cs="仿宋_GB2312"/>
          <w:color w:val="auto"/>
          <w:kern w:val="0"/>
          <w:sz w:val="24"/>
          <w:highlight w:val="none"/>
          <w:lang w:val="zh-CN"/>
        </w:rPr>
        <w:t>要求进行答复、说明和解释，正偏离的需详细说明缘由。如果供应商在技术响应表中注明无偏离或正偏离，评标结束后、签订采购合同前又认为其实际产品与投标技术需求不一致的，视为供应商在投标有效期内对其投标文件进行了实质性修改，其投标将被追认为无效，采购机构将把这一情况报送采购监管部门。</w:t>
      </w:r>
      <w:r>
        <w:rPr>
          <w:rFonts w:hint="eastAsia" w:ascii="仿宋" w:eastAsia="仿宋"/>
          <w:color w:val="auto"/>
          <w:sz w:val="24"/>
          <w:highlight w:val="none"/>
        </w:rPr>
        <w:t>）；</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2.2.</w:t>
      </w:r>
      <w:r>
        <w:rPr>
          <w:rFonts w:ascii="仿宋" w:eastAsia="仿宋"/>
          <w:color w:val="auto"/>
          <w:sz w:val="24"/>
          <w:highlight w:val="none"/>
        </w:rPr>
        <w:t>4</w:t>
      </w:r>
      <w:r>
        <w:rPr>
          <w:rFonts w:hint="eastAsia" w:ascii="仿宋" w:eastAsia="仿宋"/>
          <w:color w:val="auto"/>
          <w:sz w:val="24"/>
          <w:highlight w:val="none"/>
        </w:rPr>
        <w:t>商务响应表（需对采购文件中付款方式、供货期限等商务要求进行逐一答复、说明和解释，</w:t>
      </w:r>
      <w:r>
        <w:rPr>
          <w:rFonts w:hint="eastAsia" w:ascii="仿宋" w:eastAsia="仿宋" w:cs="仿宋_GB2312"/>
          <w:color w:val="auto"/>
          <w:kern w:val="0"/>
          <w:sz w:val="24"/>
          <w:highlight w:val="none"/>
          <w:lang w:val="zh-CN"/>
        </w:rPr>
        <w:t>正偏离的需详细说明）；</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2.2.</w:t>
      </w:r>
      <w:r>
        <w:rPr>
          <w:rFonts w:ascii="仿宋" w:eastAsia="仿宋"/>
          <w:color w:val="auto"/>
          <w:sz w:val="24"/>
          <w:highlight w:val="none"/>
        </w:rPr>
        <w:t>5</w:t>
      </w:r>
      <w:r>
        <w:rPr>
          <w:rFonts w:hint="eastAsia" w:ascii="仿宋" w:eastAsia="仿宋"/>
          <w:color w:val="auto"/>
          <w:sz w:val="24"/>
          <w:highlight w:val="none"/>
        </w:rPr>
        <w:t>项目实施方案；</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2.2.</w:t>
      </w:r>
      <w:r>
        <w:rPr>
          <w:rFonts w:ascii="仿宋" w:eastAsia="仿宋"/>
          <w:color w:val="auto"/>
          <w:sz w:val="24"/>
          <w:highlight w:val="none"/>
        </w:rPr>
        <w:t>6</w:t>
      </w:r>
      <w:r>
        <w:rPr>
          <w:rFonts w:hint="eastAsia" w:ascii="仿宋" w:eastAsia="仿宋"/>
          <w:color w:val="auto"/>
          <w:sz w:val="24"/>
          <w:highlight w:val="none"/>
        </w:rPr>
        <w:t>项目实施人员清单；</w:t>
      </w:r>
    </w:p>
    <w:p>
      <w:pPr>
        <w:pStyle w:val="40"/>
        <w:spacing w:line="360" w:lineRule="auto"/>
        <w:ind w:firstLine="0" w:firstLineChars="0"/>
        <w:jc w:val="left"/>
        <w:rPr>
          <w:rFonts w:hint="eastAsia" w:ascii="仿宋" w:eastAsia="仿宋" w:cs="仿宋_GB2312"/>
          <w:color w:val="auto"/>
          <w:szCs w:val="20"/>
          <w:highlight w:val="none"/>
        </w:rPr>
      </w:pPr>
      <w:r>
        <w:rPr>
          <w:rFonts w:hint="eastAsia" w:ascii="仿宋" w:eastAsia="仿宋" w:cs="仿宋_GB2312"/>
          <w:color w:val="auto"/>
          <w:szCs w:val="20"/>
          <w:highlight w:val="none"/>
          <w:lang w:val="zh-CN"/>
        </w:rPr>
        <w:t>2.2.</w:t>
      </w:r>
      <w:r>
        <w:rPr>
          <w:rFonts w:hint="eastAsia" w:ascii="仿宋" w:eastAsia="仿宋" w:cs="仿宋_GB2312"/>
          <w:color w:val="auto"/>
          <w:szCs w:val="20"/>
          <w:highlight w:val="none"/>
          <w:lang w:val="en-US" w:eastAsia="zh-CN"/>
        </w:rPr>
        <w:t>7</w:t>
      </w:r>
      <w:r>
        <w:rPr>
          <w:rFonts w:hint="eastAsia" w:ascii="仿宋" w:eastAsia="仿宋" w:cs="仿宋_GB2312"/>
          <w:color w:val="auto"/>
          <w:szCs w:val="20"/>
          <w:highlight w:val="none"/>
          <w:lang w:val="zh-CN"/>
        </w:rPr>
        <w:t>消耗品、维修零配件及其价格清单（如有）；</w:t>
      </w:r>
    </w:p>
    <w:p>
      <w:pPr>
        <w:pStyle w:val="40"/>
        <w:spacing w:line="360" w:lineRule="auto"/>
        <w:ind w:firstLine="0" w:firstLineChars="0"/>
        <w:jc w:val="left"/>
        <w:rPr>
          <w:rFonts w:hint="eastAsia" w:ascii="仿宋" w:eastAsia="仿宋" w:cs="仿宋_GB2312"/>
          <w:color w:val="auto"/>
          <w:szCs w:val="20"/>
          <w:highlight w:val="none"/>
        </w:rPr>
      </w:pPr>
      <w:r>
        <w:rPr>
          <w:rFonts w:hint="eastAsia" w:ascii="仿宋" w:eastAsia="仿宋" w:cs="仿宋_GB2312"/>
          <w:color w:val="auto"/>
          <w:szCs w:val="20"/>
          <w:highlight w:val="none"/>
        </w:rPr>
        <w:t>2.2.</w:t>
      </w:r>
      <w:r>
        <w:rPr>
          <w:rFonts w:hint="eastAsia" w:ascii="仿宋" w:eastAsia="仿宋" w:cs="仿宋_GB2312"/>
          <w:color w:val="auto"/>
          <w:szCs w:val="20"/>
          <w:highlight w:val="none"/>
          <w:lang w:val="en-US" w:eastAsia="zh-CN"/>
        </w:rPr>
        <w:t>8</w:t>
      </w:r>
      <w:r>
        <w:rPr>
          <w:rFonts w:hint="eastAsia" w:ascii="仿宋" w:eastAsia="仿宋" w:cs="仿宋_GB2312"/>
          <w:color w:val="auto"/>
          <w:szCs w:val="20"/>
          <w:highlight w:val="none"/>
        </w:rPr>
        <w:t>类似业绩一览表（附业绩证明材料）</w:t>
      </w:r>
      <w:r>
        <w:rPr>
          <w:rFonts w:ascii="仿宋" w:eastAsia="仿宋" w:cs="仿宋_GB2312"/>
          <w:color w:val="auto"/>
          <w:szCs w:val="20"/>
          <w:highlight w:val="none"/>
        </w:rPr>
        <w:t>（如有）</w:t>
      </w:r>
      <w:r>
        <w:rPr>
          <w:rFonts w:hint="eastAsia" w:ascii="仿宋" w:eastAsia="仿宋" w:cs="仿宋_GB2312"/>
          <w:color w:val="auto"/>
          <w:szCs w:val="20"/>
          <w:highlight w:val="none"/>
        </w:rPr>
        <w:t>；</w:t>
      </w:r>
    </w:p>
    <w:p>
      <w:pPr>
        <w:pStyle w:val="40"/>
        <w:spacing w:line="360" w:lineRule="auto"/>
        <w:ind w:firstLine="0" w:firstLineChars="0"/>
        <w:jc w:val="left"/>
        <w:rPr>
          <w:rFonts w:hint="eastAsia" w:ascii="仿宋" w:eastAsia="仿宋" w:cs="仿宋_GB2312"/>
          <w:color w:val="auto"/>
          <w:szCs w:val="20"/>
          <w:highlight w:val="none"/>
        </w:rPr>
      </w:pPr>
      <w:r>
        <w:rPr>
          <w:rFonts w:hint="eastAsia" w:ascii="仿宋" w:eastAsia="仿宋" w:cs="仿宋_GB2312"/>
          <w:color w:val="auto"/>
          <w:szCs w:val="20"/>
          <w:highlight w:val="none"/>
          <w:lang w:val="zh-CN"/>
        </w:rPr>
        <w:t>2.2.</w:t>
      </w:r>
      <w:r>
        <w:rPr>
          <w:rFonts w:hint="eastAsia" w:ascii="仿宋" w:eastAsia="仿宋" w:cs="仿宋_GB2312"/>
          <w:color w:val="auto"/>
          <w:szCs w:val="20"/>
          <w:highlight w:val="none"/>
          <w:lang w:val="en-US" w:eastAsia="zh-CN"/>
        </w:rPr>
        <w:t>9</w:t>
      </w:r>
      <w:r>
        <w:rPr>
          <w:rFonts w:hint="eastAsia" w:ascii="仿宋" w:eastAsia="仿宋" w:cs="仿宋_GB2312"/>
          <w:color w:val="auto"/>
          <w:szCs w:val="20"/>
          <w:highlight w:val="none"/>
          <w:lang w:val="zh-CN"/>
        </w:rPr>
        <w:t>优惠条件及其他额外承诺；</w:t>
      </w:r>
    </w:p>
    <w:p>
      <w:pPr>
        <w:snapToGrid w:val="0"/>
        <w:spacing w:line="440" w:lineRule="exact"/>
        <w:ind w:left="0"/>
        <w:jc w:val="left"/>
        <w:rPr>
          <w:rFonts w:hint="eastAsia" w:ascii="仿宋" w:eastAsia="仿宋" w:cs="仿宋_GB2312"/>
          <w:b/>
          <w:bCs/>
          <w:color w:val="auto"/>
          <w:kern w:val="0"/>
          <w:sz w:val="24"/>
          <w:highlight w:val="none"/>
          <w:lang w:val="zh-CN"/>
        </w:rPr>
      </w:pPr>
      <w:r>
        <w:rPr>
          <w:rFonts w:hint="eastAsia" w:ascii="仿宋" w:eastAsia="仿宋" w:cs="仿宋_GB2312"/>
          <w:b/>
          <w:bCs/>
          <w:color w:val="auto"/>
          <w:kern w:val="0"/>
          <w:sz w:val="24"/>
          <w:highlight w:val="none"/>
          <w:lang w:val="zh-CN"/>
        </w:rPr>
        <w:t>2.2.1</w:t>
      </w:r>
      <w:r>
        <w:rPr>
          <w:rFonts w:hint="eastAsia" w:ascii="仿宋" w:eastAsia="仿宋" w:cs="仿宋_GB2312"/>
          <w:b/>
          <w:bCs/>
          <w:color w:val="auto"/>
          <w:kern w:val="0"/>
          <w:sz w:val="24"/>
          <w:highlight w:val="none"/>
          <w:lang w:val="en-US" w:eastAsia="zh-CN"/>
        </w:rPr>
        <w:t>0</w:t>
      </w:r>
      <w:r>
        <w:rPr>
          <w:rFonts w:hint="eastAsia" w:ascii="仿宋" w:eastAsia="仿宋" w:cs="仿宋_GB2312"/>
          <w:b/>
          <w:bCs/>
          <w:color w:val="auto"/>
          <w:kern w:val="0"/>
          <w:sz w:val="24"/>
          <w:highlight w:val="none"/>
          <w:lang w:val="zh-CN"/>
        </w:rPr>
        <w:t>按评分细则中要求提供的其他资料（重要）；</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2.2.1</w:t>
      </w:r>
      <w:r>
        <w:rPr>
          <w:rFonts w:hint="eastAsia" w:ascii="仿宋" w:eastAsia="仿宋"/>
          <w:color w:val="auto"/>
          <w:sz w:val="24"/>
          <w:highlight w:val="none"/>
          <w:lang w:val="en-US" w:eastAsia="zh-CN"/>
        </w:rPr>
        <w:t>1</w:t>
      </w:r>
      <w:r>
        <w:rPr>
          <w:rFonts w:hint="eastAsia" w:ascii="仿宋" w:eastAsia="仿宋"/>
          <w:color w:val="auto"/>
          <w:sz w:val="24"/>
          <w:highlight w:val="none"/>
        </w:rPr>
        <w:t>其他供应商认为需要提供的材料，如供应商简介等，格式自拟。</w:t>
      </w:r>
    </w:p>
    <w:p>
      <w:pPr>
        <w:snapToGrid w:val="0"/>
        <w:spacing w:line="440" w:lineRule="exact"/>
        <w:ind w:left="0"/>
        <w:jc w:val="left"/>
        <w:rPr>
          <w:rFonts w:hint="eastAsia" w:ascii="仿宋" w:eastAsia="仿宋"/>
          <w:color w:val="auto"/>
          <w:sz w:val="24"/>
          <w:highlight w:val="none"/>
        </w:rPr>
      </w:pPr>
      <w:r>
        <w:rPr>
          <w:rFonts w:hint="eastAsia" w:ascii="仿宋" w:eastAsia="仿宋"/>
          <w:b/>
          <w:bCs/>
          <w:color w:val="auto"/>
          <w:sz w:val="32"/>
          <w:szCs w:val="32"/>
          <w:highlight w:val="none"/>
          <w:u w:val="single"/>
        </w:rPr>
        <w:t>注：“商务和技术文件”可在</w:t>
      </w:r>
      <w:r>
        <w:rPr>
          <w:rFonts w:ascii="仿宋" w:eastAsia="仿宋"/>
          <w:b/>
          <w:bCs/>
          <w:color w:val="auto"/>
          <w:sz w:val="32"/>
          <w:szCs w:val="32"/>
          <w:highlight w:val="none"/>
          <w:u w:val="single"/>
        </w:rPr>
        <w:t>上述内容</w:t>
      </w:r>
      <w:r>
        <w:rPr>
          <w:rFonts w:hint="eastAsia" w:ascii="仿宋" w:eastAsia="仿宋"/>
          <w:b/>
          <w:bCs/>
          <w:color w:val="auto"/>
          <w:sz w:val="32"/>
          <w:szCs w:val="32"/>
          <w:highlight w:val="none"/>
          <w:u w:val="single"/>
        </w:rPr>
        <w:t>格式的基础上适当调整，以使内容更加完备。</w:t>
      </w:r>
      <w:r>
        <w:rPr>
          <w:rFonts w:ascii="仿宋" w:eastAsia="仿宋"/>
          <w:b/>
          <w:bCs/>
          <w:color w:val="auto"/>
          <w:sz w:val="32"/>
          <w:szCs w:val="32"/>
          <w:highlight w:val="none"/>
          <w:u w:val="single"/>
        </w:rPr>
        <w:t>盖章、签署等要求按采购文件第六章和标段内的规定执行。</w:t>
      </w:r>
    </w:p>
    <w:p>
      <w:pPr>
        <w:snapToGrid w:val="0"/>
        <w:spacing w:line="440" w:lineRule="exact"/>
        <w:ind w:left="0"/>
        <w:jc w:val="left"/>
        <w:rPr>
          <w:rFonts w:hint="eastAsia" w:ascii="仿宋" w:eastAsia="仿宋"/>
          <w:b/>
          <w:bCs/>
          <w:color w:val="auto"/>
          <w:sz w:val="24"/>
          <w:highlight w:val="none"/>
          <w:lang w:eastAsia="zh-CN"/>
        </w:rPr>
      </w:pPr>
      <w:r>
        <w:rPr>
          <w:rFonts w:hint="eastAsia" w:ascii="仿宋" w:eastAsia="仿宋"/>
          <w:b/>
          <w:bCs/>
          <w:color w:val="auto"/>
          <w:sz w:val="24"/>
          <w:highlight w:val="none"/>
        </w:rPr>
        <w:t>2.</w:t>
      </w:r>
      <w:r>
        <w:rPr>
          <w:rFonts w:ascii="仿宋" w:eastAsia="仿宋"/>
          <w:b/>
          <w:bCs/>
          <w:color w:val="auto"/>
          <w:sz w:val="24"/>
          <w:highlight w:val="none"/>
        </w:rPr>
        <w:t>3</w:t>
      </w:r>
      <w:r>
        <w:rPr>
          <w:rFonts w:hint="eastAsia" w:ascii="仿宋" w:eastAsia="仿宋"/>
          <w:b/>
          <w:bCs/>
          <w:color w:val="auto"/>
          <w:sz w:val="24"/>
          <w:highlight w:val="none"/>
        </w:rPr>
        <w:t>“报价文件”包括以下内容：</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w:t>
      </w:r>
      <w:r>
        <w:rPr>
          <w:rFonts w:ascii="仿宋" w:eastAsia="仿宋"/>
          <w:color w:val="auto"/>
          <w:sz w:val="24"/>
          <w:highlight w:val="none"/>
        </w:rPr>
        <w:t>3</w:t>
      </w:r>
      <w:r>
        <w:rPr>
          <w:rFonts w:hint="eastAsia" w:ascii="仿宋" w:eastAsia="仿宋"/>
          <w:color w:val="auto"/>
          <w:sz w:val="24"/>
          <w:highlight w:val="none"/>
        </w:rPr>
        <w:t>.1开标一览表；</w:t>
      </w:r>
    </w:p>
    <w:p>
      <w:pPr>
        <w:widowControl/>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w:t>
      </w:r>
      <w:r>
        <w:rPr>
          <w:rFonts w:ascii="仿宋" w:eastAsia="仿宋"/>
          <w:color w:val="auto"/>
          <w:sz w:val="24"/>
          <w:highlight w:val="none"/>
        </w:rPr>
        <w:t>3</w:t>
      </w:r>
      <w:r>
        <w:rPr>
          <w:rFonts w:hint="eastAsia" w:ascii="仿宋" w:eastAsia="仿宋"/>
          <w:color w:val="auto"/>
          <w:sz w:val="24"/>
          <w:highlight w:val="none"/>
        </w:rPr>
        <w:t>.</w:t>
      </w:r>
      <w:r>
        <w:rPr>
          <w:rFonts w:ascii="仿宋" w:eastAsia="仿宋"/>
          <w:color w:val="auto"/>
          <w:sz w:val="24"/>
          <w:highlight w:val="none"/>
        </w:rPr>
        <w:t>2</w:t>
      </w:r>
      <w:r>
        <w:rPr>
          <w:rFonts w:hint="eastAsia" w:ascii="仿宋" w:eastAsia="仿宋"/>
          <w:color w:val="auto"/>
          <w:sz w:val="24"/>
          <w:highlight w:val="none"/>
        </w:rPr>
        <w:t>中小企业声明函（如有）；</w:t>
      </w:r>
    </w:p>
    <w:p>
      <w:pPr>
        <w:widowControl/>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w:t>
      </w:r>
      <w:r>
        <w:rPr>
          <w:rFonts w:ascii="仿宋" w:eastAsia="仿宋"/>
          <w:color w:val="auto"/>
          <w:sz w:val="24"/>
          <w:highlight w:val="none"/>
        </w:rPr>
        <w:t>3</w:t>
      </w:r>
      <w:r>
        <w:rPr>
          <w:rFonts w:hint="eastAsia" w:ascii="仿宋" w:eastAsia="仿宋"/>
          <w:color w:val="auto"/>
          <w:sz w:val="24"/>
          <w:highlight w:val="none"/>
        </w:rPr>
        <w:t>.</w:t>
      </w:r>
      <w:r>
        <w:rPr>
          <w:rFonts w:ascii="仿宋" w:eastAsia="仿宋"/>
          <w:color w:val="auto"/>
          <w:sz w:val="24"/>
          <w:highlight w:val="none"/>
        </w:rPr>
        <w:t>3</w:t>
      </w:r>
      <w:r>
        <w:rPr>
          <w:rFonts w:hint="eastAsia" w:ascii="仿宋" w:eastAsia="仿宋"/>
          <w:color w:val="auto"/>
          <w:sz w:val="24"/>
          <w:highlight w:val="none"/>
        </w:rPr>
        <w:t>残疾人福利性单位声明函（如有）；</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2.</w:t>
      </w:r>
      <w:r>
        <w:rPr>
          <w:rFonts w:ascii="仿宋" w:eastAsia="仿宋"/>
          <w:color w:val="auto"/>
          <w:sz w:val="24"/>
          <w:highlight w:val="none"/>
        </w:rPr>
        <w:t>3</w:t>
      </w:r>
      <w:r>
        <w:rPr>
          <w:rFonts w:hint="eastAsia" w:ascii="仿宋" w:eastAsia="仿宋"/>
          <w:color w:val="auto"/>
          <w:sz w:val="24"/>
          <w:highlight w:val="none"/>
        </w:rPr>
        <w:t>.</w:t>
      </w:r>
      <w:r>
        <w:rPr>
          <w:rFonts w:ascii="仿宋" w:eastAsia="仿宋"/>
          <w:color w:val="auto"/>
          <w:sz w:val="24"/>
          <w:highlight w:val="none"/>
        </w:rPr>
        <w:t>4</w:t>
      </w:r>
      <w:r>
        <w:rPr>
          <w:rFonts w:hint="eastAsia" w:ascii="仿宋" w:eastAsia="仿宋"/>
          <w:color w:val="auto"/>
          <w:sz w:val="24"/>
          <w:highlight w:val="none"/>
        </w:rPr>
        <w:t>关于报价的其他说明（如有，格式自拟）。</w:t>
      </w:r>
    </w:p>
    <w:p>
      <w:pPr>
        <w:snapToGrid w:val="0"/>
        <w:spacing w:line="440" w:lineRule="exact"/>
        <w:jc w:val="left"/>
        <w:rPr>
          <w:rFonts w:ascii="仿宋" w:eastAsia="仿宋"/>
          <w:b/>
          <w:bCs/>
          <w:color w:val="auto"/>
          <w:sz w:val="32"/>
          <w:szCs w:val="32"/>
          <w:highlight w:val="none"/>
          <w:u w:val="single"/>
        </w:rPr>
      </w:pPr>
      <w:r>
        <w:rPr>
          <w:rFonts w:hint="eastAsia" w:ascii="仿宋" w:eastAsia="仿宋"/>
          <w:b/>
          <w:bCs/>
          <w:color w:val="auto"/>
          <w:sz w:val="32"/>
          <w:szCs w:val="32"/>
          <w:highlight w:val="none"/>
          <w:u w:val="single"/>
        </w:rPr>
        <w:t>注：“</w:t>
      </w:r>
      <w:r>
        <w:rPr>
          <w:rFonts w:hint="eastAsia" w:ascii="仿宋" w:eastAsia="仿宋"/>
          <w:b/>
          <w:bCs/>
          <w:color w:val="auto"/>
          <w:sz w:val="32"/>
          <w:szCs w:val="32"/>
          <w:highlight w:val="none"/>
          <w:u w:val="single"/>
          <w:lang w:eastAsia="zh-CN"/>
        </w:rPr>
        <w:t>开标一览表</w:t>
      </w:r>
      <w:r>
        <w:rPr>
          <w:rFonts w:hint="eastAsia" w:ascii="仿宋" w:eastAsia="仿宋"/>
          <w:b/>
          <w:bCs/>
          <w:color w:val="auto"/>
          <w:sz w:val="32"/>
          <w:szCs w:val="32"/>
          <w:highlight w:val="none"/>
          <w:u w:val="single"/>
        </w:rPr>
        <w:t>”按采购文件第</w:t>
      </w:r>
      <w:r>
        <w:rPr>
          <w:rFonts w:ascii="仿宋" w:eastAsia="仿宋"/>
          <w:b/>
          <w:bCs/>
          <w:color w:val="auto"/>
          <w:sz w:val="32"/>
          <w:szCs w:val="32"/>
          <w:highlight w:val="none"/>
          <w:u w:val="single"/>
        </w:rPr>
        <w:t>六</w:t>
      </w:r>
      <w:r>
        <w:rPr>
          <w:rFonts w:hint="eastAsia" w:ascii="仿宋" w:eastAsia="仿宋"/>
          <w:b/>
          <w:bCs/>
          <w:color w:val="auto"/>
          <w:sz w:val="32"/>
          <w:szCs w:val="32"/>
          <w:highlight w:val="none"/>
          <w:u w:val="single"/>
        </w:rPr>
        <w:t>章规定</w:t>
      </w:r>
      <w:r>
        <w:rPr>
          <w:rFonts w:ascii="仿宋" w:eastAsia="仿宋"/>
          <w:b/>
          <w:bCs/>
          <w:color w:val="auto"/>
          <w:sz w:val="32"/>
          <w:szCs w:val="32"/>
          <w:highlight w:val="none"/>
          <w:u w:val="single"/>
        </w:rPr>
        <w:t>的内容</w:t>
      </w:r>
      <w:r>
        <w:rPr>
          <w:rFonts w:hint="eastAsia" w:ascii="仿宋" w:eastAsia="仿宋"/>
          <w:b/>
          <w:bCs/>
          <w:color w:val="auto"/>
          <w:sz w:val="32"/>
          <w:szCs w:val="32"/>
          <w:highlight w:val="none"/>
          <w:u w:val="single"/>
        </w:rPr>
        <w:t>填写</w:t>
      </w:r>
      <w:r>
        <w:rPr>
          <w:rFonts w:hint="eastAsia" w:ascii="仿宋" w:eastAsia="仿宋"/>
          <w:b/>
          <w:bCs/>
          <w:color w:val="auto"/>
          <w:sz w:val="32"/>
          <w:szCs w:val="32"/>
          <w:highlight w:val="none"/>
          <w:u w:val="single"/>
          <w:lang w:eastAsia="zh-CN"/>
        </w:rPr>
        <w:t>、签字和盖章</w:t>
      </w:r>
      <w:r>
        <w:rPr>
          <w:rFonts w:hint="eastAsia" w:ascii="仿宋" w:eastAsia="仿宋"/>
          <w:b/>
          <w:bCs/>
          <w:color w:val="auto"/>
          <w:sz w:val="32"/>
          <w:szCs w:val="32"/>
          <w:highlight w:val="none"/>
          <w:u w:val="single"/>
        </w:rPr>
        <w:t>，</w:t>
      </w:r>
      <w:r>
        <w:rPr>
          <w:rFonts w:ascii="仿宋" w:eastAsia="仿宋"/>
          <w:b/>
          <w:bCs/>
          <w:color w:val="auto"/>
          <w:sz w:val="32"/>
          <w:szCs w:val="32"/>
          <w:highlight w:val="none"/>
          <w:u w:val="single"/>
        </w:rPr>
        <w:t>内容有实质性偏离的作</w:t>
      </w:r>
      <w:r>
        <w:rPr>
          <w:rFonts w:hint="eastAsia" w:ascii="仿宋" w:eastAsia="仿宋"/>
          <w:b/>
          <w:bCs/>
          <w:color w:val="auto"/>
          <w:sz w:val="32"/>
          <w:szCs w:val="32"/>
          <w:highlight w:val="none"/>
          <w:u w:val="single"/>
        </w:rPr>
        <w:t>无效</w:t>
      </w:r>
      <w:r>
        <w:rPr>
          <w:rFonts w:ascii="仿宋" w:eastAsia="仿宋"/>
          <w:b/>
          <w:bCs/>
          <w:color w:val="auto"/>
          <w:sz w:val="32"/>
          <w:szCs w:val="32"/>
          <w:highlight w:val="none"/>
          <w:u w:val="single"/>
        </w:rPr>
        <w:t>投标处理。</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snapToGrid w:val="0"/>
        <w:spacing w:line="440" w:lineRule="exact"/>
        <w:ind w:left="0" w:firstLine="0"/>
        <w:contextualSpacing w:val="0"/>
        <w:jc w:val="left"/>
        <w:rPr>
          <w:rFonts w:hint="eastAsia" w:ascii="仿宋" w:eastAsia="仿宋"/>
          <w:b/>
          <w:bCs/>
          <w:color w:val="auto"/>
          <w:sz w:val="32"/>
          <w:szCs w:val="32"/>
          <w:highlight w:val="none"/>
          <w:u w:val="single"/>
        </w:rPr>
      </w:pPr>
      <w:r>
        <w:rPr>
          <w:rFonts w:hint="eastAsia" w:ascii="仿宋" w:eastAsia="仿宋"/>
          <w:b/>
          <w:bCs/>
          <w:caps w:val="0"/>
          <w:smallCaps w:val="0"/>
          <w:vanish w:val="0"/>
          <w:color w:val="auto"/>
          <w:sz w:val="32"/>
          <w:szCs w:val="32"/>
          <w:highlight w:val="none"/>
          <w:u w:val="single"/>
          <w:vertAlign w:val="baseline"/>
        </w:rPr>
        <w:t>注：如联合体投标的，“资格文件”、“商务技术文件”、“报价文件”中除联合体协议外，所有盖章、签字部分仅需联合体牵头人盖章和签字。</w:t>
      </w:r>
    </w:p>
    <w:p>
      <w:pPr>
        <w:numPr>
          <w:ilvl w:val="0"/>
          <w:numId w:val="5"/>
        </w:num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投标文件的</w:t>
      </w:r>
      <w:r>
        <w:rPr>
          <w:rFonts w:ascii="仿宋" w:eastAsia="仿宋"/>
          <w:b/>
          <w:color w:val="auto"/>
          <w:sz w:val="24"/>
          <w:highlight w:val="none"/>
        </w:rPr>
        <w:t>制作要求</w:t>
      </w:r>
    </w:p>
    <w:p>
      <w:pPr>
        <w:widowControl/>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3.1封包要求：“资格文件”“商务和技术文件”和“报价文件”需</w:t>
      </w:r>
      <w:r>
        <w:rPr>
          <w:rFonts w:ascii="仿宋" w:eastAsia="仿宋"/>
          <w:color w:val="auto"/>
          <w:sz w:val="24"/>
          <w:highlight w:val="none"/>
        </w:rPr>
        <w:t>装订成册，</w:t>
      </w:r>
      <w:r>
        <w:rPr>
          <w:rFonts w:hint="eastAsia" w:ascii="仿宋" w:eastAsia="仿宋"/>
          <w:color w:val="auto"/>
          <w:sz w:val="24"/>
          <w:highlight w:val="none"/>
        </w:rPr>
        <w:t>分三部分分别密封封装</w:t>
      </w:r>
      <w:r>
        <w:rPr>
          <w:rFonts w:ascii="仿宋" w:eastAsia="仿宋"/>
          <w:color w:val="auto"/>
          <w:sz w:val="24"/>
          <w:highlight w:val="none"/>
        </w:rPr>
        <w:t>。</w:t>
      </w:r>
      <w:r>
        <w:rPr>
          <w:rFonts w:hint="eastAsia" w:ascii="仿宋" w:eastAsia="仿宋"/>
          <w:color w:val="auto"/>
          <w:sz w:val="24"/>
          <w:highlight w:val="none"/>
        </w:rPr>
        <w:t>封装表面</w:t>
      </w:r>
      <w:r>
        <w:rPr>
          <w:rFonts w:ascii="仿宋" w:eastAsia="仿宋"/>
          <w:color w:val="auto"/>
          <w:sz w:val="24"/>
          <w:highlight w:val="none"/>
        </w:rPr>
        <w:t>至少标注项目名称、项目编号、投标人名称、标段编号并加盖供应商公章，若要修改</w:t>
      </w:r>
      <w:r>
        <w:rPr>
          <w:rFonts w:hint="eastAsia" w:ascii="仿宋" w:eastAsia="仿宋"/>
          <w:color w:val="auto"/>
          <w:sz w:val="24"/>
          <w:highlight w:val="none"/>
        </w:rPr>
        <w:t>须</w:t>
      </w:r>
      <w:r>
        <w:rPr>
          <w:rFonts w:ascii="仿宋" w:eastAsia="仿宋"/>
          <w:color w:val="auto"/>
          <w:sz w:val="24"/>
          <w:highlight w:val="none"/>
        </w:rPr>
        <w:t>在修改处</w:t>
      </w:r>
      <w:r>
        <w:rPr>
          <w:rFonts w:hint="eastAsia" w:ascii="仿宋" w:eastAsia="仿宋"/>
          <w:color w:val="auto"/>
          <w:sz w:val="24"/>
          <w:highlight w:val="none"/>
        </w:rPr>
        <w:t>加盖单位公章或其授权代表签字或盖章。未按照</w:t>
      </w:r>
      <w:r>
        <w:rPr>
          <w:rFonts w:ascii="仿宋" w:eastAsia="仿宋"/>
          <w:color w:val="auto"/>
          <w:sz w:val="24"/>
          <w:highlight w:val="none"/>
        </w:rPr>
        <w:t>采购</w:t>
      </w:r>
      <w:r>
        <w:rPr>
          <w:rFonts w:hint="eastAsia" w:ascii="仿宋" w:eastAsia="仿宋"/>
          <w:color w:val="auto"/>
          <w:sz w:val="24"/>
          <w:highlight w:val="none"/>
        </w:rPr>
        <w:t>文件规定制作、密封封装的</w:t>
      </w:r>
      <w:r>
        <w:rPr>
          <w:rFonts w:ascii="仿宋" w:eastAsia="仿宋"/>
          <w:color w:val="auto"/>
          <w:sz w:val="24"/>
          <w:highlight w:val="none"/>
        </w:rPr>
        <w:t>投标</w:t>
      </w:r>
      <w:r>
        <w:rPr>
          <w:rFonts w:hint="eastAsia" w:ascii="仿宋" w:eastAsia="仿宋"/>
          <w:color w:val="auto"/>
          <w:sz w:val="24"/>
          <w:highlight w:val="none"/>
        </w:rPr>
        <w:t>文件</w:t>
      </w:r>
      <w:r>
        <w:rPr>
          <w:rFonts w:ascii="仿宋" w:eastAsia="仿宋"/>
          <w:color w:val="auto"/>
          <w:sz w:val="24"/>
          <w:highlight w:val="none"/>
        </w:rPr>
        <w:t>可</w:t>
      </w:r>
      <w:r>
        <w:rPr>
          <w:rFonts w:hint="eastAsia" w:ascii="仿宋" w:eastAsia="仿宋"/>
          <w:color w:val="auto"/>
          <w:sz w:val="24"/>
          <w:highlight w:val="none"/>
        </w:rPr>
        <w:t>不予接收。</w:t>
      </w:r>
    </w:p>
    <w:p>
      <w:pPr>
        <w:snapToGrid w:val="0"/>
        <w:spacing w:line="440" w:lineRule="exact"/>
        <w:jc w:val="left"/>
        <w:rPr>
          <w:rFonts w:ascii="仿宋" w:eastAsia="仿宋"/>
          <w:color w:val="auto"/>
          <w:sz w:val="24"/>
          <w:highlight w:val="none"/>
        </w:rPr>
      </w:pPr>
      <w:r>
        <w:rPr>
          <w:rFonts w:ascii="仿宋" w:eastAsia="仿宋"/>
          <w:color w:val="auto"/>
          <w:sz w:val="24"/>
          <w:highlight w:val="none"/>
        </w:rPr>
        <w:t>3.2签署要求：按采购文件第六章</w:t>
      </w:r>
      <w:r>
        <w:rPr>
          <w:rFonts w:hint="eastAsia" w:ascii="仿宋" w:eastAsia="仿宋"/>
          <w:color w:val="auto"/>
          <w:sz w:val="24"/>
          <w:highlight w:val="none"/>
        </w:rPr>
        <w:t>“</w:t>
      </w:r>
      <w:r>
        <w:rPr>
          <w:rFonts w:ascii="仿宋" w:eastAsia="仿宋"/>
          <w:color w:val="auto"/>
          <w:sz w:val="24"/>
          <w:highlight w:val="none"/>
        </w:rPr>
        <w:t>投标文件格式附件</w:t>
      </w:r>
      <w:r>
        <w:rPr>
          <w:rFonts w:hint="eastAsia" w:ascii="仿宋" w:eastAsia="仿宋"/>
          <w:color w:val="auto"/>
          <w:sz w:val="24"/>
          <w:highlight w:val="none"/>
        </w:rPr>
        <w:t>”</w:t>
      </w:r>
      <w:r>
        <w:rPr>
          <w:rFonts w:ascii="仿宋" w:eastAsia="仿宋"/>
          <w:color w:val="auto"/>
          <w:sz w:val="24"/>
          <w:highlight w:val="none"/>
        </w:rPr>
        <w:t>各表单要求签署。</w:t>
      </w:r>
    </w:p>
    <w:p>
      <w:pPr>
        <w:snapToGrid w:val="0"/>
        <w:spacing w:line="440" w:lineRule="exact"/>
        <w:jc w:val="left"/>
        <w:rPr>
          <w:rFonts w:ascii="仿宋" w:eastAsia="仿宋"/>
          <w:color w:val="auto"/>
          <w:sz w:val="24"/>
          <w:highlight w:val="none"/>
        </w:rPr>
      </w:pPr>
      <w:r>
        <w:rPr>
          <w:rFonts w:ascii="仿宋" w:eastAsia="仿宋"/>
          <w:color w:val="auto"/>
          <w:sz w:val="24"/>
          <w:highlight w:val="none"/>
        </w:rPr>
        <w:t>3.3制作要求：建议采用A4幅面，编制页码，制作目录，提倡双面打印。</w:t>
      </w:r>
    </w:p>
    <w:p>
      <w:pPr>
        <w:snapToGrid w:val="0"/>
        <w:spacing w:line="440" w:lineRule="exact"/>
        <w:jc w:val="left"/>
        <w:rPr>
          <w:rFonts w:ascii="仿宋" w:eastAsia="仿宋"/>
          <w:color w:val="auto"/>
          <w:sz w:val="24"/>
          <w:highlight w:val="none"/>
        </w:rPr>
      </w:pPr>
      <w:r>
        <w:rPr>
          <w:rFonts w:ascii="仿宋" w:eastAsia="仿宋"/>
          <w:color w:val="auto"/>
          <w:sz w:val="24"/>
          <w:highlight w:val="none"/>
        </w:rPr>
        <w:t>注意：联合体投标的，除联合体协议外，均只需联合体牵头人盖章；签字处只需联合体牵头人法定代表人或授权代表签字。</w:t>
      </w:r>
    </w:p>
    <w:p>
      <w:pPr>
        <w:widowControl/>
        <w:snapToGrid w:val="0"/>
        <w:spacing w:line="440" w:lineRule="exact"/>
        <w:rPr>
          <w:rFonts w:hint="eastAsia" w:ascii="仿宋" w:eastAsia="仿宋"/>
          <w:b/>
          <w:color w:val="auto"/>
          <w:kern w:val="0"/>
          <w:sz w:val="24"/>
          <w:highlight w:val="none"/>
        </w:rPr>
      </w:pPr>
      <w:r>
        <w:rPr>
          <w:rFonts w:ascii="仿宋" w:eastAsia="仿宋"/>
          <w:b/>
          <w:color w:val="auto"/>
          <w:sz w:val="24"/>
          <w:highlight w:val="none"/>
        </w:rPr>
        <w:t>4</w:t>
      </w:r>
      <w:r>
        <w:rPr>
          <w:rFonts w:hint="eastAsia" w:ascii="仿宋" w:eastAsia="仿宋"/>
          <w:b/>
          <w:color w:val="auto"/>
          <w:sz w:val="24"/>
          <w:highlight w:val="none"/>
        </w:rPr>
        <w:t>．</w:t>
      </w:r>
      <w:r>
        <w:rPr>
          <w:rFonts w:hint="eastAsia" w:ascii="仿宋" w:eastAsia="仿宋"/>
          <w:b/>
          <w:color w:val="auto"/>
          <w:kern w:val="0"/>
          <w:sz w:val="24"/>
          <w:highlight w:val="none"/>
        </w:rPr>
        <w:t>投标文件的补充和修改</w:t>
      </w:r>
    </w:p>
    <w:p>
      <w:pPr>
        <w:widowControl/>
        <w:snapToGrid w:val="0"/>
        <w:spacing w:line="440" w:lineRule="exact"/>
        <w:ind w:firstLine="482" w:firstLineChars="200"/>
        <w:rPr>
          <w:rFonts w:hint="eastAsia" w:ascii="仿宋" w:eastAsia="仿宋"/>
          <w:color w:val="auto"/>
          <w:kern w:val="0"/>
          <w:sz w:val="24"/>
          <w:highlight w:val="none"/>
        </w:rPr>
      </w:pPr>
      <w:r>
        <w:rPr>
          <w:rFonts w:hint="eastAsia" w:ascii="仿宋" w:eastAsia="仿宋"/>
          <w:b/>
          <w:bCs/>
          <w:color w:val="auto"/>
          <w:kern w:val="0"/>
          <w:sz w:val="24"/>
          <w:highlight w:val="none"/>
        </w:rPr>
        <w:t>投标截止时间前</w:t>
      </w:r>
      <w:r>
        <w:rPr>
          <w:rFonts w:hint="eastAsia" w:ascii="仿宋" w:eastAsia="仿宋"/>
          <w:color w:val="auto"/>
          <w:kern w:val="0"/>
          <w:sz w:val="24"/>
          <w:highlight w:val="none"/>
        </w:rPr>
        <w:t>，供应商可以</w:t>
      </w:r>
      <w:r>
        <w:rPr>
          <w:rFonts w:ascii="仿宋" w:eastAsia="仿宋"/>
          <w:color w:val="auto"/>
          <w:kern w:val="0"/>
          <w:sz w:val="24"/>
          <w:highlight w:val="none"/>
        </w:rPr>
        <w:t>以</w:t>
      </w:r>
      <w:r>
        <w:rPr>
          <w:rFonts w:hint="eastAsia" w:ascii="仿宋" w:eastAsia="仿宋"/>
          <w:color w:val="auto"/>
          <w:kern w:val="0"/>
          <w:sz w:val="24"/>
          <w:highlight w:val="none"/>
        </w:rPr>
        <w:t>书面形式提出对投标文件进行补充和修改，相应部分以最后的补充和修改为准。</w:t>
      </w:r>
      <w:r>
        <w:rPr>
          <w:rFonts w:ascii="仿宋" w:eastAsia="仿宋"/>
          <w:color w:val="auto"/>
          <w:kern w:val="0"/>
          <w:sz w:val="24"/>
          <w:highlight w:val="none"/>
        </w:rPr>
        <w:t>若修改和补充为</w:t>
      </w:r>
      <w:r>
        <w:rPr>
          <w:rFonts w:hint="eastAsia" w:ascii="仿宋" w:eastAsia="仿宋"/>
          <w:color w:val="auto"/>
          <w:kern w:val="0"/>
          <w:sz w:val="24"/>
          <w:highlight w:val="none"/>
        </w:rPr>
        <w:t>书面材料</w:t>
      </w:r>
      <w:r>
        <w:rPr>
          <w:rFonts w:ascii="仿宋" w:eastAsia="仿宋"/>
          <w:color w:val="auto"/>
          <w:kern w:val="0"/>
          <w:sz w:val="24"/>
          <w:highlight w:val="none"/>
        </w:rPr>
        <w:t>的</w:t>
      </w:r>
      <w:r>
        <w:rPr>
          <w:rFonts w:hint="eastAsia" w:ascii="仿宋" w:eastAsia="仿宋"/>
          <w:color w:val="auto"/>
          <w:kern w:val="0"/>
          <w:sz w:val="24"/>
          <w:highlight w:val="none"/>
        </w:rPr>
        <w:t>应</w:t>
      </w:r>
      <w:r>
        <w:rPr>
          <w:rFonts w:ascii="仿宋" w:eastAsia="仿宋"/>
          <w:color w:val="auto"/>
          <w:kern w:val="0"/>
          <w:sz w:val="24"/>
          <w:highlight w:val="none"/>
        </w:rPr>
        <w:t>当</w:t>
      </w:r>
      <w:r>
        <w:rPr>
          <w:rFonts w:hint="eastAsia" w:ascii="仿宋" w:eastAsia="仿宋"/>
          <w:color w:val="auto"/>
          <w:kern w:val="0"/>
          <w:sz w:val="24"/>
          <w:highlight w:val="none"/>
        </w:rPr>
        <w:t>密封，</w:t>
      </w:r>
      <w:r>
        <w:rPr>
          <w:rFonts w:hint="eastAsia" w:ascii="仿宋" w:eastAsia="仿宋"/>
          <w:color w:val="auto"/>
          <w:sz w:val="24"/>
          <w:highlight w:val="none"/>
        </w:rPr>
        <w:t>并明确注明“</w:t>
      </w:r>
      <w:r>
        <w:rPr>
          <w:rFonts w:ascii="仿宋" w:eastAsia="仿宋"/>
          <w:color w:val="auto"/>
          <w:sz w:val="24"/>
          <w:highlight w:val="none"/>
        </w:rPr>
        <w:t>资格文件（或</w:t>
      </w:r>
      <w:r>
        <w:rPr>
          <w:rFonts w:ascii="仿宋" w:eastAsia="仿宋"/>
          <w:color w:val="auto"/>
          <w:kern w:val="0"/>
          <w:sz w:val="24"/>
          <w:highlight w:val="none"/>
        </w:rPr>
        <w:t>商务和</w:t>
      </w:r>
      <w:r>
        <w:rPr>
          <w:rFonts w:hint="eastAsia" w:ascii="仿宋" w:eastAsia="仿宋"/>
          <w:color w:val="auto"/>
          <w:kern w:val="0"/>
          <w:sz w:val="24"/>
          <w:highlight w:val="none"/>
        </w:rPr>
        <w:t>技术文件或</w:t>
      </w:r>
      <w:r>
        <w:rPr>
          <w:rFonts w:ascii="仿宋" w:eastAsia="仿宋"/>
          <w:color w:val="auto"/>
          <w:kern w:val="0"/>
          <w:sz w:val="24"/>
          <w:highlight w:val="none"/>
        </w:rPr>
        <w:t>报价</w:t>
      </w:r>
      <w:r>
        <w:rPr>
          <w:rFonts w:hint="eastAsia" w:ascii="仿宋" w:eastAsia="仿宋"/>
          <w:color w:val="auto"/>
          <w:kern w:val="0"/>
          <w:sz w:val="24"/>
          <w:highlight w:val="none"/>
        </w:rPr>
        <w:t>文件</w:t>
      </w:r>
      <w:r>
        <w:rPr>
          <w:rFonts w:ascii="仿宋" w:eastAsia="仿宋"/>
          <w:color w:val="auto"/>
          <w:kern w:val="0"/>
          <w:sz w:val="24"/>
          <w:highlight w:val="none"/>
        </w:rPr>
        <w:t>）</w:t>
      </w:r>
      <w:r>
        <w:rPr>
          <w:rFonts w:hint="eastAsia" w:ascii="仿宋" w:eastAsia="仿宋"/>
          <w:color w:val="auto"/>
          <w:kern w:val="0"/>
          <w:sz w:val="24"/>
          <w:highlight w:val="none"/>
        </w:rPr>
        <w:t>修改（或补充）</w:t>
      </w:r>
      <w:r>
        <w:rPr>
          <w:rFonts w:ascii="仿宋" w:eastAsia="仿宋"/>
          <w:color w:val="auto"/>
          <w:kern w:val="0"/>
          <w:sz w:val="24"/>
          <w:highlight w:val="none"/>
        </w:rPr>
        <w:t>材料</w:t>
      </w:r>
      <w:r>
        <w:rPr>
          <w:rFonts w:hint="eastAsia" w:ascii="仿宋" w:eastAsia="仿宋"/>
          <w:color w:val="auto"/>
          <w:kern w:val="0"/>
          <w:sz w:val="24"/>
          <w:highlight w:val="none"/>
        </w:rPr>
        <w:t>、项目名称</w:t>
      </w:r>
      <w:r>
        <w:rPr>
          <w:rFonts w:ascii="仿宋" w:eastAsia="仿宋"/>
          <w:color w:val="auto"/>
          <w:kern w:val="0"/>
          <w:sz w:val="24"/>
          <w:highlight w:val="none"/>
        </w:rPr>
        <w:t>或项目（标段）编号</w:t>
      </w:r>
      <w:r>
        <w:rPr>
          <w:rFonts w:hint="eastAsia" w:ascii="仿宋" w:eastAsia="仿宋"/>
          <w:color w:val="auto"/>
          <w:kern w:val="0"/>
          <w:sz w:val="24"/>
          <w:highlight w:val="none"/>
        </w:rPr>
        <w:t>、供应商名称</w:t>
      </w:r>
      <w:r>
        <w:rPr>
          <w:rFonts w:hint="eastAsia" w:ascii="仿宋" w:eastAsia="仿宋"/>
          <w:color w:val="auto"/>
          <w:sz w:val="24"/>
          <w:highlight w:val="none"/>
        </w:rPr>
        <w:t>”</w:t>
      </w:r>
      <w:r>
        <w:rPr>
          <w:rFonts w:hint="eastAsia" w:ascii="仿宋" w:eastAsia="仿宋"/>
          <w:color w:val="auto"/>
          <w:kern w:val="0"/>
          <w:sz w:val="24"/>
          <w:highlight w:val="none"/>
        </w:rPr>
        <w:t>字样</w:t>
      </w:r>
      <w:r>
        <w:rPr>
          <w:rFonts w:hint="eastAsia" w:ascii="仿宋" w:eastAsia="仿宋"/>
          <w:color w:val="auto"/>
          <w:sz w:val="24"/>
          <w:highlight w:val="none"/>
        </w:rPr>
        <w:t>，</w:t>
      </w:r>
      <w:r>
        <w:rPr>
          <w:rFonts w:hint="eastAsia" w:ascii="仿宋" w:eastAsia="仿宋"/>
          <w:color w:val="auto"/>
          <w:kern w:val="0"/>
          <w:sz w:val="24"/>
          <w:highlight w:val="none"/>
        </w:rPr>
        <w:t>同时由</w:t>
      </w:r>
      <w:r>
        <w:rPr>
          <w:rFonts w:hint="eastAsia" w:ascii="仿宋" w:eastAsia="仿宋"/>
          <w:color w:val="auto"/>
          <w:sz w:val="24"/>
          <w:highlight w:val="none"/>
        </w:rPr>
        <w:t>法定代表人或其授权代表签字或盖章</w:t>
      </w:r>
      <w:r>
        <w:rPr>
          <w:rFonts w:hint="eastAsia" w:ascii="仿宋" w:eastAsia="仿宋"/>
          <w:color w:val="auto"/>
          <w:kern w:val="0"/>
          <w:sz w:val="24"/>
          <w:highlight w:val="none"/>
        </w:rPr>
        <w:t>。</w:t>
      </w:r>
      <w:r>
        <w:rPr>
          <w:rFonts w:ascii="仿宋" w:eastAsia="仿宋"/>
          <w:color w:val="auto"/>
          <w:kern w:val="0"/>
          <w:sz w:val="24"/>
          <w:highlight w:val="none"/>
        </w:rPr>
        <w:t>未按上述规则制作的补充和修改材料将被拒收。</w:t>
      </w:r>
    </w:p>
    <w:p>
      <w:pPr>
        <w:pStyle w:val="8"/>
        <w:numPr>
          <w:ilvl w:val="0"/>
          <w:numId w:val="0"/>
        </w:numPr>
        <w:spacing w:after="0" w:afterLines="0" w:line="440" w:lineRule="atLeast"/>
        <w:rPr>
          <w:rFonts w:hint="eastAsia" w:ascii="仿宋" w:eastAsia="仿宋"/>
          <w:b/>
          <w:color w:val="auto"/>
          <w:szCs w:val="24"/>
          <w:highlight w:val="none"/>
        </w:rPr>
      </w:pPr>
      <w:r>
        <w:rPr>
          <w:rFonts w:ascii="仿宋" w:eastAsia="仿宋"/>
          <w:b/>
          <w:color w:val="auto"/>
          <w:szCs w:val="24"/>
          <w:highlight w:val="none"/>
        </w:rPr>
        <w:t>5</w:t>
      </w:r>
      <w:r>
        <w:rPr>
          <w:rFonts w:hint="eastAsia" w:ascii="仿宋" w:eastAsia="仿宋"/>
          <w:b/>
          <w:color w:val="auto"/>
          <w:szCs w:val="24"/>
          <w:highlight w:val="none"/>
        </w:rPr>
        <w:t>.投标文件的有效期</w:t>
      </w:r>
    </w:p>
    <w:p>
      <w:pPr>
        <w:pStyle w:val="8"/>
        <w:numPr>
          <w:ilvl w:val="0"/>
          <w:numId w:val="0"/>
        </w:numPr>
        <w:spacing w:after="0" w:afterLines="0" w:line="440" w:lineRule="atLeast"/>
        <w:rPr>
          <w:rFonts w:hint="eastAsia" w:ascii="仿宋" w:eastAsia="仿宋"/>
          <w:color w:val="auto"/>
          <w:szCs w:val="24"/>
          <w:highlight w:val="none"/>
        </w:rPr>
      </w:pPr>
      <w:r>
        <w:rPr>
          <w:rFonts w:ascii="仿宋" w:eastAsia="仿宋"/>
          <w:color w:val="auto"/>
          <w:szCs w:val="24"/>
          <w:highlight w:val="none"/>
        </w:rPr>
        <w:t>5</w:t>
      </w:r>
      <w:r>
        <w:rPr>
          <w:rFonts w:hint="eastAsia" w:ascii="仿宋" w:eastAsia="仿宋"/>
          <w:color w:val="auto"/>
          <w:szCs w:val="24"/>
          <w:highlight w:val="none"/>
        </w:rPr>
        <w:t>.1</w:t>
      </w:r>
      <w:r>
        <w:rPr>
          <w:rFonts w:ascii="仿宋" w:eastAsia="仿宋"/>
          <w:color w:val="auto"/>
          <w:highlight w:val="none"/>
        </w:rPr>
        <w:t>投标文件有效期详见前附表。投标有效期内，供应商不得撤销或更换投标文件。</w:t>
      </w:r>
    </w:p>
    <w:p>
      <w:pPr>
        <w:pStyle w:val="8"/>
        <w:numPr>
          <w:ilvl w:val="0"/>
          <w:numId w:val="0"/>
        </w:numPr>
        <w:spacing w:after="0" w:afterLines="0" w:line="440" w:lineRule="atLeast"/>
        <w:rPr>
          <w:rFonts w:hint="eastAsia" w:ascii="仿宋" w:eastAsia="仿宋"/>
          <w:color w:val="auto"/>
          <w:szCs w:val="24"/>
          <w:highlight w:val="none"/>
        </w:rPr>
      </w:pPr>
      <w:r>
        <w:rPr>
          <w:rFonts w:ascii="仿宋" w:eastAsia="仿宋"/>
          <w:color w:val="auto"/>
          <w:szCs w:val="24"/>
          <w:highlight w:val="none"/>
        </w:rPr>
        <w:t>5</w:t>
      </w:r>
      <w:r>
        <w:rPr>
          <w:rFonts w:hint="eastAsia" w:ascii="仿宋" w:eastAsia="仿宋"/>
          <w:color w:val="auto"/>
          <w:szCs w:val="24"/>
          <w:highlight w:val="none"/>
        </w:rPr>
        <w:t>.2</w:t>
      </w:r>
      <w:r>
        <w:rPr>
          <w:rFonts w:ascii="仿宋" w:eastAsia="仿宋"/>
          <w:color w:val="auto"/>
          <w:szCs w:val="24"/>
          <w:highlight w:val="none"/>
        </w:rPr>
        <w:t>投标有效期内未完成开评标及与中标人签订合同的，采购</w:t>
      </w:r>
      <w:r>
        <w:rPr>
          <w:rFonts w:hint="eastAsia" w:ascii="仿宋" w:eastAsia="仿宋"/>
          <w:color w:val="auto"/>
          <w:szCs w:val="24"/>
          <w:highlight w:val="none"/>
        </w:rPr>
        <w:t>人</w:t>
      </w:r>
      <w:r>
        <w:rPr>
          <w:rFonts w:ascii="仿宋" w:eastAsia="仿宋"/>
          <w:color w:val="auto"/>
          <w:szCs w:val="24"/>
          <w:highlight w:val="none"/>
        </w:rPr>
        <w:t>需</w:t>
      </w:r>
      <w:r>
        <w:rPr>
          <w:rFonts w:hint="eastAsia" w:ascii="仿宋" w:eastAsia="仿宋"/>
          <w:color w:val="auto"/>
          <w:szCs w:val="24"/>
          <w:highlight w:val="none"/>
        </w:rPr>
        <w:t>与供应商</w:t>
      </w:r>
      <w:r>
        <w:rPr>
          <w:rFonts w:ascii="仿宋" w:eastAsia="仿宋"/>
          <w:color w:val="auto"/>
          <w:szCs w:val="24"/>
          <w:highlight w:val="none"/>
        </w:rPr>
        <w:t>书面</w:t>
      </w:r>
      <w:r>
        <w:rPr>
          <w:rFonts w:hint="eastAsia" w:ascii="仿宋" w:eastAsia="仿宋"/>
          <w:color w:val="auto"/>
          <w:szCs w:val="24"/>
          <w:highlight w:val="none"/>
        </w:rPr>
        <w:t>协商延长投标书的有效期。</w:t>
      </w:r>
    </w:p>
    <w:p>
      <w:pPr>
        <w:pStyle w:val="8"/>
        <w:numPr>
          <w:ilvl w:val="0"/>
          <w:numId w:val="0"/>
        </w:numPr>
        <w:spacing w:after="0" w:afterLines="0" w:line="440" w:lineRule="atLeast"/>
        <w:rPr>
          <w:rFonts w:ascii="仿宋" w:eastAsia="仿宋"/>
          <w:color w:val="auto"/>
          <w:szCs w:val="24"/>
          <w:highlight w:val="none"/>
        </w:rPr>
      </w:pPr>
      <w:r>
        <w:rPr>
          <w:rFonts w:ascii="仿宋" w:eastAsia="仿宋"/>
          <w:color w:val="auto"/>
          <w:szCs w:val="24"/>
          <w:highlight w:val="none"/>
        </w:rPr>
        <w:t>5</w:t>
      </w:r>
      <w:r>
        <w:rPr>
          <w:rFonts w:hint="eastAsia" w:ascii="仿宋" w:eastAsia="仿宋"/>
          <w:color w:val="auto"/>
          <w:szCs w:val="24"/>
          <w:highlight w:val="none"/>
        </w:rPr>
        <w:t>.3供应商可拒绝接受延期要求。同意延长有效期的供应商不能修改投标文件。</w:t>
      </w:r>
    </w:p>
    <w:p>
      <w:pPr>
        <w:pStyle w:val="8"/>
        <w:numPr>
          <w:ilvl w:val="0"/>
          <w:numId w:val="0"/>
        </w:numPr>
        <w:spacing w:after="0" w:afterLines="0" w:line="440" w:lineRule="atLeast"/>
        <w:rPr>
          <w:rFonts w:hint="eastAsia" w:ascii="仿宋" w:eastAsia="仿宋"/>
          <w:color w:val="auto"/>
          <w:szCs w:val="24"/>
          <w:highlight w:val="none"/>
        </w:rPr>
      </w:pPr>
      <w:r>
        <w:rPr>
          <w:rFonts w:ascii="仿宋" w:eastAsia="仿宋"/>
          <w:color w:val="auto"/>
          <w:szCs w:val="24"/>
          <w:highlight w:val="none"/>
        </w:rPr>
        <w:t>5.4投标文件不予退还。</w:t>
      </w:r>
    </w:p>
    <w:p>
      <w:pPr>
        <w:pStyle w:val="4"/>
        <w:spacing w:line="415" w:lineRule="auto"/>
        <w:jc w:val="center"/>
        <w:rPr>
          <w:color w:val="auto"/>
          <w:highlight w:val="none"/>
        </w:rPr>
      </w:pPr>
      <w:bookmarkStart w:id="7" w:name="_Toc643610530"/>
      <w:r>
        <w:rPr>
          <w:color w:val="auto"/>
          <w:highlight w:val="none"/>
        </w:rPr>
        <w:t>四、开标评标</w:t>
      </w:r>
      <w:bookmarkEnd w:id="7"/>
    </w:p>
    <w:p>
      <w:p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1．开标</w:t>
      </w:r>
      <w:r>
        <w:rPr>
          <w:rFonts w:ascii="仿宋" w:eastAsia="仿宋"/>
          <w:b/>
          <w:color w:val="auto"/>
          <w:sz w:val="24"/>
          <w:highlight w:val="none"/>
        </w:rPr>
        <w:t>出席</w:t>
      </w:r>
    </w:p>
    <w:p>
      <w:pPr>
        <w:snapToGrid w:val="0"/>
        <w:spacing w:line="480" w:lineRule="exact"/>
        <w:jc w:val="left"/>
        <w:rPr>
          <w:rFonts w:ascii="仿宋" w:eastAsia="仿宋"/>
          <w:b/>
          <w:bCs/>
          <w:color w:val="auto"/>
          <w:sz w:val="24"/>
          <w:highlight w:val="none"/>
        </w:rPr>
      </w:pPr>
      <w:r>
        <w:rPr>
          <w:rFonts w:hint="eastAsia" w:ascii="仿宋" w:eastAsia="仿宋"/>
          <w:b/>
          <w:bCs/>
          <w:color w:val="auto"/>
          <w:sz w:val="24"/>
          <w:highlight w:val="none"/>
        </w:rPr>
        <w:t>1.1 投标供应商法定代表人或其授权代表或个体工商户经营者</w:t>
      </w:r>
      <w:r>
        <w:rPr>
          <w:rFonts w:ascii="仿宋" w:eastAsia="仿宋"/>
          <w:b/>
          <w:bCs/>
          <w:color w:val="auto"/>
          <w:sz w:val="24"/>
          <w:highlight w:val="none"/>
        </w:rPr>
        <w:t>需准时</w:t>
      </w:r>
      <w:r>
        <w:rPr>
          <w:rFonts w:hint="eastAsia" w:ascii="仿宋" w:eastAsia="仿宋"/>
          <w:b/>
          <w:bCs/>
          <w:color w:val="auto"/>
          <w:sz w:val="24"/>
          <w:highlight w:val="none"/>
        </w:rPr>
        <w:t>出席开标会议</w:t>
      </w:r>
      <w:r>
        <w:rPr>
          <w:rFonts w:ascii="仿宋" w:eastAsia="仿宋"/>
          <w:b/>
          <w:bCs/>
          <w:color w:val="auto"/>
          <w:sz w:val="24"/>
          <w:highlight w:val="none"/>
        </w:rPr>
        <w:t>，未出席将可能导致无法顺利询标，且</w:t>
      </w:r>
      <w:r>
        <w:rPr>
          <w:rFonts w:hint="eastAsia" w:ascii="仿宋" w:eastAsia="仿宋"/>
          <w:b/>
          <w:bCs/>
          <w:color w:val="auto"/>
          <w:sz w:val="24"/>
          <w:highlight w:val="none"/>
        </w:rPr>
        <w:t>事后不得对采购相关人员、开标过程和开标结果提出</w:t>
      </w:r>
      <w:r>
        <w:rPr>
          <w:rFonts w:ascii="仿宋" w:eastAsia="仿宋"/>
          <w:b/>
          <w:bCs/>
          <w:color w:val="auto"/>
          <w:sz w:val="24"/>
          <w:highlight w:val="none"/>
        </w:rPr>
        <w:t>质疑</w:t>
      </w:r>
      <w:r>
        <w:rPr>
          <w:rFonts w:hint="eastAsia" w:ascii="仿宋" w:eastAsia="仿宋"/>
          <w:b/>
          <w:bCs/>
          <w:color w:val="auto"/>
          <w:sz w:val="24"/>
          <w:highlight w:val="none"/>
        </w:rPr>
        <w:t>。</w:t>
      </w:r>
    </w:p>
    <w:p>
      <w:pPr>
        <w:snapToGrid w:val="0"/>
        <w:spacing w:line="440" w:lineRule="exact"/>
        <w:jc w:val="left"/>
        <w:rPr>
          <w:rFonts w:hint="eastAsia" w:ascii="仿宋" w:eastAsia="仿宋"/>
          <w:b/>
          <w:color w:val="auto"/>
          <w:sz w:val="24"/>
          <w:highlight w:val="none"/>
        </w:rPr>
      </w:pPr>
      <w:r>
        <w:rPr>
          <w:rFonts w:ascii="仿宋" w:eastAsia="仿宋"/>
          <w:b/>
          <w:color w:val="auto"/>
          <w:sz w:val="24"/>
          <w:highlight w:val="none"/>
        </w:rPr>
        <w:t>2</w:t>
      </w:r>
      <w:r>
        <w:rPr>
          <w:rFonts w:hint="eastAsia" w:ascii="仿宋" w:eastAsia="仿宋"/>
          <w:b/>
          <w:color w:val="auto"/>
          <w:sz w:val="24"/>
          <w:highlight w:val="none"/>
        </w:rPr>
        <w:t>．</w:t>
      </w:r>
      <w:r>
        <w:rPr>
          <w:rFonts w:ascii="仿宋" w:eastAsia="仿宋"/>
          <w:b/>
          <w:color w:val="auto"/>
          <w:sz w:val="24"/>
          <w:highlight w:val="none"/>
        </w:rPr>
        <w:t>投标文件的提交</w:t>
      </w:r>
    </w:p>
    <w:p>
      <w:pPr>
        <w:snapToGrid w:val="0"/>
        <w:spacing w:line="480" w:lineRule="exact"/>
        <w:jc w:val="left"/>
        <w:rPr>
          <w:rFonts w:ascii="仿宋" w:eastAsia="仿宋"/>
          <w:color w:val="auto"/>
          <w:sz w:val="24"/>
          <w:highlight w:val="none"/>
        </w:rPr>
      </w:pPr>
      <w:r>
        <w:rPr>
          <w:rFonts w:ascii="仿宋" w:eastAsia="仿宋"/>
          <w:color w:val="auto"/>
          <w:sz w:val="24"/>
          <w:highlight w:val="none"/>
        </w:rPr>
        <w:t>2.1投标文件递交地点以招标文件载明的开标室为准，递交时间以开标室的电子时钟显示为准，逾期不予接受。</w:t>
      </w:r>
    </w:p>
    <w:p>
      <w:pPr>
        <w:snapToGrid w:val="0"/>
        <w:spacing w:line="480" w:lineRule="exact"/>
        <w:jc w:val="left"/>
        <w:rPr>
          <w:rFonts w:ascii="仿宋" w:eastAsia="仿宋"/>
          <w:b/>
          <w:bCs/>
          <w:color w:val="auto"/>
          <w:sz w:val="24"/>
          <w:highlight w:val="none"/>
        </w:rPr>
      </w:pPr>
      <w:r>
        <w:rPr>
          <w:rFonts w:ascii="仿宋" w:eastAsia="仿宋"/>
          <w:b/>
          <w:bCs/>
          <w:color w:val="auto"/>
          <w:sz w:val="24"/>
          <w:highlight w:val="none"/>
        </w:rPr>
        <w:t>2.2供应商在投标截止时间后不得在开标室外补充提交标书、各类证书证明等材料。</w:t>
      </w:r>
    </w:p>
    <w:p>
      <w:pPr>
        <w:snapToGrid w:val="0"/>
        <w:spacing w:line="480" w:lineRule="exact"/>
        <w:jc w:val="left"/>
        <w:rPr>
          <w:rFonts w:ascii="仿宋" w:eastAsia="仿宋"/>
          <w:color w:val="auto"/>
          <w:sz w:val="24"/>
          <w:highlight w:val="none"/>
        </w:rPr>
      </w:pPr>
      <w:r>
        <w:rPr>
          <w:rFonts w:ascii="仿宋" w:eastAsia="仿宋"/>
          <w:color w:val="auto"/>
          <w:sz w:val="24"/>
          <w:highlight w:val="none"/>
        </w:rPr>
        <w:t>2.3投标截止时间前，供应商有权对投标文件包封、签署、盖章进行完善。</w:t>
      </w:r>
    </w:p>
    <w:p>
      <w:pPr>
        <w:snapToGrid w:val="0"/>
        <w:spacing w:line="480" w:lineRule="exact"/>
        <w:jc w:val="left"/>
        <w:rPr>
          <w:rFonts w:hint="eastAsia" w:ascii="仿宋" w:eastAsia="仿宋"/>
          <w:color w:val="auto"/>
          <w:sz w:val="24"/>
          <w:highlight w:val="none"/>
        </w:rPr>
      </w:pPr>
      <w:r>
        <w:rPr>
          <w:rFonts w:ascii="仿宋" w:eastAsia="仿宋"/>
          <w:color w:val="auto"/>
          <w:sz w:val="24"/>
          <w:highlight w:val="none"/>
        </w:rPr>
        <w:t>2.4投标文件提交后，供应商应当签署《投标（响应）文件签收登记表》。</w:t>
      </w:r>
    </w:p>
    <w:p>
      <w:pPr>
        <w:snapToGrid w:val="0"/>
        <w:spacing w:line="440" w:lineRule="exact"/>
        <w:jc w:val="left"/>
        <w:rPr>
          <w:rFonts w:hint="eastAsia" w:ascii="仿宋" w:eastAsia="仿宋"/>
          <w:b/>
          <w:color w:val="auto"/>
          <w:sz w:val="24"/>
          <w:highlight w:val="none"/>
        </w:rPr>
      </w:pPr>
      <w:r>
        <w:rPr>
          <w:rFonts w:ascii="仿宋" w:eastAsia="仿宋"/>
          <w:b/>
          <w:color w:val="auto"/>
          <w:sz w:val="24"/>
          <w:highlight w:val="none"/>
        </w:rPr>
        <w:t>3</w:t>
      </w:r>
      <w:r>
        <w:rPr>
          <w:rFonts w:hint="eastAsia" w:ascii="仿宋" w:eastAsia="仿宋"/>
          <w:b/>
          <w:color w:val="auto"/>
          <w:sz w:val="24"/>
          <w:highlight w:val="none"/>
        </w:rPr>
        <w:t>．开标</w:t>
      </w:r>
      <w:r>
        <w:rPr>
          <w:rFonts w:ascii="仿宋" w:eastAsia="仿宋"/>
          <w:b/>
          <w:color w:val="auto"/>
          <w:sz w:val="24"/>
          <w:highlight w:val="none"/>
        </w:rPr>
        <w:t>大会程序</w:t>
      </w:r>
    </w:p>
    <w:p>
      <w:pPr>
        <w:snapToGrid w:val="0"/>
        <w:spacing w:line="440" w:lineRule="exact"/>
        <w:jc w:val="left"/>
        <w:rPr>
          <w:rFonts w:ascii="仿宋" w:eastAsia="仿宋"/>
          <w:color w:val="auto"/>
          <w:sz w:val="24"/>
          <w:highlight w:val="none"/>
          <w:u w:val="none"/>
        </w:rPr>
      </w:pPr>
      <w:r>
        <w:rPr>
          <w:rFonts w:ascii="仿宋" w:eastAsia="仿宋"/>
          <w:b w:val="0"/>
          <w:bCs w:val="0"/>
          <w:color w:val="auto"/>
          <w:sz w:val="24"/>
          <w:highlight w:val="none"/>
          <w:u w:val="none" w:color="auto"/>
        </w:rPr>
        <w:t>开标大会由采购代理机构主持。</w:t>
      </w:r>
    </w:p>
    <w:p>
      <w:pPr>
        <w:snapToGrid w:val="0"/>
        <w:spacing w:line="480" w:lineRule="exact"/>
        <w:jc w:val="left"/>
        <w:rPr>
          <w:rFonts w:ascii="仿宋_GB2312" w:eastAsia="仿宋_GB2312"/>
          <w:color w:val="auto"/>
          <w:sz w:val="24"/>
          <w:highlight w:val="none"/>
        </w:rPr>
      </w:pPr>
      <w:r>
        <w:rPr>
          <w:rFonts w:ascii="仿宋_GB2312" w:eastAsia="仿宋_GB2312"/>
          <w:color w:val="auto"/>
          <w:sz w:val="24"/>
          <w:highlight w:val="none"/>
        </w:rPr>
        <w:t>3</w:t>
      </w:r>
      <w:r>
        <w:rPr>
          <w:rFonts w:hint="eastAsia" w:ascii="仿宋_GB2312" w:eastAsia="仿宋_GB2312"/>
          <w:color w:val="auto"/>
          <w:sz w:val="24"/>
          <w:highlight w:val="none"/>
        </w:rPr>
        <w:t>.1主持人宣布开标会开始，介绍到会单位和人员</w:t>
      </w:r>
      <w:r>
        <w:rPr>
          <w:rFonts w:ascii="仿宋_GB2312" w:eastAsia="仿宋_GB2312"/>
          <w:color w:val="auto"/>
          <w:sz w:val="24"/>
          <w:highlight w:val="none"/>
        </w:rPr>
        <w:t>。</w:t>
      </w:r>
    </w:p>
    <w:p>
      <w:pPr>
        <w:snapToGrid w:val="0"/>
        <w:spacing w:line="480" w:lineRule="exact"/>
        <w:jc w:val="left"/>
        <w:rPr>
          <w:rFonts w:ascii="仿宋_GB2312" w:eastAsia="仿宋_GB2312"/>
          <w:color w:val="auto"/>
          <w:sz w:val="24"/>
          <w:highlight w:val="none"/>
        </w:rPr>
      </w:pPr>
      <w:r>
        <w:rPr>
          <w:rFonts w:ascii="仿宋_GB2312" w:eastAsia="仿宋_GB2312"/>
          <w:color w:val="auto"/>
          <w:sz w:val="24"/>
          <w:highlight w:val="none"/>
        </w:rPr>
        <w:t>3</w:t>
      </w:r>
      <w:r>
        <w:rPr>
          <w:rFonts w:hint="eastAsia" w:ascii="仿宋_GB2312" w:eastAsia="仿宋_GB2312"/>
          <w:color w:val="auto"/>
          <w:sz w:val="24"/>
          <w:highlight w:val="none"/>
        </w:rPr>
        <w:t>.2</w:t>
      </w:r>
      <w:r>
        <w:rPr>
          <w:rFonts w:ascii="仿宋_GB2312" w:eastAsia="仿宋_GB2312"/>
          <w:color w:val="auto"/>
          <w:sz w:val="24"/>
          <w:highlight w:val="none"/>
        </w:rPr>
        <w:t>采购代理机构核对、宣读完成标书提交并签到的供应商名单。</w:t>
      </w:r>
    </w:p>
    <w:p>
      <w:pPr>
        <w:snapToGrid w:val="0"/>
        <w:spacing w:line="480" w:lineRule="exact"/>
        <w:jc w:val="left"/>
        <w:rPr>
          <w:rFonts w:ascii="仿宋_GB2312" w:eastAsia="仿宋_GB2312"/>
          <w:color w:val="auto"/>
          <w:sz w:val="24"/>
          <w:highlight w:val="none"/>
        </w:rPr>
      </w:pPr>
      <w:r>
        <w:rPr>
          <w:rFonts w:ascii="仿宋_GB2312" w:eastAsia="仿宋_GB2312"/>
          <w:color w:val="auto"/>
          <w:sz w:val="24"/>
          <w:highlight w:val="none"/>
        </w:rPr>
        <w:t>3.3采购代理机构组织</w:t>
      </w:r>
      <w:r>
        <w:rPr>
          <w:rFonts w:hint="eastAsia" w:ascii="仿宋_GB2312" w:eastAsia="仿宋_GB2312"/>
          <w:color w:val="auto"/>
          <w:sz w:val="24"/>
          <w:highlight w:val="none"/>
        </w:rPr>
        <w:t>供应商代表</w:t>
      </w:r>
      <w:r>
        <w:rPr>
          <w:rFonts w:ascii="仿宋_GB2312" w:eastAsia="仿宋_GB2312"/>
          <w:color w:val="auto"/>
          <w:sz w:val="24"/>
          <w:highlight w:val="none"/>
        </w:rPr>
        <w:t>相互</w:t>
      </w:r>
      <w:r>
        <w:rPr>
          <w:rFonts w:hint="eastAsia" w:ascii="仿宋_GB2312" w:eastAsia="仿宋_GB2312"/>
          <w:color w:val="auto"/>
          <w:sz w:val="24"/>
          <w:highlight w:val="none"/>
        </w:rPr>
        <w:t>检查投标文件</w:t>
      </w:r>
      <w:r>
        <w:rPr>
          <w:rFonts w:ascii="仿宋_GB2312" w:eastAsia="仿宋_GB2312"/>
          <w:color w:val="auto"/>
          <w:sz w:val="24"/>
          <w:highlight w:val="none"/>
        </w:rPr>
        <w:t>包封</w:t>
      </w:r>
      <w:r>
        <w:rPr>
          <w:rFonts w:hint="eastAsia" w:ascii="仿宋_GB2312" w:eastAsia="仿宋_GB2312"/>
          <w:color w:val="auto"/>
          <w:sz w:val="24"/>
          <w:highlight w:val="none"/>
        </w:rPr>
        <w:t>情况</w:t>
      </w:r>
      <w:r>
        <w:rPr>
          <w:rFonts w:ascii="仿宋_GB2312" w:eastAsia="仿宋_GB2312"/>
          <w:color w:val="auto"/>
          <w:sz w:val="24"/>
          <w:highlight w:val="none"/>
        </w:rPr>
        <w:t>，不满足采购文件规定的将予以拒收</w:t>
      </w:r>
      <w:r>
        <w:rPr>
          <w:rFonts w:hint="eastAsia" w:ascii="仿宋_GB2312" w:eastAsia="仿宋_GB2312"/>
          <w:color w:val="auto"/>
          <w:sz w:val="24"/>
          <w:highlight w:val="none"/>
        </w:rPr>
        <w:t>。</w:t>
      </w:r>
    </w:p>
    <w:p>
      <w:pPr>
        <w:snapToGrid w:val="0"/>
        <w:spacing w:line="480" w:lineRule="exact"/>
        <w:jc w:val="left"/>
        <w:rPr>
          <w:rFonts w:ascii="仿宋_GB2312" w:eastAsia="仿宋_GB2312"/>
          <w:color w:val="auto"/>
          <w:sz w:val="24"/>
          <w:highlight w:val="none"/>
        </w:rPr>
      </w:pPr>
      <w:r>
        <w:rPr>
          <w:rFonts w:ascii="仿宋_GB2312" w:eastAsia="仿宋_GB2312"/>
          <w:color w:val="auto"/>
          <w:sz w:val="24"/>
          <w:highlight w:val="none"/>
        </w:rPr>
        <w:t>3.4采购代理机构</w:t>
      </w:r>
      <w:r>
        <w:rPr>
          <w:rFonts w:hint="eastAsia" w:ascii="仿宋_GB2312" w:eastAsia="仿宋_GB2312"/>
          <w:color w:val="auto"/>
          <w:sz w:val="24"/>
          <w:highlight w:val="none"/>
        </w:rPr>
        <w:t>组织各供应商法定代表人或其授权代表签署</w:t>
      </w:r>
      <w:r>
        <w:rPr>
          <w:rFonts w:ascii="仿宋_GB2312" w:eastAsia="仿宋_GB2312"/>
          <w:color w:val="auto"/>
          <w:sz w:val="24"/>
          <w:highlight w:val="none"/>
        </w:rPr>
        <w:t>《采购活动</w:t>
      </w:r>
      <w:r>
        <w:rPr>
          <w:rFonts w:hint="eastAsia" w:ascii="仿宋_GB2312" w:eastAsia="仿宋_GB2312"/>
          <w:color w:val="auto"/>
          <w:sz w:val="24"/>
          <w:highlight w:val="none"/>
        </w:rPr>
        <w:t>现场确认声明书</w:t>
      </w:r>
      <w:r>
        <w:rPr>
          <w:rFonts w:ascii="仿宋_GB2312" w:eastAsia="仿宋_GB2312"/>
          <w:color w:val="auto"/>
          <w:sz w:val="24"/>
          <w:highlight w:val="none"/>
        </w:rPr>
        <w:t>》</w:t>
      </w:r>
      <w:r>
        <w:rPr>
          <w:rFonts w:hint="eastAsia" w:ascii="仿宋_GB2312" w:eastAsia="仿宋_GB2312"/>
          <w:color w:val="auto"/>
          <w:sz w:val="24"/>
          <w:highlight w:val="none"/>
        </w:rPr>
        <w:t>。</w:t>
      </w:r>
    </w:p>
    <w:p>
      <w:pPr>
        <w:snapToGrid w:val="0"/>
        <w:spacing w:line="480" w:lineRule="exact"/>
        <w:jc w:val="left"/>
        <w:rPr>
          <w:rFonts w:ascii="仿宋_GB2312" w:eastAsia="仿宋_GB2312"/>
          <w:color w:val="auto"/>
          <w:sz w:val="24"/>
          <w:highlight w:val="none"/>
        </w:rPr>
      </w:pPr>
      <w:r>
        <w:rPr>
          <w:rFonts w:ascii="仿宋_GB2312" w:eastAsia="仿宋_GB2312"/>
          <w:color w:val="auto"/>
          <w:sz w:val="24"/>
          <w:highlight w:val="none"/>
        </w:rPr>
        <w:t>3.5启封</w:t>
      </w:r>
      <w:r>
        <w:rPr>
          <w:rFonts w:hint="eastAsia" w:ascii="仿宋_GB2312" w:eastAsia="仿宋_GB2312"/>
          <w:color w:val="auto"/>
          <w:sz w:val="24"/>
          <w:highlight w:val="none"/>
        </w:rPr>
        <w:t>“</w:t>
      </w:r>
      <w:r>
        <w:rPr>
          <w:rFonts w:ascii="仿宋_GB2312" w:eastAsia="仿宋_GB2312"/>
          <w:color w:val="auto"/>
          <w:sz w:val="24"/>
          <w:highlight w:val="none"/>
        </w:rPr>
        <w:t>资格文件</w:t>
      </w:r>
      <w:r>
        <w:rPr>
          <w:rFonts w:hint="eastAsia" w:ascii="仿宋_GB2312" w:eastAsia="仿宋_GB2312"/>
          <w:color w:val="auto"/>
          <w:sz w:val="24"/>
          <w:highlight w:val="none"/>
        </w:rPr>
        <w:t>”</w:t>
      </w:r>
      <w:r>
        <w:rPr>
          <w:rFonts w:ascii="仿宋_GB2312" w:eastAsia="仿宋_GB2312"/>
          <w:color w:val="auto"/>
          <w:sz w:val="24"/>
          <w:highlight w:val="none"/>
        </w:rPr>
        <w:t>，采购机构</w:t>
      </w:r>
      <w:r>
        <w:rPr>
          <w:rFonts w:hint="eastAsia" w:ascii="仿宋_GB2312" w:eastAsia="仿宋_GB2312"/>
          <w:color w:val="auto"/>
          <w:sz w:val="24"/>
          <w:highlight w:val="none"/>
        </w:rPr>
        <w:t>对法定代表人或其授权代表的身份进行核验</w:t>
      </w:r>
      <w:r>
        <w:rPr>
          <w:rFonts w:ascii="仿宋_GB2312" w:eastAsia="仿宋_GB2312"/>
          <w:color w:val="auto"/>
          <w:sz w:val="24"/>
          <w:highlight w:val="none"/>
        </w:rPr>
        <w:t>，核验通过后采购机构</w:t>
      </w:r>
      <w:r>
        <w:rPr>
          <w:rFonts w:hint="eastAsia" w:ascii="仿宋" w:eastAsia="仿宋"/>
          <w:color w:val="auto"/>
          <w:sz w:val="24"/>
          <w:highlight w:val="none"/>
        </w:rPr>
        <w:t>对“资格文件”进行</w:t>
      </w:r>
      <w:r>
        <w:rPr>
          <w:rFonts w:ascii="仿宋" w:eastAsia="仿宋"/>
          <w:color w:val="auto"/>
          <w:sz w:val="24"/>
          <w:highlight w:val="none"/>
        </w:rPr>
        <w:t>资格审查</w:t>
      </w:r>
      <w:r>
        <w:rPr>
          <w:rFonts w:hint="eastAsia" w:ascii="仿宋" w:eastAsia="仿宋"/>
          <w:color w:val="auto"/>
          <w:sz w:val="24"/>
          <w:highlight w:val="none"/>
        </w:rPr>
        <w:t>，</w:t>
      </w:r>
      <w:r>
        <w:rPr>
          <w:rFonts w:ascii="仿宋" w:eastAsia="仿宋"/>
          <w:color w:val="auto"/>
          <w:sz w:val="24"/>
          <w:highlight w:val="none"/>
        </w:rPr>
        <w:t>公布审查</w:t>
      </w:r>
      <w:r>
        <w:rPr>
          <w:rFonts w:hint="eastAsia" w:ascii="仿宋" w:eastAsia="仿宋"/>
          <w:color w:val="auto"/>
          <w:sz w:val="24"/>
          <w:highlight w:val="none"/>
        </w:rPr>
        <w:t>结果。</w:t>
      </w:r>
    </w:p>
    <w:p>
      <w:pPr>
        <w:snapToGrid w:val="0"/>
        <w:spacing w:line="480" w:lineRule="exact"/>
        <w:jc w:val="left"/>
        <w:rPr>
          <w:rFonts w:ascii="仿宋_GB2312" w:eastAsia="仿宋_GB2312"/>
          <w:color w:val="auto"/>
          <w:sz w:val="24"/>
          <w:highlight w:val="none"/>
        </w:rPr>
      </w:pPr>
      <w:r>
        <w:rPr>
          <w:rFonts w:ascii="仿宋_GB2312" w:eastAsia="仿宋_GB2312"/>
          <w:color w:val="auto"/>
          <w:sz w:val="24"/>
          <w:highlight w:val="none"/>
        </w:rPr>
        <w:t>3</w:t>
      </w:r>
      <w:r>
        <w:rPr>
          <w:rFonts w:hint="eastAsia" w:ascii="仿宋_GB2312" w:eastAsia="仿宋_GB2312"/>
          <w:color w:val="auto"/>
          <w:sz w:val="24"/>
          <w:highlight w:val="none"/>
        </w:rPr>
        <w:t>.</w:t>
      </w:r>
      <w:r>
        <w:rPr>
          <w:rFonts w:ascii="仿宋_GB2312" w:eastAsia="仿宋_GB2312"/>
          <w:color w:val="auto"/>
          <w:sz w:val="24"/>
          <w:highlight w:val="none"/>
        </w:rPr>
        <w:t>6</w:t>
      </w:r>
      <w:r>
        <w:rPr>
          <w:rFonts w:hint="eastAsia" w:ascii="仿宋_GB2312" w:eastAsia="仿宋_GB2312"/>
          <w:color w:val="auto"/>
          <w:sz w:val="24"/>
          <w:highlight w:val="none"/>
        </w:rPr>
        <w:t>启封</w:t>
      </w:r>
      <w:r>
        <w:rPr>
          <w:rFonts w:hint="eastAsia" w:ascii="仿宋" w:eastAsia="仿宋"/>
          <w:color w:val="auto"/>
          <w:sz w:val="24"/>
          <w:highlight w:val="none"/>
        </w:rPr>
        <w:t>“</w:t>
      </w:r>
      <w:r>
        <w:rPr>
          <w:rFonts w:ascii="仿宋" w:eastAsia="仿宋"/>
          <w:color w:val="auto"/>
          <w:sz w:val="24"/>
          <w:highlight w:val="none"/>
        </w:rPr>
        <w:t>商务和技术文件</w:t>
      </w:r>
      <w:r>
        <w:rPr>
          <w:rFonts w:hint="eastAsia" w:ascii="仿宋" w:eastAsia="仿宋"/>
          <w:color w:val="auto"/>
          <w:sz w:val="24"/>
          <w:highlight w:val="none"/>
        </w:rPr>
        <w:t>”</w:t>
      </w:r>
      <w:r>
        <w:rPr>
          <w:rFonts w:hint="eastAsia" w:ascii="仿宋_GB2312" w:eastAsia="仿宋_GB2312"/>
          <w:color w:val="auto"/>
          <w:sz w:val="24"/>
          <w:highlight w:val="none"/>
        </w:rPr>
        <w:t>，</w:t>
      </w:r>
      <w:r>
        <w:rPr>
          <w:rFonts w:ascii="仿宋_GB2312" w:eastAsia="仿宋_GB2312"/>
          <w:color w:val="auto"/>
          <w:sz w:val="24"/>
          <w:highlight w:val="none"/>
        </w:rPr>
        <w:t>交由</w:t>
      </w:r>
      <w:r>
        <w:rPr>
          <w:rFonts w:ascii="仿宋" w:eastAsia="仿宋"/>
          <w:color w:val="auto"/>
          <w:sz w:val="24"/>
          <w:highlight w:val="none"/>
        </w:rPr>
        <w:t>评审委员会评审</w:t>
      </w:r>
      <w:r>
        <w:rPr>
          <w:rFonts w:ascii="仿宋_GB2312" w:eastAsia="仿宋_GB2312"/>
          <w:color w:val="auto"/>
          <w:sz w:val="24"/>
          <w:highlight w:val="none"/>
        </w:rPr>
        <w:t>。</w:t>
      </w:r>
      <w:r>
        <w:rPr>
          <w:rFonts w:hint="eastAsia" w:ascii="仿宋_GB2312" w:eastAsia="仿宋_GB2312"/>
          <w:color w:val="auto"/>
          <w:sz w:val="24"/>
          <w:highlight w:val="none"/>
        </w:rPr>
        <w:t>如有演示要求，</w:t>
      </w:r>
      <w:r>
        <w:rPr>
          <w:rFonts w:ascii="仿宋_GB2312" w:eastAsia="仿宋_GB2312"/>
          <w:color w:val="auto"/>
          <w:sz w:val="24"/>
          <w:highlight w:val="none"/>
        </w:rPr>
        <w:t>组织</w:t>
      </w:r>
      <w:r>
        <w:rPr>
          <w:rFonts w:hint="eastAsia" w:ascii="仿宋_GB2312" w:eastAsia="仿宋_GB2312"/>
          <w:color w:val="auto"/>
          <w:sz w:val="24"/>
          <w:highlight w:val="none"/>
        </w:rPr>
        <w:t>各供应商</w:t>
      </w:r>
      <w:r>
        <w:rPr>
          <w:rFonts w:ascii="仿宋_GB2312" w:eastAsia="仿宋_GB2312"/>
          <w:color w:val="auto"/>
          <w:sz w:val="24"/>
          <w:highlight w:val="none"/>
        </w:rPr>
        <w:t>逐一</w:t>
      </w:r>
      <w:r>
        <w:rPr>
          <w:rFonts w:hint="eastAsia" w:ascii="仿宋_GB2312" w:eastAsia="仿宋_GB2312"/>
          <w:color w:val="auto"/>
          <w:sz w:val="24"/>
          <w:highlight w:val="none"/>
        </w:rPr>
        <w:t>演示，</w:t>
      </w:r>
      <w:r>
        <w:rPr>
          <w:rFonts w:ascii="仿宋_GB2312" w:eastAsia="仿宋_GB2312"/>
          <w:color w:val="auto"/>
          <w:sz w:val="24"/>
          <w:highlight w:val="none"/>
        </w:rPr>
        <w:t>具体详见《前附表》中的演示要求</w:t>
      </w:r>
      <w:r>
        <w:rPr>
          <w:rFonts w:hint="eastAsia" w:ascii="仿宋_GB2312" w:eastAsia="仿宋_GB2312"/>
          <w:color w:val="auto"/>
          <w:sz w:val="24"/>
          <w:highlight w:val="none"/>
        </w:rPr>
        <w:t>。</w:t>
      </w:r>
    </w:p>
    <w:p>
      <w:pPr>
        <w:snapToGrid w:val="0"/>
        <w:spacing w:line="480" w:lineRule="exact"/>
        <w:jc w:val="left"/>
        <w:rPr>
          <w:rFonts w:ascii="仿宋_GB2312" w:eastAsia="仿宋_GB2312"/>
          <w:color w:val="auto"/>
          <w:sz w:val="24"/>
          <w:highlight w:val="none"/>
        </w:rPr>
      </w:pPr>
      <w:r>
        <w:rPr>
          <w:rFonts w:ascii="仿宋_GB2312" w:eastAsia="仿宋_GB2312"/>
          <w:color w:val="auto"/>
          <w:sz w:val="24"/>
          <w:highlight w:val="none"/>
        </w:rPr>
        <w:t>3</w:t>
      </w:r>
      <w:r>
        <w:rPr>
          <w:rFonts w:hint="eastAsia" w:ascii="仿宋_GB2312" w:eastAsia="仿宋_GB2312"/>
          <w:color w:val="auto"/>
          <w:sz w:val="24"/>
          <w:highlight w:val="none"/>
        </w:rPr>
        <w:t>.</w:t>
      </w:r>
      <w:r>
        <w:rPr>
          <w:rFonts w:ascii="仿宋_GB2312" w:eastAsia="仿宋_GB2312"/>
          <w:color w:val="auto"/>
          <w:sz w:val="24"/>
          <w:highlight w:val="none"/>
        </w:rPr>
        <w:t>7</w:t>
      </w:r>
      <w:r>
        <w:rPr>
          <w:rFonts w:hint="eastAsia" w:ascii="仿宋_GB2312" w:eastAsia="仿宋_GB2312"/>
          <w:color w:val="auto"/>
          <w:sz w:val="24"/>
          <w:highlight w:val="none"/>
        </w:rPr>
        <w:t>主持人宣布“商务</w:t>
      </w:r>
      <w:r>
        <w:rPr>
          <w:rFonts w:ascii="仿宋_GB2312" w:eastAsia="仿宋_GB2312"/>
          <w:color w:val="auto"/>
          <w:sz w:val="24"/>
          <w:highlight w:val="none"/>
        </w:rPr>
        <w:t>和</w:t>
      </w:r>
      <w:r>
        <w:rPr>
          <w:rFonts w:hint="eastAsia" w:ascii="仿宋_GB2312" w:eastAsia="仿宋_GB2312"/>
          <w:color w:val="auto"/>
          <w:sz w:val="24"/>
          <w:highlight w:val="none"/>
        </w:rPr>
        <w:t>技术</w:t>
      </w:r>
      <w:r>
        <w:rPr>
          <w:rFonts w:ascii="仿宋_GB2312" w:eastAsia="仿宋_GB2312"/>
          <w:color w:val="auto"/>
          <w:sz w:val="24"/>
          <w:highlight w:val="none"/>
        </w:rPr>
        <w:t>文件</w:t>
      </w:r>
      <w:r>
        <w:rPr>
          <w:rFonts w:hint="eastAsia" w:ascii="仿宋_GB2312" w:eastAsia="仿宋_GB2312"/>
          <w:color w:val="auto"/>
          <w:sz w:val="24"/>
          <w:highlight w:val="none"/>
        </w:rPr>
        <w:t>”得分</w:t>
      </w:r>
      <w:r>
        <w:rPr>
          <w:rFonts w:ascii="仿宋_GB2312" w:eastAsia="仿宋_GB2312"/>
          <w:color w:val="auto"/>
          <w:sz w:val="24"/>
          <w:highlight w:val="none"/>
        </w:rPr>
        <w:t>情况</w:t>
      </w:r>
      <w:r>
        <w:rPr>
          <w:rFonts w:hint="eastAsia" w:ascii="仿宋_GB2312" w:eastAsia="仿宋_GB2312"/>
          <w:color w:val="auto"/>
          <w:sz w:val="24"/>
          <w:highlight w:val="none"/>
        </w:rPr>
        <w:t>及无效（废）投标情形（如有），</w:t>
      </w:r>
      <w:r>
        <w:rPr>
          <w:rFonts w:hint="eastAsia" w:ascii="仿宋_GB2312" w:eastAsia="仿宋_GB2312" w:cs="Arial"/>
          <w:color w:val="auto"/>
          <w:sz w:val="24"/>
          <w:highlight w:val="none"/>
        </w:rPr>
        <w:t>无效供应商可收回未拆封的报价文件</w:t>
      </w:r>
      <w:r>
        <w:rPr>
          <w:rFonts w:ascii="仿宋_GB2312" w:eastAsia="仿宋_GB2312" w:cs="Arial"/>
          <w:color w:val="auto"/>
          <w:sz w:val="24"/>
          <w:highlight w:val="none"/>
        </w:rPr>
        <w:t>和原件材料（如有）</w:t>
      </w:r>
      <w:r>
        <w:rPr>
          <w:rFonts w:hint="eastAsia" w:ascii="仿宋_GB2312" w:eastAsia="仿宋_GB2312" w:cs="Arial"/>
          <w:color w:val="auto"/>
          <w:sz w:val="24"/>
          <w:highlight w:val="none"/>
        </w:rPr>
        <w:t>并签字确认</w:t>
      </w:r>
      <w:r>
        <w:rPr>
          <w:rFonts w:ascii="仿宋_GB2312" w:eastAsia="仿宋_GB2312" w:cs="Arial"/>
          <w:color w:val="auto"/>
          <w:sz w:val="24"/>
          <w:highlight w:val="none"/>
        </w:rPr>
        <w:t>。</w:t>
      </w:r>
    </w:p>
    <w:p>
      <w:pPr>
        <w:snapToGrid w:val="0"/>
        <w:spacing w:line="480" w:lineRule="exact"/>
        <w:jc w:val="left"/>
        <w:rPr>
          <w:rFonts w:ascii="仿宋_GB2312" w:eastAsia="仿宋_GB2312"/>
          <w:color w:val="auto"/>
          <w:sz w:val="24"/>
          <w:highlight w:val="none"/>
        </w:rPr>
      </w:pPr>
      <w:r>
        <w:rPr>
          <w:rFonts w:ascii="仿宋_GB2312" w:eastAsia="仿宋_GB2312"/>
          <w:color w:val="auto"/>
          <w:sz w:val="24"/>
          <w:highlight w:val="none"/>
        </w:rPr>
        <w:t>3</w:t>
      </w:r>
      <w:r>
        <w:rPr>
          <w:rFonts w:hint="eastAsia" w:ascii="仿宋_GB2312" w:eastAsia="仿宋_GB2312"/>
          <w:color w:val="auto"/>
          <w:sz w:val="24"/>
          <w:highlight w:val="none"/>
        </w:rPr>
        <w:t>.</w:t>
      </w:r>
      <w:r>
        <w:rPr>
          <w:rFonts w:ascii="仿宋_GB2312" w:eastAsia="仿宋_GB2312"/>
          <w:color w:val="auto"/>
          <w:sz w:val="24"/>
          <w:highlight w:val="none"/>
        </w:rPr>
        <w:t>8</w:t>
      </w:r>
      <w:r>
        <w:rPr>
          <w:rFonts w:hint="eastAsia" w:ascii="仿宋_GB2312" w:eastAsia="仿宋_GB2312"/>
          <w:color w:val="auto"/>
          <w:sz w:val="24"/>
          <w:highlight w:val="none"/>
        </w:rPr>
        <w:t>启封“</w:t>
      </w:r>
      <w:r>
        <w:rPr>
          <w:rFonts w:hint="eastAsia" w:ascii="仿宋_GB2312" w:eastAsia="仿宋_GB2312" w:cs="Arial"/>
          <w:color w:val="auto"/>
          <w:sz w:val="24"/>
          <w:highlight w:val="none"/>
        </w:rPr>
        <w:t>报价文件”</w:t>
      </w:r>
      <w:r>
        <w:rPr>
          <w:rFonts w:hint="eastAsia" w:ascii="仿宋_GB2312" w:eastAsia="仿宋_GB2312"/>
          <w:color w:val="auto"/>
          <w:sz w:val="24"/>
          <w:highlight w:val="none"/>
        </w:rPr>
        <w:t>，宣读供应商名称、投标</w:t>
      </w:r>
      <w:r>
        <w:rPr>
          <w:rFonts w:ascii="仿宋_GB2312" w:eastAsia="仿宋_GB2312"/>
          <w:color w:val="auto"/>
          <w:sz w:val="24"/>
          <w:highlight w:val="none"/>
        </w:rPr>
        <w:t>报价等</w:t>
      </w:r>
      <w:r>
        <w:rPr>
          <w:rFonts w:hint="eastAsia" w:ascii="仿宋_GB2312" w:eastAsia="仿宋_GB2312"/>
          <w:color w:val="auto"/>
          <w:sz w:val="24"/>
          <w:highlight w:val="none"/>
        </w:rPr>
        <w:t>内容</w:t>
      </w:r>
      <w:r>
        <w:rPr>
          <w:rFonts w:ascii="仿宋_GB2312" w:eastAsia="仿宋_GB2312"/>
          <w:color w:val="auto"/>
          <w:sz w:val="24"/>
          <w:highlight w:val="none"/>
        </w:rPr>
        <w:t>。宣</w:t>
      </w:r>
      <w:r>
        <w:rPr>
          <w:rFonts w:hint="eastAsia" w:ascii="仿宋_GB2312" w:eastAsia="仿宋_GB2312"/>
          <w:color w:val="auto"/>
          <w:sz w:val="24"/>
          <w:highlight w:val="none"/>
        </w:rPr>
        <w:t>读结束后，参加开标会的法定代表人或其授权代表应对</w:t>
      </w:r>
      <w:r>
        <w:rPr>
          <w:rFonts w:ascii="仿宋_GB2312" w:eastAsia="仿宋_GB2312"/>
          <w:color w:val="auto"/>
          <w:sz w:val="24"/>
          <w:highlight w:val="none"/>
        </w:rPr>
        <w:t>报价</w:t>
      </w:r>
      <w:r>
        <w:rPr>
          <w:rFonts w:hint="eastAsia" w:ascii="仿宋_GB2312" w:eastAsia="仿宋_GB2312"/>
          <w:color w:val="auto"/>
          <w:sz w:val="24"/>
          <w:highlight w:val="none"/>
        </w:rPr>
        <w:t>和</w:t>
      </w:r>
      <w:r>
        <w:rPr>
          <w:rFonts w:ascii="仿宋_GB2312" w:eastAsia="仿宋_GB2312"/>
          <w:color w:val="auto"/>
          <w:sz w:val="24"/>
          <w:highlight w:val="none"/>
        </w:rPr>
        <w:t>宣</w:t>
      </w:r>
      <w:r>
        <w:rPr>
          <w:rFonts w:hint="eastAsia" w:ascii="仿宋_GB2312" w:eastAsia="仿宋_GB2312"/>
          <w:color w:val="auto"/>
          <w:sz w:val="24"/>
          <w:highlight w:val="none"/>
        </w:rPr>
        <w:t>读的内容签字确认。</w:t>
      </w:r>
    </w:p>
    <w:p>
      <w:pPr>
        <w:snapToGrid w:val="0"/>
        <w:spacing w:line="480" w:lineRule="exact"/>
        <w:jc w:val="left"/>
        <w:rPr>
          <w:rFonts w:ascii="仿宋_GB2312" w:eastAsia="仿宋_GB2312"/>
          <w:color w:val="auto"/>
          <w:sz w:val="24"/>
          <w:highlight w:val="none"/>
        </w:rPr>
      </w:pPr>
      <w:r>
        <w:rPr>
          <w:rFonts w:ascii="仿宋_GB2312" w:eastAsia="仿宋_GB2312"/>
          <w:color w:val="auto"/>
          <w:sz w:val="24"/>
          <w:highlight w:val="none"/>
        </w:rPr>
        <w:t>3</w:t>
      </w:r>
      <w:r>
        <w:rPr>
          <w:rFonts w:hint="eastAsia" w:ascii="仿宋_GB2312" w:eastAsia="仿宋_GB2312"/>
          <w:color w:val="auto"/>
          <w:sz w:val="24"/>
          <w:highlight w:val="none"/>
        </w:rPr>
        <w:t>.</w:t>
      </w:r>
      <w:r>
        <w:rPr>
          <w:rFonts w:ascii="仿宋_GB2312" w:eastAsia="仿宋_GB2312"/>
          <w:color w:val="auto"/>
          <w:sz w:val="24"/>
          <w:highlight w:val="none"/>
        </w:rPr>
        <w:t>9</w:t>
      </w:r>
      <w:r>
        <w:rPr>
          <w:rFonts w:hint="eastAsia" w:ascii="仿宋_GB2312" w:eastAsia="仿宋_GB2312"/>
          <w:color w:val="auto"/>
          <w:sz w:val="24"/>
          <w:highlight w:val="none"/>
        </w:rPr>
        <w:t>评审委员会对“</w:t>
      </w:r>
      <w:r>
        <w:rPr>
          <w:rFonts w:hint="eastAsia" w:ascii="仿宋_GB2312" w:eastAsia="仿宋_GB2312" w:cs="Arial"/>
          <w:color w:val="auto"/>
          <w:sz w:val="24"/>
          <w:highlight w:val="none"/>
        </w:rPr>
        <w:t>报价文件”</w:t>
      </w:r>
      <w:r>
        <w:rPr>
          <w:rFonts w:hint="eastAsia" w:ascii="仿宋_GB2312" w:eastAsia="仿宋_GB2312"/>
          <w:color w:val="auto"/>
          <w:sz w:val="24"/>
          <w:highlight w:val="none"/>
        </w:rPr>
        <w:t>进行评审，计算</w:t>
      </w:r>
      <w:r>
        <w:rPr>
          <w:rFonts w:ascii="仿宋_GB2312" w:eastAsia="仿宋_GB2312"/>
          <w:color w:val="auto"/>
          <w:sz w:val="24"/>
          <w:highlight w:val="none"/>
        </w:rPr>
        <w:t>评标</w:t>
      </w:r>
      <w:r>
        <w:rPr>
          <w:rFonts w:hint="eastAsia" w:ascii="仿宋_GB2312" w:eastAsia="仿宋_GB2312"/>
          <w:color w:val="auto"/>
          <w:sz w:val="24"/>
          <w:highlight w:val="none"/>
        </w:rPr>
        <w:t>价及价格分，汇总商务技术分、价格分，根据得分排序确定中标候选人。</w:t>
      </w:r>
    </w:p>
    <w:p>
      <w:pPr>
        <w:snapToGrid w:val="0"/>
        <w:spacing w:line="480" w:lineRule="exact"/>
        <w:jc w:val="left"/>
        <w:rPr>
          <w:rFonts w:ascii="仿宋_GB2312" w:eastAsia="仿宋_GB2312"/>
          <w:color w:val="auto"/>
          <w:sz w:val="24"/>
          <w:highlight w:val="none"/>
        </w:rPr>
      </w:pPr>
      <w:r>
        <w:rPr>
          <w:rFonts w:ascii="仿宋_GB2312" w:eastAsia="仿宋_GB2312"/>
          <w:color w:val="auto"/>
          <w:sz w:val="24"/>
          <w:highlight w:val="none"/>
        </w:rPr>
        <w:t>3</w:t>
      </w:r>
      <w:r>
        <w:rPr>
          <w:rFonts w:hint="eastAsia" w:ascii="仿宋_GB2312" w:eastAsia="仿宋_GB2312"/>
          <w:color w:val="auto"/>
          <w:sz w:val="24"/>
          <w:highlight w:val="none"/>
        </w:rPr>
        <w:t>.</w:t>
      </w:r>
      <w:r>
        <w:rPr>
          <w:rFonts w:ascii="仿宋_GB2312" w:eastAsia="仿宋_GB2312"/>
          <w:color w:val="auto"/>
          <w:sz w:val="24"/>
          <w:highlight w:val="none"/>
        </w:rPr>
        <w:t>10</w:t>
      </w:r>
      <w:r>
        <w:rPr>
          <w:rFonts w:hint="eastAsia" w:ascii="仿宋_GB2312" w:eastAsia="仿宋_GB2312"/>
          <w:color w:val="auto"/>
          <w:sz w:val="24"/>
          <w:highlight w:val="none"/>
        </w:rPr>
        <w:t>主持人向投标单位公布评审结果。</w:t>
      </w:r>
    </w:p>
    <w:p>
      <w:pPr>
        <w:snapToGrid w:val="0"/>
        <w:spacing w:line="480" w:lineRule="exact"/>
        <w:jc w:val="left"/>
        <w:rPr>
          <w:rFonts w:ascii="仿宋_GB2312" w:eastAsia="仿宋_GB2312"/>
          <w:color w:val="auto"/>
          <w:sz w:val="24"/>
          <w:highlight w:val="none"/>
        </w:rPr>
      </w:pPr>
      <w:r>
        <w:rPr>
          <w:rFonts w:ascii="仿宋_GB2312" w:eastAsia="仿宋_GB2312"/>
          <w:color w:val="auto"/>
          <w:sz w:val="24"/>
          <w:highlight w:val="none"/>
        </w:rPr>
        <w:t>以上程序在不违反公开、公平、公正原则的基础上，可适当调整。</w:t>
      </w:r>
    </w:p>
    <w:p>
      <w:pPr>
        <w:spacing w:line="480" w:lineRule="exact"/>
        <w:jc w:val="left"/>
        <w:rPr>
          <w:rFonts w:ascii="仿宋" w:eastAsia="仿宋"/>
          <w:b/>
          <w:bCs/>
          <w:color w:val="auto"/>
          <w:sz w:val="24"/>
          <w:highlight w:val="none"/>
        </w:rPr>
      </w:pPr>
      <w:r>
        <w:rPr>
          <w:rFonts w:ascii="仿宋" w:eastAsia="仿宋"/>
          <w:b/>
          <w:bCs/>
          <w:color w:val="auto"/>
          <w:sz w:val="24"/>
          <w:highlight w:val="none"/>
        </w:rPr>
        <w:t>4</w:t>
      </w:r>
      <w:r>
        <w:rPr>
          <w:rFonts w:hint="eastAsia" w:ascii="仿宋" w:eastAsia="仿宋"/>
          <w:b/>
          <w:bCs/>
          <w:color w:val="auto"/>
          <w:sz w:val="24"/>
          <w:highlight w:val="none"/>
        </w:rPr>
        <w:t>.</w:t>
      </w:r>
      <w:r>
        <w:rPr>
          <w:rFonts w:ascii="仿宋" w:eastAsia="仿宋"/>
          <w:b/>
          <w:bCs/>
          <w:color w:val="auto"/>
          <w:sz w:val="24"/>
          <w:highlight w:val="none"/>
        </w:rPr>
        <w:t>评审委员会的组成</w:t>
      </w:r>
    </w:p>
    <w:p>
      <w:pPr>
        <w:spacing w:line="480" w:lineRule="exact"/>
        <w:jc w:val="left"/>
        <w:rPr>
          <w:rFonts w:hint="eastAsia" w:ascii="仿宋" w:eastAsia="仿宋" w:cs="宋体"/>
          <w:color w:val="auto"/>
          <w:sz w:val="24"/>
          <w:highlight w:val="none"/>
        </w:rPr>
      </w:pPr>
      <w:r>
        <w:rPr>
          <w:rFonts w:ascii="仿宋" w:eastAsia="仿宋"/>
          <w:color w:val="auto"/>
          <w:sz w:val="24"/>
          <w:highlight w:val="none"/>
        </w:rPr>
        <w:t>4.1</w:t>
      </w:r>
      <w:r>
        <w:rPr>
          <w:rFonts w:hint="eastAsia" w:ascii="仿宋" w:eastAsia="仿宋" w:cs="宋体"/>
          <w:color w:val="auto"/>
          <w:sz w:val="24"/>
          <w:highlight w:val="none"/>
        </w:rPr>
        <w:t>评</w:t>
      </w:r>
      <w:r>
        <w:rPr>
          <w:rFonts w:ascii="仿宋" w:eastAsia="仿宋" w:cs="宋体"/>
          <w:color w:val="auto"/>
          <w:sz w:val="24"/>
          <w:highlight w:val="none"/>
        </w:rPr>
        <w:t>审</w:t>
      </w:r>
      <w:r>
        <w:rPr>
          <w:rFonts w:hint="eastAsia" w:ascii="仿宋" w:eastAsia="仿宋" w:cs="宋体"/>
          <w:color w:val="auto"/>
          <w:sz w:val="24"/>
          <w:highlight w:val="none"/>
        </w:rPr>
        <w:t>委员会由采购单位依法组建，负责</w:t>
      </w:r>
      <w:r>
        <w:rPr>
          <w:rFonts w:ascii="仿宋" w:eastAsia="仿宋" w:cs="宋体"/>
          <w:color w:val="auto"/>
          <w:sz w:val="24"/>
          <w:highlight w:val="none"/>
        </w:rPr>
        <w:t>项目评审活动</w:t>
      </w:r>
      <w:r>
        <w:rPr>
          <w:rFonts w:hint="eastAsia" w:ascii="仿宋" w:eastAsia="仿宋" w:cs="宋体"/>
          <w:color w:val="auto"/>
          <w:sz w:val="24"/>
          <w:highlight w:val="none"/>
        </w:rPr>
        <w:t>及协助处理质疑投诉。</w:t>
      </w:r>
      <w:r>
        <w:rPr>
          <w:rFonts w:ascii="仿宋" w:eastAsia="仿宋"/>
          <w:color w:val="auto"/>
          <w:sz w:val="24"/>
          <w:highlight w:val="none"/>
        </w:rPr>
        <w:t>参与本项目进口论证的专家不得作为采购评审专家参与同一项目的采购评审工作。</w:t>
      </w:r>
    </w:p>
    <w:p>
      <w:pPr>
        <w:spacing w:line="480" w:lineRule="exact"/>
        <w:jc w:val="left"/>
        <w:rPr>
          <w:rFonts w:ascii="仿宋" w:eastAsia="仿宋" w:cs="宋体"/>
          <w:color w:val="auto"/>
          <w:sz w:val="24"/>
          <w:highlight w:val="none"/>
        </w:rPr>
      </w:pPr>
      <w:r>
        <w:rPr>
          <w:rFonts w:ascii="仿宋" w:eastAsia="仿宋" w:cs="宋体"/>
          <w:color w:val="auto"/>
          <w:sz w:val="24"/>
          <w:highlight w:val="none"/>
        </w:rPr>
        <w:t>4.2</w:t>
      </w:r>
      <w:r>
        <w:rPr>
          <w:rFonts w:hint="eastAsia" w:ascii="仿宋" w:eastAsia="仿宋" w:cs="宋体"/>
          <w:color w:val="auto"/>
          <w:sz w:val="24"/>
          <w:highlight w:val="none"/>
        </w:rPr>
        <w:t>评</w:t>
      </w:r>
      <w:r>
        <w:rPr>
          <w:rFonts w:ascii="仿宋" w:eastAsia="仿宋" w:cs="宋体"/>
          <w:color w:val="auto"/>
          <w:sz w:val="24"/>
          <w:highlight w:val="none"/>
        </w:rPr>
        <w:t>审</w:t>
      </w:r>
      <w:r>
        <w:rPr>
          <w:rFonts w:hint="eastAsia" w:ascii="仿宋" w:eastAsia="仿宋" w:cs="宋体"/>
          <w:color w:val="auto"/>
          <w:sz w:val="24"/>
          <w:highlight w:val="none"/>
        </w:rPr>
        <w:t>委员会由采购人代表和有关方面的专家组成，成员人数为五人</w:t>
      </w:r>
      <w:r>
        <w:rPr>
          <w:rFonts w:ascii="仿宋" w:eastAsia="仿宋" w:cs="宋体"/>
          <w:color w:val="auto"/>
          <w:sz w:val="24"/>
          <w:highlight w:val="none"/>
        </w:rPr>
        <w:t>及</w:t>
      </w:r>
      <w:r>
        <w:rPr>
          <w:rFonts w:hint="eastAsia" w:ascii="仿宋" w:eastAsia="仿宋" w:cs="宋体"/>
          <w:color w:val="auto"/>
          <w:sz w:val="24"/>
          <w:highlight w:val="none"/>
        </w:rPr>
        <w:t>以上单数。</w:t>
      </w:r>
      <w:r>
        <w:rPr>
          <w:rFonts w:ascii="仿宋" w:eastAsia="仿宋" w:cs="宋体"/>
          <w:color w:val="auto"/>
          <w:sz w:val="24"/>
          <w:highlight w:val="none"/>
        </w:rPr>
        <w:t>预算金额在1000万及以上的，成员人数为七人及以上单数。</w:t>
      </w:r>
    </w:p>
    <w:p>
      <w:pPr>
        <w:spacing w:line="480" w:lineRule="exact"/>
        <w:jc w:val="left"/>
        <w:rPr>
          <w:rFonts w:ascii="仿宋" w:eastAsia="仿宋" w:cs="宋体"/>
          <w:color w:val="auto"/>
          <w:sz w:val="24"/>
          <w:highlight w:val="none"/>
        </w:rPr>
      </w:pPr>
      <w:r>
        <w:rPr>
          <w:rFonts w:ascii="仿宋" w:eastAsia="仿宋" w:cs="宋体"/>
          <w:color w:val="auto"/>
          <w:sz w:val="24"/>
          <w:highlight w:val="none"/>
        </w:rPr>
        <w:t>4.3采购人代表不得担任评审组长。</w:t>
      </w:r>
    </w:p>
    <w:p>
      <w:pPr>
        <w:spacing w:line="480" w:lineRule="exact"/>
        <w:jc w:val="left"/>
        <w:rPr>
          <w:rFonts w:ascii="仿宋" w:eastAsia="仿宋" w:cs="宋体"/>
          <w:color w:val="auto"/>
          <w:sz w:val="24"/>
          <w:highlight w:val="none"/>
        </w:rPr>
      </w:pPr>
      <w:r>
        <w:rPr>
          <w:rFonts w:ascii="仿宋" w:eastAsia="仿宋" w:cs="宋体"/>
          <w:color w:val="auto"/>
          <w:sz w:val="24"/>
          <w:highlight w:val="none"/>
        </w:rPr>
        <w:t>4.4经采购监督部门同意，由于专家库相应专业专家人数不足且技术复杂等原因，允许采购人推荐组成临时专家库并从中随机抽取，推荐规则参照政府采购相关规定执行。</w:t>
      </w:r>
    </w:p>
    <w:p>
      <w:pPr>
        <w:spacing w:line="480" w:lineRule="exact"/>
        <w:jc w:val="left"/>
        <w:rPr>
          <w:rFonts w:ascii="仿宋" w:eastAsia="仿宋" w:cs="宋体"/>
          <w:b/>
          <w:bCs/>
          <w:color w:val="auto"/>
          <w:sz w:val="24"/>
          <w:highlight w:val="none"/>
        </w:rPr>
      </w:pPr>
      <w:r>
        <w:rPr>
          <w:rFonts w:ascii="仿宋" w:eastAsia="仿宋" w:cs="宋体"/>
          <w:b/>
          <w:bCs/>
          <w:color w:val="auto"/>
          <w:sz w:val="24"/>
          <w:highlight w:val="none"/>
        </w:rPr>
        <w:t>5.评审</w:t>
      </w:r>
    </w:p>
    <w:p>
      <w:pPr>
        <w:spacing w:line="480" w:lineRule="exact"/>
        <w:jc w:val="left"/>
        <w:rPr>
          <w:rFonts w:ascii="仿宋" w:eastAsia="仿宋"/>
          <w:color w:val="auto"/>
          <w:sz w:val="24"/>
          <w:highlight w:val="none"/>
        </w:rPr>
      </w:pPr>
      <w:r>
        <w:rPr>
          <w:rFonts w:ascii="仿宋" w:eastAsia="仿宋"/>
          <w:color w:val="auto"/>
          <w:sz w:val="24"/>
          <w:highlight w:val="none"/>
        </w:rPr>
        <w:t>5.1评审内容包括但并仅限于格式审查、内容评审、违反法律法规情况审查。</w:t>
      </w:r>
    </w:p>
    <w:p>
      <w:pPr>
        <w:spacing w:line="480" w:lineRule="exact"/>
        <w:jc w:val="left"/>
        <w:rPr>
          <w:rFonts w:ascii="仿宋" w:eastAsia="仿宋"/>
          <w:color w:val="auto"/>
          <w:sz w:val="24"/>
          <w:highlight w:val="none"/>
        </w:rPr>
      </w:pPr>
      <w:r>
        <w:rPr>
          <w:rFonts w:ascii="仿宋" w:eastAsia="仿宋"/>
          <w:color w:val="auto"/>
          <w:sz w:val="24"/>
          <w:highlight w:val="none"/>
        </w:rPr>
        <w:t>5.2</w:t>
      </w:r>
      <w:r>
        <w:rPr>
          <w:rFonts w:hint="eastAsia" w:ascii="仿宋" w:eastAsia="仿宋" w:cs="宋体"/>
          <w:color w:val="auto"/>
          <w:sz w:val="24"/>
          <w:highlight w:val="none"/>
        </w:rPr>
        <w:t>评审委员会</w:t>
      </w:r>
      <w:r>
        <w:rPr>
          <w:rFonts w:ascii="仿宋" w:eastAsia="仿宋" w:cs="宋体"/>
          <w:color w:val="auto"/>
          <w:sz w:val="24"/>
          <w:highlight w:val="none"/>
        </w:rPr>
        <w:t>应当严格按照采购文件、投标（响应）文件（包括样品或演示内容、证明材料）进行评审，</w:t>
      </w:r>
      <w:r>
        <w:rPr>
          <w:rFonts w:hint="eastAsia" w:ascii="仿宋" w:eastAsia="仿宋" w:cs="宋体"/>
          <w:color w:val="auto"/>
          <w:sz w:val="24"/>
          <w:highlight w:val="none"/>
        </w:rPr>
        <w:t>不得依据投标</w:t>
      </w:r>
      <w:r>
        <w:rPr>
          <w:rFonts w:ascii="仿宋" w:eastAsia="仿宋" w:cs="宋体"/>
          <w:color w:val="auto"/>
          <w:sz w:val="24"/>
          <w:highlight w:val="none"/>
        </w:rPr>
        <w:t>（响应）</w:t>
      </w:r>
      <w:r>
        <w:rPr>
          <w:rFonts w:hint="eastAsia" w:ascii="仿宋" w:eastAsia="仿宋" w:cs="宋体"/>
          <w:color w:val="auto"/>
          <w:sz w:val="24"/>
          <w:highlight w:val="none"/>
        </w:rPr>
        <w:t>文件以外的资料</w:t>
      </w:r>
      <w:r>
        <w:rPr>
          <w:rFonts w:ascii="仿宋" w:eastAsia="仿宋" w:cs="宋体"/>
          <w:color w:val="auto"/>
          <w:sz w:val="24"/>
          <w:highlight w:val="none"/>
        </w:rPr>
        <w:t>评审。</w:t>
      </w:r>
    </w:p>
    <w:p>
      <w:pPr>
        <w:spacing w:line="480" w:lineRule="exact"/>
        <w:jc w:val="left"/>
        <w:rPr>
          <w:rFonts w:ascii="仿宋" w:eastAsia="仿宋"/>
          <w:b/>
          <w:bCs/>
          <w:color w:val="auto"/>
          <w:sz w:val="24"/>
          <w:highlight w:val="none"/>
        </w:rPr>
      </w:pPr>
      <w:r>
        <w:rPr>
          <w:rFonts w:ascii="仿宋" w:eastAsia="仿宋"/>
          <w:color w:val="auto"/>
          <w:sz w:val="24"/>
          <w:highlight w:val="none"/>
        </w:rPr>
        <w:t>5.3对于投标文件中含义不明确、同类问题表述不一致或者有明显文字和计算错误的内容，评审委员会应当以询标方式要求供应商作出必要的澄清、说明或者补正。供应商的澄清、说明或者补正应当采用书面形式，并加盖公章或者由法定代表人或其授权代表签字。供应商的澄清、说明或者补正不得超出投标文件的范围或者改变投标文件的实质性内容。</w:t>
      </w:r>
      <w:r>
        <w:rPr>
          <w:rFonts w:ascii="仿宋" w:eastAsia="仿宋"/>
          <w:b/>
          <w:bCs/>
          <w:color w:val="auto"/>
          <w:sz w:val="24"/>
          <w:highlight w:val="none"/>
        </w:rPr>
        <w:t>不接受供应商提出的主动澄清。不出席现场开标会的供应商将失去该权利。</w:t>
      </w:r>
    </w:p>
    <w:p>
      <w:pPr>
        <w:widowControl/>
        <w:snapToGrid w:val="0"/>
        <w:spacing w:line="480" w:lineRule="exact"/>
        <w:rPr>
          <w:rFonts w:ascii="仿宋" w:eastAsia="仿宋" w:cs="宋体"/>
          <w:color w:val="auto"/>
          <w:sz w:val="24"/>
          <w:highlight w:val="none"/>
        </w:rPr>
      </w:pPr>
      <w:r>
        <w:rPr>
          <w:rFonts w:ascii="仿宋" w:eastAsia="仿宋" w:cs="宋体"/>
          <w:color w:val="auto"/>
          <w:sz w:val="24"/>
          <w:highlight w:val="none"/>
        </w:rPr>
        <w:t>5</w:t>
      </w:r>
      <w:r>
        <w:rPr>
          <w:rFonts w:hint="eastAsia" w:ascii="仿宋" w:eastAsia="仿宋" w:cs="宋体"/>
          <w:color w:val="auto"/>
          <w:sz w:val="24"/>
          <w:highlight w:val="none"/>
        </w:rPr>
        <w:t>.</w:t>
      </w:r>
      <w:r>
        <w:rPr>
          <w:rFonts w:ascii="仿宋" w:eastAsia="仿宋" w:cs="宋体"/>
          <w:color w:val="auto"/>
          <w:sz w:val="24"/>
          <w:highlight w:val="none"/>
        </w:rPr>
        <w:t>4评审委员会不负责解释供应商的得分高低和失分情况</w:t>
      </w:r>
      <w:r>
        <w:rPr>
          <w:rFonts w:hint="eastAsia" w:ascii="仿宋" w:eastAsia="仿宋" w:cs="宋体"/>
          <w:color w:val="auto"/>
          <w:sz w:val="24"/>
          <w:highlight w:val="none"/>
        </w:rPr>
        <w:t>，不退还</w:t>
      </w:r>
      <w:r>
        <w:rPr>
          <w:rFonts w:ascii="仿宋" w:eastAsia="仿宋" w:cs="宋体"/>
          <w:color w:val="auto"/>
          <w:sz w:val="24"/>
          <w:highlight w:val="none"/>
        </w:rPr>
        <w:t>已经拆封的</w:t>
      </w:r>
      <w:r>
        <w:rPr>
          <w:rFonts w:hint="eastAsia" w:ascii="仿宋" w:eastAsia="仿宋" w:cs="宋体"/>
          <w:color w:val="auto"/>
          <w:sz w:val="24"/>
          <w:highlight w:val="none"/>
        </w:rPr>
        <w:t>投标文件。</w:t>
      </w:r>
    </w:p>
    <w:p>
      <w:pPr>
        <w:spacing w:line="440" w:lineRule="exact"/>
        <w:jc w:val="left"/>
        <w:rPr>
          <w:rFonts w:hint="eastAsia" w:ascii="仿宋" w:eastAsia="仿宋" w:cs="宋体"/>
          <w:b/>
          <w:bCs/>
          <w:color w:val="auto"/>
          <w:sz w:val="24"/>
          <w:highlight w:val="none"/>
        </w:rPr>
      </w:pPr>
      <w:r>
        <w:rPr>
          <w:rFonts w:hint="eastAsia" w:ascii="仿宋" w:eastAsia="仿宋" w:cs="宋体"/>
          <w:b/>
          <w:bCs/>
          <w:color w:val="auto"/>
          <w:sz w:val="24"/>
          <w:highlight w:val="none"/>
        </w:rPr>
        <w:t>6.报价修正规则</w:t>
      </w:r>
    </w:p>
    <w:p>
      <w:pPr>
        <w:spacing w:line="440" w:lineRule="exact"/>
        <w:jc w:val="left"/>
        <w:rPr>
          <w:rFonts w:hint="eastAsia" w:ascii="仿宋" w:eastAsia="仿宋" w:cs="宋体"/>
          <w:color w:val="auto"/>
          <w:sz w:val="24"/>
          <w:highlight w:val="none"/>
        </w:rPr>
      </w:pPr>
      <w:r>
        <w:rPr>
          <w:rFonts w:hint="eastAsia" w:ascii="仿宋" w:eastAsia="仿宋" w:cs="宋体"/>
          <w:color w:val="auto"/>
          <w:sz w:val="24"/>
          <w:highlight w:val="none"/>
        </w:rPr>
        <w:t>6.1投标文件中</w:t>
      </w:r>
      <w:r>
        <w:rPr>
          <w:rFonts w:ascii="仿宋" w:eastAsia="仿宋" w:cs="宋体"/>
          <w:color w:val="auto"/>
          <w:sz w:val="24"/>
          <w:highlight w:val="none"/>
        </w:rPr>
        <w:t>开标</w:t>
      </w:r>
      <w:r>
        <w:rPr>
          <w:rFonts w:hint="eastAsia" w:ascii="仿宋" w:eastAsia="仿宋" w:cs="宋体"/>
          <w:color w:val="auto"/>
          <w:sz w:val="24"/>
          <w:highlight w:val="none"/>
        </w:rPr>
        <w:t>一览表内容与投标文件中相应内容不一致的，以</w:t>
      </w:r>
      <w:r>
        <w:rPr>
          <w:rFonts w:ascii="仿宋" w:eastAsia="仿宋" w:cs="宋体"/>
          <w:color w:val="auto"/>
          <w:sz w:val="24"/>
          <w:highlight w:val="none"/>
        </w:rPr>
        <w:t>开标</w:t>
      </w:r>
      <w:r>
        <w:rPr>
          <w:rFonts w:hint="eastAsia" w:ascii="仿宋" w:eastAsia="仿宋" w:cs="宋体"/>
          <w:color w:val="auto"/>
          <w:sz w:val="24"/>
          <w:highlight w:val="none"/>
        </w:rPr>
        <w:t>一览表为准；</w:t>
      </w:r>
    </w:p>
    <w:p>
      <w:pPr>
        <w:spacing w:line="440" w:lineRule="exact"/>
        <w:jc w:val="left"/>
        <w:rPr>
          <w:rFonts w:hint="eastAsia" w:ascii="仿宋" w:eastAsia="仿宋" w:cs="宋体"/>
          <w:color w:val="auto"/>
          <w:sz w:val="24"/>
          <w:highlight w:val="none"/>
        </w:rPr>
      </w:pPr>
      <w:r>
        <w:rPr>
          <w:rFonts w:hint="eastAsia" w:ascii="仿宋" w:eastAsia="仿宋" w:cs="宋体"/>
          <w:color w:val="auto"/>
          <w:sz w:val="24"/>
          <w:highlight w:val="none"/>
        </w:rPr>
        <w:t>6.2大写金额和小写金额不一致的，以大写金额为准；</w:t>
      </w:r>
    </w:p>
    <w:p>
      <w:pPr>
        <w:spacing w:line="440" w:lineRule="exact"/>
        <w:jc w:val="left"/>
        <w:rPr>
          <w:rFonts w:hint="eastAsia" w:ascii="仿宋" w:eastAsia="仿宋" w:cs="宋体"/>
          <w:color w:val="auto"/>
          <w:sz w:val="24"/>
          <w:highlight w:val="none"/>
        </w:rPr>
      </w:pPr>
      <w:r>
        <w:rPr>
          <w:rFonts w:hint="eastAsia" w:ascii="仿宋" w:eastAsia="仿宋" w:cs="宋体"/>
          <w:color w:val="auto"/>
          <w:sz w:val="24"/>
          <w:highlight w:val="none"/>
        </w:rPr>
        <w:t>6.3单价金额小数点或者百分比有明显错位的，以</w:t>
      </w:r>
      <w:r>
        <w:rPr>
          <w:rFonts w:ascii="仿宋" w:eastAsia="仿宋" w:cs="宋体"/>
          <w:color w:val="auto"/>
          <w:sz w:val="24"/>
          <w:highlight w:val="none"/>
        </w:rPr>
        <w:t>开标</w:t>
      </w:r>
      <w:r>
        <w:rPr>
          <w:rFonts w:hint="eastAsia" w:ascii="仿宋" w:eastAsia="仿宋" w:cs="宋体"/>
          <w:color w:val="auto"/>
          <w:sz w:val="24"/>
          <w:highlight w:val="none"/>
        </w:rPr>
        <w:t>一览表的总价为准，并修改单价；</w:t>
      </w:r>
    </w:p>
    <w:p>
      <w:pPr>
        <w:spacing w:line="440" w:lineRule="exact"/>
        <w:jc w:val="left"/>
        <w:rPr>
          <w:rFonts w:hint="eastAsia" w:ascii="仿宋" w:eastAsia="仿宋" w:cs="宋体"/>
          <w:color w:val="auto"/>
          <w:sz w:val="24"/>
          <w:highlight w:val="none"/>
        </w:rPr>
      </w:pPr>
      <w:r>
        <w:rPr>
          <w:rFonts w:hint="eastAsia" w:ascii="仿宋" w:eastAsia="仿宋" w:cs="宋体"/>
          <w:color w:val="auto"/>
          <w:sz w:val="24"/>
          <w:highlight w:val="none"/>
        </w:rPr>
        <w:t>6.4总价金额与按单价汇总金额不一致的，以单价金额计算结果为准。</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s="宋体"/>
          <w:color w:val="auto"/>
          <w:sz w:val="24"/>
          <w:highlight w:val="none"/>
        </w:rPr>
        <w:t>同时出现两种以上不一致的，按照前款规定的顺序修正。</w:t>
      </w:r>
      <w:r>
        <w:rPr>
          <w:rFonts w:hint="eastAsia" w:ascii="仿宋" w:eastAsia="仿宋" w:cs="仿宋_GB2312"/>
          <w:bCs/>
          <w:color w:val="auto"/>
          <w:sz w:val="24"/>
          <w:highlight w:val="none"/>
        </w:rPr>
        <w:t>修正后的报价按照财政部公布第87号令 《政府采购货物和服务招标</w:t>
      </w:r>
      <w:r>
        <w:rPr>
          <w:rFonts w:ascii="仿宋" w:eastAsia="仿宋" w:cs="仿宋_GB2312"/>
          <w:bCs/>
          <w:color w:val="auto"/>
          <w:sz w:val="24"/>
          <w:highlight w:val="none"/>
        </w:rPr>
        <w:t>投标</w:t>
      </w:r>
      <w:r>
        <w:rPr>
          <w:rFonts w:hint="eastAsia" w:ascii="仿宋" w:eastAsia="仿宋" w:cs="仿宋_GB2312"/>
          <w:bCs/>
          <w:color w:val="auto"/>
          <w:sz w:val="24"/>
          <w:highlight w:val="none"/>
        </w:rPr>
        <w:t>管理办法》</w:t>
      </w:r>
      <w:r>
        <w:rPr>
          <w:rFonts w:hint="eastAsia" w:ascii="仿宋" w:eastAsia="仿宋" w:cs="宋体"/>
          <w:color w:val="auto"/>
          <w:sz w:val="24"/>
          <w:highlight w:val="none"/>
        </w:rPr>
        <w:t>第五十一条第二款的规定经供应商确认后产生约束力，供应商不确认的，其</w:t>
      </w:r>
      <w:r>
        <w:rPr>
          <w:rFonts w:ascii="仿宋" w:eastAsia="仿宋" w:cs="宋体"/>
          <w:color w:val="auto"/>
          <w:sz w:val="24"/>
          <w:highlight w:val="none"/>
        </w:rPr>
        <w:t>投标</w:t>
      </w:r>
      <w:r>
        <w:rPr>
          <w:rFonts w:hint="eastAsia" w:ascii="仿宋" w:eastAsia="仿宋" w:cs="宋体"/>
          <w:color w:val="auto"/>
          <w:sz w:val="24"/>
          <w:highlight w:val="none"/>
        </w:rPr>
        <w:t>无效。</w:t>
      </w:r>
    </w:p>
    <w:p>
      <w:pPr>
        <w:pStyle w:val="20"/>
        <w:snapToGrid w:val="0"/>
        <w:spacing w:line="440" w:lineRule="exact"/>
        <w:jc w:val="left"/>
        <w:rPr>
          <w:rFonts w:ascii="仿宋_GB2312" w:eastAsia="仿宋_GB2312"/>
          <w:b/>
          <w:color w:val="auto"/>
          <w:sz w:val="24"/>
          <w:szCs w:val="24"/>
          <w:highlight w:val="none"/>
        </w:rPr>
      </w:pPr>
      <w:r>
        <w:rPr>
          <w:rFonts w:ascii="仿宋_GB2312" w:eastAsia="仿宋_GB2312"/>
          <w:b/>
          <w:color w:val="auto"/>
          <w:sz w:val="24"/>
          <w:szCs w:val="24"/>
          <w:highlight w:val="none"/>
        </w:rPr>
        <w:t>7</w:t>
      </w:r>
      <w:r>
        <w:rPr>
          <w:rFonts w:hint="eastAsia" w:ascii="仿宋_GB2312" w:eastAsia="仿宋_GB2312"/>
          <w:b/>
          <w:color w:val="auto"/>
          <w:sz w:val="24"/>
          <w:szCs w:val="24"/>
          <w:highlight w:val="none"/>
        </w:rPr>
        <w:t>．无效投标的情形</w:t>
      </w:r>
    </w:p>
    <w:p>
      <w:pPr>
        <w:tabs>
          <w:tab w:val="left" w:pos="4085"/>
        </w:tabs>
        <w:snapToGrid w:val="0"/>
        <w:spacing w:line="44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投标</w:t>
      </w:r>
      <w:r>
        <w:rPr>
          <w:rFonts w:ascii="仿宋_GB2312" w:eastAsia="仿宋_GB2312"/>
          <w:color w:val="auto"/>
          <w:sz w:val="24"/>
          <w:highlight w:val="none"/>
        </w:rPr>
        <w:t>响应</w:t>
      </w:r>
      <w:r>
        <w:rPr>
          <w:rFonts w:hint="eastAsia" w:ascii="仿宋_GB2312" w:eastAsia="仿宋_GB2312"/>
          <w:color w:val="auto"/>
          <w:sz w:val="24"/>
          <w:highlight w:val="none"/>
        </w:rPr>
        <w:t>文件有下列情形之一的作无效投标处理：</w:t>
      </w:r>
    </w:p>
    <w:p>
      <w:pPr>
        <w:snapToGrid w:val="0"/>
        <w:spacing w:line="440" w:lineRule="exact"/>
        <w:jc w:val="left"/>
        <w:rPr>
          <w:rFonts w:ascii="仿宋_GB2312" w:eastAsia="仿宋_GB2312"/>
          <w:color w:val="auto"/>
          <w:sz w:val="24"/>
          <w:highlight w:val="none"/>
        </w:rPr>
      </w:pPr>
      <w:r>
        <w:rPr>
          <w:rFonts w:ascii="仿宋_GB2312" w:eastAsia="仿宋_GB2312"/>
          <w:color w:val="auto"/>
          <w:sz w:val="24"/>
          <w:highlight w:val="none"/>
        </w:rPr>
        <w:t>7.1</w:t>
      </w:r>
      <w:r>
        <w:rPr>
          <w:rFonts w:hint="eastAsia" w:ascii="仿宋_GB2312" w:eastAsia="仿宋_GB2312"/>
          <w:color w:val="auto"/>
          <w:sz w:val="24"/>
          <w:highlight w:val="none"/>
        </w:rPr>
        <w:t>单位负责人为同一人或者存在直接控股、管理关系的不同供应商参加</w:t>
      </w:r>
      <w:r>
        <w:rPr>
          <w:rFonts w:ascii="仿宋_GB2312" w:eastAsia="仿宋_GB2312"/>
          <w:color w:val="auto"/>
          <w:sz w:val="24"/>
          <w:highlight w:val="none"/>
        </w:rPr>
        <w:t>本项目</w:t>
      </w:r>
      <w:r>
        <w:rPr>
          <w:rFonts w:hint="eastAsia" w:ascii="仿宋_GB2312" w:eastAsia="仿宋_GB2312"/>
          <w:color w:val="auto"/>
          <w:sz w:val="24"/>
          <w:highlight w:val="none"/>
        </w:rPr>
        <w:t>同一合同项</w:t>
      </w:r>
      <w:r>
        <w:rPr>
          <w:rFonts w:ascii="仿宋_GB2312" w:eastAsia="仿宋_GB2312"/>
          <w:color w:val="auto"/>
          <w:sz w:val="24"/>
          <w:highlight w:val="none"/>
        </w:rPr>
        <w:t>（标段）</w:t>
      </w:r>
      <w:r>
        <w:rPr>
          <w:rFonts w:hint="eastAsia" w:ascii="仿宋_GB2312" w:eastAsia="仿宋_GB2312"/>
          <w:color w:val="auto"/>
          <w:sz w:val="24"/>
          <w:highlight w:val="none"/>
        </w:rPr>
        <w:t>下的采购活动的（</w:t>
      </w:r>
      <w:r>
        <w:rPr>
          <w:rFonts w:ascii="仿宋_GB2312" w:eastAsia="仿宋_GB2312"/>
          <w:color w:val="auto"/>
          <w:sz w:val="24"/>
          <w:highlight w:val="none"/>
        </w:rPr>
        <w:t>双方</w:t>
      </w:r>
      <w:r>
        <w:rPr>
          <w:rFonts w:hint="eastAsia" w:ascii="仿宋_GB2312" w:eastAsia="仿宋_GB2312"/>
          <w:color w:val="auto"/>
          <w:sz w:val="24"/>
          <w:highlight w:val="none"/>
        </w:rPr>
        <w:t>均</w:t>
      </w:r>
      <w:r>
        <w:rPr>
          <w:rFonts w:ascii="仿宋_GB2312" w:eastAsia="仿宋_GB2312"/>
          <w:color w:val="auto"/>
          <w:sz w:val="24"/>
          <w:highlight w:val="none"/>
        </w:rPr>
        <w:t>作</w:t>
      </w:r>
      <w:r>
        <w:rPr>
          <w:rFonts w:hint="eastAsia" w:ascii="仿宋_GB2312" w:eastAsia="仿宋_GB2312"/>
          <w:color w:val="auto"/>
          <w:sz w:val="24"/>
          <w:highlight w:val="none"/>
        </w:rPr>
        <w:t>无效</w:t>
      </w:r>
      <w:r>
        <w:rPr>
          <w:rFonts w:ascii="仿宋_GB2312" w:eastAsia="仿宋_GB2312"/>
          <w:color w:val="auto"/>
          <w:sz w:val="24"/>
          <w:highlight w:val="none"/>
        </w:rPr>
        <w:t>投标处理</w:t>
      </w:r>
      <w:r>
        <w:rPr>
          <w:rFonts w:hint="eastAsia" w:ascii="仿宋_GB2312" w:eastAsia="仿宋_GB2312"/>
          <w:color w:val="auto"/>
          <w:sz w:val="24"/>
          <w:highlight w:val="none"/>
        </w:rPr>
        <w:t>）；</w:t>
      </w:r>
    </w:p>
    <w:p>
      <w:pPr>
        <w:snapToGrid w:val="0"/>
        <w:spacing w:line="440" w:lineRule="exact"/>
        <w:jc w:val="left"/>
        <w:rPr>
          <w:rFonts w:ascii="仿宋_GB2312" w:eastAsia="仿宋_GB2312"/>
          <w:color w:val="auto"/>
          <w:sz w:val="24"/>
          <w:highlight w:val="none"/>
        </w:rPr>
      </w:pPr>
      <w:r>
        <w:rPr>
          <w:rFonts w:ascii="仿宋_GB2312" w:eastAsia="仿宋_GB2312"/>
          <w:color w:val="auto"/>
          <w:sz w:val="24"/>
          <w:highlight w:val="none"/>
        </w:rPr>
        <w:t>7.2</w:t>
      </w:r>
      <w:r>
        <w:rPr>
          <w:rFonts w:hint="eastAsia" w:ascii="仿宋_GB2312" w:eastAsia="仿宋_GB2312"/>
          <w:color w:val="auto"/>
          <w:sz w:val="24"/>
          <w:highlight w:val="none"/>
        </w:rPr>
        <w:t>为采购项目提供整体设计、规范编制或者项目管理、监理、检测等服务的供应商再参加该采购项目的其他采购活动的</w:t>
      </w:r>
      <w:r>
        <w:rPr>
          <w:rFonts w:ascii="仿宋_GB2312" w:eastAsia="仿宋_GB2312"/>
          <w:color w:val="auto"/>
          <w:sz w:val="24"/>
          <w:highlight w:val="none"/>
        </w:rPr>
        <w:t>（单一来源采购除外）</w:t>
      </w:r>
      <w:r>
        <w:rPr>
          <w:rFonts w:hint="eastAsia" w:ascii="仿宋_GB2312" w:eastAsia="仿宋_GB2312"/>
          <w:color w:val="auto"/>
          <w:sz w:val="24"/>
          <w:highlight w:val="none"/>
        </w:rPr>
        <w:t xml:space="preserve">； </w:t>
      </w:r>
    </w:p>
    <w:p>
      <w:pPr>
        <w:snapToGrid w:val="0"/>
        <w:spacing w:line="440" w:lineRule="exact"/>
        <w:jc w:val="left"/>
        <w:rPr>
          <w:rFonts w:ascii="仿宋_GB2312" w:eastAsia="仿宋_GB2312"/>
          <w:color w:val="auto"/>
          <w:sz w:val="24"/>
          <w:highlight w:val="none"/>
        </w:rPr>
      </w:pPr>
      <w:r>
        <w:rPr>
          <w:rFonts w:ascii="仿宋_GB2312" w:eastAsia="仿宋_GB2312"/>
          <w:color w:val="auto"/>
          <w:sz w:val="24"/>
          <w:highlight w:val="none"/>
        </w:rPr>
        <w:t>7.3</w:t>
      </w:r>
      <w:r>
        <w:rPr>
          <w:rFonts w:hint="eastAsia" w:ascii="仿宋_GB2312" w:eastAsia="仿宋_GB2312"/>
          <w:color w:val="auto"/>
          <w:sz w:val="24"/>
          <w:highlight w:val="none"/>
        </w:rPr>
        <w:t>供应商不具备</w:t>
      </w:r>
      <w:r>
        <w:rPr>
          <w:rFonts w:ascii="仿宋_GB2312" w:eastAsia="仿宋_GB2312"/>
          <w:color w:val="auto"/>
          <w:sz w:val="24"/>
          <w:highlight w:val="none"/>
        </w:rPr>
        <w:t>采购</w:t>
      </w:r>
      <w:r>
        <w:rPr>
          <w:rFonts w:hint="eastAsia" w:ascii="仿宋_GB2312" w:eastAsia="仿宋_GB2312"/>
          <w:color w:val="auto"/>
          <w:sz w:val="24"/>
          <w:highlight w:val="none"/>
        </w:rPr>
        <w:t>文件中规定的资格要求的（供应商未</w:t>
      </w:r>
      <w:r>
        <w:rPr>
          <w:rFonts w:ascii="仿宋_GB2312" w:eastAsia="仿宋_GB2312"/>
          <w:color w:val="auto"/>
          <w:sz w:val="24"/>
          <w:highlight w:val="none"/>
        </w:rPr>
        <w:t>按采购文件要求提供</w:t>
      </w:r>
      <w:r>
        <w:rPr>
          <w:rFonts w:hint="eastAsia" w:ascii="仿宋_GB2312" w:eastAsia="仿宋_GB2312"/>
          <w:color w:val="auto"/>
          <w:sz w:val="24"/>
          <w:highlight w:val="none"/>
        </w:rPr>
        <w:t>资格证明文件的，视为供应商不具备</w:t>
      </w:r>
      <w:r>
        <w:rPr>
          <w:rFonts w:ascii="仿宋_GB2312" w:eastAsia="仿宋_GB2312"/>
          <w:color w:val="auto"/>
          <w:sz w:val="24"/>
          <w:highlight w:val="none"/>
        </w:rPr>
        <w:t>采购</w:t>
      </w:r>
      <w:r>
        <w:rPr>
          <w:rFonts w:hint="eastAsia" w:ascii="仿宋_GB2312" w:eastAsia="仿宋_GB2312"/>
          <w:color w:val="auto"/>
          <w:sz w:val="24"/>
          <w:highlight w:val="none"/>
        </w:rPr>
        <w:t>文件中规定的资格要求）；</w:t>
      </w:r>
    </w:p>
    <w:p>
      <w:pPr>
        <w:snapToGrid w:val="0"/>
        <w:spacing w:line="440" w:lineRule="exact"/>
        <w:jc w:val="left"/>
        <w:rPr>
          <w:rFonts w:ascii="仿宋_GB2312" w:eastAsia="仿宋_GB2312"/>
          <w:color w:val="auto"/>
          <w:kern w:val="0"/>
          <w:sz w:val="24"/>
          <w:highlight w:val="none"/>
        </w:rPr>
      </w:pPr>
      <w:r>
        <w:rPr>
          <w:rFonts w:ascii="仿宋_GB2312" w:eastAsia="仿宋_GB2312"/>
          <w:color w:val="auto"/>
          <w:sz w:val="24"/>
          <w:highlight w:val="none"/>
        </w:rPr>
        <w:t>7.4</w:t>
      </w:r>
      <w:r>
        <w:rPr>
          <w:rFonts w:hint="eastAsia" w:ascii="仿宋_GB2312" w:eastAsia="仿宋_GB2312"/>
          <w:color w:val="auto"/>
          <w:kern w:val="0"/>
          <w:sz w:val="24"/>
          <w:highlight w:val="none"/>
        </w:rPr>
        <w:t>法定代表人</w:t>
      </w:r>
      <w:r>
        <w:rPr>
          <w:rFonts w:ascii="仿宋_GB2312" w:eastAsia="仿宋_GB2312"/>
          <w:color w:val="auto"/>
          <w:kern w:val="0"/>
          <w:sz w:val="24"/>
          <w:highlight w:val="none"/>
        </w:rPr>
        <w:t>、</w:t>
      </w:r>
      <w:r>
        <w:rPr>
          <w:rFonts w:hint="eastAsia" w:ascii="仿宋_GB2312" w:eastAsia="仿宋_GB2312"/>
          <w:color w:val="auto"/>
          <w:kern w:val="0"/>
          <w:sz w:val="24"/>
          <w:highlight w:val="none"/>
        </w:rPr>
        <w:t>个体工商户</w:t>
      </w:r>
      <w:r>
        <w:rPr>
          <w:rFonts w:ascii="仿宋_GB2312" w:eastAsia="仿宋_GB2312"/>
          <w:color w:val="auto"/>
          <w:kern w:val="0"/>
          <w:sz w:val="24"/>
          <w:highlight w:val="none"/>
        </w:rPr>
        <w:t>经营者</w:t>
      </w:r>
      <w:r>
        <w:rPr>
          <w:rFonts w:hint="eastAsia" w:ascii="仿宋_GB2312" w:eastAsia="仿宋_GB2312"/>
          <w:color w:val="auto"/>
          <w:kern w:val="0"/>
          <w:sz w:val="24"/>
          <w:highlight w:val="none"/>
        </w:rPr>
        <w:t>参加开标会，</w:t>
      </w:r>
      <w:r>
        <w:rPr>
          <w:rFonts w:hint="eastAsia" w:ascii="仿宋_GB2312" w:eastAsia="仿宋_GB2312"/>
          <w:color w:val="auto"/>
          <w:sz w:val="24"/>
          <w:highlight w:val="none"/>
        </w:rPr>
        <w:t>未能出具身份证明的或</w:t>
      </w:r>
      <w:r>
        <w:rPr>
          <w:rFonts w:hint="eastAsia" w:ascii="仿宋_GB2312" w:eastAsia="仿宋_GB2312"/>
          <w:color w:val="auto"/>
          <w:kern w:val="0"/>
          <w:sz w:val="24"/>
          <w:highlight w:val="none"/>
        </w:rPr>
        <w:t>提供的身份证明与营业执照不一致的；</w:t>
      </w:r>
      <w:r>
        <w:rPr>
          <w:rFonts w:hint="eastAsia" w:ascii="仿宋_GB2312" w:eastAsia="仿宋_GB2312"/>
          <w:color w:val="auto"/>
          <w:sz w:val="24"/>
          <w:highlight w:val="none"/>
        </w:rPr>
        <w:t>授权代表</w:t>
      </w:r>
      <w:r>
        <w:rPr>
          <w:rFonts w:hint="eastAsia" w:ascii="仿宋_GB2312" w:eastAsia="仿宋_GB2312"/>
          <w:color w:val="auto"/>
          <w:kern w:val="0"/>
          <w:sz w:val="24"/>
          <w:highlight w:val="none"/>
        </w:rPr>
        <w:t>无《法定代表人授权委托书》</w:t>
      </w:r>
      <w:r>
        <w:rPr>
          <w:rFonts w:ascii="仿宋_GB2312" w:eastAsia="仿宋_GB2312"/>
          <w:color w:val="auto"/>
          <w:kern w:val="0"/>
          <w:sz w:val="24"/>
          <w:highlight w:val="none"/>
        </w:rPr>
        <w:t>或</w:t>
      </w:r>
      <w:r>
        <w:rPr>
          <w:rFonts w:hint="eastAsia" w:ascii="仿宋_GB2312" w:eastAsia="仿宋_GB2312"/>
          <w:color w:val="auto"/>
          <w:kern w:val="0"/>
          <w:sz w:val="24"/>
          <w:highlight w:val="none"/>
        </w:rPr>
        <w:t>《法定代表人授权委托书》</w:t>
      </w:r>
      <w:r>
        <w:rPr>
          <w:rFonts w:ascii="仿宋_GB2312" w:eastAsia="仿宋_GB2312"/>
          <w:color w:val="auto"/>
          <w:kern w:val="0"/>
          <w:sz w:val="24"/>
          <w:highlight w:val="none"/>
        </w:rPr>
        <w:t>填写错误</w:t>
      </w:r>
      <w:r>
        <w:rPr>
          <w:rFonts w:hint="eastAsia" w:ascii="仿宋_GB2312" w:eastAsia="仿宋_GB2312"/>
          <w:color w:val="auto"/>
          <w:kern w:val="0"/>
          <w:sz w:val="24"/>
          <w:highlight w:val="none"/>
        </w:rPr>
        <w:t>或</w:t>
      </w:r>
      <w:r>
        <w:rPr>
          <w:rFonts w:hint="eastAsia" w:ascii="仿宋_GB2312" w:eastAsia="仿宋_GB2312"/>
          <w:color w:val="auto"/>
          <w:sz w:val="24"/>
          <w:highlight w:val="none"/>
        </w:rPr>
        <w:t>未能出具身份证明的</w:t>
      </w:r>
      <w:r>
        <w:rPr>
          <w:rFonts w:hint="eastAsia" w:ascii="仿宋_GB2312" w:eastAsia="仿宋_GB2312"/>
          <w:color w:val="auto"/>
          <w:kern w:val="0"/>
          <w:sz w:val="24"/>
          <w:highlight w:val="none"/>
        </w:rPr>
        <w:t>；</w:t>
      </w:r>
    </w:p>
    <w:p>
      <w:pPr>
        <w:snapToGrid w:val="0"/>
        <w:spacing w:line="440" w:lineRule="exact"/>
        <w:jc w:val="left"/>
        <w:rPr>
          <w:rFonts w:ascii="仿宋_GB2312" w:eastAsia="仿宋_GB2312"/>
          <w:color w:val="auto"/>
          <w:kern w:val="0"/>
          <w:sz w:val="24"/>
          <w:highlight w:val="none"/>
        </w:rPr>
      </w:pPr>
      <w:r>
        <w:rPr>
          <w:rFonts w:ascii="仿宋_GB2312" w:eastAsia="仿宋_GB2312"/>
          <w:color w:val="auto"/>
          <w:kern w:val="0"/>
          <w:sz w:val="24"/>
          <w:highlight w:val="none"/>
        </w:rPr>
        <w:t>7.5</w:t>
      </w:r>
      <w:r>
        <w:rPr>
          <w:rFonts w:hint="eastAsia" w:ascii="仿宋_GB2312" w:eastAsia="仿宋_GB2312"/>
          <w:color w:val="auto"/>
          <w:kern w:val="0"/>
          <w:sz w:val="24"/>
          <w:highlight w:val="none"/>
          <w:lang w:eastAsia="zh-CN"/>
        </w:rPr>
        <w:t>联合体投标，但是未提供有效的联合体协议的；</w:t>
      </w:r>
    </w:p>
    <w:p>
      <w:pPr>
        <w:snapToGrid w:val="0"/>
        <w:spacing w:line="440" w:lineRule="exact"/>
        <w:jc w:val="left"/>
        <w:rPr>
          <w:rFonts w:ascii="仿宋_GB2312" w:eastAsia="仿宋_GB2312"/>
          <w:color w:val="auto"/>
          <w:kern w:val="0"/>
          <w:sz w:val="24"/>
          <w:highlight w:val="none"/>
        </w:rPr>
      </w:pPr>
      <w:r>
        <w:rPr>
          <w:rFonts w:ascii="仿宋_GB2312" w:eastAsia="仿宋_GB2312"/>
          <w:color w:val="auto"/>
          <w:kern w:val="0"/>
          <w:sz w:val="24"/>
          <w:highlight w:val="none"/>
        </w:rPr>
        <w:t>7.6投标文件制作出现如下情况：</w:t>
      </w:r>
    </w:p>
    <w:p>
      <w:pPr>
        <w:snapToGrid w:val="0"/>
        <w:spacing w:line="440" w:lineRule="exact"/>
        <w:ind w:firstLine="480" w:firstLineChars="200"/>
        <w:jc w:val="left"/>
        <w:rPr>
          <w:rFonts w:hint="eastAsia" w:ascii="仿宋" w:eastAsia="仿宋"/>
          <w:color w:val="auto"/>
          <w:kern w:val="0"/>
          <w:sz w:val="24"/>
          <w:highlight w:val="none"/>
        </w:rPr>
      </w:pPr>
      <w:r>
        <w:rPr>
          <w:rFonts w:ascii="仿宋_GB2312" w:eastAsia="仿宋_GB2312"/>
          <w:color w:val="auto"/>
          <w:sz w:val="24"/>
          <w:szCs w:val="24"/>
          <w:highlight w:val="none"/>
        </w:rPr>
        <w:t>7.6.</w:t>
      </w:r>
      <w:r>
        <w:rPr>
          <w:rFonts w:hint="eastAsia" w:ascii="仿宋" w:eastAsia="仿宋"/>
          <w:color w:val="auto"/>
          <w:kern w:val="0"/>
          <w:sz w:val="24"/>
          <w:highlight w:val="none"/>
        </w:rPr>
        <w:t>1“资格文件”</w:t>
      </w:r>
      <w:r>
        <w:rPr>
          <w:rFonts w:ascii="仿宋" w:eastAsia="仿宋"/>
          <w:color w:val="auto"/>
          <w:kern w:val="0"/>
          <w:sz w:val="24"/>
          <w:highlight w:val="none"/>
        </w:rPr>
        <w:t>、</w:t>
      </w:r>
      <w:r>
        <w:rPr>
          <w:rFonts w:hint="eastAsia" w:ascii="仿宋" w:eastAsia="仿宋"/>
          <w:color w:val="auto"/>
          <w:kern w:val="0"/>
          <w:sz w:val="24"/>
          <w:highlight w:val="none"/>
        </w:rPr>
        <w:t>“</w:t>
      </w:r>
      <w:r>
        <w:rPr>
          <w:rFonts w:hint="eastAsia" w:ascii="仿宋" w:eastAsia="仿宋"/>
          <w:color w:val="auto"/>
          <w:kern w:val="0"/>
          <w:sz w:val="24"/>
          <w:highlight w:val="none"/>
          <w:lang w:eastAsia="zh-CN"/>
        </w:rPr>
        <w:t>开标一览表</w:t>
      </w:r>
      <w:r>
        <w:rPr>
          <w:rFonts w:hint="eastAsia" w:ascii="仿宋" w:eastAsia="仿宋"/>
          <w:color w:val="auto"/>
          <w:kern w:val="0"/>
          <w:sz w:val="24"/>
          <w:highlight w:val="none"/>
        </w:rPr>
        <w:t>”的</w:t>
      </w:r>
      <w:r>
        <w:rPr>
          <w:rFonts w:ascii="仿宋" w:eastAsia="仿宋"/>
          <w:color w:val="auto"/>
          <w:kern w:val="0"/>
          <w:sz w:val="24"/>
          <w:highlight w:val="none"/>
        </w:rPr>
        <w:t>签字、盖章或内容有实质性偏离的</w:t>
      </w:r>
      <w:r>
        <w:rPr>
          <w:rFonts w:hint="eastAsia" w:ascii="仿宋" w:eastAsia="仿宋"/>
          <w:color w:val="auto"/>
          <w:kern w:val="0"/>
          <w:sz w:val="24"/>
          <w:highlight w:val="none"/>
        </w:rPr>
        <w:t>；</w:t>
      </w:r>
    </w:p>
    <w:p>
      <w:pPr>
        <w:snapToGrid w:val="0"/>
        <w:spacing w:line="440" w:lineRule="exact"/>
        <w:ind w:firstLine="480" w:firstLineChars="200"/>
        <w:jc w:val="left"/>
        <w:rPr>
          <w:rFonts w:hint="eastAsia" w:ascii="仿宋" w:eastAsia="仿宋"/>
          <w:color w:val="auto"/>
          <w:sz w:val="24"/>
          <w:highlight w:val="none"/>
        </w:rPr>
      </w:pPr>
      <w:r>
        <w:rPr>
          <w:rFonts w:ascii="仿宋_GB2312" w:eastAsia="仿宋_GB2312"/>
          <w:color w:val="auto"/>
          <w:sz w:val="24"/>
          <w:szCs w:val="24"/>
          <w:highlight w:val="none"/>
        </w:rPr>
        <w:t>7.6.</w:t>
      </w:r>
      <w:r>
        <w:rPr>
          <w:rFonts w:hint="eastAsia" w:ascii="仿宋" w:eastAsia="仿宋"/>
          <w:color w:val="auto"/>
          <w:sz w:val="24"/>
          <w:highlight w:val="none"/>
        </w:rPr>
        <w:t>2报价一经涂改，未在涂改处加盖投标单位公章或者未经法定代表人或其授权代表签字或盖章的；</w:t>
      </w:r>
    </w:p>
    <w:p>
      <w:pPr>
        <w:snapToGrid w:val="0"/>
        <w:spacing w:line="440" w:lineRule="exact"/>
        <w:ind w:firstLine="480" w:firstLineChars="200"/>
        <w:jc w:val="left"/>
        <w:rPr>
          <w:rFonts w:hint="eastAsia" w:ascii="仿宋" w:eastAsia="仿宋"/>
          <w:color w:val="auto"/>
          <w:sz w:val="24"/>
          <w:highlight w:val="none"/>
        </w:rPr>
      </w:pPr>
      <w:r>
        <w:rPr>
          <w:rFonts w:ascii="仿宋_GB2312" w:eastAsia="仿宋_GB2312"/>
          <w:color w:val="auto"/>
          <w:sz w:val="24"/>
          <w:szCs w:val="24"/>
          <w:highlight w:val="none"/>
        </w:rPr>
        <w:t>7.6.</w:t>
      </w:r>
      <w:r>
        <w:rPr>
          <w:rFonts w:hint="eastAsia" w:ascii="仿宋" w:eastAsia="仿宋"/>
          <w:color w:val="auto"/>
          <w:sz w:val="24"/>
          <w:highlight w:val="none"/>
        </w:rPr>
        <w:t>3“资格文件”或“商务和技术文件”</w:t>
      </w:r>
      <w:r>
        <w:rPr>
          <w:rFonts w:ascii="仿宋" w:eastAsia="仿宋"/>
          <w:color w:val="auto"/>
          <w:sz w:val="24"/>
          <w:highlight w:val="none"/>
        </w:rPr>
        <w:t>或证明材料原件</w:t>
      </w:r>
      <w:r>
        <w:rPr>
          <w:rFonts w:hint="eastAsia" w:ascii="仿宋" w:eastAsia="仿宋"/>
          <w:color w:val="auto"/>
          <w:sz w:val="24"/>
          <w:highlight w:val="none"/>
        </w:rPr>
        <w:t>中出现用于价格分评审的投标报价的（采购文件另有规定的参与“商务和技术文件”评审的报价除外）；</w:t>
      </w:r>
    </w:p>
    <w:p>
      <w:pPr>
        <w:snapToGrid w:val="0"/>
        <w:spacing w:line="440" w:lineRule="exact"/>
        <w:ind w:firstLine="480" w:firstLineChars="200"/>
        <w:jc w:val="left"/>
        <w:rPr>
          <w:rFonts w:hint="eastAsia" w:ascii="仿宋" w:eastAsia="仿宋"/>
          <w:color w:val="auto"/>
          <w:sz w:val="24"/>
          <w:highlight w:val="none"/>
        </w:rPr>
      </w:pPr>
      <w:r>
        <w:rPr>
          <w:rFonts w:ascii="仿宋_GB2312" w:eastAsia="仿宋_GB2312"/>
          <w:color w:val="auto"/>
          <w:sz w:val="24"/>
          <w:szCs w:val="24"/>
          <w:highlight w:val="none"/>
        </w:rPr>
        <w:t>7.6.</w:t>
      </w:r>
      <w:r>
        <w:rPr>
          <w:rFonts w:hint="eastAsia" w:ascii="仿宋" w:eastAsia="仿宋"/>
          <w:color w:val="auto"/>
          <w:sz w:val="24"/>
          <w:szCs w:val="20"/>
          <w:highlight w:val="none"/>
        </w:rPr>
        <w:t>4对</w:t>
      </w:r>
      <w:r>
        <w:rPr>
          <w:rFonts w:ascii="仿宋" w:eastAsia="仿宋"/>
          <w:color w:val="auto"/>
          <w:sz w:val="24"/>
          <w:szCs w:val="20"/>
          <w:highlight w:val="none"/>
        </w:rPr>
        <w:t>采购</w:t>
      </w:r>
      <w:r>
        <w:rPr>
          <w:rFonts w:hint="eastAsia" w:ascii="仿宋" w:eastAsia="仿宋"/>
          <w:color w:val="auto"/>
          <w:sz w:val="24"/>
          <w:highlight w:val="none"/>
        </w:rPr>
        <w:t>服务或技术或产品等要求</w:t>
      </w:r>
      <w:r>
        <w:rPr>
          <w:rFonts w:hint="eastAsia" w:ascii="仿宋" w:eastAsia="仿宋"/>
          <w:color w:val="auto"/>
          <w:sz w:val="24"/>
          <w:szCs w:val="20"/>
          <w:highlight w:val="none"/>
        </w:rPr>
        <w:t>未详细应答或应答</w:t>
      </w:r>
      <w:r>
        <w:rPr>
          <w:rFonts w:hint="eastAsia" w:ascii="仿宋" w:eastAsia="仿宋"/>
          <w:color w:val="auto"/>
          <w:sz w:val="24"/>
          <w:highlight w:val="none"/>
        </w:rPr>
        <w:t>内容不全、有缺失的,经评审委员会认定为无法评审的；</w:t>
      </w:r>
    </w:p>
    <w:p>
      <w:pPr>
        <w:snapToGrid w:val="0"/>
        <w:spacing w:line="440" w:lineRule="exact"/>
        <w:ind w:firstLine="480" w:firstLineChars="200"/>
        <w:jc w:val="left"/>
        <w:rPr>
          <w:rFonts w:hint="eastAsia" w:ascii="仿宋" w:eastAsia="仿宋"/>
          <w:color w:val="auto"/>
          <w:sz w:val="24"/>
          <w:highlight w:val="none"/>
        </w:rPr>
      </w:pPr>
      <w:r>
        <w:rPr>
          <w:rFonts w:ascii="仿宋_GB2312" w:eastAsia="仿宋_GB2312"/>
          <w:color w:val="auto"/>
          <w:sz w:val="24"/>
          <w:szCs w:val="24"/>
          <w:highlight w:val="none"/>
        </w:rPr>
        <w:t>7.6.</w:t>
      </w:r>
      <w:r>
        <w:rPr>
          <w:rFonts w:hint="eastAsia" w:ascii="仿宋" w:eastAsia="仿宋"/>
          <w:color w:val="auto"/>
          <w:sz w:val="24"/>
          <w:highlight w:val="none"/>
        </w:rPr>
        <w:t>5关键信息填写不完整或字迹不能辨认或有漏项的，经评审委员会认定属于重大偏差的；</w:t>
      </w:r>
    </w:p>
    <w:p>
      <w:pPr>
        <w:snapToGrid w:val="0"/>
        <w:spacing w:line="440" w:lineRule="exact"/>
        <w:ind w:firstLine="480" w:firstLineChars="200"/>
        <w:jc w:val="left"/>
        <w:rPr>
          <w:rFonts w:ascii="仿宋" w:eastAsia="仿宋"/>
          <w:color w:val="auto"/>
          <w:sz w:val="24"/>
          <w:highlight w:val="none"/>
        </w:rPr>
      </w:pPr>
      <w:r>
        <w:rPr>
          <w:rFonts w:ascii="仿宋_GB2312" w:eastAsia="仿宋_GB2312"/>
          <w:color w:val="auto"/>
          <w:sz w:val="24"/>
          <w:szCs w:val="24"/>
          <w:highlight w:val="none"/>
        </w:rPr>
        <w:t>7.6.</w:t>
      </w:r>
      <w:r>
        <w:rPr>
          <w:rFonts w:hint="eastAsia" w:ascii="仿宋" w:eastAsia="仿宋"/>
          <w:color w:val="auto"/>
          <w:sz w:val="24"/>
          <w:highlight w:val="none"/>
        </w:rPr>
        <w:t>6未按采购文件规定要求签署盖章的。</w:t>
      </w:r>
    </w:p>
    <w:p>
      <w:pPr>
        <w:snapToGrid w:val="0"/>
        <w:spacing w:line="440" w:lineRule="exact"/>
        <w:jc w:val="left"/>
        <w:rPr>
          <w:rFonts w:ascii="仿宋" w:eastAsia="仿宋"/>
          <w:color w:val="auto"/>
          <w:sz w:val="24"/>
          <w:highlight w:val="none"/>
        </w:rPr>
      </w:pPr>
      <w:r>
        <w:rPr>
          <w:rFonts w:ascii="仿宋" w:eastAsia="仿宋"/>
          <w:color w:val="auto"/>
          <w:kern w:val="0"/>
          <w:sz w:val="24"/>
          <w:highlight w:val="none"/>
        </w:rPr>
        <w:t>7.7</w:t>
      </w:r>
      <w:r>
        <w:rPr>
          <w:rFonts w:hint="eastAsia" w:ascii="仿宋" w:eastAsia="仿宋"/>
          <w:color w:val="auto"/>
          <w:sz w:val="24"/>
          <w:highlight w:val="none"/>
        </w:rPr>
        <w:t>投标文件与项目不符或内容严重不全</w:t>
      </w:r>
      <w:r>
        <w:rPr>
          <w:rFonts w:ascii="仿宋" w:eastAsia="仿宋"/>
          <w:color w:val="auto"/>
          <w:sz w:val="24"/>
          <w:highlight w:val="none"/>
        </w:rPr>
        <w:t>或</w:t>
      </w:r>
      <w:r>
        <w:rPr>
          <w:rFonts w:ascii="仿宋_GB2312" w:eastAsia="仿宋_GB2312"/>
          <w:color w:val="auto"/>
          <w:sz w:val="24"/>
          <w:highlight w:val="none"/>
        </w:rPr>
        <w:t>就同一项目</w:t>
      </w:r>
      <w:r>
        <w:rPr>
          <w:rFonts w:hint="eastAsia" w:ascii="仿宋_GB2312" w:eastAsia="仿宋_GB2312"/>
          <w:color w:val="auto"/>
          <w:sz w:val="24"/>
          <w:highlight w:val="none"/>
        </w:rPr>
        <w:t>递交</w:t>
      </w:r>
      <w:r>
        <w:rPr>
          <w:rFonts w:ascii="仿宋_GB2312" w:eastAsia="仿宋_GB2312"/>
          <w:color w:val="auto"/>
          <w:sz w:val="24"/>
          <w:highlight w:val="none"/>
        </w:rPr>
        <w:t>多份明显</w:t>
      </w:r>
      <w:r>
        <w:rPr>
          <w:rFonts w:hint="eastAsia" w:ascii="仿宋_GB2312" w:eastAsia="仿宋_GB2312"/>
          <w:color w:val="auto"/>
          <w:sz w:val="24"/>
          <w:highlight w:val="none"/>
        </w:rPr>
        <w:t>内容不同的投标</w:t>
      </w:r>
      <w:r>
        <w:rPr>
          <w:rFonts w:ascii="仿宋_GB2312" w:eastAsia="仿宋_GB2312"/>
          <w:color w:val="auto"/>
          <w:sz w:val="24"/>
          <w:highlight w:val="none"/>
        </w:rPr>
        <w:t>文件的</w:t>
      </w:r>
      <w:r>
        <w:rPr>
          <w:rFonts w:hint="eastAsia" w:ascii="仿宋" w:eastAsia="仿宋"/>
          <w:color w:val="auto"/>
          <w:sz w:val="24"/>
          <w:highlight w:val="none"/>
        </w:rPr>
        <w:t>；</w:t>
      </w:r>
    </w:p>
    <w:p>
      <w:pPr>
        <w:snapToGrid w:val="0"/>
        <w:spacing w:line="440" w:lineRule="exact"/>
        <w:jc w:val="left"/>
        <w:rPr>
          <w:rFonts w:ascii="仿宋_GB2312" w:eastAsia="仿宋_GB2312"/>
          <w:color w:val="auto"/>
          <w:sz w:val="24"/>
          <w:highlight w:val="none"/>
        </w:rPr>
      </w:pPr>
      <w:r>
        <w:rPr>
          <w:rFonts w:ascii="仿宋_GB2312" w:eastAsia="仿宋_GB2312"/>
          <w:color w:val="auto"/>
          <w:kern w:val="0"/>
          <w:sz w:val="24"/>
          <w:highlight w:val="none"/>
        </w:rPr>
        <w:t>7.8</w:t>
      </w:r>
      <w:r>
        <w:rPr>
          <w:rFonts w:hint="eastAsia" w:ascii="仿宋_GB2312" w:eastAsia="仿宋_GB2312"/>
          <w:color w:val="auto"/>
          <w:sz w:val="24"/>
          <w:highlight w:val="none"/>
        </w:rPr>
        <w:t>未按照</w:t>
      </w:r>
      <w:r>
        <w:rPr>
          <w:rFonts w:ascii="仿宋_GB2312" w:eastAsia="仿宋_GB2312"/>
          <w:color w:val="auto"/>
          <w:sz w:val="24"/>
          <w:highlight w:val="none"/>
        </w:rPr>
        <w:t>采购</w:t>
      </w:r>
      <w:r>
        <w:rPr>
          <w:rFonts w:hint="eastAsia" w:ascii="仿宋_GB2312" w:eastAsia="仿宋_GB2312"/>
          <w:color w:val="auto"/>
          <w:sz w:val="24"/>
          <w:highlight w:val="none"/>
        </w:rPr>
        <w:t>文件规定要求密封封装、签署、盖章的；</w:t>
      </w:r>
    </w:p>
    <w:p>
      <w:pPr>
        <w:tabs>
          <w:tab w:val="left" w:pos="3870"/>
          <w:tab w:val="left" w:pos="4085"/>
        </w:tabs>
        <w:snapToGrid w:val="0"/>
        <w:spacing w:line="440" w:lineRule="exact"/>
        <w:jc w:val="left"/>
        <w:rPr>
          <w:rFonts w:ascii="仿宋_GB2312" w:eastAsia="仿宋_GB2312"/>
          <w:color w:val="auto"/>
          <w:kern w:val="0"/>
          <w:sz w:val="24"/>
          <w:highlight w:val="none"/>
        </w:rPr>
      </w:pPr>
      <w:r>
        <w:rPr>
          <w:rFonts w:ascii="仿宋_GB2312" w:eastAsia="仿宋_GB2312"/>
          <w:color w:val="auto"/>
          <w:sz w:val="24"/>
          <w:highlight w:val="none"/>
        </w:rPr>
        <w:t>7.9</w:t>
      </w:r>
      <w:r>
        <w:rPr>
          <w:rFonts w:hint="eastAsia" w:ascii="仿宋_GB2312" w:eastAsia="仿宋_GB2312"/>
          <w:color w:val="auto"/>
          <w:kern w:val="0"/>
          <w:sz w:val="24"/>
          <w:highlight w:val="none"/>
        </w:rPr>
        <w:t>投标</w:t>
      </w:r>
      <w:r>
        <w:rPr>
          <w:rFonts w:ascii="仿宋_GB2312" w:eastAsia="仿宋_GB2312"/>
          <w:color w:val="auto"/>
          <w:kern w:val="0"/>
          <w:sz w:val="24"/>
          <w:highlight w:val="none"/>
        </w:rPr>
        <w:t>响应</w:t>
      </w:r>
      <w:r>
        <w:rPr>
          <w:rFonts w:hint="eastAsia" w:ascii="仿宋_GB2312" w:eastAsia="仿宋_GB2312"/>
          <w:color w:val="auto"/>
          <w:kern w:val="0"/>
          <w:sz w:val="24"/>
          <w:highlight w:val="none"/>
        </w:rPr>
        <w:t>文件含有采购人不能接受的附加条件</w:t>
      </w:r>
      <w:r>
        <w:rPr>
          <w:rFonts w:ascii="仿宋_GB2312" w:eastAsia="仿宋_GB2312"/>
          <w:color w:val="auto"/>
          <w:kern w:val="0"/>
          <w:sz w:val="24"/>
          <w:highlight w:val="none"/>
        </w:rPr>
        <w:t>的</w:t>
      </w:r>
      <w:r>
        <w:rPr>
          <w:rFonts w:hint="eastAsia" w:ascii="仿宋_GB2312" w:eastAsia="仿宋_GB2312"/>
          <w:color w:val="auto"/>
          <w:kern w:val="0"/>
          <w:sz w:val="24"/>
          <w:highlight w:val="none"/>
        </w:rPr>
        <w:t>；</w:t>
      </w:r>
    </w:p>
    <w:p>
      <w:pPr>
        <w:tabs>
          <w:tab w:val="left" w:pos="3870"/>
          <w:tab w:val="left" w:pos="4085"/>
        </w:tabs>
        <w:snapToGrid w:val="0"/>
        <w:spacing w:line="440" w:lineRule="exact"/>
        <w:jc w:val="left"/>
        <w:rPr>
          <w:rFonts w:ascii="仿宋_GB2312" w:eastAsia="仿宋_GB2312"/>
          <w:color w:val="auto"/>
          <w:kern w:val="0"/>
          <w:sz w:val="24"/>
          <w:highlight w:val="none"/>
        </w:rPr>
      </w:pPr>
      <w:r>
        <w:rPr>
          <w:rFonts w:ascii="仿宋_GB2312" w:eastAsia="仿宋_GB2312"/>
          <w:color w:val="auto"/>
          <w:kern w:val="0"/>
          <w:sz w:val="24"/>
          <w:highlight w:val="none"/>
        </w:rPr>
        <w:t>7.</w:t>
      </w:r>
      <w:r>
        <w:rPr>
          <w:rFonts w:hint="eastAsia" w:ascii="仿宋_GB2312" w:eastAsia="仿宋_GB2312"/>
          <w:color w:val="auto"/>
          <w:kern w:val="0"/>
          <w:sz w:val="24"/>
          <w:highlight w:val="none"/>
        </w:rPr>
        <w:t>10</w:t>
      </w:r>
      <w:r>
        <w:rPr>
          <w:rFonts w:hint="eastAsia" w:ascii="仿宋_GB2312" w:eastAsia="仿宋_GB2312"/>
          <w:color w:val="auto"/>
          <w:sz w:val="24"/>
          <w:highlight w:val="none"/>
        </w:rPr>
        <w:t>评审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w:t>
      </w:r>
    </w:p>
    <w:p>
      <w:pPr>
        <w:tabs>
          <w:tab w:val="left" w:pos="3870"/>
          <w:tab w:val="left" w:pos="4085"/>
        </w:tabs>
        <w:snapToGrid w:val="0"/>
        <w:spacing w:line="440" w:lineRule="exact"/>
        <w:jc w:val="left"/>
        <w:rPr>
          <w:rFonts w:ascii="仿宋_GB2312" w:eastAsia="仿宋_GB2312"/>
          <w:color w:val="auto"/>
          <w:sz w:val="24"/>
          <w:highlight w:val="none"/>
        </w:rPr>
      </w:pPr>
      <w:r>
        <w:rPr>
          <w:rFonts w:ascii="仿宋_GB2312" w:eastAsia="仿宋_GB2312"/>
          <w:color w:val="auto"/>
          <w:sz w:val="24"/>
          <w:highlight w:val="none"/>
        </w:rPr>
        <w:t>7.11</w:t>
      </w:r>
      <w:r>
        <w:rPr>
          <w:rFonts w:hint="eastAsia" w:ascii="仿宋_GB2312" w:eastAsia="仿宋_GB2312"/>
          <w:color w:val="auto"/>
          <w:sz w:val="24"/>
          <w:highlight w:val="none"/>
        </w:rPr>
        <w:t>报价超过招标文件中规定的预算金额</w:t>
      </w:r>
      <w:r>
        <w:rPr>
          <w:rFonts w:ascii="仿宋_GB2312" w:eastAsia="仿宋_GB2312"/>
          <w:color w:val="auto"/>
          <w:sz w:val="24"/>
          <w:highlight w:val="none"/>
        </w:rPr>
        <w:t>或</w:t>
      </w:r>
      <w:r>
        <w:rPr>
          <w:rFonts w:hint="eastAsia" w:ascii="仿宋_GB2312" w:eastAsia="仿宋_GB2312"/>
          <w:color w:val="auto"/>
          <w:sz w:val="24"/>
          <w:highlight w:val="none"/>
        </w:rPr>
        <w:t>最高限价</w:t>
      </w:r>
      <w:r>
        <w:rPr>
          <w:rFonts w:ascii="仿宋_GB2312" w:eastAsia="仿宋_GB2312"/>
          <w:color w:val="auto"/>
          <w:sz w:val="24"/>
          <w:highlight w:val="none"/>
        </w:rPr>
        <w:t>（包括单价限价等采购文件规定的各类限价）</w:t>
      </w:r>
      <w:r>
        <w:rPr>
          <w:rFonts w:hint="eastAsia" w:ascii="仿宋_GB2312" w:eastAsia="仿宋_GB2312"/>
          <w:color w:val="auto"/>
          <w:sz w:val="24"/>
          <w:highlight w:val="none"/>
        </w:rPr>
        <w:t>的；</w:t>
      </w:r>
    </w:p>
    <w:p>
      <w:pPr>
        <w:tabs>
          <w:tab w:val="left" w:pos="3870"/>
          <w:tab w:val="left" w:pos="4085"/>
        </w:tabs>
        <w:snapToGrid w:val="0"/>
        <w:spacing w:line="440" w:lineRule="exact"/>
        <w:jc w:val="left"/>
        <w:rPr>
          <w:rFonts w:ascii="仿宋_GB2312" w:eastAsia="仿宋_GB2312"/>
          <w:color w:val="auto"/>
          <w:sz w:val="24"/>
          <w:highlight w:val="none"/>
        </w:rPr>
      </w:pPr>
      <w:r>
        <w:rPr>
          <w:rFonts w:ascii="仿宋_GB2312" w:eastAsia="仿宋_GB2312"/>
          <w:color w:val="auto"/>
          <w:sz w:val="24"/>
          <w:highlight w:val="none"/>
        </w:rPr>
        <w:t>7.12</w:t>
      </w:r>
      <w:r>
        <w:rPr>
          <w:rFonts w:hint="eastAsia" w:ascii="仿宋_GB2312" w:eastAsia="仿宋_GB2312"/>
          <w:color w:val="auto"/>
          <w:sz w:val="24"/>
          <w:highlight w:val="none"/>
        </w:rPr>
        <w:t>供应商对根据修正原则修正后的报价不确认的；</w:t>
      </w:r>
    </w:p>
    <w:p>
      <w:pPr>
        <w:tabs>
          <w:tab w:val="left" w:pos="3870"/>
          <w:tab w:val="left" w:pos="4085"/>
        </w:tabs>
        <w:snapToGrid w:val="0"/>
        <w:spacing w:line="440" w:lineRule="exact"/>
        <w:jc w:val="left"/>
        <w:rPr>
          <w:rFonts w:ascii="仿宋_GB2312" w:eastAsia="仿宋_GB2312"/>
          <w:color w:val="auto"/>
          <w:sz w:val="24"/>
          <w:highlight w:val="none"/>
        </w:rPr>
      </w:pPr>
      <w:r>
        <w:rPr>
          <w:rFonts w:ascii="仿宋" w:eastAsia="仿宋"/>
          <w:color w:val="auto"/>
          <w:sz w:val="24"/>
          <w:szCs w:val="24"/>
          <w:highlight w:val="none"/>
        </w:rPr>
        <w:t>7.13</w:t>
      </w:r>
      <w:r>
        <w:rPr>
          <w:rFonts w:hint="eastAsia" w:ascii="仿宋" w:eastAsia="仿宋"/>
          <w:color w:val="auto"/>
          <w:sz w:val="24"/>
          <w:szCs w:val="24"/>
          <w:highlight w:val="none"/>
        </w:rPr>
        <w:t>重要信息前后不一致，经评审委员会询标后仍然无法评审的；</w:t>
      </w:r>
    </w:p>
    <w:p>
      <w:pPr>
        <w:tabs>
          <w:tab w:val="left" w:pos="3870"/>
          <w:tab w:val="left" w:pos="4085"/>
        </w:tabs>
        <w:snapToGrid w:val="0"/>
        <w:spacing w:line="440" w:lineRule="exact"/>
        <w:jc w:val="left"/>
        <w:rPr>
          <w:rFonts w:ascii="仿宋_GB2312" w:eastAsia="仿宋_GB2312"/>
          <w:color w:val="auto"/>
          <w:sz w:val="24"/>
          <w:highlight w:val="none"/>
        </w:rPr>
      </w:pPr>
      <w:r>
        <w:rPr>
          <w:rFonts w:ascii="仿宋_GB2312" w:eastAsia="仿宋_GB2312"/>
          <w:color w:val="auto"/>
          <w:sz w:val="24"/>
          <w:highlight w:val="none"/>
        </w:rPr>
        <w:t>7.14</w:t>
      </w:r>
      <w:r>
        <w:rPr>
          <w:rFonts w:hint="eastAsia" w:ascii="仿宋_GB2312" w:eastAsia="仿宋_GB2312"/>
          <w:color w:val="auto"/>
          <w:sz w:val="24"/>
          <w:highlight w:val="none"/>
        </w:rPr>
        <w:t>供应商提供虚假材料投标的（包括但不限于以下情节）；</w:t>
      </w:r>
    </w:p>
    <w:p>
      <w:pPr>
        <w:tabs>
          <w:tab w:val="left" w:pos="3870"/>
          <w:tab w:val="left" w:pos="4085"/>
        </w:tabs>
        <w:snapToGrid w:val="0"/>
        <w:spacing w:line="440" w:lineRule="exact"/>
        <w:ind w:firstLine="470" w:firstLineChars="196"/>
        <w:jc w:val="left"/>
        <w:rPr>
          <w:rFonts w:ascii="仿宋_GB2312" w:eastAsia="仿宋_GB2312"/>
          <w:color w:val="auto"/>
          <w:sz w:val="24"/>
          <w:highlight w:val="none"/>
        </w:rPr>
      </w:pPr>
      <w:r>
        <w:rPr>
          <w:rFonts w:ascii="仿宋_GB2312" w:eastAsia="仿宋_GB2312"/>
          <w:color w:val="auto"/>
          <w:sz w:val="24"/>
          <w:highlight w:val="none"/>
        </w:rPr>
        <w:t>7.14</w:t>
      </w:r>
      <w:r>
        <w:rPr>
          <w:rFonts w:hint="eastAsia" w:ascii="仿宋_GB2312" w:eastAsia="仿宋_GB2312"/>
          <w:color w:val="auto"/>
          <w:sz w:val="24"/>
          <w:highlight w:val="none"/>
        </w:rPr>
        <w:t>.1使用伪造、变造的许可证件；</w:t>
      </w:r>
    </w:p>
    <w:p>
      <w:pPr>
        <w:tabs>
          <w:tab w:val="left" w:pos="3870"/>
          <w:tab w:val="left" w:pos="4085"/>
        </w:tabs>
        <w:snapToGrid w:val="0"/>
        <w:spacing w:line="440" w:lineRule="exact"/>
        <w:jc w:val="left"/>
        <w:rPr>
          <w:rFonts w:ascii="仿宋_GB2312" w:eastAsia="仿宋_GB2312"/>
          <w:color w:val="auto"/>
          <w:sz w:val="24"/>
          <w:highlight w:val="none"/>
        </w:rPr>
      </w:pPr>
      <w:r>
        <w:rPr>
          <w:rFonts w:hint="eastAsia" w:ascii="仿宋_GB2312" w:eastAsia="仿宋_GB2312"/>
          <w:color w:val="auto"/>
          <w:sz w:val="24"/>
          <w:highlight w:val="none"/>
        </w:rPr>
        <w:t xml:space="preserve">    </w:t>
      </w:r>
      <w:r>
        <w:rPr>
          <w:rFonts w:ascii="仿宋_GB2312" w:eastAsia="仿宋_GB2312"/>
          <w:color w:val="auto"/>
          <w:sz w:val="24"/>
          <w:highlight w:val="none"/>
        </w:rPr>
        <w:t>7.14</w:t>
      </w:r>
      <w:r>
        <w:rPr>
          <w:rFonts w:hint="eastAsia" w:ascii="仿宋_GB2312" w:eastAsia="仿宋_GB2312"/>
          <w:color w:val="auto"/>
          <w:sz w:val="24"/>
          <w:highlight w:val="none"/>
        </w:rPr>
        <w:t>.2提供虚假的财务状况或者业绩；</w:t>
      </w:r>
    </w:p>
    <w:p>
      <w:pPr>
        <w:tabs>
          <w:tab w:val="left" w:pos="3870"/>
          <w:tab w:val="left" w:pos="4085"/>
        </w:tabs>
        <w:snapToGrid w:val="0"/>
        <w:spacing w:line="440" w:lineRule="exact"/>
        <w:jc w:val="left"/>
        <w:rPr>
          <w:rFonts w:ascii="仿宋_GB2312" w:eastAsia="仿宋_GB2312"/>
          <w:color w:val="auto"/>
          <w:sz w:val="24"/>
          <w:highlight w:val="none"/>
        </w:rPr>
      </w:pPr>
      <w:r>
        <w:rPr>
          <w:rFonts w:hint="eastAsia" w:ascii="仿宋_GB2312" w:eastAsia="仿宋_GB2312"/>
          <w:color w:val="auto"/>
          <w:sz w:val="24"/>
          <w:highlight w:val="none"/>
        </w:rPr>
        <w:t xml:space="preserve">    </w:t>
      </w:r>
      <w:r>
        <w:rPr>
          <w:rFonts w:ascii="仿宋_GB2312" w:eastAsia="仿宋_GB2312"/>
          <w:color w:val="auto"/>
          <w:sz w:val="24"/>
          <w:highlight w:val="none"/>
        </w:rPr>
        <w:t>7.14</w:t>
      </w:r>
      <w:r>
        <w:rPr>
          <w:rFonts w:hint="eastAsia" w:ascii="仿宋_GB2312" w:eastAsia="仿宋_GB2312"/>
          <w:color w:val="auto"/>
          <w:sz w:val="24"/>
          <w:highlight w:val="none"/>
        </w:rPr>
        <w:t>.3提供虚假的项目负责人或者主要技术人员简历、劳动关系证明；</w:t>
      </w:r>
    </w:p>
    <w:p>
      <w:pPr>
        <w:tabs>
          <w:tab w:val="left" w:pos="3870"/>
          <w:tab w:val="left" w:pos="4085"/>
        </w:tabs>
        <w:snapToGrid w:val="0"/>
        <w:spacing w:line="440" w:lineRule="exact"/>
        <w:jc w:val="left"/>
        <w:rPr>
          <w:rFonts w:ascii="仿宋_GB2312" w:eastAsia="仿宋_GB2312"/>
          <w:color w:val="auto"/>
          <w:sz w:val="24"/>
          <w:highlight w:val="none"/>
        </w:rPr>
      </w:pPr>
      <w:r>
        <w:rPr>
          <w:rFonts w:hint="eastAsia" w:ascii="仿宋_GB2312" w:eastAsia="仿宋_GB2312"/>
          <w:color w:val="auto"/>
          <w:sz w:val="24"/>
          <w:highlight w:val="none"/>
        </w:rPr>
        <w:t xml:space="preserve">    </w:t>
      </w:r>
      <w:r>
        <w:rPr>
          <w:rFonts w:ascii="仿宋_GB2312" w:eastAsia="仿宋_GB2312"/>
          <w:color w:val="auto"/>
          <w:sz w:val="24"/>
          <w:highlight w:val="none"/>
        </w:rPr>
        <w:t>7.14</w:t>
      </w:r>
      <w:r>
        <w:rPr>
          <w:rFonts w:hint="eastAsia" w:ascii="仿宋_GB2312" w:eastAsia="仿宋_GB2312"/>
          <w:color w:val="auto"/>
          <w:sz w:val="24"/>
          <w:highlight w:val="none"/>
        </w:rPr>
        <w:t>.4提供虚假的信用状况；</w:t>
      </w:r>
    </w:p>
    <w:p>
      <w:pPr>
        <w:tabs>
          <w:tab w:val="left" w:pos="3870"/>
          <w:tab w:val="left" w:pos="4085"/>
        </w:tabs>
        <w:snapToGrid w:val="0"/>
        <w:spacing w:line="440" w:lineRule="exact"/>
        <w:ind w:firstLine="480"/>
        <w:jc w:val="left"/>
        <w:rPr>
          <w:rFonts w:ascii="仿宋_GB2312" w:eastAsia="仿宋_GB2312"/>
          <w:color w:val="auto"/>
          <w:sz w:val="24"/>
          <w:highlight w:val="none"/>
        </w:rPr>
      </w:pPr>
      <w:r>
        <w:rPr>
          <w:rFonts w:ascii="仿宋_GB2312" w:eastAsia="仿宋_GB2312"/>
          <w:color w:val="auto"/>
          <w:sz w:val="24"/>
          <w:highlight w:val="none"/>
        </w:rPr>
        <w:t>7.14</w:t>
      </w:r>
      <w:r>
        <w:rPr>
          <w:rFonts w:hint="eastAsia" w:ascii="仿宋_GB2312" w:eastAsia="仿宋_GB2312"/>
          <w:color w:val="auto"/>
          <w:sz w:val="24"/>
          <w:highlight w:val="none"/>
        </w:rPr>
        <w:t>.5其他弄虚作假的行为。</w:t>
      </w:r>
    </w:p>
    <w:p>
      <w:pPr>
        <w:tabs>
          <w:tab w:val="left" w:pos="3870"/>
          <w:tab w:val="left" w:pos="4085"/>
        </w:tabs>
        <w:snapToGrid w:val="0"/>
        <w:spacing w:line="440" w:lineRule="exact"/>
        <w:jc w:val="left"/>
        <w:rPr>
          <w:rFonts w:ascii="仿宋_GB2312" w:eastAsia="仿宋_GB2312"/>
          <w:color w:val="auto"/>
          <w:sz w:val="24"/>
          <w:highlight w:val="none"/>
        </w:rPr>
      </w:pPr>
      <w:r>
        <w:rPr>
          <w:rFonts w:ascii="仿宋_GB2312" w:eastAsia="仿宋_GB2312"/>
          <w:color w:val="auto"/>
          <w:sz w:val="24"/>
          <w:highlight w:val="none"/>
        </w:rPr>
        <w:t>7.15供应商串通投标的。</w:t>
      </w:r>
    </w:p>
    <w:p>
      <w:pPr>
        <w:tabs>
          <w:tab w:val="left" w:pos="3870"/>
          <w:tab w:val="left" w:pos="4085"/>
        </w:tabs>
        <w:snapToGrid w:val="0"/>
        <w:spacing w:line="44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有下列情形之一的，视为供应商串通投标，其投标无效：</w:t>
      </w:r>
    </w:p>
    <w:p>
      <w:pPr>
        <w:tabs>
          <w:tab w:val="left" w:pos="3870"/>
          <w:tab w:val="left" w:pos="4085"/>
        </w:tabs>
        <w:snapToGrid w:val="0"/>
        <w:spacing w:line="440" w:lineRule="exact"/>
        <w:ind w:firstLine="422" w:firstLineChars="176"/>
        <w:jc w:val="left"/>
        <w:rPr>
          <w:rFonts w:ascii="仿宋_GB2312" w:eastAsia="仿宋_GB2312"/>
          <w:color w:val="auto"/>
          <w:sz w:val="24"/>
          <w:highlight w:val="none"/>
        </w:rPr>
      </w:pPr>
      <w:r>
        <w:rPr>
          <w:rFonts w:ascii="仿宋_GB2312" w:eastAsia="仿宋_GB2312"/>
          <w:color w:val="auto"/>
          <w:sz w:val="24"/>
          <w:highlight w:val="none"/>
        </w:rPr>
        <w:t>7.15</w:t>
      </w:r>
      <w:r>
        <w:rPr>
          <w:rFonts w:hint="eastAsia" w:ascii="仿宋_GB2312" w:eastAsia="仿宋_GB2312"/>
          <w:color w:val="auto"/>
          <w:sz w:val="24"/>
          <w:highlight w:val="none"/>
        </w:rPr>
        <w:t>.1不同供应商的投标文件由同一单位或者个人编制；</w:t>
      </w:r>
    </w:p>
    <w:p>
      <w:pPr>
        <w:tabs>
          <w:tab w:val="left" w:pos="3870"/>
          <w:tab w:val="left" w:pos="4085"/>
        </w:tabs>
        <w:snapToGrid w:val="0"/>
        <w:spacing w:line="440" w:lineRule="exact"/>
        <w:ind w:firstLine="422" w:firstLineChars="176"/>
        <w:jc w:val="left"/>
        <w:rPr>
          <w:rFonts w:ascii="仿宋_GB2312" w:eastAsia="仿宋_GB2312"/>
          <w:color w:val="auto"/>
          <w:sz w:val="24"/>
          <w:highlight w:val="none"/>
        </w:rPr>
      </w:pPr>
      <w:r>
        <w:rPr>
          <w:rFonts w:ascii="仿宋_GB2312" w:eastAsia="仿宋_GB2312"/>
          <w:color w:val="auto"/>
          <w:sz w:val="24"/>
          <w:highlight w:val="none"/>
        </w:rPr>
        <w:t>7.15</w:t>
      </w:r>
      <w:r>
        <w:rPr>
          <w:rFonts w:hint="eastAsia" w:ascii="仿宋_GB2312" w:eastAsia="仿宋_GB2312"/>
          <w:color w:val="auto"/>
          <w:sz w:val="24"/>
          <w:highlight w:val="none"/>
        </w:rPr>
        <w:t>.2不同供应商委托同一单位或者个人办理投标事宜；</w:t>
      </w:r>
    </w:p>
    <w:p>
      <w:pPr>
        <w:tabs>
          <w:tab w:val="left" w:pos="3870"/>
          <w:tab w:val="left" w:pos="4085"/>
        </w:tabs>
        <w:snapToGrid w:val="0"/>
        <w:spacing w:line="440" w:lineRule="exact"/>
        <w:ind w:firstLine="422" w:firstLineChars="176"/>
        <w:jc w:val="left"/>
        <w:rPr>
          <w:rFonts w:ascii="仿宋_GB2312" w:eastAsia="仿宋_GB2312"/>
          <w:color w:val="auto"/>
          <w:sz w:val="24"/>
          <w:highlight w:val="none"/>
        </w:rPr>
      </w:pPr>
      <w:r>
        <w:rPr>
          <w:rFonts w:ascii="仿宋_GB2312" w:eastAsia="仿宋_GB2312"/>
          <w:color w:val="auto"/>
          <w:sz w:val="24"/>
          <w:highlight w:val="none"/>
        </w:rPr>
        <w:t>7.15</w:t>
      </w:r>
      <w:r>
        <w:rPr>
          <w:rFonts w:hint="eastAsia" w:ascii="仿宋_GB2312" w:eastAsia="仿宋_GB2312"/>
          <w:color w:val="auto"/>
          <w:sz w:val="24"/>
          <w:highlight w:val="none"/>
        </w:rPr>
        <w:t>.3不同供应商的投标文件载明的项目管理成员或者联系人员为同一人；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eastAsia="仿宋_GB2312"/>
          <w:color w:val="auto"/>
          <w:sz w:val="24"/>
          <w:highlight w:val="none"/>
        </w:rPr>
      </w:pPr>
      <w:r>
        <w:rPr>
          <w:rFonts w:ascii="仿宋_GB2312" w:eastAsia="仿宋_GB2312"/>
          <w:color w:val="auto"/>
          <w:sz w:val="24"/>
          <w:highlight w:val="none"/>
        </w:rPr>
        <w:t>7.15</w:t>
      </w:r>
      <w:r>
        <w:rPr>
          <w:rFonts w:hint="eastAsia" w:ascii="仿宋_GB2312" w:eastAsia="仿宋_GB2312"/>
          <w:color w:val="auto"/>
          <w:sz w:val="24"/>
          <w:highlight w:val="none"/>
        </w:rPr>
        <w:t>.4不同供应商的投标文件异常一致或者投标报价呈规律性差异；</w:t>
      </w:r>
    </w:p>
    <w:p>
      <w:pPr>
        <w:tabs>
          <w:tab w:val="left" w:pos="3870"/>
          <w:tab w:val="left" w:pos="4085"/>
        </w:tabs>
        <w:snapToGrid w:val="0"/>
        <w:spacing w:line="440" w:lineRule="exact"/>
        <w:ind w:firstLine="422" w:firstLineChars="176"/>
        <w:jc w:val="left"/>
        <w:rPr>
          <w:rFonts w:ascii="仿宋_GB2312" w:eastAsia="仿宋_GB2312"/>
          <w:color w:val="auto"/>
          <w:sz w:val="24"/>
          <w:highlight w:val="none"/>
        </w:rPr>
      </w:pPr>
      <w:r>
        <w:rPr>
          <w:rFonts w:ascii="仿宋_GB2312" w:eastAsia="仿宋_GB2312"/>
          <w:color w:val="auto"/>
          <w:sz w:val="24"/>
          <w:highlight w:val="none"/>
        </w:rPr>
        <w:t>7.15</w:t>
      </w:r>
      <w:r>
        <w:rPr>
          <w:rFonts w:hint="eastAsia" w:ascii="仿宋_GB2312" w:eastAsia="仿宋_GB2312"/>
          <w:color w:val="auto"/>
          <w:sz w:val="24"/>
          <w:highlight w:val="none"/>
        </w:rPr>
        <w:t>.5不同供应商的投标文件相互混装；</w:t>
      </w:r>
    </w:p>
    <w:p>
      <w:pPr>
        <w:tabs>
          <w:tab w:val="left" w:pos="3870"/>
          <w:tab w:val="left" w:pos="4085"/>
        </w:tabs>
        <w:snapToGrid w:val="0"/>
        <w:spacing w:line="440" w:lineRule="exact"/>
        <w:ind w:firstLine="422" w:firstLineChars="176"/>
        <w:jc w:val="left"/>
        <w:rPr>
          <w:rFonts w:ascii="仿宋_GB2312" w:eastAsia="仿宋_GB2312"/>
          <w:color w:val="auto"/>
          <w:sz w:val="24"/>
          <w:highlight w:val="none"/>
        </w:rPr>
      </w:pPr>
      <w:r>
        <w:rPr>
          <w:rFonts w:ascii="仿宋_GB2312" w:eastAsia="仿宋_GB2312"/>
          <w:color w:val="auto"/>
          <w:sz w:val="24"/>
          <w:highlight w:val="none"/>
        </w:rPr>
        <w:t>7.15.6不同供应商的投标保证金从同一单位或者个人的账户转出。</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s="仿宋_GB2312"/>
          <w:color w:val="auto"/>
          <w:sz w:val="24"/>
          <w:szCs w:val="21"/>
          <w:highlight w:val="none"/>
        </w:rPr>
        <w:t>7.1</w:t>
      </w:r>
      <w:r>
        <w:rPr>
          <w:rFonts w:ascii="仿宋" w:eastAsia="仿宋" w:cs="仿宋_GB2312"/>
          <w:color w:val="auto"/>
          <w:sz w:val="24"/>
          <w:szCs w:val="21"/>
          <w:highlight w:val="none"/>
        </w:rPr>
        <w:t>6</w:t>
      </w:r>
      <w:r>
        <w:rPr>
          <w:rFonts w:ascii="仿宋" w:eastAsia="仿宋"/>
          <w:color w:val="auto"/>
          <w:sz w:val="24"/>
          <w:highlight w:val="none"/>
        </w:rPr>
        <w:t>评审委员会</w:t>
      </w:r>
      <w:r>
        <w:rPr>
          <w:rFonts w:hint="eastAsia" w:ascii="仿宋" w:eastAsia="仿宋"/>
          <w:color w:val="auto"/>
          <w:sz w:val="24"/>
          <w:highlight w:val="none"/>
        </w:rPr>
        <w:t>认定有重大偏差或实质性不响应</w:t>
      </w:r>
      <w:r>
        <w:rPr>
          <w:rFonts w:ascii="仿宋" w:eastAsia="仿宋"/>
          <w:color w:val="auto"/>
          <w:sz w:val="24"/>
          <w:highlight w:val="none"/>
        </w:rPr>
        <w:t>采购</w:t>
      </w:r>
      <w:r>
        <w:rPr>
          <w:rFonts w:hint="eastAsia" w:ascii="仿宋" w:eastAsia="仿宋"/>
          <w:color w:val="auto"/>
          <w:sz w:val="24"/>
          <w:highlight w:val="none"/>
        </w:rPr>
        <w:t>文件要求的；</w:t>
      </w:r>
    </w:p>
    <w:p>
      <w:pPr>
        <w:tabs>
          <w:tab w:val="left" w:pos="3870"/>
          <w:tab w:val="left" w:pos="4085"/>
        </w:tabs>
        <w:snapToGrid w:val="0"/>
        <w:spacing w:line="440" w:lineRule="exact"/>
        <w:jc w:val="left"/>
        <w:rPr>
          <w:rFonts w:ascii="仿宋_GB2312" w:eastAsia="仿宋_GB2312"/>
          <w:color w:val="auto"/>
          <w:sz w:val="24"/>
          <w:highlight w:val="none"/>
        </w:rPr>
      </w:pPr>
      <w:r>
        <w:rPr>
          <w:rFonts w:ascii="仿宋_GB2312" w:eastAsia="仿宋_GB2312"/>
          <w:color w:val="auto"/>
          <w:sz w:val="24"/>
          <w:highlight w:val="none"/>
        </w:rPr>
        <w:t>7.17属于《中华人民共和国政府采购法实施条例》第七十四条规定的</w:t>
      </w:r>
      <w:r>
        <w:rPr>
          <w:rFonts w:hint="eastAsia" w:ascii="仿宋_GB2312" w:eastAsia="仿宋_GB2312"/>
          <w:color w:val="auto"/>
          <w:sz w:val="24"/>
          <w:highlight w:val="none"/>
        </w:rPr>
        <w:t>恶意串通</w:t>
      </w:r>
      <w:r>
        <w:rPr>
          <w:rFonts w:ascii="仿宋_GB2312" w:eastAsia="仿宋_GB2312"/>
          <w:color w:val="auto"/>
          <w:sz w:val="24"/>
          <w:highlight w:val="none"/>
        </w:rPr>
        <w:t>情形的</w:t>
      </w:r>
      <w:r>
        <w:rPr>
          <w:rFonts w:hint="eastAsia" w:ascii="仿宋_GB2312" w:eastAsia="仿宋_GB2312"/>
          <w:color w:val="auto"/>
          <w:sz w:val="24"/>
          <w:highlight w:val="none"/>
        </w:rPr>
        <w:t>，其投标无效：</w:t>
      </w:r>
    </w:p>
    <w:p>
      <w:pPr>
        <w:tabs>
          <w:tab w:val="left" w:pos="3870"/>
          <w:tab w:val="left" w:pos="4085"/>
        </w:tabs>
        <w:snapToGrid w:val="0"/>
        <w:spacing w:line="440" w:lineRule="exact"/>
        <w:jc w:val="left"/>
        <w:rPr>
          <w:rFonts w:ascii="仿宋_GB2312" w:eastAsia="仿宋_GB2312"/>
          <w:color w:val="auto"/>
          <w:sz w:val="24"/>
          <w:highlight w:val="none"/>
        </w:rPr>
      </w:pPr>
      <w:r>
        <w:rPr>
          <w:rFonts w:ascii="仿宋_GB2312" w:eastAsia="仿宋_GB2312"/>
          <w:color w:val="auto"/>
          <w:sz w:val="24"/>
          <w:highlight w:val="none"/>
        </w:rPr>
        <w:t>7.18联合体投标的，联合体各方在同一招标项目中以自己名义单独投标或者参加其他联合体投标的，相关投标均无效。</w:t>
      </w:r>
    </w:p>
    <w:p>
      <w:pPr>
        <w:snapToGrid w:val="0"/>
        <w:spacing w:line="440" w:lineRule="exact"/>
        <w:rPr>
          <w:rFonts w:ascii="仿宋_GB2312" w:eastAsia="仿宋_GB2312"/>
          <w:color w:val="auto"/>
          <w:sz w:val="24"/>
          <w:highlight w:val="none"/>
        </w:rPr>
      </w:pPr>
      <w:r>
        <w:rPr>
          <w:rFonts w:ascii="仿宋_GB2312" w:eastAsia="仿宋_GB2312"/>
          <w:color w:val="auto"/>
          <w:sz w:val="24"/>
          <w:highlight w:val="none"/>
        </w:rPr>
        <w:t>7.19</w:t>
      </w:r>
      <w:r>
        <w:rPr>
          <w:rFonts w:hint="eastAsia" w:ascii="仿宋_GB2312" w:eastAsia="仿宋_GB2312"/>
          <w:color w:val="auto"/>
          <w:sz w:val="24"/>
          <w:highlight w:val="none"/>
        </w:rPr>
        <w:t>违反法律、法规</w:t>
      </w:r>
      <w:r>
        <w:rPr>
          <w:rFonts w:ascii="仿宋_GB2312" w:eastAsia="仿宋_GB2312"/>
          <w:color w:val="auto"/>
          <w:sz w:val="24"/>
          <w:highlight w:val="none"/>
        </w:rPr>
        <w:t>及本采购文件规定的其他无效投标</w:t>
      </w:r>
      <w:r>
        <w:rPr>
          <w:rFonts w:hint="eastAsia" w:ascii="仿宋_GB2312" w:eastAsia="仿宋_GB2312"/>
          <w:color w:val="auto"/>
          <w:sz w:val="24"/>
          <w:highlight w:val="none"/>
        </w:rPr>
        <w:t>情形。</w:t>
      </w:r>
    </w:p>
    <w:p>
      <w:pPr>
        <w:spacing w:line="480" w:lineRule="exact"/>
        <w:jc w:val="left"/>
        <w:rPr>
          <w:rFonts w:ascii="仿宋" w:eastAsia="仿宋" w:cs="宋体"/>
          <w:b/>
          <w:bCs/>
          <w:color w:val="auto"/>
          <w:sz w:val="24"/>
          <w:highlight w:val="none"/>
        </w:rPr>
      </w:pPr>
      <w:r>
        <w:rPr>
          <w:rFonts w:ascii="仿宋" w:eastAsia="仿宋" w:cs="宋体"/>
          <w:b/>
          <w:bCs/>
          <w:color w:val="auto"/>
          <w:sz w:val="24"/>
          <w:highlight w:val="none"/>
        </w:rPr>
        <w:t>8.定标</w:t>
      </w:r>
    </w:p>
    <w:p>
      <w:pPr>
        <w:widowControl/>
        <w:snapToGrid w:val="0"/>
        <w:spacing w:line="480" w:lineRule="exact"/>
        <w:ind w:left="0"/>
        <w:rPr>
          <w:rFonts w:ascii="仿宋" w:eastAsia="仿宋" w:cs="宋体"/>
          <w:color w:val="auto"/>
          <w:sz w:val="24"/>
          <w:highlight w:val="none"/>
        </w:rPr>
      </w:pPr>
      <w:r>
        <w:rPr>
          <w:rFonts w:ascii="仿宋" w:eastAsia="仿宋" w:cs="宋体"/>
          <w:color w:val="auto"/>
          <w:sz w:val="24"/>
          <w:highlight w:val="none"/>
        </w:rPr>
        <w:t>8.1</w:t>
      </w:r>
      <w:r>
        <w:rPr>
          <w:rFonts w:hint="eastAsia" w:ascii="仿宋" w:eastAsia="仿宋" w:cs="宋体"/>
          <w:color w:val="auto"/>
          <w:sz w:val="24"/>
          <w:highlight w:val="none"/>
        </w:rPr>
        <w:t>采购人在收到评标报告之日起</w:t>
      </w:r>
      <w:r>
        <w:rPr>
          <w:rFonts w:ascii="仿宋" w:eastAsia="仿宋" w:cs="宋体"/>
          <w:color w:val="auto"/>
          <w:sz w:val="24"/>
          <w:highlight w:val="none"/>
        </w:rPr>
        <w:t>5</w:t>
      </w:r>
      <w:r>
        <w:rPr>
          <w:rFonts w:hint="eastAsia" w:ascii="仿宋" w:eastAsia="仿宋" w:cs="宋体"/>
          <w:color w:val="auto"/>
          <w:sz w:val="24"/>
          <w:highlight w:val="none"/>
        </w:rPr>
        <w:t>个工作日内</w:t>
      </w:r>
      <w:r>
        <w:rPr>
          <w:rFonts w:ascii="仿宋" w:eastAsia="仿宋" w:cs="宋体"/>
          <w:color w:val="auto"/>
          <w:sz w:val="24"/>
          <w:highlight w:val="none"/>
        </w:rPr>
        <w:t>在评审报告推荐的中标或成交候选人中按顺序确定中标或成交供应商</w:t>
      </w:r>
      <w:r>
        <w:rPr>
          <w:rFonts w:hint="eastAsia" w:ascii="仿宋" w:eastAsia="仿宋" w:cs="宋体"/>
          <w:color w:val="auto"/>
          <w:sz w:val="24"/>
          <w:highlight w:val="none"/>
        </w:rPr>
        <w:t>。</w:t>
      </w:r>
    </w:p>
    <w:p>
      <w:pPr>
        <w:widowControl/>
        <w:snapToGrid w:val="0"/>
        <w:spacing w:line="480" w:lineRule="exact"/>
        <w:ind w:left="0"/>
        <w:rPr>
          <w:rFonts w:ascii="仿宋" w:eastAsia="仿宋"/>
          <w:color w:val="auto"/>
          <w:kern w:val="0"/>
          <w:sz w:val="24"/>
          <w:highlight w:val="none"/>
        </w:rPr>
      </w:pPr>
      <w:r>
        <w:rPr>
          <w:rFonts w:ascii="仿宋" w:eastAsia="仿宋" w:cs="宋体"/>
          <w:color w:val="auto"/>
          <w:sz w:val="24"/>
          <w:highlight w:val="none"/>
        </w:rPr>
        <w:t>8.2采购代理机构在采购人确认中标或成交供应商后2个工作日内发布中标公告。中标公告与采购公告发布网址一致。中标公告期限为一个工作日。</w:t>
      </w:r>
      <w:bookmarkStart w:id="60" w:name="_GoBack"/>
      <w:bookmarkEnd w:id="60"/>
    </w:p>
    <w:p>
      <w:pPr>
        <w:spacing w:line="480" w:lineRule="exact"/>
        <w:jc w:val="left"/>
        <w:rPr>
          <w:rFonts w:ascii="仿宋" w:eastAsia="仿宋" w:cs="宋体"/>
          <w:b/>
          <w:bCs/>
          <w:color w:val="auto"/>
          <w:sz w:val="24"/>
          <w:highlight w:val="none"/>
        </w:rPr>
      </w:pPr>
      <w:r>
        <w:rPr>
          <w:rFonts w:ascii="仿宋" w:eastAsia="仿宋" w:cs="宋体"/>
          <w:b/>
          <w:bCs/>
          <w:color w:val="auto"/>
          <w:sz w:val="24"/>
          <w:highlight w:val="none"/>
        </w:rPr>
        <w:t>9.中标通知书的申领</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9.1本项目中标通知书在采购代理机构处领取</w:t>
      </w:r>
      <w:r>
        <w:rPr>
          <w:rFonts w:hint="eastAsia" w:ascii="仿宋" w:eastAsia="仿宋"/>
          <w:color w:val="auto"/>
          <w:kern w:val="0"/>
          <w:sz w:val="24"/>
          <w:highlight w:val="none"/>
          <w:lang w:eastAsia="zh-CN"/>
        </w:rPr>
        <w:t>，</w:t>
      </w:r>
      <w:r>
        <w:rPr>
          <w:rFonts w:hint="eastAsia" w:ascii="仿宋" w:eastAsia="仿宋"/>
          <w:color w:val="auto"/>
          <w:kern w:val="0"/>
          <w:sz w:val="24"/>
          <w:highlight w:val="none"/>
          <w:lang w:val="en-US" w:eastAsia="zh-CN"/>
        </w:rPr>
        <w:t>并缴纳相关费用</w:t>
      </w:r>
      <w:r>
        <w:rPr>
          <w:rFonts w:ascii="仿宋" w:eastAsia="仿宋"/>
          <w:color w:val="auto"/>
          <w:kern w:val="0"/>
          <w:sz w:val="24"/>
          <w:highlight w:val="none"/>
        </w:rPr>
        <w:t>。</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9.2中标通知书在中标公告发布的同时发出。</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9.3中标通知书发出后，采购人不得违法改变中标结果，中标人无正当理由不得放弃中标。</w:t>
      </w:r>
    </w:p>
    <w:p>
      <w:pPr>
        <w:widowControl/>
        <w:snapToGrid w:val="0"/>
        <w:spacing w:line="480" w:lineRule="exact"/>
        <w:rPr>
          <w:rFonts w:hint="eastAsia" w:ascii="仿宋" w:eastAsia="仿宋"/>
          <w:b/>
          <w:bCs/>
          <w:color w:val="auto"/>
          <w:kern w:val="0"/>
          <w:sz w:val="24"/>
          <w:highlight w:val="none"/>
        </w:rPr>
      </w:pPr>
      <w:bookmarkStart w:id="8" w:name="_Toc643610531"/>
      <w:r>
        <w:rPr>
          <w:rFonts w:ascii="仿宋" w:eastAsia="仿宋"/>
          <w:b/>
          <w:bCs/>
          <w:color w:val="auto"/>
          <w:kern w:val="0"/>
          <w:sz w:val="24"/>
          <w:highlight w:val="none"/>
        </w:rPr>
        <w:t>9</w:t>
      </w:r>
      <w:r>
        <w:rPr>
          <w:rFonts w:hint="eastAsia" w:ascii="仿宋" w:eastAsia="仿宋"/>
          <w:b/>
          <w:bCs/>
          <w:color w:val="auto"/>
          <w:kern w:val="0"/>
          <w:sz w:val="24"/>
          <w:highlight w:val="none"/>
        </w:rPr>
        <w:t>.4成交通知书的领取不妨碍相关质疑投诉的提出和处置，成交结果在法定情形内允许改变。在处理完针对成交结果的质疑或投诉前，原则上不签订采购合同。</w:t>
      </w:r>
    </w:p>
    <w:p>
      <w:pPr>
        <w:pStyle w:val="4"/>
        <w:spacing w:line="415" w:lineRule="auto"/>
        <w:jc w:val="center"/>
        <w:rPr>
          <w:color w:val="auto"/>
          <w:highlight w:val="none"/>
        </w:rPr>
      </w:pPr>
      <w:r>
        <w:rPr>
          <w:color w:val="auto"/>
          <w:highlight w:val="none"/>
        </w:rPr>
        <w:t>五、合同签订及履约</w:t>
      </w:r>
      <w:bookmarkEnd w:id="8"/>
    </w:p>
    <w:p>
      <w:pPr>
        <w:spacing w:line="480" w:lineRule="exact"/>
        <w:jc w:val="left"/>
        <w:rPr>
          <w:rFonts w:ascii="仿宋" w:eastAsia="仿宋" w:cs="宋体"/>
          <w:b/>
          <w:bCs/>
          <w:color w:val="auto"/>
          <w:sz w:val="24"/>
          <w:highlight w:val="none"/>
        </w:rPr>
      </w:pPr>
      <w:r>
        <w:rPr>
          <w:rFonts w:ascii="仿宋" w:eastAsia="仿宋" w:cs="宋体"/>
          <w:b/>
          <w:bCs/>
          <w:color w:val="auto"/>
          <w:sz w:val="24"/>
          <w:highlight w:val="none"/>
        </w:rPr>
        <w:t>1.合同签订</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1.1采购人和中标人应当在中标通知书发出之日起30日内（投诉处理等原因导致签订合同延误的除外），按照采购文件和中标人投标文件的规定，签订书面合同。所签订的合同不得对采购文件确定的事项和中标人投标文件作实质性修改。</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1.2采购人和中标人不得向对方提出任何不合理的要求作为签订合同的条件。</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1.3采购人和中标人需在投标有效期内签订采购合同。投标有效期允许延长，但需征得中标人同意。</w:t>
      </w:r>
    </w:p>
    <w:p>
      <w:pPr>
        <w:spacing w:line="440" w:lineRule="exact"/>
        <w:jc w:val="left"/>
        <w:rPr>
          <w:rFonts w:ascii="仿宋_GB2312" w:eastAsia="仿宋_GB2312"/>
          <w:b/>
          <w:color w:val="auto"/>
          <w:sz w:val="24"/>
          <w:highlight w:val="none"/>
        </w:rPr>
      </w:pPr>
      <w:r>
        <w:rPr>
          <w:rFonts w:ascii="仿宋_GB2312" w:eastAsia="仿宋_GB2312"/>
          <w:b/>
          <w:color w:val="auto"/>
          <w:sz w:val="24"/>
          <w:highlight w:val="none"/>
        </w:rPr>
        <w:t>2</w:t>
      </w:r>
      <w:r>
        <w:rPr>
          <w:rFonts w:hint="eastAsia" w:ascii="仿宋_GB2312" w:eastAsia="仿宋_GB2312"/>
          <w:b/>
          <w:color w:val="auto"/>
          <w:sz w:val="24"/>
          <w:highlight w:val="none"/>
        </w:rPr>
        <w:t>．履约保证金</w:t>
      </w:r>
    </w:p>
    <w:p>
      <w:pPr>
        <w:spacing w:line="440" w:lineRule="exact"/>
        <w:jc w:val="left"/>
        <w:rPr>
          <w:rFonts w:ascii="仿宋_GB2312" w:eastAsia="仿宋_GB2312"/>
          <w:color w:val="auto"/>
          <w:sz w:val="24"/>
          <w:highlight w:val="none"/>
        </w:rPr>
      </w:pPr>
      <w:r>
        <w:rPr>
          <w:rFonts w:ascii="仿宋_GB2312" w:eastAsia="仿宋_GB2312"/>
          <w:color w:val="auto"/>
          <w:sz w:val="24"/>
          <w:highlight w:val="none"/>
        </w:rPr>
        <w:t>2</w:t>
      </w:r>
      <w:r>
        <w:rPr>
          <w:rFonts w:hint="eastAsia" w:ascii="仿宋_GB2312" w:eastAsia="仿宋_GB2312"/>
          <w:color w:val="auto"/>
          <w:sz w:val="24"/>
          <w:highlight w:val="none"/>
        </w:rPr>
        <w:t>.1采购合同签订的同时，中标人应当以支票、汇票或者银行出具的保函等非现金形式交纳履约保证金</w:t>
      </w:r>
      <w:r>
        <w:rPr>
          <w:rFonts w:ascii="仿宋_GB2312" w:eastAsia="仿宋_GB2312"/>
          <w:color w:val="auto"/>
          <w:sz w:val="24"/>
          <w:highlight w:val="none"/>
        </w:rPr>
        <w:t>。</w:t>
      </w:r>
    </w:p>
    <w:p>
      <w:pPr>
        <w:spacing w:line="440" w:lineRule="exact"/>
        <w:jc w:val="left"/>
        <w:rPr>
          <w:rFonts w:ascii="仿宋_GB2312" w:eastAsia="仿宋_GB2312"/>
          <w:color w:val="auto"/>
          <w:sz w:val="24"/>
          <w:highlight w:val="none"/>
        </w:rPr>
      </w:pPr>
      <w:r>
        <w:rPr>
          <w:rFonts w:ascii="仿宋_GB2312" w:eastAsia="仿宋_GB2312"/>
          <w:color w:val="auto"/>
          <w:sz w:val="24"/>
          <w:highlight w:val="none"/>
        </w:rPr>
        <w:t>2</w:t>
      </w:r>
      <w:r>
        <w:rPr>
          <w:rFonts w:hint="eastAsia" w:ascii="仿宋_GB2312" w:eastAsia="仿宋_GB2312"/>
          <w:color w:val="auto"/>
          <w:sz w:val="24"/>
          <w:highlight w:val="none"/>
        </w:rPr>
        <w:t>.2供应商在履行完合同约定事项后，采购人应及时退还履约保证金。</w:t>
      </w:r>
      <w:r>
        <w:rPr>
          <w:rFonts w:ascii="仿宋_GB2312" w:eastAsia="仿宋_GB2312"/>
          <w:color w:val="auto"/>
          <w:sz w:val="24"/>
          <w:highlight w:val="none"/>
        </w:rPr>
        <w:t>采购人验收不合格的，不予退还履约保证金。</w:t>
      </w:r>
    </w:p>
    <w:p>
      <w:pPr>
        <w:spacing w:line="440" w:lineRule="exact"/>
        <w:jc w:val="left"/>
        <w:rPr>
          <w:rFonts w:ascii="仿宋_GB2312" w:eastAsia="仿宋_GB2312"/>
          <w:color w:val="auto"/>
          <w:sz w:val="24"/>
          <w:highlight w:val="none"/>
        </w:rPr>
      </w:pPr>
      <w:r>
        <w:rPr>
          <w:rFonts w:ascii="仿宋_GB2312" w:eastAsia="仿宋_GB2312"/>
          <w:color w:val="auto"/>
          <w:sz w:val="24"/>
          <w:highlight w:val="none"/>
        </w:rPr>
        <w:t>2.</w:t>
      </w:r>
      <w:r>
        <w:rPr>
          <w:rFonts w:hint="eastAsia" w:ascii="仿宋_GB2312" w:eastAsia="仿宋_GB2312"/>
          <w:color w:val="auto"/>
          <w:sz w:val="24"/>
          <w:highlight w:val="none"/>
        </w:rPr>
        <w:t>3供应商以银行出具保函形式提交履约保证金的，采购人不得拒收。</w:t>
      </w:r>
    </w:p>
    <w:p>
      <w:pPr>
        <w:spacing w:line="440" w:lineRule="exact"/>
        <w:jc w:val="left"/>
        <w:rPr>
          <w:rFonts w:ascii="仿宋_GB2312" w:eastAsia="仿宋_GB2312"/>
          <w:b/>
          <w:color w:val="auto"/>
          <w:sz w:val="24"/>
          <w:highlight w:val="none"/>
        </w:rPr>
      </w:pPr>
      <w:r>
        <w:rPr>
          <w:rFonts w:ascii="仿宋_GB2312" w:eastAsia="仿宋_GB2312"/>
          <w:b/>
          <w:color w:val="auto"/>
          <w:sz w:val="24"/>
          <w:highlight w:val="none"/>
        </w:rPr>
        <w:t>3</w:t>
      </w:r>
      <w:r>
        <w:rPr>
          <w:rFonts w:hint="eastAsia" w:ascii="仿宋_GB2312" w:eastAsia="仿宋_GB2312"/>
          <w:b/>
          <w:color w:val="auto"/>
          <w:sz w:val="24"/>
          <w:highlight w:val="none"/>
        </w:rPr>
        <w:t>．合同备案</w:t>
      </w:r>
    </w:p>
    <w:p>
      <w:pPr>
        <w:spacing w:line="440" w:lineRule="exact"/>
        <w:jc w:val="left"/>
        <w:rPr>
          <w:rFonts w:ascii="仿宋_GB2312" w:eastAsia="仿宋_GB2312"/>
          <w:b/>
          <w:bCs/>
          <w:color w:val="auto"/>
          <w:sz w:val="24"/>
          <w:highlight w:val="none"/>
        </w:rPr>
      </w:pPr>
      <w:r>
        <w:rPr>
          <w:rFonts w:ascii="仿宋_GB2312" w:eastAsia="仿宋_GB2312"/>
          <w:b/>
          <w:bCs/>
          <w:color w:val="auto"/>
          <w:sz w:val="24"/>
          <w:highlight w:val="none"/>
        </w:rPr>
        <w:t>3</w:t>
      </w:r>
      <w:r>
        <w:rPr>
          <w:rFonts w:hint="eastAsia" w:ascii="仿宋_GB2312" w:eastAsia="仿宋_GB2312"/>
          <w:b/>
          <w:bCs/>
          <w:color w:val="auto"/>
          <w:sz w:val="24"/>
          <w:highlight w:val="none"/>
        </w:rPr>
        <w:t>.1中标人应当自采购合同签订之日起3个工作日内，将采购合同原件报</w:t>
      </w:r>
      <w:r>
        <w:rPr>
          <w:rFonts w:ascii="仿宋_GB2312" w:eastAsia="仿宋_GB2312"/>
          <w:b/>
          <w:bCs/>
          <w:color w:val="auto"/>
          <w:sz w:val="24"/>
          <w:highlight w:val="none"/>
        </w:rPr>
        <w:t>采购代理机构</w:t>
      </w:r>
      <w:r>
        <w:rPr>
          <w:rFonts w:hint="eastAsia" w:ascii="仿宋_GB2312" w:eastAsia="仿宋_GB2312"/>
          <w:b/>
          <w:bCs/>
          <w:color w:val="auto"/>
          <w:sz w:val="24"/>
          <w:highlight w:val="none"/>
        </w:rPr>
        <w:t>备案</w:t>
      </w:r>
      <w:r>
        <w:rPr>
          <w:rFonts w:ascii="仿宋_GB2312" w:eastAsia="仿宋_GB2312"/>
          <w:b/>
          <w:bCs/>
          <w:color w:val="auto"/>
          <w:sz w:val="24"/>
          <w:highlight w:val="none"/>
        </w:rPr>
        <w:t>存档</w:t>
      </w:r>
      <w:r>
        <w:rPr>
          <w:rFonts w:hint="eastAsia" w:ascii="仿宋_GB2312" w:eastAsia="仿宋_GB2312"/>
          <w:b/>
          <w:bCs/>
          <w:color w:val="auto"/>
          <w:sz w:val="24"/>
          <w:highlight w:val="none"/>
        </w:rPr>
        <w:t>。</w:t>
      </w:r>
    </w:p>
    <w:p>
      <w:pPr>
        <w:spacing w:line="440" w:lineRule="exact"/>
        <w:jc w:val="left"/>
        <w:rPr>
          <w:rFonts w:ascii="仿宋_GB2312" w:eastAsia="仿宋_GB2312"/>
          <w:b/>
          <w:color w:val="auto"/>
          <w:sz w:val="24"/>
          <w:highlight w:val="none"/>
        </w:rPr>
      </w:pPr>
      <w:r>
        <w:rPr>
          <w:rFonts w:ascii="仿宋_GB2312" w:eastAsia="仿宋_GB2312"/>
          <w:b/>
          <w:color w:val="auto"/>
          <w:sz w:val="24"/>
          <w:highlight w:val="none"/>
        </w:rPr>
        <w:t>4</w:t>
      </w:r>
      <w:r>
        <w:rPr>
          <w:rFonts w:hint="eastAsia" w:ascii="仿宋_GB2312" w:eastAsia="仿宋_GB2312"/>
          <w:b/>
          <w:color w:val="auto"/>
          <w:sz w:val="24"/>
          <w:highlight w:val="none"/>
        </w:rPr>
        <w:t>.</w:t>
      </w:r>
      <w:r>
        <w:rPr>
          <w:rFonts w:ascii="仿宋_GB2312" w:eastAsia="仿宋_GB2312"/>
          <w:b/>
          <w:color w:val="auto"/>
          <w:sz w:val="24"/>
          <w:highlight w:val="none"/>
        </w:rPr>
        <w:t>履约</w:t>
      </w:r>
      <w:r>
        <w:rPr>
          <w:rFonts w:hint="eastAsia" w:ascii="仿宋_GB2312" w:eastAsia="仿宋_GB2312"/>
          <w:b/>
          <w:color w:val="auto"/>
          <w:sz w:val="24"/>
          <w:highlight w:val="none"/>
        </w:rPr>
        <w:t>验收</w:t>
      </w:r>
    </w:p>
    <w:p>
      <w:pPr>
        <w:spacing w:line="440" w:lineRule="exact"/>
        <w:jc w:val="left"/>
        <w:rPr>
          <w:rFonts w:ascii="仿宋_GB2312" w:eastAsia="仿宋_GB2312"/>
          <w:color w:val="auto"/>
          <w:sz w:val="24"/>
          <w:highlight w:val="none"/>
        </w:rPr>
      </w:pPr>
      <w:r>
        <w:rPr>
          <w:rFonts w:ascii="仿宋_GB2312" w:eastAsia="仿宋_GB2312"/>
          <w:color w:val="auto"/>
          <w:sz w:val="24"/>
          <w:highlight w:val="none"/>
        </w:rPr>
        <w:t>4</w:t>
      </w:r>
      <w:r>
        <w:rPr>
          <w:rFonts w:hint="eastAsia" w:ascii="仿宋_GB2312" w:eastAsia="仿宋_GB2312"/>
          <w:color w:val="auto"/>
          <w:sz w:val="24"/>
          <w:highlight w:val="none"/>
        </w:rPr>
        <w:t>.1采购人</w:t>
      </w:r>
      <w:r>
        <w:rPr>
          <w:rFonts w:ascii="仿宋_GB2312" w:eastAsia="仿宋_GB2312"/>
          <w:color w:val="auto"/>
          <w:sz w:val="24"/>
          <w:highlight w:val="none"/>
        </w:rPr>
        <w:t>自行</w:t>
      </w:r>
      <w:r>
        <w:rPr>
          <w:rFonts w:hint="eastAsia" w:ascii="仿宋_GB2312" w:eastAsia="仿宋_GB2312"/>
          <w:color w:val="auto"/>
          <w:sz w:val="24"/>
          <w:highlight w:val="none"/>
        </w:rPr>
        <w:t>组织</w:t>
      </w:r>
      <w:r>
        <w:rPr>
          <w:rFonts w:ascii="仿宋_GB2312" w:eastAsia="仿宋_GB2312"/>
          <w:color w:val="auto"/>
          <w:sz w:val="24"/>
          <w:highlight w:val="none"/>
        </w:rPr>
        <w:t>或委托采购代理机构</w:t>
      </w:r>
      <w:r>
        <w:rPr>
          <w:rFonts w:hint="eastAsia" w:ascii="仿宋_GB2312" w:eastAsia="仿宋_GB2312"/>
          <w:color w:val="auto"/>
          <w:sz w:val="24"/>
          <w:highlight w:val="none"/>
        </w:rPr>
        <w:t>对供应商</w:t>
      </w:r>
      <w:r>
        <w:rPr>
          <w:rFonts w:ascii="仿宋_GB2312" w:eastAsia="仿宋_GB2312"/>
          <w:color w:val="auto"/>
          <w:sz w:val="24"/>
          <w:highlight w:val="none"/>
        </w:rPr>
        <w:t>进行</w:t>
      </w:r>
      <w:r>
        <w:rPr>
          <w:rFonts w:hint="eastAsia" w:ascii="仿宋_GB2312" w:eastAsia="仿宋_GB2312"/>
          <w:color w:val="auto"/>
          <w:sz w:val="24"/>
          <w:highlight w:val="none"/>
        </w:rPr>
        <w:t>履约验收</w:t>
      </w:r>
      <w:r>
        <w:rPr>
          <w:rFonts w:ascii="仿宋_GB2312" w:eastAsia="仿宋_GB2312"/>
          <w:color w:val="auto"/>
          <w:sz w:val="24"/>
          <w:highlight w:val="none"/>
        </w:rPr>
        <w:t>，出具验收书，存档备查</w:t>
      </w:r>
      <w:r>
        <w:rPr>
          <w:rFonts w:hint="eastAsia" w:ascii="仿宋_GB2312" w:eastAsia="仿宋_GB2312"/>
          <w:color w:val="auto"/>
          <w:sz w:val="24"/>
          <w:highlight w:val="none"/>
        </w:rPr>
        <w:t>。如果发现与合同中要求不符，供应商须承担由此发生的一切损失和费用，并承担相应的法律责任。</w:t>
      </w:r>
    </w:p>
    <w:p>
      <w:pPr>
        <w:spacing w:line="440" w:lineRule="exact"/>
        <w:jc w:val="left"/>
        <w:rPr>
          <w:rFonts w:ascii="仿宋_GB2312" w:eastAsia="仿宋_GB2312"/>
          <w:color w:val="auto"/>
          <w:sz w:val="24"/>
          <w:highlight w:val="none"/>
        </w:rPr>
      </w:pPr>
      <w:r>
        <w:rPr>
          <w:rFonts w:ascii="仿宋_GB2312" w:eastAsia="仿宋_GB2312"/>
          <w:color w:val="auto"/>
          <w:sz w:val="24"/>
          <w:highlight w:val="none"/>
        </w:rPr>
        <w:t>4.2服务类项目，可以根据项目特点对服务期内的服务实施情况进行分期考核，结合考核情况和服务效果进行验收。工程类项目应当按照行业管理部门规定的标准、方法和内容进行验收。</w:t>
      </w:r>
    </w:p>
    <w:p>
      <w:pPr>
        <w:spacing w:line="440" w:lineRule="exact"/>
        <w:jc w:val="left"/>
        <w:rPr>
          <w:rFonts w:ascii="仿宋_GB2312" w:eastAsia="仿宋_GB2312"/>
          <w:color w:val="auto"/>
          <w:sz w:val="24"/>
          <w:highlight w:val="none"/>
        </w:rPr>
      </w:pPr>
      <w:r>
        <w:rPr>
          <w:rFonts w:ascii="仿宋_GB2312" w:eastAsia="仿宋_GB2312"/>
          <w:color w:val="auto"/>
          <w:sz w:val="24"/>
          <w:highlight w:val="none"/>
        </w:rPr>
        <w:t>4.3</w:t>
      </w:r>
      <w:r>
        <w:rPr>
          <w:rFonts w:hint="eastAsia" w:ascii="仿宋_GB2312" w:eastAsia="仿宋_GB2312"/>
          <w:color w:val="auto"/>
          <w:sz w:val="24"/>
          <w:highlight w:val="none"/>
        </w:rPr>
        <w:t>采购人可以邀请参加本项目的其他供应商或者第三方机构参与验收。参与验收的供应商或者第三方机构的意见作为验收书的参考资料一并存档。</w:t>
      </w:r>
    </w:p>
    <w:p>
      <w:pPr>
        <w:spacing w:line="440" w:lineRule="exact"/>
        <w:jc w:val="left"/>
        <w:rPr>
          <w:rFonts w:ascii="仿宋_GB2312" w:eastAsia="仿宋_GB2312"/>
          <w:color w:val="auto"/>
          <w:sz w:val="24"/>
          <w:highlight w:val="none"/>
        </w:rPr>
      </w:pPr>
      <w:r>
        <w:rPr>
          <w:rFonts w:ascii="仿宋_GB2312" w:eastAsia="仿宋_GB2312"/>
          <w:color w:val="auto"/>
          <w:sz w:val="24"/>
          <w:highlight w:val="none"/>
        </w:rPr>
        <w:t>4.4政府向社会公众提供的公共服务项目验收时应当邀请服务对象参与并出具意见，验收结果应当向社会公告。</w:t>
      </w:r>
    </w:p>
    <w:p>
      <w:pPr>
        <w:spacing w:line="440" w:lineRule="exact"/>
        <w:jc w:val="left"/>
        <w:rPr>
          <w:rFonts w:ascii="仿宋_GB2312" w:eastAsia="仿宋_GB2312"/>
          <w:color w:val="auto"/>
          <w:sz w:val="24"/>
          <w:highlight w:val="none"/>
        </w:rPr>
      </w:pPr>
      <w:r>
        <w:rPr>
          <w:rFonts w:ascii="仿宋_GB2312" w:eastAsia="仿宋_GB2312"/>
          <w:color w:val="auto"/>
          <w:sz w:val="24"/>
          <w:highlight w:val="none"/>
        </w:rPr>
        <w:t>4.5</w:t>
      </w:r>
      <w:r>
        <w:rPr>
          <w:rFonts w:hint="eastAsia" w:ascii="仿宋_GB2312" w:eastAsia="仿宋_GB2312"/>
          <w:color w:val="auto"/>
          <w:sz w:val="24"/>
          <w:highlight w:val="none"/>
        </w:rPr>
        <w:t xml:space="preserve"> </w:t>
      </w:r>
      <w:r>
        <w:rPr>
          <w:rFonts w:ascii="仿宋_GB2312" w:eastAsia="仿宋_GB2312"/>
          <w:color w:val="auto"/>
          <w:sz w:val="24"/>
          <w:highlight w:val="none"/>
        </w:rPr>
        <w:t>采购合同的履行、违约责任和解决争议的方式等适用《中华人民共和国民法典》。</w:t>
      </w:r>
    </w:p>
    <w:p>
      <w:pPr>
        <w:spacing w:line="440" w:lineRule="exact"/>
        <w:jc w:val="left"/>
        <w:rPr>
          <w:rFonts w:ascii="仿宋_GB2312" w:eastAsia="仿宋_GB2312"/>
          <w:color w:val="auto"/>
          <w:sz w:val="24"/>
          <w:highlight w:val="none"/>
        </w:rPr>
      </w:pPr>
      <w:r>
        <w:rPr>
          <w:rFonts w:ascii="仿宋_GB2312" w:eastAsia="仿宋_GB2312"/>
          <w:color w:val="auto"/>
          <w:sz w:val="24"/>
          <w:highlight w:val="none"/>
        </w:rPr>
        <w:t>4.6供应商在履约过程中有政府采购法律法规规定的违法违规情形的，采购人应当及时报告本项目采购监督部门。</w:t>
      </w:r>
    </w:p>
    <w:p>
      <w:pPr>
        <w:spacing w:line="440" w:lineRule="exact"/>
        <w:jc w:val="left"/>
        <w:rPr>
          <w:rFonts w:hint="eastAsia" w:ascii="仿宋" w:eastAsia="仿宋"/>
          <w:b/>
          <w:color w:val="auto"/>
          <w:sz w:val="24"/>
          <w:highlight w:val="none"/>
        </w:rPr>
      </w:pPr>
      <w:r>
        <w:rPr>
          <w:rFonts w:hint="eastAsia" w:ascii="仿宋" w:eastAsia="仿宋"/>
          <w:b/>
          <w:color w:val="auto"/>
          <w:sz w:val="24"/>
          <w:highlight w:val="none"/>
        </w:rPr>
        <w:t xml:space="preserve">5. </w:t>
      </w:r>
      <w:r>
        <w:rPr>
          <w:rFonts w:ascii="仿宋" w:eastAsia="仿宋"/>
          <w:b/>
          <w:color w:val="auto"/>
          <w:sz w:val="24"/>
          <w:highlight w:val="none"/>
        </w:rPr>
        <w:t>履约检查</w:t>
      </w:r>
    </w:p>
    <w:p>
      <w:pPr>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采购机构将联合采购监管部门不定期对合同的履约情况进行检查，发现未按合同规定进行履约的，有弄虚作假，偷工减料，以次充好</w:t>
      </w:r>
      <w:r>
        <w:rPr>
          <w:rFonts w:ascii="仿宋" w:eastAsia="仿宋"/>
          <w:color w:val="auto"/>
          <w:sz w:val="24"/>
          <w:highlight w:val="none"/>
        </w:rPr>
        <w:t>、服务不达标</w:t>
      </w:r>
      <w:r>
        <w:rPr>
          <w:rFonts w:hint="eastAsia" w:ascii="仿宋" w:eastAsia="仿宋"/>
          <w:color w:val="auto"/>
          <w:sz w:val="24"/>
          <w:highlight w:val="none"/>
        </w:rPr>
        <w:t>等情形，达不到国家、行业有关标准</w:t>
      </w:r>
      <w:r>
        <w:rPr>
          <w:rFonts w:ascii="仿宋" w:eastAsia="仿宋"/>
          <w:color w:val="auto"/>
          <w:sz w:val="24"/>
          <w:highlight w:val="none"/>
        </w:rPr>
        <w:t>和采购</w:t>
      </w:r>
      <w:r>
        <w:rPr>
          <w:rFonts w:hint="eastAsia" w:ascii="仿宋" w:eastAsia="仿宋"/>
          <w:color w:val="auto"/>
          <w:sz w:val="24"/>
          <w:highlight w:val="none"/>
        </w:rPr>
        <w:t>文件规定</w:t>
      </w:r>
      <w:r>
        <w:rPr>
          <w:rFonts w:ascii="仿宋" w:eastAsia="仿宋"/>
          <w:color w:val="auto"/>
          <w:sz w:val="24"/>
          <w:highlight w:val="none"/>
        </w:rPr>
        <w:t>或有违采购合同</w:t>
      </w:r>
      <w:r>
        <w:rPr>
          <w:rFonts w:hint="eastAsia" w:ascii="仿宋" w:eastAsia="仿宋"/>
          <w:color w:val="auto"/>
          <w:sz w:val="24"/>
          <w:highlight w:val="none"/>
        </w:rPr>
        <w:t>的，一经查实，由采购监督部门给予相应处罚。</w:t>
      </w:r>
    </w:p>
    <w:p>
      <w:pPr>
        <w:pStyle w:val="3"/>
        <w:jc w:val="center"/>
        <w:rPr>
          <w:color w:val="auto"/>
          <w:highlight w:val="none"/>
        </w:rPr>
      </w:pPr>
      <w:bookmarkStart w:id="9" w:name="_Toc643610532"/>
      <w:r>
        <w:rPr>
          <w:color w:val="auto"/>
          <w:highlight w:val="none"/>
        </w:rPr>
        <w:t>第三章  采购需求</w:t>
      </w:r>
      <w:bookmarkEnd w:id="9"/>
    </w:p>
    <w:p>
      <w:pPr>
        <w:pStyle w:val="4"/>
        <w:keepNext/>
        <w:keepLines/>
        <w:pageBreakBefore w:val="0"/>
        <w:widowControl w:val="0"/>
        <w:suppressLineNumbers w:val="0"/>
        <w:suppressAutoHyphens w:val="0"/>
        <w:spacing w:line="415" w:lineRule="auto"/>
        <w:rPr>
          <w:color w:val="auto"/>
          <w:highlight w:val="none"/>
        </w:rPr>
      </w:pPr>
      <w:bookmarkStart w:id="10" w:name="_Toc643610533"/>
      <w:r>
        <w:rPr>
          <w:color w:val="auto"/>
          <w:highlight w:val="none"/>
        </w:rPr>
        <w:t>一、货物清单及技术要求</w:t>
      </w:r>
      <w:bookmarkEnd w:id="10"/>
    </w:p>
    <w:p>
      <w:pPr>
        <w:widowControl/>
        <w:snapToGrid w:val="0"/>
        <w:spacing w:line="480" w:lineRule="exact"/>
        <w:rPr>
          <w:rFonts w:ascii="仿宋" w:hAnsi="仿宋" w:eastAsia="仿宋" w:cs="仿宋"/>
          <w:b/>
          <w:bCs/>
          <w:color w:val="auto"/>
          <w:sz w:val="24"/>
          <w:highlight w:val="none"/>
        </w:rPr>
      </w:pPr>
      <w:bookmarkStart w:id="11" w:name="_Toc157410883"/>
      <w:r>
        <w:rPr>
          <w:rFonts w:hint="eastAsia" w:ascii="仿宋" w:hAnsi="仿宋" w:eastAsia="仿宋" w:cs="仿宋"/>
          <w:b/>
          <w:bCs/>
          <w:color w:val="auto"/>
          <w:sz w:val="24"/>
          <w:highlight w:val="none"/>
        </w:rPr>
        <w:t>1、执行标准要求</w:t>
      </w:r>
    </w:p>
    <w:bookmarkEnd w:id="11"/>
    <w:p>
      <w:pPr>
        <w:widowControl/>
        <w:snapToGrid w:val="0"/>
        <w:spacing w:line="4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本次采购的办公家具所涉及的产品标准、规范、验收标准、规范，应符合国家有关条例及规范，</w:t>
      </w:r>
      <w:r>
        <w:rPr>
          <w:rFonts w:hint="eastAsia" w:ascii="仿宋" w:hAnsi="仿宋" w:eastAsia="仿宋" w:cs="仿宋"/>
          <w:b/>
          <w:bCs/>
          <w:color w:val="auto"/>
          <w:sz w:val="24"/>
          <w:highlight w:val="none"/>
        </w:rPr>
        <w:t>不允许偏离的实质性要求和条件</w:t>
      </w:r>
      <w:r>
        <w:rPr>
          <w:rFonts w:hint="eastAsia" w:ascii="仿宋" w:hAnsi="仿宋" w:eastAsia="仿宋" w:cs="仿宋"/>
          <w:color w:val="auto"/>
          <w:sz w:val="24"/>
          <w:highlight w:val="none"/>
        </w:rPr>
        <w:t>。如有新的标准应采纳新标准；若同一产品同时有几个标准，应按国家标准执行</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所有参考规格单位均为MM</w:t>
      </w:r>
      <w:r>
        <w:rPr>
          <w:rFonts w:hint="eastAsia" w:ascii="仿宋" w:hAnsi="仿宋" w:eastAsia="仿宋" w:cs="仿宋"/>
          <w:color w:val="auto"/>
          <w:sz w:val="24"/>
          <w:highlight w:val="none"/>
        </w:rPr>
        <w:t>。</w:t>
      </w:r>
    </w:p>
    <w:p>
      <w:pPr>
        <w:widowControl/>
        <w:snapToGrid w:val="0"/>
        <w:spacing w:line="480" w:lineRule="exact"/>
        <w:ind w:firstLine="0"/>
        <w:rPr>
          <w:rFonts w:hint="eastAsia" w:ascii="仿宋" w:eastAsia="仿宋"/>
          <w:b/>
          <w:bCs/>
          <w:color w:val="auto"/>
          <w:kern w:val="0"/>
          <w:sz w:val="24"/>
          <w:highlight w:val="none"/>
          <w:lang w:val="en-US" w:eastAsia="zh-CN"/>
        </w:rPr>
      </w:pPr>
      <w:r>
        <w:rPr>
          <w:rFonts w:hint="eastAsia" w:ascii="仿宋" w:eastAsia="仿宋"/>
          <w:b/>
          <w:bCs/>
          <w:color w:val="auto"/>
          <w:kern w:val="0"/>
          <w:sz w:val="24"/>
          <w:highlight w:val="none"/>
          <w:lang w:val="en-US" w:eastAsia="zh-CN"/>
        </w:rPr>
        <w:t>2、</w:t>
      </w:r>
      <w:r>
        <w:rPr>
          <w:rFonts w:hint="eastAsia" w:ascii="仿宋" w:hAnsi="仿宋" w:eastAsia="仿宋" w:cs="仿宋"/>
          <w:b/>
          <w:bCs/>
          <w:color w:val="auto"/>
          <w:sz w:val="24"/>
          <w:highlight w:val="none"/>
        </w:rPr>
        <w:t>采购清单</w:t>
      </w:r>
    </w:p>
    <w:p>
      <w:pPr>
        <w:widowControl/>
        <w:snapToGrid w:val="0"/>
        <w:spacing w:line="480" w:lineRule="exact"/>
        <w:ind w:firstLine="0"/>
        <w:rPr>
          <w:rFonts w:ascii="仿宋" w:eastAsia="仿宋"/>
          <w:b/>
          <w:bCs/>
          <w:color w:val="auto"/>
          <w:kern w:val="0"/>
          <w:sz w:val="24"/>
          <w:highlight w:val="none"/>
        </w:rPr>
        <w:sectPr>
          <w:headerReference r:id="rId8" w:type="default"/>
          <w:footerReference r:id="rId9" w:type="default"/>
          <w:pgSz w:w="11907" w:h="16840"/>
          <w:pgMar w:top="1440" w:right="1236" w:bottom="1440" w:left="1803" w:header="851" w:footer="992" w:gutter="0"/>
          <w:pgBorders>
            <w:top w:val="none" w:sz="0" w:space="0"/>
            <w:left w:val="none" w:sz="0" w:space="0"/>
            <w:bottom w:val="none" w:sz="0" w:space="0"/>
            <w:right w:val="none" w:sz="0" w:space="0"/>
          </w:pgBorders>
          <w:cols w:space="720" w:num="1"/>
          <w:docGrid w:type="lines" w:linePitch="312" w:charSpace="0"/>
        </w:sectPr>
      </w:pPr>
    </w:p>
    <w:p>
      <w:pPr>
        <w:pStyle w:val="2"/>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 xml:space="preserve">01标  </w:t>
      </w:r>
      <w:r>
        <w:rPr>
          <w:rFonts w:hint="eastAsia" w:ascii="宋体" w:hAnsi="宋体" w:cs="宋体"/>
          <w:b/>
          <w:bCs/>
          <w:color w:val="auto"/>
          <w:sz w:val="24"/>
          <w:szCs w:val="24"/>
          <w:highlight w:val="none"/>
          <w:lang w:eastAsia="zh-CN"/>
        </w:rPr>
        <w:t>浙江金融职业学院绍兴校区新建工程家具采购项目（标段一：图书馆、教学及其他家具）</w:t>
      </w:r>
    </w:p>
    <w:p>
      <w:pPr>
        <w:pStyle w:val="2"/>
        <w:rPr>
          <w:rFonts w:hint="eastAsia" w:ascii="宋体" w:hAnsi="宋体" w:eastAsia="宋体" w:cs="宋体"/>
          <w:b/>
          <w:bCs/>
          <w:color w:val="auto"/>
          <w:sz w:val="24"/>
          <w:szCs w:val="24"/>
          <w:highlight w:val="none"/>
        </w:rPr>
      </w:pPr>
    </w:p>
    <w:tbl>
      <w:tblPr>
        <w:tblStyle w:val="28"/>
        <w:tblW w:w="14000"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21"/>
        <w:gridCol w:w="790"/>
        <w:gridCol w:w="2576"/>
        <w:gridCol w:w="1150"/>
        <w:gridCol w:w="7556"/>
        <w:gridCol w:w="454"/>
        <w:gridCol w:w="616"/>
        <w:gridCol w:w="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7"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教学楼 文化中心 家具清单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序号</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品名</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产品图片</w:t>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规格</w:t>
            </w:r>
          </w:p>
        </w:tc>
        <w:tc>
          <w:tcPr>
            <w:tcW w:w="75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颜色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数量</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文化中心1楼多功能厅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主席桌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77470</wp:posOffset>
                  </wp:positionV>
                  <wp:extent cx="1026160" cy="762000"/>
                  <wp:effectExtent l="0" t="0" r="2540" b="0"/>
                  <wp:wrapNone/>
                  <wp:docPr id="34" name="图片_1"/>
                  <wp:cNvGraphicFramePr/>
                  <a:graphic xmlns:a="http://schemas.openxmlformats.org/drawingml/2006/main">
                    <a:graphicData uri="http://schemas.openxmlformats.org/drawingml/2006/picture">
                      <pic:pic xmlns:pic="http://schemas.openxmlformats.org/drawingml/2006/picture">
                        <pic:nvPicPr>
                          <pic:cNvPr id="34" name="图片_1"/>
                          <pic:cNvPicPr/>
                        </pic:nvPicPr>
                        <pic:blipFill>
                          <a:blip r:embed="rId18"/>
                          <a:stretch>
                            <a:fillRect/>
                          </a:stretch>
                        </pic:blipFill>
                        <pic:spPr>
                          <a:xfrm>
                            <a:off x="0" y="0"/>
                            <a:ext cx="1026160" cy="7620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1400*600*760mm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主席椅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77470</wp:posOffset>
                  </wp:positionV>
                  <wp:extent cx="638175" cy="834390"/>
                  <wp:effectExtent l="0" t="0" r="9525" b="3810"/>
                  <wp:wrapNone/>
                  <wp:docPr id="21" name="图片_4"/>
                  <wp:cNvGraphicFramePr/>
                  <a:graphic xmlns:a="http://schemas.openxmlformats.org/drawingml/2006/main">
                    <a:graphicData uri="http://schemas.openxmlformats.org/drawingml/2006/picture">
                      <pic:pic xmlns:pic="http://schemas.openxmlformats.org/drawingml/2006/picture">
                        <pic:nvPicPr>
                          <pic:cNvPr id="21" name="图片_4"/>
                          <pic:cNvPicPr/>
                        </pic:nvPicPr>
                        <pic:blipFill>
                          <a:blip r:embed="rId19"/>
                          <a:stretch>
                            <a:fillRect/>
                          </a:stretch>
                        </pic:blipFill>
                        <pic:spPr>
                          <a:xfrm>
                            <a:off x="0" y="0"/>
                            <a:ext cx="638175" cy="8343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550*640*910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2.曲木板：采用优质曲木板，12mm外板/6mm内板；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4.椅架：采用优质实木油漆架,符合国家相关标准；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黑色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升降演讲台</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231140</wp:posOffset>
                  </wp:positionH>
                  <wp:positionV relativeFrom="paragraph">
                    <wp:posOffset>419100</wp:posOffset>
                  </wp:positionV>
                  <wp:extent cx="959485" cy="1026795"/>
                  <wp:effectExtent l="0" t="0" r="12065" b="1905"/>
                  <wp:wrapNone/>
                  <wp:docPr id="22" name="图片_25"/>
                  <wp:cNvGraphicFramePr/>
                  <a:graphic xmlns:a="http://schemas.openxmlformats.org/drawingml/2006/main">
                    <a:graphicData uri="http://schemas.openxmlformats.org/drawingml/2006/picture">
                      <pic:pic xmlns:pic="http://schemas.openxmlformats.org/drawingml/2006/picture">
                        <pic:nvPicPr>
                          <pic:cNvPr id="22" name="图片_25"/>
                          <pic:cNvPicPr/>
                        </pic:nvPicPr>
                        <pic:blipFill>
                          <a:blip r:embed="rId20"/>
                          <a:stretch>
                            <a:fillRect/>
                          </a:stretch>
                        </pic:blipFill>
                        <pic:spPr>
                          <a:xfrm>
                            <a:off x="0" y="0"/>
                            <a:ext cx="959485" cy="10267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700*500*1130mm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5.升降器:符合国家标准要求；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7.万向轮:符合国家相关标准；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314325</wp:posOffset>
                  </wp:positionV>
                  <wp:extent cx="1131570" cy="874395"/>
                  <wp:effectExtent l="0" t="0" r="11430" b="1905"/>
                  <wp:wrapNone/>
                  <wp:docPr id="23" name="图片_26"/>
                  <wp:cNvGraphicFramePr/>
                  <a:graphic xmlns:a="http://schemas.openxmlformats.org/drawingml/2006/main">
                    <a:graphicData uri="http://schemas.openxmlformats.org/drawingml/2006/picture">
                      <pic:pic xmlns:pic="http://schemas.openxmlformats.org/drawingml/2006/picture">
                        <pic:nvPicPr>
                          <pic:cNvPr id="23" name="图片_26"/>
                          <pic:cNvPicPr/>
                        </pic:nvPicPr>
                        <pic:blipFill>
                          <a:blip r:embed="rId21"/>
                          <a:stretch>
                            <a:fillRect/>
                          </a:stretch>
                        </pic:blipFill>
                        <pic:spPr>
                          <a:xfrm>
                            <a:off x="0" y="0"/>
                            <a:ext cx="1131570" cy="8743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1400*450*760mm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5.钢架：有害物质限量，符合国家相关标准；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6.热固性粉末涂料：符合国家相关标准；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7.功能说明：带置物功能，可拼接，可翻转；</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2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170815</wp:posOffset>
                  </wp:positionH>
                  <wp:positionV relativeFrom="paragraph">
                    <wp:posOffset>140335</wp:posOffset>
                  </wp:positionV>
                  <wp:extent cx="844550" cy="871855"/>
                  <wp:effectExtent l="0" t="0" r="12700" b="4445"/>
                  <wp:wrapNone/>
                  <wp:docPr id="24" name="图片_29"/>
                  <wp:cNvGraphicFramePr/>
                  <a:graphic xmlns:a="http://schemas.openxmlformats.org/drawingml/2006/main">
                    <a:graphicData uri="http://schemas.openxmlformats.org/drawingml/2006/picture">
                      <pic:pic xmlns:pic="http://schemas.openxmlformats.org/drawingml/2006/picture">
                        <pic:nvPicPr>
                          <pic:cNvPr id="24" name="图片_29"/>
                          <pic:cNvPicPr/>
                        </pic:nvPicPr>
                        <pic:blipFill>
                          <a:blip r:embed="rId22"/>
                          <a:stretch>
                            <a:fillRect/>
                          </a:stretch>
                        </pic:blipFill>
                        <pic:spPr>
                          <a:xfrm>
                            <a:off x="0" y="0"/>
                            <a:ext cx="844550" cy="87185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560*580*810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1)布料：采用优质布料，符合国家相关标准；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4)椅架：壁厚≥2.0mm，符合国家相关标准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 功能说明：后脚小椅轮滑动设计，配备公母扣（起到固定的作用，使空间更加有序)；</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3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培训椅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286385</wp:posOffset>
                  </wp:positionH>
                  <wp:positionV relativeFrom="paragraph">
                    <wp:posOffset>196215</wp:posOffset>
                  </wp:positionV>
                  <wp:extent cx="805180" cy="904240"/>
                  <wp:effectExtent l="0" t="0" r="13970" b="10160"/>
                  <wp:wrapNone/>
                  <wp:docPr id="25" name="图片_15"/>
                  <wp:cNvGraphicFramePr/>
                  <a:graphic xmlns:a="http://schemas.openxmlformats.org/drawingml/2006/main">
                    <a:graphicData uri="http://schemas.openxmlformats.org/drawingml/2006/picture">
                      <pic:pic xmlns:pic="http://schemas.openxmlformats.org/drawingml/2006/picture">
                        <pic:nvPicPr>
                          <pic:cNvPr id="25" name="图片_15"/>
                          <pic:cNvPicPr/>
                        </pic:nvPicPr>
                        <pic:blipFill>
                          <a:blip r:embed="rId23"/>
                          <a:stretch>
                            <a:fillRect/>
                          </a:stretch>
                        </pic:blipFill>
                        <pic:spPr>
                          <a:xfrm>
                            <a:off x="0" y="0"/>
                            <a:ext cx="805180" cy="9042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600*700*855</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框体：PP+GF背框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扶手：PP固定扶手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腰托：升降腰托</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椅座：坐垫原生海棉</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底盘：同步倾仰单档锁定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气杆：三级喷塑气杆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椅脚：320PP+GF五星脚 椅轮：50尼龙轮</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高脚培训椅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490855</wp:posOffset>
                  </wp:positionH>
                  <wp:positionV relativeFrom="paragraph">
                    <wp:posOffset>139700</wp:posOffset>
                  </wp:positionV>
                  <wp:extent cx="555625" cy="860425"/>
                  <wp:effectExtent l="0" t="0" r="15875" b="15875"/>
                  <wp:wrapNone/>
                  <wp:docPr id="26" name="图片_2"/>
                  <wp:cNvGraphicFramePr/>
                  <a:graphic xmlns:a="http://schemas.openxmlformats.org/drawingml/2006/main">
                    <a:graphicData uri="http://schemas.openxmlformats.org/drawingml/2006/picture">
                      <pic:pic xmlns:pic="http://schemas.openxmlformats.org/drawingml/2006/picture">
                        <pic:nvPicPr>
                          <pic:cNvPr id="26" name="图片_2"/>
                          <pic:cNvPicPr/>
                        </pic:nvPicPr>
                        <pic:blipFill>
                          <a:blip r:embed="rId24"/>
                          <a:stretch>
                            <a:fillRect/>
                          </a:stretch>
                        </pic:blipFill>
                        <pic:spPr>
                          <a:xfrm>
                            <a:off x="0" y="0"/>
                            <a:ext cx="555625" cy="8604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715*560*1160-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1260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框体：PP+GF背框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扶手：PP固定扶手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腰托：升降腰托</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椅座：坐垫原生海棉</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底盘：同步倾仰单档锁定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气杆：三级喷塑气杆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椅脚：320PP+GF五星脚 椅轮：50尼龙轮</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5"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1#文化中心2楼团体辅导室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异形课桌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254000</wp:posOffset>
                  </wp:positionH>
                  <wp:positionV relativeFrom="paragraph">
                    <wp:posOffset>381635</wp:posOffset>
                  </wp:positionV>
                  <wp:extent cx="919480" cy="760730"/>
                  <wp:effectExtent l="0" t="0" r="13970" b="1270"/>
                  <wp:wrapNone/>
                  <wp:docPr id="35" name="图片_42"/>
                  <wp:cNvGraphicFramePr/>
                  <a:graphic xmlns:a="http://schemas.openxmlformats.org/drawingml/2006/main">
                    <a:graphicData uri="http://schemas.openxmlformats.org/drawingml/2006/picture">
                      <pic:pic xmlns:pic="http://schemas.openxmlformats.org/drawingml/2006/picture">
                        <pic:nvPicPr>
                          <pic:cNvPr id="35" name="图片_42"/>
                          <pic:cNvPicPr/>
                        </pic:nvPicPr>
                        <pic:blipFill>
                          <a:blip r:embed="rId25"/>
                          <a:stretch>
                            <a:fillRect/>
                          </a:stretch>
                        </pic:blipFill>
                        <pic:spPr>
                          <a:xfrm>
                            <a:off x="0" y="0"/>
                            <a:ext cx="919480" cy="7607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2、工艺：采用新型全封闭包裹高分子树脂静电喷涂工艺（主要材料为特制树脂），通过静电将高分子树脂粉末直接均匀吸附在板表面，饰面板 360 度无死角、无封边、无油漆， 环保性高,无异味，抗菌、防潮防水、耐高温。</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3、喷粉：符合国家相关标准；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4、脚架：选用冷轧钢材，经脱脂、水洗、酸洗、水洗中和、表调、磷化、干燥等工艺处理，表面粉末涂料静电喷涂处理。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5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课椅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208280</wp:posOffset>
                  </wp:positionV>
                  <wp:extent cx="669290" cy="781685"/>
                  <wp:effectExtent l="0" t="0" r="16510" b="18415"/>
                  <wp:wrapNone/>
                  <wp:docPr id="27" name="图片_46"/>
                  <wp:cNvGraphicFramePr/>
                  <a:graphic xmlns:a="http://schemas.openxmlformats.org/drawingml/2006/main">
                    <a:graphicData uri="http://schemas.openxmlformats.org/drawingml/2006/picture">
                      <pic:pic xmlns:pic="http://schemas.openxmlformats.org/drawingml/2006/picture">
                        <pic:nvPicPr>
                          <pic:cNvPr id="27" name="图片_46"/>
                          <pic:cNvPicPr/>
                        </pic:nvPicPr>
                        <pic:blipFill>
                          <a:blip r:embed="rId26"/>
                          <a:stretch>
                            <a:fillRect/>
                          </a:stretch>
                        </pic:blipFill>
                        <pic:spPr>
                          <a:xfrm>
                            <a:off x="0" y="0"/>
                            <a:ext cx="669290" cy="7816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1、椅身：聚丙烯添加防静电剂（聚乙醇酯）原色颗粒塑料；</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2、材质：100%全新家具专用环保工程塑料生产；</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3、工艺：抗老化，超强防紫外线，五年内无褪色保证，耐磨损易清洁；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4、面料：采用环保面料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6、脚架：选用冷轧钢材，经脱脂、水洗、酸洗、水洗中和、表调、磷化、干燥等工艺处理，表面粉末涂料静电喷涂处理。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328930</wp:posOffset>
                  </wp:positionH>
                  <wp:positionV relativeFrom="paragraph">
                    <wp:posOffset>173990</wp:posOffset>
                  </wp:positionV>
                  <wp:extent cx="483870" cy="876935"/>
                  <wp:effectExtent l="0" t="0" r="11430" b="18415"/>
                  <wp:wrapNone/>
                  <wp:docPr id="28" name="图片_57"/>
                  <wp:cNvGraphicFramePr/>
                  <a:graphic xmlns:a="http://schemas.openxmlformats.org/drawingml/2006/main">
                    <a:graphicData uri="http://schemas.openxmlformats.org/drawingml/2006/picture">
                      <pic:pic xmlns:pic="http://schemas.openxmlformats.org/drawingml/2006/picture">
                        <pic:nvPicPr>
                          <pic:cNvPr id="28" name="图片_57"/>
                          <pic:cNvPicPr/>
                        </pic:nvPicPr>
                        <pic:blipFill>
                          <a:blip r:embed="rId27"/>
                          <a:stretch>
                            <a:fillRect/>
                          </a:stretch>
                        </pic:blipFill>
                        <pic:spPr>
                          <a:xfrm>
                            <a:off x="0" y="0"/>
                            <a:ext cx="483870" cy="8769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800*400*2000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4)功能说明：层板可活动、拆卸。</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1#文化中心2楼心理咨询室（2间）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8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198755</wp:posOffset>
                  </wp:positionH>
                  <wp:positionV relativeFrom="paragraph">
                    <wp:posOffset>565150</wp:posOffset>
                  </wp:positionV>
                  <wp:extent cx="971550" cy="602615"/>
                  <wp:effectExtent l="0" t="0" r="0" b="6985"/>
                  <wp:wrapNone/>
                  <wp:docPr id="33" name="图片_84"/>
                  <wp:cNvGraphicFramePr/>
                  <a:graphic xmlns:a="http://schemas.openxmlformats.org/drawingml/2006/main">
                    <a:graphicData uri="http://schemas.openxmlformats.org/drawingml/2006/picture">
                      <pic:pic xmlns:pic="http://schemas.openxmlformats.org/drawingml/2006/picture">
                        <pic:nvPicPr>
                          <pic:cNvPr id="33" name="图片_84"/>
                          <pic:cNvPicPr/>
                        </pic:nvPicPr>
                        <pic:blipFill>
                          <a:blip r:embed="rId28"/>
                          <a:stretch>
                            <a:fillRect/>
                          </a:stretch>
                        </pic:blipFill>
                        <pic:spPr>
                          <a:xfrm>
                            <a:off x="0" y="0"/>
                            <a:ext cx="971550" cy="6026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1600*800*750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                                                                4)五金件：脚架采用U型铝合金横梁，斜插子弹头造型管脚，壁厚≥1.5mm，通过铝压铸结构件把铝合金横梁和管脚连接起来，实现管脚自由拆装，轻便美观；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3)五金件：钢架采用70*40五边形异型管和50*50方管结合，拆装结构，五边形管壁厚≥1.5mm，50方管壁厚≥1.8mm，在五边形管和50方管上分别焊接2mm钣金，增强结构稳定性，表面喷塑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4)功能配置：含桌下9mm厚度挡板</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513080</wp:posOffset>
                  </wp:positionH>
                  <wp:positionV relativeFrom="paragraph">
                    <wp:posOffset>78740</wp:posOffset>
                  </wp:positionV>
                  <wp:extent cx="353695" cy="683895"/>
                  <wp:effectExtent l="0" t="0" r="8255" b="1905"/>
                  <wp:wrapNone/>
                  <wp:docPr id="29" name="图片_79"/>
                  <wp:cNvGraphicFramePr/>
                  <a:graphic xmlns:a="http://schemas.openxmlformats.org/drawingml/2006/main">
                    <a:graphicData uri="http://schemas.openxmlformats.org/drawingml/2006/picture">
                      <pic:pic xmlns:pic="http://schemas.openxmlformats.org/drawingml/2006/picture">
                        <pic:nvPicPr>
                          <pic:cNvPr id="29" name="图片_79"/>
                          <pic:cNvPicPr/>
                        </pic:nvPicPr>
                        <pic:blipFill>
                          <a:blip r:embed="rId29"/>
                          <a:stretch>
                            <a:fillRect/>
                          </a:stretch>
                        </pic:blipFill>
                        <pic:spPr>
                          <a:xfrm>
                            <a:off x="0" y="0"/>
                            <a:ext cx="353695" cy="6838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800*400*2000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4)功能说明：层板可活动、拆卸。</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262890</wp:posOffset>
                  </wp:positionH>
                  <wp:positionV relativeFrom="paragraph">
                    <wp:posOffset>371475</wp:posOffset>
                  </wp:positionV>
                  <wp:extent cx="648335" cy="1038225"/>
                  <wp:effectExtent l="0" t="0" r="18415" b="9525"/>
                  <wp:wrapNone/>
                  <wp:docPr id="30" name="图片_78"/>
                  <wp:cNvGraphicFramePr/>
                  <a:graphic xmlns:a="http://schemas.openxmlformats.org/drawingml/2006/main">
                    <a:graphicData uri="http://schemas.openxmlformats.org/drawingml/2006/picture">
                      <pic:pic xmlns:pic="http://schemas.openxmlformats.org/drawingml/2006/picture">
                        <pic:nvPicPr>
                          <pic:cNvPr id="30" name="图片_78"/>
                          <pic:cNvPicPr/>
                        </pic:nvPicPr>
                        <pic:blipFill>
                          <a:blip r:embed="rId30"/>
                          <a:stretch>
                            <a:fillRect/>
                          </a:stretch>
                        </pic:blipFill>
                        <pic:spPr>
                          <a:xfrm>
                            <a:off x="0" y="0"/>
                            <a:ext cx="648335" cy="10382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715*560*1160-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1260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1)面料:采用优质网布，符合国家相关标准；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2)背框:PP+玻纤,符合国家相关标准；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3)曲木板:采用优质E1级成型胶合板,符合国家相关标准；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5)底盘:采用同步倾仰多档锁定底盘,底座钢板厚度≥2mm，符合国家相关标准；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7)扶手：采用PP材质扶手，符合国家相关标准要求；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8)五星脚:采用PP五星脚，符合国家相关标准要求；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9)椅轮:采用优质PA轮,符合国家相关标准要求；</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w:t>
            </w:r>
          </w:p>
        </w:tc>
        <w:tc>
          <w:tcPr>
            <w:tcW w:w="79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142875</wp:posOffset>
                  </wp:positionV>
                  <wp:extent cx="873760" cy="628650"/>
                  <wp:effectExtent l="0" t="0" r="2540" b="0"/>
                  <wp:wrapNone/>
                  <wp:docPr id="31" name="图片_60"/>
                  <wp:cNvGraphicFramePr/>
                  <a:graphic xmlns:a="http://schemas.openxmlformats.org/drawingml/2006/main">
                    <a:graphicData uri="http://schemas.openxmlformats.org/drawingml/2006/picture">
                      <pic:pic xmlns:pic="http://schemas.openxmlformats.org/drawingml/2006/picture">
                        <pic:nvPicPr>
                          <pic:cNvPr id="31" name="图片_60"/>
                          <pic:cNvPicPr/>
                        </pic:nvPicPr>
                        <pic:blipFill>
                          <a:blip r:embed="rId31"/>
                          <a:stretch>
                            <a:fillRect/>
                          </a:stretch>
                        </pic:blipFill>
                        <pic:spPr>
                          <a:xfrm>
                            <a:off x="0" y="0"/>
                            <a:ext cx="873760" cy="6286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单人位</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1、框架：框架本体采用实木框架，结构稳定，框架内无填充物；实木框架经过防腐、防虫蚀、防开裂处理；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2、面料：采用优质麻绒，耐磨性强、透气性好；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790"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222250</wp:posOffset>
                  </wp:positionV>
                  <wp:extent cx="991235" cy="458470"/>
                  <wp:effectExtent l="0" t="0" r="18415" b="17780"/>
                  <wp:wrapNone/>
                  <wp:docPr id="32" name="图片_61"/>
                  <wp:cNvGraphicFramePr/>
                  <a:graphic xmlns:a="http://schemas.openxmlformats.org/drawingml/2006/main">
                    <a:graphicData uri="http://schemas.openxmlformats.org/drawingml/2006/picture">
                      <pic:pic xmlns:pic="http://schemas.openxmlformats.org/drawingml/2006/picture">
                        <pic:nvPicPr>
                          <pic:cNvPr id="32" name="图片_61"/>
                          <pic:cNvPicPr/>
                        </pic:nvPicPr>
                        <pic:blipFill>
                          <a:blip r:embed="rId32"/>
                          <a:stretch>
                            <a:fillRect/>
                          </a:stretch>
                        </pic:blipFill>
                        <pic:spPr>
                          <a:xfrm>
                            <a:off x="0" y="0"/>
                            <a:ext cx="991235" cy="45847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单人位</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1、框架：框架本体采用实木框架，结构稳定，框架内无填充物；实木框架经过防腐、防虫蚀、防开裂处理；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2、面料：采用优质麻绒，耐磨性强、透气性好；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茶几</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412750</wp:posOffset>
                  </wp:positionV>
                  <wp:extent cx="1007745" cy="614680"/>
                  <wp:effectExtent l="0" t="0" r="1905" b="13970"/>
                  <wp:wrapNone/>
                  <wp:docPr id="36" name="图片_82"/>
                  <wp:cNvGraphicFramePr/>
                  <a:graphic xmlns:a="http://schemas.openxmlformats.org/drawingml/2006/main">
                    <a:graphicData uri="http://schemas.openxmlformats.org/drawingml/2006/picture">
                      <pic:pic xmlns:pic="http://schemas.openxmlformats.org/drawingml/2006/picture">
                        <pic:nvPicPr>
                          <pic:cNvPr id="36" name="图片_82"/>
                          <pic:cNvPicPr/>
                        </pic:nvPicPr>
                        <pic:blipFill>
                          <a:blip r:embed="rId33"/>
                          <a:stretch>
                            <a:fillRect/>
                          </a:stretch>
                        </pic:blipFill>
                        <pic:spPr>
                          <a:xfrm>
                            <a:off x="0" y="0"/>
                            <a:ext cx="1007745" cy="6146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1200*550*420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3）五金：优质品牌五金配件，钢架采用优质钢管，表面静电粉末喷涂工艺。</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7"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文化中心3楼独立办公室（融媒体中心）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7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主管桌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542925</wp:posOffset>
                  </wp:positionV>
                  <wp:extent cx="1124585" cy="461645"/>
                  <wp:effectExtent l="0" t="0" r="18415" b="14605"/>
                  <wp:wrapNone/>
                  <wp:docPr id="37" name="图片_17"/>
                  <wp:cNvGraphicFramePr/>
                  <a:graphic xmlns:a="http://schemas.openxmlformats.org/drawingml/2006/main">
                    <a:graphicData uri="http://schemas.openxmlformats.org/drawingml/2006/picture">
                      <pic:pic xmlns:pic="http://schemas.openxmlformats.org/drawingml/2006/picture">
                        <pic:nvPicPr>
                          <pic:cNvPr id="37" name="图片_17"/>
                          <pic:cNvPicPr/>
                        </pic:nvPicPr>
                        <pic:blipFill>
                          <a:blip r:embed="rId34"/>
                          <a:stretch>
                            <a:fillRect/>
                          </a:stretch>
                        </pic:blipFill>
                        <pic:spPr>
                          <a:xfrm>
                            <a:off x="0" y="0"/>
                            <a:ext cx="1124585" cy="4616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1800*1600*750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                                                         4)五金件：脚架采用U型铝合金横梁，斜插子弹头造型管脚，壁厚≥1.5mm，通过铝压铸结构件把铝合金横梁和管脚连接起来，实现管脚自由拆装，轻便美观；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3)五金件：钢架采用70*40五边形异型管和50*50方管结合，拆装结构，五边形管壁厚≥1.5mm，50方管壁厚≥1.8mm，在五边形管和50方管上分别焊接2mm钣金，增强结构稳定性，表面喷塑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4)功能配置：含桌下≥9mm厚度挡板</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5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228600</wp:posOffset>
                  </wp:positionV>
                  <wp:extent cx="945515" cy="680085"/>
                  <wp:effectExtent l="0" t="0" r="6985" b="5715"/>
                  <wp:wrapNone/>
                  <wp:docPr id="38" name="图片_18"/>
                  <wp:cNvGraphicFramePr/>
                  <a:graphic xmlns:a="http://schemas.openxmlformats.org/drawingml/2006/main">
                    <a:graphicData uri="http://schemas.openxmlformats.org/drawingml/2006/picture">
                      <pic:pic xmlns:pic="http://schemas.openxmlformats.org/drawingml/2006/picture">
                        <pic:nvPicPr>
                          <pic:cNvPr id="38" name="图片_18"/>
                          <pic:cNvPicPr/>
                        </pic:nvPicPr>
                        <pic:blipFill>
                          <a:blip r:embed="rId35"/>
                          <a:stretch>
                            <a:fillRect/>
                          </a:stretch>
                        </pic:blipFill>
                        <pic:spPr>
                          <a:xfrm>
                            <a:off x="0" y="0"/>
                            <a:ext cx="945515" cy="6800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2000*400*1600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3)铰链：符合国家相关标准；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2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310515</wp:posOffset>
                  </wp:positionH>
                  <wp:positionV relativeFrom="paragraph">
                    <wp:posOffset>304800</wp:posOffset>
                  </wp:positionV>
                  <wp:extent cx="648335" cy="1038225"/>
                  <wp:effectExtent l="0" t="0" r="18415" b="9525"/>
                  <wp:wrapNone/>
                  <wp:docPr id="61" name="图片_20"/>
                  <wp:cNvGraphicFramePr/>
                  <a:graphic xmlns:a="http://schemas.openxmlformats.org/drawingml/2006/main">
                    <a:graphicData uri="http://schemas.openxmlformats.org/drawingml/2006/picture">
                      <pic:pic xmlns:pic="http://schemas.openxmlformats.org/drawingml/2006/picture">
                        <pic:nvPicPr>
                          <pic:cNvPr id="61" name="图片_20"/>
                          <pic:cNvPicPr/>
                        </pic:nvPicPr>
                        <pic:blipFill>
                          <a:blip r:embed="rId36"/>
                          <a:stretch>
                            <a:fillRect/>
                          </a:stretch>
                        </pic:blipFill>
                        <pic:spPr>
                          <a:xfrm>
                            <a:off x="0" y="0"/>
                            <a:ext cx="648335" cy="10382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715*560*1160-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1260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1)面料:采用优质网布，符合国家相关标准；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2)背框:PP+玻纤,符合国家相关标准；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3)曲木板:采用优质E1级成型胶合板,符合国家相关标准；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5)底盘:采用同步倾仰多档锁定底盘,底座钢板厚度≥2mm，符合国家相关标准；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7)扶手：采用PP材质扶手，符合国家相关标准要求；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8)五星脚:采用PP五星脚，符合国家相关标准要求；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9)椅轮:采用优质PA轮,符合国家相关标准要求；</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桌前椅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245110</wp:posOffset>
                  </wp:positionH>
                  <wp:positionV relativeFrom="paragraph">
                    <wp:posOffset>317500</wp:posOffset>
                  </wp:positionV>
                  <wp:extent cx="596265" cy="830580"/>
                  <wp:effectExtent l="0" t="0" r="13335" b="7620"/>
                  <wp:wrapNone/>
                  <wp:docPr id="47" name="图片_22"/>
                  <wp:cNvGraphicFramePr/>
                  <a:graphic xmlns:a="http://schemas.openxmlformats.org/drawingml/2006/main">
                    <a:graphicData uri="http://schemas.openxmlformats.org/drawingml/2006/picture">
                      <pic:pic xmlns:pic="http://schemas.openxmlformats.org/drawingml/2006/picture">
                        <pic:nvPicPr>
                          <pic:cNvPr id="47" name="图片_22"/>
                          <pic:cNvPicPr/>
                        </pic:nvPicPr>
                        <pic:blipFill>
                          <a:blip r:embed="rId37"/>
                          <a:stretch>
                            <a:fillRect/>
                          </a:stretch>
                        </pic:blipFill>
                        <pic:spPr>
                          <a:xfrm>
                            <a:off x="0" y="0"/>
                            <a:ext cx="596265" cy="8305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640*635*1000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1)面料:采用优质网布，符合国家相关标准；；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2)背框:PP+玻纤,符合国家相关标准；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3)曲木板:采用优质E1级成型胶合板,符合国家相关标准；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5)扶手：采用PP材质扶手，符合国家相关标准要求；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6)底架：喷塑钢制管材，一次折弯成型，符合国家相关标准。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文化中心3楼两人办公室（融媒体中心）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两人工作位</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653415</wp:posOffset>
                  </wp:positionV>
                  <wp:extent cx="1069975" cy="748030"/>
                  <wp:effectExtent l="0" t="0" r="15875" b="13970"/>
                  <wp:wrapNone/>
                  <wp:docPr id="46" name="图片_23"/>
                  <wp:cNvGraphicFramePr/>
                  <a:graphic xmlns:a="http://schemas.openxmlformats.org/drawingml/2006/main">
                    <a:graphicData uri="http://schemas.openxmlformats.org/drawingml/2006/picture">
                      <pic:pic xmlns:pic="http://schemas.openxmlformats.org/drawingml/2006/picture">
                        <pic:nvPicPr>
                          <pic:cNvPr id="46" name="图片_23"/>
                          <pic:cNvPicPr/>
                        </pic:nvPicPr>
                        <pic:blipFill>
                          <a:blip r:embed="rId38"/>
                          <a:stretch>
                            <a:fillRect/>
                          </a:stretch>
                        </pic:blipFill>
                        <pic:spPr>
                          <a:xfrm>
                            <a:off x="0" y="0"/>
                            <a:ext cx="1069975" cy="7480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1400*1400*750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4、阻尼铰链：符合符合国家相关标准；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5、阻尼导轨：符合符合国家相关标准；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7、固定柜：含三抽柜，与抽旁采用拉槽连接方式；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8、功能配置：含桌下挡板，采用8MM密度板，桌面线盒最少预留3个86型电源模块位置；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9、水基胶粘剂：符合符合国家相关标准；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266700</wp:posOffset>
                  </wp:positionV>
                  <wp:extent cx="945515" cy="680085"/>
                  <wp:effectExtent l="0" t="0" r="6985" b="5715"/>
                  <wp:wrapNone/>
                  <wp:docPr id="41" name="图片_24"/>
                  <wp:cNvGraphicFramePr/>
                  <a:graphic xmlns:a="http://schemas.openxmlformats.org/drawingml/2006/main">
                    <a:graphicData uri="http://schemas.openxmlformats.org/drawingml/2006/picture">
                      <pic:pic xmlns:pic="http://schemas.openxmlformats.org/drawingml/2006/picture">
                        <pic:nvPicPr>
                          <pic:cNvPr id="41" name="图片_24"/>
                          <pic:cNvPicPr/>
                        </pic:nvPicPr>
                        <pic:blipFill>
                          <a:blip r:embed="rId39"/>
                          <a:stretch>
                            <a:fillRect/>
                          </a:stretch>
                        </pic:blipFill>
                        <pic:spPr>
                          <a:xfrm>
                            <a:off x="0" y="0"/>
                            <a:ext cx="945515" cy="6800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2000*400*1600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3)铰链：符合国家相关标准；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215900</wp:posOffset>
                  </wp:positionH>
                  <wp:positionV relativeFrom="paragraph">
                    <wp:posOffset>483235</wp:posOffset>
                  </wp:positionV>
                  <wp:extent cx="795020" cy="1059815"/>
                  <wp:effectExtent l="0" t="0" r="5080" b="6985"/>
                  <wp:wrapNone/>
                  <wp:docPr id="39" name="图片_27"/>
                  <wp:cNvGraphicFramePr/>
                  <a:graphic xmlns:a="http://schemas.openxmlformats.org/drawingml/2006/main">
                    <a:graphicData uri="http://schemas.openxmlformats.org/drawingml/2006/picture">
                      <pic:pic xmlns:pic="http://schemas.openxmlformats.org/drawingml/2006/picture">
                        <pic:nvPicPr>
                          <pic:cNvPr id="39" name="图片_27"/>
                          <pic:cNvPicPr/>
                        </pic:nvPicPr>
                        <pic:blipFill>
                          <a:blip r:embed="rId40"/>
                          <a:stretch>
                            <a:fillRect/>
                          </a:stretch>
                        </pic:blipFill>
                        <pic:spPr>
                          <a:xfrm>
                            <a:off x="0" y="0"/>
                            <a:ext cx="795020" cy="10598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630*565*940-1030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1)面料:采用优质网布，符合国家相关标准；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2)背框:PP+玻纤,符合国家相关标准；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3)曲木板:采用优质E1级成型胶合板,符合国家相关标准；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5)底盘:采用同步倾仰多档锁定底盘,底座钢板厚度≥2mm，符合国家相关标准；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7)扶手：采用PP材质扶手，符合国家相关标准要求；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8)五星脚:采用PP五星脚，符合国家相关标准要求；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9)椅轮:采用优质PA轮,符合国家相关标准要求；</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7"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文化中心3楼摄影室（融媒体中心）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洽谈桌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219710</wp:posOffset>
                  </wp:positionH>
                  <wp:positionV relativeFrom="paragraph">
                    <wp:posOffset>72390</wp:posOffset>
                  </wp:positionV>
                  <wp:extent cx="681990" cy="832485"/>
                  <wp:effectExtent l="0" t="0" r="3810" b="5715"/>
                  <wp:wrapNone/>
                  <wp:docPr id="62" name="图片_30"/>
                  <wp:cNvGraphicFramePr/>
                  <a:graphic xmlns:a="http://schemas.openxmlformats.org/drawingml/2006/main">
                    <a:graphicData uri="http://schemas.openxmlformats.org/drawingml/2006/picture">
                      <pic:pic xmlns:pic="http://schemas.openxmlformats.org/drawingml/2006/picture">
                        <pic:nvPicPr>
                          <pic:cNvPr id="62" name="图片_30"/>
                          <pic:cNvPicPr/>
                        </pic:nvPicPr>
                        <pic:blipFill>
                          <a:blip r:embed="rId41"/>
                          <a:stretch>
                            <a:fillRect/>
                          </a:stretch>
                        </pic:blipFill>
                        <pic:spPr>
                          <a:xfrm>
                            <a:off x="0" y="0"/>
                            <a:ext cx="681990" cy="8324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φ800*750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3）五金：优质品牌五金配件，钢架采用优质钢管，表面静电粉末喷涂工艺。</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5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洽谈椅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52705</wp:posOffset>
                  </wp:positionV>
                  <wp:extent cx="742315" cy="818515"/>
                  <wp:effectExtent l="0" t="0" r="635" b="635"/>
                  <wp:wrapNone/>
                  <wp:docPr id="56" name="图片_28"/>
                  <wp:cNvGraphicFramePr/>
                  <a:graphic xmlns:a="http://schemas.openxmlformats.org/drawingml/2006/main">
                    <a:graphicData uri="http://schemas.openxmlformats.org/drawingml/2006/picture">
                      <pic:pic xmlns:pic="http://schemas.openxmlformats.org/drawingml/2006/picture">
                        <pic:nvPicPr>
                          <pic:cNvPr id="56" name="图片_28"/>
                          <pic:cNvPicPr/>
                        </pic:nvPicPr>
                        <pic:blipFill>
                          <a:blip r:embed="rId42"/>
                          <a:stretch>
                            <a:fillRect/>
                          </a:stretch>
                        </pic:blipFill>
                        <pic:spPr>
                          <a:xfrm>
                            <a:off x="0" y="0"/>
                            <a:ext cx="742315" cy="8185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550*620*820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1）面料：选用优质超纤皮，柔软贴手、透气性佳；</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2）海绵：采用高弹海绵，符合国家相关标准，符合国家相关标准；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3）内架：采用实木内架，经化学熏蒸杀虫和烘干处理，锰钢蛇簧加平衡线处理，永不变形</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4）脚：采用金属沙发脚。</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166370</wp:posOffset>
                  </wp:positionH>
                  <wp:positionV relativeFrom="paragraph">
                    <wp:posOffset>149860</wp:posOffset>
                  </wp:positionV>
                  <wp:extent cx="945515" cy="680085"/>
                  <wp:effectExtent l="0" t="0" r="6985" b="5715"/>
                  <wp:wrapNone/>
                  <wp:docPr id="45" name="图片_39"/>
                  <wp:cNvGraphicFramePr/>
                  <a:graphic xmlns:a="http://schemas.openxmlformats.org/drawingml/2006/main">
                    <a:graphicData uri="http://schemas.openxmlformats.org/drawingml/2006/picture">
                      <pic:pic xmlns:pic="http://schemas.openxmlformats.org/drawingml/2006/picture">
                        <pic:nvPicPr>
                          <pic:cNvPr id="45" name="图片_39"/>
                          <pic:cNvPicPr/>
                        </pic:nvPicPr>
                        <pic:blipFill>
                          <a:blip r:embed="rId43"/>
                          <a:stretch>
                            <a:fillRect/>
                          </a:stretch>
                        </pic:blipFill>
                        <pic:spPr>
                          <a:xfrm>
                            <a:off x="0" y="0"/>
                            <a:ext cx="945515" cy="6800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2000*400*1600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3)铰链：符合国家相关标准；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7"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文化中心3楼会议室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414020</wp:posOffset>
                  </wp:positionV>
                  <wp:extent cx="1031240" cy="406400"/>
                  <wp:effectExtent l="0" t="0" r="16510" b="12700"/>
                  <wp:wrapNone/>
                  <wp:docPr id="49" name="图片_41"/>
                  <wp:cNvGraphicFramePr/>
                  <a:graphic xmlns:a="http://schemas.openxmlformats.org/drawingml/2006/main">
                    <a:graphicData uri="http://schemas.openxmlformats.org/drawingml/2006/picture">
                      <pic:pic xmlns:pic="http://schemas.openxmlformats.org/drawingml/2006/picture">
                        <pic:nvPicPr>
                          <pic:cNvPr id="49" name="图片_41"/>
                          <pic:cNvPicPr/>
                        </pic:nvPicPr>
                        <pic:blipFill>
                          <a:blip r:embed="rId44"/>
                          <a:stretch>
                            <a:fillRect/>
                          </a:stretch>
                        </pic:blipFill>
                        <pic:spPr>
                          <a:xfrm>
                            <a:off x="0" y="0"/>
                            <a:ext cx="1031240" cy="4064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3800*1500*750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                                                                        4)五金件：脚架采用U型铝合金横梁，斜插子弹头造型管脚，壁厚≥1.5mm，通过铝压铸结构件把铝合金横梁和管脚连接起来，实现管脚自由拆装，轻便美观；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3)五金件：钢架采用70*40五边形异型管和50*50方管结合，拆装结构，五边形管壁厚≥1.5mm，50方管壁厚≥1.8mm，在五边形管和50方管上分别焊接2mm钣金，增强结构稳定性，表面喷塑</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2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262890</wp:posOffset>
                  </wp:positionH>
                  <wp:positionV relativeFrom="paragraph">
                    <wp:posOffset>127000</wp:posOffset>
                  </wp:positionV>
                  <wp:extent cx="664210" cy="936625"/>
                  <wp:effectExtent l="0" t="0" r="2540" b="15875"/>
                  <wp:wrapNone/>
                  <wp:docPr id="42" name="图片_68"/>
                  <wp:cNvGraphicFramePr/>
                  <a:graphic xmlns:a="http://schemas.openxmlformats.org/drawingml/2006/main">
                    <a:graphicData uri="http://schemas.openxmlformats.org/drawingml/2006/picture">
                      <pic:pic xmlns:pic="http://schemas.openxmlformats.org/drawingml/2006/picture">
                        <pic:nvPicPr>
                          <pic:cNvPr id="42" name="图片_68"/>
                          <pic:cNvPicPr/>
                        </pic:nvPicPr>
                        <pic:blipFill>
                          <a:blip r:embed="rId45"/>
                          <a:stretch>
                            <a:fillRect/>
                          </a:stretch>
                        </pic:blipFill>
                        <pic:spPr>
                          <a:xfrm>
                            <a:off x="0" y="0"/>
                            <a:ext cx="664210" cy="9366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640*635*1000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1)面料:采用优质网布，符合国家相关标准；；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2)背框:PP+玻纤,符合国家相关标准；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3)曲木板:采用优质E1级成型胶合板,符合国家相关标准；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5)扶手：采用PP材质扶手，符合国家相关标准要求；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6)底架：喷塑钢制管材，一次折弯成型，符合国家相关标准。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7"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文化中心3楼开间办公区（融媒体中心）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两人工作位</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1028700</wp:posOffset>
                  </wp:positionV>
                  <wp:extent cx="1089025" cy="748030"/>
                  <wp:effectExtent l="0" t="0" r="15875" b="13970"/>
                  <wp:wrapNone/>
                  <wp:docPr id="48" name="图片_14"/>
                  <wp:cNvGraphicFramePr/>
                  <a:graphic xmlns:a="http://schemas.openxmlformats.org/drawingml/2006/main">
                    <a:graphicData uri="http://schemas.openxmlformats.org/drawingml/2006/picture">
                      <pic:pic xmlns:pic="http://schemas.openxmlformats.org/drawingml/2006/picture">
                        <pic:nvPicPr>
                          <pic:cNvPr id="48" name="图片_14"/>
                          <pic:cNvPicPr/>
                        </pic:nvPicPr>
                        <pic:blipFill>
                          <a:blip r:embed="rId46"/>
                          <a:stretch>
                            <a:fillRect/>
                          </a:stretch>
                        </pic:blipFill>
                        <pic:spPr>
                          <a:xfrm>
                            <a:off x="0" y="0"/>
                            <a:ext cx="1089025" cy="7480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1400*1400*750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4、阻尼铰链：符合符合国家相关标准；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5、阻尼导轨：符合符合国家相关标准；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7、固定柜：含三抽柜，与抽旁采用拉槽连接方式；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8、功能配置：含桌下挡板，采用8MM密度板，桌面线盒最少预留3个86型电源模块位置；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9、水基胶粘剂：符合符合国家相关标准；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3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403225</wp:posOffset>
                  </wp:positionV>
                  <wp:extent cx="795020" cy="1059815"/>
                  <wp:effectExtent l="0" t="0" r="5080" b="6985"/>
                  <wp:wrapNone/>
                  <wp:docPr id="40" name="图片_55"/>
                  <wp:cNvGraphicFramePr/>
                  <a:graphic xmlns:a="http://schemas.openxmlformats.org/drawingml/2006/main">
                    <a:graphicData uri="http://schemas.openxmlformats.org/drawingml/2006/picture">
                      <pic:pic xmlns:pic="http://schemas.openxmlformats.org/drawingml/2006/picture">
                        <pic:nvPicPr>
                          <pic:cNvPr id="40" name="图片_55"/>
                          <pic:cNvPicPr/>
                        </pic:nvPicPr>
                        <pic:blipFill>
                          <a:blip r:embed="rId47"/>
                          <a:stretch>
                            <a:fillRect/>
                          </a:stretch>
                        </pic:blipFill>
                        <pic:spPr>
                          <a:xfrm>
                            <a:off x="0" y="0"/>
                            <a:ext cx="795020" cy="10598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630*565*940-1030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1)面料:采用优质网布，符合国家相关标准；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2)背框:PP+玻纤,符合国家相关标准；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3)曲木板:采用优质E1级成型胶合板,符合国家相关标准；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5)底盘:采用同步倾仰多档锁定底盘,底座钢板厚度≥2mm，符合国家相关标准；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7)扶手：采用PP材质扶手，符合国家相关标准要求；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8)五星脚:采用PP五星脚，符合国家相关标准要求；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9)椅轮:采用优质PA轮,符合国家相关标准要求；</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阶梯教室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课桌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167005</wp:posOffset>
                  </wp:positionH>
                  <wp:positionV relativeFrom="paragraph">
                    <wp:posOffset>539750</wp:posOffset>
                  </wp:positionV>
                  <wp:extent cx="1177925" cy="666115"/>
                  <wp:effectExtent l="0" t="0" r="3175" b="635"/>
                  <wp:wrapNone/>
                  <wp:docPr id="43" name="图片_5"/>
                  <wp:cNvGraphicFramePr/>
                  <a:graphic xmlns:a="http://schemas.openxmlformats.org/drawingml/2006/main">
                    <a:graphicData uri="http://schemas.openxmlformats.org/drawingml/2006/picture">
                      <pic:pic xmlns:pic="http://schemas.openxmlformats.org/drawingml/2006/picture">
                        <pic:nvPicPr>
                          <pic:cNvPr id="43" name="图片_5"/>
                          <pic:cNvPicPr/>
                        </pic:nvPicPr>
                        <pic:blipFill>
                          <a:blip r:embed="rId48"/>
                          <a:stretch>
                            <a:fillRect/>
                          </a:stretch>
                        </pic:blipFill>
                        <pic:spPr>
                          <a:xfrm>
                            <a:off x="0" y="0"/>
                            <a:ext cx="1177925" cy="6661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中心距538</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排距900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台面宽度335mm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座、椅背：椅座要求采用多层旋切木皮经模具热压成型，并面压防火板，厚度不小于14mm，清漆封边，坐高450mm。座板与回复机构底座要求采用穿透式连接方式连接，牢固度强，表面螺套经电解镀镍工艺处理，以确保长期使用不生锈。椅背要求采用改性PP材质一体注塑成型，表面皮纹处理，内嵌椅背板要求采用厚度不小于12mm刨花板双贴防火板，同色不小于1.5mmPVC封边。椅背尺寸为约：540*510*55mm，椅座尺寸为约：400x450x14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2、站脚：要求采用铝合金高温压铸一体成型，表面高温静电粉末喷涂，环保无有害物质释放；侧边装饰盖为高强度改性PP材质，一体注塑成型，表面皮纹处理。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背支撑金属组件：背板边柱要求采用铝合金模具压铸成型，表面高温静电粉末喷涂；内嵌要求将靠背支撑板嵌入背板边柱，将背板边柱嵌入主横梁。主横梁，背板边柱，靠背支撑板连接一体，形成牢固的钢木结构的受力框体。</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5、主横梁：要求采用不小于40*80x2.5mm方形钢管，表面经硅烷除锈高温喷粉处理。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7、主横梁连接件：要求采用6mm以上钢板（SPCC）冲压成型，表面经磷化除锈高温硅烷喷粉处理。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8、椅座回复机构：要求采用正向支撑自动缓回复机构。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9、回复机构支撑组件：由座板支撑座，连接主横梁支撑件，扭簧，阻尼，消音套件组成。</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10、座板支撑座：要求采用厚度不小于5mm钢板（SPCC）冲压成型，表面经硅烷除锈高温喷粉处理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11、连接主横梁支撑件：要求采用厚度不小于5mm钢板（SPCC）冲压成型，表面经硅烷除锈高温喷粉处理。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12.1、椅座受力大，机构可静态承重150公斤。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12.2、具备自动回复功能，且整个使用过程做到静音。</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12.3、使用安全：在正常非暴力使用情况下，无夹手点。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13、固定式写字台：</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13.1、写字台台面：要求采用厚度不小于18mm刨花板基材面压防火板，同色封边，台面高度760mm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13.2、课桌斗：要求采用厚度不小于1.2mm钢板（SPCC）折弯成型，表面经硅烷除锈高温喷粉处理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792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1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讲台</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1280795</wp:posOffset>
                  </wp:positionV>
                  <wp:extent cx="1133475" cy="944245"/>
                  <wp:effectExtent l="0" t="0" r="9525" b="8255"/>
                  <wp:wrapNone/>
                  <wp:docPr id="44" name="ID_727C25D5554A429B8CC53DBA1BE5CEA6"/>
                  <wp:cNvGraphicFramePr/>
                  <a:graphic xmlns:a="http://schemas.openxmlformats.org/drawingml/2006/main">
                    <a:graphicData uri="http://schemas.openxmlformats.org/drawingml/2006/picture">
                      <pic:pic xmlns:pic="http://schemas.openxmlformats.org/drawingml/2006/picture">
                        <pic:nvPicPr>
                          <pic:cNvPr id="44" name="ID_727C25D5554A429B8CC53DBA1BE5CEA6"/>
                          <pic:cNvPicPr/>
                        </pic:nvPicPr>
                        <pic:blipFill>
                          <a:blip r:embed="rId49"/>
                          <a:stretch>
                            <a:fillRect/>
                          </a:stretch>
                        </pic:blipFill>
                        <pic:spPr>
                          <a:xfrm>
                            <a:off x="0" y="0"/>
                            <a:ext cx="1133475" cy="9442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1400*800*（850-1050）</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1、刨花板：三聚氰胺饰面刨花板，符合国家相关标准；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3、升降桌架：立柱要求采用优质6063型铝材；底部要求采用厚度不小于6mm酸洗钢板、上部钢架要求采用优质冷轧钢管经激光数控光纤切割设备加工后焊接喷涂而成；表面要求采用阿克苏树脂静电喷涂工艺处理。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6、前挡板要求采用厚度不小于1.5mm优质冷轧钢板经激光数控光纤切割设备加工后焊接喷涂而成。</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过线及取电系统：桌下上线通过伸缩履带式上线管，桌面要求设有强大的强、弱电过线功能，带300mm烤瓷白色铝合金一体多功能翻盖线盒盖，两端配有缓冲阻尼；右侧带6A超六类网络模块，能支持万兆上网；带USB3.0接口，支持充电输出5V 1A ，同时备有无线充电设备。</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8、产品特性说明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升降立柱：伸缩式铝升降柱（外框规格约180*147mm），内装直流24V线性传动器。要求高弯矩,高负载,速度快,稳定性高。</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最大静态侧向力:1000NM，最大动态侧向力:500NM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输出电压:24VDC，空载电流:&lt;3.5A</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防护等级:IPXX，最大负载:150KG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最大速度:30mm/s，噪音水平:空载&lt;50dB</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工作制:10%；工作2分钟休息18分钟</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使用环境:室内，储存和运输温度:-10°C~70°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9、选配人体工学配件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十二向电脑显示器支臂架、台下吊式键盘架及吊式主机架</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标准教室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双人课桌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853440</wp:posOffset>
                  </wp:positionV>
                  <wp:extent cx="1134745" cy="933450"/>
                  <wp:effectExtent l="0" t="0" r="8255" b="0"/>
                  <wp:wrapNone/>
                  <wp:docPr id="50" name="图片_6"/>
                  <wp:cNvGraphicFramePr/>
                  <a:graphic xmlns:a="http://schemas.openxmlformats.org/drawingml/2006/main">
                    <a:graphicData uri="http://schemas.openxmlformats.org/drawingml/2006/picture">
                      <pic:pic xmlns:pic="http://schemas.openxmlformats.org/drawingml/2006/picture">
                        <pic:nvPicPr>
                          <pic:cNvPr id="50" name="图片_6"/>
                          <pic:cNvPicPr/>
                        </pic:nvPicPr>
                        <pic:blipFill>
                          <a:blip r:embed="rId50"/>
                          <a:stretch>
                            <a:fillRect/>
                          </a:stretch>
                        </pic:blipFill>
                        <pic:spPr>
                          <a:xfrm>
                            <a:off x="0" y="0"/>
                            <a:ext cx="1134745" cy="9334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1200*480*750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桌面板：厚度不小于25mm三聚氰胺饰面刨花板，桌板四周采用PP聚丙烯工程塑料注塑封边，每个位置要求设有ipad槽且与注塑封边一体注塑成型，手腕部位要求设有注塑耐磨垫；要求四周倒斜边、四角倒圆；桌面前方要求设有档边。</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2、刨花板：三聚氰胺饰面刨花板，符合国家相关标准；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书包栏：有效进深大于300mm；要求采用优质冷轧钢板（厚度不小于1.5mm）一次冲压成型的左右支撑架，直径14厚度1.2mm的4支圆形钢管与支撑架隐形焊接，书包架背部加装折边成型带冲压孔钢制挡板（厚度不小于0.7mm），书包架整体与桌腿分别二侧通过5mm螺栓紧密连接，顶部与台板预埋螺丝固定，确保承重稳固性。</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4、桌腿：要求采用不小于58mm×36mm的矩形倒圆角钢管，壁厚不小于1.2mm，表面无瑕疵。</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6、脚掌：规格不小于430mm×70mm×42mm；冷轧钢板冲压成型；脚掌底部配有水平调节脚垫。</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7、立柱上横梁：规格不小于395mm*50mm*25mm，采用优质冷轧钢板（厚度不小于1.5mm）冲压成型；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8、桌立柱与脚掌、上横梁的连接处采用ABS工程塑料管套装饰件插入式连接。</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9、前挡板：要求采用厚度不小于15mm三聚氰胺饰面板，背部加装横梁，二端装有ABS工程塑料装饰件，分别与立柱通过螺栓固定。</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1740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课椅</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149860</wp:posOffset>
                  </wp:positionH>
                  <wp:positionV relativeFrom="paragraph">
                    <wp:posOffset>34925</wp:posOffset>
                  </wp:positionV>
                  <wp:extent cx="1134745" cy="1209675"/>
                  <wp:effectExtent l="0" t="0" r="8255" b="9525"/>
                  <wp:wrapNone/>
                  <wp:docPr id="51" name="图片_7"/>
                  <wp:cNvGraphicFramePr/>
                  <a:graphic xmlns:a="http://schemas.openxmlformats.org/drawingml/2006/main">
                    <a:graphicData uri="http://schemas.openxmlformats.org/drawingml/2006/picture">
                      <pic:pic xmlns:pic="http://schemas.openxmlformats.org/drawingml/2006/picture">
                        <pic:nvPicPr>
                          <pic:cNvPr id="51" name="图片_7"/>
                          <pic:cNvPicPr/>
                        </pic:nvPicPr>
                        <pic:blipFill>
                          <a:blip r:embed="rId51"/>
                          <a:stretch>
                            <a:fillRect/>
                          </a:stretch>
                        </pic:blipFill>
                        <pic:spPr>
                          <a:xfrm>
                            <a:off x="0" y="0"/>
                            <a:ext cx="1134745" cy="12096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555*550*795</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1、座面及靠背：改性PP材料混入加强纤维；座面一次注塑成型，可以向上收起，便于收纳存放；靠背为热流道注塑成型工艺。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2、扶手：改性PP材质，保证表面光滑一致性。</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3、钢架：喷塑工艺要求采用Φ25*1.5与2mm的圆管，表面静电喷塑，喷塑厚度80-100um。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5、脚套：钢脚底部外包ABS脚套，与地面接触面采用PU材料要求具有防滑、耐磨、静音，保护地面的功能。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6、ABS脚套：符合国家相关标准。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3480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6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★课桌单人</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814705</wp:posOffset>
                  </wp:positionV>
                  <wp:extent cx="1185545" cy="1089025"/>
                  <wp:effectExtent l="0" t="0" r="14605" b="15875"/>
                  <wp:wrapNone/>
                  <wp:docPr id="52" name="图片_81"/>
                  <wp:cNvGraphicFramePr/>
                  <a:graphic xmlns:a="http://schemas.openxmlformats.org/drawingml/2006/main">
                    <a:graphicData uri="http://schemas.openxmlformats.org/drawingml/2006/picture">
                      <pic:pic xmlns:pic="http://schemas.openxmlformats.org/drawingml/2006/picture">
                        <pic:nvPicPr>
                          <pic:cNvPr id="52" name="图片_81"/>
                          <pic:cNvPicPr/>
                        </pic:nvPicPr>
                        <pic:blipFill>
                          <a:blip r:embed="rId52"/>
                          <a:stretch>
                            <a:fillRect/>
                          </a:stretch>
                        </pic:blipFill>
                        <pic:spPr>
                          <a:xfrm>
                            <a:off x="0" y="0"/>
                            <a:ext cx="1185545" cy="10890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650*450*760mm  2#3#4#</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4楼各8间60人标准教室用  </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1、刨花板：三聚氰胺饰面E0刨花板，符合国家相关标准；</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2、封边条：符合国家相关标准；</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桌架：后脚要求采用上口φ42mm，下口φ32mm的锥形管，壁厚≥1.2mm和铝合金一体成型连接件（156*133*35mm）制作，焊接均要求采用二氧化碳气体保护焊，表面经去油、除锈工艺处理后静电喷塑。前脚顶部要求采用不小于280*89*33mm异型铝铸连接件。前脚中间部分要求采用不小于80*35*2.0mm梭型铝管，前饰面带有8*3.5mm，54°装饰槽，后饰面带有30*5mm，69°功能槽。后脚底部要求采用不小于550*55*42mm一字型铝铸件，下设φ32*28mm调节脚。前脚上中下三部分采用螺栓连接。</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4、脚套：要求采用优质尼龙材质，表面光滑，摩擦系数小，耐磨；耐腐蚀。</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5、前档板：535*290*5mm，挡板中间厚度不小于5mm，左右两边增加加强边厚度不小于15mm，要求采用磨砂不透明PC材质制作。</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6、置物架：470*268*60mm，要求采用1.2mm厚钢板（SPCC）折弯成型，具有储物功能。材料具备耐高温，耐腐蚀等良好性能。</w:t>
            </w:r>
          </w:p>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7、紧固件：桌面与桌架的连接方式采用预埋螺母方式连接。                                                       </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1440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7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单人位课椅</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409575</wp:posOffset>
                  </wp:positionV>
                  <wp:extent cx="989965" cy="1155700"/>
                  <wp:effectExtent l="0" t="0" r="635" b="6350"/>
                  <wp:wrapNone/>
                  <wp:docPr id="53" name="图片_52"/>
                  <wp:cNvGraphicFramePr/>
                  <a:graphic xmlns:a="http://schemas.openxmlformats.org/drawingml/2006/main">
                    <a:graphicData uri="http://schemas.openxmlformats.org/drawingml/2006/picture">
                      <pic:pic xmlns:pic="http://schemas.openxmlformats.org/drawingml/2006/picture">
                        <pic:nvPicPr>
                          <pic:cNvPr id="53" name="图片_52"/>
                          <pic:cNvPicPr/>
                        </pic:nvPicPr>
                        <pic:blipFill>
                          <a:blip r:embed="rId53"/>
                          <a:stretch>
                            <a:fillRect/>
                          </a:stretch>
                        </pic:blipFill>
                        <pic:spPr>
                          <a:xfrm>
                            <a:off x="0" y="0"/>
                            <a:ext cx="989965" cy="11557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555*550*795  2#3#4#</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4楼各8间60人标准教室用</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1、座面及靠背：改性PP材料混入加强纤维；座面一次注塑成型，可以向上收起，便于收纳存放；靠背为热流道注塑成型工艺。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2、扶手：改性PP材质，保证表面光滑一致性。</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3、钢架：喷塑工艺要求采用Φ25*1.5与2mm的圆管，表面静电喷塑，喷塑厚度80-100um。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5、脚套：钢脚底部外包ABS脚套，与地面接触面采用PU材料要求具有防滑、耐磨、静音，保护地面的功能。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6、ABS脚套：符合国家相关标准。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1440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1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讲台</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1857375</wp:posOffset>
                  </wp:positionV>
                  <wp:extent cx="1139190" cy="952500"/>
                  <wp:effectExtent l="0" t="0" r="3810" b="0"/>
                  <wp:wrapNone/>
                  <wp:docPr id="54" name="图片_76"/>
                  <wp:cNvGraphicFramePr/>
                  <a:graphic xmlns:a="http://schemas.openxmlformats.org/drawingml/2006/main">
                    <a:graphicData uri="http://schemas.openxmlformats.org/drawingml/2006/picture">
                      <pic:pic xmlns:pic="http://schemas.openxmlformats.org/drawingml/2006/picture">
                        <pic:nvPicPr>
                          <pic:cNvPr id="54" name="图片_76"/>
                          <pic:cNvPicPr/>
                        </pic:nvPicPr>
                        <pic:blipFill>
                          <a:blip r:embed="rId54"/>
                          <a:stretch>
                            <a:fillRect/>
                          </a:stretch>
                        </pic:blipFill>
                        <pic:spPr>
                          <a:xfrm>
                            <a:off x="0" y="0"/>
                            <a:ext cx="1139190" cy="9525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1400*800*（850-1050）</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1、刨花板：三聚氰胺饰面E0刨花板，符合国家相关标准；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3、升降桌架：立柱要求采用优质6063型铝材；底部要求采用厚度不小于6mm酸洗钢板、上部钢架要求采用优质冷轧钢管经激光数控光纤切割设备加工后焊接喷涂而成；表面要求采用阿克苏树脂静电喷涂工艺处理。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6、前挡板要求采用厚度不小于1.5mm优质冷轧钢板经激光数控光纤切割设备加工后焊接喷涂而成。</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过线及取电系统：桌下上线通过伸缩履带式上线管，桌面要求设有强大的强、弱电过线功能，带300mm烤瓷白色铝合金一体多功能翻盖线盒盖，两端配有缓冲阻尼；右侧带6A超六类网络模块，能支持万兆上网；带USB3.0接口，支持充电输出5V 1A ，同时备有无线充电设备。</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8、产品特性说明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升降立柱：伸缩式铝升降柱（外框规格180*147mm），内装直流24V线性传动器。要求高弯矩,高负载,速度快,稳定性高。</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最大静态侧向力:1000NM，最大动态侧向力:500NM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输出电压:24VDC，空载电流:&lt;3.5A</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防护等级:IPXX，最大负载:150KG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最大速度:30mm/s，噪音水平:空载&lt;50dB</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工作制:10%；工作2分钟休息18分钟</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使用环境:室内，储存和运输温度:-10°C~70°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9、选配人体工学配件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十二向电脑显示器支臂架、台下吊式键盘架及吊式主机架</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定制固定白板</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323850</wp:posOffset>
                  </wp:positionV>
                  <wp:extent cx="1076325" cy="430530"/>
                  <wp:effectExtent l="0" t="0" r="9525" b="7620"/>
                  <wp:wrapNone/>
                  <wp:docPr id="60" name="图片_87"/>
                  <wp:cNvGraphicFramePr/>
                  <a:graphic xmlns:a="http://schemas.openxmlformats.org/drawingml/2006/main">
                    <a:graphicData uri="http://schemas.openxmlformats.org/drawingml/2006/picture">
                      <pic:pic xmlns:pic="http://schemas.openxmlformats.org/drawingml/2006/picture">
                        <pic:nvPicPr>
                          <pic:cNvPr id="60" name="图片_87"/>
                          <pic:cNvPicPr/>
                        </pic:nvPicPr>
                        <pic:blipFill>
                          <a:blip r:embed="rId55"/>
                          <a:stretch>
                            <a:fillRect/>
                          </a:stretch>
                        </pic:blipFill>
                        <pic:spPr>
                          <a:xfrm>
                            <a:off x="0" y="0"/>
                            <a:ext cx="1076325" cy="430530"/>
                          </a:xfrm>
                          <a:prstGeom prst="rect">
                            <a:avLst/>
                          </a:prstGeom>
                          <a:noFill/>
                          <a:ln>
                            <a:noFill/>
                          </a:ln>
                        </pic:spPr>
                      </pic:pic>
                    </a:graphicData>
                  </a:graphic>
                </wp:anchor>
              </w:drawing>
            </w:r>
          </w:p>
        </w:tc>
        <w:tc>
          <w:tcPr>
            <w:tcW w:w="11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尺寸现场确定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1、面板：书写面图层采用搪瓷面板，表面光滑平整，书写流畅易清洁，擦拭不留痕迹；</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2、背板：优质镀锌钢板，可吸附有磁性的产品；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3、内芯：高强度聚苯乙烯板；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4、无边框设计，书写无边界。</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5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      固定黑板</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142875</wp:posOffset>
                  </wp:positionV>
                  <wp:extent cx="1066800" cy="393065"/>
                  <wp:effectExtent l="0" t="0" r="0" b="6985"/>
                  <wp:wrapNone/>
                  <wp:docPr id="55" name="图片_77"/>
                  <wp:cNvGraphicFramePr/>
                  <a:graphic xmlns:a="http://schemas.openxmlformats.org/drawingml/2006/main">
                    <a:graphicData uri="http://schemas.openxmlformats.org/drawingml/2006/picture">
                      <pic:pic xmlns:pic="http://schemas.openxmlformats.org/drawingml/2006/picture">
                        <pic:nvPicPr>
                          <pic:cNvPr id="55" name="图片_77"/>
                          <pic:cNvPicPr/>
                        </pic:nvPicPr>
                        <pic:blipFill>
                          <a:blip r:embed="rId56"/>
                          <a:stretch>
                            <a:fillRect/>
                          </a:stretch>
                        </pic:blipFill>
                        <pic:spPr>
                          <a:xfrm>
                            <a:off x="0" y="0"/>
                            <a:ext cx="1066800" cy="393065"/>
                          </a:xfrm>
                          <a:prstGeom prst="rect">
                            <a:avLst/>
                          </a:prstGeom>
                          <a:noFill/>
                          <a:ln>
                            <a:noFill/>
                          </a:ln>
                        </pic:spPr>
                      </pic:pic>
                    </a:graphicData>
                  </a:graphic>
                </wp:anchor>
              </w:drawing>
            </w:r>
          </w:p>
        </w:tc>
        <w:tc>
          <w:tcPr>
            <w:tcW w:w="1150"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1、面板：书写面图层采用优良烤漆面板，使其表面光滑平整书写流畅，且容易擦拭，擦拭不留痕迹；</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2、背板: 优质镀锌钢板，可吸附有磁性的产品；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3、边框: 实木边框；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4、内芯:六层蜂窝瓦楞板。</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合班教案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7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双人课桌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781050</wp:posOffset>
                  </wp:positionV>
                  <wp:extent cx="1188720" cy="666750"/>
                  <wp:effectExtent l="0" t="0" r="11430" b="0"/>
                  <wp:wrapNone/>
                  <wp:docPr id="57" name="图片_88"/>
                  <wp:cNvGraphicFramePr/>
                  <a:graphic xmlns:a="http://schemas.openxmlformats.org/drawingml/2006/main">
                    <a:graphicData uri="http://schemas.openxmlformats.org/drawingml/2006/picture">
                      <pic:pic xmlns:pic="http://schemas.openxmlformats.org/drawingml/2006/picture">
                        <pic:nvPicPr>
                          <pic:cNvPr id="57" name="图片_88"/>
                          <pic:cNvPicPr/>
                        </pic:nvPicPr>
                        <pic:blipFill>
                          <a:blip r:embed="rId57"/>
                          <a:stretch>
                            <a:fillRect/>
                          </a:stretch>
                        </pic:blipFill>
                        <pic:spPr>
                          <a:xfrm>
                            <a:off x="0" y="0"/>
                            <a:ext cx="1188720" cy="6667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1200*450*760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1、刨花板：三聚氰胺饰面刨花板，符合国家相关标准；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3、桌斗：桌斗要求采用不小于1.2mm厚钢板（SPCC）折弯成型成型，每个桌子配置2个桌斗，桌斗内空长度不低于440mm,深度不低于320mm,高低不低于100mm；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4、桌架：脚管要求采用不小于42*32*1.5mm蛋形管，横梁要求采用不小于50*30*1.5mm矩形管，桌架整体焊接成型，牢固耐用；桌侧装饰板采用1.2mm钢板（SPCC）折弯成型；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5、挡板：钢板折弯冲压成型，材质厚度不小于1mm；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6、喷塑：钢架、托架、挡板均要求采用高品质环保喷涂工艺；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7、功能：桌面带有笔槽设计，侧面带有挂钩设计。</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821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4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课椅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276225</wp:posOffset>
                  </wp:positionV>
                  <wp:extent cx="1045210" cy="992505"/>
                  <wp:effectExtent l="0" t="0" r="2540" b="17145"/>
                  <wp:wrapNone/>
                  <wp:docPr id="58" name="图片_105"/>
                  <wp:cNvGraphicFramePr/>
                  <a:graphic xmlns:a="http://schemas.openxmlformats.org/drawingml/2006/main">
                    <a:graphicData uri="http://schemas.openxmlformats.org/drawingml/2006/picture">
                      <pic:pic xmlns:pic="http://schemas.openxmlformats.org/drawingml/2006/picture">
                        <pic:nvPicPr>
                          <pic:cNvPr id="58" name="图片_105"/>
                          <pic:cNvPicPr/>
                        </pic:nvPicPr>
                        <pic:blipFill>
                          <a:blip r:embed="rId58"/>
                          <a:stretch>
                            <a:fillRect/>
                          </a:stretch>
                        </pic:blipFill>
                        <pic:spPr>
                          <a:xfrm>
                            <a:off x="0" y="0"/>
                            <a:ext cx="1045210" cy="9925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555*550*795</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1、座面及靠背：改性PP材料混入加强纤维；座面一次注塑成型，可以向上收起，便于收纳存放；靠背为热流道注塑成型工艺。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2、扶手：改性PP材质，保证表面光滑一致性。</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3、钢架：喷塑工艺要求采用Φ25*1.5与2mm的圆管，表面静电喷塑，喷塑厚度80-100um。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5、脚套：钢脚底部外包ABS脚套，与地面接触面采用PU材料要求具有防滑、耐磨、静音，保护地面的功能。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6、ABS脚套：符合国家相关标准。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1642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3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讲台</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1247775</wp:posOffset>
                  </wp:positionV>
                  <wp:extent cx="1104900" cy="923925"/>
                  <wp:effectExtent l="0" t="0" r="0" b="9525"/>
                  <wp:wrapNone/>
                  <wp:docPr id="59" name="图片_107"/>
                  <wp:cNvGraphicFramePr/>
                  <a:graphic xmlns:a="http://schemas.openxmlformats.org/drawingml/2006/main">
                    <a:graphicData uri="http://schemas.openxmlformats.org/drawingml/2006/picture">
                      <pic:pic xmlns:pic="http://schemas.openxmlformats.org/drawingml/2006/picture">
                        <pic:nvPicPr>
                          <pic:cNvPr id="59" name="图片_107"/>
                          <pic:cNvPicPr/>
                        </pic:nvPicPr>
                        <pic:blipFill>
                          <a:blip r:embed="rId59"/>
                          <a:stretch>
                            <a:fillRect/>
                          </a:stretch>
                        </pic:blipFill>
                        <pic:spPr>
                          <a:xfrm>
                            <a:off x="0" y="0"/>
                            <a:ext cx="1104900" cy="9239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1400*800*（850-1050）</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1、刨花板：三聚氰胺饰面刨花板，符合国家相关标准；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3、升降桌架：立柱要求采用优质6063型铝材；底部要求采用厚度不小于6mm酸洗钢板、上部钢架要求采用优质冷轧钢管经激光数控光纤切割设备加工后焊接喷涂而成；表面要求采用阿克苏树脂静电喷涂工艺处理。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6、前挡板要求采用厚度不小于1.5mm优质冷轧钢板经激光数控光纤切割设备加工后焊接喷涂而成。</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过线及取电系统：桌下上线通过伸缩履带式上线管，桌面要求设有强大的强、弱电过线功能，带300mm烤瓷白色铝合金一体多功能翻盖线盒盖，两端配有缓冲阻尼；右侧带6A超六类网络模块，能支持万兆上网；带USB3.0接口，支持充电输出5V 1A ，同时备有无线充电设备。</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8、产品特性说明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升降立柱：伸缩式铝升降柱（外框规格180*147mm），内装直流24V线性传动器。要求高弯矩,高负载,速度快,稳定性高。</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最大静态侧向力:1000NM，最大动态侧向力:500NM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输出电压:24VDC，空载电流:&lt;3.5A</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防护等级:IPXX，最大负载:150KG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最大速度:30mm/s，噪音水平:空载&lt;50dB</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工作制:10%；工作2分钟休息18分钟</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使用环境:室内，储存和运输温度:-10°C~70°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9、选配人体工学配件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十二向电脑显示器支臂架、台下吊式键盘架及吊式主机架</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2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      固定白板</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333375</wp:posOffset>
                  </wp:positionV>
                  <wp:extent cx="1080770" cy="432435"/>
                  <wp:effectExtent l="0" t="0" r="5080" b="5715"/>
                  <wp:wrapNone/>
                  <wp:docPr id="87" name="图片_110"/>
                  <wp:cNvGraphicFramePr/>
                  <a:graphic xmlns:a="http://schemas.openxmlformats.org/drawingml/2006/main">
                    <a:graphicData uri="http://schemas.openxmlformats.org/drawingml/2006/picture">
                      <pic:pic xmlns:pic="http://schemas.openxmlformats.org/drawingml/2006/picture">
                        <pic:nvPicPr>
                          <pic:cNvPr id="87" name="图片_110"/>
                          <pic:cNvPicPr/>
                        </pic:nvPicPr>
                        <pic:blipFill>
                          <a:blip r:embed="rId60"/>
                          <a:stretch>
                            <a:fillRect/>
                          </a:stretch>
                        </pic:blipFill>
                        <pic:spPr>
                          <a:xfrm>
                            <a:off x="0" y="0"/>
                            <a:ext cx="1080770" cy="4324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尺寸现场确定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r>
              <w:rPr>
                <w:rStyle w:val="70"/>
                <w:rFonts w:hint="eastAsia" w:ascii="宋体" w:hAnsi="宋体" w:eastAsia="宋体" w:cs="宋体"/>
                <w:b w:val="0"/>
                <w:bCs w:val="0"/>
                <w:sz w:val="18"/>
                <w:szCs w:val="18"/>
                <w:highlight w:val="none"/>
                <w:lang w:val="en-US" w:eastAsia="zh-CN" w:bidi="ar"/>
              </w:rPr>
              <w:t>面板</w:t>
            </w:r>
            <w:r>
              <w:rPr>
                <w:rFonts w:hint="eastAsia" w:ascii="宋体" w:hAnsi="宋体" w:eastAsia="宋体" w:cs="宋体"/>
                <w:b w:val="0"/>
                <w:bCs w:val="0"/>
                <w:i w:val="0"/>
                <w:iCs w:val="0"/>
                <w:color w:val="000000"/>
                <w:kern w:val="0"/>
                <w:sz w:val="18"/>
                <w:szCs w:val="18"/>
                <w:highlight w:val="none"/>
                <w:u w:val="none"/>
                <w:lang w:val="en-US" w:eastAsia="zh-CN" w:bidi="ar"/>
              </w:rPr>
              <w:t>：书写面图层采用搪瓷面板，表面光滑平整，书写流畅易清洁，擦拭不留痕迹；</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w:t>
            </w:r>
            <w:r>
              <w:rPr>
                <w:rStyle w:val="70"/>
                <w:rFonts w:hint="eastAsia" w:ascii="宋体" w:hAnsi="宋体" w:eastAsia="宋体" w:cs="宋体"/>
                <w:b w:val="0"/>
                <w:bCs w:val="0"/>
                <w:sz w:val="18"/>
                <w:szCs w:val="18"/>
                <w:highlight w:val="none"/>
                <w:lang w:val="en-US" w:eastAsia="zh-CN" w:bidi="ar"/>
              </w:rPr>
              <w:t>背板</w:t>
            </w:r>
            <w:r>
              <w:rPr>
                <w:rFonts w:hint="eastAsia" w:ascii="宋体" w:hAnsi="宋体" w:eastAsia="宋体" w:cs="宋体"/>
                <w:b w:val="0"/>
                <w:bCs w:val="0"/>
                <w:i w:val="0"/>
                <w:iCs w:val="0"/>
                <w:color w:val="000000"/>
                <w:kern w:val="0"/>
                <w:sz w:val="18"/>
                <w:szCs w:val="18"/>
                <w:highlight w:val="none"/>
                <w:u w:val="none"/>
                <w:lang w:val="en-US" w:eastAsia="zh-CN" w:bidi="ar"/>
              </w:rPr>
              <w:t>：优质镀锌钢板，可吸附有磁性的产品；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w:t>
            </w:r>
            <w:r>
              <w:rPr>
                <w:rStyle w:val="70"/>
                <w:rFonts w:hint="eastAsia" w:ascii="宋体" w:hAnsi="宋体" w:eastAsia="宋体" w:cs="宋体"/>
                <w:b w:val="0"/>
                <w:bCs w:val="0"/>
                <w:sz w:val="18"/>
                <w:szCs w:val="18"/>
                <w:highlight w:val="none"/>
                <w:lang w:val="en-US" w:eastAsia="zh-CN" w:bidi="ar"/>
              </w:rPr>
              <w:t>内芯</w:t>
            </w:r>
            <w:r>
              <w:rPr>
                <w:rFonts w:hint="eastAsia" w:ascii="宋体" w:hAnsi="宋体" w:eastAsia="宋体" w:cs="宋体"/>
                <w:b w:val="0"/>
                <w:bCs w:val="0"/>
                <w:i w:val="0"/>
                <w:iCs w:val="0"/>
                <w:color w:val="000000"/>
                <w:kern w:val="0"/>
                <w:sz w:val="18"/>
                <w:szCs w:val="18"/>
                <w:highlight w:val="none"/>
                <w:u w:val="none"/>
                <w:lang w:val="en-US" w:eastAsia="zh-CN" w:bidi="ar"/>
              </w:rPr>
              <w:t>：高强度聚苯乙烯板；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4、无边框设计，书写无边界。</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电脑教室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电脑桌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426720</wp:posOffset>
                  </wp:positionV>
                  <wp:extent cx="1181100" cy="873125"/>
                  <wp:effectExtent l="0" t="0" r="0" b="3175"/>
                  <wp:wrapNone/>
                  <wp:docPr id="83" name="图片_9"/>
                  <wp:cNvGraphicFramePr/>
                  <a:graphic xmlns:a="http://schemas.openxmlformats.org/drawingml/2006/main">
                    <a:graphicData uri="http://schemas.openxmlformats.org/drawingml/2006/picture">
                      <pic:pic xmlns:pic="http://schemas.openxmlformats.org/drawingml/2006/picture">
                        <pic:nvPicPr>
                          <pic:cNvPr id="83" name="图片_9"/>
                          <pic:cNvPicPr/>
                        </pic:nvPicPr>
                        <pic:blipFill>
                          <a:blip r:embed="rId61"/>
                          <a:stretch>
                            <a:fillRect/>
                          </a:stretch>
                        </pic:blipFill>
                        <pic:spPr>
                          <a:xfrm>
                            <a:off x="0" y="0"/>
                            <a:ext cx="1181100" cy="8731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1000*650*750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1、刨花板：三聚氰胺饰面刨花板，符合国家相关标准；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2、桌面线槽带翻盖，并留有出线孔，线槽两侧带可拆卸的封口挡板，桌下机箱处带走线槽且带可开盖板，桌子带背板，钢管与背板材质厚度不小于1.5mm。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3、桌面线槽盖板铰链见结构图。</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4、铰链：符合国家相关标准：耐腐蚀18h无锈点；抗盐雾18h无锈点。</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白色面板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灰色封边</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白色脚架</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1440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软包凳子</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368300</wp:posOffset>
                  </wp:positionV>
                  <wp:extent cx="1172845" cy="809625"/>
                  <wp:effectExtent l="0" t="0" r="8255" b="9525"/>
                  <wp:wrapNone/>
                  <wp:docPr id="88" name="图片_10"/>
                  <wp:cNvGraphicFramePr/>
                  <a:graphic xmlns:a="http://schemas.openxmlformats.org/drawingml/2006/main">
                    <a:graphicData uri="http://schemas.openxmlformats.org/drawingml/2006/picture">
                      <pic:pic xmlns:pic="http://schemas.openxmlformats.org/drawingml/2006/picture">
                        <pic:nvPicPr>
                          <pic:cNvPr id="88" name="图片_10"/>
                          <pic:cNvPicPr/>
                        </pic:nvPicPr>
                        <pic:blipFill>
                          <a:blip r:embed="rId62"/>
                          <a:stretch>
                            <a:fillRect/>
                          </a:stretch>
                        </pic:blipFill>
                        <pic:spPr>
                          <a:xfrm>
                            <a:off x="0" y="0"/>
                            <a:ext cx="1172845" cy="8096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450*340*270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1、刨花板：三聚氰胺饰面刨花板，符合国家相关标准；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3、椅架采用不小于25*25*1.2mm方管，表面喷塑。凳脚内插式防滑静音TPR脚垫。</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灰色凳面</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白色脚架</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1440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1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讲台</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1476375</wp:posOffset>
                  </wp:positionV>
                  <wp:extent cx="1073150" cy="897255"/>
                  <wp:effectExtent l="0" t="0" r="12700" b="17145"/>
                  <wp:wrapNone/>
                  <wp:docPr id="67" name="图片_113"/>
                  <wp:cNvGraphicFramePr/>
                  <a:graphic xmlns:a="http://schemas.openxmlformats.org/drawingml/2006/main">
                    <a:graphicData uri="http://schemas.openxmlformats.org/drawingml/2006/picture">
                      <pic:pic xmlns:pic="http://schemas.openxmlformats.org/drawingml/2006/picture">
                        <pic:nvPicPr>
                          <pic:cNvPr id="67" name="图片_113"/>
                          <pic:cNvPicPr/>
                        </pic:nvPicPr>
                        <pic:blipFill>
                          <a:blip r:embed="rId63"/>
                          <a:stretch>
                            <a:fillRect/>
                          </a:stretch>
                        </pic:blipFill>
                        <pic:spPr>
                          <a:xfrm>
                            <a:off x="0" y="0"/>
                            <a:ext cx="1073150" cy="89725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1400*800*（850-1050）</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1、刨花板：三聚氰胺饰面刨花板，符合国家相关标准；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3、升降桌架：立柱要求采用优质6063型铝材；底部要求采用厚度不小于6mm酸洗钢板、上部钢架要求采用优质冷轧钢管经激光数控光纤切割设备加工后焊接喷涂而成；表面要求采用阿克苏树脂静电喷涂工艺处理。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6、前挡板要求采用厚度不小于1.5mm优质冷轧钢板经激光数控光纤切割设备加工后焊接喷涂而成。</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过线及取电系统：桌下上线通过伸缩履带式上线管，桌面要求设有强大的强、弱电过线功能，带300mm烤瓷白色铝合金一体多功能翻盖线盒盖，两端配有缓冲阻尼；右侧带6A超六类网络模块，能支持万兆上网；带USB3.0接口，支持充电输出5V 1A ，同时备有无线充电设备。</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8、产品特性说明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升降立柱：伸缩式铝升降柱（外框规格180*147mm），内装直流24V线性传动器。要求高弯矩,高负载,速度快,稳定性高。</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最大静态侧向力:1000NM，最大动态侧向力:500NM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输出电压:24VDC，空载电流:&lt;3.5A</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防护等级:IPXX，最大负载:150KG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最大速度:30mm/s，噪音水平:空载&lt;50dB</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工作制:10%；工作2分钟休息18分钟</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使用环境:室内，储存和运输温度:-10°C~70°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9、选配人体工学配件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十二向电脑显示器支臂架、台下吊式键盘架及吊式主机架</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9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      固定白板</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457200</wp:posOffset>
                  </wp:positionV>
                  <wp:extent cx="1057275" cy="422910"/>
                  <wp:effectExtent l="0" t="0" r="9525" b="15240"/>
                  <wp:wrapNone/>
                  <wp:docPr id="66" name="图片_115"/>
                  <wp:cNvGraphicFramePr/>
                  <a:graphic xmlns:a="http://schemas.openxmlformats.org/drawingml/2006/main">
                    <a:graphicData uri="http://schemas.openxmlformats.org/drawingml/2006/picture">
                      <pic:pic xmlns:pic="http://schemas.openxmlformats.org/drawingml/2006/picture">
                        <pic:nvPicPr>
                          <pic:cNvPr id="66" name="图片_115"/>
                          <pic:cNvPicPr/>
                        </pic:nvPicPr>
                        <pic:blipFill>
                          <a:blip r:embed="rId64"/>
                          <a:stretch>
                            <a:fillRect/>
                          </a:stretch>
                        </pic:blipFill>
                        <pic:spPr>
                          <a:xfrm>
                            <a:off x="0" y="0"/>
                            <a:ext cx="1057275" cy="42291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尺寸现场确定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r>
              <w:rPr>
                <w:rStyle w:val="70"/>
                <w:rFonts w:hint="eastAsia" w:ascii="宋体" w:hAnsi="宋体" w:eastAsia="宋体" w:cs="宋体"/>
                <w:b w:val="0"/>
                <w:bCs w:val="0"/>
                <w:sz w:val="18"/>
                <w:szCs w:val="18"/>
                <w:highlight w:val="none"/>
                <w:lang w:val="en-US" w:eastAsia="zh-CN" w:bidi="ar"/>
              </w:rPr>
              <w:t>面板</w:t>
            </w:r>
            <w:r>
              <w:rPr>
                <w:rFonts w:hint="eastAsia" w:ascii="宋体" w:hAnsi="宋体" w:eastAsia="宋体" w:cs="宋体"/>
                <w:b w:val="0"/>
                <w:bCs w:val="0"/>
                <w:i w:val="0"/>
                <w:iCs w:val="0"/>
                <w:color w:val="000000"/>
                <w:kern w:val="0"/>
                <w:sz w:val="18"/>
                <w:szCs w:val="18"/>
                <w:highlight w:val="none"/>
                <w:u w:val="none"/>
                <w:lang w:val="en-US" w:eastAsia="zh-CN" w:bidi="ar"/>
              </w:rPr>
              <w:t>：书写面图层采用搪瓷面板，表面光滑平整，书写流畅易清洁，擦拭不留痕迹；</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w:t>
            </w:r>
            <w:r>
              <w:rPr>
                <w:rStyle w:val="70"/>
                <w:rFonts w:hint="eastAsia" w:ascii="宋体" w:hAnsi="宋体" w:eastAsia="宋体" w:cs="宋体"/>
                <w:b w:val="0"/>
                <w:bCs w:val="0"/>
                <w:sz w:val="18"/>
                <w:szCs w:val="18"/>
                <w:highlight w:val="none"/>
                <w:lang w:val="en-US" w:eastAsia="zh-CN" w:bidi="ar"/>
              </w:rPr>
              <w:t>背板</w:t>
            </w:r>
            <w:r>
              <w:rPr>
                <w:rFonts w:hint="eastAsia" w:ascii="宋体" w:hAnsi="宋体" w:eastAsia="宋体" w:cs="宋体"/>
                <w:b w:val="0"/>
                <w:bCs w:val="0"/>
                <w:i w:val="0"/>
                <w:iCs w:val="0"/>
                <w:color w:val="000000"/>
                <w:kern w:val="0"/>
                <w:sz w:val="18"/>
                <w:szCs w:val="18"/>
                <w:highlight w:val="none"/>
                <w:u w:val="none"/>
                <w:lang w:val="en-US" w:eastAsia="zh-CN" w:bidi="ar"/>
              </w:rPr>
              <w:t>：优质镀锌钢板，可吸附有磁性的产品；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w:t>
            </w:r>
            <w:r>
              <w:rPr>
                <w:rStyle w:val="70"/>
                <w:rFonts w:hint="eastAsia" w:ascii="宋体" w:hAnsi="宋体" w:eastAsia="宋体" w:cs="宋体"/>
                <w:b w:val="0"/>
                <w:bCs w:val="0"/>
                <w:sz w:val="18"/>
                <w:szCs w:val="18"/>
                <w:highlight w:val="none"/>
                <w:lang w:val="en-US" w:eastAsia="zh-CN" w:bidi="ar"/>
              </w:rPr>
              <w:t>内芯</w:t>
            </w:r>
            <w:r>
              <w:rPr>
                <w:rFonts w:hint="eastAsia" w:ascii="宋体" w:hAnsi="宋体" w:eastAsia="宋体" w:cs="宋体"/>
                <w:b w:val="0"/>
                <w:bCs w:val="0"/>
                <w:i w:val="0"/>
                <w:iCs w:val="0"/>
                <w:color w:val="000000"/>
                <w:kern w:val="0"/>
                <w:sz w:val="18"/>
                <w:szCs w:val="18"/>
                <w:highlight w:val="none"/>
                <w:u w:val="none"/>
                <w:lang w:val="en-US" w:eastAsia="zh-CN" w:bidi="ar"/>
              </w:rPr>
              <w:t>：高强度聚苯乙烯板；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4、无边框设计，书写无边界。</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微格教室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异形课桌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533400</wp:posOffset>
                  </wp:positionV>
                  <wp:extent cx="1005840" cy="1333500"/>
                  <wp:effectExtent l="0" t="0" r="3810" b="0"/>
                  <wp:wrapNone/>
                  <wp:docPr id="89" name="图片_116"/>
                  <wp:cNvGraphicFramePr/>
                  <a:graphic xmlns:a="http://schemas.openxmlformats.org/drawingml/2006/main">
                    <a:graphicData uri="http://schemas.openxmlformats.org/drawingml/2006/picture">
                      <pic:pic xmlns:pic="http://schemas.openxmlformats.org/drawingml/2006/picture">
                        <pic:nvPicPr>
                          <pic:cNvPr id="89" name="图片_116"/>
                          <pic:cNvPicPr/>
                        </pic:nvPicPr>
                        <pic:blipFill>
                          <a:blip r:embed="rId65"/>
                          <a:stretch>
                            <a:fillRect/>
                          </a:stretch>
                        </pic:blipFill>
                        <pic:spPr>
                          <a:xfrm>
                            <a:off x="0" y="0"/>
                            <a:ext cx="1005840" cy="13335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805×575/250×760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桌面板：PP聚丙烯工程塑料注塑包边一体成型:桌板要求采用厚度不小于18mm的三聚氰胺饰面刨花板，桌板四周采用PP聚丙烯工程塑料注塑封边，每个位置正前方要求设有笔槽且与注塑封边一体注塑成型。靠进人坐的一面要求倒弧边、四角倒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2、刨花板：三聚氰胺饰面刨花板，符合国家相关标准；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3、挡板：要求采用不小于1.0mm厚的冷轧钢板折弯成型，挡板有孔位设计。</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4、钢架立柱要求采用不小于φ25mm×1.2mm圆管折弯成型。靠外一侧的立柱底部为活动脚轮，靠人一侧带塑料内塞。</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6、脚轮：优质尼龙脚轮。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7、焊接：二氧化碳保护焊。涂装：经抛丸除油、除锈、精细打磨、酸洗磷化、静电喷塑。</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9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课桌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73660</wp:posOffset>
                  </wp:positionV>
                  <wp:extent cx="1156970" cy="1133475"/>
                  <wp:effectExtent l="0" t="0" r="5080" b="9525"/>
                  <wp:wrapNone/>
                  <wp:docPr id="75" name="图片_117"/>
                  <wp:cNvGraphicFramePr/>
                  <a:graphic xmlns:a="http://schemas.openxmlformats.org/drawingml/2006/main">
                    <a:graphicData uri="http://schemas.openxmlformats.org/drawingml/2006/picture">
                      <pic:pic xmlns:pic="http://schemas.openxmlformats.org/drawingml/2006/picture">
                        <pic:nvPicPr>
                          <pic:cNvPr id="75" name="图片_117"/>
                          <pic:cNvPicPr/>
                        </pic:nvPicPr>
                        <pic:blipFill>
                          <a:blip r:embed="rId66"/>
                          <a:stretch>
                            <a:fillRect/>
                          </a:stretch>
                        </pic:blipFill>
                        <pic:spPr>
                          <a:xfrm>
                            <a:off x="0" y="0"/>
                            <a:ext cx="1156970" cy="11334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870*540*760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桌面板：PP聚丙烯工程塑料注塑包边一体成型:桌板要求采用厚度不小于18mm的三聚氰胺饰面刨花板，桌板四周采用PP聚丙烯工程塑料注塑封边，每个位置正前方要求设有笔槽且与注塑封边一体注塑成型。靠进人坐的一面要求倒弧边、四角倒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2、刨花板：三聚氰胺饰面刨花板，符合国家相关标准；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4、焊接：二氧化碳保护焊。涂装：经抛丸除油、除锈、精细打磨、酸洗磷化、静电喷塑。</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1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课椅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1514475</wp:posOffset>
                  </wp:positionV>
                  <wp:extent cx="1154430" cy="1295400"/>
                  <wp:effectExtent l="0" t="0" r="7620" b="0"/>
                  <wp:wrapNone/>
                  <wp:docPr id="90" name="图片_118"/>
                  <wp:cNvGraphicFramePr/>
                  <a:graphic xmlns:a="http://schemas.openxmlformats.org/drawingml/2006/main">
                    <a:graphicData uri="http://schemas.openxmlformats.org/drawingml/2006/picture">
                      <pic:pic xmlns:pic="http://schemas.openxmlformats.org/drawingml/2006/picture">
                        <pic:nvPicPr>
                          <pic:cNvPr id="90" name="图片_118"/>
                          <pic:cNvPicPr/>
                        </pic:nvPicPr>
                        <pic:blipFill>
                          <a:blip r:embed="rId67"/>
                          <a:stretch>
                            <a:fillRect/>
                          </a:stretch>
                        </pic:blipFill>
                        <pic:spPr>
                          <a:xfrm>
                            <a:off x="0" y="0"/>
                            <a:ext cx="1154430" cy="12954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1、椅背要求采用内外框结合方式，外框要求采用高强度尼龙加纤维，内背要求采用弹性网布印刷浙江金融学校校徽，具有耐摩擦，不掉色，线条间隔≤6mm，椅背可以倾仰≥8度。椅座面到椅背的最高点≥445±5mm；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2、扶手本体要求可以上下调整，材料为尼龙加纤维，扶手下方铝合金件固定。扶手离地面高度≥652±5mm 椅子可加装写字板，双板结构注塑成型，底部受力板PA+30%GF，面板ABS结实不易刮花，主要支撑架铝合金ADC12压铸成型，铝合金抛光工艺加弯管烤漆工艺组合，铁管厚度2.0mm 直径25mm.桌板可以承重≥45KG.写字板尺寸≥395mm*260mm适中，写字板使用时离地面的高度≥685mm；(扶手可根据实际使用需求取消)</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座垫：可拆换，要求采用双框结构可自由拆御，底壳要求采用PA+30%GF材质、无木板符合环保要求，同时可以拆洗解决椅座沾灰问题，边厚度不小于3.5mm,中间厚度不小于5mm,注塑成型，面壳PP材质厚度不小于3mm。海绵采用高密度定型绵，主材料聚氨脂，发泡成型，海绵厚度不小于5cm，硬度60±5°。密度≥65KG/立方。座部没有木板，符合环保诉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脚：为实心尼龙材料（PA+40%GF注塑成型），前后脚采用KD（双栒卯工艺+螺丝）方式，内埋螺母。椅脚材质是尼龙加玻璃纤维采用前后脚组装方式，同时结合榫卯工艺，采用双榫卯结构使其承重≥180KG，前脚尺寸L582*w504*h140mm（±2mm），后脚尺寸L405*w45*h40mm（±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5、网布采≤0.2mm线径，采用尼龙材质。对刺穿性破坏具有修复功能；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6、椅子可横向收纳。所有配件（扶手、固定脚垫、水杯架、书网兜、活动脚轮、写字板、连接扣、背部布套、坐垫布套）均为KD模块化设计，可根据场景需要进行增减；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7、置物篮（可加装）：可配置采用铁线成型，焊接喷油工艺，内部线径3.5mm外部线径5.5mm长445mm宽450mm高156mm的置物篮；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8、轮子：注塑成型+五金件组合工艺，主材料PA轮子直径50MM；(可选万向轮或固定脚)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10、扶手：注塑成型 PA主体+TPU面盖组合，满足硬度及手感舒适度；</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4-3书法教室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书法桌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223520</wp:posOffset>
                  </wp:positionV>
                  <wp:extent cx="860425" cy="671830"/>
                  <wp:effectExtent l="0" t="0" r="15875" b="13970"/>
                  <wp:wrapNone/>
                  <wp:docPr id="91" name="图片_64"/>
                  <wp:cNvGraphicFramePr/>
                  <a:graphic xmlns:a="http://schemas.openxmlformats.org/drawingml/2006/main">
                    <a:graphicData uri="http://schemas.openxmlformats.org/drawingml/2006/picture">
                      <pic:pic xmlns:pic="http://schemas.openxmlformats.org/drawingml/2006/picture">
                        <pic:nvPicPr>
                          <pic:cNvPr id="91" name="图片_64"/>
                          <pic:cNvPicPr/>
                        </pic:nvPicPr>
                        <pic:blipFill>
                          <a:blip r:embed="rId68"/>
                          <a:stretch>
                            <a:fillRect/>
                          </a:stretch>
                        </pic:blipFill>
                        <pic:spPr>
                          <a:xfrm>
                            <a:off x="0" y="0"/>
                            <a:ext cx="860425" cy="6718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1400*500*760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1、产品工艺采用传统榫卯结构和现代工艺设备相结合，总体结构 KD 拆装结构，各组单元之间采用偏心件、螺丝等五金连接而成，更易拆装组合，实木产品结构更加稳定耐用；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2、木材：框架本体采用实木框架，结构稳定，框架内无填充物；实木框架经过防腐、防虫蚀、防开裂处理；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4、水基胶粘剂：符合国家相关标准；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1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书法椅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312420</wp:posOffset>
                  </wp:positionV>
                  <wp:extent cx="815975" cy="579755"/>
                  <wp:effectExtent l="0" t="0" r="3175" b="10795"/>
                  <wp:wrapNone/>
                  <wp:docPr id="84" name="图片_65"/>
                  <wp:cNvGraphicFramePr/>
                  <a:graphic xmlns:a="http://schemas.openxmlformats.org/drawingml/2006/main">
                    <a:graphicData uri="http://schemas.openxmlformats.org/drawingml/2006/picture">
                      <pic:pic xmlns:pic="http://schemas.openxmlformats.org/drawingml/2006/picture">
                        <pic:nvPicPr>
                          <pic:cNvPr id="84" name="图片_65"/>
                          <pic:cNvPicPr/>
                        </pic:nvPicPr>
                        <pic:blipFill>
                          <a:blip r:embed="rId69"/>
                          <a:stretch>
                            <a:fillRect/>
                          </a:stretch>
                        </pic:blipFill>
                        <pic:spPr>
                          <a:xfrm>
                            <a:off x="0" y="0"/>
                            <a:ext cx="815975" cy="57975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450*300*450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1、产品工艺采用传统榫卯结构和现代工艺设备相结合，总体结构 KD 拆装结构，各组单元之间采用偏心件、螺丝等五金连接而成，更易拆装组合，实木产品结构更加稳定耐用；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2、木材：框架本体采用实木框架，结构稳定，框架内无填充物；实木框架经过防腐、防虫蚀、防开裂处理；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4、水基胶粘剂：符合国家相关标准；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储物柜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187325</wp:posOffset>
                  </wp:positionH>
                  <wp:positionV relativeFrom="paragraph">
                    <wp:posOffset>104775</wp:posOffset>
                  </wp:positionV>
                  <wp:extent cx="818515" cy="857250"/>
                  <wp:effectExtent l="0" t="0" r="635" b="0"/>
                  <wp:wrapNone/>
                  <wp:docPr id="76" name="图片_19"/>
                  <wp:cNvGraphicFramePr/>
                  <a:graphic xmlns:a="http://schemas.openxmlformats.org/drawingml/2006/main">
                    <a:graphicData uri="http://schemas.openxmlformats.org/drawingml/2006/picture">
                      <pic:pic xmlns:pic="http://schemas.openxmlformats.org/drawingml/2006/picture">
                        <pic:nvPicPr>
                          <pic:cNvPr id="76" name="图片_19"/>
                          <pic:cNvPicPr/>
                        </pic:nvPicPr>
                        <pic:blipFill>
                          <a:blip r:embed="rId70"/>
                          <a:stretch>
                            <a:fillRect/>
                          </a:stretch>
                        </pic:blipFill>
                        <pic:spPr>
                          <a:xfrm>
                            <a:off x="0" y="0"/>
                            <a:ext cx="818515" cy="8572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800*350*2000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1、产品工艺采用传统榫卯结构和现代工艺设备相结合，总体结构 KD 拆装结构，各组单元之间采用偏心件、螺丝等五金连接而成，更易拆装组合，实木产品结构更加稳定耐用；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2、木材：框架本体采用实木框架，结构稳定，框架内无填充物；实木框架经过防腐、防虫蚀、防开裂处理；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4、水基胶粘剂：符合国家相关标准；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4-5声乐教室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台阶</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77470</wp:posOffset>
                  </wp:positionV>
                  <wp:extent cx="896620" cy="605155"/>
                  <wp:effectExtent l="0" t="0" r="17780" b="4445"/>
                  <wp:wrapNone/>
                  <wp:docPr id="92" name="图片_66"/>
                  <wp:cNvGraphicFramePr/>
                  <a:graphic xmlns:a="http://schemas.openxmlformats.org/drawingml/2006/main">
                    <a:graphicData uri="http://schemas.openxmlformats.org/drawingml/2006/picture">
                      <pic:pic xmlns:pic="http://schemas.openxmlformats.org/drawingml/2006/picture">
                        <pic:nvPicPr>
                          <pic:cNvPr id="92" name="图片_66"/>
                          <pic:cNvPicPr/>
                        </pic:nvPicPr>
                        <pic:blipFill>
                          <a:blip r:embed="rId71"/>
                          <a:stretch>
                            <a:fillRect/>
                          </a:stretch>
                        </pic:blipFill>
                        <pic:spPr>
                          <a:xfrm>
                            <a:off x="0" y="0"/>
                            <a:ext cx="896620" cy="60515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1200*1200*600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1.木材：主材天然实木，性能稳定，纹理清晰，自然感强烈。辅材采用优质橡胶木指接板；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 采用环保水性面漆底漆，采用五底三面的八道涂装工艺，保证产品光泽、平整、纹理清晰、环保符合国家标准。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3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椅子</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142875</wp:posOffset>
                  </wp:positionV>
                  <wp:extent cx="742950" cy="825500"/>
                  <wp:effectExtent l="0" t="0" r="0" b="12700"/>
                  <wp:wrapNone/>
                  <wp:docPr id="65" name="图片_67"/>
                  <wp:cNvGraphicFramePr/>
                  <a:graphic xmlns:a="http://schemas.openxmlformats.org/drawingml/2006/main">
                    <a:graphicData uri="http://schemas.openxmlformats.org/drawingml/2006/picture">
                      <pic:pic xmlns:pic="http://schemas.openxmlformats.org/drawingml/2006/picture">
                        <pic:nvPicPr>
                          <pic:cNvPr id="65" name="图片_67"/>
                          <pic:cNvPicPr/>
                        </pic:nvPicPr>
                        <pic:blipFill>
                          <a:blip r:embed="rId72"/>
                          <a:stretch>
                            <a:fillRect/>
                          </a:stretch>
                        </pic:blipFill>
                        <pic:spPr>
                          <a:xfrm>
                            <a:off x="0" y="0"/>
                            <a:ext cx="742950" cy="8255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1、椅身：聚丙烯添加防静电剂（聚乙醇酯）原色颗粒塑料；</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2、材质：100%全新家具专用环保工程塑料生产；</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3、工艺：抗老化，超强防紫外线，五年内无褪色保证，耐磨损易清洁；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4、面料：采用环保面料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6、脚架：选用冷轧钢材，经脱脂、水洗、酸洗、水洗中和、表调、磷化、干燥等工艺处理，表面粉末涂料静电喷涂处理。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6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储物柜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127000</wp:posOffset>
                  </wp:positionV>
                  <wp:extent cx="718820" cy="962025"/>
                  <wp:effectExtent l="0" t="0" r="5080" b="9525"/>
                  <wp:wrapNone/>
                  <wp:docPr id="80" name="图片_70"/>
                  <wp:cNvGraphicFramePr/>
                  <a:graphic xmlns:a="http://schemas.openxmlformats.org/drawingml/2006/main">
                    <a:graphicData uri="http://schemas.openxmlformats.org/drawingml/2006/picture">
                      <pic:pic xmlns:pic="http://schemas.openxmlformats.org/drawingml/2006/picture">
                        <pic:nvPicPr>
                          <pic:cNvPr id="80" name="图片_70"/>
                          <pic:cNvPicPr/>
                        </pic:nvPicPr>
                        <pic:blipFill>
                          <a:blip r:embed="rId73"/>
                          <a:stretch>
                            <a:fillRect/>
                          </a:stretch>
                        </pic:blipFill>
                        <pic:spPr>
                          <a:xfrm>
                            <a:off x="0" y="0"/>
                            <a:ext cx="718820" cy="9620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800*400*1850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4)五金件：脚架采用U型铝合金横梁，斜插子弹头造型管脚，壁厚1.5mm，通过铝压铸结构件把铝合金横梁和管脚连接起来，实现管脚自由拆装，轻便美观；                                                                        5)功能说明：层板可活动、拆卸。</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4-4画室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画架</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248920</wp:posOffset>
                  </wp:positionH>
                  <wp:positionV relativeFrom="paragraph">
                    <wp:posOffset>50800</wp:posOffset>
                  </wp:positionV>
                  <wp:extent cx="663575" cy="987425"/>
                  <wp:effectExtent l="0" t="0" r="3175" b="3175"/>
                  <wp:wrapNone/>
                  <wp:docPr id="79" name="图片_45"/>
                  <wp:cNvGraphicFramePr/>
                  <a:graphic xmlns:a="http://schemas.openxmlformats.org/drawingml/2006/main">
                    <a:graphicData uri="http://schemas.openxmlformats.org/drawingml/2006/picture">
                      <pic:pic xmlns:pic="http://schemas.openxmlformats.org/drawingml/2006/picture">
                        <pic:nvPicPr>
                          <pic:cNvPr id="79" name="图片_45"/>
                          <pic:cNvPicPr/>
                        </pic:nvPicPr>
                        <pic:blipFill>
                          <a:blip r:embed="rId74"/>
                          <a:stretch>
                            <a:fillRect/>
                          </a:stretch>
                        </pic:blipFill>
                        <pic:spPr>
                          <a:xfrm>
                            <a:off x="0" y="0"/>
                            <a:ext cx="663575" cy="9874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4、水基胶粘剂：符合符合国家相关标准；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椅子</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179070</wp:posOffset>
                  </wp:positionV>
                  <wp:extent cx="742950" cy="825500"/>
                  <wp:effectExtent l="0" t="0" r="0" b="12700"/>
                  <wp:wrapNone/>
                  <wp:docPr id="93" name="图片_72"/>
                  <wp:cNvGraphicFramePr/>
                  <a:graphic xmlns:a="http://schemas.openxmlformats.org/drawingml/2006/main">
                    <a:graphicData uri="http://schemas.openxmlformats.org/drawingml/2006/picture">
                      <pic:pic xmlns:pic="http://schemas.openxmlformats.org/drawingml/2006/picture">
                        <pic:nvPicPr>
                          <pic:cNvPr id="93" name="图片_72"/>
                          <pic:cNvPicPr/>
                        </pic:nvPicPr>
                        <pic:blipFill>
                          <a:blip r:embed="rId75"/>
                          <a:stretch>
                            <a:fillRect/>
                          </a:stretch>
                        </pic:blipFill>
                        <pic:spPr>
                          <a:xfrm>
                            <a:off x="0" y="0"/>
                            <a:ext cx="742950" cy="8255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1、椅身：聚丙烯添加防静电剂（聚乙醇酯）原色颗粒塑料；</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2、材质：100%全新家具专用环保工程塑料生产；</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3、工艺：抗老化，超强防紫外线，五年内无褪色保证，耐磨损易清洁；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4、面料：采用环保面料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6、脚架：选用冷轧钢材，经脱脂、水洗、酸洗、水洗中和、表调、磷化、干燥等工艺处理，表面粉末涂料静电喷涂处理。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储物柜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241300</wp:posOffset>
                  </wp:positionH>
                  <wp:positionV relativeFrom="paragraph">
                    <wp:posOffset>185420</wp:posOffset>
                  </wp:positionV>
                  <wp:extent cx="818515" cy="857250"/>
                  <wp:effectExtent l="0" t="0" r="635" b="0"/>
                  <wp:wrapNone/>
                  <wp:docPr id="94" name="图片_73"/>
                  <wp:cNvGraphicFramePr/>
                  <a:graphic xmlns:a="http://schemas.openxmlformats.org/drawingml/2006/main">
                    <a:graphicData uri="http://schemas.openxmlformats.org/drawingml/2006/picture">
                      <pic:pic xmlns:pic="http://schemas.openxmlformats.org/drawingml/2006/picture">
                        <pic:nvPicPr>
                          <pic:cNvPr id="94" name="图片_73"/>
                          <pic:cNvPicPr/>
                        </pic:nvPicPr>
                        <pic:blipFill>
                          <a:blip r:embed="rId76"/>
                          <a:stretch>
                            <a:fillRect/>
                          </a:stretch>
                        </pic:blipFill>
                        <pic:spPr>
                          <a:xfrm>
                            <a:off x="0" y="0"/>
                            <a:ext cx="818515" cy="8572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800*350*2000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1、产品工艺采用传统榫卯结构和现代工艺设备相结合，总体结构 KD 拆装结构，各组单元之间采用偏心件、螺丝等五金连接而成，更易拆装组合，实木产品结构更加稳定耐用；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2、木材：框架本体采用实木框架，结构稳定，框架内无填充物；实木框架经过防腐、防虫蚀、防开裂处理；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4、水基胶粘剂：符合国家相关标准；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4-1舞蹈房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1212215</wp:posOffset>
                  </wp:positionV>
                  <wp:extent cx="945515" cy="678815"/>
                  <wp:effectExtent l="0" t="0" r="6985" b="6985"/>
                  <wp:wrapNone/>
                  <wp:docPr id="68" name="图片_69"/>
                  <wp:cNvGraphicFramePr/>
                  <a:graphic xmlns:a="http://schemas.openxmlformats.org/drawingml/2006/main">
                    <a:graphicData uri="http://schemas.openxmlformats.org/drawingml/2006/picture">
                      <pic:pic xmlns:pic="http://schemas.openxmlformats.org/drawingml/2006/picture">
                        <pic:nvPicPr>
                          <pic:cNvPr id="68" name="图片_69"/>
                          <pic:cNvPicPr/>
                        </pic:nvPicPr>
                        <pic:blipFill>
                          <a:blip r:embed="rId77"/>
                          <a:stretch>
                            <a:fillRect/>
                          </a:stretch>
                        </pic:blipFill>
                        <pic:spPr>
                          <a:xfrm>
                            <a:off x="0" y="0"/>
                            <a:ext cx="945515" cy="6788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1780*1600*1150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侧柜：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1600*400*1150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4.五金件：钢制脚架采用60*25mm方管，倒斜角10*10mm，壁厚≥1.8mm，45°斗角焊接，表面喷塑；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5.固定柜：含三抽柜，抽屉内抽旁采用45°拼接，表面PVC包覆，抽底板采用5MM中纤板，与抽旁采用拉槽连接方式；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6.功能配置：含桌下挡板，尺寸900*300mm，采用8MM聚酯纤维板，桌面线盒最少预留3个86型电源模块位置；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7.下架：静电粉末喷涂钢制下架；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8.热固性粉末涂料：符合国家相关标准；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1.桌面线盒采用集成插座,含电源模块、USB模块,符合3C或者CE认证要求；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2.聚酯纤维板:毛毡板采用聚酯纤维,符合国家相关标准；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240030</wp:posOffset>
                  </wp:positionH>
                  <wp:positionV relativeFrom="paragraph">
                    <wp:posOffset>121920</wp:posOffset>
                  </wp:positionV>
                  <wp:extent cx="754380" cy="1271905"/>
                  <wp:effectExtent l="0" t="0" r="7620" b="4445"/>
                  <wp:wrapNone/>
                  <wp:docPr id="63" name="图片_210"/>
                  <wp:cNvGraphicFramePr/>
                  <a:graphic xmlns:a="http://schemas.openxmlformats.org/drawingml/2006/main">
                    <a:graphicData uri="http://schemas.openxmlformats.org/drawingml/2006/picture">
                      <pic:pic xmlns:pic="http://schemas.openxmlformats.org/drawingml/2006/picture">
                        <pic:nvPicPr>
                          <pic:cNvPr id="63" name="图片_210"/>
                          <pic:cNvPicPr/>
                        </pic:nvPicPr>
                        <pic:blipFill>
                          <a:blip r:embed="rId78"/>
                          <a:stretch>
                            <a:fillRect/>
                          </a:stretch>
                        </pic:blipFill>
                        <pic:spPr>
                          <a:xfrm>
                            <a:off x="0" y="0"/>
                            <a:ext cx="754380" cy="12719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900*400*1966mm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可选配玻璃柜门</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备注：层板可活动、可拆卸；上门柜的木门板可选配玻璃门板；</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1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698500</wp:posOffset>
                  </wp:positionV>
                  <wp:extent cx="774700" cy="1281430"/>
                  <wp:effectExtent l="0" t="0" r="6350" b="13970"/>
                  <wp:wrapNone/>
                  <wp:docPr id="64" name="图片_3"/>
                  <wp:cNvGraphicFramePr/>
                  <a:graphic xmlns:a="http://schemas.openxmlformats.org/drawingml/2006/main">
                    <a:graphicData uri="http://schemas.openxmlformats.org/drawingml/2006/picture">
                      <pic:pic xmlns:pic="http://schemas.openxmlformats.org/drawingml/2006/picture">
                        <pic:nvPicPr>
                          <pic:cNvPr id="64" name="图片_3"/>
                          <pic:cNvPicPr/>
                        </pic:nvPicPr>
                        <pic:blipFill>
                          <a:blip r:embed="rId79"/>
                          <a:stretch>
                            <a:fillRect/>
                          </a:stretch>
                        </pic:blipFill>
                        <pic:spPr>
                          <a:xfrm>
                            <a:off x="0" y="0"/>
                            <a:ext cx="774700" cy="12814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690*660*1190mm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2.背框:尼龙+30%玻纤,符合国家环保标准；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3.曲木板：采用E1级优质曲木板，≥12mm外板≥6mm内板；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5.底盘:采用优质底盘,底座钢板厚度≥2mm；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8.椅轮:采用优质PA轮,符合国家相关标准；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9.扶手:固定PA扶手，强度高、耐腐蚀；</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0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储物凳</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67945</wp:posOffset>
                  </wp:positionV>
                  <wp:extent cx="828675" cy="852805"/>
                  <wp:effectExtent l="0" t="0" r="9525" b="4445"/>
                  <wp:wrapNone/>
                  <wp:docPr id="74" name="图片_74"/>
                  <wp:cNvGraphicFramePr/>
                  <a:graphic xmlns:a="http://schemas.openxmlformats.org/drawingml/2006/main">
                    <a:graphicData uri="http://schemas.openxmlformats.org/drawingml/2006/picture">
                      <pic:pic xmlns:pic="http://schemas.openxmlformats.org/drawingml/2006/picture">
                        <pic:nvPicPr>
                          <pic:cNvPr id="74" name="图片_74"/>
                          <pic:cNvPicPr/>
                        </pic:nvPicPr>
                        <pic:blipFill>
                          <a:blip r:embed="rId80"/>
                          <a:stretch>
                            <a:fillRect/>
                          </a:stretch>
                        </pic:blipFill>
                        <pic:spPr>
                          <a:xfrm>
                            <a:off x="0" y="0"/>
                            <a:ext cx="828675" cy="8528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400*400*450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1、框架：框架本体采用实木框架，结构稳定，框架内无填充物；实木框架经过防腐、防虫蚀、防开裂处理；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2、面料：采用优质麻绒，耐磨性强、透气性好；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更衣柜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222250</wp:posOffset>
                  </wp:positionV>
                  <wp:extent cx="926465" cy="691515"/>
                  <wp:effectExtent l="0" t="0" r="6985" b="13335"/>
                  <wp:wrapNone/>
                  <wp:docPr id="81" name="图片_58"/>
                  <wp:cNvGraphicFramePr/>
                  <a:graphic xmlns:a="http://schemas.openxmlformats.org/drawingml/2006/main">
                    <a:graphicData uri="http://schemas.openxmlformats.org/drawingml/2006/picture">
                      <pic:pic xmlns:pic="http://schemas.openxmlformats.org/drawingml/2006/picture">
                        <pic:nvPicPr>
                          <pic:cNvPr id="81" name="图片_58"/>
                          <pic:cNvPicPr/>
                        </pic:nvPicPr>
                        <pic:blipFill>
                          <a:blip r:embed="rId81"/>
                          <a:stretch>
                            <a:fillRect/>
                          </a:stretch>
                        </pic:blipFill>
                        <pic:spPr>
                          <a:xfrm>
                            <a:off x="0" y="0"/>
                            <a:ext cx="926465" cy="6915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900*550*1850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1、冷轧钢板：符合国家相关标准；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3、阻尼铰链：采用优质阻尼铰链，符合国家相关标准；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3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更衣凳</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187960</wp:posOffset>
                  </wp:positionH>
                  <wp:positionV relativeFrom="paragraph">
                    <wp:posOffset>285750</wp:posOffset>
                  </wp:positionV>
                  <wp:extent cx="955675" cy="457200"/>
                  <wp:effectExtent l="0" t="0" r="15875" b="0"/>
                  <wp:wrapNone/>
                  <wp:docPr id="69" name="图片_12"/>
                  <wp:cNvGraphicFramePr/>
                  <a:graphic xmlns:a="http://schemas.openxmlformats.org/drawingml/2006/main">
                    <a:graphicData uri="http://schemas.openxmlformats.org/drawingml/2006/picture">
                      <pic:pic xmlns:pic="http://schemas.openxmlformats.org/drawingml/2006/picture">
                        <pic:nvPicPr>
                          <pic:cNvPr id="69" name="图片_12"/>
                          <pic:cNvPicPr/>
                        </pic:nvPicPr>
                        <pic:blipFill>
                          <a:blip r:embed="rId82"/>
                          <a:stretch>
                            <a:fillRect/>
                          </a:stretch>
                        </pic:blipFill>
                        <pic:spPr>
                          <a:xfrm>
                            <a:off x="0" y="0"/>
                            <a:ext cx="955675" cy="4572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2000*240*280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1、框架：框架本体采用实木框架，结构稳定，框架内无填充物；实木框架经过防腐、防虫蚀、防开裂处理；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2、面料：采用超纤皮，耐磨光滑；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4-2社团用房（辩论专用）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130175</wp:posOffset>
                  </wp:positionH>
                  <wp:positionV relativeFrom="paragraph">
                    <wp:posOffset>330200</wp:posOffset>
                  </wp:positionV>
                  <wp:extent cx="978535" cy="739775"/>
                  <wp:effectExtent l="0" t="0" r="12065" b="3175"/>
                  <wp:wrapNone/>
                  <wp:docPr id="70" name="图片_80"/>
                  <wp:cNvGraphicFramePr/>
                  <a:graphic xmlns:a="http://schemas.openxmlformats.org/drawingml/2006/main">
                    <a:graphicData uri="http://schemas.openxmlformats.org/drawingml/2006/picture">
                      <pic:pic xmlns:pic="http://schemas.openxmlformats.org/drawingml/2006/picture">
                        <pic:nvPicPr>
                          <pic:cNvPr id="70" name="图片_80"/>
                          <pic:cNvPicPr/>
                        </pic:nvPicPr>
                        <pic:blipFill>
                          <a:blip r:embed="rId83"/>
                          <a:stretch>
                            <a:fillRect/>
                          </a:stretch>
                        </pic:blipFill>
                        <pic:spPr>
                          <a:xfrm>
                            <a:off x="0" y="0"/>
                            <a:ext cx="978535" cy="7397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1400*450*750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3）钢架：钢制下架外观为无焊缝设计，管壁厚≥1.5mm，符合国家相关标准；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4)功能说明：含桌下9mm挡板，可拼接，可翻转，带置物功能，置物架为实用新型专利机构，条桌翻转时同步折叠；</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培训桌：桌类稳定性、强度和耐久性测试符合要求，力学性能、理化性能符合要求</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2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253365</wp:posOffset>
                  </wp:positionH>
                  <wp:positionV relativeFrom="paragraph">
                    <wp:posOffset>212725</wp:posOffset>
                  </wp:positionV>
                  <wp:extent cx="664210" cy="964565"/>
                  <wp:effectExtent l="0" t="0" r="2540" b="6985"/>
                  <wp:wrapNone/>
                  <wp:docPr id="71" name="图片_83"/>
                  <wp:cNvGraphicFramePr/>
                  <a:graphic xmlns:a="http://schemas.openxmlformats.org/drawingml/2006/main">
                    <a:graphicData uri="http://schemas.openxmlformats.org/drawingml/2006/picture">
                      <pic:pic xmlns:pic="http://schemas.openxmlformats.org/drawingml/2006/picture">
                        <pic:nvPicPr>
                          <pic:cNvPr id="71" name="图片_83"/>
                          <pic:cNvPicPr/>
                        </pic:nvPicPr>
                        <pic:blipFill>
                          <a:blip r:embed="rId84"/>
                          <a:stretch>
                            <a:fillRect/>
                          </a:stretch>
                        </pic:blipFill>
                        <pic:spPr>
                          <a:xfrm>
                            <a:off x="0" y="0"/>
                            <a:ext cx="664210" cy="9645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640*635*1000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1)面料:采用优质网布，符合国家相关标准；；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2)背框:PP+玻纤,符合国家相关标准；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3)曲木板:采用优质E1级成型胶合板,符合国家相关标准；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5)扶手：采用PP材质扶手，符合国家相关标准要求；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6)底架：喷塑钢制管材，一次折弯成型，符合国家相关标准。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旁听椅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233045</wp:posOffset>
                  </wp:positionH>
                  <wp:positionV relativeFrom="paragraph">
                    <wp:posOffset>1824355</wp:posOffset>
                  </wp:positionV>
                  <wp:extent cx="692150" cy="859790"/>
                  <wp:effectExtent l="0" t="0" r="12700" b="16510"/>
                  <wp:wrapNone/>
                  <wp:docPr id="72" name="图片_48"/>
                  <wp:cNvGraphicFramePr/>
                  <a:graphic xmlns:a="http://schemas.openxmlformats.org/drawingml/2006/main">
                    <a:graphicData uri="http://schemas.openxmlformats.org/drawingml/2006/picture">
                      <pic:pic xmlns:pic="http://schemas.openxmlformats.org/drawingml/2006/picture">
                        <pic:nvPicPr>
                          <pic:cNvPr id="72" name="图片_48"/>
                          <pic:cNvPicPr/>
                        </pic:nvPicPr>
                        <pic:blipFill>
                          <a:blip r:embed="rId85"/>
                          <a:stretch>
                            <a:fillRect/>
                          </a:stretch>
                        </pic:blipFill>
                        <pic:spPr>
                          <a:xfrm>
                            <a:off x="0" y="0"/>
                            <a:ext cx="692150" cy="8597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635*600*820</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1、椅背要求采用内外框结合方式，外框要求采用高强度尼龙加纤维，内背要求采用弹性网布印刷浙江金融学校校徽，具有耐摩擦，不掉色，线条间隔≤6mm，椅背可以倾仰≥8度。椅座面到椅背的最高点≥445±5mm；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2、扶手本体要求可以上下调整，材料为尼龙加纤维，扶手下方铝合金件固定。扶手离地面高度≥652±5mm 椅子可加装写字板，双板结构注塑成型，底部受力板PA+30%GF，面板ABS结实不易刮花，主要支撑架铝合金ADC12压铸成型，铝合金抛光工艺加弯管烤漆工艺组合，铁管厚度2.0mm 直径25mm.桌板可以承重≥45KG.写字板尺寸≥395mm*260mm适中，写字板使用时离地面的高度≥685mm；(扶手可根据实际使用需求取消)</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座垫：可拆换，要求采用双框结构可自由拆御，底壳要求采用PA+30%GF材质、无木板符合环保要求，同时可以拆洗解决椅座沾灰问题，边厚度不小于3.5mm,中间厚度不小于5mm,注塑成型，面壳PP材质厚度不小于3mm。海绵采用高密度定型绵，主材料聚氨脂，发泡成型，海绵厚度不小于5cm，硬度60±5°。密度≥65KG/立方。座部没有木板，符合环保诉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脚：为实心尼龙材料（PA+40%GF注塑成型），前后脚采用KD（双栒卯工艺+螺丝）方式，内埋螺母。椅脚材质是尼龙加玻璃纤维采用前后脚组装方式，同时结合榫卯工艺，采用双榫卯结构使其承重≥180KG，前脚尺寸L582*w504*h140mm（±2mm），后脚尺寸L405*w45*h40mm（±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5、网布采≤0.2mm线径，采用尼龙材质。对刺穿性破坏具有修复功能；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6、椅子可横向收纳。所有配件（扶手、固定脚垫、水杯架、书网兜、活动脚轮、写字板、连接扣、背部布套、坐垫布套）均为KD模块化设计，可根据场景需要进行增减；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7、置物篮（可加装）：可配置采用铁线成型，焊接喷油工艺，内部线径3.5mm外部线径5.5mm长445mm宽450mm高156mm的置物篮；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8、轮子：注塑成型+五金件组合工艺，主材料PA轮子直径50MM；(可选万向轮或固定脚)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10、扶手：注塑成型 PA主体+TPU面盖组合，满足硬度及手感舒适度；</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 2-2 2-3 2-4 2-5社团活动室(办公室)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102870</wp:posOffset>
                  </wp:positionH>
                  <wp:positionV relativeFrom="paragraph">
                    <wp:posOffset>815340</wp:posOffset>
                  </wp:positionV>
                  <wp:extent cx="1082675" cy="777875"/>
                  <wp:effectExtent l="0" t="0" r="3175" b="3175"/>
                  <wp:wrapNone/>
                  <wp:docPr id="73" name="图片_96"/>
                  <wp:cNvGraphicFramePr/>
                  <a:graphic xmlns:a="http://schemas.openxmlformats.org/drawingml/2006/main">
                    <a:graphicData uri="http://schemas.openxmlformats.org/drawingml/2006/picture">
                      <pic:pic xmlns:pic="http://schemas.openxmlformats.org/drawingml/2006/picture">
                        <pic:nvPicPr>
                          <pic:cNvPr id="73" name="图片_96"/>
                          <pic:cNvPicPr/>
                        </pic:nvPicPr>
                        <pic:blipFill>
                          <a:blip r:embed="rId86"/>
                          <a:stretch>
                            <a:fillRect/>
                          </a:stretch>
                        </pic:blipFill>
                        <pic:spPr>
                          <a:xfrm>
                            <a:off x="0" y="0"/>
                            <a:ext cx="1082675" cy="7778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1780*1600*1150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侧柜：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1600*400*1150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4.五金件：钢制脚架采用60*25mm方管，倒斜角10*10mm，壁厚≥1.8mm，45°斗角焊接，表面喷塑；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5.固定柜：含三抽柜，抽屉内抽旁采用45°拼接，表面PVC包覆，抽底板采用5MM中纤板，与抽旁采用拉槽连接方式；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6.功能配置：含桌下挡板，尺寸900*300mm，采用8MM聚酯纤维板，桌面线盒最少预留3个86型电源模块位置；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7.下架：静电粉末喷涂钢制下架；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8.热固性粉末涂料：符合国家相关标准；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1.桌面线盒采用集成插座,含电源模块、USB模块,符合3C或者CE认证要求；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2.聚酯纤维板:毛毡板采用聚酯纤维,符合国家相关标准；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3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36830</wp:posOffset>
                  </wp:positionV>
                  <wp:extent cx="754380" cy="1335405"/>
                  <wp:effectExtent l="0" t="0" r="7620" b="17145"/>
                  <wp:wrapNone/>
                  <wp:docPr id="77" name="图片_210_SpCnt_1"/>
                  <wp:cNvGraphicFramePr/>
                  <a:graphic xmlns:a="http://schemas.openxmlformats.org/drawingml/2006/main">
                    <a:graphicData uri="http://schemas.openxmlformats.org/drawingml/2006/picture">
                      <pic:pic xmlns:pic="http://schemas.openxmlformats.org/drawingml/2006/picture">
                        <pic:nvPicPr>
                          <pic:cNvPr id="77" name="图片_210_SpCnt_1"/>
                          <pic:cNvPicPr/>
                        </pic:nvPicPr>
                        <pic:blipFill>
                          <a:blip r:embed="rId87"/>
                          <a:stretch>
                            <a:fillRect/>
                          </a:stretch>
                        </pic:blipFill>
                        <pic:spPr>
                          <a:xfrm>
                            <a:off x="0" y="0"/>
                            <a:ext cx="754380" cy="13354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900*400*1966mm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可选配玻璃柜门</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备注：层板可活动、可拆卸；上门柜的木门板可选配玻璃门板；</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9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609600</wp:posOffset>
                  </wp:positionV>
                  <wp:extent cx="774700" cy="1281430"/>
                  <wp:effectExtent l="0" t="0" r="6350" b="13970"/>
                  <wp:wrapNone/>
                  <wp:docPr id="78" name="图片_8"/>
                  <wp:cNvGraphicFramePr/>
                  <a:graphic xmlns:a="http://schemas.openxmlformats.org/drawingml/2006/main">
                    <a:graphicData uri="http://schemas.openxmlformats.org/drawingml/2006/picture">
                      <pic:pic xmlns:pic="http://schemas.openxmlformats.org/drawingml/2006/picture">
                        <pic:nvPicPr>
                          <pic:cNvPr id="78" name="图片_8"/>
                          <pic:cNvPicPr/>
                        </pic:nvPicPr>
                        <pic:blipFill>
                          <a:blip r:embed="rId88"/>
                          <a:stretch>
                            <a:fillRect/>
                          </a:stretch>
                        </pic:blipFill>
                        <pic:spPr>
                          <a:xfrm>
                            <a:off x="0" y="0"/>
                            <a:ext cx="774700" cy="12814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690*660*1190mm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2.背框:尼龙+30%玻纤,符合国家环保标准；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3.曲木板：采用E1级优质曲木板，≥12mm外板≥6mm内板；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5.底盘:采用优质底盘,底座钢板厚度≥2mm；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8.椅轮:采用优质PA轮,符合国家相关标准；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9.扶手:固定PA扶手，强度高、耐腐蚀；</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3-1 3-2 3-3 3-4 3-5 3-6社团活动室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82550</wp:posOffset>
                  </wp:positionH>
                  <wp:positionV relativeFrom="paragraph">
                    <wp:posOffset>311150</wp:posOffset>
                  </wp:positionV>
                  <wp:extent cx="978535" cy="739775"/>
                  <wp:effectExtent l="0" t="0" r="12065" b="3175"/>
                  <wp:wrapNone/>
                  <wp:docPr id="82" name="图片_56"/>
                  <wp:cNvGraphicFramePr/>
                  <a:graphic xmlns:a="http://schemas.openxmlformats.org/drawingml/2006/main">
                    <a:graphicData uri="http://schemas.openxmlformats.org/drawingml/2006/picture">
                      <pic:pic xmlns:pic="http://schemas.openxmlformats.org/drawingml/2006/picture">
                        <pic:nvPicPr>
                          <pic:cNvPr id="82" name="图片_56"/>
                          <pic:cNvPicPr/>
                        </pic:nvPicPr>
                        <pic:blipFill>
                          <a:blip r:embed="rId89"/>
                          <a:stretch>
                            <a:fillRect/>
                          </a:stretch>
                        </pic:blipFill>
                        <pic:spPr>
                          <a:xfrm>
                            <a:off x="0" y="0"/>
                            <a:ext cx="978535" cy="7397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1400*450*750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3）钢架：钢制下架外观为无焊缝设计，管壁厚≥1.5mm，符合国家相关标准；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4)功能说明：含桌下9mm挡板，可拼接，可翻转，带置物功能，置物架为实用新型专利机构，条桌翻转时同步折叠；</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培训桌：桌类稳定性、强度和耐久性测试符合要求，力学性能、理化性能符合要求</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1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1819275</wp:posOffset>
                  </wp:positionV>
                  <wp:extent cx="692150" cy="859790"/>
                  <wp:effectExtent l="0" t="0" r="12700" b="16510"/>
                  <wp:wrapNone/>
                  <wp:docPr id="85" name="图片_49"/>
                  <wp:cNvGraphicFramePr/>
                  <a:graphic xmlns:a="http://schemas.openxmlformats.org/drawingml/2006/main">
                    <a:graphicData uri="http://schemas.openxmlformats.org/drawingml/2006/picture">
                      <pic:pic xmlns:pic="http://schemas.openxmlformats.org/drawingml/2006/picture">
                        <pic:nvPicPr>
                          <pic:cNvPr id="85" name="图片_49"/>
                          <pic:cNvPicPr/>
                        </pic:nvPicPr>
                        <pic:blipFill>
                          <a:blip r:embed="rId90"/>
                          <a:stretch>
                            <a:fillRect/>
                          </a:stretch>
                        </pic:blipFill>
                        <pic:spPr>
                          <a:xfrm>
                            <a:off x="0" y="0"/>
                            <a:ext cx="692150" cy="8597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635*600*820</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1、椅背要求采用内外框结合方式，外框要求采用高强度尼龙加纤维，内背要求采用弹性网布印刷浙江金融学校校徽，具有耐摩擦，不掉色，线条间隔≤6mm，椅背可以倾仰≥8度。椅座面到椅背的最高点≥445±5mm；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2、扶手本体要求可以上下调整，材料为尼龙加纤维，扶手下方铝合金件固定。扶手离地面高度≥652±5mm 椅子可加装写字板，双板结构注塑成型，底部受力板PA+30%GF，面板ABS结实不易刮花，主要支撑架铝合金ADC12压铸成型，铝合金抛光工艺加弯管烤漆工艺组合，铁管厚度2.0mm 直径25mm.桌板可以承重≥45KG.写字板尺寸≥395mm*260mm适中，写字板使用时离地面的高度≥685mm；(扶手可根据实际使用需求取消)</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座垫：可拆换，要求采用双框结构可自由拆御，底壳要求采用PA+30%GF材质、无木板符合环保要求，同时可以拆洗解决椅座沾灰问题，边厚度不小于3.5mm,中间厚度不小于5mm,注塑成型，面壳PP材质厚度不小于3mm。海绵采用高密度定型绵，主材料聚氨脂，发泡成型，海绵厚度不小于5cm，硬度60±5°。密度≥65KG/立方。座部没有木板，符合环保诉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脚：为实心尼龙材料（PA+40%GF注塑成型），前后脚采用KD（双栒卯工艺+螺丝）方式，内埋螺母。椅脚材质是尼龙加玻璃纤维采用前后脚组装方式，同时结合榫卯工艺，采用双榫卯结构使其承重≥180KG，前脚尺寸L582*w504*h140mm（±2mm），后脚尺寸L405*w45*h40mm（±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5、网布采≤0.2mm线径，采用尼龙材质。对刺穿性破坏具有修复功能；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6、椅子可横向收纳。所有配件（扶手、固定脚垫、水杯架、书网兜、活动脚轮、写字板、连接扣、背部布套、坐垫布套）均为KD模块化设计，可根据场景需要进行增减；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7、置物篮（可加装）：可配置采用铁线成型，焊接喷油工艺，内部线径3.5mm外部线径5.5mm长445mm宽450mm高156mm的置物篮；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8、轮子：注塑成型+五金件组合工艺，主材料PA轮子直径50MM；(可选万向轮或固定脚)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10、扶手：注塑成型 PA主体+TPU面盖组合，满足硬度及手感舒适度；</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单人教研室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2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1059180</wp:posOffset>
                  </wp:positionV>
                  <wp:extent cx="981075" cy="624840"/>
                  <wp:effectExtent l="0" t="0" r="9525" b="3810"/>
                  <wp:wrapNone/>
                  <wp:docPr id="86" name="图片_101"/>
                  <wp:cNvGraphicFramePr/>
                  <a:graphic xmlns:a="http://schemas.openxmlformats.org/drawingml/2006/main">
                    <a:graphicData uri="http://schemas.openxmlformats.org/drawingml/2006/picture">
                      <pic:pic xmlns:pic="http://schemas.openxmlformats.org/drawingml/2006/picture">
                        <pic:nvPicPr>
                          <pic:cNvPr id="86" name="图片_101"/>
                          <pic:cNvPicPr/>
                        </pic:nvPicPr>
                        <pic:blipFill>
                          <a:blip r:embed="rId91"/>
                          <a:stretch>
                            <a:fillRect/>
                          </a:stretch>
                        </pic:blipFill>
                        <pic:spPr>
                          <a:xfrm>
                            <a:off x="0" y="0"/>
                            <a:ext cx="981075" cy="6248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1600*800*760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侧柜：1200*400*590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推柜：420*550*593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1.基材：采用E0级中纤板：符合国家相关标准；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功能说明:含侧柜和推柜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5.颜色：桌柜颜色一致，都为暗红色，颜色与处长桌1相近；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8.三节轨：采用优质三节轨，符合国家相关标准；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功能说明：含1个多功能线盒，其模块为：3个电源模块、1个网络模块(CAT.6)、1个HDMI模块、1个电话模块、2个USB充电接口；</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4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669925</wp:posOffset>
                  </wp:positionV>
                  <wp:extent cx="790575" cy="1018540"/>
                  <wp:effectExtent l="0" t="0" r="9525" b="10160"/>
                  <wp:wrapNone/>
                  <wp:docPr id="122" name="图片_100"/>
                  <wp:cNvGraphicFramePr/>
                  <a:graphic xmlns:a="http://schemas.openxmlformats.org/drawingml/2006/main">
                    <a:graphicData uri="http://schemas.openxmlformats.org/drawingml/2006/picture">
                      <pic:pic xmlns:pic="http://schemas.openxmlformats.org/drawingml/2006/picture">
                        <pic:nvPicPr>
                          <pic:cNvPr id="122" name="图片_100"/>
                          <pic:cNvPicPr/>
                        </pic:nvPicPr>
                        <pic:blipFill>
                          <a:blip r:embed="rId92"/>
                          <a:stretch>
                            <a:fillRect/>
                          </a:stretch>
                        </pic:blipFill>
                        <pic:spPr>
                          <a:xfrm>
                            <a:off x="0" y="0"/>
                            <a:ext cx="790575" cy="10185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1592*400*2005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1.基材：采用E0级中纤板：符合国家相关标准；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5.喷涂铝材:采用AL6063-T5铝合金,型材截面厚度1mm~1.5mm,符合国家相关标准；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1.钢化玻璃:符合国家相关标准；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2.采用采用无醛白胶,产品更绿色、环保；</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236855</wp:posOffset>
                  </wp:positionH>
                  <wp:positionV relativeFrom="paragraph">
                    <wp:posOffset>305435</wp:posOffset>
                  </wp:positionV>
                  <wp:extent cx="774700" cy="1281430"/>
                  <wp:effectExtent l="0" t="0" r="6350" b="13970"/>
                  <wp:wrapNone/>
                  <wp:docPr id="108" name="图片_13"/>
                  <wp:cNvGraphicFramePr/>
                  <a:graphic xmlns:a="http://schemas.openxmlformats.org/drawingml/2006/main">
                    <a:graphicData uri="http://schemas.openxmlformats.org/drawingml/2006/picture">
                      <pic:pic xmlns:pic="http://schemas.openxmlformats.org/drawingml/2006/picture">
                        <pic:nvPicPr>
                          <pic:cNvPr id="108" name="图片_13"/>
                          <pic:cNvPicPr/>
                        </pic:nvPicPr>
                        <pic:blipFill>
                          <a:blip r:embed="rId93"/>
                          <a:stretch>
                            <a:fillRect/>
                          </a:stretch>
                        </pic:blipFill>
                        <pic:spPr>
                          <a:xfrm>
                            <a:off x="0" y="0"/>
                            <a:ext cx="774700" cy="12814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690*660*1190mm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2.背框:尼龙+30%玻纤,符合国家环保标准；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3.曲木板：采用E1级优质曲木板，≥12mm外板≥6mm内板；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5.底盘:采用优质底盘,底座钢板厚度≥2mm；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8.椅轮:采用优质PA轮,符合国家相关标准；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9.扶手:固定PA扶手，强度高、耐腐蚀；</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0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班前椅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310515</wp:posOffset>
                  </wp:positionH>
                  <wp:positionV relativeFrom="paragraph">
                    <wp:posOffset>85725</wp:posOffset>
                  </wp:positionV>
                  <wp:extent cx="629920" cy="781685"/>
                  <wp:effectExtent l="0" t="0" r="17780" b="18415"/>
                  <wp:wrapNone/>
                  <wp:docPr id="100" name="图片_35"/>
                  <wp:cNvGraphicFramePr/>
                  <a:graphic xmlns:a="http://schemas.openxmlformats.org/drawingml/2006/main">
                    <a:graphicData uri="http://schemas.openxmlformats.org/drawingml/2006/picture">
                      <pic:pic xmlns:pic="http://schemas.openxmlformats.org/drawingml/2006/picture">
                        <pic:nvPicPr>
                          <pic:cNvPr id="100" name="图片_35"/>
                          <pic:cNvPicPr/>
                        </pic:nvPicPr>
                        <pic:blipFill>
                          <a:blip r:embed="rId94"/>
                          <a:stretch>
                            <a:fillRect/>
                          </a:stretch>
                        </pic:blipFill>
                        <pic:spPr>
                          <a:xfrm>
                            <a:off x="0" y="0"/>
                            <a:ext cx="629920" cy="7816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585*700*1055</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1)面材：优质PU皮+PVC辅料皮，符合国家相关标准；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2)曲木板:采用优质E1级成型胶合板,符合国家相关标准；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4)扶手架：电镀钢制管材，一次折弯成型，符合国家相关标准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2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85725</wp:posOffset>
                  </wp:positionV>
                  <wp:extent cx="855980" cy="920750"/>
                  <wp:effectExtent l="0" t="0" r="0" b="0"/>
                  <wp:wrapNone/>
                  <wp:docPr id="97" name="图片_37"/>
                  <wp:cNvGraphicFramePr/>
                  <a:graphic xmlns:a="http://schemas.openxmlformats.org/drawingml/2006/main">
                    <a:graphicData uri="http://schemas.openxmlformats.org/drawingml/2006/picture">
                      <pic:pic xmlns:pic="http://schemas.openxmlformats.org/drawingml/2006/picture">
                        <pic:nvPicPr>
                          <pic:cNvPr id="97" name="图片_37"/>
                          <pic:cNvPicPr/>
                        </pic:nvPicPr>
                        <pic:blipFill>
                          <a:blip r:embed="rId95"/>
                          <a:stretch>
                            <a:fillRect/>
                          </a:stretch>
                        </pic:blipFill>
                        <pic:spPr>
                          <a:xfrm>
                            <a:off x="0" y="0"/>
                            <a:ext cx="855980" cy="9207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755*750*800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1）面料：选用优质超纤皮，柔软贴手、透气性佳；</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2）海绵：采用高弹海绵，符合国家相关标准，符合国家相关标准；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3）内架：采用实木内架，经化学熏蒸杀虫和烘干处理，锰钢蛇簧加平衡线处理，永不变形</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4）脚：采用金属沙发脚。</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茶几</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200025</wp:posOffset>
                  </wp:positionV>
                  <wp:extent cx="823595" cy="787400"/>
                  <wp:effectExtent l="0" t="0" r="14605" b="13335"/>
                  <wp:wrapNone/>
                  <wp:docPr id="123" name="图片_36"/>
                  <wp:cNvGraphicFramePr/>
                  <a:graphic xmlns:a="http://schemas.openxmlformats.org/drawingml/2006/main">
                    <a:graphicData uri="http://schemas.openxmlformats.org/drawingml/2006/picture">
                      <pic:pic xmlns:pic="http://schemas.openxmlformats.org/drawingml/2006/picture">
                        <pic:nvPicPr>
                          <pic:cNvPr id="123" name="图片_36"/>
                          <pic:cNvPicPr/>
                        </pic:nvPicPr>
                        <pic:blipFill>
                          <a:blip r:embed="rId96"/>
                          <a:stretch>
                            <a:fillRect/>
                          </a:stretch>
                        </pic:blipFill>
                        <pic:spPr>
                          <a:xfrm>
                            <a:off x="0" y="0"/>
                            <a:ext cx="823595" cy="7874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600*600*420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3）五金：优质品牌五金配件，钢架采用优质钢管，表面静电粉末喷涂工艺。</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多人教研室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983615</wp:posOffset>
                  </wp:positionV>
                  <wp:extent cx="1184275" cy="850265"/>
                  <wp:effectExtent l="0" t="0" r="15875" b="6985"/>
                  <wp:wrapNone/>
                  <wp:docPr id="113" name="图片_104"/>
                  <wp:cNvGraphicFramePr/>
                  <a:graphic xmlns:a="http://schemas.openxmlformats.org/drawingml/2006/main">
                    <a:graphicData uri="http://schemas.openxmlformats.org/drawingml/2006/picture">
                      <pic:pic xmlns:pic="http://schemas.openxmlformats.org/drawingml/2006/picture">
                        <pic:nvPicPr>
                          <pic:cNvPr id="113" name="图片_104"/>
                          <pic:cNvPicPr/>
                        </pic:nvPicPr>
                        <pic:blipFill>
                          <a:blip r:embed="rId97"/>
                          <a:stretch>
                            <a:fillRect/>
                          </a:stretch>
                        </pic:blipFill>
                        <pic:spPr>
                          <a:xfrm>
                            <a:off x="0" y="0"/>
                            <a:ext cx="1184275" cy="8502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1780*1600*1150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侧柜：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1600*400*1150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4.五金件：钢制脚架采用60*25mm方管，倒斜角10*10mm，壁厚≥1.8mm，45°斗角焊接，表面喷塑；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5.固定柜：含三抽柜，抽屉内抽旁采用45°拼接，表面PVC包覆，抽底板采用5MM中纤板，与抽旁采用拉槽连接方式；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6.功能配置：含桌下挡板，尺寸900*300mm，采用8MM聚酯纤维板，桌面线盒最少预留3个86型电源模块位置；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7.下架：静电粉末喷涂钢制下架；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8.热固性粉末涂料：符合国家相关标准；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1.桌面线盒采用集成插座,含电源模块、USB模块,符合3C或者CE认证要求；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2.聚酯纤维板:毛毡板采用聚酯纤维,符合国家相关标准；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171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259080</wp:posOffset>
                  </wp:positionH>
                  <wp:positionV relativeFrom="paragraph">
                    <wp:posOffset>217170</wp:posOffset>
                  </wp:positionV>
                  <wp:extent cx="754380" cy="1354455"/>
                  <wp:effectExtent l="0" t="0" r="7620" b="17145"/>
                  <wp:wrapNone/>
                  <wp:docPr id="99" name="图片_210_SpCnt_2"/>
                  <wp:cNvGraphicFramePr/>
                  <a:graphic xmlns:a="http://schemas.openxmlformats.org/drawingml/2006/main">
                    <a:graphicData uri="http://schemas.openxmlformats.org/drawingml/2006/picture">
                      <pic:pic xmlns:pic="http://schemas.openxmlformats.org/drawingml/2006/picture">
                        <pic:nvPicPr>
                          <pic:cNvPr id="99" name="图片_210_SpCnt_2"/>
                          <pic:cNvPicPr/>
                        </pic:nvPicPr>
                        <pic:blipFill>
                          <a:blip r:embed="rId98"/>
                          <a:stretch>
                            <a:fillRect/>
                          </a:stretch>
                        </pic:blipFill>
                        <pic:spPr>
                          <a:xfrm>
                            <a:off x="0" y="0"/>
                            <a:ext cx="754380" cy="135445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900*400*1966mm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可选配玻璃柜门</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备注：层板可活动、可拆卸；上门柜的木门板可选配玻璃门板；</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171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260350</wp:posOffset>
                  </wp:positionH>
                  <wp:positionV relativeFrom="paragraph">
                    <wp:posOffset>393065</wp:posOffset>
                  </wp:positionV>
                  <wp:extent cx="774700" cy="1177925"/>
                  <wp:effectExtent l="0" t="0" r="6350" b="3175"/>
                  <wp:wrapNone/>
                  <wp:docPr id="114" name="图片_16"/>
                  <wp:cNvGraphicFramePr/>
                  <a:graphic xmlns:a="http://schemas.openxmlformats.org/drawingml/2006/main">
                    <a:graphicData uri="http://schemas.openxmlformats.org/drawingml/2006/picture">
                      <pic:pic xmlns:pic="http://schemas.openxmlformats.org/drawingml/2006/picture">
                        <pic:nvPicPr>
                          <pic:cNvPr id="114" name="图片_16"/>
                          <pic:cNvPicPr/>
                        </pic:nvPicPr>
                        <pic:blipFill>
                          <a:blip r:embed="rId99"/>
                          <a:stretch>
                            <a:fillRect/>
                          </a:stretch>
                        </pic:blipFill>
                        <pic:spPr>
                          <a:xfrm>
                            <a:off x="0" y="0"/>
                            <a:ext cx="774700" cy="11779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690*660*1190mm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2.背框:尼龙+30%玻纤,符合国家环保标准；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3.曲木板：采用E1级优质曲木板，≥12mm外板≥6mm内板；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5.底盘:采用优质底盘,底座钢板厚度≥2mm；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8.椅轮:采用优质PA轮,符合国家相关标准；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9.扶手:固定PA扶手，强度高、耐腐蚀；</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171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50人会议室（4间）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699135</wp:posOffset>
                  </wp:positionV>
                  <wp:extent cx="1039495" cy="716280"/>
                  <wp:effectExtent l="0" t="0" r="8255" b="7620"/>
                  <wp:wrapNone/>
                  <wp:docPr id="105" name="图片_31"/>
                  <wp:cNvGraphicFramePr/>
                  <a:graphic xmlns:a="http://schemas.openxmlformats.org/drawingml/2006/main">
                    <a:graphicData uri="http://schemas.openxmlformats.org/drawingml/2006/picture">
                      <pic:pic xmlns:pic="http://schemas.openxmlformats.org/drawingml/2006/picture">
                        <pic:nvPicPr>
                          <pic:cNvPr id="105" name="图片_31"/>
                          <pic:cNvPicPr/>
                        </pic:nvPicPr>
                        <pic:blipFill>
                          <a:blip r:embed="rId100"/>
                          <a:stretch>
                            <a:fillRect/>
                          </a:stretch>
                        </pic:blipFill>
                        <pic:spPr>
                          <a:xfrm>
                            <a:off x="0" y="0"/>
                            <a:ext cx="1039495" cy="7162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6000*2000*760 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功能说明：台面标配翻盖线盒盖，内置3个86型插座孔位，出线孔处设有毛刷，有效避免灰尘进入，电子设备取电方便快捷，远程视讯会议也可轻松开展；</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1.台面装饰板侧边预留凹孔便于手部抓握，掀开后内部为检修口，在理线和后期维修时更加方便；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2.根据客户的需求，台面可以开升降屏孔位；</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1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620395</wp:posOffset>
                  </wp:positionV>
                  <wp:extent cx="772795" cy="574675"/>
                  <wp:effectExtent l="0" t="0" r="8255" b="15875"/>
                  <wp:wrapNone/>
                  <wp:docPr id="98" name="图片_50"/>
                  <wp:cNvGraphicFramePr/>
                  <a:graphic xmlns:a="http://schemas.openxmlformats.org/drawingml/2006/main">
                    <a:graphicData uri="http://schemas.openxmlformats.org/drawingml/2006/picture">
                      <pic:pic xmlns:pic="http://schemas.openxmlformats.org/drawingml/2006/picture">
                        <pic:nvPicPr>
                          <pic:cNvPr id="98" name="图片_50"/>
                          <pic:cNvPicPr/>
                        </pic:nvPicPr>
                        <pic:blipFill>
                          <a:blip r:embed="rId101"/>
                          <a:stretch>
                            <a:fillRect/>
                          </a:stretch>
                        </pic:blipFill>
                        <pic:spPr>
                          <a:xfrm>
                            <a:off x="0" y="0"/>
                            <a:ext cx="772795" cy="5746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1200*400*760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2、面材：采用天然木皮、厚度≥0.6mm；甲醛释放量未检出；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4、水基胶粘剂：符合符合国家相关标准；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3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208280</wp:posOffset>
                  </wp:positionV>
                  <wp:extent cx="872490" cy="919480"/>
                  <wp:effectExtent l="0" t="0" r="3810" b="13970"/>
                  <wp:wrapNone/>
                  <wp:docPr id="112" name="图片_34"/>
                  <wp:cNvGraphicFramePr/>
                  <a:graphic xmlns:a="http://schemas.openxmlformats.org/drawingml/2006/main">
                    <a:graphicData uri="http://schemas.openxmlformats.org/drawingml/2006/picture">
                      <pic:pic xmlns:pic="http://schemas.openxmlformats.org/drawingml/2006/picture">
                        <pic:nvPicPr>
                          <pic:cNvPr id="112" name="图片_34"/>
                          <pic:cNvPicPr/>
                        </pic:nvPicPr>
                        <pic:blipFill>
                          <a:blip r:embed="rId102"/>
                          <a:stretch>
                            <a:fillRect/>
                          </a:stretch>
                        </pic:blipFill>
                        <pic:spPr>
                          <a:xfrm>
                            <a:off x="0" y="0"/>
                            <a:ext cx="872490" cy="9194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635*735*960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2.曲木板：采用优质曲木板，12mm外板/6mm内板；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4.椅架：采用优质实木油漆架,符合国家相关标准；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黑色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茶水柜1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441960</wp:posOffset>
                  </wp:positionV>
                  <wp:extent cx="1115060" cy="722630"/>
                  <wp:effectExtent l="0" t="0" r="8890" b="1270"/>
                  <wp:wrapNone/>
                  <wp:docPr id="119" name="图片_40"/>
                  <wp:cNvGraphicFramePr/>
                  <a:graphic xmlns:a="http://schemas.openxmlformats.org/drawingml/2006/main">
                    <a:graphicData uri="http://schemas.openxmlformats.org/drawingml/2006/picture">
                      <pic:pic xmlns:pic="http://schemas.openxmlformats.org/drawingml/2006/picture">
                        <pic:nvPicPr>
                          <pic:cNvPr id="119" name="图片_40"/>
                          <pic:cNvPicPr/>
                        </pic:nvPicPr>
                        <pic:blipFill>
                          <a:blip r:embed="rId103"/>
                          <a:stretch>
                            <a:fillRect/>
                          </a:stretch>
                        </pic:blipFill>
                        <pic:spPr>
                          <a:xfrm>
                            <a:off x="0" y="0"/>
                            <a:ext cx="1115060" cy="7226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1621*400*805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6.亚克力:符合国家相关标准；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34人会议室（6间）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87</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会议桌/14人</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708660</wp:posOffset>
                  </wp:positionV>
                  <wp:extent cx="1018540" cy="701040"/>
                  <wp:effectExtent l="0" t="0" r="10160" b="3810"/>
                  <wp:wrapNone/>
                  <wp:docPr id="95" name="图片_43"/>
                  <wp:cNvGraphicFramePr/>
                  <a:graphic xmlns:a="http://schemas.openxmlformats.org/drawingml/2006/main">
                    <a:graphicData uri="http://schemas.openxmlformats.org/drawingml/2006/picture">
                      <pic:pic xmlns:pic="http://schemas.openxmlformats.org/drawingml/2006/picture">
                        <pic:nvPicPr>
                          <pic:cNvPr id="95" name="图片_43"/>
                          <pic:cNvPicPr/>
                        </pic:nvPicPr>
                        <pic:blipFill>
                          <a:blip r:embed="rId104"/>
                          <a:stretch>
                            <a:fillRect/>
                          </a:stretch>
                        </pic:blipFill>
                        <pic:spPr>
                          <a:xfrm>
                            <a:off x="0" y="0"/>
                            <a:ext cx="1018540" cy="7010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会议桌：4800*2200*760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中间花坛尺寸：</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3190长*590宽*204深</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功能说明：台面标配翻盖线盒盖，内置3个86型插座孔位，出线孔处设有毛刷，有效避免灰尘进入，电子设备取电方便快捷，远程视讯会议也可轻松开展；</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1.台面装饰板侧边预留凹孔便于手部抓握，掀开后内部为检修口，在理线和后期维修时更加方便；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2.根据客户的需求，台面可以开升降屏孔位；</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6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269875</wp:posOffset>
                  </wp:positionH>
                  <wp:positionV relativeFrom="paragraph">
                    <wp:posOffset>479425</wp:posOffset>
                  </wp:positionV>
                  <wp:extent cx="772795" cy="539750"/>
                  <wp:effectExtent l="0" t="0" r="8255" b="12700"/>
                  <wp:wrapNone/>
                  <wp:docPr id="116" name="图片_53"/>
                  <wp:cNvGraphicFramePr/>
                  <a:graphic xmlns:a="http://schemas.openxmlformats.org/drawingml/2006/main">
                    <a:graphicData uri="http://schemas.openxmlformats.org/drawingml/2006/picture">
                      <pic:pic xmlns:pic="http://schemas.openxmlformats.org/drawingml/2006/picture">
                        <pic:nvPicPr>
                          <pic:cNvPr id="116" name="图片_53"/>
                          <pic:cNvPicPr/>
                        </pic:nvPicPr>
                        <pic:blipFill>
                          <a:blip r:embed="rId105"/>
                          <a:stretch>
                            <a:fillRect/>
                          </a:stretch>
                        </pic:blipFill>
                        <pic:spPr>
                          <a:xfrm>
                            <a:off x="0" y="0"/>
                            <a:ext cx="772795" cy="5397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1200*400*760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2、面材：采用天然木皮、厚度≥0.6mm；甲醛释放量未检出；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4、水基胶粘剂：符合符合国家相关标准；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8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160655</wp:posOffset>
                  </wp:positionV>
                  <wp:extent cx="926465" cy="976630"/>
                  <wp:effectExtent l="0" t="0" r="6985" b="13970"/>
                  <wp:wrapNone/>
                  <wp:docPr id="101" name="图片_44"/>
                  <wp:cNvGraphicFramePr/>
                  <a:graphic xmlns:a="http://schemas.openxmlformats.org/drawingml/2006/main">
                    <a:graphicData uri="http://schemas.openxmlformats.org/drawingml/2006/picture">
                      <pic:pic xmlns:pic="http://schemas.openxmlformats.org/drawingml/2006/picture">
                        <pic:nvPicPr>
                          <pic:cNvPr id="101" name="图片_44"/>
                          <pic:cNvPicPr/>
                        </pic:nvPicPr>
                        <pic:blipFill>
                          <a:blip r:embed="rId106"/>
                          <a:stretch>
                            <a:fillRect/>
                          </a:stretch>
                        </pic:blipFill>
                        <pic:spPr>
                          <a:xfrm>
                            <a:off x="0" y="0"/>
                            <a:ext cx="926465" cy="9766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635*735*960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2.曲木板：采用优质曲木板，12mm外板/6mm内板；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4.椅架：采用优质实木油漆架,符合国家相关标准；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7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茶水柜1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680085</wp:posOffset>
                  </wp:positionV>
                  <wp:extent cx="1173480" cy="760095"/>
                  <wp:effectExtent l="0" t="0" r="7620" b="1905"/>
                  <wp:wrapNone/>
                  <wp:docPr id="102" name="图片_47"/>
                  <wp:cNvGraphicFramePr/>
                  <a:graphic xmlns:a="http://schemas.openxmlformats.org/drawingml/2006/main">
                    <a:graphicData uri="http://schemas.openxmlformats.org/drawingml/2006/picture">
                      <pic:pic xmlns:pic="http://schemas.openxmlformats.org/drawingml/2006/picture">
                        <pic:nvPicPr>
                          <pic:cNvPr id="102" name="图片_47"/>
                          <pic:cNvPicPr/>
                        </pic:nvPicPr>
                        <pic:blipFill>
                          <a:blip r:embed="rId107"/>
                          <a:stretch>
                            <a:fillRect/>
                          </a:stretch>
                        </pic:blipFill>
                        <pic:spPr>
                          <a:xfrm>
                            <a:off x="0" y="0"/>
                            <a:ext cx="1173480" cy="7600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1621*400*805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6.亚克力:符合国家相关标准；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茶水区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6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定制固定橱柜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655955</wp:posOffset>
                  </wp:positionV>
                  <wp:extent cx="1033780" cy="466725"/>
                  <wp:effectExtent l="0" t="0" r="13970" b="9525"/>
                  <wp:wrapNone/>
                  <wp:docPr id="106" name="图片_63"/>
                  <wp:cNvGraphicFramePr/>
                  <a:graphic xmlns:a="http://schemas.openxmlformats.org/drawingml/2006/main">
                    <a:graphicData uri="http://schemas.openxmlformats.org/drawingml/2006/picture">
                      <pic:pic xmlns:pic="http://schemas.openxmlformats.org/drawingml/2006/picture">
                        <pic:nvPicPr>
                          <pic:cNvPr id="106" name="图片_63"/>
                          <pic:cNvPicPr/>
                        </pic:nvPicPr>
                        <pic:blipFill>
                          <a:blip r:embed="rId108"/>
                          <a:stretch>
                            <a:fillRect/>
                          </a:stretch>
                        </pic:blipFill>
                        <pic:spPr>
                          <a:xfrm>
                            <a:off x="0" y="0"/>
                            <a:ext cx="1033780" cy="4667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 高850  宽600 长度各区域现场确定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2、面材：采用天然木皮、厚度≥0.6mm；甲醛释放量未检出；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4、阻尼铰链：符合国家相关标准；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4000" w:type="dxa"/>
            <w:gridSpan w:val="8"/>
            <w:tcBorders>
              <w:tl2br w:val="nil"/>
              <w:tr2bl w:val="nil"/>
            </w:tcBorders>
            <w:shd w:val="clear" w:color="auto" w:fill="auto"/>
            <w:vAlign w:val="center"/>
          </w:tcPr>
          <w:p>
            <w:pPr>
              <w:jc w:val="right"/>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4"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3，4层大会议室（6间）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7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主席桌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126365</wp:posOffset>
                  </wp:positionH>
                  <wp:positionV relativeFrom="paragraph">
                    <wp:posOffset>124460</wp:posOffset>
                  </wp:positionV>
                  <wp:extent cx="1029335" cy="764540"/>
                  <wp:effectExtent l="0" t="0" r="18415" b="16510"/>
                  <wp:wrapNone/>
                  <wp:docPr id="109" name="图片_134"/>
                  <wp:cNvGraphicFramePr/>
                  <a:graphic xmlns:a="http://schemas.openxmlformats.org/drawingml/2006/main">
                    <a:graphicData uri="http://schemas.openxmlformats.org/drawingml/2006/picture">
                      <pic:pic xmlns:pic="http://schemas.openxmlformats.org/drawingml/2006/picture">
                        <pic:nvPicPr>
                          <pic:cNvPr id="109" name="图片_134"/>
                          <pic:cNvPicPr/>
                        </pic:nvPicPr>
                        <pic:blipFill>
                          <a:blip r:embed="rId109"/>
                          <a:stretch>
                            <a:fillRect/>
                          </a:stretch>
                        </pic:blipFill>
                        <pic:spPr>
                          <a:xfrm>
                            <a:off x="0" y="0"/>
                            <a:ext cx="1029335" cy="7645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1400*600*760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主席椅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273685</wp:posOffset>
                  </wp:positionH>
                  <wp:positionV relativeFrom="paragraph">
                    <wp:posOffset>128270</wp:posOffset>
                  </wp:positionV>
                  <wp:extent cx="710565" cy="873125"/>
                  <wp:effectExtent l="0" t="0" r="13335" b="3175"/>
                  <wp:wrapNone/>
                  <wp:docPr id="96" name="图片_135"/>
                  <wp:cNvGraphicFramePr/>
                  <a:graphic xmlns:a="http://schemas.openxmlformats.org/drawingml/2006/main">
                    <a:graphicData uri="http://schemas.openxmlformats.org/drawingml/2006/picture">
                      <pic:pic xmlns:pic="http://schemas.openxmlformats.org/drawingml/2006/picture">
                        <pic:nvPicPr>
                          <pic:cNvPr id="96" name="图片_135"/>
                          <pic:cNvPicPr/>
                        </pic:nvPicPr>
                        <pic:blipFill>
                          <a:blip r:embed="rId110"/>
                          <a:stretch>
                            <a:fillRect/>
                          </a:stretch>
                        </pic:blipFill>
                        <pic:spPr>
                          <a:xfrm>
                            <a:off x="0" y="0"/>
                            <a:ext cx="710565" cy="8731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550*640*910</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2.曲木板：采用优质曲木板，12mm外板/6mm内板；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4.椅架：采用优质实木油漆架,符合国家相关标准；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黑色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301625</wp:posOffset>
                  </wp:positionV>
                  <wp:extent cx="978535" cy="774700"/>
                  <wp:effectExtent l="0" t="0" r="12065" b="6350"/>
                  <wp:wrapNone/>
                  <wp:docPr id="120" name="图片_136"/>
                  <wp:cNvGraphicFramePr/>
                  <a:graphic xmlns:a="http://schemas.openxmlformats.org/drawingml/2006/main">
                    <a:graphicData uri="http://schemas.openxmlformats.org/drawingml/2006/picture">
                      <pic:pic xmlns:pic="http://schemas.openxmlformats.org/drawingml/2006/picture">
                        <pic:nvPicPr>
                          <pic:cNvPr id="120" name="图片_136"/>
                          <pic:cNvPicPr/>
                        </pic:nvPicPr>
                        <pic:blipFill>
                          <a:blip r:embed="rId111"/>
                          <a:stretch>
                            <a:fillRect/>
                          </a:stretch>
                        </pic:blipFill>
                        <pic:spPr>
                          <a:xfrm>
                            <a:off x="0" y="0"/>
                            <a:ext cx="978535" cy="7747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1400*450*760mm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6.热固性粉末涂料：符合国家相关标准；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7.功能说明：带置物功能，可拼接，可翻转；</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262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146050</wp:posOffset>
                  </wp:positionH>
                  <wp:positionV relativeFrom="paragraph">
                    <wp:posOffset>200025</wp:posOffset>
                  </wp:positionV>
                  <wp:extent cx="956945" cy="927100"/>
                  <wp:effectExtent l="0" t="0" r="14605" b="6350"/>
                  <wp:wrapNone/>
                  <wp:docPr id="103" name="图片_164"/>
                  <wp:cNvGraphicFramePr/>
                  <a:graphic xmlns:a="http://schemas.openxmlformats.org/drawingml/2006/main">
                    <a:graphicData uri="http://schemas.openxmlformats.org/drawingml/2006/picture">
                      <pic:pic xmlns:pic="http://schemas.openxmlformats.org/drawingml/2006/picture">
                        <pic:nvPicPr>
                          <pic:cNvPr id="103" name="图片_164"/>
                          <pic:cNvPicPr/>
                        </pic:nvPicPr>
                        <pic:blipFill>
                          <a:blip r:embed="rId112"/>
                          <a:stretch>
                            <a:fillRect/>
                          </a:stretch>
                        </pic:blipFill>
                        <pic:spPr>
                          <a:xfrm>
                            <a:off x="0" y="0"/>
                            <a:ext cx="956945" cy="9271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560*580*810</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1)布料：采用优质布料，符合国家相关标准；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4)椅架：壁厚≥2.0mm，符合国家相关标准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 功能说明：后脚小椅轮滑动设计，配备公母扣（起到固定的作用，使空间更加有序)；</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524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6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弓形椅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393065</wp:posOffset>
                  </wp:positionH>
                  <wp:positionV relativeFrom="paragraph">
                    <wp:posOffset>164465</wp:posOffset>
                  </wp:positionV>
                  <wp:extent cx="600075" cy="868045"/>
                  <wp:effectExtent l="0" t="0" r="9525" b="8255"/>
                  <wp:wrapNone/>
                  <wp:docPr id="121" name="图片_123"/>
                  <wp:cNvGraphicFramePr/>
                  <a:graphic xmlns:a="http://schemas.openxmlformats.org/drawingml/2006/main">
                    <a:graphicData uri="http://schemas.openxmlformats.org/drawingml/2006/picture">
                      <pic:pic xmlns:pic="http://schemas.openxmlformats.org/drawingml/2006/picture">
                        <pic:nvPicPr>
                          <pic:cNvPr id="121" name="图片_123"/>
                          <pic:cNvPicPr/>
                        </pic:nvPicPr>
                        <pic:blipFill>
                          <a:blip r:embed="rId113"/>
                          <a:stretch>
                            <a:fillRect/>
                          </a:stretch>
                        </pic:blipFill>
                        <pic:spPr>
                          <a:xfrm>
                            <a:off x="0" y="0"/>
                            <a:ext cx="600075" cy="8680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640*635*1000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1)面料:采用优质网布，符合国家相关标准；；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2)背框:PP+玻纤,符合国家相关标准；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3)曲木板:采用优质E1级成型胶合板,符合国家相关标准；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5)扶手：采用PP材质扶手，符合国家相关标准要求；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6)底架：喷塑钢制管材，一次折弯成型，符合国家相关标准。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升降演讲台</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266065</wp:posOffset>
                  </wp:positionH>
                  <wp:positionV relativeFrom="paragraph">
                    <wp:posOffset>412750</wp:posOffset>
                  </wp:positionV>
                  <wp:extent cx="853440" cy="913130"/>
                  <wp:effectExtent l="0" t="0" r="3810" b="1270"/>
                  <wp:wrapNone/>
                  <wp:docPr id="124" name="图片_137"/>
                  <wp:cNvGraphicFramePr/>
                  <a:graphic xmlns:a="http://schemas.openxmlformats.org/drawingml/2006/main">
                    <a:graphicData uri="http://schemas.openxmlformats.org/drawingml/2006/picture">
                      <pic:pic xmlns:pic="http://schemas.openxmlformats.org/drawingml/2006/picture">
                        <pic:nvPicPr>
                          <pic:cNvPr id="124" name="图片_137"/>
                          <pic:cNvPicPr/>
                        </pic:nvPicPr>
                        <pic:blipFill>
                          <a:blip r:embed="rId114"/>
                          <a:stretch>
                            <a:fillRect/>
                          </a:stretch>
                        </pic:blipFill>
                        <pic:spPr>
                          <a:xfrm>
                            <a:off x="0" y="0"/>
                            <a:ext cx="853440" cy="9131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700*500*1130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5.升降器:符合国家标准要求；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7.万向轮:符合国家相关标准；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12947" w:type="dxa"/>
            <w:gridSpan w:val="6"/>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实训教室</w:t>
            </w:r>
          </w:p>
        </w:tc>
        <w:tc>
          <w:tcPr>
            <w:tcW w:w="616"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课桌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634365</wp:posOffset>
                  </wp:positionV>
                  <wp:extent cx="1080135" cy="895350"/>
                  <wp:effectExtent l="0" t="0" r="5715" b="0"/>
                  <wp:wrapNone/>
                  <wp:docPr id="104" name="图片_125"/>
                  <wp:cNvGraphicFramePr/>
                  <a:graphic xmlns:a="http://schemas.openxmlformats.org/drawingml/2006/main">
                    <a:graphicData uri="http://schemas.openxmlformats.org/drawingml/2006/picture">
                      <pic:pic xmlns:pic="http://schemas.openxmlformats.org/drawingml/2006/picture">
                        <pic:nvPicPr>
                          <pic:cNvPr id="104" name="图片_125"/>
                          <pic:cNvPicPr/>
                        </pic:nvPicPr>
                        <pic:blipFill>
                          <a:blip r:embed="rId115"/>
                          <a:stretch>
                            <a:fillRect/>
                          </a:stretch>
                        </pic:blipFill>
                        <pic:spPr>
                          <a:xfrm>
                            <a:off x="0" y="0"/>
                            <a:ext cx="1080135" cy="8953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1200*450*750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4.钢脚：采用优质钢制脚，符合国家相关标准。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5、椅轮:采用优质PA轮,符合国家相关标准要求；；</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课椅</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260985</wp:posOffset>
                  </wp:positionH>
                  <wp:positionV relativeFrom="paragraph">
                    <wp:posOffset>731520</wp:posOffset>
                  </wp:positionV>
                  <wp:extent cx="704850" cy="971550"/>
                  <wp:effectExtent l="0" t="0" r="0" b="0"/>
                  <wp:wrapNone/>
                  <wp:docPr id="110" name="图片_75"/>
                  <wp:cNvGraphicFramePr/>
                  <a:graphic xmlns:a="http://schemas.openxmlformats.org/drawingml/2006/main">
                    <a:graphicData uri="http://schemas.openxmlformats.org/drawingml/2006/picture">
                      <pic:pic xmlns:pic="http://schemas.openxmlformats.org/drawingml/2006/picture">
                        <pic:nvPicPr>
                          <pic:cNvPr id="110" name="图片_75"/>
                          <pic:cNvPicPr/>
                        </pic:nvPicPr>
                        <pic:blipFill>
                          <a:blip r:embed="rId116"/>
                          <a:stretch>
                            <a:fillRect/>
                          </a:stretch>
                        </pic:blipFill>
                        <pic:spPr>
                          <a:xfrm>
                            <a:off x="0" y="0"/>
                            <a:ext cx="704850" cy="9715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570*590*855</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1.塑胶：采用pp材料（聚丙烯），符合国家相关标准。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2.椅架：实心椅架，钢架直径12MM，椅架、椅座、椅背须同一颜色（黄色、绿色），取消前端中置的杆，增加用户腿部活动空间，改为椅架顶部拉杆下移，结构牢固，安全可靠；</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3.座、背采用Y形通风孔设计，彻底解决用户起身塑胶椅座位后的不雅汗渍，通风孔之间的S形链接使得座、背面内部有张力和弹力，更加舒适；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4.椅背顶部弧面弯曲，为方便使用者搭手臂，与侧面人员交流；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5.椅背中上位置设计有手提缺口位置，更加人性化，方便搬移；</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6.手提缺口下方设计有提包悬挂支架，在座椅空置（无人乘坐）时可悬挂10KG以内不倒，满足用户提包放置空间的需求；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7.椅背中下方内凹，为臀部腾出后屈空间，并且顶住用户腰椎位置，提供良好坐姿；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8.座面中后部有凸起曲面，确保乘坐时符合人体曲线，不会前滑；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9.座位后方设计标识卡，拆卸简易。方便资产管理；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10.脚架：采用优质钢管，符合国家相关标准。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270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讲台</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143510</wp:posOffset>
                  </wp:positionV>
                  <wp:extent cx="864870" cy="855980"/>
                  <wp:effectExtent l="0" t="0" r="11430" b="1270"/>
                  <wp:wrapNone/>
                  <wp:docPr id="107" name="图片_108"/>
                  <wp:cNvGraphicFramePr/>
                  <a:graphic xmlns:a="http://schemas.openxmlformats.org/drawingml/2006/main">
                    <a:graphicData uri="http://schemas.openxmlformats.org/drawingml/2006/picture">
                      <pic:pic xmlns:pic="http://schemas.openxmlformats.org/drawingml/2006/picture">
                        <pic:nvPicPr>
                          <pic:cNvPr id="107" name="图片_108"/>
                          <pic:cNvPicPr/>
                        </pic:nvPicPr>
                        <pic:blipFill>
                          <a:blip r:embed="rId117"/>
                          <a:stretch>
                            <a:fillRect/>
                          </a:stretch>
                        </pic:blipFill>
                        <pic:spPr>
                          <a:xfrm>
                            <a:off x="0" y="0"/>
                            <a:ext cx="864870" cy="8559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1140*800*1000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板采用进口原材料SPC抗倍特板。台板厚度大于15MM，边沿30MMM；防火、防潮、防刻划、绝缘、高耐磨、高强度。台面边缘采用圆弧形设计的手枕，保证手臂工作时的舒适性，手枕采用台板一体化延伸的台板边缘，外形手感好，适合人手手放置的流线型表面，经抛光、耐磨喷涂处理。抗倍特台板边沿黑色鸭嘴型一次成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2.下架：优质铝合金下架，壁厚1.2mm以上。</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1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讲台椅</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223520</wp:posOffset>
                  </wp:positionV>
                  <wp:extent cx="614045" cy="1031875"/>
                  <wp:effectExtent l="0" t="0" r="14605" b="15875"/>
                  <wp:wrapNone/>
                  <wp:docPr id="111" name="图片_109"/>
                  <wp:cNvGraphicFramePr/>
                  <a:graphic xmlns:a="http://schemas.openxmlformats.org/drawingml/2006/main">
                    <a:graphicData uri="http://schemas.openxmlformats.org/drawingml/2006/picture">
                      <pic:pic xmlns:pic="http://schemas.openxmlformats.org/drawingml/2006/picture">
                        <pic:nvPicPr>
                          <pic:cNvPr id="111" name="图片_109"/>
                          <pic:cNvPicPr/>
                        </pic:nvPicPr>
                        <pic:blipFill>
                          <a:blip r:embed="rId118"/>
                          <a:stretch>
                            <a:fillRect/>
                          </a:stretch>
                        </pic:blipFill>
                        <pic:spPr>
                          <a:xfrm>
                            <a:off x="0" y="0"/>
                            <a:ext cx="614045" cy="10318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715*560*1160-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1260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3.气压棒：采用优质环保气压棒，符合国家相关标准。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4.扶手：采用一次成型扶手，符合国家相关标准，外观性能要求塑料件合格，耐老化、耐冷热循环合格，冲击强度≥10J/m2，硬度≥HD63。</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5.椅轮：采用优质万向轮，符合国家相关标准。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  定制固定家具</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定制黑板</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412750</wp:posOffset>
                  </wp:positionV>
                  <wp:extent cx="1066800" cy="463550"/>
                  <wp:effectExtent l="0" t="0" r="0" b="12700"/>
                  <wp:wrapNone/>
                  <wp:docPr id="115" name="图片_54"/>
                  <wp:cNvGraphicFramePr/>
                  <a:graphic xmlns:a="http://schemas.openxmlformats.org/drawingml/2006/main">
                    <a:graphicData uri="http://schemas.openxmlformats.org/drawingml/2006/picture">
                      <pic:pic xmlns:pic="http://schemas.openxmlformats.org/drawingml/2006/picture">
                        <pic:nvPicPr>
                          <pic:cNvPr id="115" name="图片_54"/>
                          <pic:cNvPicPr/>
                        </pic:nvPicPr>
                        <pic:blipFill>
                          <a:blip r:embed="rId119"/>
                          <a:stretch>
                            <a:fillRect/>
                          </a:stretch>
                        </pic:blipFill>
                        <pic:spPr>
                          <a:xfrm>
                            <a:off x="0" y="0"/>
                            <a:ext cx="1066800" cy="4635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尺寸 式样       需现场确定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面板：书写面图层采用优良烤漆面板，使其表面光滑平整书写流畅，且容易擦拭，擦拭不留痕迹</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背板: 优质镀锌钢板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边框: 加厚铝合金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内芯: 高强度聚苯乙烯板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包角: 加厚铝合金包防撞包角，精选优良材质，经久耐用</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4" w:hRule="atLeast"/>
        </w:trPr>
        <w:tc>
          <w:tcPr>
            <w:tcW w:w="12947" w:type="dxa"/>
            <w:gridSpan w:val="6"/>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会议室</w:t>
            </w:r>
          </w:p>
        </w:tc>
        <w:tc>
          <w:tcPr>
            <w:tcW w:w="616"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154940</wp:posOffset>
                  </wp:positionH>
                  <wp:positionV relativeFrom="paragraph">
                    <wp:posOffset>476885</wp:posOffset>
                  </wp:positionV>
                  <wp:extent cx="1024890" cy="707390"/>
                  <wp:effectExtent l="0" t="0" r="3810" b="16510"/>
                  <wp:wrapNone/>
                  <wp:docPr id="125" name="图片_138"/>
                  <wp:cNvGraphicFramePr/>
                  <a:graphic xmlns:a="http://schemas.openxmlformats.org/drawingml/2006/main">
                    <a:graphicData uri="http://schemas.openxmlformats.org/drawingml/2006/picture">
                      <pic:pic xmlns:pic="http://schemas.openxmlformats.org/drawingml/2006/picture">
                        <pic:nvPicPr>
                          <pic:cNvPr id="125" name="图片_138"/>
                          <pic:cNvPicPr/>
                        </pic:nvPicPr>
                        <pic:blipFill>
                          <a:blip r:embed="rId120"/>
                          <a:stretch>
                            <a:fillRect/>
                          </a:stretch>
                        </pic:blipFill>
                        <pic:spPr>
                          <a:xfrm>
                            <a:off x="0" y="0"/>
                            <a:ext cx="1024890" cy="7073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会议桌：4800*2200*760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中间花坛尺寸：</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3190长*590宽*204深</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功能说明：台面标配翻盖线盒盖，内置3个86型插座孔位，出线孔处设有毛刷，有效避免灰尘进入，电子设备取电方便快捷，远程视讯会议也可轻松开展；</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1.台面装饰板侧边预留凹孔便于手部抓握，掀开后内部为检修口，在理线和后期维修时更加方便；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2.根据客户的需求，台面可以开升降屏孔位；</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9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106680</wp:posOffset>
                  </wp:positionV>
                  <wp:extent cx="825500" cy="933450"/>
                  <wp:effectExtent l="0" t="0" r="12700" b="0"/>
                  <wp:wrapNone/>
                  <wp:docPr id="117" name="图片_139"/>
                  <wp:cNvGraphicFramePr/>
                  <a:graphic xmlns:a="http://schemas.openxmlformats.org/drawingml/2006/main">
                    <a:graphicData uri="http://schemas.openxmlformats.org/drawingml/2006/picture">
                      <pic:pic xmlns:pic="http://schemas.openxmlformats.org/drawingml/2006/picture">
                        <pic:nvPicPr>
                          <pic:cNvPr id="117" name="图片_139"/>
                          <pic:cNvPicPr/>
                        </pic:nvPicPr>
                        <pic:blipFill>
                          <a:blip r:embed="rId121"/>
                          <a:stretch>
                            <a:fillRect/>
                          </a:stretch>
                        </pic:blipFill>
                        <pic:spPr>
                          <a:xfrm>
                            <a:off x="0" y="0"/>
                            <a:ext cx="825500" cy="9334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635*735*960</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2.曲木板：采用优质曲木板，12mm外板/6mm内板；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4.椅架：采用优质实木油漆架,符合国家相关标准；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黑色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茶水柜1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203835</wp:posOffset>
                  </wp:positionH>
                  <wp:positionV relativeFrom="paragraph">
                    <wp:posOffset>194310</wp:posOffset>
                  </wp:positionV>
                  <wp:extent cx="889000" cy="760095"/>
                  <wp:effectExtent l="0" t="0" r="6350" b="1905"/>
                  <wp:wrapNone/>
                  <wp:docPr id="118" name="图片_140"/>
                  <wp:cNvGraphicFramePr/>
                  <a:graphic xmlns:a="http://schemas.openxmlformats.org/drawingml/2006/main">
                    <a:graphicData uri="http://schemas.openxmlformats.org/drawingml/2006/picture">
                      <pic:pic xmlns:pic="http://schemas.openxmlformats.org/drawingml/2006/picture">
                        <pic:nvPicPr>
                          <pic:cNvPr id="118" name="图片_140"/>
                          <pic:cNvPicPr/>
                        </pic:nvPicPr>
                        <pic:blipFill>
                          <a:blip r:embed="rId122"/>
                          <a:stretch>
                            <a:fillRect/>
                          </a:stretch>
                        </pic:blipFill>
                        <pic:spPr>
                          <a:xfrm>
                            <a:off x="0" y="0"/>
                            <a:ext cx="889000" cy="7600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1621*400*805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6.亚克力:符合国家相关标准；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0" w:hRule="atLeast"/>
        </w:trPr>
        <w:tc>
          <w:tcPr>
            <w:tcW w:w="12947" w:type="dxa"/>
            <w:gridSpan w:val="6"/>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处级领导办公室</w:t>
            </w:r>
          </w:p>
        </w:tc>
        <w:tc>
          <w:tcPr>
            <w:tcW w:w="616"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972820</wp:posOffset>
                  </wp:positionV>
                  <wp:extent cx="1079500" cy="715645"/>
                  <wp:effectExtent l="0" t="0" r="6350" b="8255"/>
                  <wp:wrapNone/>
                  <wp:docPr id="126" name="图片_130"/>
                  <wp:cNvGraphicFramePr/>
                  <a:graphic xmlns:a="http://schemas.openxmlformats.org/drawingml/2006/main">
                    <a:graphicData uri="http://schemas.openxmlformats.org/drawingml/2006/picture">
                      <pic:pic xmlns:pic="http://schemas.openxmlformats.org/drawingml/2006/picture">
                        <pic:nvPicPr>
                          <pic:cNvPr id="126" name="图片_130"/>
                          <pic:cNvPicPr/>
                        </pic:nvPicPr>
                        <pic:blipFill>
                          <a:blip r:embed="rId123"/>
                          <a:stretch>
                            <a:fillRect/>
                          </a:stretch>
                        </pic:blipFill>
                        <pic:spPr>
                          <a:xfrm>
                            <a:off x="0" y="0"/>
                            <a:ext cx="1079500" cy="7156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1600*800*760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侧柜：1200*400*590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推柜：420*550*593</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1.基材：采用E0级中纤板：符合国家相关标准；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功能说明:含侧柜和推柜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5.颜色：桌柜颜色一致，都为暗红色，颜色与处长桌1相近；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8.三节轨：采用优质三节轨，符合国家相关标准；；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功能说明：含1个多功能线盒，其模块为：3个电源模块、1个网络模块(CAT.6)、1个HDMI模块、1个电话模块、2个USB充电接口；</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4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244475</wp:posOffset>
                  </wp:positionH>
                  <wp:positionV relativeFrom="paragraph">
                    <wp:posOffset>687705</wp:posOffset>
                  </wp:positionV>
                  <wp:extent cx="864235" cy="1111885"/>
                  <wp:effectExtent l="0" t="0" r="12065" b="12065"/>
                  <wp:wrapNone/>
                  <wp:docPr id="131" name="图片_131"/>
                  <wp:cNvGraphicFramePr/>
                  <a:graphic xmlns:a="http://schemas.openxmlformats.org/drawingml/2006/main">
                    <a:graphicData uri="http://schemas.openxmlformats.org/drawingml/2006/picture">
                      <pic:pic xmlns:pic="http://schemas.openxmlformats.org/drawingml/2006/picture">
                        <pic:nvPicPr>
                          <pic:cNvPr id="131" name="图片_131"/>
                          <pic:cNvPicPr/>
                        </pic:nvPicPr>
                        <pic:blipFill>
                          <a:blip r:embed="rId124"/>
                          <a:stretch>
                            <a:fillRect/>
                          </a:stretch>
                        </pic:blipFill>
                        <pic:spPr>
                          <a:xfrm>
                            <a:off x="0" y="0"/>
                            <a:ext cx="864235" cy="11118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1592*400*2000</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1.基材：采用E0级中纤板：符合国家相关标准；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5.喷涂铝材:采用AL6063-T5铝合金,型材截面厚度1mm~1.5mm,符合国家相关标准；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1.钢化玻璃:符合国家相关标准；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2.采用采用无醛白胶,产品更绿色、环保；</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1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249555</wp:posOffset>
                  </wp:positionH>
                  <wp:positionV relativeFrom="paragraph">
                    <wp:posOffset>538480</wp:posOffset>
                  </wp:positionV>
                  <wp:extent cx="861060" cy="1424940"/>
                  <wp:effectExtent l="0" t="0" r="15240" b="3810"/>
                  <wp:wrapNone/>
                  <wp:docPr id="141" name="图片_165"/>
                  <wp:cNvGraphicFramePr/>
                  <a:graphic xmlns:a="http://schemas.openxmlformats.org/drawingml/2006/main">
                    <a:graphicData uri="http://schemas.openxmlformats.org/drawingml/2006/picture">
                      <pic:pic xmlns:pic="http://schemas.openxmlformats.org/drawingml/2006/picture">
                        <pic:nvPicPr>
                          <pic:cNvPr id="141" name="图片_165"/>
                          <pic:cNvPicPr/>
                        </pic:nvPicPr>
                        <pic:blipFill>
                          <a:blip r:embed="rId125"/>
                          <a:stretch>
                            <a:fillRect/>
                          </a:stretch>
                        </pic:blipFill>
                        <pic:spPr>
                          <a:xfrm>
                            <a:off x="0" y="0"/>
                            <a:ext cx="861060" cy="14249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690*660*1190mm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1.面料：优质网布，透气舒适。符合国家相关标准。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3.气压棒：采用优质环保气压棒，符合国家相关标准。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4.扶手：采用一次成型扶手，符合国家相关标准。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5.椅轮：采用优质万向轮，符合国家相关标准。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3D头枕、可旋转、可升降。</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多功能腰靠，自适应调节支撑角度，可前后调节5CM，升降调节5CM。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SJ-TLS-M固定扶手黑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ZT-T879K原位锁定底盘，同步倾仰。</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SJ330PP翘头黑脚、60-26PU黑轮、80下沉40三级喷塑黑气杆。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28密度无粉海绵，12MM厚度胶合板，无座塑壳。</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班前椅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273050</wp:posOffset>
                  </wp:positionV>
                  <wp:extent cx="525145" cy="651510"/>
                  <wp:effectExtent l="0" t="0" r="8255" b="15240"/>
                  <wp:wrapNone/>
                  <wp:docPr id="135" name="图片_111"/>
                  <wp:cNvGraphicFramePr/>
                  <a:graphic xmlns:a="http://schemas.openxmlformats.org/drawingml/2006/main">
                    <a:graphicData uri="http://schemas.openxmlformats.org/drawingml/2006/picture">
                      <pic:pic xmlns:pic="http://schemas.openxmlformats.org/drawingml/2006/picture">
                        <pic:nvPicPr>
                          <pic:cNvPr id="135" name="图片_111"/>
                          <pic:cNvPicPr/>
                        </pic:nvPicPr>
                        <pic:blipFill>
                          <a:blip r:embed="rId126"/>
                          <a:stretch>
                            <a:fillRect/>
                          </a:stretch>
                        </pic:blipFill>
                        <pic:spPr>
                          <a:xfrm>
                            <a:off x="0" y="0"/>
                            <a:ext cx="525145" cy="65151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585*700*1055</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3.脚架：采用钢制弓形脚，符合国家相关标准；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trPr>
        <w:tc>
          <w:tcPr>
            <w:tcW w:w="12947" w:type="dxa"/>
            <w:gridSpan w:val="6"/>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财务 培训 综合 办公室</w:t>
            </w:r>
          </w:p>
        </w:tc>
        <w:tc>
          <w:tcPr>
            <w:tcW w:w="1053" w:type="dxa"/>
            <w:gridSpan w:val="2"/>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88265</wp:posOffset>
                  </wp:positionH>
                  <wp:positionV relativeFrom="paragraph">
                    <wp:posOffset>520065</wp:posOffset>
                  </wp:positionV>
                  <wp:extent cx="1048385" cy="754380"/>
                  <wp:effectExtent l="0" t="0" r="18415" b="7620"/>
                  <wp:wrapNone/>
                  <wp:docPr id="136" name="图片_132"/>
                  <wp:cNvGraphicFramePr/>
                  <a:graphic xmlns:a="http://schemas.openxmlformats.org/drawingml/2006/main">
                    <a:graphicData uri="http://schemas.openxmlformats.org/drawingml/2006/picture">
                      <pic:pic xmlns:pic="http://schemas.openxmlformats.org/drawingml/2006/picture">
                        <pic:nvPicPr>
                          <pic:cNvPr id="136" name="图片_132"/>
                          <pic:cNvPicPr/>
                        </pic:nvPicPr>
                        <pic:blipFill>
                          <a:blip r:embed="rId127"/>
                          <a:stretch>
                            <a:fillRect/>
                          </a:stretch>
                        </pic:blipFill>
                        <pic:spPr>
                          <a:xfrm>
                            <a:off x="0" y="0"/>
                            <a:ext cx="1048385" cy="7543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1780*1600*1150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侧柜：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1600*400*1150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4.五金件：钢制脚架采用60*25mm方管，倒斜角10*10mm，壁厚≥1.8mm，45°斗角焊接，表面喷塑；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5.固定柜：含三抽柜，抽屉内抽旁采用45°拼接，表面PVC包覆，抽底板采用5MM中纤板，与抽旁采用拉槽连接方式；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6.功能配置：含桌下挡板，尺寸900*300mm，采用8MM聚酯纤维板，桌面线盒最少预留3个86型电源模块位置；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7.下架：静电粉末喷涂钢制下架；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8.热固性粉末涂料：符合国家相关标准；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1.桌面线盒采用集成插座,含电源模块、USB模块,符合3C或者CE认证要求；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2.聚酯纤维板:毛毡板采用聚酯纤维,符合国家相关标准；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3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227330</wp:posOffset>
                  </wp:positionH>
                  <wp:positionV relativeFrom="paragraph">
                    <wp:posOffset>198120</wp:posOffset>
                  </wp:positionV>
                  <wp:extent cx="754380" cy="1480185"/>
                  <wp:effectExtent l="0" t="0" r="7620" b="5715"/>
                  <wp:wrapNone/>
                  <wp:docPr id="152" name="图片_210_SpCnt_3"/>
                  <wp:cNvGraphicFramePr/>
                  <a:graphic xmlns:a="http://schemas.openxmlformats.org/drawingml/2006/main">
                    <a:graphicData uri="http://schemas.openxmlformats.org/drawingml/2006/picture">
                      <pic:pic xmlns:pic="http://schemas.openxmlformats.org/drawingml/2006/picture">
                        <pic:nvPicPr>
                          <pic:cNvPr id="152" name="图片_210_SpCnt_3"/>
                          <pic:cNvPicPr/>
                        </pic:nvPicPr>
                        <pic:blipFill>
                          <a:blip r:embed="rId128"/>
                          <a:stretch>
                            <a:fillRect/>
                          </a:stretch>
                        </pic:blipFill>
                        <pic:spPr>
                          <a:xfrm>
                            <a:off x="0" y="0"/>
                            <a:ext cx="754380" cy="14801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900*400*1966mm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可选配玻璃柜门</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备注：层板可活动、可拆卸；上门柜的木门板可选配玻璃门板；</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1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236855</wp:posOffset>
                  </wp:positionH>
                  <wp:positionV relativeFrom="paragraph">
                    <wp:posOffset>278130</wp:posOffset>
                  </wp:positionV>
                  <wp:extent cx="861060" cy="1470025"/>
                  <wp:effectExtent l="0" t="0" r="15240" b="15875"/>
                  <wp:wrapNone/>
                  <wp:docPr id="127" name="图片_166"/>
                  <wp:cNvGraphicFramePr/>
                  <a:graphic xmlns:a="http://schemas.openxmlformats.org/drawingml/2006/main">
                    <a:graphicData uri="http://schemas.openxmlformats.org/drawingml/2006/picture">
                      <pic:pic xmlns:pic="http://schemas.openxmlformats.org/drawingml/2006/picture">
                        <pic:nvPicPr>
                          <pic:cNvPr id="127" name="图片_166"/>
                          <pic:cNvPicPr/>
                        </pic:nvPicPr>
                        <pic:blipFill>
                          <a:blip r:embed="rId129"/>
                          <a:stretch>
                            <a:fillRect/>
                          </a:stretch>
                        </pic:blipFill>
                        <pic:spPr>
                          <a:xfrm>
                            <a:off x="0" y="0"/>
                            <a:ext cx="861060" cy="14700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690*660*1190mm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1.面料：优质网布，透气舒适。符合国家相关标准。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3.气压棒：采用优质环保气压棒，符合国家相关标准。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4.扶手：采用一次成型扶手，符合国家相关标准。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5.椅轮：采用优质万向轮，符合国家相关标准。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3D头枕、可旋转、可升降。</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多功能腰靠，自适应调节支撑角度，可前后调节5CM，升降调节5CM。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SJ-TLS-M固定扶手黑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ZT-T879K原位锁定底盘，同步倾仰。</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SJ330PP翘头黑脚、60-26PU黑轮、80下沉40三级喷塑黑气杆。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28密度无粉海绵，12MM厚度胶合板，无座塑壳。</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12947" w:type="dxa"/>
            <w:gridSpan w:val="6"/>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一楼餐厅</w:t>
            </w:r>
          </w:p>
        </w:tc>
        <w:tc>
          <w:tcPr>
            <w:tcW w:w="1053" w:type="dxa"/>
            <w:gridSpan w:val="2"/>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餐桌1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151765</wp:posOffset>
                  </wp:positionV>
                  <wp:extent cx="797560" cy="813435"/>
                  <wp:effectExtent l="0" t="0" r="2540" b="5715"/>
                  <wp:wrapNone/>
                  <wp:docPr id="155" name="图片_85"/>
                  <wp:cNvGraphicFramePr/>
                  <a:graphic xmlns:a="http://schemas.openxmlformats.org/drawingml/2006/main">
                    <a:graphicData uri="http://schemas.openxmlformats.org/drawingml/2006/picture">
                      <pic:pic xmlns:pic="http://schemas.openxmlformats.org/drawingml/2006/picture">
                        <pic:nvPicPr>
                          <pic:cNvPr id="155" name="图片_85"/>
                          <pic:cNvPicPr/>
                        </pic:nvPicPr>
                        <pic:blipFill>
                          <a:blip r:embed="rId130"/>
                          <a:stretch>
                            <a:fillRect/>
                          </a:stretch>
                        </pic:blipFill>
                        <pic:spPr>
                          <a:xfrm>
                            <a:off x="0" y="0"/>
                            <a:ext cx="797560" cy="8134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700*700*750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4.钢脚：采用优质钢制脚，符合国家相关标准。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餐桌2</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405765</wp:posOffset>
                  </wp:positionH>
                  <wp:positionV relativeFrom="paragraph">
                    <wp:posOffset>118745</wp:posOffset>
                  </wp:positionV>
                  <wp:extent cx="526415" cy="614045"/>
                  <wp:effectExtent l="0" t="0" r="6985" b="14605"/>
                  <wp:wrapNone/>
                  <wp:docPr id="154" name="图片_4_SpCnt_1"/>
                  <wp:cNvGraphicFramePr/>
                  <a:graphic xmlns:a="http://schemas.openxmlformats.org/drawingml/2006/main">
                    <a:graphicData uri="http://schemas.openxmlformats.org/drawingml/2006/picture">
                      <pic:pic xmlns:pic="http://schemas.openxmlformats.org/drawingml/2006/picture">
                        <pic:nvPicPr>
                          <pic:cNvPr id="154" name="图片_4_SpCnt_1"/>
                          <pic:cNvPicPr/>
                        </pic:nvPicPr>
                        <pic:blipFill>
                          <a:blip r:embed="rId131"/>
                          <a:stretch>
                            <a:fillRect/>
                          </a:stretch>
                        </pic:blipFill>
                        <pic:spPr>
                          <a:xfrm>
                            <a:off x="0" y="0"/>
                            <a:ext cx="526415" cy="6140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φ800*750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4.钢脚：采用优质钢制脚，符合国家相关标准。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0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餐桌3</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354330</wp:posOffset>
                  </wp:positionH>
                  <wp:positionV relativeFrom="paragraph">
                    <wp:posOffset>201295</wp:posOffset>
                  </wp:positionV>
                  <wp:extent cx="641350" cy="559435"/>
                  <wp:effectExtent l="0" t="0" r="6350" b="12065"/>
                  <wp:wrapNone/>
                  <wp:docPr id="128" name="图片_86"/>
                  <wp:cNvGraphicFramePr/>
                  <a:graphic xmlns:a="http://schemas.openxmlformats.org/drawingml/2006/main">
                    <a:graphicData uri="http://schemas.openxmlformats.org/drawingml/2006/picture">
                      <pic:pic xmlns:pic="http://schemas.openxmlformats.org/drawingml/2006/picture">
                        <pic:nvPicPr>
                          <pic:cNvPr id="128" name="图片_86"/>
                          <pic:cNvPicPr/>
                        </pic:nvPicPr>
                        <pic:blipFill>
                          <a:blip r:embed="rId132"/>
                          <a:stretch>
                            <a:fillRect/>
                          </a:stretch>
                        </pic:blipFill>
                        <pic:spPr>
                          <a:xfrm>
                            <a:off x="0" y="0"/>
                            <a:ext cx="641350" cy="5594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1300*700*750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4.钢脚：采用优质钢制脚，符合国家相关标准。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餐椅</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500380</wp:posOffset>
                  </wp:positionH>
                  <wp:positionV relativeFrom="paragraph">
                    <wp:posOffset>86360</wp:posOffset>
                  </wp:positionV>
                  <wp:extent cx="427990" cy="652780"/>
                  <wp:effectExtent l="0" t="0" r="10160" b="13970"/>
                  <wp:wrapNone/>
                  <wp:docPr id="137" name="图片_89"/>
                  <wp:cNvGraphicFramePr/>
                  <a:graphic xmlns:a="http://schemas.openxmlformats.org/drawingml/2006/main">
                    <a:graphicData uri="http://schemas.openxmlformats.org/drawingml/2006/picture">
                      <pic:pic xmlns:pic="http://schemas.openxmlformats.org/drawingml/2006/picture">
                        <pic:nvPicPr>
                          <pic:cNvPr id="137" name="图片_89"/>
                          <pic:cNvPicPr/>
                        </pic:nvPicPr>
                        <pic:blipFill>
                          <a:blip r:embed="rId133"/>
                          <a:stretch>
                            <a:fillRect/>
                          </a:stretch>
                        </pic:blipFill>
                        <pic:spPr>
                          <a:xfrm>
                            <a:off x="0" y="0"/>
                            <a:ext cx="427990" cy="6527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1.面料：优质麻布阻燃面料，透气舒适。符合国家相关标准。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3.椅架：采用优质实木（椅）架。</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314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前台桌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283210</wp:posOffset>
                  </wp:positionH>
                  <wp:positionV relativeFrom="paragraph">
                    <wp:posOffset>356235</wp:posOffset>
                  </wp:positionV>
                  <wp:extent cx="800735" cy="386715"/>
                  <wp:effectExtent l="0" t="0" r="18415" b="13335"/>
                  <wp:wrapNone/>
                  <wp:docPr id="140" name="图片_90"/>
                  <wp:cNvGraphicFramePr/>
                  <a:graphic xmlns:a="http://schemas.openxmlformats.org/drawingml/2006/main">
                    <a:graphicData uri="http://schemas.openxmlformats.org/drawingml/2006/picture">
                      <pic:pic xmlns:pic="http://schemas.openxmlformats.org/drawingml/2006/picture">
                        <pic:nvPicPr>
                          <pic:cNvPr id="140" name="图片_90"/>
                          <pic:cNvPicPr/>
                        </pic:nvPicPr>
                        <pic:blipFill>
                          <a:blip r:embed="rId134"/>
                          <a:stretch>
                            <a:fillRect/>
                          </a:stretch>
                        </pic:blipFill>
                        <pic:spPr>
                          <a:xfrm>
                            <a:off x="0" y="0"/>
                            <a:ext cx="800735" cy="3867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2400*1200*1050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4.桌架：桌架横梁，符合国家相关标准。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5.五金配件：采用优质五金配件，符合国家相关标准。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6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椅子</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330200</wp:posOffset>
                  </wp:positionH>
                  <wp:positionV relativeFrom="paragraph">
                    <wp:posOffset>127000</wp:posOffset>
                  </wp:positionV>
                  <wp:extent cx="600075" cy="868045"/>
                  <wp:effectExtent l="0" t="0" r="9525" b="8255"/>
                  <wp:wrapNone/>
                  <wp:docPr id="153" name="图片_163"/>
                  <wp:cNvGraphicFramePr/>
                  <a:graphic xmlns:a="http://schemas.openxmlformats.org/drawingml/2006/main">
                    <a:graphicData uri="http://schemas.openxmlformats.org/drawingml/2006/picture">
                      <pic:pic xmlns:pic="http://schemas.openxmlformats.org/drawingml/2006/picture">
                        <pic:nvPicPr>
                          <pic:cNvPr id="153" name="图片_163"/>
                          <pic:cNvPicPr/>
                        </pic:nvPicPr>
                        <pic:blipFill>
                          <a:blip r:embed="rId113"/>
                          <a:stretch>
                            <a:fillRect/>
                          </a:stretch>
                        </pic:blipFill>
                        <pic:spPr>
                          <a:xfrm>
                            <a:off x="0" y="0"/>
                            <a:ext cx="600075" cy="8680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640*635*1000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1)面料:采用优质网布，符合国家相关标准；；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2)背框:PP+玻纤,符合国家相关标准；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3)曲木板:采用优质E1级成型胶合板,符合国家相关标准；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5)扶手：采用PP材质扶手，符合国家相关标准要求；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6)底架：喷塑钢制管材，一次折弯成型，符合国家相关标准。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7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调味桌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318770</wp:posOffset>
                  </wp:positionH>
                  <wp:positionV relativeFrom="paragraph">
                    <wp:posOffset>98425</wp:posOffset>
                  </wp:positionV>
                  <wp:extent cx="638810" cy="661035"/>
                  <wp:effectExtent l="0" t="0" r="8890" b="5715"/>
                  <wp:wrapNone/>
                  <wp:docPr id="156" name="图片_91"/>
                  <wp:cNvGraphicFramePr/>
                  <a:graphic xmlns:a="http://schemas.openxmlformats.org/drawingml/2006/main">
                    <a:graphicData uri="http://schemas.openxmlformats.org/drawingml/2006/picture">
                      <pic:pic xmlns:pic="http://schemas.openxmlformats.org/drawingml/2006/picture">
                        <pic:nvPicPr>
                          <pic:cNvPr id="156" name="图片_91"/>
                          <pic:cNvPicPr/>
                        </pic:nvPicPr>
                        <pic:blipFill>
                          <a:blip r:embed="rId135"/>
                          <a:stretch>
                            <a:fillRect/>
                          </a:stretch>
                        </pic:blipFill>
                        <pic:spPr>
                          <a:xfrm>
                            <a:off x="0" y="0"/>
                            <a:ext cx="638810" cy="6610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1000*400*1100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2.台面：采用优质人造石，符合国家相关标准。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2" w:hRule="atLeast"/>
        </w:trPr>
        <w:tc>
          <w:tcPr>
            <w:tcW w:w="12947" w:type="dxa"/>
            <w:gridSpan w:val="6"/>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二楼餐厅</w:t>
            </w:r>
          </w:p>
        </w:tc>
        <w:tc>
          <w:tcPr>
            <w:tcW w:w="1053" w:type="dxa"/>
            <w:gridSpan w:val="2"/>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圆餐桌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496570</wp:posOffset>
                  </wp:positionH>
                  <wp:positionV relativeFrom="paragraph">
                    <wp:posOffset>187325</wp:posOffset>
                  </wp:positionV>
                  <wp:extent cx="552450" cy="483870"/>
                  <wp:effectExtent l="0" t="0" r="0" b="11430"/>
                  <wp:wrapNone/>
                  <wp:docPr id="157" name="图片_4_SpCnt_2"/>
                  <wp:cNvGraphicFramePr/>
                  <a:graphic xmlns:a="http://schemas.openxmlformats.org/drawingml/2006/main">
                    <a:graphicData uri="http://schemas.openxmlformats.org/drawingml/2006/picture">
                      <pic:pic xmlns:pic="http://schemas.openxmlformats.org/drawingml/2006/picture">
                        <pic:nvPicPr>
                          <pic:cNvPr id="157" name="图片_4_SpCnt_2"/>
                          <pic:cNvPicPr/>
                        </pic:nvPicPr>
                        <pic:blipFill>
                          <a:blip r:embed="rId131"/>
                          <a:stretch>
                            <a:fillRect/>
                          </a:stretch>
                        </pic:blipFill>
                        <pic:spPr>
                          <a:xfrm>
                            <a:off x="0" y="0"/>
                            <a:ext cx="552450" cy="48387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φ800*750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4.钢脚：采用优质钢制脚，符合国家相关标准。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7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大圆桌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449580</wp:posOffset>
                  </wp:positionH>
                  <wp:positionV relativeFrom="paragraph">
                    <wp:posOffset>304800</wp:posOffset>
                  </wp:positionV>
                  <wp:extent cx="770890" cy="643890"/>
                  <wp:effectExtent l="0" t="0" r="10160" b="3810"/>
                  <wp:wrapNone/>
                  <wp:docPr id="151" name="图片_121"/>
                  <wp:cNvGraphicFramePr/>
                  <a:graphic xmlns:a="http://schemas.openxmlformats.org/drawingml/2006/main">
                    <a:graphicData uri="http://schemas.openxmlformats.org/drawingml/2006/picture">
                      <pic:pic xmlns:pic="http://schemas.openxmlformats.org/drawingml/2006/picture">
                        <pic:nvPicPr>
                          <pic:cNvPr id="151" name="图片_121"/>
                          <pic:cNvPicPr/>
                        </pic:nvPicPr>
                        <pic:blipFill>
                          <a:blip r:embed="rId136"/>
                          <a:stretch>
                            <a:fillRect/>
                          </a:stretch>
                        </pic:blipFill>
                        <pic:spPr>
                          <a:xfrm>
                            <a:off x="0" y="0"/>
                            <a:ext cx="770890" cy="6438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φ1500*750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3.油漆：采用优质环保油漆：符合国家相关标准；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5.五金：三合一连接件，符合国家相关标准。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3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方餐桌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354330</wp:posOffset>
                  </wp:positionH>
                  <wp:positionV relativeFrom="paragraph">
                    <wp:posOffset>180975</wp:posOffset>
                  </wp:positionV>
                  <wp:extent cx="859155" cy="864870"/>
                  <wp:effectExtent l="0" t="0" r="17145" b="11430"/>
                  <wp:wrapNone/>
                  <wp:docPr id="158" name="图片_127"/>
                  <wp:cNvGraphicFramePr/>
                  <a:graphic xmlns:a="http://schemas.openxmlformats.org/drawingml/2006/main">
                    <a:graphicData uri="http://schemas.openxmlformats.org/drawingml/2006/picture">
                      <pic:pic xmlns:pic="http://schemas.openxmlformats.org/drawingml/2006/picture">
                        <pic:nvPicPr>
                          <pic:cNvPr id="158" name="图片_127"/>
                          <pic:cNvPicPr/>
                        </pic:nvPicPr>
                        <pic:blipFill>
                          <a:blip r:embed="rId137"/>
                          <a:stretch>
                            <a:fillRect/>
                          </a:stretch>
                        </pic:blipFill>
                        <pic:spPr>
                          <a:xfrm>
                            <a:off x="0" y="0"/>
                            <a:ext cx="859155" cy="86487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700*700*740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1.台面：采用优质浸渍胶膜纸饰面E0刨花板，面板纹理清晰美观。符合标准。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4.钢脚：采用优质钢制脚，符合国家相关标准。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3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长餐桌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276860</wp:posOffset>
                  </wp:positionH>
                  <wp:positionV relativeFrom="paragraph">
                    <wp:posOffset>236855</wp:posOffset>
                  </wp:positionV>
                  <wp:extent cx="967105" cy="769620"/>
                  <wp:effectExtent l="0" t="0" r="4445" b="11430"/>
                  <wp:wrapNone/>
                  <wp:docPr id="145" name="图片_51"/>
                  <wp:cNvGraphicFramePr/>
                  <a:graphic xmlns:a="http://schemas.openxmlformats.org/drawingml/2006/main">
                    <a:graphicData uri="http://schemas.openxmlformats.org/drawingml/2006/picture">
                      <pic:pic xmlns:pic="http://schemas.openxmlformats.org/drawingml/2006/picture">
                        <pic:nvPicPr>
                          <pic:cNvPr id="145" name="图片_51"/>
                          <pic:cNvPicPr/>
                        </pic:nvPicPr>
                        <pic:blipFill>
                          <a:blip r:embed="rId138"/>
                          <a:stretch>
                            <a:fillRect/>
                          </a:stretch>
                        </pic:blipFill>
                        <pic:spPr>
                          <a:xfrm>
                            <a:off x="0" y="0"/>
                            <a:ext cx="967105" cy="76962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1300*700*740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1.台面：采用实木橡木，符合国家相关标准；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2.桌架：采用实木桌架，符合国家相关标准。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3.油漆：采油漆：采用优质环保油漆：符合国家相关标准；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8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餐椅1</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344170</wp:posOffset>
                  </wp:positionH>
                  <wp:positionV relativeFrom="paragraph">
                    <wp:posOffset>74295</wp:posOffset>
                  </wp:positionV>
                  <wp:extent cx="715645" cy="916940"/>
                  <wp:effectExtent l="0" t="0" r="8255" b="16510"/>
                  <wp:wrapNone/>
                  <wp:docPr id="142" name="图片_93"/>
                  <wp:cNvGraphicFramePr/>
                  <a:graphic xmlns:a="http://schemas.openxmlformats.org/drawingml/2006/main">
                    <a:graphicData uri="http://schemas.openxmlformats.org/drawingml/2006/picture">
                      <pic:pic xmlns:pic="http://schemas.openxmlformats.org/drawingml/2006/picture">
                        <pic:nvPicPr>
                          <pic:cNvPr id="142" name="图片_93"/>
                          <pic:cNvPicPr/>
                        </pic:nvPicPr>
                        <pic:blipFill>
                          <a:blip r:embed="rId139"/>
                          <a:stretch>
                            <a:fillRect/>
                          </a:stretch>
                        </pic:blipFill>
                        <pic:spPr>
                          <a:xfrm>
                            <a:off x="0" y="0"/>
                            <a:ext cx="715645" cy="9169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1.面料：优质麻布阻燃面料，符合国家相关标准。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3.椅架：采用优质实木（椅）架,经烘干、防虫、防腐处理，经久耐用，不开裂，表面平整耐久。</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6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餐椅2</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207645</wp:posOffset>
                  </wp:positionV>
                  <wp:extent cx="666750" cy="965835"/>
                  <wp:effectExtent l="0" t="0" r="0" b="5715"/>
                  <wp:wrapNone/>
                  <wp:docPr id="129" name="图片_122"/>
                  <wp:cNvGraphicFramePr/>
                  <a:graphic xmlns:a="http://schemas.openxmlformats.org/drawingml/2006/main">
                    <a:graphicData uri="http://schemas.openxmlformats.org/drawingml/2006/picture">
                      <pic:pic xmlns:pic="http://schemas.openxmlformats.org/drawingml/2006/picture">
                        <pic:nvPicPr>
                          <pic:cNvPr id="129" name="图片_122"/>
                          <pic:cNvPicPr/>
                        </pic:nvPicPr>
                        <pic:blipFill>
                          <a:blip r:embed="rId140"/>
                          <a:stretch>
                            <a:fillRect/>
                          </a:stretch>
                        </pic:blipFill>
                        <pic:spPr>
                          <a:xfrm>
                            <a:off x="0" y="0"/>
                            <a:ext cx="666750" cy="9658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1.面料：优质麻布阻燃面料，符合国家相关标准。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3.椅架：采用优质实木（椅）架,经烘干、防虫、防腐处理，经久耐用，不开裂，表面平整耐久。</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卡座餐桌</w:t>
            </w:r>
          </w:p>
        </w:tc>
        <w:tc>
          <w:tcPr>
            <w:tcW w:w="25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458470</wp:posOffset>
                  </wp:positionV>
                  <wp:extent cx="961390" cy="873760"/>
                  <wp:effectExtent l="0" t="0" r="10160" b="2540"/>
                  <wp:wrapNone/>
                  <wp:docPr id="130" name="图片_120"/>
                  <wp:cNvGraphicFramePr/>
                  <a:graphic xmlns:a="http://schemas.openxmlformats.org/drawingml/2006/main">
                    <a:graphicData uri="http://schemas.openxmlformats.org/drawingml/2006/picture">
                      <pic:pic xmlns:pic="http://schemas.openxmlformats.org/drawingml/2006/picture">
                        <pic:nvPicPr>
                          <pic:cNvPr id="130" name="图片_120"/>
                          <pic:cNvPicPr/>
                        </pic:nvPicPr>
                        <pic:blipFill>
                          <a:blip r:embed="rId141"/>
                          <a:stretch>
                            <a:fillRect/>
                          </a:stretch>
                        </pic:blipFill>
                        <pic:spPr>
                          <a:xfrm>
                            <a:off x="0" y="0"/>
                            <a:ext cx="961390" cy="8737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1800*700*750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4.钢脚：采用优质钢制脚，符合国家相关标准。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2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沙发</w:t>
            </w:r>
          </w:p>
        </w:tc>
        <w:tc>
          <w:tcPr>
            <w:tcW w:w="2576"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三人位</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花箱</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210820</wp:posOffset>
                  </wp:positionV>
                  <wp:extent cx="929005" cy="1025525"/>
                  <wp:effectExtent l="0" t="0" r="4445" b="3175"/>
                  <wp:wrapNone/>
                  <wp:docPr id="143" name="图片_94"/>
                  <wp:cNvGraphicFramePr/>
                  <a:graphic xmlns:a="http://schemas.openxmlformats.org/drawingml/2006/main">
                    <a:graphicData uri="http://schemas.openxmlformats.org/drawingml/2006/picture">
                      <pic:pic xmlns:pic="http://schemas.openxmlformats.org/drawingml/2006/picture">
                        <pic:nvPicPr>
                          <pic:cNvPr id="143" name="图片_94"/>
                          <pic:cNvPicPr/>
                        </pic:nvPicPr>
                        <pic:blipFill>
                          <a:blip r:embed="rId142"/>
                          <a:stretch>
                            <a:fillRect/>
                          </a:stretch>
                        </pic:blipFill>
                        <pic:spPr>
                          <a:xfrm>
                            <a:off x="0" y="0"/>
                            <a:ext cx="929005" cy="10255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定制1000*250*900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1.基材：优质冷轧钢板，厚度≥0.7mm，符合国家相关标准。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2.喷涂：采用优质环保塑粉静电哑光喷涂，具有抗划伤、耐高温、耐磨损等特点，符合国家相关标准；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3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定制固定取餐台</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465455</wp:posOffset>
                  </wp:positionV>
                  <wp:extent cx="1290320" cy="347980"/>
                  <wp:effectExtent l="0" t="0" r="5080" b="13970"/>
                  <wp:wrapNone/>
                  <wp:docPr id="148" name="图片_128"/>
                  <wp:cNvGraphicFramePr/>
                  <a:graphic xmlns:a="http://schemas.openxmlformats.org/drawingml/2006/main">
                    <a:graphicData uri="http://schemas.openxmlformats.org/drawingml/2006/picture">
                      <pic:pic xmlns:pic="http://schemas.openxmlformats.org/drawingml/2006/picture">
                        <pic:nvPicPr>
                          <pic:cNvPr id="148" name="图片_128"/>
                          <pic:cNvPicPr/>
                        </pic:nvPicPr>
                        <pic:blipFill>
                          <a:blip r:embed="rId143"/>
                          <a:stretch>
                            <a:fillRect/>
                          </a:stretch>
                        </pic:blipFill>
                        <pic:spPr>
                          <a:xfrm>
                            <a:off x="0" y="0"/>
                            <a:ext cx="1290320" cy="347980"/>
                          </a:xfrm>
                          <a:prstGeom prst="rect">
                            <a:avLst/>
                          </a:prstGeom>
                          <a:noFill/>
                          <a:ln>
                            <a:noFill/>
                          </a:ln>
                        </pic:spPr>
                      </pic:pic>
                    </a:graphicData>
                  </a:graphic>
                </wp:anchor>
              </w:drawing>
            </w: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842645</wp:posOffset>
                  </wp:positionV>
                  <wp:extent cx="1169035" cy="337820"/>
                  <wp:effectExtent l="0" t="0" r="12065" b="5080"/>
                  <wp:wrapNone/>
                  <wp:docPr id="150" name="图片_129"/>
                  <wp:cNvGraphicFramePr/>
                  <a:graphic xmlns:a="http://schemas.openxmlformats.org/drawingml/2006/main">
                    <a:graphicData uri="http://schemas.openxmlformats.org/drawingml/2006/picture">
                      <pic:pic xmlns:pic="http://schemas.openxmlformats.org/drawingml/2006/picture">
                        <pic:nvPicPr>
                          <pic:cNvPr id="150" name="图片_129"/>
                          <pic:cNvPicPr/>
                        </pic:nvPicPr>
                        <pic:blipFill>
                          <a:blip r:embed="rId144"/>
                          <a:stretch>
                            <a:fillRect/>
                          </a:stretch>
                        </pic:blipFill>
                        <pic:spPr>
                          <a:xfrm>
                            <a:off x="0" y="0"/>
                            <a:ext cx="1169035" cy="33782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暂定尺寸15600*2700*1100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2.台面：采用优质人造石，符合国家相关标准。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3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调味桌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194945</wp:posOffset>
                  </wp:positionH>
                  <wp:positionV relativeFrom="paragraph">
                    <wp:posOffset>302895</wp:posOffset>
                  </wp:positionV>
                  <wp:extent cx="906780" cy="656590"/>
                  <wp:effectExtent l="0" t="0" r="7620" b="10160"/>
                  <wp:wrapNone/>
                  <wp:docPr id="133" name="图片_95"/>
                  <wp:cNvGraphicFramePr/>
                  <a:graphic xmlns:a="http://schemas.openxmlformats.org/drawingml/2006/main">
                    <a:graphicData uri="http://schemas.openxmlformats.org/drawingml/2006/picture">
                      <pic:pic xmlns:pic="http://schemas.openxmlformats.org/drawingml/2006/picture">
                        <pic:nvPicPr>
                          <pic:cNvPr id="133" name="图片_95"/>
                          <pic:cNvPicPr/>
                        </pic:nvPicPr>
                        <pic:blipFill>
                          <a:blip r:embed="rId145"/>
                          <a:stretch>
                            <a:fillRect/>
                          </a:stretch>
                        </pic:blipFill>
                        <pic:spPr>
                          <a:xfrm>
                            <a:off x="0" y="0"/>
                            <a:ext cx="906780" cy="6565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1800*400*1000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2.台面：采用优质人造石，符合国家相关标准。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2947" w:type="dxa"/>
            <w:gridSpan w:val="6"/>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二楼包厢</w:t>
            </w:r>
          </w:p>
        </w:tc>
        <w:tc>
          <w:tcPr>
            <w:tcW w:w="1053" w:type="dxa"/>
            <w:gridSpan w:val="2"/>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包厢圆餐桌1</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146685</wp:posOffset>
                  </wp:positionH>
                  <wp:positionV relativeFrom="paragraph">
                    <wp:posOffset>877570</wp:posOffset>
                  </wp:positionV>
                  <wp:extent cx="1042670" cy="433070"/>
                  <wp:effectExtent l="0" t="0" r="5080" b="5080"/>
                  <wp:wrapNone/>
                  <wp:docPr id="132" name="图片_97"/>
                  <wp:cNvGraphicFramePr/>
                  <a:graphic xmlns:a="http://schemas.openxmlformats.org/drawingml/2006/main">
                    <a:graphicData uri="http://schemas.openxmlformats.org/drawingml/2006/picture">
                      <pic:pic xmlns:pic="http://schemas.openxmlformats.org/drawingml/2006/picture">
                        <pic:nvPicPr>
                          <pic:cNvPr id="132" name="图片_97"/>
                          <pic:cNvPicPr/>
                        </pic:nvPicPr>
                        <pic:blipFill>
                          <a:blip r:embed="rId146"/>
                          <a:stretch>
                            <a:fillRect/>
                          </a:stretch>
                        </pic:blipFill>
                        <pic:spPr>
                          <a:xfrm>
                            <a:off x="0" y="0"/>
                            <a:ext cx="1042670" cy="43307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D1600*750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3.油漆：环保油漆，符合国家相关标准。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6.台面：采用优质人造石，符合国家相关标准。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包厢圆餐桌2</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303530</wp:posOffset>
                  </wp:positionV>
                  <wp:extent cx="1038225" cy="650875"/>
                  <wp:effectExtent l="0" t="0" r="9525" b="15875"/>
                  <wp:wrapNone/>
                  <wp:docPr id="144" name="图片_12_SpCnt_1"/>
                  <wp:cNvGraphicFramePr/>
                  <a:graphic xmlns:a="http://schemas.openxmlformats.org/drawingml/2006/main">
                    <a:graphicData uri="http://schemas.openxmlformats.org/drawingml/2006/picture">
                      <pic:pic xmlns:pic="http://schemas.openxmlformats.org/drawingml/2006/picture">
                        <pic:nvPicPr>
                          <pic:cNvPr id="144" name="图片_12_SpCnt_1"/>
                          <pic:cNvPicPr/>
                        </pic:nvPicPr>
                        <pic:blipFill>
                          <a:blip r:embed="rId147"/>
                          <a:stretch>
                            <a:fillRect/>
                          </a:stretch>
                        </pic:blipFill>
                        <pic:spPr>
                          <a:xfrm>
                            <a:off x="0" y="0"/>
                            <a:ext cx="1038225" cy="6508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D2700*750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1.基材：采用环保中密度E0纤维板准，符合国家相关标准。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3.油漆：环保油漆，符合国家相关标准。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6.台面：采用优质人造石，符合国家相关标准。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3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餐椅</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302895</wp:posOffset>
                  </wp:positionH>
                  <wp:positionV relativeFrom="paragraph">
                    <wp:posOffset>0</wp:posOffset>
                  </wp:positionV>
                  <wp:extent cx="683895" cy="513715"/>
                  <wp:effectExtent l="0" t="0" r="1905" b="635"/>
                  <wp:wrapNone/>
                  <wp:docPr id="134" name="图片_11"/>
                  <wp:cNvGraphicFramePr/>
                  <a:graphic xmlns:a="http://schemas.openxmlformats.org/drawingml/2006/main">
                    <a:graphicData uri="http://schemas.openxmlformats.org/drawingml/2006/picture">
                      <pic:pic xmlns:pic="http://schemas.openxmlformats.org/drawingml/2006/picture">
                        <pic:nvPicPr>
                          <pic:cNvPr id="134" name="图片_11"/>
                          <pic:cNvPicPr/>
                        </pic:nvPicPr>
                        <pic:blipFill>
                          <a:blip r:embed="rId148"/>
                          <a:stretch>
                            <a:fillRect/>
                          </a:stretch>
                        </pic:blipFill>
                        <pic:spPr>
                          <a:xfrm>
                            <a:off x="0" y="0"/>
                            <a:ext cx="683895" cy="5137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500*500*800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1.面料：优质麻布阻燃面料，符合国家相关标准。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3.椅架：采用优质实木（椅）架。</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4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包厢圆餐桌3</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435610</wp:posOffset>
                  </wp:positionV>
                  <wp:extent cx="980440" cy="544195"/>
                  <wp:effectExtent l="0" t="0" r="10160" b="8255"/>
                  <wp:wrapNone/>
                  <wp:docPr id="146" name="图片_98"/>
                  <wp:cNvGraphicFramePr/>
                  <a:graphic xmlns:a="http://schemas.openxmlformats.org/drawingml/2006/main">
                    <a:graphicData uri="http://schemas.openxmlformats.org/drawingml/2006/picture">
                      <pic:pic xmlns:pic="http://schemas.openxmlformats.org/drawingml/2006/picture">
                        <pic:nvPicPr>
                          <pic:cNvPr id="146" name="图片_98"/>
                          <pic:cNvPicPr/>
                        </pic:nvPicPr>
                        <pic:blipFill>
                          <a:blip r:embed="rId149"/>
                          <a:stretch>
                            <a:fillRect/>
                          </a:stretch>
                        </pic:blipFill>
                        <pic:spPr>
                          <a:xfrm>
                            <a:off x="0" y="0"/>
                            <a:ext cx="980440" cy="5441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D3600*750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3.油漆：采用优质环保油漆：符合国家相关标准；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6.台面：采用优质人造石，符合国家相关标准。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餐椅</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66675</wp:posOffset>
                  </wp:positionV>
                  <wp:extent cx="596900" cy="677545"/>
                  <wp:effectExtent l="0" t="0" r="12700" b="8255"/>
                  <wp:wrapNone/>
                  <wp:docPr id="138" name="图片_102"/>
                  <wp:cNvGraphicFramePr/>
                  <a:graphic xmlns:a="http://schemas.openxmlformats.org/drawingml/2006/main">
                    <a:graphicData uri="http://schemas.openxmlformats.org/drawingml/2006/picture">
                      <pic:pic xmlns:pic="http://schemas.openxmlformats.org/drawingml/2006/picture">
                        <pic:nvPicPr>
                          <pic:cNvPr id="138" name="图片_102"/>
                          <pic:cNvPicPr/>
                        </pic:nvPicPr>
                        <pic:blipFill>
                          <a:blip r:embed="rId150"/>
                          <a:stretch>
                            <a:fillRect/>
                          </a:stretch>
                        </pic:blipFill>
                        <pic:spPr>
                          <a:xfrm>
                            <a:off x="0" y="0"/>
                            <a:ext cx="596900" cy="6775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500*500*800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1.面料：优质麻布阻燃面料，符合国家相关标准。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3.椅架：采用优质实木（椅）架,经烘干、防虫、防腐处理，经久耐用，不开裂，表面平整耐久。</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5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147955</wp:posOffset>
                  </wp:positionH>
                  <wp:positionV relativeFrom="paragraph">
                    <wp:posOffset>77470</wp:posOffset>
                  </wp:positionV>
                  <wp:extent cx="935355" cy="610870"/>
                  <wp:effectExtent l="0" t="0" r="17145" b="17780"/>
                  <wp:wrapNone/>
                  <wp:docPr id="139" name="图片_106"/>
                  <wp:cNvGraphicFramePr/>
                  <a:graphic xmlns:a="http://schemas.openxmlformats.org/drawingml/2006/main">
                    <a:graphicData uri="http://schemas.openxmlformats.org/drawingml/2006/picture">
                      <pic:pic xmlns:pic="http://schemas.openxmlformats.org/drawingml/2006/picture">
                        <pic:nvPicPr>
                          <pic:cNvPr id="139" name="图片_106"/>
                          <pic:cNvPicPr/>
                        </pic:nvPicPr>
                        <pic:blipFill>
                          <a:blip r:embed="rId151"/>
                          <a:stretch>
                            <a:fillRect/>
                          </a:stretch>
                        </pic:blipFill>
                        <pic:spPr>
                          <a:xfrm>
                            <a:off x="0" y="0"/>
                            <a:ext cx="935355" cy="61087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2400*850*750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1.台面：采用实木橡木，符合国家相关标准。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2.桌架：采用实木桌架，符合国家相关标准。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3.油漆：采油漆：采用优质环保油漆：符合国家相关标准；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茶椅</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328930</wp:posOffset>
                  </wp:positionH>
                  <wp:positionV relativeFrom="paragraph">
                    <wp:posOffset>140335</wp:posOffset>
                  </wp:positionV>
                  <wp:extent cx="630555" cy="644525"/>
                  <wp:effectExtent l="0" t="0" r="17145" b="3175"/>
                  <wp:wrapNone/>
                  <wp:docPr id="147" name="图片_11_SpCnt_1"/>
                  <wp:cNvGraphicFramePr/>
                  <a:graphic xmlns:a="http://schemas.openxmlformats.org/drawingml/2006/main">
                    <a:graphicData uri="http://schemas.openxmlformats.org/drawingml/2006/picture">
                      <pic:pic xmlns:pic="http://schemas.openxmlformats.org/drawingml/2006/picture">
                        <pic:nvPicPr>
                          <pic:cNvPr id="147" name="图片_11_SpCnt_1"/>
                          <pic:cNvPicPr/>
                        </pic:nvPicPr>
                        <pic:blipFill>
                          <a:blip r:embed="rId152"/>
                          <a:stretch>
                            <a:fillRect/>
                          </a:stretch>
                        </pic:blipFill>
                        <pic:spPr>
                          <a:xfrm>
                            <a:off x="0" y="0"/>
                            <a:ext cx="630555" cy="6445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1.面料：优质麻布阻燃面料。符合国家相关标准。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3.椅架：采用优质实木（椅）架,经烘干、防虫、防腐处理，经久耐用，不开裂，表面平整耐久。</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2" w:hRule="atLeast"/>
        </w:trPr>
        <w:tc>
          <w:tcPr>
            <w:tcW w:w="12947" w:type="dxa"/>
            <w:gridSpan w:val="6"/>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标准休息室</w:t>
            </w:r>
          </w:p>
        </w:tc>
        <w:tc>
          <w:tcPr>
            <w:tcW w:w="1053" w:type="dxa"/>
            <w:gridSpan w:val="2"/>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单人床</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167005</wp:posOffset>
                  </wp:positionV>
                  <wp:extent cx="1063625" cy="728980"/>
                  <wp:effectExtent l="0" t="0" r="3175" b="13970"/>
                  <wp:wrapNone/>
                  <wp:docPr id="149" name="图片_142"/>
                  <wp:cNvGraphicFramePr/>
                  <a:graphic xmlns:a="http://schemas.openxmlformats.org/drawingml/2006/main">
                    <a:graphicData uri="http://schemas.openxmlformats.org/drawingml/2006/picture">
                      <pic:pic xmlns:pic="http://schemas.openxmlformats.org/drawingml/2006/picture">
                        <pic:nvPicPr>
                          <pic:cNvPr id="149" name="图片_142"/>
                          <pic:cNvPicPr/>
                        </pic:nvPicPr>
                        <pic:blipFill>
                          <a:blip r:embed="rId153"/>
                          <a:stretch>
                            <a:fillRect/>
                          </a:stretch>
                        </pic:blipFill>
                        <pic:spPr>
                          <a:xfrm>
                            <a:off x="0" y="0"/>
                            <a:ext cx="1063625" cy="7289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1200*2000*350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4.五金：三合一连接件，符合国家相关标准。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白橡色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438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2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床头柜</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124460</wp:posOffset>
                  </wp:positionV>
                  <wp:extent cx="728345" cy="603885"/>
                  <wp:effectExtent l="0" t="0" r="14605" b="5715"/>
                  <wp:wrapNone/>
                  <wp:docPr id="177" name="图片_141"/>
                  <wp:cNvGraphicFramePr/>
                  <a:graphic xmlns:a="http://schemas.openxmlformats.org/drawingml/2006/main">
                    <a:graphicData uri="http://schemas.openxmlformats.org/drawingml/2006/picture">
                      <pic:pic xmlns:pic="http://schemas.openxmlformats.org/drawingml/2006/picture">
                        <pic:nvPicPr>
                          <pic:cNvPr id="177" name="图片_141"/>
                          <pic:cNvPicPr/>
                        </pic:nvPicPr>
                        <pic:blipFill>
                          <a:blip r:embed="rId154"/>
                          <a:stretch>
                            <a:fillRect/>
                          </a:stretch>
                        </pic:blipFill>
                        <pic:spPr>
                          <a:xfrm>
                            <a:off x="0" y="0"/>
                            <a:ext cx="728345" cy="6038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500*450*500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4.五金：三合一连接件，符合国家相关标准。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白橡色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657</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床垫</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377825</wp:posOffset>
                  </wp:positionH>
                  <wp:positionV relativeFrom="paragraph">
                    <wp:posOffset>125095</wp:posOffset>
                  </wp:positionV>
                  <wp:extent cx="579120" cy="725170"/>
                  <wp:effectExtent l="0" t="0" r="11430" b="17780"/>
                  <wp:wrapNone/>
                  <wp:docPr id="190" name="图片_21"/>
                  <wp:cNvGraphicFramePr/>
                  <a:graphic xmlns:a="http://schemas.openxmlformats.org/drawingml/2006/main">
                    <a:graphicData uri="http://schemas.openxmlformats.org/drawingml/2006/picture">
                      <pic:pic xmlns:pic="http://schemas.openxmlformats.org/drawingml/2006/picture">
                        <pic:nvPicPr>
                          <pic:cNvPr id="190" name="图片_21"/>
                          <pic:cNvPicPr/>
                        </pic:nvPicPr>
                        <pic:blipFill>
                          <a:blip r:embed="rId155"/>
                          <a:stretch>
                            <a:fillRect/>
                          </a:stretch>
                        </pic:blipFill>
                        <pic:spPr>
                          <a:xfrm>
                            <a:off x="0" y="0"/>
                            <a:ext cx="579120" cy="72517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1200*2000*230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1、床垫:要求a.优质布艺、精致缝工艺 b.防菌面料≥1200g/m² c.密度棉、 d、钢制弹簧 e.软贴合硬支撑、f.20厚天然棕垫 、g.弹簧直径1.6～2.3mm、h.弹簧口径直径63～78mm。厚度≥210mm。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2.面料：采用优质面料，符合国家相关标准。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438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4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双人写字台</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328930</wp:posOffset>
                  </wp:positionV>
                  <wp:extent cx="1019175" cy="687070"/>
                  <wp:effectExtent l="0" t="0" r="9525" b="17780"/>
                  <wp:wrapNone/>
                  <wp:docPr id="187" name="图片_143"/>
                  <wp:cNvGraphicFramePr/>
                  <a:graphic xmlns:a="http://schemas.openxmlformats.org/drawingml/2006/main">
                    <a:graphicData uri="http://schemas.openxmlformats.org/drawingml/2006/picture">
                      <pic:pic xmlns:pic="http://schemas.openxmlformats.org/drawingml/2006/picture">
                        <pic:nvPicPr>
                          <pic:cNvPr id="187" name="图片_143"/>
                          <pic:cNvPicPr/>
                        </pic:nvPicPr>
                        <pic:blipFill>
                          <a:blip r:embed="rId156"/>
                          <a:stretch>
                            <a:fillRect/>
                          </a:stretch>
                        </pic:blipFill>
                        <pic:spPr>
                          <a:xfrm>
                            <a:off x="0" y="0"/>
                            <a:ext cx="1019175" cy="68707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1600*550*750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1.产品工艺采用传统榫卯结构和现代工艺设备相结合，总体结构 KD 拆装结构，各组单元之间采用偏心件、螺丝等五金连接而成，更易拆装组合，实木产品结构更加稳定耐用；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2.台面：采用实木橡木，符合国家相关标准；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3.桌架：采用实木桌架，符合国家相关标准。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4.环保油漆：符合国家相关标准。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5.水基型胶粘剂（白乳胶）：符合国家相关标准；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白橡色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2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写字椅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158750</wp:posOffset>
                  </wp:positionV>
                  <wp:extent cx="615315" cy="735330"/>
                  <wp:effectExtent l="0" t="0" r="13335" b="7620"/>
                  <wp:wrapNone/>
                  <wp:docPr id="175" name="图片_144"/>
                  <wp:cNvGraphicFramePr/>
                  <a:graphic xmlns:a="http://schemas.openxmlformats.org/drawingml/2006/main">
                    <a:graphicData uri="http://schemas.openxmlformats.org/drawingml/2006/picture">
                      <pic:pic xmlns:pic="http://schemas.openxmlformats.org/drawingml/2006/picture">
                        <pic:nvPicPr>
                          <pic:cNvPr id="175" name="图片_144"/>
                          <pic:cNvPicPr/>
                        </pic:nvPicPr>
                        <pic:blipFill>
                          <a:blip r:embed="rId157"/>
                          <a:stretch>
                            <a:fillRect/>
                          </a:stretch>
                        </pic:blipFill>
                        <pic:spPr>
                          <a:xfrm>
                            <a:off x="0" y="0"/>
                            <a:ext cx="615315" cy="7353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1.面料：优质麻布阻燃面料，透气舒适。符合国家相关标准。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3.椅架：采用优质实木（椅）架。</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白橡色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438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1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定制固定电视柜</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1095375</wp:posOffset>
                  </wp:positionV>
                  <wp:extent cx="1257300" cy="381000"/>
                  <wp:effectExtent l="0" t="0" r="0" b="0"/>
                  <wp:wrapNone/>
                  <wp:docPr id="165" name="图片_146"/>
                  <wp:cNvGraphicFramePr/>
                  <a:graphic xmlns:a="http://schemas.openxmlformats.org/drawingml/2006/main">
                    <a:graphicData uri="http://schemas.openxmlformats.org/drawingml/2006/picture">
                      <pic:pic xmlns:pic="http://schemas.openxmlformats.org/drawingml/2006/picture">
                        <pic:nvPicPr>
                          <pic:cNvPr id="165" name="图片_146"/>
                          <pic:cNvPicPr/>
                        </pic:nvPicPr>
                        <pic:blipFill>
                          <a:blip r:embed="rId158"/>
                          <a:stretch>
                            <a:fillRect/>
                          </a:stretch>
                        </pic:blipFill>
                        <pic:spPr>
                          <a:xfrm>
                            <a:off x="0" y="0"/>
                            <a:ext cx="1257300" cy="381000"/>
                          </a:xfrm>
                          <a:prstGeom prst="rect">
                            <a:avLst/>
                          </a:prstGeom>
                          <a:noFill/>
                          <a:ln>
                            <a:noFill/>
                          </a:ln>
                        </pic:spPr>
                      </pic:pic>
                    </a:graphicData>
                  </a:graphic>
                </wp:anchor>
              </w:drawing>
            </w: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28575</wp:posOffset>
                  </wp:positionV>
                  <wp:extent cx="819150" cy="901065"/>
                  <wp:effectExtent l="0" t="0" r="0" b="13335"/>
                  <wp:wrapNone/>
                  <wp:docPr id="166" name="图片_145"/>
                  <wp:cNvGraphicFramePr/>
                  <a:graphic xmlns:a="http://schemas.openxmlformats.org/drawingml/2006/main">
                    <a:graphicData uri="http://schemas.openxmlformats.org/drawingml/2006/picture">
                      <pic:pic xmlns:pic="http://schemas.openxmlformats.org/drawingml/2006/picture">
                        <pic:nvPicPr>
                          <pic:cNvPr id="166" name="图片_145"/>
                          <pic:cNvPicPr/>
                        </pic:nvPicPr>
                        <pic:blipFill>
                          <a:blip r:embed="rId159"/>
                          <a:stretch>
                            <a:fillRect/>
                          </a:stretch>
                        </pic:blipFill>
                        <pic:spPr>
                          <a:xfrm>
                            <a:off x="0" y="0"/>
                            <a:ext cx="819150" cy="9010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暂定尺寸3280*350*200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白橡色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定制固定低柜</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180975</wp:posOffset>
                  </wp:positionV>
                  <wp:extent cx="1174750" cy="647700"/>
                  <wp:effectExtent l="0" t="0" r="6350" b="0"/>
                  <wp:wrapNone/>
                  <wp:docPr id="188" name="图片_147"/>
                  <wp:cNvGraphicFramePr/>
                  <a:graphic xmlns:a="http://schemas.openxmlformats.org/drawingml/2006/main">
                    <a:graphicData uri="http://schemas.openxmlformats.org/drawingml/2006/picture">
                      <pic:pic xmlns:pic="http://schemas.openxmlformats.org/drawingml/2006/picture">
                        <pic:nvPicPr>
                          <pic:cNvPr id="188" name="图片_147"/>
                          <pic:cNvPicPr/>
                        </pic:nvPicPr>
                        <pic:blipFill>
                          <a:blip r:embed="rId160"/>
                          <a:stretch>
                            <a:fillRect/>
                          </a:stretch>
                        </pic:blipFill>
                        <pic:spPr>
                          <a:xfrm>
                            <a:off x="0" y="0"/>
                            <a:ext cx="1174750" cy="647700"/>
                          </a:xfrm>
                          <a:prstGeom prst="rect">
                            <a:avLst/>
                          </a:prstGeom>
                          <a:noFill/>
                          <a:ln>
                            <a:noFill/>
                          </a:ln>
                        </pic:spPr>
                      </pic:pic>
                    </a:graphicData>
                  </a:graphic>
                </wp:anchor>
              </w:drawing>
            </w: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876300</wp:posOffset>
                  </wp:positionV>
                  <wp:extent cx="1114425" cy="781050"/>
                  <wp:effectExtent l="0" t="0" r="9525" b="0"/>
                  <wp:wrapNone/>
                  <wp:docPr id="169" name="图片_148"/>
                  <wp:cNvGraphicFramePr/>
                  <a:graphic xmlns:a="http://schemas.openxmlformats.org/drawingml/2006/main">
                    <a:graphicData uri="http://schemas.openxmlformats.org/drawingml/2006/picture">
                      <pic:pic xmlns:pic="http://schemas.openxmlformats.org/drawingml/2006/picture">
                        <pic:nvPicPr>
                          <pic:cNvPr id="169" name="图片_148"/>
                          <pic:cNvPicPr/>
                        </pic:nvPicPr>
                        <pic:blipFill>
                          <a:blip r:embed="rId161"/>
                          <a:stretch>
                            <a:fillRect/>
                          </a:stretch>
                        </pic:blipFill>
                        <pic:spPr>
                          <a:xfrm>
                            <a:off x="0" y="0"/>
                            <a:ext cx="1114425" cy="7810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暂定尺寸2075*550*820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1.台面：采用15厚人造石；面材：采用优质浸渍胶膜纸饰面E0刨花板，面板纹理清晰美观，符合国家相关标准。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白橡色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定制固定高柜</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285750</wp:posOffset>
                  </wp:positionV>
                  <wp:extent cx="495935" cy="1114425"/>
                  <wp:effectExtent l="0" t="0" r="18415" b="9525"/>
                  <wp:wrapNone/>
                  <wp:docPr id="173" name="图片_154"/>
                  <wp:cNvGraphicFramePr/>
                  <a:graphic xmlns:a="http://schemas.openxmlformats.org/drawingml/2006/main">
                    <a:graphicData uri="http://schemas.openxmlformats.org/drawingml/2006/picture">
                      <pic:pic xmlns:pic="http://schemas.openxmlformats.org/drawingml/2006/picture">
                        <pic:nvPicPr>
                          <pic:cNvPr id="173" name="图片_154"/>
                          <pic:cNvPicPr/>
                        </pic:nvPicPr>
                        <pic:blipFill>
                          <a:blip r:embed="rId162"/>
                          <a:stretch>
                            <a:fillRect/>
                          </a:stretch>
                        </pic:blipFill>
                        <pic:spPr>
                          <a:xfrm>
                            <a:off x="0" y="0"/>
                            <a:ext cx="495935" cy="1114425"/>
                          </a:xfrm>
                          <a:prstGeom prst="rect">
                            <a:avLst/>
                          </a:prstGeom>
                          <a:noFill/>
                          <a:ln>
                            <a:noFill/>
                          </a:ln>
                        </pic:spPr>
                      </pic:pic>
                    </a:graphicData>
                  </a:graphic>
                </wp:anchor>
              </w:drawing>
            </w: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647700</wp:posOffset>
                  </wp:positionH>
                  <wp:positionV relativeFrom="paragraph">
                    <wp:posOffset>285115</wp:posOffset>
                  </wp:positionV>
                  <wp:extent cx="668655" cy="1133475"/>
                  <wp:effectExtent l="0" t="0" r="17145" b="9525"/>
                  <wp:wrapNone/>
                  <wp:docPr id="178" name="图片_149"/>
                  <wp:cNvGraphicFramePr/>
                  <a:graphic xmlns:a="http://schemas.openxmlformats.org/drawingml/2006/main">
                    <a:graphicData uri="http://schemas.openxmlformats.org/drawingml/2006/picture">
                      <pic:pic xmlns:pic="http://schemas.openxmlformats.org/drawingml/2006/picture">
                        <pic:nvPicPr>
                          <pic:cNvPr id="178" name="图片_149"/>
                          <pic:cNvPicPr/>
                        </pic:nvPicPr>
                        <pic:blipFill>
                          <a:blip r:embed="rId163"/>
                          <a:stretch>
                            <a:fillRect/>
                          </a:stretch>
                        </pic:blipFill>
                        <pic:spPr>
                          <a:xfrm>
                            <a:off x="0" y="0"/>
                            <a:ext cx="668655" cy="11334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暂定尺寸1500*550*2800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1.面材：采用优质浸渍胶膜纸饰面E0刨花板，面板纹理清晰美观，符合国家相关标准。柜门设拉直器。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白橡色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7" w:hRule="atLeast"/>
        </w:trPr>
        <w:tc>
          <w:tcPr>
            <w:tcW w:w="12947" w:type="dxa"/>
            <w:gridSpan w:val="6"/>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套间</w:t>
            </w:r>
          </w:p>
        </w:tc>
        <w:tc>
          <w:tcPr>
            <w:tcW w:w="1053" w:type="dxa"/>
            <w:gridSpan w:val="2"/>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3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双人床</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280670</wp:posOffset>
                  </wp:positionH>
                  <wp:positionV relativeFrom="paragraph">
                    <wp:posOffset>224790</wp:posOffset>
                  </wp:positionV>
                  <wp:extent cx="848360" cy="607060"/>
                  <wp:effectExtent l="0" t="0" r="8890" b="2540"/>
                  <wp:wrapNone/>
                  <wp:docPr id="181" name="图片_33"/>
                  <wp:cNvGraphicFramePr/>
                  <a:graphic xmlns:a="http://schemas.openxmlformats.org/drawingml/2006/main">
                    <a:graphicData uri="http://schemas.openxmlformats.org/drawingml/2006/picture">
                      <pic:pic xmlns:pic="http://schemas.openxmlformats.org/drawingml/2006/picture">
                        <pic:nvPicPr>
                          <pic:cNvPr id="181" name="图片_33"/>
                          <pic:cNvPicPr/>
                        </pic:nvPicPr>
                        <pic:blipFill>
                          <a:blip r:embed="rId164"/>
                          <a:stretch>
                            <a:fillRect/>
                          </a:stretch>
                        </pic:blipFill>
                        <pic:spPr>
                          <a:xfrm>
                            <a:off x="0" y="0"/>
                            <a:ext cx="848360" cy="6070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1800*2000*1150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1.基材：采用优质浸渍胶膜纸饰面E0刨花板，面板纹理清晰美观。符合相应标准。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4.五金：三合一连接件，符合国家相关标准。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床垫</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241300</wp:posOffset>
                  </wp:positionH>
                  <wp:positionV relativeFrom="paragraph">
                    <wp:posOffset>198120</wp:posOffset>
                  </wp:positionV>
                  <wp:extent cx="830580" cy="574675"/>
                  <wp:effectExtent l="0" t="0" r="7620" b="15875"/>
                  <wp:wrapNone/>
                  <wp:docPr id="183" name="图片_38"/>
                  <wp:cNvGraphicFramePr/>
                  <a:graphic xmlns:a="http://schemas.openxmlformats.org/drawingml/2006/main">
                    <a:graphicData uri="http://schemas.openxmlformats.org/drawingml/2006/picture">
                      <pic:pic xmlns:pic="http://schemas.openxmlformats.org/drawingml/2006/picture">
                        <pic:nvPicPr>
                          <pic:cNvPr id="183" name="图片_38"/>
                          <pic:cNvPicPr/>
                        </pic:nvPicPr>
                        <pic:blipFill>
                          <a:blip r:embed="rId165"/>
                          <a:stretch>
                            <a:fillRect/>
                          </a:stretch>
                        </pic:blipFill>
                        <pic:spPr>
                          <a:xfrm>
                            <a:off x="0" y="0"/>
                            <a:ext cx="830580" cy="5746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1800*2000*220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1、床垫:要求a.优质布艺、精致缝工艺 b.防菌面料≥1200g/m² c.密度棉、 d、钢制弹簧 e.软贴合硬支撑、f.20厚天然棕垫 、g.弹簧直径1.6～2.3mm、h.弹簧口径直径63～78mm。厚度≥210mm。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2.面料：采用优质面料，符合国家相关标准。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9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床头柜</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318770</wp:posOffset>
                  </wp:positionH>
                  <wp:positionV relativeFrom="paragraph">
                    <wp:posOffset>113665</wp:posOffset>
                  </wp:positionV>
                  <wp:extent cx="850900" cy="685165"/>
                  <wp:effectExtent l="0" t="0" r="6350" b="635"/>
                  <wp:wrapNone/>
                  <wp:docPr id="164" name="图片_150"/>
                  <wp:cNvGraphicFramePr/>
                  <a:graphic xmlns:a="http://schemas.openxmlformats.org/drawingml/2006/main">
                    <a:graphicData uri="http://schemas.openxmlformats.org/drawingml/2006/picture">
                      <pic:pic xmlns:pic="http://schemas.openxmlformats.org/drawingml/2006/picture">
                        <pic:nvPicPr>
                          <pic:cNvPr id="164" name="图片_150"/>
                          <pic:cNvPicPr/>
                        </pic:nvPicPr>
                        <pic:blipFill>
                          <a:blip r:embed="rId166"/>
                          <a:stretch>
                            <a:fillRect/>
                          </a:stretch>
                        </pic:blipFill>
                        <pic:spPr>
                          <a:xfrm>
                            <a:off x="0" y="0"/>
                            <a:ext cx="850900" cy="6851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500*450*500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4.五金：三合一连接件，符合国家相关标准。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床尾凳</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62230</wp:posOffset>
                  </wp:positionV>
                  <wp:extent cx="1024255" cy="838835"/>
                  <wp:effectExtent l="0" t="0" r="4445" b="18415"/>
                  <wp:wrapNone/>
                  <wp:docPr id="185" name="图片_32"/>
                  <wp:cNvGraphicFramePr/>
                  <a:graphic xmlns:a="http://schemas.openxmlformats.org/drawingml/2006/main">
                    <a:graphicData uri="http://schemas.openxmlformats.org/drawingml/2006/picture">
                      <pic:pic xmlns:pic="http://schemas.openxmlformats.org/drawingml/2006/picture">
                        <pic:nvPicPr>
                          <pic:cNvPr id="185" name="图片_32"/>
                          <pic:cNvPicPr/>
                        </pic:nvPicPr>
                        <pic:blipFill>
                          <a:blip r:embed="rId167"/>
                          <a:stretch>
                            <a:fillRect/>
                          </a:stretch>
                        </pic:blipFill>
                        <pic:spPr>
                          <a:xfrm>
                            <a:off x="0" y="0"/>
                            <a:ext cx="1024255" cy="8388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1700*420*520mm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1.面料：优质麻布阻燃面料，符合国家相关标准。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3.钢脚：采用优质钢制脚，符合国家相关标准。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米驼色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小圆桌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384810</wp:posOffset>
                  </wp:positionH>
                  <wp:positionV relativeFrom="paragraph">
                    <wp:posOffset>51435</wp:posOffset>
                  </wp:positionV>
                  <wp:extent cx="581660" cy="688975"/>
                  <wp:effectExtent l="0" t="0" r="8890" b="15875"/>
                  <wp:wrapNone/>
                  <wp:docPr id="167" name="图片_151"/>
                  <wp:cNvGraphicFramePr/>
                  <a:graphic xmlns:a="http://schemas.openxmlformats.org/drawingml/2006/main">
                    <a:graphicData uri="http://schemas.openxmlformats.org/drawingml/2006/picture">
                      <pic:pic xmlns:pic="http://schemas.openxmlformats.org/drawingml/2006/picture">
                        <pic:nvPicPr>
                          <pic:cNvPr id="167" name="图片_151"/>
                          <pic:cNvPicPr/>
                        </pic:nvPicPr>
                        <pic:blipFill>
                          <a:blip r:embed="rId168"/>
                          <a:stretch>
                            <a:fillRect/>
                          </a:stretch>
                        </pic:blipFill>
                        <pic:spPr>
                          <a:xfrm>
                            <a:off x="0" y="0"/>
                            <a:ext cx="581660" cy="6889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D600*750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1.基材：采用优质浸渍胶膜纸饰面E0刨花板，面板纹理清晰美观。符合标准。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4.五金：三合一连接件，符合国家相关标准。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385445</wp:posOffset>
                  </wp:positionH>
                  <wp:positionV relativeFrom="paragraph">
                    <wp:posOffset>26670</wp:posOffset>
                  </wp:positionV>
                  <wp:extent cx="631825" cy="526415"/>
                  <wp:effectExtent l="0" t="0" r="15875" b="6985"/>
                  <wp:wrapNone/>
                  <wp:docPr id="180" name="ID_31E11A29EBB140E2BA86FA8910B70ECA"/>
                  <wp:cNvGraphicFramePr/>
                  <a:graphic xmlns:a="http://schemas.openxmlformats.org/drawingml/2006/main">
                    <a:graphicData uri="http://schemas.openxmlformats.org/drawingml/2006/picture">
                      <pic:pic xmlns:pic="http://schemas.openxmlformats.org/drawingml/2006/picture">
                        <pic:nvPicPr>
                          <pic:cNvPr id="180" name="ID_31E11A29EBB140E2BA86FA8910B70ECA"/>
                          <pic:cNvPicPr/>
                        </pic:nvPicPr>
                        <pic:blipFill>
                          <a:blip r:embed="rId169"/>
                          <a:stretch>
                            <a:fillRect/>
                          </a:stretch>
                        </pic:blipFill>
                        <pic:spPr>
                          <a:xfrm>
                            <a:off x="0" y="0"/>
                            <a:ext cx="631825" cy="5264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1.面料：优质麻布阻燃面料，符合国家相关标准。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3.椅架：采用优质实木（椅）架。</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米驼色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4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三人沙发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183515</wp:posOffset>
                  </wp:positionH>
                  <wp:positionV relativeFrom="paragraph">
                    <wp:posOffset>34290</wp:posOffset>
                  </wp:positionV>
                  <wp:extent cx="1107440" cy="501650"/>
                  <wp:effectExtent l="0" t="0" r="16510" b="12700"/>
                  <wp:wrapNone/>
                  <wp:docPr id="163" name="ID_6AD873FFD73A4E3A934BDEB911604BBF"/>
                  <wp:cNvGraphicFramePr/>
                  <a:graphic xmlns:a="http://schemas.openxmlformats.org/drawingml/2006/main">
                    <a:graphicData uri="http://schemas.openxmlformats.org/drawingml/2006/picture">
                      <pic:pic xmlns:pic="http://schemas.openxmlformats.org/drawingml/2006/picture">
                        <pic:nvPicPr>
                          <pic:cNvPr id="163" name="ID_6AD873FFD73A4E3A934BDEB911604BBF"/>
                          <pic:cNvPicPr/>
                        </pic:nvPicPr>
                        <pic:blipFill>
                          <a:blip r:embed="rId170"/>
                          <a:stretch>
                            <a:fillRect/>
                          </a:stretch>
                        </pic:blipFill>
                        <pic:spPr>
                          <a:xfrm>
                            <a:off x="0" y="0"/>
                            <a:ext cx="1107440" cy="5016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三人位</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1.面料：优质麻布阻燃面料，符合国家相关标准。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3.钢脚：采用优质钢制脚，符合国家相关标准。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米驼色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0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90805</wp:posOffset>
                  </wp:positionV>
                  <wp:extent cx="916305" cy="523240"/>
                  <wp:effectExtent l="0" t="0" r="17145" b="10160"/>
                  <wp:wrapNone/>
                  <wp:docPr id="182" name="ID_18E65F63C70D45D7832F61095DC60B62"/>
                  <wp:cNvGraphicFramePr/>
                  <a:graphic xmlns:a="http://schemas.openxmlformats.org/drawingml/2006/main">
                    <a:graphicData uri="http://schemas.openxmlformats.org/drawingml/2006/picture">
                      <pic:pic xmlns:pic="http://schemas.openxmlformats.org/drawingml/2006/picture">
                        <pic:nvPicPr>
                          <pic:cNvPr id="182" name="ID_18E65F63C70D45D7832F61095DC60B62"/>
                          <pic:cNvPicPr/>
                        </pic:nvPicPr>
                        <pic:blipFill>
                          <a:blip r:embed="rId171"/>
                          <a:stretch>
                            <a:fillRect/>
                          </a:stretch>
                        </pic:blipFill>
                        <pic:spPr>
                          <a:xfrm>
                            <a:off x="0" y="0"/>
                            <a:ext cx="916305" cy="5232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单人位</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1.面料：优质麻布阻燃面料，符合国家相关标准。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3.钢脚：采用优质钢制脚，符合国家相关标准。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米驼色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茶几</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212090</wp:posOffset>
                  </wp:positionV>
                  <wp:extent cx="1157605" cy="504825"/>
                  <wp:effectExtent l="0" t="0" r="4445" b="9525"/>
                  <wp:wrapNone/>
                  <wp:docPr id="168" name="图片_152"/>
                  <wp:cNvGraphicFramePr/>
                  <a:graphic xmlns:a="http://schemas.openxmlformats.org/drawingml/2006/main">
                    <a:graphicData uri="http://schemas.openxmlformats.org/drawingml/2006/picture">
                      <pic:pic xmlns:pic="http://schemas.openxmlformats.org/drawingml/2006/picture">
                        <pic:nvPicPr>
                          <pic:cNvPr id="168" name="图片_152"/>
                          <pic:cNvPicPr/>
                        </pic:nvPicPr>
                        <pic:blipFill>
                          <a:blip r:embed="rId172"/>
                          <a:stretch>
                            <a:fillRect/>
                          </a:stretch>
                        </pic:blipFill>
                        <pic:spPr>
                          <a:xfrm>
                            <a:off x="0" y="0"/>
                            <a:ext cx="1157605" cy="5048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1300*700*450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4.钢脚：采用优质钢制脚，符合国家相关标准。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定制固定衣柜</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216535</wp:posOffset>
                  </wp:positionV>
                  <wp:extent cx="492760" cy="1116965"/>
                  <wp:effectExtent l="0" t="0" r="2540" b="6985"/>
                  <wp:wrapNone/>
                  <wp:docPr id="171" name="图片_159"/>
                  <wp:cNvGraphicFramePr/>
                  <a:graphic xmlns:a="http://schemas.openxmlformats.org/drawingml/2006/main">
                    <a:graphicData uri="http://schemas.openxmlformats.org/drawingml/2006/picture">
                      <pic:pic xmlns:pic="http://schemas.openxmlformats.org/drawingml/2006/picture">
                        <pic:nvPicPr>
                          <pic:cNvPr id="171" name="图片_159"/>
                          <pic:cNvPicPr/>
                        </pic:nvPicPr>
                        <pic:blipFill>
                          <a:blip r:embed="rId173"/>
                          <a:stretch>
                            <a:fillRect/>
                          </a:stretch>
                        </pic:blipFill>
                        <pic:spPr>
                          <a:xfrm>
                            <a:off x="0" y="0"/>
                            <a:ext cx="492760" cy="1116965"/>
                          </a:xfrm>
                          <a:prstGeom prst="rect">
                            <a:avLst/>
                          </a:prstGeom>
                          <a:noFill/>
                          <a:ln>
                            <a:noFill/>
                          </a:ln>
                        </pic:spPr>
                      </pic:pic>
                    </a:graphicData>
                  </a:graphic>
                </wp:anchor>
              </w:drawing>
            </w: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657225</wp:posOffset>
                  </wp:positionH>
                  <wp:positionV relativeFrom="paragraph">
                    <wp:posOffset>211455</wp:posOffset>
                  </wp:positionV>
                  <wp:extent cx="658495" cy="1102995"/>
                  <wp:effectExtent l="0" t="0" r="8255" b="1905"/>
                  <wp:wrapNone/>
                  <wp:docPr id="184" name="图片_153"/>
                  <wp:cNvGraphicFramePr/>
                  <a:graphic xmlns:a="http://schemas.openxmlformats.org/drawingml/2006/main">
                    <a:graphicData uri="http://schemas.openxmlformats.org/drawingml/2006/picture">
                      <pic:pic xmlns:pic="http://schemas.openxmlformats.org/drawingml/2006/picture">
                        <pic:nvPicPr>
                          <pic:cNvPr id="184" name="图片_153"/>
                          <pic:cNvPicPr/>
                        </pic:nvPicPr>
                        <pic:blipFill>
                          <a:blip r:embed="rId174"/>
                          <a:stretch>
                            <a:fillRect/>
                          </a:stretch>
                        </pic:blipFill>
                        <pic:spPr>
                          <a:xfrm>
                            <a:off x="0" y="0"/>
                            <a:ext cx="658495" cy="11029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暂定尺寸1500*550*2800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1.面板：采用优质浸渍胶膜纸饰面E0刨花板，面板纹理清晰美观，符合国家相关标准。柜门设拉直器。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5" w:hRule="atLeast"/>
        </w:trPr>
        <w:tc>
          <w:tcPr>
            <w:tcW w:w="42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65</w:t>
            </w:r>
          </w:p>
        </w:tc>
        <w:tc>
          <w:tcPr>
            <w:tcW w:w="79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成品定制低柜</w:t>
            </w:r>
          </w:p>
        </w:tc>
        <w:tc>
          <w:tcPr>
            <w:tcW w:w="25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157480</wp:posOffset>
                  </wp:positionV>
                  <wp:extent cx="1249045" cy="604520"/>
                  <wp:effectExtent l="0" t="0" r="8255" b="5080"/>
                  <wp:wrapNone/>
                  <wp:docPr id="170" name="图片_157"/>
                  <wp:cNvGraphicFramePr/>
                  <a:graphic xmlns:a="http://schemas.openxmlformats.org/drawingml/2006/main">
                    <a:graphicData uri="http://schemas.openxmlformats.org/drawingml/2006/picture">
                      <pic:pic xmlns:pic="http://schemas.openxmlformats.org/drawingml/2006/picture">
                        <pic:nvPicPr>
                          <pic:cNvPr id="170" name="图片_157"/>
                          <pic:cNvPicPr/>
                        </pic:nvPicPr>
                        <pic:blipFill>
                          <a:blip r:embed="rId175"/>
                          <a:stretch>
                            <a:fillRect/>
                          </a:stretch>
                        </pic:blipFill>
                        <pic:spPr>
                          <a:xfrm>
                            <a:off x="0" y="0"/>
                            <a:ext cx="1249045" cy="604520"/>
                          </a:xfrm>
                          <a:prstGeom prst="rect">
                            <a:avLst/>
                          </a:prstGeom>
                          <a:noFill/>
                          <a:ln>
                            <a:noFill/>
                          </a:ln>
                        </pic:spPr>
                      </pic:pic>
                    </a:graphicData>
                  </a:graphic>
                </wp:anchor>
              </w:drawing>
            </w: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847725</wp:posOffset>
                  </wp:positionV>
                  <wp:extent cx="1098550" cy="848995"/>
                  <wp:effectExtent l="0" t="0" r="6350" b="8255"/>
                  <wp:wrapNone/>
                  <wp:docPr id="172" name="图片_155"/>
                  <wp:cNvGraphicFramePr/>
                  <a:graphic xmlns:a="http://schemas.openxmlformats.org/drawingml/2006/main">
                    <a:graphicData uri="http://schemas.openxmlformats.org/drawingml/2006/picture">
                      <pic:pic xmlns:pic="http://schemas.openxmlformats.org/drawingml/2006/picture">
                        <pic:nvPicPr>
                          <pic:cNvPr id="172" name="图片_155"/>
                          <pic:cNvPicPr/>
                        </pic:nvPicPr>
                        <pic:blipFill>
                          <a:blip r:embed="rId176"/>
                          <a:stretch>
                            <a:fillRect/>
                          </a:stretch>
                        </pic:blipFill>
                        <pic:spPr>
                          <a:xfrm>
                            <a:off x="0" y="0"/>
                            <a:ext cx="1098550" cy="8489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暂定尺寸2500*550*820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1.台面：15厚人造石。面板：采用优质浸渍胶膜纸饰面E0刨花板，面板纹理清晰美观，符合国家相关标准。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trPr>
        <w:tc>
          <w:tcPr>
            <w:tcW w:w="421"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790"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2576"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暂定尺寸1200*550*820定制家具：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vMerge w:val="continue"/>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3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成品矮柜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62230</wp:posOffset>
                  </wp:positionH>
                  <wp:positionV relativeFrom="paragraph">
                    <wp:posOffset>156845</wp:posOffset>
                  </wp:positionV>
                  <wp:extent cx="1159510" cy="1054735"/>
                  <wp:effectExtent l="0" t="0" r="2540" b="12065"/>
                  <wp:wrapNone/>
                  <wp:docPr id="160" name="图片_156"/>
                  <wp:cNvGraphicFramePr/>
                  <a:graphic xmlns:a="http://schemas.openxmlformats.org/drawingml/2006/main">
                    <a:graphicData uri="http://schemas.openxmlformats.org/drawingml/2006/picture">
                      <pic:pic xmlns:pic="http://schemas.openxmlformats.org/drawingml/2006/picture">
                        <pic:nvPicPr>
                          <pic:cNvPr id="160" name="图片_156"/>
                          <pic:cNvPicPr/>
                        </pic:nvPicPr>
                        <pic:blipFill>
                          <a:blip r:embed="rId177"/>
                          <a:stretch>
                            <a:fillRect/>
                          </a:stretch>
                        </pic:blipFill>
                        <pic:spPr>
                          <a:xfrm>
                            <a:off x="0" y="0"/>
                            <a:ext cx="1159510" cy="10547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1100*430*900mm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1.基材：采用优质浸渍胶膜纸饰面E0刨花板，面板纹理清晰美观。符合相关准。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4.五金：三合一连接件，符合国家相关标准。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定制固定高柜</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85090</wp:posOffset>
                  </wp:positionV>
                  <wp:extent cx="636270" cy="1438910"/>
                  <wp:effectExtent l="0" t="0" r="11430" b="8890"/>
                  <wp:wrapNone/>
                  <wp:docPr id="176" name="图片_160"/>
                  <wp:cNvGraphicFramePr/>
                  <a:graphic xmlns:a="http://schemas.openxmlformats.org/drawingml/2006/main">
                    <a:graphicData uri="http://schemas.openxmlformats.org/drawingml/2006/picture">
                      <pic:pic xmlns:pic="http://schemas.openxmlformats.org/drawingml/2006/picture">
                        <pic:nvPicPr>
                          <pic:cNvPr id="176" name="图片_160"/>
                          <pic:cNvPicPr/>
                        </pic:nvPicPr>
                        <pic:blipFill>
                          <a:blip r:embed="rId178"/>
                          <a:stretch>
                            <a:fillRect/>
                          </a:stretch>
                        </pic:blipFill>
                        <pic:spPr>
                          <a:xfrm>
                            <a:off x="0" y="0"/>
                            <a:ext cx="636270" cy="1438910"/>
                          </a:xfrm>
                          <a:prstGeom prst="rect">
                            <a:avLst/>
                          </a:prstGeom>
                          <a:noFill/>
                          <a:ln>
                            <a:noFill/>
                          </a:ln>
                        </pic:spPr>
                      </pic:pic>
                    </a:graphicData>
                  </a:graphic>
                </wp:anchor>
              </w:drawing>
            </w: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721995</wp:posOffset>
                  </wp:positionH>
                  <wp:positionV relativeFrom="paragraph">
                    <wp:posOffset>78740</wp:posOffset>
                  </wp:positionV>
                  <wp:extent cx="483235" cy="1478915"/>
                  <wp:effectExtent l="0" t="0" r="12065" b="6985"/>
                  <wp:wrapNone/>
                  <wp:docPr id="186" name="图片_158"/>
                  <wp:cNvGraphicFramePr/>
                  <a:graphic xmlns:a="http://schemas.openxmlformats.org/drawingml/2006/main">
                    <a:graphicData uri="http://schemas.openxmlformats.org/drawingml/2006/picture">
                      <pic:pic xmlns:pic="http://schemas.openxmlformats.org/drawingml/2006/picture">
                        <pic:nvPicPr>
                          <pic:cNvPr id="186" name="图片_158"/>
                          <pic:cNvPicPr/>
                        </pic:nvPicPr>
                        <pic:blipFill>
                          <a:blip r:embed="rId179"/>
                          <a:stretch>
                            <a:fillRect/>
                          </a:stretch>
                        </pic:blipFill>
                        <pic:spPr>
                          <a:xfrm>
                            <a:off x="0" y="0"/>
                            <a:ext cx="483235" cy="14789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暂定尺寸900*550*2800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1.基材：采用优质浸渍胶膜纸饰面E0刨花板，面板纹理清晰美观，符合国家相关标准。柜门设拉直器。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4.五金：三合一连接件，符合国家相关标准。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定制固定电视柜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656590</wp:posOffset>
                  </wp:positionV>
                  <wp:extent cx="1139825" cy="275590"/>
                  <wp:effectExtent l="0" t="0" r="3175" b="10160"/>
                  <wp:wrapNone/>
                  <wp:docPr id="162" name="图片_162"/>
                  <wp:cNvGraphicFramePr/>
                  <a:graphic xmlns:a="http://schemas.openxmlformats.org/drawingml/2006/main">
                    <a:graphicData uri="http://schemas.openxmlformats.org/drawingml/2006/picture">
                      <pic:pic xmlns:pic="http://schemas.openxmlformats.org/drawingml/2006/picture">
                        <pic:nvPicPr>
                          <pic:cNvPr id="162" name="图片_162"/>
                          <pic:cNvPicPr/>
                        </pic:nvPicPr>
                        <pic:blipFill>
                          <a:blip r:embed="rId180"/>
                          <a:stretch>
                            <a:fillRect/>
                          </a:stretch>
                        </pic:blipFill>
                        <pic:spPr>
                          <a:xfrm>
                            <a:off x="0" y="0"/>
                            <a:ext cx="1139825" cy="275590"/>
                          </a:xfrm>
                          <a:prstGeom prst="rect">
                            <a:avLst/>
                          </a:prstGeom>
                          <a:noFill/>
                          <a:ln>
                            <a:noFill/>
                          </a:ln>
                        </pic:spPr>
                      </pic:pic>
                    </a:graphicData>
                  </a:graphic>
                </wp:anchor>
              </w:drawing>
            </w: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236220</wp:posOffset>
                  </wp:positionV>
                  <wp:extent cx="1132840" cy="266065"/>
                  <wp:effectExtent l="0" t="0" r="10160" b="635"/>
                  <wp:wrapNone/>
                  <wp:docPr id="174" name="图片_161"/>
                  <wp:cNvGraphicFramePr/>
                  <a:graphic xmlns:a="http://schemas.openxmlformats.org/drawingml/2006/main">
                    <a:graphicData uri="http://schemas.openxmlformats.org/drawingml/2006/picture">
                      <pic:pic xmlns:pic="http://schemas.openxmlformats.org/drawingml/2006/picture">
                        <pic:nvPicPr>
                          <pic:cNvPr id="174" name="图片_161"/>
                          <pic:cNvPicPr/>
                        </pic:nvPicPr>
                        <pic:blipFill>
                          <a:blip r:embed="rId181"/>
                          <a:stretch>
                            <a:fillRect/>
                          </a:stretch>
                        </pic:blipFill>
                        <pic:spPr>
                          <a:xfrm>
                            <a:off x="0" y="0"/>
                            <a:ext cx="1132840" cy="2660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暂定尺寸3320*350*200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1.基材：采用优质浸渍胶膜纸饰面E0刨花板，面板纹理清晰美观，符合国家相关标准。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3.胶水：采用优质环保热熔胶，符合国家相关标准。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4.五金：三合一连接件，符合国家相关标准。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2" w:hRule="atLeast"/>
        </w:trPr>
        <w:tc>
          <w:tcPr>
            <w:tcW w:w="14000" w:type="dxa"/>
            <w:gridSpan w:val="8"/>
            <w:tcBorders>
              <w:tl2br w:val="nil"/>
              <w:tr2bl w:val="nil"/>
            </w:tcBorders>
            <w:shd w:val="clear" w:color="auto" w:fill="auto"/>
            <w:vAlign w:val="center"/>
          </w:tcPr>
          <w:p>
            <w:pPr>
              <w:jc w:val="right"/>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6"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礼堂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★报告厅椅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1041400</wp:posOffset>
                  </wp:positionV>
                  <wp:extent cx="929640" cy="653415"/>
                  <wp:effectExtent l="0" t="0" r="3810" b="13335"/>
                  <wp:wrapNone/>
                  <wp:docPr id="189" name="图片_170"/>
                  <wp:cNvGraphicFramePr/>
                  <a:graphic xmlns:a="http://schemas.openxmlformats.org/drawingml/2006/main">
                    <a:graphicData uri="http://schemas.openxmlformats.org/drawingml/2006/picture">
                      <pic:pic xmlns:pic="http://schemas.openxmlformats.org/drawingml/2006/picture">
                        <pic:nvPicPr>
                          <pic:cNvPr id="189" name="图片_170"/>
                          <pic:cNvPicPr/>
                        </pic:nvPicPr>
                        <pic:blipFill>
                          <a:blip r:embed="rId182"/>
                          <a:stretch>
                            <a:fillRect/>
                          </a:stretch>
                        </pic:blipFill>
                        <pic:spPr>
                          <a:xfrm>
                            <a:off x="0" y="0"/>
                            <a:ext cx="929640" cy="6534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745*560*935</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座、背海绵：背绵采用一体发泡成型海绵，座绵采用激光切割高密度海绵。座绵密度为55kg/m3,背绵密度为50kg/m3，椅背采用一体成型技术制成，即将液体海绵注入已放置金属框架的模具中，二者融合且定型后，海绵与金属结构无缝融合，以确保产品的舒适度和耐用度。其靠背弧度完美贴合背部，人体工学，具有优秀的腰部支撑效果。靠背上下厚度均为 86mm。</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2、座内框：采用家具专用方管经切割合适尺寸焊接成型，五金框架外钉制厚度为1.3-1.4M优质实木木芯10-11层多层实木板成型。</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3、站脚：底脚板采用厚度10MM的优质轧板，40*80*3.0厚的脚管横梁，稳固性强，经二氧化碳焊接成型，并经打磨、除锈、磷化、静电喷粉、高温锔炉等工序处理。</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4、扶手框及侧板：扶手框采用优质多层板钉制而成，外敷高密度海绵，并经专用面料扪制而成，规格：高510*宽350*厚70mm。侧板采用厚度4.5MM优质轧板，经模具冲压成型，并经打磨、除锈、磷化、静电喷粉、高温锔炉等工序处理，中规格：高281*宽190*厚4.5mm，</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边侧板规格：高300*宽315*厚4.5mm。</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5、超纤皮：选用优质超纤皮，符合国家相关标准。</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6、回位功能：采用高回复弹簧配合精准力度阻尼器确保回复无噪音，顺畅。                                               7、写字板：由上而下翻转式结构，全铝合金面板，面板尺寸为：长：264mm*宽275mm*厚13mm，转轴采用特定的定位装置，支撑连接结构为铝合金模具压铸成型，与扶手连接旋转头为铝合金精制成型，边部倒圆处理，无锋利点，写字板表面带有水杯槽和笔槽，且可承重35KG以上。写字板外部金属框为长方体压铸成型，保证使用者在抽拉写字板时顺畅，安全无忧。    </w:t>
            </w:r>
          </w:p>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主要规格：座中心距（扶手中对中）：560mm±5mm，座椅总高：935±5mm，座深450±5mm；椅深：745±5mm（写字板打开到背板距离），座高：455±5mm；    　　　　　　　　　　　　　　　　　　　                 　    </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图片色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953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化妆间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4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化妆桌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220980</wp:posOffset>
                  </wp:positionV>
                  <wp:extent cx="819150" cy="956945"/>
                  <wp:effectExtent l="0" t="0" r="0" b="14605"/>
                  <wp:wrapNone/>
                  <wp:docPr id="179" name="图片_167"/>
                  <wp:cNvGraphicFramePr/>
                  <a:graphic xmlns:a="http://schemas.openxmlformats.org/drawingml/2006/main">
                    <a:graphicData uri="http://schemas.openxmlformats.org/drawingml/2006/picture">
                      <pic:pic xmlns:pic="http://schemas.openxmlformats.org/drawingml/2006/picture">
                        <pic:nvPicPr>
                          <pic:cNvPr id="179" name="图片_167"/>
                          <pic:cNvPicPr/>
                        </pic:nvPicPr>
                        <pic:blipFill>
                          <a:blip r:embed="rId183"/>
                          <a:stretch>
                            <a:fillRect/>
                          </a:stretch>
                        </pic:blipFill>
                        <pic:spPr>
                          <a:xfrm>
                            <a:off x="0" y="0"/>
                            <a:ext cx="819150" cy="9569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1000*500*750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3）脚：采用金属脚</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化妆椅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193675</wp:posOffset>
                  </wp:positionH>
                  <wp:positionV relativeFrom="paragraph">
                    <wp:posOffset>80645</wp:posOffset>
                  </wp:positionV>
                  <wp:extent cx="553085" cy="808355"/>
                  <wp:effectExtent l="0" t="0" r="18415" b="10795"/>
                  <wp:wrapNone/>
                  <wp:docPr id="159" name="图片_168"/>
                  <wp:cNvGraphicFramePr/>
                  <a:graphic xmlns:a="http://schemas.openxmlformats.org/drawingml/2006/main">
                    <a:graphicData uri="http://schemas.openxmlformats.org/drawingml/2006/picture">
                      <pic:pic xmlns:pic="http://schemas.openxmlformats.org/drawingml/2006/picture">
                        <pic:nvPicPr>
                          <pic:cNvPr id="159" name="图片_168"/>
                          <pic:cNvPicPr/>
                        </pic:nvPicPr>
                        <pic:blipFill>
                          <a:blip r:embed="rId184"/>
                          <a:stretch>
                            <a:fillRect/>
                          </a:stretch>
                        </pic:blipFill>
                        <pic:spPr>
                          <a:xfrm>
                            <a:off x="0" y="0"/>
                            <a:ext cx="553085" cy="80835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1）面料：选用优质沙发布艺，柔软贴手、透气性佳；</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2）海绵：采用高弹海绵，符合国家相关标准，符合国家相关标准；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3）内架：采用实木内架，经化学熏蒸杀虫和烘干处理，锰钢蛇簧加平衡线处理，永不变形</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4）脚：采用金属沙发脚。</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储藏柜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248920</wp:posOffset>
                  </wp:positionH>
                  <wp:positionV relativeFrom="paragraph">
                    <wp:posOffset>238760</wp:posOffset>
                  </wp:positionV>
                  <wp:extent cx="749300" cy="740410"/>
                  <wp:effectExtent l="0" t="0" r="12700" b="2540"/>
                  <wp:wrapNone/>
                  <wp:docPr id="161" name="图片_169"/>
                  <wp:cNvGraphicFramePr/>
                  <a:graphic xmlns:a="http://schemas.openxmlformats.org/drawingml/2006/main">
                    <a:graphicData uri="http://schemas.openxmlformats.org/drawingml/2006/picture">
                      <pic:pic xmlns:pic="http://schemas.openxmlformats.org/drawingml/2006/picture">
                        <pic:nvPicPr>
                          <pic:cNvPr id="161" name="图片_169"/>
                          <pic:cNvPicPr/>
                        </pic:nvPicPr>
                        <pic:blipFill>
                          <a:blip r:embed="rId185"/>
                          <a:stretch>
                            <a:fillRect/>
                          </a:stretch>
                        </pic:blipFill>
                        <pic:spPr>
                          <a:xfrm>
                            <a:off x="0" y="0"/>
                            <a:ext cx="749300" cy="74041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500*500*500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ABS-PS 工程塑料制成，强度高、韧性好、耐冲击，不易腐蚀，无毒无味，环保耐用。所有板材采用钢制模具一次注塑成型。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柜体组合更牢固，不易变形。</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5、门板、单侧板厚度尺寸</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门板:两边板厚度至少达到25mm以上;单侧板厚度至少22mm以上（±2mm偏离）;双侧板厚度42mm以上；板材厚度：侧板（25mm）,顶板(30mm）,底板（30mm）,门板（36mm），底座（80mm）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休息室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4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沙发</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623570</wp:posOffset>
                  </wp:positionV>
                  <wp:extent cx="1043940" cy="531495"/>
                  <wp:effectExtent l="0" t="0" r="3810" b="1905"/>
                  <wp:wrapNone/>
                  <wp:docPr id="209" name="图片_171"/>
                  <wp:cNvGraphicFramePr/>
                  <a:graphic xmlns:a="http://schemas.openxmlformats.org/drawingml/2006/main">
                    <a:graphicData uri="http://schemas.openxmlformats.org/drawingml/2006/picture">
                      <pic:pic xmlns:pic="http://schemas.openxmlformats.org/drawingml/2006/picture">
                        <pic:nvPicPr>
                          <pic:cNvPr id="209" name="图片_171"/>
                          <pic:cNvPicPr/>
                        </pic:nvPicPr>
                        <pic:blipFill>
                          <a:blip r:embed="rId186"/>
                          <a:stretch>
                            <a:fillRect/>
                          </a:stretch>
                        </pic:blipFill>
                        <pic:spPr>
                          <a:xfrm>
                            <a:off x="0" y="0"/>
                            <a:ext cx="1043940" cy="5314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870*800*820mm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1.面材：采用优质真皮，符合国家相关标准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3.海绵：采用高弹海绵，符合国家相关标准，符合国家相关标准；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4.绷带：甲醛含量未检出，符合国家相关标准；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5.椅架：采用实木油漆架，油漆采用水性漆，符合国家相关标准；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6.水基型胶粘剂：符合国家相关标准。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7.蛇形弹簧：符合国家相关标准；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图片色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茶几</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73660</wp:posOffset>
                  </wp:positionV>
                  <wp:extent cx="981075" cy="911860"/>
                  <wp:effectExtent l="0" t="0" r="9525" b="2540"/>
                  <wp:wrapNone/>
                  <wp:docPr id="219" name="图片_172"/>
                  <wp:cNvGraphicFramePr/>
                  <a:graphic xmlns:a="http://schemas.openxmlformats.org/drawingml/2006/main">
                    <a:graphicData uri="http://schemas.openxmlformats.org/drawingml/2006/picture">
                      <pic:pic xmlns:pic="http://schemas.openxmlformats.org/drawingml/2006/picture">
                        <pic:nvPicPr>
                          <pic:cNvPr id="219" name="图片_172"/>
                          <pic:cNvPicPr/>
                        </pic:nvPicPr>
                        <pic:blipFill>
                          <a:blip r:embed="rId187"/>
                          <a:stretch>
                            <a:fillRect/>
                          </a:stretch>
                        </pic:blipFill>
                        <pic:spPr>
                          <a:xfrm>
                            <a:off x="0" y="0"/>
                            <a:ext cx="981075" cy="9118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700*450*550mm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图片色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2"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3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三人沙发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415290</wp:posOffset>
                  </wp:positionV>
                  <wp:extent cx="1004570" cy="760730"/>
                  <wp:effectExtent l="0" t="0" r="5080" b="1270"/>
                  <wp:wrapNone/>
                  <wp:docPr id="207" name="图片_173"/>
                  <wp:cNvGraphicFramePr/>
                  <a:graphic xmlns:a="http://schemas.openxmlformats.org/drawingml/2006/main">
                    <a:graphicData uri="http://schemas.openxmlformats.org/drawingml/2006/picture">
                      <pic:pic xmlns:pic="http://schemas.openxmlformats.org/drawingml/2006/picture">
                        <pic:nvPicPr>
                          <pic:cNvPr id="207" name="图片_173"/>
                          <pic:cNvPicPr/>
                        </pic:nvPicPr>
                        <pic:blipFill>
                          <a:blip r:embed="rId188"/>
                          <a:stretch>
                            <a:fillRect/>
                          </a:stretch>
                        </pic:blipFill>
                        <pic:spPr>
                          <a:xfrm>
                            <a:off x="0" y="0"/>
                            <a:ext cx="1004570" cy="7607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1950*650*740mm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1)面料：采用优质网布面料，符合国家相关标准；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2）基材：采用E0级实木多层板，符合国家相关标准。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3）高弹海绵：采用优质高弹海绵，符合国家相关标准；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4)绷带：甲醛含量未检出，符合国家相关标准；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5)蛇形弹簧：符合国家相关标准；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6)钢管脚壁厚，横梁壁厚≥1.8mm；符合国家相关标准；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7)热固性粉末涂料：符合国家相关标准；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茶几</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163830</wp:posOffset>
                  </wp:positionV>
                  <wp:extent cx="975360" cy="885190"/>
                  <wp:effectExtent l="0" t="0" r="15240" b="10160"/>
                  <wp:wrapNone/>
                  <wp:docPr id="213" name="图片_174"/>
                  <wp:cNvGraphicFramePr/>
                  <a:graphic xmlns:a="http://schemas.openxmlformats.org/drawingml/2006/main">
                    <a:graphicData uri="http://schemas.openxmlformats.org/drawingml/2006/picture">
                      <pic:pic xmlns:pic="http://schemas.openxmlformats.org/drawingml/2006/picture">
                        <pic:nvPicPr>
                          <pic:cNvPr id="213" name="图片_174"/>
                          <pic:cNvPicPr/>
                        </pic:nvPicPr>
                        <pic:blipFill>
                          <a:blip r:embed="rId189"/>
                          <a:stretch>
                            <a:fillRect/>
                          </a:stretch>
                        </pic:blipFill>
                        <pic:spPr>
                          <a:xfrm>
                            <a:off x="0" y="0"/>
                            <a:ext cx="975360" cy="8851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1000*600*420mm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4）钢架：采用优质钢管，符合国家相关标准。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5)热固性粉末涂料：符合国家相关标准；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2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休息桌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179070</wp:posOffset>
                  </wp:positionV>
                  <wp:extent cx="970915" cy="799465"/>
                  <wp:effectExtent l="0" t="0" r="635" b="635"/>
                  <wp:wrapNone/>
                  <wp:docPr id="203" name="图片_175"/>
                  <wp:cNvGraphicFramePr/>
                  <a:graphic xmlns:a="http://schemas.openxmlformats.org/drawingml/2006/main">
                    <a:graphicData uri="http://schemas.openxmlformats.org/drawingml/2006/picture">
                      <pic:pic xmlns:pic="http://schemas.openxmlformats.org/drawingml/2006/picture">
                        <pic:nvPicPr>
                          <pic:cNvPr id="203" name="图片_175"/>
                          <pic:cNvPicPr/>
                        </pic:nvPicPr>
                        <pic:blipFill>
                          <a:blip r:embed="rId190"/>
                          <a:stretch>
                            <a:fillRect/>
                          </a:stretch>
                        </pic:blipFill>
                        <pic:spPr>
                          <a:xfrm>
                            <a:off x="0" y="0"/>
                            <a:ext cx="970915" cy="7994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1400*750*750mm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4）钢架：采用优质钢管，符合国家相关标准。                                                                                     5)热固性粉末涂料：符合国家相关标准；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休息椅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52705</wp:posOffset>
                  </wp:positionV>
                  <wp:extent cx="961390" cy="1056640"/>
                  <wp:effectExtent l="0" t="0" r="10160" b="10160"/>
                  <wp:wrapNone/>
                  <wp:docPr id="198" name="图片_176"/>
                  <wp:cNvGraphicFramePr/>
                  <a:graphic xmlns:a="http://schemas.openxmlformats.org/drawingml/2006/main">
                    <a:graphicData uri="http://schemas.openxmlformats.org/drawingml/2006/picture">
                      <pic:pic xmlns:pic="http://schemas.openxmlformats.org/drawingml/2006/picture">
                        <pic:nvPicPr>
                          <pic:cNvPr id="198" name="图片_176"/>
                          <pic:cNvPicPr/>
                        </pic:nvPicPr>
                        <pic:blipFill>
                          <a:blip r:embed="rId191"/>
                          <a:stretch>
                            <a:fillRect/>
                          </a:stretch>
                        </pic:blipFill>
                        <pic:spPr>
                          <a:xfrm>
                            <a:off x="0" y="0"/>
                            <a:ext cx="961390" cy="10566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540*510*850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1)背外壳:ABS装饰背外板,表面亮光烤漆,漆膜均匀,色彩饱满</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2)钢架：壁厚≥1.8mm，符合国家相关标准。      </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2" w:hRule="atLeast"/>
        </w:trPr>
        <w:tc>
          <w:tcPr>
            <w:tcW w:w="14000" w:type="dxa"/>
            <w:gridSpan w:val="8"/>
            <w:tcBorders>
              <w:tl2br w:val="nil"/>
              <w:tr2bl w:val="nil"/>
            </w:tcBorders>
            <w:shd w:val="clear" w:color="auto" w:fill="auto"/>
            <w:vAlign w:val="center"/>
          </w:tcPr>
          <w:p>
            <w:pPr>
              <w:jc w:val="right"/>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图书馆一层密集书库 特藏书库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密集书架（手动）</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1276350"/>
                  <wp:effectExtent l="0" t="0" r="9525" b="0"/>
                  <wp:docPr id="19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 descr="IMG_256"/>
                          <pic:cNvPicPr>
                            <a:picLocks noChangeAspect="1"/>
                          </pic:cNvPicPr>
                        </pic:nvPicPr>
                        <pic:blipFill>
                          <a:blip r:embed="rId192"/>
                          <a:stretch>
                            <a:fillRect/>
                          </a:stretch>
                        </pic:blipFill>
                        <pic:spPr>
                          <a:xfrm>
                            <a:off x="0" y="0"/>
                            <a:ext cx="1381125" cy="12763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立方米</w:t>
            </w:r>
          </w:p>
        </w:tc>
        <w:tc>
          <w:tcPr>
            <w:tcW w:w="7556"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1、柜体：≥0.9厚一级电解钢板制成，表面清洁处理后进行高温静电喷涂，二氧化碳保护焊接，焊（连）接牢固，经过打磨后平整光滑，不易生锈。电解钢板：符合国家相关标准。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2、表面处理：环氧树脂静电粉末喷涂，涂层膜厚度均匀，喷粉涂层厚度60-80um，抗菌粉末涂料，具有环保、抑菌、防锈、耐腐蚀、绝缘性高、附着力强、耐摩擦等优点。喷涂采用流水线喷涂，可配不同颜色。</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喷涂粉末：符合国家相关标准。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 结构要求：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3.1 传动机构：传动机构主要由手柄、传动板、静音轮和高强度链带组成；在使用中无磨擦，无噪音。手柄采用铝合金伸缩摇把结构，依据力的原理，架体在空载或满载的状态下，能够调节运行过程中的轻重。</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3.2 底盘：3.0mm热轧钢板，分段焊接后整体组装式，连接牢固、运输、安装方便，底盘各段连接采用M10螺栓紧固，纵梁上按节距冲有矩形槽，槽下焊有夹紧板，以供立柱插入后用M10箍紧拧固。滚轮横梁采用四折成形，确保在外力作用下无任何变形情况发生。底梁下部装有防倒支架以防架体倾倒。</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3.3 导轨：20*20mm实心方钢材料置于3.0mm厚钢板折弯成形轨座上，塞焊而成，分段连接，埋入式安装，膨胀螺栓紧固于凹槽地面，导轨上沿与装饰地平基本齐平。</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3.4 成型立柱：1.5mm优质冷轧钢板，采用数控全自动成型设备压加强筋工艺生产，立柱正面加压加强筋、侧面加强筋，立柱正面宽度≥50mm，侧面宽度≥33mm。立柱均匀冲孔，层数和间距可按需要调整。</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3.5 压筋搁板：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（1）1.0mm冷轧钢板，数控全自动成型设备压加强筋工艺生产（加压二条加强筋），搁板上表面压二条加强筋。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（2）搁板厚度为25mm，结构合理，使用方便，两块搁板之间留逢2公分，搁板每层净承重要求在80公斤以上。</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3.6 压筋挂板：大于1.0mm冷轧钢板，挂板高度≥132mm，采用数控全自动成型设备压加强筋工艺生产，挂板加压二个椭圆形通风孔，每个通风孔上下各加强二条加强筋。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3.7 搁捧：两头冲凹槽且带有防滑扣，模具冲压成型，采用四道弯边工艺，C型状，增强其强度且能阻挡档案滑向另一侧，沿立柱垂直方向可以自由调整高度。</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3.8 压型侧护板：钢板选用大于1.0mm冷轧钢板，前后侧面板为凹凸形钢板。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3.9 防尘门板：大于1.0mm冷轧钢板，采用四次折弯而成，背面中间点焊加强筋，右门上装有密集型书架专用闪电形锁，组装后缝隙均匀，锁定紧密，开启灵活。</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3.10 顶板、防尘板：大于1.0mm冷轧钢板,通过M6螺栓紧固于立柱上端既能加强架体的整体刚性又能起到防尘、防水的作用，为此应加强顶板的钢性，经双面二次折弯，四角对焊，使其成框架结构。</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3.11 操纵手摇柄：摇手最大扭距达到580mm，伸缩方便的密集型书架摇手，采用铝合金.工程塑料合用，摇手任何一列均不会带动其他手柄转动，自动挂档，可单列或多列一起移动，传动机构中心传动轴为25mm与操纵手柄连接的中心内孔25mm，相配套。</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3.12 铸铁铁滚轮：高强度铸铁，滚轮经专用机床精密修整，接触面成弧形状，同轨芯。</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3.13 链轮：传动链条采用12.7带短滚珠链，底盘链接链条采用节距15.875工业链条。                                                                                                  </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1352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立方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特藏书库密集书架（手动）</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1276350"/>
                  <wp:effectExtent l="0" t="0" r="9525" b="0"/>
                  <wp:docPr id="21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 descr="IMG_257"/>
                          <pic:cNvPicPr>
                            <a:picLocks noChangeAspect="1"/>
                          </pic:cNvPicPr>
                        </pic:nvPicPr>
                        <pic:blipFill>
                          <a:blip r:embed="rId192"/>
                          <a:stretch>
                            <a:fillRect/>
                          </a:stretch>
                        </pic:blipFill>
                        <pic:spPr>
                          <a:xfrm>
                            <a:off x="0" y="0"/>
                            <a:ext cx="1381125" cy="12763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立方米</w:t>
            </w:r>
          </w:p>
        </w:tc>
        <w:tc>
          <w:tcPr>
            <w:tcW w:w="7556" w:type="dxa"/>
            <w:vMerge w:val="continue"/>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立方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3"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图书馆一层小报告厅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演讲台</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699135" cy="1073785"/>
                  <wp:effectExtent l="0" t="0" r="5715" b="12065"/>
                  <wp:docPr id="20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 descr="IMG_258"/>
                          <pic:cNvPicPr>
                            <a:picLocks noChangeAspect="1"/>
                          </pic:cNvPicPr>
                        </pic:nvPicPr>
                        <pic:blipFill>
                          <a:blip r:embed="rId193"/>
                          <a:stretch>
                            <a:fillRect/>
                          </a:stretch>
                        </pic:blipFill>
                        <pic:spPr>
                          <a:xfrm>
                            <a:off x="0" y="0"/>
                            <a:ext cx="699135" cy="107378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600*607*1100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1、基材：环保等级优于E0级三聚氰胺板，符合国家相关标准；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4、五金件：三合一连接件：符合国家相关标准；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5、钢架：钢管成型，壁厚≥1.5mm，符合国家相关标准。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6、万向脚轮：符合国家相关标准；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主席台条桌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23950" cy="971550"/>
                  <wp:effectExtent l="0" t="0" r="0" b="0"/>
                  <wp:docPr id="22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 descr="IMG_259"/>
                          <pic:cNvPicPr>
                            <a:picLocks noChangeAspect="1"/>
                          </pic:cNvPicPr>
                        </pic:nvPicPr>
                        <pic:blipFill>
                          <a:blip r:embed="rId194"/>
                          <a:stretch>
                            <a:fillRect/>
                          </a:stretch>
                        </pic:blipFill>
                        <pic:spPr>
                          <a:xfrm>
                            <a:off x="0" y="0"/>
                            <a:ext cx="1123950" cy="9715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2000*600*750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1、基材：环保等级优于E0级三聚氰胺板，符合国家相关标准；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3、五金件：间隙细小且均匀，平整无毛刺。三合一连接件：符合国家相关标准；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3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主席台条桌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23950" cy="971550"/>
                  <wp:effectExtent l="0" t="0" r="0" b="0"/>
                  <wp:docPr id="21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5" descr="IMG_260"/>
                          <pic:cNvPicPr>
                            <a:picLocks noChangeAspect="1"/>
                          </pic:cNvPicPr>
                        </pic:nvPicPr>
                        <pic:blipFill>
                          <a:blip r:embed="rId194"/>
                          <a:stretch>
                            <a:fillRect/>
                          </a:stretch>
                        </pic:blipFill>
                        <pic:spPr>
                          <a:xfrm>
                            <a:off x="0" y="0"/>
                            <a:ext cx="1123950" cy="9715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1300*600*750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1、基材：环保等级优于E0级三聚氰胺板，符合国家相关标准；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3、五金件：间隙细小且均匀，平整无毛刺。三合一连接件：符合国家相关标准；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8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（提供样品）</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81100" cy="1285875"/>
                  <wp:effectExtent l="0" t="0" r="0" b="9525"/>
                  <wp:docPr id="19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6" descr="IMG_261"/>
                          <pic:cNvPicPr>
                            <a:picLocks noChangeAspect="1"/>
                          </pic:cNvPicPr>
                        </pic:nvPicPr>
                        <pic:blipFill>
                          <a:blip r:embed="rId195"/>
                          <a:stretch>
                            <a:fillRect/>
                          </a:stretch>
                        </pic:blipFill>
                        <pic:spPr>
                          <a:xfrm>
                            <a:off x="0" y="0"/>
                            <a:ext cx="1181100" cy="12858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1、椅背：内外框结合方式，外框高强度尼龙加纤维，椅背可以倾仰≥8度。椅座面到椅背的最高点≥445±5mm；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2、扶手：本体可上下调整，材料为尼龙加纤维，扶手下方铝合金件固定。扶手离地面高度≥652±5mm 椅子可加装写字板，双板结构注塑成型，底部受力板PA+30%GF，面板ABS结实不易刮花，主要支撑架采用铝合金ADC12压铸成型，铝合金抛光工艺加弯管烤漆工艺组合，铁管厚度2.0mm 直径25mm.桌板可以承重≥45KG.写字板尺寸≥395mm*260mm适中，写字板使用时离地面的高度≥685mm；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座垫：可拆换，采用双框结构可自由拆御，底壳采用PA+30%GF材质、无木板符合环保要求，同时可以拆洗解决椅座沾灰问题，边厚度3.5mm,中间厚度5mm,注塑成型，面壳PP材质厚度3mm。海绵采用高密度定型绵，主材料聚氨脂，发泡成型，海绵厚度5cm；硬度60±5°。密度≥65KG/立方。座部没有木板，符合环保诉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4、椅脚：实心尼龙材料（PA+40%GF注塑成型），前后脚采用KD（双栒卯工艺+螺絲）方式，内埋螺母。椅脚材质是尼龙加玻璃纤维采用前后脚组装方式，同时结合榫卯工艺，采用双榫卯结构使其承重≥180KG；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5、网布：≤0.2mm线径，采用尼龙材质。对刺穿性破坏具有修复功能；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6、椅子可横向收纳：所有配件（扶手、固定脚垫、水杯架、书网兜、活动脚轮、写字板、连接扣、背部布套、坐垫布套）均为KD模块化设计，可根据场景需要进行增减；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7、置物篮（可加装）：可配置采用铁线成型，焊接喷油工艺；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8、轮子：注塑成型+五金件组合工艺，主材料PA轮子直径50MM；(可选万向轮或固定脚)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9、海棉：PU发泡成型；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10、扶手：注塑成型 PA主体+TPU面盖组合，满足硬度及手感舒适度；</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1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条桌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（提供样品）</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962025"/>
                  <wp:effectExtent l="0" t="0" r="9525" b="9525"/>
                  <wp:docPr id="21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7" descr="IMG_262"/>
                          <pic:cNvPicPr>
                            <a:picLocks noChangeAspect="1"/>
                          </pic:cNvPicPr>
                        </pic:nvPicPr>
                        <pic:blipFill>
                          <a:blip r:embed="rId196"/>
                          <a:stretch>
                            <a:fillRect/>
                          </a:stretch>
                        </pic:blipFill>
                        <pic:spPr>
                          <a:xfrm>
                            <a:off x="0" y="0"/>
                            <a:ext cx="1381125" cy="9620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1300*500*750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1、板材:台面板三聚氰胺板环保等级优于E0级厚度25mm，经防潮、防腐、防虫等处理，台面四周上部5mm直平、下部内倒45°斜边，四角倒R50圆弧安全角，整条ABS斜边封边工艺 (不得分两次完成)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2、封边胶: 采用湿气固化反应型聚氨醋 PUR热熔胶,具有优异的初始强度和交联固化功能，遇水迅速反应不可逆，封边后永不开胶。最终粘接强度、耐温性和耐化学腐蚀性远远高于同类型热熔胶:且具有零甲醛排放。</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3、结构配置：钢铝木组合结构：压铸支撑脚:采用铝合金一次压铸成型，采用优质6063铝材，压铸时采用风冷淬火技术及人.过程，以强化热处理，让铝脚更坚固;底脚一端配置红色空心轴承豪华静音轮 (带锁止功直径不小于73MM，另一端带高度调节器保证桌面平整稳定、减少晃动;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支撑钢架:支撑圆柱、翻转横梁及拉杆采用国标Q235高碳钢材，经高频焊接，表面波纹均匀，焊接处无夹渣、无脱焊、虚焊及焊穿等现象，酸洗、陶化后，经高温聚脂环氧粉末喷塑，经48小时盐雾测试达国家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5、前挡板:采用 翻转ABS挂扣件无螺丝免工具安装方式，取换方便快捷；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6、书网架:采用 D型三方包围式书网架，防止文件及物品滑落；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翻转结构：翻转折叠机构通过一个机构来实现微调面板前后倾斜度，使台面与纵横拉梁完全分零落差整平面接触，使台面平面均衡受力，保持面板永久不会下垂变形！此机构采用铝合金压铸接头，可以承重200KG重力冲击，实现了垂直与横向力量的稳固连接；</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8、构特点：折叠灵活，方便收纳，动静切换，只需一按实现，无需弯腰解制才能推动桌体，镶入式全接触平躺钢梁支撑，锁定折叠机构，结构稳固；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9、功能配件：桌面均设有可灵活选配多种前挡板、二合一水杯架走线盒、ipad智能手机功能槽、背包挂钩、多功能插座盒过线及无线手机充电设备等等；</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10、外观：造型优美别致，板材封边收口顺滑、贴合严实；铝合金接头紧密拼接、转角过渡自然，金属喷涂表面流平顺畅平整，无凸起和颗粒等现象。</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图书馆一层采编室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9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57910" cy="896620"/>
                  <wp:effectExtent l="0" t="0" r="8890" b="17780"/>
                  <wp:docPr id="22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8" descr="IMG_263"/>
                          <pic:cNvPicPr>
                            <a:picLocks noChangeAspect="1"/>
                          </pic:cNvPicPr>
                        </pic:nvPicPr>
                        <pic:blipFill>
                          <a:blip r:embed="rId197"/>
                          <a:stretch>
                            <a:fillRect/>
                          </a:stretch>
                        </pic:blipFill>
                        <pic:spPr>
                          <a:xfrm>
                            <a:off x="0" y="0"/>
                            <a:ext cx="1057910" cy="89662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1500*1500*750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2、激光封边条：采用优质环保ABS封边条，符合国家相关标准；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3、五金件：①三合一连接件：符合国家相关标准。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4、钢脚（钢管）：优质钢材，一体成型压制成钢管，符合国家相关标准。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23925" cy="1476375"/>
                  <wp:effectExtent l="0" t="0" r="9525" b="9525"/>
                  <wp:docPr id="19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9" descr="IMG_264"/>
                          <pic:cNvPicPr>
                            <a:picLocks noChangeAspect="1"/>
                          </pic:cNvPicPr>
                        </pic:nvPicPr>
                        <pic:blipFill>
                          <a:blip r:embed="rId198"/>
                          <a:stretch>
                            <a:fillRect/>
                          </a:stretch>
                        </pic:blipFill>
                        <pic:spPr>
                          <a:xfrm>
                            <a:off x="0" y="0"/>
                            <a:ext cx="923925" cy="14763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4、环保胶水：符合国家相关标准。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5、底盘机构：符合国家相关标准；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6、气压棒：优质气压棒，升降自如，符合国家相关标准；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7、五金脚：符合国家相关标准；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8、万向脚轮：符合国家相关标准；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书架</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04900" cy="771525"/>
                  <wp:effectExtent l="0" t="0" r="0" b="9525"/>
                  <wp:docPr id="20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0" descr="IMG_265"/>
                          <pic:cNvPicPr>
                            <a:picLocks noChangeAspect="1"/>
                          </pic:cNvPicPr>
                        </pic:nvPicPr>
                        <pic:blipFill>
                          <a:blip r:embed="rId199"/>
                          <a:stretch>
                            <a:fillRect/>
                          </a:stretch>
                        </pic:blipFill>
                        <pic:spPr>
                          <a:xfrm>
                            <a:off x="0" y="0"/>
                            <a:ext cx="1104900" cy="7715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3600*450*2000以现场尺寸为准</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一、材质及结构</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1、钢板采用一级电解钢板：立板钢板厚度≥0.9mm(两外侧边沿斜角15*7MM)，层板、挡板钢板厚度≥1.0mm，底部拉档钢板厚度≥1.5mm。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2、书架为立板式结构，钢板厚度≥0.9mm，内侧为全封闭挂板，外立板折弯成型后总厚度≥15mm(两外侧边沿斜角15*7MM)，中立板厚度为30MM ，书架立板与立板之间采用钢管框架加固；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3、书架层板折弯成型后总厚度20mm，底部有两条加强筋加固(并可挂书立)。底部横梁折弯后总厚度15mm，书挡板与层板一体成型，高度为40mm;书架每层承重50kg。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4、书架层板挂片采用模具压成U形卡槽挂片，强度达到书架层板承重要求。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5、书架立板采用双斜边内凹槽挂片工艺，内凹槽尺寸5*5MM，凹槽内设计层板挂片调节孔，方便放置不同尺寸书籍，保持不同尺寸书籍外沿在同一面上。</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灯架：每节书架灯顶板前后面配LED节能感应灯，色温控制在2800K-4000K；灯壳尺寸：超出立板侧板边40mm，灯架厚15mm(采用≥0.9mm冷轧钢板制作)，灯具安装于书架灯壳外边沿顶部底面。控制系统应具备人体自动感应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二、工艺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采用剪切、冲压、折弯、焊接工艺，钢板经电解防锈处理，表面采用混合型热固性粉沫静电喷涂，耐高温，防静电。书架通体静电喷涂，颜色持久，喷涂粉末：符合国家相关标准。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三、特点</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1、书架外侧立板设计上线功能(由书架主节层板内引线入侧板)，书架底部层板内设计走线功能。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2、书架下方预留60mm高度的设备空间，用于放置交换机，集中开关电源，边缘运算单元等。</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3、书架最上层层净高≥350mm，预留摄像机的网线和电源线点位，摄像机电源和网线从每列书架线槽穿线。</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4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采编桌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56970" cy="816610"/>
                  <wp:effectExtent l="0" t="0" r="5080" b="2540"/>
                  <wp:docPr id="19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1" descr="IMG_266"/>
                          <pic:cNvPicPr>
                            <a:picLocks noChangeAspect="1"/>
                          </pic:cNvPicPr>
                        </pic:nvPicPr>
                        <pic:blipFill>
                          <a:blip r:embed="rId200"/>
                          <a:stretch>
                            <a:fillRect/>
                          </a:stretch>
                        </pic:blipFill>
                        <pic:spPr>
                          <a:xfrm>
                            <a:off x="0" y="0"/>
                            <a:ext cx="1156970" cy="81661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2400*1000*750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4、钢脚（钢管）：优质钢材，一体成型压制成钢管，符合国家相关标准。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1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762000" cy="1171575"/>
                  <wp:effectExtent l="0" t="0" r="0" b="9525"/>
                  <wp:docPr id="20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 descr="IMG_267"/>
                          <pic:cNvPicPr>
                            <a:picLocks noChangeAspect="1"/>
                          </pic:cNvPicPr>
                        </pic:nvPicPr>
                        <pic:blipFill>
                          <a:blip r:embed="rId201"/>
                          <a:stretch>
                            <a:fillRect/>
                          </a:stretch>
                        </pic:blipFill>
                        <pic:spPr>
                          <a:xfrm>
                            <a:off x="0" y="0"/>
                            <a:ext cx="762000" cy="11715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2、面料：优质绒布：符合国家相关标准。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3、曲木板：座垫采用11.8mm多层曲木板热压成型，符合国家相关标准。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4、海绵：采用优质高弹海绵，符合国家相关标准；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6、钢架（钢管）：符合国家相关标准。</w:t>
            </w:r>
          </w:p>
        </w:tc>
        <w:tc>
          <w:tcPr>
            <w:tcW w:w="454"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93"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图书馆二层书吧区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4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71575" cy="1581150"/>
                  <wp:effectExtent l="0" t="0" r="9525" b="0"/>
                  <wp:docPr id="21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3" descr="IMG_268"/>
                          <pic:cNvPicPr>
                            <a:picLocks noChangeAspect="1"/>
                          </pic:cNvPicPr>
                        </pic:nvPicPr>
                        <pic:blipFill>
                          <a:blip r:embed="rId202"/>
                          <a:stretch>
                            <a:fillRect/>
                          </a:stretch>
                        </pic:blipFill>
                        <pic:spPr>
                          <a:xfrm>
                            <a:off x="0" y="0"/>
                            <a:ext cx="1171575" cy="15811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1、椅身：聚丙烯添加防静电剂（聚乙醇酯）原色颗粒塑料；</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2、材质：100%全新家具专用环保工程塑料生产；</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3、工艺：抗老化，超强防紫外线，五年内无褪色保证，耐磨损易清洁；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4、面料：环保面料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6、椅脚：橡木或桦木实木框架，经过防虫、防腐特殊处理，确保坚固可靠，长期使用不松动、不腐朽。</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圆桌A</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90600" cy="1066800"/>
                  <wp:effectExtent l="0" t="0" r="0" b="0"/>
                  <wp:docPr id="22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4" descr="IMG_269"/>
                          <pic:cNvPicPr>
                            <a:picLocks noChangeAspect="1"/>
                          </pic:cNvPicPr>
                        </pic:nvPicPr>
                        <pic:blipFill>
                          <a:blip r:embed="rId203"/>
                          <a:stretch>
                            <a:fillRect/>
                          </a:stretch>
                        </pic:blipFill>
                        <pic:spPr>
                          <a:xfrm>
                            <a:off x="0" y="0"/>
                            <a:ext cx="990600" cy="10668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φ600*750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4、五金件：三合一连接件：符合国家相关标准：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5、钢脚（钢管）：符合国家相关标准。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阅读椅2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23975" cy="1466850"/>
                  <wp:effectExtent l="0" t="0" r="9525" b="0"/>
                  <wp:docPr id="21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5" descr="IMG_270"/>
                          <pic:cNvPicPr>
                            <a:picLocks noChangeAspect="1"/>
                          </pic:cNvPicPr>
                        </pic:nvPicPr>
                        <pic:blipFill>
                          <a:blip r:embed="rId204"/>
                          <a:stretch>
                            <a:fillRect/>
                          </a:stretch>
                        </pic:blipFill>
                        <pic:spPr>
                          <a:xfrm>
                            <a:off x="0" y="0"/>
                            <a:ext cx="1323975" cy="14668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1、西皮：采用优质西皮，符合国家相关标准；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3、喷胶：符合国家相关标准。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4、实木椅架：采用橡木或桦木实木框架，经过防虫、防腐特殊处理，确保坚固可靠，长期使用不松动、不腐朽。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5、优质环保油漆，密闭涂饰，符合国家相关标准。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7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圆桌B</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933450"/>
                  <wp:effectExtent l="0" t="0" r="9525" b="0"/>
                  <wp:docPr id="22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6" descr="IMG_271"/>
                          <pic:cNvPicPr>
                            <a:picLocks noChangeAspect="1"/>
                          </pic:cNvPicPr>
                        </pic:nvPicPr>
                        <pic:blipFill>
                          <a:blip r:embed="rId205"/>
                          <a:stretch>
                            <a:fillRect/>
                          </a:stretch>
                        </pic:blipFill>
                        <pic:spPr>
                          <a:xfrm>
                            <a:off x="0" y="0"/>
                            <a:ext cx="1381125" cy="9334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φ1000*750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2、工艺：板材采用新型全封闭包裹高分子树脂静电喷涂工艺（主要材料为特制树脂），通过静电将高分子树脂粉末直接均匀吸附在板表面，饰面板 360°无死角、无封边、无油漆， 高环保,无异味，抗菌、防潮防水、耐高温；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3、塑粉：符合国家相关标准；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阅览桌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762000"/>
                  <wp:effectExtent l="0" t="0" r="9525" b="0"/>
                  <wp:docPr id="19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7" descr="IMG_272"/>
                          <pic:cNvPicPr>
                            <a:picLocks noChangeAspect="1"/>
                          </pic:cNvPicPr>
                        </pic:nvPicPr>
                        <pic:blipFill>
                          <a:blip r:embed="rId206"/>
                          <a:stretch>
                            <a:fillRect/>
                          </a:stretch>
                        </pic:blipFill>
                        <pic:spPr>
                          <a:xfrm>
                            <a:off x="0" y="0"/>
                            <a:ext cx="1381125" cy="7620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1800*1200*750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2、水性面漆：符合国家相关标准；符合国家相关标准；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3、水性底漆：符合国家相关标准；符合国家相关标准；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工艺：①桌面：要求采用混色工艺，与书架风格呼应，桌面分为三段拼接，中间面板采用水性油漆涂装工艺。两端桌面板和桌脚材质为中密度纤维板（25mm厚）,采用新型全封闭包裹高分子树脂静电喷涂工艺（主要材料为树脂），通过静电将高分子树脂粉末直接均匀吸附在板表面，板材360°全包覆、基材无裸露、无封边、无油漆、无异味，高环保,  具有抗菌、防潮防水、耐高温、耐刮擦等特点。 ②桌脚：桌脚与桌面45°拼接。③挡板：挡板同桌面采用混色工艺风格统一。</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6、塑粉：符合国家相关标准；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4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中岛书台</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95400" cy="1181100"/>
                  <wp:effectExtent l="0" t="0" r="0" b="0"/>
                  <wp:docPr id="19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8" descr="IMG_273"/>
                          <pic:cNvPicPr>
                            <a:picLocks noChangeAspect="1"/>
                          </pic:cNvPicPr>
                        </pic:nvPicPr>
                        <pic:blipFill>
                          <a:blip r:embed="rId207"/>
                          <a:stretch>
                            <a:fillRect/>
                          </a:stretch>
                        </pic:blipFill>
                        <pic:spPr>
                          <a:xfrm>
                            <a:off x="0" y="0"/>
                            <a:ext cx="1295400" cy="11811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3600*1500*900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2、油漆：符合国家相关标准；符合国家相关标准；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3、水基型胶黏剂：符合国家相关标准。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4、五金配件：品牌五金配件，五金配件紧密拼接，牢固。三合一连接件：符合国家相关标准。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1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双人半隐私沙发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95375" cy="971550"/>
                  <wp:effectExtent l="0" t="0" r="9525" b="0"/>
                  <wp:docPr id="19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 descr="IMG_274"/>
                          <pic:cNvPicPr>
                            <a:picLocks noChangeAspect="1"/>
                          </pic:cNvPicPr>
                        </pic:nvPicPr>
                        <pic:blipFill>
                          <a:blip r:embed="rId208"/>
                          <a:stretch>
                            <a:fillRect/>
                          </a:stretch>
                        </pic:blipFill>
                        <pic:spPr>
                          <a:xfrm>
                            <a:off x="0" y="0"/>
                            <a:ext cx="1095375" cy="9715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1600*750*1500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框架：优质橡胶木或桦木框架，经过防虫、防腐特殊处理，确保坚固可靠，长期使用不松动、不腐朽。符合国家相关标准；木制件外观①贯通裂缝：无贯通裂缝，②虫蛀：木家具中无虫蛀现象，③腐朽材：外表无腐朽材，内表轻微腐朽面积不应超过零件面积的20%，④树脂囊：无树脂囊，⑤节子：无节子，⑥死节、孔洞、夹皮和树脂道、树胶道：无死节、孔洞、夹皮和树脂道、树胶道，⑦其他轻微缺陷：无其他轻微材质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5、五金件：蛇簧和尼龙带穿插编织，φ5mm高强度S形弹簧同高弹力绷带，金属件无脱层、裂缝。喷涂层：涂层，涂层光滑均匀、色泽一致。</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★单人半隐私沙发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47775" cy="923925"/>
                  <wp:effectExtent l="0" t="0" r="9525" b="9525"/>
                  <wp:docPr id="20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 descr="IMG_275"/>
                          <pic:cNvPicPr>
                            <a:picLocks noChangeAspect="1"/>
                          </pic:cNvPicPr>
                        </pic:nvPicPr>
                        <pic:blipFill>
                          <a:blip r:embed="rId209"/>
                          <a:stretch>
                            <a:fillRect/>
                          </a:stretch>
                        </pic:blipFill>
                        <pic:spPr>
                          <a:xfrm>
                            <a:off x="0" y="0"/>
                            <a:ext cx="1247775" cy="9239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800*750*435</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框架：优质橡胶木或桦木框架，经过防虫、防腐特殊处理，确保坚固可靠，长期使用不松动、不腐朽。符合国家相关标准；木制件外观①贯通裂缝：无贯通裂缝，②虫蛀：木家具中无虫蛀现象，③腐朽材：外表无腐朽材，内表轻微腐朽面积不应超过零件面积的20%，④树脂囊：无树脂囊，⑤节子：无节子，⑥死节、孔洞、夹皮和树脂道、树胶道：无死节、孔洞、夹皮和树脂道、树胶道，⑦其他轻微缺陷：无其他轻微材质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5、五金件：蛇簧和尼龙带穿插编织，φ5mm高强度S形弹簧同高弹力绷带，金属件无脱层、裂缝。喷涂层：涂层光滑均匀、色泽一致。                                                                                                                                              6、可折叠屏风：聚酰胺添加玻璃纤维弹性塑料材质，双层编织网，半透明的材质；可旋转折叠收纳，折叠范围在0-180°，带有一定的吸音效果。                                                                                                                                                     </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长茶几</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43025" cy="933450"/>
                  <wp:effectExtent l="0" t="0" r="9525" b="0"/>
                  <wp:docPr id="19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1" descr="IMG_276"/>
                          <pic:cNvPicPr>
                            <a:picLocks noChangeAspect="1"/>
                          </pic:cNvPicPr>
                        </pic:nvPicPr>
                        <pic:blipFill>
                          <a:blip r:embed="rId210"/>
                          <a:stretch>
                            <a:fillRect/>
                          </a:stretch>
                        </pic:blipFill>
                        <pic:spPr>
                          <a:xfrm>
                            <a:off x="0" y="0"/>
                            <a:ext cx="1343025" cy="9334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1000*600*450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2、基材：采用E0级中密度纤维板，符合国家相关标准；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3、油漆：采用优质水性面/底漆，符合国家相关标准；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4、水基型胶黏剂：符合国家相关标准。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5、钢脚（钢管）：符合国家相关标准。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单人静音仓</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552450" cy="847725"/>
                  <wp:effectExtent l="0" t="0" r="0" b="9525"/>
                  <wp:docPr id="21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2" descr="IMG_277"/>
                          <pic:cNvPicPr>
                            <a:picLocks noChangeAspect="1"/>
                          </pic:cNvPicPr>
                        </pic:nvPicPr>
                        <pic:blipFill>
                          <a:blip r:embed="rId211"/>
                          <a:stretch>
                            <a:fillRect/>
                          </a:stretch>
                        </pic:blipFill>
                        <pic:spPr>
                          <a:xfrm>
                            <a:off x="0" y="0"/>
                            <a:ext cx="552450" cy="8477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1000*950*2300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1、基本功能：可调节换气量大小，电控开关灯；标准用电：1强电2USB；内部材质：吸音软毛毡；磁吸门，环保地毯，吧台高度桌板，四角金属扣件及边框支撑立柱 ，采用航空铝材静电喷粉涂装。</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2、换气量：符合国家相关标准；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3、隔音性：符合国家相关标准；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4、环保排放：达到E0级标准。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5、照明：舱室4000K自然光色温LED中央照明系统，标配150LSX。</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6、沙发：对坐沙发，品牌环保布饰面，符合国家相关标准。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7、讨论桌：优质品牌刨花板，表面采用品牌防火板贴面，抗划伤、耐磨、耐酸碱、耐烟灼、防火、不易褪色、易清洁。书写桌尺寸，桌板厚度≥18mm。</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二层下沉式阅览室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阅览桌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38250" cy="514350"/>
                  <wp:effectExtent l="0" t="0" r="0" b="0"/>
                  <wp:docPr id="20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3" descr="IMG_278"/>
                          <pic:cNvPicPr>
                            <a:picLocks noChangeAspect="1"/>
                          </pic:cNvPicPr>
                        </pic:nvPicPr>
                        <pic:blipFill>
                          <a:blip r:embed="rId212"/>
                          <a:stretch>
                            <a:fillRect/>
                          </a:stretch>
                        </pic:blipFill>
                        <pic:spPr>
                          <a:xfrm>
                            <a:off x="0" y="0"/>
                            <a:ext cx="1238250" cy="5143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1800*1200*750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 水性面漆：符合国家相关标准；符合国家相关标准；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3、水性底漆：符合国家相关标准；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工艺要求：①桌面：混色工艺，与书架风格呼应，桌面分为三段拼接，两端桌面板和桌脚材质为中密度纤维板（25mm厚）,新型全封闭包裹高分子树脂静电喷涂工艺（主要材料为树脂），通过静电将高分子树脂粉末直接均匀吸附在板表面，基材无裸露、无封边、无油漆、无异味，高环保,具有抗菌、防潮防水、耐高温、耐刮擦等特点。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②桌脚：桌脚与桌面45°拼接，5mm*5mm拼接工艺边。</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③挡板：挡板同桌面采用混色工艺风格统一。</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阅读灯：①灯体材质：铝合金（AL6063-T5）。②表面处理：粉末喷涂。③控光面罩材质：PS+PA。④发光角度：120度让灯光不会直射眼睛，确保舒适。⑤功率：30W（整灯）15W（单边）。⑥显色指效：大于90。⑦色温：4000K。电源：无频闪驱动电源，防眩光。</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阅览桌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38250" cy="514350"/>
                  <wp:effectExtent l="0" t="0" r="0" b="0"/>
                  <wp:docPr id="20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4" descr="IMG_279"/>
                          <pic:cNvPicPr>
                            <a:picLocks noChangeAspect="1"/>
                          </pic:cNvPicPr>
                        </pic:nvPicPr>
                        <pic:blipFill>
                          <a:blip r:embed="rId212"/>
                          <a:stretch>
                            <a:fillRect/>
                          </a:stretch>
                        </pic:blipFill>
                        <pic:spPr>
                          <a:xfrm>
                            <a:off x="0" y="0"/>
                            <a:ext cx="1238250" cy="5143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2700*1200*750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2、水性面漆：符合国家相关标准；符合国家相关标准；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3、水性底漆：符合国家相关标准；符合国家相关标准；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工艺：①桌面：要求采用混色工艺，与书架风格呼应，桌面分为三段拼接，中间面板采用水性油漆涂装工艺。两端桌面板和桌脚材质为中密度纤维板（25mm厚）,采用新型全封闭包裹高分子树脂静电喷涂工艺（主要材料为树脂），通过静电将高分子树脂粉末直接均匀吸附在板表面，板材360°全包覆、基材无裸露、无封边、无油漆、无异味，高环保,  具有抗菌、防潮防水、耐高温、耐刮擦等特点。 ②桌脚：桌脚与桌面45°拼接。③挡板：挡板同桌面采用混色工艺风格统一。</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阅读灯：①灯体材质：铝合金（AL6063-T5）。②表面处理：粉末喷涂。③控光面罩材质：PS+PA。④发光角度：120度让灯光不会直射眼睛，确保舒适。⑤功率：30W（整灯）15W（单边）。⑥显色指效：大于90。⑦色温：4000K。电源：无频闪驱动电源，防眩光。</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0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阅览椅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23975" cy="1466850"/>
                  <wp:effectExtent l="0" t="0" r="9525" b="0"/>
                  <wp:docPr id="20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5" descr="IMG_280"/>
                          <pic:cNvPicPr>
                            <a:picLocks noChangeAspect="1"/>
                          </pic:cNvPicPr>
                        </pic:nvPicPr>
                        <pic:blipFill>
                          <a:blip r:embed="rId204"/>
                          <a:stretch>
                            <a:fillRect/>
                          </a:stretch>
                        </pic:blipFill>
                        <pic:spPr>
                          <a:xfrm>
                            <a:off x="0" y="0"/>
                            <a:ext cx="1323975" cy="14668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1、西皮：采用优质西皮，符合国家相关标准；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3、喷胶：符合国家相关标准。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4、实木椅架：橡木或桦木实木框架，经过防虫、防腐特殊处理，确保坚固可靠，长期使用不松动、不腐朽。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5、优质环保油漆，密闭涂饰，符合国家相关标准。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4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成品定制书柜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33475" cy="981075"/>
                  <wp:effectExtent l="0" t="0" r="9525" b="9525"/>
                  <wp:docPr id="21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6" descr="IMG_281"/>
                          <pic:cNvPicPr>
                            <a:picLocks noChangeAspect="1"/>
                          </pic:cNvPicPr>
                        </pic:nvPicPr>
                        <pic:blipFill>
                          <a:blip r:embed="rId213"/>
                          <a:stretch>
                            <a:fillRect/>
                          </a:stretch>
                        </pic:blipFill>
                        <pic:spPr>
                          <a:xfrm>
                            <a:off x="0" y="0"/>
                            <a:ext cx="1133475" cy="9810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1000*350*1200定制家具：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4、五金件：间隙细小且均匀，平整无毛刺。①三合一连接件：符合国家相关标准。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成品定制书柜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800100"/>
                  <wp:effectExtent l="0" t="0" r="9525" b="0"/>
                  <wp:docPr id="25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7" descr="IMG_282"/>
                          <pic:cNvPicPr>
                            <a:picLocks noChangeAspect="1"/>
                          </pic:cNvPicPr>
                        </pic:nvPicPr>
                        <pic:blipFill>
                          <a:blip r:embed="rId214"/>
                          <a:stretch>
                            <a:fillRect/>
                          </a:stretch>
                        </pic:blipFill>
                        <pic:spPr>
                          <a:xfrm>
                            <a:off x="0" y="0"/>
                            <a:ext cx="1381125" cy="8001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1000*350*2900定制家具：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4、五金件：间隙细小且均匀，平整无毛刺。①三合一连接件：符合国家相关标准。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储物凳</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28700" cy="571500"/>
                  <wp:effectExtent l="0" t="0" r="0" b="0"/>
                  <wp:docPr id="242"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8" descr="IMG_283"/>
                          <pic:cNvPicPr>
                            <a:picLocks noChangeAspect="1"/>
                          </pic:cNvPicPr>
                        </pic:nvPicPr>
                        <pic:blipFill>
                          <a:blip r:embed="rId215"/>
                          <a:stretch>
                            <a:fillRect/>
                          </a:stretch>
                        </pic:blipFill>
                        <pic:spPr>
                          <a:xfrm>
                            <a:off x="0" y="0"/>
                            <a:ext cx="1028700" cy="5715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440*440*470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框架：优质橡胶木或桦木或松木、桦木框架，经过防虫、防腐特殊处理，确保坚固可靠，长期使用不松动、不腐朽。符合国家相关标准；木制件外观①贯通裂缝：无贯通裂缝，②虫蛀：木家具中无虫蛀现象，③腐朽材：外表无腐朽材，内表轻微腐朽面积不应超过零件面积的20%，④树脂囊：无树脂囊，⑤节子：无节子，⑥死节、孔洞、夹皮和树脂道、树胶道：无死节、孔洞、夹皮和树脂道、树胶道，⑦其他轻微缺陷：无其他轻微材质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36"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二层休息区、电子检索室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6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休闲沙发组合1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14450" cy="1209675"/>
                  <wp:effectExtent l="0" t="0" r="0" b="9525"/>
                  <wp:docPr id="24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9" descr="IMG_284"/>
                          <pic:cNvPicPr>
                            <a:picLocks noChangeAspect="1"/>
                          </pic:cNvPicPr>
                        </pic:nvPicPr>
                        <pic:blipFill>
                          <a:blip r:embed="rId216"/>
                          <a:stretch>
                            <a:fillRect/>
                          </a:stretch>
                        </pic:blipFill>
                        <pic:spPr>
                          <a:xfrm>
                            <a:off x="0" y="0"/>
                            <a:ext cx="1314450" cy="12096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以现场尺寸为准</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框架：优质橡胶木或桦木或松木、桦木框架，经过防虫、防腐特殊处理，确保坚固可靠，长期使用不松动、不腐朽。符合国家相关标准；木制件外观①贯通裂缝：无贯通裂缝，②虫蛀：木家具中无虫蛀现象，③腐朽材：外表无腐朽材，内表轻微腐朽面积不应超过零件面积的20%，④树脂囊：无树脂囊，⑤节子：无节子，⑥死节、孔洞、夹皮和树脂道、树胶道：无死节、孔洞、夹皮和树脂道、树胶道，⑦其他轻微缺陷：无其他轻微材质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5、五金件：蛇簧和尼龙带穿插编织，φ5mm高强度S形弹簧同高弹力绷带，金属件无脱层、裂缝。喷涂层：涂层无漏喷、锈蚀和脱色、掉色现象，涂层光滑均匀、色泽一致，无流挂、疙瘩、皱皮、飞漆等缺陷。</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休闲沙发组合2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904875"/>
                  <wp:effectExtent l="0" t="0" r="9525" b="9525"/>
                  <wp:docPr id="24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30" descr="IMG_285"/>
                          <pic:cNvPicPr>
                            <a:picLocks noChangeAspect="1"/>
                          </pic:cNvPicPr>
                        </pic:nvPicPr>
                        <pic:blipFill>
                          <a:blip r:embed="rId217"/>
                          <a:stretch>
                            <a:fillRect/>
                          </a:stretch>
                        </pic:blipFill>
                        <pic:spPr>
                          <a:xfrm>
                            <a:off x="0" y="0"/>
                            <a:ext cx="1381125" cy="9048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以现场尺寸为准</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框架：优质橡胶木或桦木框架，经过防虫、防腐特殊处理，确保坚固可靠，长期使用不松动、不腐朽。符合国家相关标准；木制件外观①贯通裂缝：无贯通裂缝，②虫蛀：木家具中无虫蛀现象，③腐朽材：外表无腐朽材，内表轻微腐朽面积不应超过零件面积的20%，④树脂囊：无树脂囊，⑤节子：无节子，⑥死节、孔洞、夹皮和树脂道、树胶道：无死节、孔洞、夹皮和树脂道、树胶道，⑦其他轻微缺陷：无其他轻微材质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5、五金件：蛇簧和尼龙带穿插编织，φ5mm高强度S形弹簧同高弹力绷带，金属件无脱层、裂缝。喷涂层：涂层无漏喷、锈蚀和脱色、掉色现象，涂层光滑均匀、色泽一致，无流挂、疙瘩、皱皮、飞漆等缺陷。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6、钢脚（钢管）：符合国家相关标准。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90600" cy="1066800"/>
                  <wp:effectExtent l="0" t="0" r="0" b="0"/>
                  <wp:docPr id="23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1" descr="IMG_286"/>
                          <pic:cNvPicPr>
                            <a:picLocks noChangeAspect="1"/>
                          </pic:cNvPicPr>
                        </pic:nvPicPr>
                        <pic:blipFill>
                          <a:blip r:embed="rId203"/>
                          <a:stretch>
                            <a:fillRect/>
                          </a:stretch>
                        </pic:blipFill>
                        <pic:spPr>
                          <a:xfrm>
                            <a:off x="0" y="0"/>
                            <a:ext cx="990600" cy="10668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φ750*650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4、钢脚（钢管）：符合国家相关标准。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7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圆凳</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838200" cy="923925"/>
                  <wp:effectExtent l="0" t="0" r="0" b="9525"/>
                  <wp:docPr id="25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32" descr="IMG_287"/>
                          <pic:cNvPicPr>
                            <a:picLocks noChangeAspect="1"/>
                          </pic:cNvPicPr>
                        </pic:nvPicPr>
                        <pic:blipFill>
                          <a:blip r:embed="rId218"/>
                          <a:stretch>
                            <a:fillRect/>
                          </a:stretch>
                        </pic:blipFill>
                        <pic:spPr>
                          <a:xfrm>
                            <a:off x="0" y="0"/>
                            <a:ext cx="838200" cy="9239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φ450*450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框架：优质橡胶木或桦木或松木、桦木框架，经过防虫、防腐特殊处理，确保坚固可靠，长期使用不松动、不腐朽。符合国家相关标准；木制件外观①贯通裂缝：无贯通裂缝，②虫蛀：木家具中无虫蛀现象，③腐朽材：外表无腐朽材，内表轻微腐朽面积不应超过零件面积的20%，④树脂囊：无树脂囊，⑤节子：无节子，⑥死节、孔洞、夹皮和树脂道、树胶道：无死节、孔洞、夹皮和树脂道、树胶道，⑦其他轻微缺陷：无其他轻微材质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57275" cy="1047750"/>
                  <wp:effectExtent l="0" t="0" r="9525" b="0"/>
                  <wp:docPr id="24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3" descr="IMG_288"/>
                          <pic:cNvPicPr>
                            <a:picLocks noChangeAspect="1"/>
                          </pic:cNvPicPr>
                        </pic:nvPicPr>
                        <pic:blipFill>
                          <a:blip r:embed="rId219"/>
                          <a:stretch>
                            <a:fillRect/>
                          </a:stretch>
                        </pic:blipFill>
                        <pic:spPr>
                          <a:xfrm>
                            <a:off x="0" y="0"/>
                            <a:ext cx="1057275" cy="10477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1、西皮：采用优质西皮，符合国家相关标准；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2、曲木板：座垫采用多层曲木板热压成型，符合国家相关标准。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5、底盘机构：符合国家相关标准；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6、气压棒：优质气压棒，升降自如，符合国家相关标准。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8、五金脚：固定五星脚架，符合国家相关标准。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二层办公室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5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1028700"/>
                  <wp:effectExtent l="0" t="0" r="9525" b="0"/>
                  <wp:docPr id="22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4" descr="IMG_289"/>
                          <pic:cNvPicPr>
                            <a:picLocks noChangeAspect="1"/>
                          </pic:cNvPicPr>
                        </pic:nvPicPr>
                        <pic:blipFill>
                          <a:blip r:embed="rId220"/>
                          <a:stretch>
                            <a:fillRect/>
                          </a:stretch>
                        </pic:blipFill>
                        <pic:spPr>
                          <a:xfrm>
                            <a:off x="0" y="0"/>
                            <a:ext cx="1381125" cy="10287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1600*800*750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4、五金件：①三合一连接件：符合国家相关标准，。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5、钢脚（钢管）：优质钢材，一体成型压制成钢管，符合国家相关标准。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高柜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1485900"/>
                  <wp:effectExtent l="0" t="0" r="9525" b="0"/>
                  <wp:docPr id="24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5" descr="IMG_290"/>
                          <pic:cNvPicPr>
                            <a:picLocks noChangeAspect="1"/>
                          </pic:cNvPicPr>
                        </pic:nvPicPr>
                        <pic:blipFill>
                          <a:blip r:embed="rId221"/>
                          <a:stretch>
                            <a:fillRect/>
                          </a:stretch>
                        </pic:blipFill>
                        <pic:spPr>
                          <a:xfrm>
                            <a:off x="0" y="0"/>
                            <a:ext cx="1381125" cy="14859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800*400*2000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4、五金件：品牌五金配件，五金配件紧密拼接，牢固；①三合一连接件：符合国家相关标准。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5、玻璃柜门：优质钢化玻璃，符合国家相关标准；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62025" cy="1514475"/>
                  <wp:effectExtent l="0" t="0" r="9525" b="9525"/>
                  <wp:docPr id="25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36" descr="IMG_291"/>
                          <pic:cNvPicPr>
                            <a:picLocks noChangeAspect="1"/>
                          </pic:cNvPicPr>
                        </pic:nvPicPr>
                        <pic:blipFill>
                          <a:blip r:embed="rId222"/>
                          <a:stretch>
                            <a:fillRect/>
                          </a:stretch>
                        </pic:blipFill>
                        <pic:spPr>
                          <a:xfrm>
                            <a:off x="0" y="0"/>
                            <a:ext cx="962025" cy="15144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3、曲木板：座垫采用多层曲木板热压成型，符合国家相关标准。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6、底盘机构：符合国家相关标准；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7、气压棒：优质气压棒，升降自如，符合国家相关标准；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8、五金脚：符合国家相关标准；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9、万向脚轮：符合国家相关标准；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10、颜色可选。</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储物柜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1485900"/>
                  <wp:effectExtent l="0" t="0" r="9525" b="0"/>
                  <wp:docPr id="24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7" descr="IMG_292"/>
                          <pic:cNvPicPr>
                            <a:picLocks noChangeAspect="1"/>
                          </pic:cNvPicPr>
                        </pic:nvPicPr>
                        <pic:blipFill>
                          <a:blip r:embed="rId221"/>
                          <a:stretch>
                            <a:fillRect/>
                          </a:stretch>
                        </pic:blipFill>
                        <pic:spPr>
                          <a:xfrm>
                            <a:off x="0" y="0"/>
                            <a:ext cx="1381125" cy="14859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3500*400*2000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4、五金件：品牌五金配件，五金配件紧密拼接，牢固；①三合一连接件：符合国家相关标准。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5、玻璃柜门：优质钢化玻璃，符合国家相关标准；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1"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图书馆3-8层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双面书架</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1200150"/>
                  <wp:effectExtent l="0" t="0" r="9525" b="0"/>
                  <wp:docPr id="237"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38" descr="IMG_293"/>
                          <pic:cNvPicPr>
                            <a:picLocks noChangeAspect="1"/>
                          </pic:cNvPicPr>
                        </pic:nvPicPr>
                        <pic:blipFill>
                          <a:blip r:embed="rId223"/>
                          <a:stretch>
                            <a:fillRect/>
                          </a:stretch>
                        </pic:blipFill>
                        <pic:spPr>
                          <a:xfrm>
                            <a:off x="0" y="0"/>
                            <a:ext cx="1381125" cy="12001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950*600*2200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1、基材：实木多层板环保等级优于E0级，符合国家相关标准。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2、优质环保油漆：符合国家相关标准。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3、面材：浸渍胶膜纸饰面板；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4、激光封边条：采用优质环保ABS封边条，符合国家相关标准；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5、五金件：间隙细小且均匀，平整无毛刺；①三合一连接件：符合国家相关标准。                                                                                                                                                           </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784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6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3-5层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阅览桌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942975"/>
                  <wp:effectExtent l="0" t="0" r="9525" b="9525"/>
                  <wp:docPr id="24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39" descr="IMG_294"/>
                          <pic:cNvPicPr>
                            <a:picLocks noChangeAspect="1"/>
                          </pic:cNvPicPr>
                        </pic:nvPicPr>
                        <pic:blipFill>
                          <a:blip r:embed="rId224"/>
                          <a:stretch>
                            <a:fillRect/>
                          </a:stretch>
                        </pic:blipFill>
                        <pic:spPr>
                          <a:xfrm>
                            <a:off x="0" y="0"/>
                            <a:ext cx="1381125" cy="9429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1800*1200*750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 水性面漆：符合国家相关标准；符合国家相关标准；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3、水性底漆：符合国家相关标准；符合国家相关标准；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工艺要求：①桌面：混色工艺，与书架风格呼应，桌面分为三段拼接，两端桌面板和桌脚材质为中密度纤维板（25mm厚）,新型全封闭包裹高分子树脂静电喷涂工艺（主要材料为树脂），通过静电将高分子树脂粉末直接均匀吸附在板表面，基材无裸露、无封边、无油漆、无异味，高环保,具有抗菌、防潮防水、耐高温、耐刮擦等特点。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②桌脚：桌脚与桌面45°拼接，5mm*5mm拼接工艺边。</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③挡板：挡板同桌面采用混色工艺风格统一。</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7、阅读灯：①灯体材质：铝合金（AL6063-T5）。②表面处理：粉末喷涂。③控光面罩材质：PS+PA。④发光角度：120度让灯光不会直射眼睛，确保舒适。⑤功率：30W（整灯）15W（单边）。⑥显色指效：大于90。⑦色温：4000K。电源：无频闪驱动电源。防眩光。                                                                      </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97</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3-5层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阅览桌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942975"/>
                  <wp:effectExtent l="0" t="0" r="9525" b="9525"/>
                  <wp:docPr id="24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0" descr="IMG_295"/>
                          <pic:cNvPicPr>
                            <a:picLocks noChangeAspect="1"/>
                          </pic:cNvPicPr>
                        </pic:nvPicPr>
                        <pic:blipFill>
                          <a:blip r:embed="rId224"/>
                          <a:stretch>
                            <a:fillRect/>
                          </a:stretch>
                        </pic:blipFill>
                        <pic:spPr>
                          <a:xfrm>
                            <a:off x="0" y="0"/>
                            <a:ext cx="1381125" cy="9429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2700*1200*750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 水性面漆：符合国家相关标准；符合国家相关标准；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3、水性底漆：符合国家相关标准；符合国家相关标准；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工艺要求：①桌面：混色工艺，与书架风格呼应，桌面分为三段拼接，两端桌面板和桌脚材质为中密度纤维板（25mm厚）,新型全封闭包裹高分子树脂静电喷涂工艺（主要材料为树脂），通过静电将高分子树脂粉末直接均匀吸附在板表面，基材无裸露、无封边、无油漆、无异味，高环保,具有抗菌、防潮防水、耐高温、耐刮擦等特点。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②桌脚：桌脚与桌面45°拼接，5mm*5mm拼接工艺边。</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③挡板：挡板同桌面采用混色工艺风格统一。</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阅读灯：①灯体材质：铝合金（AL6063-T5）。②表面处理：粉末喷涂。③控光面罩材质：PS+PA。④发光角度：120度让灯光不会直射眼睛，确保舒适。⑤功率：30W（整灯）15W（单边）。⑥显色指效：大于90。⑦色温：4000K。电源：无频闪驱动电源。防眩光。</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6-8层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阅览桌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（提供样品）</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1028700"/>
                  <wp:effectExtent l="0" t="0" r="9525" b="0"/>
                  <wp:docPr id="249"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41" descr="IMG_296"/>
                          <pic:cNvPicPr>
                            <a:picLocks noChangeAspect="1"/>
                          </pic:cNvPicPr>
                        </pic:nvPicPr>
                        <pic:blipFill>
                          <a:blip r:embed="rId225"/>
                          <a:stretch>
                            <a:fillRect/>
                          </a:stretch>
                        </pic:blipFill>
                        <pic:spPr>
                          <a:xfrm>
                            <a:off x="0" y="0"/>
                            <a:ext cx="1381125" cy="10287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1800*1200*750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 水性面漆：符合国家相关标准；符合国家相关标准；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3、水性底漆：符合国家相关标准；符合国家相关标准；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工艺：①桌面：正面导斜边,采用混色工艺，与书架风格呼应，桌面分为三段拼接，中间面板采用水性油漆涂装工艺;两端桌面板和桌脚材质为中密度纤维板（25mm厚）,采用新型全封闭包裹高分子树脂静电喷涂工艺（主要材料为树脂），通过静电将高分子树脂粉末直接均匀吸附在板表面，基材无裸露、无封边、无油漆、无异味，高环保,  具有抗菌、防潮防水、耐高温、耐刮擦等特点。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②桌脚：优质钢材，一体成型压制成钢管，符合国家相关标准；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阅读灯：①灯体材质：铝合金（AL6063-T5）。②表面处理：粉末喷涂。③控光面罩材质：PS+PA。④发光角度：120度让灯光不会直射眼睛，确保舒适。⑤功率：30W（整灯）15W（单边）。⑥显色指效：大于90。⑦色温：4000K。电源：无频闪驱动电源。防眩光。</w:t>
            </w:r>
          </w:p>
        </w:tc>
        <w:tc>
          <w:tcPr>
            <w:tcW w:w="454"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6-8层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阅览桌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1028700"/>
                  <wp:effectExtent l="0" t="0" r="9525" b="0"/>
                  <wp:docPr id="25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2" descr="IMG_297"/>
                          <pic:cNvPicPr>
                            <a:picLocks noChangeAspect="1"/>
                          </pic:cNvPicPr>
                        </pic:nvPicPr>
                        <pic:blipFill>
                          <a:blip r:embed="rId225"/>
                          <a:stretch>
                            <a:fillRect/>
                          </a:stretch>
                        </pic:blipFill>
                        <pic:spPr>
                          <a:xfrm>
                            <a:off x="0" y="0"/>
                            <a:ext cx="1381125" cy="10287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2700*1200*750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 水性面漆：符合国家相关标准；符合国家相关标准；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3、水性底漆：符合国家相关标准；符合国家相关标准；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工艺：①桌面：正面导斜边,采用混色工艺，与书架风格呼应，桌面分为三段拼接，中间面板采用水性油漆涂装工艺;两端桌面板和桌脚材质为中密度纤维板（25mm厚）,采用新型全封闭包裹高分子树脂静电喷涂工艺（主要材料为树脂），通过静电将高分子树脂粉末直接均匀吸附在板表面，基材无裸露、无封边、无油漆、无异味，高环保,  具有抗菌、防潮防水、耐高温、耐刮擦等特点。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②桌脚：优质钢材，一体成型压制成钢管，符合国家相关标准；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阅读灯：①灯体材质：铝合金（AL6063-T5）。②表面处理：粉末喷涂。③控光面罩材质：PS+PA。④发光角度：120度让灯光不会直射眼睛，确保舒适。⑤功率：30W（整灯）15W（单边）。⑥显色指效：大于90。⑦色温：4000K。电源：无频闪驱动电源。防眩光。</w:t>
            </w:r>
          </w:p>
        </w:tc>
        <w:tc>
          <w:tcPr>
            <w:tcW w:w="454"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2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3-5层阅览椅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23975" cy="1466850"/>
                  <wp:effectExtent l="0" t="0" r="9525" b="0"/>
                  <wp:docPr id="25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3" descr="IMG_298"/>
                          <pic:cNvPicPr>
                            <a:picLocks noChangeAspect="1"/>
                          </pic:cNvPicPr>
                        </pic:nvPicPr>
                        <pic:blipFill>
                          <a:blip r:embed="rId204"/>
                          <a:stretch>
                            <a:fillRect/>
                          </a:stretch>
                        </pic:blipFill>
                        <pic:spPr>
                          <a:xfrm>
                            <a:off x="0" y="0"/>
                            <a:ext cx="1323975" cy="14668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1、西皮：采用优质西皮，符合国家相关标准；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3、喷胶：符合国家相关标准。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4、实木椅架：橡木或桦木实木框架，经过防虫、防腐特殊处理，确保坚固可靠，长期使用不松动、不腐朽。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5、采用优质水性面/底漆，符合国家相关标准；                                                                      </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466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9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6-8层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阅览椅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09650" cy="1371600"/>
                  <wp:effectExtent l="0" t="0" r="0" b="0"/>
                  <wp:docPr id="25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4" descr="IMG_299"/>
                          <pic:cNvPicPr>
                            <a:picLocks noChangeAspect="1"/>
                          </pic:cNvPicPr>
                        </pic:nvPicPr>
                        <pic:blipFill>
                          <a:blip r:embed="rId226"/>
                          <a:stretch>
                            <a:fillRect/>
                          </a:stretch>
                        </pic:blipFill>
                        <pic:spPr>
                          <a:xfrm>
                            <a:off x="0" y="0"/>
                            <a:ext cx="1009650" cy="13716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1、西皮：采用优质西皮，符合国家相关标准；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3、喷胶：符合国家相关标准。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4、实木椅架：橡木或桦木实木框架，经过防虫、防腐特殊处理，确保坚固可靠，长期使用不松动、不腐朽。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5、采用优质水性面/底漆，符合国家相关标准；                                                                      </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476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90600" cy="1066800"/>
                  <wp:effectExtent l="0" t="0" r="0" b="0"/>
                  <wp:docPr id="224"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5" descr="IMG_300"/>
                          <pic:cNvPicPr>
                            <a:picLocks noChangeAspect="1"/>
                          </pic:cNvPicPr>
                        </pic:nvPicPr>
                        <pic:blipFill>
                          <a:blip r:embed="rId203"/>
                          <a:stretch>
                            <a:fillRect/>
                          </a:stretch>
                        </pic:blipFill>
                        <pic:spPr>
                          <a:xfrm>
                            <a:off x="0" y="0"/>
                            <a:ext cx="990600" cy="10668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φ600*750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2、热熔胶：符合国家相关标准。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4、钢脚（钢管）：符合国家相关标准。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27</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71575" cy="1581150"/>
                  <wp:effectExtent l="0" t="0" r="9525" b="0"/>
                  <wp:docPr id="229"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46" descr="IMG_301"/>
                          <pic:cNvPicPr>
                            <a:picLocks noChangeAspect="1"/>
                          </pic:cNvPicPr>
                        </pic:nvPicPr>
                        <pic:blipFill>
                          <a:blip r:embed="rId202"/>
                          <a:stretch>
                            <a:fillRect/>
                          </a:stretch>
                        </pic:blipFill>
                        <pic:spPr>
                          <a:xfrm>
                            <a:off x="0" y="0"/>
                            <a:ext cx="1171575" cy="15811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1、椅身：聚丙烯添加防静电剂（聚乙醇酯）原色颗粒塑料；</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2、材质：100%全新家具专用环保工程塑料生产；</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3、工艺：抗老化，超强防紫外线，五年内无褪色保证，耐磨损易清洁；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4、面料：环保面料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6、椅脚：橡木或桦木实木框架，经过防虫、防腐特殊处理，确保坚固可靠，长期使用不松动、不腐朽。</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3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成品定制书柜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33500" cy="438150"/>
                  <wp:effectExtent l="0" t="0" r="0" b="0"/>
                  <wp:docPr id="225"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7" descr="IMG_302"/>
                          <pic:cNvPicPr>
                            <a:picLocks noChangeAspect="1"/>
                          </pic:cNvPicPr>
                        </pic:nvPicPr>
                        <pic:blipFill>
                          <a:blip r:embed="rId227"/>
                          <a:stretch>
                            <a:fillRect/>
                          </a:stretch>
                        </pic:blipFill>
                        <pic:spPr>
                          <a:xfrm>
                            <a:off x="0" y="0"/>
                            <a:ext cx="1333500" cy="4381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1000*350*3200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4、五金件：品牌五金配件，五金配件紧密拼接，牢固。①三合一连接件：符合国家相关标准；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5、受力板做加厚处理，厚度不小于35mm。</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单人半</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隐私沙发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47775" cy="923925"/>
                  <wp:effectExtent l="0" t="0" r="9525" b="9525"/>
                  <wp:docPr id="23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48" descr="IMG_303"/>
                          <pic:cNvPicPr>
                            <a:picLocks noChangeAspect="1"/>
                          </pic:cNvPicPr>
                        </pic:nvPicPr>
                        <pic:blipFill>
                          <a:blip r:embed="rId209"/>
                          <a:stretch>
                            <a:fillRect/>
                          </a:stretch>
                        </pic:blipFill>
                        <pic:spPr>
                          <a:xfrm>
                            <a:off x="0" y="0"/>
                            <a:ext cx="1247775" cy="9239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800*750*435</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框架：优质橡胶木或桦木框架，经过防虫、防腐特殊处理，确保坚固可靠，长期使用不松动、不腐朽。符合国家相关标准；木制件外观①贯通裂缝：无贯通裂缝，②虫蛀：木家具中无虫蛀现象，③腐朽材：外表无腐朽材，内表轻微腐朽面积不应超过零件面积的20%，④树脂囊：无树脂囊，⑤节子：无节子，⑥死节、孔洞、夹皮和树脂道、树胶道：无死节、孔洞、夹皮和树脂道、树胶道，⑦其他轻微缺陷：无其他轻微材质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5、五金件：蛇簧和尼龙带穿插编织，φ5mm高强度S形弹簧同高弹力绷带，金属件无脱层、裂缝。喷涂层：涂层光滑均匀、色泽一致。                                                                                                                                              6、可折叠屏风：聚酰胺添加玻璃纤维弹性塑料材质，双层编织网，半透明的材质；可旋转折叠收纳，折叠范围在0-180°，带有一定的吸音效果。                                                                                                                                                  </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17</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双人半隐私沙发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95375" cy="971550"/>
                  <wp:effectExtent l="0" t="0" r="9525" b="0"/>
                  <wp:docPr id="22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9" descr="IMG_304"/>
                          <pic:cNvPicPr>
                            <a:picLocks noChangeAspect="1"/>
                          </pic:cNvPicPr>
                        </pic:nvPicPr>
                        <pic:blipFill>
                          <a:blip r:embed="rId208"/>
                          <a:stretch>
                            <a:fillRect/>
                          </a:stretch>
                        </pic:blipFill>
                        <pic:spPr>
                          <a:xfrm>
                            <a:off x="0" y="0"/>
                            <a:ext cx="1095375" cy="9715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1600*750*1500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框架：优质橡胶木或桦木框架，经过防虫、防腐特殊处理，确保坚固可靠，长期使用不松动、不腐朽。符合国家相关标准；木制件外观①贯通裂缝：无贯通裂缝，②虫蛀：木家具中无虫蛀现象，③腐朽材：外表无腐朽材，内表轻微腐朽面积不应超过零件面积的20%，④树脂囊：无树脂囊，⑤节子：无节子，⑥死节、孔洞、夹皮和树脂道、树胶道：无死节、孔洞、夹皮和树脂道、树胶道，⑦其他轻微缺陷：无其他轻微材质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5、五金件：蛇簧和尼龙带穿插编织，φ5mm高强度S形弹簧同高弹力绷带，金属件无脱层、裂缝。喷涂层：涂层，涂层光滑均匀、色泽一致。</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茶几</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81100" cy="1009650"/>
                  <wp:effectExtent l="0" t="0" r="0" b="0"/>
                  <wp:docPr id="235"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50" descr="IMG_305"/>
                          <pic:cNvPicPr>
                            <a:picLocks noChangeAspect="1"/>
                          </pic:cNvPicPr>
                        </pic:nvPicPr>
                        <pic:blipFill>
                          <a:blip r:embed="rId228"/>
                          <a:stretch>
                            <a:fillRect/>
                          </a:stretch>
                        </pic:blipFill>
                        <pic:spPr>
                          <a:xfrm>
                            <a:off x="0" y="0"/>
                            <a:ext cx="1181100" cy="10096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φ1000*750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2、基材：采用E0级中密度纤维板，符合国家相关标准；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3、油漆：采用优质水性面/底漆，符合国家相关标准；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4、水基型胶黏剂：符合国家相关标准。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5、五金配件：三合一连接件：符合国家相关标准。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长茶几</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43025" cy="933450"/>
                  <wp:effectExtent l="0" t="0" r="9525" b="0"/>
                  <wp:docPr id="228"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51" descr="IMG_306"/>
                          <pic:cNvPicPr>
                            <a:picLocks noChangeAspect="1"/>
                          </pic:cNvPicPr>
                        </pic:nvPicPr>
                        <pic:blipFill>
                          <a:blip r:embed="rId210"/>
                          <a:stretch>
                            <a:fillRect/>
                          </a:stretch>
                        </pic:blipFill>
                        <pic:spPr>
                          <a:xfrm>
                            <a:off x="0" y="0"/>
                            <a:ext cx="1343025" cy="9334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1000*600*450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2、基材：采用E0级中密度纤维板，符合国家相关标准；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3、油漆：采用优质水性面/底漆，符合国家相关标准；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4、水基型胶黏剂：符合国家相关标准。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5、钢脚（钢管）：符合国家相关标准。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47750" cy="1428750"/>
                  <wp:effectExtent l="0" t="0" r="0" b="0"/>
                  <wp:docPr id="23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2" descr="IMG_307"/>
                          <pic:cNvPicPr>
                            <a:picLocks noChangeAspect="1"/>
                          </pic:cNvPicPr>
                        </pic:nvPicPr>
                        <pic:blipFill>
                          <a:blip r:embed="rId229"/>
                          <a:stretch>
                            <a:fillRect/>
                          </a:stretch>
                        </pic:blipFill>
                        <pic:spPr>
                          <a:xfrm>
                            <a:off x="0" y="0"/>
                            <a:ext cx="1047750" cy="14287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1、西皮：采用优质西皮，符合国家相关标准；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2、曲木板：座垫采用多层曲木板热压成型，符合国家相关标准。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机构：符合国家相关标准，力学性能【倾斜机构（耐久性）：1、座椅零部件无断裂和豁裂现象；2、加载部位无明显变形；3、座椅结构无松动；4、试件试验期间没有发出清晰可辨的噪声；5、升降机构和螺旋机构无失灵；6、螺丝等零配件无明显松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6、气压棒：优质气压棒，升降自如，符合国家相关标准。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7、五金脚：固定五星脚架，符合国家相关标准；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单人静音仓</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552450" cy="847725"/>
                  <wp:effectExtent l="0" t="0" r="0" b="9525"/>
                  <wp:docPr id="230"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53" descr="IMG_308"/>
                          <pic:cNvPicPr>
                            <a:picLocks noChangeAspect="1"/>
                          </pic:cNvPicPr>
                        </pic:nvPicPr>
                        <pic:blipFill>
                          <a:blip r:embed="rId211"/>
                          <a:stretch>
                            <a:fillRect/>
                          </a:stretch>
                        </pic:blipFill>
                        <pic:spPr>
                          <a:xfrm>
                            <a:off x="0" y="0"/>
                            <a:ext cx="552450" cy="8477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1000*950*2300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1、基本功能：可调节换气量大小，电控开关灯；标准用电：1强电2USB；内部材质：吸音软毛毡；磁吸门，环保地毯，吧台高度桌板，四角金属扣件及边框支撑立柱 ，采用航空铝材静电喷粉涂装。</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2、换气量：符合国家相关标准；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3、隔音性：符合国家相关标准；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4、环保排放：达到E0级标准。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5、照明：舱室4000K自然光色温LED中央照明系统，标配150LSX。</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6、沙发：对坐沙发，采用品牌环保布饰面，经过防火、防污、抗菌、抗静电、耐色牢度、抗强度等加工处理。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7、讨论桌：品牌优质刨花板，表面采用品牌防火板贴面，抗划伤、耐磨、耐酸碱、耐烟灼、防火、不易褪色、易清洁。书写桌尺寸，桌板厚度≥18mm。</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19</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17</w:t>
            </w:r>
          </w:p>
        </w:tc>
        <w:tc>
          <w:tcPr>
            <w:tcW w:w="79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多人静音仓</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42975" cy="1266825"/>
                  <wp:effectExtent l="0" t="0" r="9525" b="9525"/>
                  <wp:docPr id="23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4" descr="IMG_309"/>
                          <pic:cNvPicPr>
                            <a:picLocks noChangeAspect="1"/>
                          </pic:cNvPicPr>
                        </pic:nvPicPr>
                        <pic:blipFill>
                          <a:blip r:embed="rId230"/>
                          <a:stretch>
                            <a:fillRect/>
                          </a:stretch>
                        </pic:blipFill>
                        <pic:spPr>
                          <a:xfrm>
                            <a:off x="0" y="0"/>
                            <a:ext cx="942975" cy="12668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2200*2100*2300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1、基本功能：可调节换气量大小，电控开关灯；标准用电：1强电2USB；内部材质：吸音软毛毡；磁吸门，环保地毯，吧台高度桌板，四角金属扣件及边框支撑立柱 ，采用航空铝材静电喷粉涂装。</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2、换气量：符合国家相关标准；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3、隔音性：符合国家相关标准；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4、环保排放：达到E0级标准。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5、照明：舱室4000K自然光色温LED中央照明系统，标配150LSX。</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6、沙发：对坐沙发，采用品牌环保布饰面，经过防火、防污、抗菌、抗静电、耐色牢度、抗强度等加工处理。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7、讨论桌：品牌优质刨花板，表面采用品牌防火板贴面，抗划伤、耐磨、耐酸碱、耐烟灼、防火、不易褪色、易清洁。书写桌尺寸，桌板厚度≥18mm。</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w:t>
            </w:r>
          </w:p>
        </w:tc>
        <w:tc>
          <w:tcPr>
            <w:tcW w:w="790"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42975" cy="1266825"/>
                  <wp:effectExtent l="0" t="0" r="9525" b="9525"/>
                  <wp:docPr id="234"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55" descr="IMG_310"/>
                          <pic:cNvPicPr>
                            <a:picLocks noChangeAspect="1"/>
                          </pic:cNvPicPr>
                        </pic:nvPicPr>
                        <pic:blipFill>
                          <a:blip r:embed="rId230"/>
                          <a:stretch>
                            <a:fillRect/>
                          </a:stretch>
                        </pic:blipFill>
                        <pic:spPr>
                          <a:xfrm>
                            <a:off x="0" y="0"/>
                            <a:ext cx="942975" cy="12668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1500*1200*2300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1、基本功能：可调节换气量大小，电控开关灯；标准用电：1强电2USB；内部材质：吸音软毛毡；磁吸门，环保地毯，吧台高度桌板，四角金属扣件及边框支撑立柱 ，采用航空铝材静电喷粉涂装。</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2、换气量：符合国家相关标准；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3、隔音性：符合国家相关标准；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4、环保排放：达到E0级标准。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5、照明：舱室4000K自然光色温LED中央照明系统，标配150LSX。</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6、沙发：对坐沙发，采用品牌环保布饰面，经过防火、防污、抗菌、抗静电、耐色牢度、抗强度等加工处理。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7、讨论桌：品牌优质刨花板，表面采用品牌防火板贴面，抗划伤、耐磨、耐酸碱、耐烟灼、防火、不易褪色、易清洁。书写桌尺寸，桌板厚度≥18mm。</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9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85875" cy="1000125"/>
                  <wp:effectExtent l="0" t="0" r="9525" b="9525"/>
                  <wp:docPr id="23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56" descr="IMG_311"/>
                          <pic:cNvPicPr>
                            <a:picLocks noChangeAspect="1"/>
                          </pic:cNvPicPr>
                        </pic:nvPicPr>
                        <pic:blipFill>
                          <a:blip r:embed="rId231"/>
                          <a:stretch>
                            <a:fillRect/>
                          </a:stretch>
                        </pic:blipFill>
                        <pic:spPr>
                          <a:xfrm>
                            <a:off x="0" y="0"/>
                            <a:ext cx="1285875" cy="10001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1600*800*750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2、基材：采用E0级中密度纤维板，符合国家相关标准；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3、油漆：采用优质水性面/底漆，符合国家相关标准；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4、水基型胶黏剂：符合国家相关标准。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5、五金配件：①三合一连接件：符合国家相关标准。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3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62025" cy="1514475"/>
                  <wp:effectExtent l="0" t="0" r="9525" b="9525"/>
                  <wp:docPr id="239"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57" descr="IMG_312"/>
                          <pic:cNvPicPr>
                            <a:picLocks noChangeAspect="1"/>
                          </pic:cNvPicPr>
                        </pic:nvPicPr>
                        <pic:blipFill>
                          <a:blip r:embed="rId222"/>
                          <a:stretch>
                            <a:fillRect/>
                          </a:stretch>
                        </pic:blipFill>
                        <pic:spPr>
                          <a:xfrm>
                            <a:off x="0" y="0"/>
                            <a:ext cx="962025" cy="15144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3、曲木板：座垫采用多层曲木板热压成型，符合国家相关标准。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6、底盘机构：符合国家相关标准；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7、气压棒：优质气压棒，升降自如，符合国家相关标准；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8、五金脚：符合国家相关标准；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9、万向脚轮：符合国家相关标准；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10、颜色可选。</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2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异性沙发1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28725" cy="695325"/>
                  <wp:effectExtent l="0" t="0" r="9525" b="9525"/>
                  <wp:docPr id="240"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58" descr="IMG_313"/>
                          <pic:cNvPicPr>
                            <a:picLocks noChangeAspect="1"/>
                          </pic:cNvPicPr>
                        </pic:nvPicPr>
                        <pic:blipFill>
                          <a:blip r:embed="rId232"/>
                          <a:stretch>
                            <a:fillRect/>
                          </a:stretch>
                        </pic:blipFill>
                        <pic:spPr>
                          <a:xfrm>
                            <a:off x="0" y="0"/>
                            <a:ext cx="1228725" cy="6953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以现场尺寸为准</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3、曲木板：座垫采用11.8mm多层曲木板热压成型，符合国家相关标准。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5、实木椅架：采用橡木或桦木实木框架，经过防虫、防腐特殊处理，确保坚固可靠，长期使用不松动、不腐朽。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6、油漆：优质环保油漆，符合国家相关标准。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7、五金配件：三合一连接件：符合国家相关标准。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异性沙发2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819150"/>
                  <wp:effectExtent l="0" t="0" r="9525" b="0"/>
                  <wp:docPr id="256"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59" descr="IMG_314"/>
                          <pic:cNvPicPr>
                            <a:picLocks noChangeAspect="1"/>
                          </pic:cNvPicPr>
                        </pic:nvPicPr>
                        <pic:blipFill>
                          <a:blip r:embed="rId233"/>
                          <a:stretch>
                            <a:fillRect/>
                          </a:stretch>
                        </pic:blipFill>
                        <pic:spPr>
                          <a:xfrm>
                            <a:off x="0" y="0"/>
                            <a:ext cx="1381125" cy="8191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以现场尺寸为准</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3、曲木板：座垫采用11.8mm多层曲木板热压成型，符合国家相关标准。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5、实木椅架：采用橡木或桦木实木框架，经过防虫、防腐特殊处理，确保坚固可靠，长期使用不松动、不腐朽。符合国家相关标准；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6、油漆：优质环保油漆，符合国家相关标准。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7、五金配件：三合一连接件：符合国家相关标准。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2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71575" cy="1581150"/>
                  <wp:effectExtent l="0" t="0" r="9525" b="0"/>
                  <wp:docPr id="259"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60" descr="IMG_315"/>
                          <pic:cNvPicPr>
                            <a:picLocks noChangeAspect="1"/>
                          </pic:cNvPicPr>
                        </pic:nvPicPr>
                        <pic:blipFill>
                          <a:blip r:embed="rId202"/>
                          <a:stretch>
                            <a:fillRect/>
                          </a:stretch>
                        </pic:blipFill>
                        <pic:spPr>
                          <a:xfrm>
                            <a:off x="0" y="0"/>
                            <a:ext cx="1171575" cy="15811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1、椅身：聚丙烯添加防静电剂（聚乙醇酯）原色颗粒塑料；</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2、材质：100%全新家具专用环保工程塑料生产；</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3、工艺：抗老化，超强防紫外线，五年内无褪色保证，耐磨损易清洁；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4、面料：环保面料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6、椅脚：橡木或桦木实木框架，经过防虫、防腐特殊处理，确保坚固可靠，长期使用不松动、不腐朽。符合国家相关标准；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5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w:t>
            </w:r>
          </w:p>
        </w:tc>
        <w:tc>
          <w:tcPr>
            <w:tcW w:w="79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吧台</w:t>
            </w:r>
          </w:p>
        </w:tc>
        <w:tc>
          <w:tcPr>
            <w:tcW w:w="25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47775" cy="1047750"/>
                  <wp:effectExtent l="0" t="0" r="9525" b="0"/>
                  <wp:docPr id="257"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61" descr="IMG_316"/>
                          <pic:cNvPicPr>
                            <a:picLocks noChangeAspect="1"/>
                          </pic:cNvPicPr>
                        </pic:nvPicPr>
                        <pic:blipFill>
                          <a:blip r:embed="rId234"/>
                          <a:stretch>
                            <a:fillRect/>
                          </a:stretch>
                        </pic:blipFill>
                        <pic:spPr>
                          <a:xfrm>
                            <a:off x="0" y="0"/>
                            <a:ext cx="1247775" cy="10477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4700*2400*1050</w:t>
            </w:r>
          </w:p>
        </w:tc>
        <w:tc>
          <w:tcPr>
            <w:tcW w:w="7556"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4、五金件：间隙细小且均匀，平整无毛刺。三合一连接件：符合国家相关标准。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5、钢脚（钢管）：符合国家相关标准。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25</w:t>
            </w:r>
          </w:p>
        </w:tc>
        <w:tc>
          <w:tcPr>
            <w:tcW w:w="790"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2576"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10000*450*1050</w:t>
            </w:r>
          </w:p>
        </w:tc>
        <w:tc>
          <w:tcPr>
            <w:tcW w:w="7556" w:type="dxa"/>
            <w:vMerge w:val="continue"/>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26</w:t>
            </w:r>
          </w:p>
        </w:tc>
        <w:tc>
          <w:tcPr>
            <w:tcW w:w="790"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2576"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2800*450*1050</w:t>
            </w:r>
          </w:p>
        </w:tc>
        <w:tc>
          <w:tcPr>
            <w:tcW w:w="7556" w:type="dxa"/>
            <w:vMerge w:val="continue"/>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8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吧椅</w:t>
            </w:r>
          </w:p>
        </w:tc>
        <w:tc>
          <w:tcPr>
            <w:tcW w:w="2576"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4、五金件：间隙细小且均匀，平整无毛刺。三合一连接件：符合国家相关标准。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5、钢脚（钢管）：符合国家相关标准。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1"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图书馆9-10层电子阅览室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3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电子阅览桌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71600" cy="781050"/>
                  <wp:effectExtent l="0" t="0" r="0" b="0"/>
                  <wp:docPr id="258"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62" descr="IMG_317"/>
                          <pic:cNvPicPr>
                            <a:picLocks noChangeAspect="1"/>
                          </pic:cNvPicPr>
                        </pic:nvPicPr>
                        <pic:blipFill>
                          <a:blip r:embed="rId235"/>
                          <a:stretch>
                            <a:fillRect/>
                          </a:stretch>
                        </pic:blipFill>
                        <pic:spPr>
                          <a:xfrm>
                            <a:off x="0" y="0"/>
                            <a:ext cx="1371600" cy="7810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1200*1200*750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2、喷粉工艺：板材采用新型全封闭包裹高分子树脂静电喷涂工艺（主要材料为特制树脂），通过静电将高分子树脂粉末直接均匀吸附在板表面，饰面板 360°无死角、无封边、无油漆，高环保，无异味，抗菌、防潮防水、耐高温；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4、灯架：符合国家相关标准。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2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电子阅览椅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81100" cy="1362075"/>
                  <wp:effectExtent l="0" t="0" r="0" b="9525"/>
                  <wp:docPr id="19"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descr="IMG_318"/>
                          <pic:cNvPicPr>
                            <a:picLocks noChangeAspect="1"/>
                          </pic:cNvPicPr>
                        </pic:nvPicPr>
                        <pic:blipFill>
                          <a:blip r:embed="rId236"/>
                          <a:stretch>
                            <a:fillRect/>
                          </a:stretch>
                        </pic:blipFill>
                        <pic:spPr>
                          <a:xfrm>
                            <a:off x="0" y="0"/>
                            <a:ext cx="1181100" cy="13620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1、塑胶：全新尼龙料更加坚固耐用，使用年限超过10年不会断裂；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2、钢脚：实心椅架，钢架直径12MM，椅架、椅座、椅背须同一颜色，取消前端中置的杆，增加用户腿部活动空间，改为椅架顶部拉杆下移，结构牢固，安全可靠；符合国家相关标准。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3、座、背采用通风孔设计，彻底解决用户起身塑胶椅座位后的不雅汗渍，通风孔之间的S形链接使得座、背面内部有张力和弹力，更加舒适；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4、椅背顶部弧面弯曲，</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5、椅背中上位置设计有手提缺口位置，更加人性化，方便搬移；</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6、手提缺口下方设计有提包悬挂支架，在座椅空置（无人乘坐）时可悬挂10KG以内不倒，满足用户提包放置空间的需求；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7、椅背中下方内凹，为臀部腾出后屈空间，并且顶住用户腰椎位置，提供良好坐姿；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8、座面中后部有凸起曲面，确保乘坐时符合人体曲线，不会前滑；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9、座位后方设计标识卡，拆卸简易。方便资产管理；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10、椅架底部使用螺栓锁住尼龙塑胶垫块，隔开金属与地面的摩擦，并且可以实现精确的并排锁定，在会场布置时，椅子摆放整齐划一；</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11、可以实现层叠堆放，在不用时，节约现场面积；</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85875" cy="1000125"/>
                  <wp:effectExtent l="0" t="0" r="9525" b="9525"/>
                  <wp:docPr id="20"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4" descr="IMG_319"/>
                          <pic:cNvPicPr>
                            <a:picLocks noChangeAspect="1"/>
                          </pic:cNvPicPr>
                        </pic:nvPicPr>
                        <pic:blipFill>
                          <a:blip r:embed="rId231"/>
                          <a:stretch>
                            <a:fillRect/>
                          </a:stretch>
                        </pic:blipFill>
                        <pic:spPr>
                          <a:xfrm>
                            <a:off x="0" y="0"/>
                            <a:ext cx="1285875" cy="10001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1600*800*750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2、基材：采用E0级中密度纤维板，符合国家相关标准；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3、油漆：采用优质水性面/底漆，符合国家相关标准；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4、水基型胶黏剂：符合国家相关标准。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5、五金配件：①三合一连接件：符合国家相关标准。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图书馆9-10层研讨间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9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85875" cy="752475"/>
                  <wp:effectExtent l="0" t="0" r="9525" b="9525"/>
                  <wp:docPr id="10"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5" descr="IMG_320"/>
                          <pic:cNvPicPr>
                            <a:picLocks noChangeAspect="1"/>
                          </pic:cNvPicPr>
                        </pic:nvPicPr>
                        <pic:blipFill>
                          <a:blip r:embed="rId237"/>
                          <a:stretch>
                            <a:fillRect/>
                          </a:stretch>
                        </pic:blipFill>
                        <pic:spPr>
                          <a:xfrm>
                            <a:off x="0" y="0"/>
                            <a:ext cx="1285875" cy="7524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1400*700*750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2、喷粉工艺：板材采用新型全封闭包裹高分子树脂静电喷涂工艺（主要材料为特制树脂），通过静电将高分子树脂粉末直接均匀吸附在板表面，饰面板 360°无死角、无封边、无油漆， 高环保,无异味，抗菌、防潮防水、耐高温；</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3、钢脚（钢管）：符合国家相关标准。                                                                                                                              4、带涂层塑料部件：符合国家相关标准；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培训椅1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04900" cy="1571625"/>
                  <wp:effectExtent l="0" t="0" r="0" b="9525"/>
                  <wp:docPr id="9"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6" descr="IMG_321"/>
                          <pic:cNvPicPr>
                            <a:picLocks noChangeAspect="1"/>
                          </pic:cNvPicPr>
                        </pic:nvPicPr>
                        <pic:blipFill>
                          <a:blip r:embed="rId238"/>
                          <a:stretch>
                            <a:fillRect/>
                          </a:stretch>
                        </pic:blipFill>
                        <pic:spPr>
                          <a:xfrm>
                            <a:off x="0" y="0"/>
                            <a:ext cx="1104900" cy="15716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1、椅身：全新聚丙烯加玻璃纤维，由两个部分组成（座面、背壳），整椅胶背座深约430mm,整椅胶背高度约450mm，整椅胶背宽度约450mm。两部件具有独立可拆卸功能。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1.1、座面：全新聚丙烯加玻璃纤维，总长约470mm,座板宽约450mm,厚度≥8mm，背部为扶手位置宽度为150mm，方便使用者手提搬运。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1.2、背壳：全新聚丙烯加玻璃纤维，总宽约420mm,上部宽度310mm,下部宽度210mm,厚度≥7mm，背部内侧褶纹式设计安装方式是卡扣加隐藏式螺丝。</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1.3、挂钩：可拆卸活动式挂钩，可上下翻转90°。长度45mm，宽度42mm，厚度3mm，可以承重5KG。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2、钢脚：符合国家相关标准。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3、脚垫：全新聚丙烯加玻璃纤维制作，抗磨损性强。采用配套的耐磨塑料材质，能使整椅稳定性更强，使用时不会翻倒；产品在堆叠时，可以保护产品不会碰伤；防滑性好，不会刮花木地板；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4、颜色可选。</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8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培训椅2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09650" cy="1400175"/>
                  <wp:effectExtent l="0" t="0" r="0" b="9525"/>
                  <wp:docPr id="8"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7" descr="IMG_322"/>
                          <pic:cNvPicPr>
                            <a:picLocks noChangeAspect="1"/>
                          </pic:cNvPicPr>
                        </pic:nvPicPr>
                        <pic:blipFill>
                          <a:blip r:embed="rId239"/>
                          <a:stretch>
                            <a:fillRect/>
                          </a:stretch>
                        </pic:blipFill>
                        <pic:spPr>
                          <a:xfrm>
                            <a:off x="0" y="0"/>
                            <a:ext cx="1009650" cy="14001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1、椅身：全新聚丙烯加玻璃纤维，由两个部分组成（座面、背壳），整椅胶背座深约430mm,整椅胶背高度约450mm，整椅胶背宽度约450mm。两部件具有独立可拆卸功能。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1.1、座面：全新聚丙烯加玻璃纤维，总长约470mm,座板宽约450mm,厚度≥8mm，背部为扶手位置宽度为150mm，方便使用者手提搬运。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1.2、背壳：全新聚丙烯加玻璃纤维，总宽约420mm,上部宽度310mm,下部宽度210mm,厚度≥7mm，背部内侧褶纹式设计，安装方式是卡扣加隐藏式螺丝。</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1.3、挂钩：可拆卸活动式挂钩，可上下翻转90°。长度45mm，宽度42mm，厚度3mm，可以承重5KG。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2、钢脚：符合国家相关标准。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3、脚垫：全新聚丙烯加玻璃纤维制作，抗磨损性强。采用配套的耐磨塑料材质，能使整椅稳定性更强，使用时不会翻倒；产品在堆叠时，可以保护产品不会碰伤；防滑性好，不会刮花木地板；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4、颜色可选。</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培训椅(带写字板)</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09675" cy="1790700"/>
                  <wp:effectExtent l="0" t="0" r="9525" b="0"/>
                  <wp:docPr id="6"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8" descr="IMG_323"/>
                          <pic:cNvPicPr>
                            <a:picLocks noChangeAspect="1"/>
                          </pic:cNvPicPr>
                        </pic:nvPicPr>
                        <pic:blipFill>
                          <a:blip r:embed="rId240"/>
                          <a:stretch>
                            <a:fillRect/>
                          </a:stretch>
                        </pic:blipFill>
                        <pic:spPr>
                          <a:xfrm>
                            <a:off x="0" y="0"/>
                            <a:ext cx="1209675" cy="17907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1、椅身：全新聚丙烯加玻璃纤维，由两个部分组成（座面、背壳），整椅胶背座深约430mm,整椅胶背高度约450mm，整椅胶背宽度约450mm。两部件具有独立可拆卸功能。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1.1、座面：全新聚丙烯加玻璃纤维，总长约470mm,座板宽约450mm,厚度≥8mm，背部扶手位置宽度为150mm，方便使用者手提搬运。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1.2、背壳：全新聚丙烯加玻璃纤维，总宽约420mm,上部宽度310mm,下部宽度210mm,厚度≥7mm，背部内侧褶纹式设计，安装方式是卡扣加隐藏式螺丝。</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1.3、挂钩：可拆卸活动式挂钩，可上下翻转90°。长度45mm，宽度42mm，厚度3mm，可以承重5KG。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2、钢脚：符合国家相关标准。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3、万向脚轮：符合国家相关标准。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4、塑料件：符合国家相关标准；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研讨桌1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85850" cy="1209675"/>
                  <wp:effectExtent l="0" t="0" r="0" b="9525"/>
                  <wp:docPr id="7"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9" descr="IMG_324"/>
                          <pic:cNvPicPr>
                            <a:picLocks noChangeAspect="1"/>
                          </pic:cNvPicPr>
                        </pic:nvPicPr>
                        <pic:blipFill>
                          <a:blip r:embed="rId241"/>
                          <a:stretch>
                            <a:fillRect/>
                          </a:stretch>
                        </pic:blipFill>
                        <pic:spPr>
                          <a:xfrm>
                            <a:off x="0" y="0"/>
                            <a:ext cx="1085850" cy="12096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L878*W433*H750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1、基材：采用E0级中密度纤维板，符合国家相关标准；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2、工艺：板材采用新型全封闭包裹高分子树脂静电喷涂工艺（主要材料为特制树脂），通过静电将高分子树脂粉末直接均匀吸附在板表面，饰面板 360°无死角、无封边、无油漆， 高环保,无异味，抗菌、防潮防水、耐高温。</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5、万向脚轮：符合国家相关标准。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研讨椅1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81100" cy="1857375"/>
                  <wp:effectExtent l="0" t="0" r="0" b="9525"/>
                  <wp:docPr id="4"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0" descr="IMG_325"/>
                          <pic:cNvPicPr>
                            <a:picLocks noChangeAspect="1"/>
                          </pic:cNvPicPr>
                        </pic:nvPicPr>
                        <pic:blipFill>
                          <a:blip r:embed="rId242"/>
                          <a:stretch>
                            <a:fillRect/>
                          </a:stretch>
                        </pic:blipFill>
                        <pic:spPr>
                          <a:xfrm>
                            <a:off x="0" y="0"/>
                            <a:ext cx="1181100" cy="18573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L818*W579*H750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1、椅座：优质pp塑料一次成型注塑，pp塑料符合国家相关标准；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2、钢脚：符合国家相关标准。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3、万向脚轮：符合国家相关标准。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研讨桌2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85850" cy="1209675"/>
                  <wp:effectExtent l="0" t="0" r="0" b="9525"/>
                  <wp:docPr id="5"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1" descr="IMG_326"/>
                          <pic:cNvPicPr>
                            <a:picLocks noChangeAspect="1"/>
                          </pic:cNvPicPr>
                        </pic:nvPicPr>
                        <pic:blipFill>
                          <a:blip r:embed="rId241"/>
                          <a:stretch>
                            <a:fillRect/>
                          </a:stretch>
                        </pic:blipFill>
                        <pic:spPr>
                          <a:xfrm>
                            <a:off x="0" y="0"/>
                            <a:ext cx="1085850" cy="12096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L878*W433*H750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1、基材：采用E0级中密度纤维板，符合国家相关标准；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2、工艺：板材采用新型全封闭包裹高分子树脂静电喷涂工艺（主要材料为特制树脂），通过静电将高分子树脂粉末直接均匀吸附在板表面，饰面板 360°无死角、无封边、无油漆， 高环保,无异味，抗菌、防潮防水、耐高温。</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3、塑粉：符合国家相关标准；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5、万向脚轮：符合国家相关标准。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研讨椅2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85875" cy="1343025"/>
                  <wp:effectExtent l="0" t="0" r="9525" b="9525"/>
                  <wp:docPr id="18"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2" descr="IMG_327"/>
                          <pic:cNvPicPr>
                            <a:picLocks noChangeAspect="1"/>
                          </pic:cNvPicPr>
                        </pic:nvPicPr>
                        <pic:blipFill>
                          <a:blip r:embed="rId243"/>
                          <a:stretch>
                            <a:fillRect/>
                          </a:stretch>
                        </pic:blipFill>
                        <pic:spPr>
                          <a:xfrm>
                            <a:off x="0" y="0"/>
                            <a:ext cx="1285875" cy="13430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1、椅座：优质pp塑料一次成型注塑，pp塑料符合国家相关标准；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3、高弹阻燃海绵：采用优质高弹海绵，符合国家相关标准；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4、椅架：脚架采用钢管成型，壁厚≥1.5mm，符合国家相关标准；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5、固定防滑脚垫。</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讲台</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23925" cy="1419225"/>
                  <wp:effectExtent l="0" t="0" r="9525" b="9525"/>
                  <wp:docPr id="17"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3" descr="IMG_328"/>
                          <pic:cNvPicPr>
                            <a:picLocks noChangeAspect="1"/>
                          </pic:cNvPicPr>
                        </pic:nvPicPr>
                        <pic:blipFill>
                          <a:blip r:embed="rId193"/>
                          <a:stretch>
                            <a:fillRect/>
                          </a:stretch>
                        </pic:blipFill>
                        <pic:spPr>
                          <a:xfrm>
                            <a:off x="0" y="0"/>
                            <a:ext cx="923925" cy="14192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600*607*</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1100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1、基材：环保等级优于E0级三聚氰胺板，符合国家相关标准；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5、钢架：钢管成型，壁厚≥1.5mm，符合国家相关标准。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6、万向脚轮：符合国家相关标准；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图书馆9-10层办公室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4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895350"/>
                  <wp:effectExtent l="0" t="0" r="9525" b="0"/>
                  <wp:docPr id="14"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4" descr="IMG_329"/>
                          <pic:cNvPicPr>
                            <a:picLocks noChangeAspect="1"/>
                          </pic:cNvPicPr>
                        </pic:nvPicPr>
                        <pic:blipFill>
                          <a:blip r:embed="rId244"/>
                          <a:stretch>
                            <a:fillRect/>
                          </a:stretch>
                        </pic:blipFill>
                        <pic:spPr>
                          <a:xfrm>
                            <a:off x="0" y="0"/>
                            <a:ext cx="1381125" cy="8953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1500*1500*750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4、五金件：品牌五金配件，五金配件紧密拼接，牢固；①三合一连接件：符合国家相关标准。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1028700"/>
                  <wp:effectExtent l="0" t="0" r="9525" b="0"/>
                  <wp:docPr id="15"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5" descr="IMG_330"/>
                          <pic:cNvPicPr>
                            <a:picLocks noChangeAspect="1"/>
                          </pic:cNvPicPr>
                        </pic:nvPicPr>
                        <pic:blipFill>
                          <a:blip r:embed="rId220"/>
                          <a:stretch>
                            <a:fillRect/>
                          </a:stretch>
                        </pic:blipFill>
                        <pic:spPr>
                          <a:xfrm>
                            <a:off x="0" y="0"/>
                            <a:ext cx="1381125" cy="10287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1500*1200*750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4、五金件：品牌五金配件，五金配件紧密拼接，牢固；①三合一连接件：符合国家相关标准。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62025" cy="1514475"/>
                  <wp:effectExtent l="0" t="0" r="9525" b="9525"/>
                  <wp:docPr id="16"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6" descr="IMG_331"/>
                          <pic:cNvPicPr>
                            <a:picLocks noChangeAspect="1"/>
                          </pic:cNvPicPr>
                        </pic:nvPicPr>
                        <pic:blipFill>
                          <a:blip r:embed="rId222"/>
                          <a:stretch>
                            <a:fillRect/>
                          </a:stretch>
                        </pic:blipFill>
                        <pic:spPr>
                          <a:xfrm>
                            <a:off x="0" y="0"/>
                            <a:ext cx="962025" cy="15144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3、曲木板：座垫采用多层曲木板热压成型，符合国家相关标准。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6、底盘机构：符合国家相关标准；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7、气压棒：优质气压棒，升降自如，符合国家相关标准；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8、五金脚：符合国家相关标准；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9、万向脚轮：符合国家相关标准；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10、颜色可选。</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3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1485900"/>
                  <wp:effectExtent l="0" t="0" r="9525" b="0"/>
                  <wp:docPr id="12"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7" descr="IMG_332"/>
                          <pic:cNvPicPr>
                            <a:picLocks noChangeAspect="1"/>
                          </pic:cNvPicPr>
                        </pic:nvPicPr>
                        <pic:blipFill>
                          <a:blip r:embed="rId221"/>
                          <a:stretch>
                            <a:fillRect/>
                          </a:stretch>
                        </pic:blipFill>
                        <pic:spPr>
                          <a:xfrm>
                            <a:off x="0" y="0"/>
                            <a:ext cx="1381125" cy="14859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900*400*2000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2、热熔胶：符合国家相关标准。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                                                                  4、五金件：品牌五金配件，五金配件紧密拼接，牢固；①三合一连接件：符合国家相关标准。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5、玻璃柜门：优质钢化玻璃，符合国家相关标准；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857250"/>
                  <wp:effectExtent l="0" t="0" r="9525" b="0"/>
                  <wp:docPr id="13"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8" descr="IMG_333"/>
                          <pic:cNvPicPr>
                            <a:picLocks noChangeAspect="1"/>
                          </pic:cNvPicPr>
                        </pic:nvPicPr>
                        <pic:blipFill>
                          <a:blip r:embed="rId245"/>
                          <a:stretch>
                            <a:fillRect/>
                          </a:stretch>
                        </pic:blipFill>
                        <pic:spPr>
                          <a:xfrm>
                            <a:off x="0" y="0"/>
                            <a:ext cx="1381125" cy="8572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2800*1000*750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3、塑粉：符合国家相关标准。                                                                                         4、钢脚（钢管）：优质钢材，符合国家相关标准。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0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762000" cy="1171575"/>
                  <wp:effectExtent l="0" t="0" r="0" b="9525"/>
                  <wp:docPr id="11"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9" descr="IMG_334"/>
                          <pic:cNvPicPr>
                            <a:picLocks noChangeAspect="1"/>
                          </pic:cNvPicPr>
                        </pic:nvPicPr>
                        <pic:blipFill>
                          <a:blip r:embed="rId201"/>
                          <a:stretch>
                            <a:fillRect/>
                          </a:stretch>
                        </pic:blipFill>
                        <pic:spPr>
                          <a:xfrm>
                            <a:off x="0" y="0"/>
                            <a:ext cx="762000" cy="11715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2、面料：优质绒布：符合国家相关标准。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3、曲木板：座垫采用11.8mm多层曲木板热压成型，符合国家相关标准。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4、海绵：采用优质高弹海绵，符合国家相关标准；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6、钢架（钢管）：符合国家相关标准。</w:t>
            </w:r>
          </w:p>
        </w:tc>
        <w:tc>
          <w:tcPr>
            <w:tcW w:w="454"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2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接待桌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00150" cy="838200"/>
                  <wp:effectExtent l="0" t="0" r="0" b="0"/>
                  <wp:docPr id="286"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80" descr="IMG_335"/>
                          <pic:cNvPicPr>
                            <a:picLocks noChangeAspect="1"/>
                          </pic:cNvPicPr>
                        </pic:nvPicPr>
                        <pic:blipFill>
                          <a:blip r:embed="rId246"/>
                          <a:stretch>
                            <a:fillRect/>
                          </a:stretch>
                        </pic:blipFill>
                        <pic:spPr>
                          <a:xfrm>
                            <a:off x="0" y="0"/>
                            <a:ext cx="1200150" cy="8382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1600*900*750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3、塑粉：符合国家相关标准。                                                                                         4、钢脚（钢管）：优质钢材，符合国家相关标准。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4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接待椅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762000" cy="1171575"/>
                  <wp:effectExtent l="0" t="0" r="0" b="9525"/>
                  <wp:docPr id="288"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81" descr="IMG_336"/>
                          <pic:cNvPicPr>
                            <a:picLocks noChangeAspect="1"/>
                          </pic:cNvPicPr>
                        </pic:nvPicPr>
                        <pic:blipFill>
                          <a:blip r:embed="rId201"/>
                          <a:stretch>
                            <a:fillRect/>
                          </a:stretch>
                        </pic:blipFill>
                        <pic:spPr>
                          <a:xfrm>
                            <a:off x="0" y="0"/>
                            <a:ext cx="762000" cy="11715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2、面料：优质绒布：符合国家相关标准。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3、曲木板：座垫采用11.8mm多层曲木板热压成型，符合国家相关标准。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4、海绵：采用优质高弹海绵，符合国家相关标准；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6、钢架（钢管）：符合国家相关标准。</w:t>
            </w:r>
          </w:p>
        </w:tc>
        <w:tc>
          <w:tcPr>
            <w:tcW w:w="454"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6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04925" cy="1257300"/>
                  <wp:effectExtent l="0" t="0" r="9525" b="0"/>
                  <wp:docPr id="284"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82" descr="IMG_337"/>
                          <pic:cNvPicPr>
                            <a:picLocks noChangeAspect="1"/>
                          </pic:cNvPicPr>
                        </pic:nvPicPr>
                        <pic:blipFill>
                          <a:blip r:embed="rId247"/>
                          <a:stretch>
                            <a:fillRect/>
                          </a:stretch>
                        </pic:blipFill>
                        <pic:spPr>
                          <a:xfrm>
                            <a:off x="0" y="0"/>
                            <a:ext cx="1304925" cy="12573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∅800W×750H</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3、塑粉：符合国家相关标准。                                                                                         4、钢脚（钢管）：优质钢材，符合国家相关标准。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190625" cy="1571625"/>
                  <wp:effectExtent l="0" t="0" r="9525" b="9525"/>
                  <wp:docPr id="272"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83" descr="IMG_338"/>
                          <pic:cNvPicPr>
                            <a:picLocks noChangeAspect="1"/>
                          </pic:cNvPicPr>
                        </pic:nvPicPr>
                        <pic:blipFill>
                          <a:blip r:embed="rId248"/>
                          <a:stretch>
                            <a:fillRect/>
                          </a:stretch>
                        </pic:blipFill>
                        <pic:spPr>
                          <a:xfrm>
                            <a:off x="0" y="0"/>
                            <a:ext cx="1190625" cy="15716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1、塑胶：全新尼龙料坚固耐用，使用年限超过10年不会断裂；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2、钢脚：实心椅架，钢架直径≥12MM，椅架、椅座、椅背须同一颜色，取消前端中置的杆，增加用户腿部活动空间，改为椅架顶部拉杆下移，结构牢固，安全可靠；符合国家相关标准。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3、座、背采用通风孔设计，彻底解决用户起身塑胶椅座位后的不雅汗渍，通风孔之间的S形链接使得座、背面内部有张力和弹力，更加舒适；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4、椅背顶部弧面弯曲，为方便使用者搭手臂，与侧面人员交流；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5、椅背中上位置设计有手提缺口位置，更加人性化，方便搬移；</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6、手提缺口下方设计有提包悬挂支架，在座椅空置（无人乘坐）时可悬挂10KG以内不倒，满足用户提包放置空间的需求；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7、椅背中下方内凹，为臀部腾出后屈空间，并且顶住用户腰椎位置，提供良好坐姿；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8、座面中后部有凸起曲面，确保乘坐时符合人体曲线，不会前滑；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9、座位后方设计标识卡，拆卸简易。方便资产管理；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10、椅架底部使用螺栓锁住尼龙塑胶垫块，隔开金属与地面的摩擦，并且可以实现精确的并排锁定，在会场布置时，椅子摆放整齐划一；</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11、可以实现层叠堆放，在不用时，节约现场面积；</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6"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图书馆9-10层办公室休息区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7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休闲沙发组合B</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904875"/>
                  <wp:effectExtent l="0" t="0" r="9525" b="9525"/>
                  <wp:docPr id="277"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84" descr="IMG_339"/>
                          <pic:cNvPicPr>
                            <a:picLocks noChangeAspect="1"/>
                          </pic:cNvPicPr>
                        </pic:nvPicPr>
                        <pic:blipFill>
                          <a:blip r:embed="rId217"/>
                          <a:stretch>
                            <a:fillRect/>
                          </a:stretch>
                        </pic:blipFill>
                        <pic:spPr>
                          <a:xfrm>
                            <a:off x="0" y="0"/>
                            <a:ext cx="1381125" cy="9048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以现场尺寸为准</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框架：优质橡胶木或桦木框架，经过防虫、防腐特殊处理，确保坚固可靠，长期使用不松动、不腐朽。符合国家相关标准；木制件外观①贯通裂缝：无贯通裂缝，②虫蛀：木家具中无虫蛀现象，③腐朽材：外表无腐朽材，内表轻微腐朽面积不应超过零件面积的20%，④树脂囊：无树脂囊，⑤节子：无节子，⑥死节、孔洞、夹皮和树脂道、树胶道：无死节、孔洞、夹皮和树脂道、树胶道，⑦其他轻微缺陷：无其他轻微材质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件：间隙细小且均匀，平整无毛刺，蛇簧和尼龙带穿插编织，φ5mm高强度S形弹簧同高弹力绷带，金属件无脱层、裂缝。喷涂层：涂层无漏喷、锈蚀和脱色、掉色现象，涂层光滑均匀、色泽一致，无流挂、疙瘩、皱皮、飞漆等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6、钢脚钢管：符合国家相关标准；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洽谈桌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04925" cy="1257300"/>
                  <wp:effectExtent l="0" t="0" r="9525" b="0"/>
                  <wp:docPr id="266"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85" descr="IMG_340"/>
                          <pic:cNvPicPr>
                            <a:picLocks noChangeAspect="1"/>
                          </pic:cNvPicPr>
                        </pic:nvPicPr>
                        <pic:blipFill>
                          <a:blip r:embed="rId247"/>
                          <a:stretch>
                            <a:fillRect/>
                          </a:stretch>
                        </pic:blipFill>
                        <pic:spPr>
                          <a:xfrm>
                            <a:off x="0" y="0"/>
                            <a:ext cx="1304925" cy="12573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1、基材：三聚氰胺板环保等级优于E0级，符合国家相关标准；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2、热熔胶：符合国家相关标准。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4、钢脚（钢管）：优质钢材，符合国家相关标准。；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休闲沙发组合C</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81125" cy="914400"/>
                  <wp:effectExtent l="0" t="0" r="9525" b="0"/>
                  <wp:docPr id="267"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86" descr="IMG_341"/>
                          <pic:cNvPicPr>
                            <a:picLocks noChangeAspect="1"/>
                          </pic:cNvPicPr>
                        </pic:nvPicPr>
                        <pic:blipFill>
                          <a:blip r:embed="rId249"/>
                          <a:stretch>
                            <a:fillRect/>
                          </a:stretch>
                        </pic:blipFill>
                        <pic:spPr>
                          <a:xfrm>
                            <a:off x="0" y="0"/>
                            <a:ext cx="1381125" cy="9144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2个转角沙发：2337*838*737，坐高406；</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1个梯形沙发：2032/1067*838*737，坐高406；</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组合方式见图，带3块挑板。</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框架：优质橡胶木或桦木框架，经过防虫、防腐特殊处理，确保坚固可靠，长期使用不松动、不腐朽。符合国家相关标准；木制件外观①贯通裂缝：无贯通裂缝，②虫蛀：木家具中无虫蛀现象，③腐朽材：外表无腐朽材，内表轻微腐朽面积不应超过零件面积的20%，④树脂囊：无树脂囊，⑤节子：无节子，⑥死节、孔洞、夹皮和树脂道、树胶道：无死节、孔洞、夹皮和树脂道、树胶道，⑦其他轻微缺陷：无其他轻微材质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4、喷胶，符合国家相关标准，游离甲醛未检出，总挥发性有机物≤15g/L；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5、五金件：蛇簧和尼龙带穿插编织，φ5mm高强度S形弹簧同高弹力绷带，金属件无脱层、裂缝。喷涂层：涂层无漏喷、锈蚀和脱色、掉色现象，涂层光滑均匀、色泽一致，无流挂、疙瘩、皱皮、飞漆等缺陷。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6、冷轧钢板：符合国家相关标准；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单人静音仓</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28700" cy="1485900"/>
                  <wp:effectExtent l="0" t="0" r="0" b="0"/>
                  <wp:docPr id="268"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87" descr="IMG_342"/>
                          <pic:cNvPicPr>
                            <a:picLocks noChangeAspect="1"/>
                          </pic:cNvPicPr>
                        </pic:nvPicPr>
                        <pic:blipFill>
                          <a:blip r:embed="rId250"/>
                          <a:stretch>
                            <a:fillRect/>
                          </a:stretch>
                        </pic:blipFill>
                        <pic:spPr>
                          <a:xfrm>
                            <a:off x="0" y="0"/>
                            <a:ext cx="1028700" cy="148590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1000*950*2300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1、基本功能：可调节换气量大小，电控开关灯；标准用电：1强电2USB；内部材质：吸音软毛毡；磁吸门，环保地毯，吧台高度桌板，四角金属扣件及边框支撑立柱 ，采用航空铝材静电喷粉涂装。</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2、换气量：符合国家相关标准；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3、隔音性：符合国家相关标准；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4、环保排放：达到E0级标准。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5、照明：舱室4000K自然光色温LED中央照明系统，标配150LSX。</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6、沙发：对坐沙发，品牌环保布饰面，经过防火、防污、抗菌、抗静电、耐色牢度、抗强度等加工处理。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7、讨论桌：品牌优质刨花板，表面采用品牌防火板贴面，抗划伤、耐磨、耐酸碱、耐烟灼、防火、不易褪色、易清洁。书写桌尺寸，桌板厚度≥18mm。</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多人静音仓</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42975" cy="1266825"/>
                  <wp:effectExtent l="0" t="0" r="9525" b="9525"/>
                  <wp:docPr id="282"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88" descr="IMG_343"/>
                          <pic:cNvPicPr>
                            <a:picLocks noChangeAspect="1"/>
                          </pic:cNvPicPr>
                        </pic:nvPicPr>
                        <pic:blipFill>
                          <a:blip r:embed="rId230"/>
                          <a:stretch>
                            <a:fillRect/>
                          </a:stretch>
                        </pic:blipFill>
                        <pic:spPr>
                          <a:xfrm>
                            <a:off x="0" y="0"/>
                            <a:ext cx="942975" cy="12668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2200*2100*2300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1、基本功能：可调节换气量大小，电控开关灯；标准用电：1强电2USB；内部材质：吸音软毛毡；磁吸门，环保地毯，吧台高度桌板，四角金属扣件及边框支撑立柱 ，采用航空铝材静电喷粉涂装。</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2、换气量：符合国家相关标准；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3、隔音性：符合国家相关标准；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4、环保排放：达到E0级标准。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5、照明：舱室4000K自然光色温LED中央照明系统，标配150LSX。</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6、沙发：对坐沙发，品牌环保布饰面，经过防火、防污、抗菌、抗静电、耐色牢度、抗强度等加工处理。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7、讨论桌：品牌优质刨花板，表面采用品牌防火板贴面，抗划伤、耐磨、耐酸碱、耐烟灼、防火、不易褪色、易清洁。书写桌尺寸，桌板厚度≥18mm。</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半隐私个人工作站</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209675" cy="1552575"/>
                  <wp:effectExtent l="0" t="0" r="9525" b="9525"/>
                  <wp:docPr id="264"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89" descr="IMG_344"/>
                          <pic:cNvPicPr>
                            <a:picLocks noChangeAspect="1"/>
                          </pic:cNvPicPr>
                        </pic:nvPicPr>
                        <pic:blipFill>
                          <a:blip r:embed="rId251"/>
                          <a:stretch>
                            <a:fillRect/>
                          </a:stretch>
                        </pic:blipFill>
                        <pic:spPr>
                          <a:xfrm>
                            <a:off x="0" y="0"/>
                            <a:ext cx="1209675" cy="155257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半隐私个人工作站尺寸：1090*1830*1220；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圆型脚蹬尺寸：直径460*240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整体配置：围合式屏风，内嵌式座椅，带侧边储物兜和边桌，带可调节个人工作台，带1个圆形脚蹬。</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半隐私个人工作站配置：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1.内嵌式座椅：内置一体成型PU泡棉，外包品牌系列面料，经过防火、防污、抗菌、抗静电、耐色牢度、抗强度等加工处理。背部可倾仰，内置自我感应式腰靠，椅背后仰时座垫自动往前滑动，带头枕。</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活动工作台：由金属活动支臂连接到屏风固定，尺寸≥422mm*460mm，离地面高度≥682mm；工作台台面可旋转调节，在水平方向上台面最大可旋转角度≥125度，方便使用者进出，在垂直方向上，台面最大可旋转角度≥40度；工作台台面前端设卡槽，可以用来固定手机、平板等手持设备，台面末端设一条防滑凸起，防止笔记本等物品滑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3.边桌：防火板贴面；ABS封边条。</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4.储物兜：金属钢制储物兜，品牌环保环氧树脂粉体静电喷涂。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屏风：金属铝制框架，上半部份采用三片亚克力弯成弧面，亚克力屏用金属材质收边并连接下半部门布饰面款框架。下半部分采用全布屏风。工作站前端连接一半弧度屏风，作为遮挡，使工作站更加私密，不受外界打扰。</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6.金属支撑脚，壁厚不低于1.5mm，品牌环保环氧树脂粉体静电喷涂。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圆型脚蹬材质功能描述：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1.面料：品牌系列面料，经过防火、防污、抗菌、抗静电、耐色牢度、抗强度等加工处理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2.海棉：采用优质高弹海绵，符合国家相关标准；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3.PP底框，底部带软性螺纹状塑胶防滑垫。</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4.边缘带提拉带，方便随意移动。</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3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双人半隐私沙发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095375" cy="971550"/>
                  <wp:effectExtent l="0" t="0" r="9525" b="0"/>
                  <wp:docPr id="269"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90" descr="IMG_345"/>
                          <pic:cNvPicPr>
                            <a:picLocks noChangeAspect="1"/>
                          </pic:cNvPicPr>
                        </pic:nvPicPr>
                        <pic:blipFill>
                          <a:blip r:embed="rId208"/>
                          <a:stretch>
                            <a:fillRect/>
                          </a:stretch>
                        </pic:blipFill>
                        <pic:spPr>
                          <a:xfrm>
                            <a:off x="0" y="0"/>
                            <a:ext cx="1095375" cy="9715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1600*750*1500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1、绒布：符合国家相关标准。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框架：优质橡胶木或桦木框架，经过防虫、防腐特殊处理，确保坚固可靠，长期使用不松动、不腐朽。符合国家相关标准；木制件外观①贯通裂缝：无贯通裂缝，②虫蛀：木家具中无虫蛀现象，③腐朽材：外表无腐朽材，内表轻微腐朽面积不应超过零件面积的20%，④树脂囊：无树脂囊，⑤节子：无节子，⑥死节、孔洞、夹皮和树脂道、树胶道：无死节、孔洞、夹皮和树脂道、树胶道，⑦其他轻微缺陷：无其他轻微材质缺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4、环保胶水：符合国家相关标准。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5、五金件：蛇簧和尼龙带穿插编织，φ5mm高强度S形弹簧同高弹力绷带，金属件无脱层、裂缝。喷涂层：涂层，涂层光滑均匀、色泽一致。</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长茶几</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43025" cy="933450"/>
                  <wp:effectExtent l="0" t="0" r="9525" b="0"/>
                  <wp:docPr id="262"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91" descr="IMG_346"/>
                          <pic:cNvPicPr>
                            <a:picLocks noChangeAspect="1"/>
                          </pic:cNvPicPr>
                        </pic:nvPicPr>
                        <pic:blipFill>
                          <a:blip r:embed="rId210"/>
                          <a:stretch>
                            <a:fillRect/>
                          </a:stretch>
                        </pic:blipFill>
                        <pic:spPr>
                          <a:xfrm>
                            <a:off x="0" y="0"/>
                            <a:ext cx="1343025" cy="9334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1000*600*450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2、基材：采用E0级中密度纤维板，符合国家相关标准；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3、油漆：采用优质水性面/底漆，符合国家相关标准；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4、水基型胶黏剂：符合国家相关标准。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5、钢脚（钢管）：符合国家相关标准。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4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移动还书箱</w:t>
            </w:r>
          </w:p>
        </w:tc>
        <w:tc>
          <w:tcPr>
            <w:tcW w:w="2576" w:type="dxa"/>
            <w:tcBorders>
              <w:tl2br w:val="nil"/>
              <w:tr2bl w:val="nil"/>
            </w:tcBorders>
            <w:shd w:val="clear" w:color="auto" w:fill="auto"/>
            <w:vAlign w:val="center"/>
          </w:tcPr>
          <w:p>
            <w:pPr>
              <w:keepNext w:val="0"/>
              <w:keepLines w:val="0"/>
              <w:widowControl/>
              <w:suppressLineNumbers w:val="0"/>
              <w:jc w:val="righ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914400" cy="971550"/>
                  <wp:effectExtent l="0" t="0" r="0" b="0"/>
                  <wp:docPr id="263"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92" descr="IMG_347"/>
                          <pic:cNvPicPr>
                            <a:picLocks noChangeAspect="1"/>
                          </pic:cNvPicPr>
                        </pic:nvPicPr>
                        <pic:blipFill>
                          <a:blip r:embed="rId252"/>
                          <a:stretch>
                            <a:fillRect/>
                          </a:stretch>
                        </pic:blipFill>
                        <pic:spPr>
                          <a:xfrm>
                            <a:off x="0" y="0"/>
                            <a:ext cx="914400" cy="971550"/>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700*600*800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1、箱体：≥0.9厚一级电解板制成加铝合金包边耐磕碰，表面清洁处理后进行高温静电喷涂，二氧化碳保护焊接，焊（连）接牢固，经过打磨后平整光滑，不易生锈。符合国家相关标准。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2、万向脚轮：静音刹车轮，轻巧转向、超低噪音，与宁静图书馆融为一体，符合国家相关标准；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3、拉手：不锈钢无缝拉手，触感光滑，表面不得有毛刺；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4、功能：负载自动升降结构，承载板根据负载自由升降，升降行程大于350MM；</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推车</w:t>
            </w:r>
          </w:p>
        </w:tc>
        <w:tc>
          <w:tcPr>
            <w:tcW w:w="2576" w:type="dxa"/>
            <w:tcBorders>
              <w:tl2br w:val="nil"/>
              <w:tr2bl w:val="nil"/>
            </w:tcBorders>
            <w:shd w:val="clear" w:color="auto" w:fill="auto"/>
            <w:vAlign w:val="center"/>
          </w:tcPr>
          <w:p>
            <w:pPr>
              <w:keepNext w:val="0"/>
              <w:keepLines w:val="0"/>
              <w:widowControl/>
              <w:suppressLineNumbers w:val="0"/>
              <w:jc w:val="righ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drawing>
                <wp:inline distT="0" distB="0" distL="114300" distR="114300">
                  <wp:extent cx="1314450" cy="1076325"/>
                  <wp:effectExtent l="0" t="0" r="0" b="9525"/>
                  <wp:docPr id="280"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93" descr="IMG_348"/>
                          <pic:cNvPicPr>
                            <a:picLocks noChangeAspect="1"/>
                          </pic:cNvPicPr>
                        </pic:nvPicPr>
                        <pic:blipFill>
                          <a:blip r:embed="rId253"/>
                          <a:stretch>
                            <a:fillRect/>
                          </a:stretch>
                        </pic:blipFill>
                        <pic:spPr>
                          <a:xfrm>
                            <a:off x="0" y="0"/>
                            <a:ext cx="1314450" cy="1076325"/>
                          </a:xfrm>
                          <a:prstGeom prst="rect">
                            <a:avLst/>
                          </a:prstGeom>
                          <a:noFill/>
                          <a:ln w="9525">
                            <a:noFill/>
                          </a:ln>
                        </pic:spPr>
                      </pic:pic>
                    </a:graphicData>
                  </a:graphic>
                </wp:inline>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800*400*1150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1、结构：≥1.5MM一级电解板制成，其余钢板采用厚度为≥0.9MM,表面清洁处理后进行高温静电喷涂，二氧化碳保护焊接，焊（连）接牢固，经过打磨后平整光滑，不易生锈。符合国家相关标准。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2、万向脚轮：静音刹车轮，轻巧转向、超低噪音，与宁静图书馆融为一体，符合国家相关标准；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3、五金拉手：符合国家相关标准。</w:t>
            </w:r>
          </w:p>
        </w:tc>
        <w:tc>
          <w:tcPr>
            <w:tcW w:w="454"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9" w:hRule="atLeast"/>
        </w:trPr>
        <w:tc>
          <w:tcPr>
            <w:tcW w:w="14000" w:type="dxa"/>
            <w:gridSpan w:val="8"/>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0"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正校级领导办公室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903605</wp:posOffset>
                  </wp:positionV>
                  <wp:extent cx="1252855" cy="700405"/>
                  <wp:effectExtent l="0" t="0" r="4445" b="4445"/>
                  <wp:wrapNone/>
                  <wp:docPr id="271" name="图片_231"/>
                  <wp:cNvGraphicFramePr/>
                  <a:graphic xmlns:a="http://schemas.openxmlformats.org/drawingml/2006/main">
                    <a:graphicData uri="http://schemas.openxmlformats.org/drawingml/2006/picture">
                      <pic:pic xmlns:pic="http://schemas.openxmlformats.org/drawingml/2006/picture">
                        <pic:nvPicPr>
                          <pic:cNvPr id="271" name="图片_231"/>
                          <pic:cNvPicPr/>
                        </pic:nvPicPr>
                        <pic:blipFill>
                          <a:blip r:embed="rId254"/>
                          <a:stretch>
                            <a:fillRect/>
                          </a:stretch>
                        </pic:blipFill>
                        <pic:spPr>
                          <a:xfrm>
                            <a:off x="0" y="0"/>
                            <a:ext cx="1252855" cy="7004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2400*2050*760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侧柜：1996*580*560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1.基材：采用E0级中纤板：符合国家相关标准；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功能说明:含侧柜和推柜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5.颜色：桌柜颜色一致，都为暗红色，颜色与处长桌1相近；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8.三节轨：采用优质三节轨，符合国家相关标准；；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功能说明：新多功能插座:符合3C认证,可选配内贸或者外贸通用,内贸插座:含3个电源模块,1个HDMI接口,1个A口1个C口USB充电,2个网络模块(CAT.6)；前挡板需定制为离地80mm.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定制固定  书柜1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808990</wp:posOffset>
                  </wp:positionV>
                  <wp:extent cx="1184910" cy="866140"/>
                  <wp:effectExtent l="0" t="0" r="15240" b="10160"/>
                  <wp:wrapNone/>
                  <wp:docPr id="287" name="图片_200"/>
                  <wp:cNvGraphicFramePr/>
                  <a:graphic xmlns:a="http://schemas.openxmlformats.org/drawingml/2006/main">
                    <a:graphicData uri="http://schemas.openxmlformats.org/drawingml/2006/picture">
                      <pic:pic xmlns:pic="http://schemas.openxmlformats.org/drawingml/2006/picture">
                        <pic:nvPicPr>
                          <pic:cNvPr id="287" name="图片_200"/>
                          <pic:cNvPicPr/>
                        </pic:nvPicPr>
                        <pic:blipFill>
                          <a:blip r:embed="rId255"/>
                          <a:stretch>
                            <a:fillRect/>
                          </a:stretch>
                        </pic:blipFill>
                        <pic:spPr>
                          <a:xfrm>
                            <a:off x="0" y="0"/>
                            <a:ext cx="1184910" cy="8661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暂定尺寸3200*560*2130 mm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1.基材：采用E0级中纤板：符合国家相关标准；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5.喷涂铝材:采用AL6063-T5铝合金,型材截面厚度1mm~1.5mm,符合国家相关标准；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1.采用采用无醛白胶,产品更绿色、环保；</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181610</wp:posOffset>
                  </wp:positionV>
                  <wp:extent cx="1189355" cy="1626235"/>
                  <wp:effectExtent l="0" t="0" r="10795" b="12065"/>
                  <wp:wrapNone/>
                  <wp:docPr id="278" name="图片_202"/>
                  <wp:cNvGraphicFramePr/>
                  <a:graphic xmlns:a="http://schemas.openxmlformats.org/drawingml/2006/main">
                    <a:graphicData uri="http://schemas.openxmlformats.org/drawingml/2006/picture">
                      <pic:pic xmlns:pic="http://schemas.openxmlformats.org/drawingml/2006/picture">
                        <pic:nvPicPr>
                          <pic:cNvPr id="278" name="图片_202"/>
                          <pic:cNvPicPr/>
                        </pic:nvPicPr>
                        <pic:blipFill>
                          <a:blip r:embed="rId256"/>
                          <a:stretch>
                            <a:fillRect/>
                          </a:stretch>
                        </pic:blipFill>
                        <pic:spPr>
                          <a:xfrm>
                            <a:off x="0" y="0"/>
                            <a:ext cx="1189355" cy="16262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650*600*1160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2.曲木板：采用优质曲木板，12mm外板/6mm内板；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3.扶手：采用铝合金精抛一体扶手框；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5)底盘：采用优质底盘，符合国家相关标准；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6.气杆:采用优质三级气杆，符合国家相关标准；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6.五星脚:抛光铝合金五星脚,符合国家相关标准；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7.椅轮:PA轮,符合国家相关标准；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1)底盘调节:STG背座同步倾仰,四档锁定功能,旋钮可调节倾仰松紧力度；</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黑色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班前椅1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352425</wp:posOffset>
                  </wp:positionV>
                  <wp:extent cx="1064260" cy="1095375"/>
                  <wp:effectExtent l="0" t="0" r="2540" b="9525"/>
                  <wp:wrapNone/>
                  <wp:docPr id="285" name="图片_201"/>
                  <wp:cNvGraphicFramePr/>
                  <a:graphic xmlns:a="http://schemas.openxmlformats.org/drawingml/2006/main">
                    <a:graphicData uri="http://schemas.openxmlformats.org/drawingml/2006/picture">
                      <pic:pic xmlns:pic="http://schemas.openxmlformats.org/drawingml/2006/picture">
                        <pic:nvPicPr>
                          <pic:cNvPr id="285" name="图片_201"/>
                          <pic:cNvPicPr/>
                        </pic:nvPicPr>
                        <pic:blipFill>
                          <a:blip r:embed="rId257"/>
                          <a:stretch>
                            <a:fillRect/>
                          </a:stretch>
                        </pic:blipFill>
                        <pic:spPr>
                          <a:xfrm>
                            <a:off x="0" y="0"/>
                            <a:ext cx="1064260" cy="10953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635*600*960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2.曲木板：采用优质曲木板，12mm外板/6mm内板；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3.扶手：采用铝合金精抛一体扶手框；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5)底盘：采用优质底盘，符合国家相关标准；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6.气杆:采用优质三级气杆，符合国家相关标准；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6.五星脚:抛光铝合金五星脚,符合国家相关标准；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7.椅轮:PA轮,符合国家相关标准；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1)底盘调节:STG背座同步倾仰,四档锁定功能,旋钮可调节倾仰松紧力度；</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黑色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茶水柜1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117475</wp:posOffset>
                  </wp:positionH>
                  <wp:positionV relativeFrom="paragraph">
                    <wp:posOffset>525145</wp:posOffset>
                  </wp:positionV>
                  <wp:extent cx="1173480" cy="760095"/>
                  <wp:effectExtent l="0" t="0" r="7620" b="1905"/>
                  <wp:wrapNone/>
                  <wp:docPr id="273" name="图片_177"/>
                  <wp:cNvGraphicFramePr/>
                  <a:graphic xmlns:a="http://schemas.openxmlformats.org/drawingml/2006/main">
                    <a:graphicData uri="http://schemas.openxmlformats.org/drawingml/2006/picture">
                      <pic:pic xmlns:pic="http://schemas.openxmlformats.org/drawingml/2006/picture">
                        <pic:nvPicPr>
                          <pic:cNvPr id="273" name="图片_177"/>
                          <pic:cNvPicPr/>
                        </pic:nvPicPr>
                        <pic:blipFill>
                          <a:blip r:embed="rId258"/>
                          <a:stretch>
                            <a:fillRect/>
                          </a:stretch>
                        </pic:blipFill>
                        <pic:spPr>
                          <a:xfrm>
                            <a:off x="0" y="0"/>
                            <a:ext cx="1173480" cy="7600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1621*400*805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1.基材：采用E0级中纤板：符合国家相关标准；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6.亚克力:符合国家相关标准；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三人沙发1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521970</wp:posOffset>
                  </wp:positionV>
                  <wp:extent cx="1075055" cy="677545"/>
                  <wp:effectExtent l="0" t="0" r="10795" b="8255"/>
                  <wp:wrapNone/>
                  <wp:docPr id="270" name="图片_216"/>
                  <wp:cNvGraphicFramePr/>
                  <a:graphic xmlns:a="http://schemas.openxmlformats.org/drawingml/2006/main">
                    <a:graphicData uri="http://schemas.openxmlformats.org/drawingml/2006/picture">
                      <pic:pic xmlns:pic="http://schemas.openxmlformats.org/drawingml/2006/picture">
                        <pic:nvPicPr>
                          <pic:cNvPr id="270" name="图片_216"/>
                          <pic:cNvPicPr/>
                        </pic:nvPicPr>
                        <pic:blipFill>
                          <a:blip r:embed="rId259"/>
                          <a:stretch>
                            <a:fillRect/>
                          </a:stretch>
                        </pic:blipFill>
                        <pic:spPr>
                          <a:xfrm>
                            <a:off x="0" y="0"/>
                            <a:ext cx="1075055" cy="6775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2000*820*810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1.面材：采用优质真皮，依据相关标准 ，厚度≥ 1.0mm；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2.基材：采用E0级实木多层板，符合国家相关标准；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4.绷带：甲醛含量未检出，符合国家相关标准；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5.蛇形弹簧：符合国家相关标准；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6.喷涂五金:符合国家相关标准；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黑色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3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二人沙发1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324485</wp:posOffset>
                  </wp:positionV>
                  <wp:extent cx="1017905" cy="737235"/>
                  <wp:effectExtent l="0" t="0" r="10795" b="5715"/>
                  <wp:wrapNone/>
                  <wp:docPr id="289" name="图片_218"/>
                  <wp:cNvGraphicFramePr/>
                  <a:graphic xmlns:a="http://schemas.openxmlformats.org/drawingml/2006/main">
                    <a:graphicData uri="http://schemas.openxmlformats.org/drawingml/2006/picture">
                      <pic:pic xmlns:pic="http://schemas.openxmlformats.org/drawingml/2006/picture">
                        <pic:nvPicPr>
                          <pic:cNvPr id="289" name="图片_218"/>
                          <pic:cNvPicPr/>
                        </pic:nvPicPr>
                        <pic:blipFill>
                          <a:blip r:embed="rId260"/>
                          <a:stretch>
                            <a:fillRect/>
                          </a:stretch>
                        </pic:blipFill>
                        <pic:spPr>
                          <a:xfrm>
                            <a:off x="0" y="0"/>
                            <a:ext cx="1017905" cy="7372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2000*820*810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1.面材：采用优质真皮，依据相关标准 ，厚度≥ 1.0mm；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2.基材：采用E0级实木多层板，符合国家相关标准；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4.绷带：甲醛含量未检出，符合国家相关标准；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5.蛇形弹簧：符合国家相关标准；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6.喷涂五金:符合国家相关标准；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黑色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8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长茶几1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176530</wp:posOffset>
                  </wp:positionH>
                  <wp:positionV relativeFrom="paragraph">
                    <wp:posOffset>130175</wp:posOffset>
                  </wp:positionV>
                  <wp:extent cx="1021715" cy="785495"/>
                  <wp:effectExtent l="0" t="0" r="6985" b="14605"/>
                  <wp:wrapNone/>
                  <wp:docPr id="279" name="图片_203"/>
                  <wp:cNvGraphicFramePr/>
                  <a:graphic xmlns:a="http://schemas.openxmlformats.org/drawingml/2006/main">
                    <a:graphicData uri="http://schemas.openxmlformats.org/drawingml/2006/picture">
                      <pic:pic xmlns:pic="http://schemas.openxmlformats.org/drawingml/2006/picture">
                        <pic:nvPicPr>
                          <pic:cNvPr id="279" name="图片_203"/>
                          <pic:cNvPicPr/>
                        </pic:nvPicPr>
                        <pic:blipFill>
                          <a:blip r:embed="rId261"/>
                          <a:stretch>
                            <a:fillRect/>
                          </a:stretch>
                        </pic:blipFill>
                        <pic:spPr>
                          <a:xfrm>
                            <a:off x="0" y="0"/>
                            <a:ext cx="1021715" cy="7854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1200*600*420 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茶几1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163195</wp:posOffset>
                  </wp:positionH>
                  <wp:positionV relativeFrom="paragraph">
                    <wp:posOffset>161925</wp:posOffset>
                  </wp:positionV>
                  <wp:extent cx="1054735" cy="809625"/>
                  <wp:effectExtent l="0" t="0" r="12065" b="9525"/>
                  <wp:wrapNone/>
                  <wp:docPr id="281" name="图片_217"/>
                  <wp:cNvGraphicFramePr/>
                  <a:graphic xmlns:a="http://schemas.openxmlformats.org/drawingml/2006/main">
                    <a:graphicData uri="http://schemas.openxmlformats.org/drawingml/2006/picture">
                      <pic:pic xmlns:pic="http://schemas.openxmlformats.org/drawingml/2006/picture">
                        <pic:nvPicPr>
                          <pic:cNvPr id="281" name="图片_217"/>
                          <pic:cNvPicPr/>
                        </pic:nvPicPr>
                        <pic:blipFill>
                          <a:blip r:embed="rId262"/>
                          <a:stretch>
                            <a:fillRect/>
                          </a:stretch>
                        </pic:blipFill>
                        <pic:spPr>
                          <a:xfrm>
                            <a:off x="0" y="0"/>
                            <a:ext cx="1054735" cy="8096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800*800*420 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281940</wp:posOffset>
                  </wp:positionV>
                  <wp:extent cx="1192530" cy="861060"/>
                  <wp:effectExtent l="0" t="0" r="7620" b="15240"/>
                  <wp:wrapNone/>
                  <wp:docPr id="290" name="图片_214"/>
                  <wp:cNvGraphicFramePr/>
                  <a:graphic xmlns:a="http://schemas.openxmlformats.org/drawingml/2006/main">
                    <a:graphicData uri="http://schemas.openxmlformats.org/drawingml/2006/picture">
                      <pic:pic xmlns:pic="http://schemas.openxmlformats.org/drawingml/2006/picture">
                        <pic:nvPicPr>
                          <pic:cNvPr id="290" name="图片_214"/>
                          <pic:cNvPicPr/>
                        </pic:nvPicPr>
                        <pic:blipFill>
                          <a:blip r:embed="rId263"/>
                          <a:stretch>
                            <a:fillRect/>
                          </a:stretch>
                        </pic:blipFill>
                        <pic:spPr>
                          <a:xfrm>
                            <a:off x="0" y="0"/>
                            <a:ext cx="1192530" cy="8610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4800*1200*750</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3.封边条：采用优质PVC封边条，符合国家相关标准；；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4.钢管脚壁厚，横梁壁厚≥1.8mm；符合国家相关标准；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5.电源：台面设置1个铝塑翻板线盒（内含3个86孔位，方便主机用电）；线盒翻板均为铝合金翻板；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6.热固性粉末涂料：符合国家相关标准；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1.台面板材厚度25mm,边部10mm薄边,斜切,光滑平整、不易破损、脱落；</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149860</wp:posOffset>
                  </wp:positionV>
                  <wp:extent cx="982980" cy="1206500"/>
                  <wp:effectExtent l="0" t="0" r="7620" b="12700"/>
                  <wp:wrapNone/>
                  <wp:docPr id="274" name="图片_215"/>
                  <wp:cNvGraphicFramePr/>
                  <a:graphic xmlns:a="http://schemas.openxmlformats.org/drawingml/2006/main">
                    <a:graphicData uri="http://schemas.openxmlformats.org/drawingml/2006/picture">
                      <pic:pic xmlns:pic="http://schemas.openxmlformats.org/drawingml/2006/picture">
                        <pic:nvPicPr>
                          <pic:cNvPr id="274" name="图片_215"/>
                          <pic:cNvPicPr/>
                        </pic:nvPicPr>
                        <pic:blipFill>
                          <a:blip r:embed="rId264"/>
                          <a:stretch>
                            <a:fillRect/>
                          </a:stretch>
                        </pic:blipFill>
                        <pic:spPr>
                          <a:xfrm>
                            <a:off x="0" y="0"/>
                            <a:ext cx="982980" cy="12065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620*610*1000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1.面料：采用优质网布面料，符合国家相关标准；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2.背框:尼龙+30%玻纤,符合国家环保标准；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4.曲木板：采用优质成型胶合板,符合国家相关标准；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5.扶手:固定PA扶手，符合国家相关标准；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6).椅架:壁厚2.0mm，符合国家相关标准；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茶水柜1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184785</wp:posOffset>
                  </wp:positionV>
                  <wp:extent cx="1173480" cy="760095"/>
                  <wp:effectExtent l="0" t="0" r="7620" b="1905"/>
                  <wp:wrapNone/>
                  <wp:docPr id="291" name="图片_219"/>
                  <wp:cNvGraphicFramePr/>
                  <a:graphic xmlns:a="http://schemas.openxmlformats.org/drawingml/2006/main">
                    <a:graphicData uri="http://schemas.openxmlformats.org/drawingml/2006/picture">
                      <pic:pic xmlns:pic="http://schemas.openxmlformats.org/drawingml/2006/picture">
                        <pic:nvPicPr>
                          <pic:cNvPr id="291" name="图片_219"/>
                          <pic:cNvPicPr/>
                        </pic:nvPicPr>
                        <pic:blipFill>
                          <a:blip r:embed="rId258"/>
                          <a:stretch>
                            <a:fillRect/>
                          </a:stretch>
                        </pic:blipFill>
                        <pic:spPr>
                          <a:xfrm>
                            <a:off x="0" y="0"/>
                            <a:ext cx="1173480" cy="7600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1621*400*805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6.亚克力:符合国家相关标准；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5"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正处级领导办公室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925830</wp:posOffset>
                  </wp:positionV>
                  <wp:extent cx="1123950" cy="715645"/>
                  <wp:effectExtent l="0" t="0" r="0" b="8255"/>
                  <wp:wrapNone/>
                  <wp:docPr id="265" name="图片_208"/>
                  <wp:cNvGraphicFramePr/>
                  <a:graphic xmlns:a="http://schemas.openxmlformats.org/drawingml/2006/main">
                    <a:graphicData uri="http://schemas.openxmlformats.org/drawingml/2006/picture">
                      <pic:pic xmlns:pic="http://schemas.openxmlformats.org/drawingml/2006/picture">
                        <pic:nvPicPr>
                          <pic:cNvPr id="265" name="图片_208"/>
                          <pic:cNvPicPr/>
                        </pic:nvPicPr>
                        <pic:blipFill>
                          <a:blip r:embed="rId265"/>
                          <a:stretch>
                            <a:fillRect/>
                          </a:stretch>
                        </pic:blipFill>
                        <pic:spPr>
                          <a:xfrm>
                            <a:off x="0" y="0"/>
                            <a:ext cx="1123950" cy="7156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1600*800*760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侧柜：1200*400*590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推柜：420*550*593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1.基材：采用E0级中纤板：符合国家相关标准；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功能说明:含侧柜和推柜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5.颜色：桌柜颜色一致，都为暗红色，颜色与处长桌1相近；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8.三节轨：采用优质三节轨，符合国家相关标准；；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功能说明：含1个多功能线盒，其模块为：3个电源模块、1个网络模块(CAT.6)、1个HDMI模块、1个电话模块、2个USB充电接口；</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57</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7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书柜2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508000</wp:posOffset>
                  </wp:positionV>
                  <wp:extent cx="989965" cy="1273175"/>
                  <wp:effectExtent l="0" t="0" r="635" b="3175"/>
                  <wp:wrapNone/>
                  <wp:docPr id="260" name="图片_205"/>
                  <wp:cNvGraphicFramePr/>
                  <a:graphic xmlns:a="http://schemas.openxmlformats.org/drawingml/2006/main">
                    <a:graphicData uri="http://schemas.openxmlformats.org/drawingml/2006/picture">
                      <pic:pic xmlns:pic="http://schemas.openxmlformats.org/drawingml/2006/picture">
                        <pic:nvPicPr>
                          <pic:cNvPr id="260" name="图片_205"/>
                          <pic:cNvPicPr/>
                        </pic:nvPicPr>
                        <pic:blipFill>
                          <a:blip r:embed="rId266"/>
                          <a:stretch>
                            <a:fillRect/>
                          </a:stretch>
                        </pic:blipFill>
                        <pic:spPr>
                          <a:xfrm>
                            <a:off x="0" y="0"/>
                            <a:ext cx="989965" cy="12731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1592*400*2005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1.基材：采用E0级中纤板：符合国家相关标准；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5.喷涂铝材:采用AL6063-T5铝合金,符合国家相关标准；；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1.钢化玻璃:符合国家相关标准；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2.采用采用无醛白胶,产品更绿色、环保；</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57</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1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146685</wp:posOffset>
                  </wp:positionH>
                  <wp:positionV relativeFrom="paragraph">
                    <wp:posOffset>754380</wp:posOffset>
                  </wp:positionV>
                  <wp:extent cx="1143635" cy="1531620"/>
                  <wp:effectExtent l="0" t="0" r="18415" b="11430"/>
                  <wp:wrapNone/>
                  <wp:docPr id="261" name="图片_204"/>
                  <wp:cNvGraphicFramePr/>
                  <a:graphic xmlns:a="http://schemas.openxmlformats.org/drawingml/2006/main">
                    <a:graphicData uri="http://schemas.openxmlformats.org/drawingml/2006/picture">
                      <pic:pic xmlns:pic="http://schemas.openxmlformats.org/drawingml/2006/picture">
                        <pic:nvPicPr>
                          <pic:cNvPr id="261" name="图片_204"/>
                          <pic:cNvPicPr/>
                        </pic:nvPicPr>
                        <pic:blipFill>
                          <a:blip r:embed="rId267"/>
                          <a:stretch>
                            <a:fillRect/>
                          </a:stretch>
                        </pic:blipFill>
                        <pic:spPr>
                          <a:xfrm>
                            <a:off x="0" y="0"/>
                            <a:ext cx="1143635" cy="153162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690*660*1190mm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2.背框:尼龙+30%玻纤,符合国家环保标准；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3.曲木板：采用E1级优质曲木板，≥12mm外板≥6mm内板；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5.底盘:采用优质底盘,底座钢板厚度≥2mm；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8.椅轮:采用优质PA轮,符合国家相关标准；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9.扶手:固定PA扶手，强度高、耐腐蚀；</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1)底盘调节:STG背座同步倾仰,四档锁定功能,自负重机构无需调节倾仰力度,座垫可前后滑动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2)扶手调节:扶手可上下调节≥85mm,左右≥15°旋转,扶手面前后滑动≥40mm,左右宽度调节≥30mm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3)椅背调节：左右摇摆各≥15°，共计≥30°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4)椅背调节：下背前后调节≥62mm，9档锁定功能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5)头枕调节:上端旋转≥140°，下端旋转≥60°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6)头枕调节:上下调节≥55mm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57</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5"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洽谈桌1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90805</wp:posOffset>
                  </wp:positionV>
                  <wp:extent cx="973455" cy="1052195"/>
                  <wp:effectExtent l="0" t="0" r="17145" b="14605"/>
                  <wp:wrapNone/>
                  <wp:docPr id="275" name="图片_178"/>
                  <wp:cNvGraphicFramePr/>
                  <a:graphic xmlns:a="http://schemas.openxmlformats.org/drawingml/2006/main">
                    <a:graphicData uri="http://schemas.openxmlformats.org/drawingml/2006/picture">
                      <pic:pic xmlns:pic="http://schemas.openxmlformats.org/drawingml/2006/picture">
                        <pic:nvPicPr>
                          <pic:cNvPr id="275" name="图片_178"/>
                          <pic:cNvPicPr/>
                        </pic:nvPicPr>
                        <pic:blipFill>
                          <a:blip r:embed="rId268"/>
                          <a:stretch>
                            <a:fillRect/>
                          </a:stretch>
                        </pic:blipFill>
                        <pic:spPr>
                          <a:xfrm>
                            <a:off x="0" y="0"/>
                            <a:ext cx="973455" cy="10521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800*800*750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4.钢架：壁厚≥1.8mm，符合国家相关标准；                                                                    5)热固性粉末涂料：符合国家相关标准；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3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洽谈椅1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81915</wp:posOffset>
                  </wp:positionV>
                  <wp:extent cx="948690" cy="1041400"/>
                  <wp:effectExtent l="0" t="0" r="3810" b="6350"/>
                  <wp:wrapNone/>
                  <wp:docPr id="276" name="图片_179"/>
                  <wp:cNvGraphicFramePr/>
                  <a:graphic xmlns:a="http://schemas.openxmlformats.org/drawingml/2006/main">
                    <a:graphicData uri="http://schemas.openxmlformats.org/drawingml/2006/picture">
                      <pic:pic xmlns:pic="http://schemas.openxmlformats.org/drawingml/2006/picture">
                        <pic:nvPicPr>
                          <pic:cNvPr id="276" name="图片_179"/>
                          <pic:cNvPicPr/>
                        </pic:nvPicPr>
                        <pic:blipFill>
                          <a:blip r:embed="rId269"/>
                          <a:stretch>
                            <a:fillRect/>
                          </a:stretch>
                        </pic:blipFill>
                        <pic:spPr>
                          <a:xfrm>
                            <a:off x="0" y="0"/>
                            <a:ext cx="948690" cy="10414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660*620*820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3.椅架：采用实木油漆架，表面喷涂水性面漆；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功能说明：腰靠突出区宽360mm，高206mm，大面积支撑人体腰曲位置，自动挺直腰椎，缓解脊椎压力；</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处级以下办公室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办公桌3</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831215</wp:posOffset>
                  </wp:positionV>
                  <wp:extent cx="1190625" cy="856615"/>
                  <wp:effectExtent l="0" t="0" r="9525" b="635"/>
                  <wp:wrapNone/>
                  <wp:docPr id="283" name="图片_206"/>
                  <wp:cNvGraphicFramePr/>
                  <a:graphic xmlns:a="http://schemas.openxmlformats.org/drawingml/2006/main">
                    <a:graphicData uri="http://schemas.openxmlformats.org/drawingml/2006/picture">
                      <pic:pic xmlns:pic="http://schemas.openxmlformats.org/drawingml/2006/picture">
                        <pic:nvPicPr>
                          <pic:cNvPr id="283" name="图片_206"/>
                          <pic:cNvPicPr/>
                        </pic:nvPicPr>
                        <pic:blipFill>
                          <a:blip r:embed="rId270"/>
                          <a:stretch>
                            <a:fillRect/>
                          </a:stretch>
                        </pic:blipFill>
                        <pic:spPr>
                          <a:xfrm>
                            <a:off x="0" y="0"/>
                            <a:ext cx="1190625" cy="8566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1780*1600*1150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侧柜：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1600*400*1150 mm    </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4.五金件：钢制脚架采用60*25mm方管，倒斜角10*10mm，壁厚≥1.8mm，45°斗角焊接，表面喷塑；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5.固定柜：含三抽柜，抽屉内抽旁采用45°拼接，表面PVC包覆，抽底板采用5MM中纤板，与抽旁采用拉槽连接方式；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6.功能配置：含桌下挡板，尺寸900*300mm，采用8MM聚酯纤维板，桌面线盒最少预留3个86型电源模块位置；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7.下架：静电粉末喷涂钢制下架；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8.热固性粉末涂料：符合国家相关标准；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1.桌面线盒采用集成插座,含电源模块、USB模块,符合3C或者CE认证要求；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2.聚酯纤维板:毛毡板采用聚酯纤维,符合国家相关标准；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文件柜3</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259080</wp:posOffset>
                  </wp:positionH>
                  <wp:positionV relativeFrom="paragraph">
                    <wp:posOffset>102870</wp:posOffset>
                  </wp:positionV>
                  <wp:extent cx="627380" cy="1191260"/>
                  <wp:effectExtent l="0" t="0" r="1270" b="8890"/>
                  <wp:wrapNone/>
                  <wp:docPr id="294" name="图片_210_SpCnt_4"/>
                  <wp:cNvGraphicFramePr/>
                  <a:graphic xmlns:a="http://schemas.openxmlformats.org/drawingml/2006/main">
                    <a:graphicData uri="http://schemas.openxmlformats.org/drawingml/2006/picture">
                      <pic:pic xmlns:pic="http://schemas.openxmlformats.org/drawingml/2006/picture">
                        <pic:nvPicPr>
                          <pic:cNvPr id="294" name="图片_210_SpCnt_4"/>
                          <pic:cNvPicPr/>
                        </pic:nvPicPr>
                        <pic:blipFill>
                          <a:blip r:embed="rId271"/>
                          <a:stretch>
                            <a:fillRect/>
                          </a:stretch>
                        </pic:blipFill>
                        <pic:spPr>
                          <a:xfrm>
                            <a:off x="0" y="0"/>
                            <a:ext cx="627380" cy="11912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900*400*1966mm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可选配玻璃柜门</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备注：层板可活动、可拆卸；上门柜的木门板可选配玻璃门板；</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更衣柜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152400</wp:posOffset>
                  </wp:positionV>
                  <wp:extent cx="1160780" cy="1303655"/>
                  <wp:effectExtent l="0" t="0" r="1270" b="10795"/>
                  <wp:wrapNone/>
                  <wp:docPr id="315" name="图片_209"/>
                  <wp:cNvGraphicFramePr/>
                  <a:graphic xmlns:a="http://schemas.openxmlformats.org/drawingml/2006/main">
                    <a:graphicData uri="http://schemas.openxmlformats.org/drawingml/2006/picture">
                      <pic:pic xmlns:pic="http://schemas.openxmlformats.org/drawingml/2006/picture">
                        <pic:nvPicPr>
                          <pic:cNvPr id="315" name="图片_209"/>
                          <pic:cNvPicPr/>
                        </pic:nvPicPr>
                        <pic:blipFill>
                          <a:blip r:embed="rId272"/>
                          <a:stretch>
                            <a:fillRect/>
                          </a:stretch>
                        </pic:blipFill>
                        <pic:spPr>
                          <a:xfrm>
                            <a:off x="0" y="0"/>
                            <a:ext cx="1160780" cy="130365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900*515*1790 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1）基材：柜体主体采用大于0.7mm优质冷轧钢板；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2）表面外观：符合国家相关标准；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柜体工艺特点：门板、抽屉面板均采用双层全封工艺，外表面无裸漏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4）五金：采用优质铰链，符合国家相关标准；；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925830</wp:posOffset>
                  </wp:positionV>
                  <wp:extent cx="1143635" cy="1531620"/>
                  <wp:effectExtent l="0" t="0" r="18415" b="11430"/>
                  <wp:wrapNone/>
                  <wp:docPr id="302" name="图片_181"/>
                  <wp:cNvGraphicFramePr/>
                  <a:graphic xmlns:a="http://schemas.openxmlformats.org/drawingml/2006/main">
                    <a:graphicData uri="http://schemas.openxmlformats.org/drawingml/2006/picture">
                      <pic:pic xmlns:pic="http://schemas.openxmlformats.org/drawingml/2006/picture">
                        <pic:nvPicPr>
                          <pic:cNvPr id="302" name="图片_181"/>
                          <pic:cNvPicPr/>
                        </pic:nvPicPr>
                        <pic:blipFill>
                          <a:blip r:embed="rId267"/>
                          <a:stretch>
                            <a:fillRect/>
                          </a:stretch>
                        </pic:blipFill>
                        <pic:spPr>
                          <a:xfrm>
                            <a:off x="0" y="0"/>
                            <a:ext cx="1143635" cy="153162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690*660*1190mm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2.背框:尼龙+30%玻纤,符合国家环保标准；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3.曲木板：采用E1级优质曲木板，≥12mm外板≥6mm内板；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5.底盘:采用优质底盘,底座钢板厚度≥2mm；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8.椅轮:采用优质PA轮,符合国家相关标准；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9.扶手:固定PA扶手，强度高、耐腐蚀；</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1)底盘调节:STG背座同步倾仰,四档锁定功能,自负重机构无需调节倾仰力度,座垫可前后滑动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2)扶手调节:扶手可上下调节≥85mm,左右≥15°旋转,扶手面前后滑动≥40mm,左右宽度调节≥30mm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3)椅背调节：左右摇摆各≥15°，共计≥30°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4)椅背调节：下背前后调节≥62mm，9档锁定功能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5)头枕调节:上端旋转≥140°，下端旋转≥60°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6)头枕调节:上下调节≥55mm                                                                                                 </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0"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二层财务中心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办公桌3</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583565</wp:posOffset>
                  </wp:positionV>
                  <wp:extent cx="1190625" cy="855980"/>
                  <wp:effectExtent l="0" t="0" r="9525" b="1270"/>
                  <wp:wrapNone/>
                  <wp:docPr id="298" name="图片_210_SpCnt_5"/>
                  <wp:cNvGraphicFramePr/>
                  <a:graphic xmlns:a="http://schemas.openxmlformats.org/drawingml/2006/main">
                    <a:graphicData uri="http://schemas.openxmlformats.org/drawingml/2006/picture">
                      <pic:pic xmlns:pic="http://schemas.openxmlformats.org/drawingml/2006/picture">
                        <pic:nvPicPr>
                          <pic:cNvPr id="298" name="图片_210_SpCnt_5"/>
                          <pic:cNvPicPr/>
                        </pic:nvPicPr>
                        <pic:blipFill>
                          <a:blip r:embed="rId270"/>
                          <a:stretch>
                            <a:fillRect/>
                          </a:stretch>
                        </pic:blipFill>
                        <pic:spPr>
                          <a:xfrm>
                            <a:off x="0" y="0"/>
                            <a:ext cx="1190625" cy="8559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1780*1600*1150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侧柜：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1600*400*1150 mm    </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4.五金件：钢制脚架采用60*25mm方管，倒斜角10*10mm，壁厚≥1.8mm，45°斗角焊接，表面喷塑；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5.固定柜：含三抽柜，抽屉内抽旁采用45°拼接，表面PVC包覆，抽底板采用5MM中纤板，与抽旁采用拉槽连接方式；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6.功能配置：含桌下挡板，尺寸900*300mm，采用8MM聚酯纤维板，桌面线盒最少预留3个86型电源模块位置；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7.下架：静电粉末喷涂钢制下架；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8.热固性粉末涂料：符合国家相关标准；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1.桌面线盒采用集成插座,含电源模块、USB模块,符合3C或者CE认证要求；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2.聚酯纤维板:毛毡板采用聚酯纤维,符合国家相关标准；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6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财务桌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132715</wp:posOffset>
                  </wp:positionV>
                  <wp:extent cx="1170305" cy="885190"/>
                  <wp:effectExtent l="0" t="0" r="10795" b="10160"/>
                  <wp:wrapNone/>
                  <wp:docPr id="312" name="图片_211"/>
                  <wp:cNvGraphicFramePr/>
                  <a:graphic xmlns:a="http://schemas.openxmlformats.org/drawingml/2006/main">
                    <a:graphicData uri="http://schemas.openxmlformats.org/drawingml/2006/picture">
                      <pic:pic xmlns:pic="http://schemas.openxmlformats.org/drawingml/2006/picture">
                        <pic:nvPicPr>
                          <pic:cNvPr id="312" name="图片_211"/>
                          <pic:cNvPicPr/>
                        </pic:nvPicPr>
                        <pic:blipFill>
                          <a:blip r:embed="rId273"/>
                          <a:stretch>
                            <a:fillRect/>
                          </a:stretch>
                        </pic:blipFill>
                        <pic:spPr>
                          <a:xfrm>
                            <a:off x="0" y="0"/>
                            <a:ext cx="1170305" cy="8851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1500*600*800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3）封边条：符合国家相关标准；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4）三节轨：采用优质三节轨，符合国家相关标准；；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 功能说明：含主机箱柜，含打印机柜，台面需预留出线取电孔位；</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打印机柜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276860</wp:posOffset>
                  </wp:positionV>
                  <wp:extent cx="1138555" cy="988695"/>
                  <wp:effectExtent l="0" t="0" r="4445" b="1905"/>
                  <wp:wrapNone/>
                  <wp:docPr id="310" name="图片_212"/>
                  <wp:cNvGraphicFramePr/>
                  <a:graphic xmlns:a="http://schemas.openxmlformats.org/drawingml/2006/main">
                    <a:graphicData uri="http://schemas.openxmlformats.org/drawingml/2006/picture">
                      <pic:pic xmlns:pic="http://schemas.openxmlformats.org/drawingml/2006/picture">
                        <pic:nvPicPr>
                          <pic:cNvPr id="310" name="图片_212"/>
                          <pic:cNvPicPr/>
                        </pic:nvPicPr>
                        <pic:blipFill>
                          <a:blip r:embed="rId274"/>
                          <a:stretch>
                            <a:fillRect/>
                          </a:stretch>
                        </pic:blipFill>
                        <pic:spPr>
                          <a:xfrm>
                            <a:off x="0" y="0"/>
                            <a:ext cx="1138555" cy="9886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1200*400*750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5）家具锁：符合符合国家相关标准；；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373380</wp:posOffset>
                  </wp:positionV>
                  <wp:extent cx="1143635" cy="1531620"/>
                  <wp:effectExtent l="0" t="0" r="18415" b="11430"/>
                  <wp:wrapNone/>
                  <wp:docPr id="314" name="图片_182"/>
                  <wp:cNvGraphicFramePr/>
                  <a:graphic xmlns:a="http://schemas.openxmlformats.org/drawingml/2006/main">
                    <a:graphicData uri="http://schemas.openxmlformats.org/drawingml/2006/picture">
                      <pic:pic xmlns:pic="http://schemas.openxmlformats.org/drawingml/2006/picture">
                        <pic:nvPicPr>
                          <pic:cNvPr id="314" name="图片_182"/>
                          <pic:cNvPicPr/>
                        </pic:nvPicPr>
                        <pic:blipFill>
                          <a:blip r:embed="rId267"/>
                          <a:stretch>
                            <a:fillRect/>
                          </a:stretch>
                        </pic:blipFill>
                        <pic:spPr>
                          <a:xfrm>
                            <a:off x="0" y="0"/>
                            <a:ext cx="1143635" cy="153162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690*660*1190mm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2.背框:尼龙+30%玻纤,符合国家环保标准；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3.曲木板：采用E1级优质曲木板，≥12mm外板≥6mm内板；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5.底盘:采用优质底盘,底座钢板厚度≥2mm；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8.椅轮:采用优质PA轮,符合国家相关标准；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9.扶手:固定PA扶手，强度高、耐腐蚀；</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1)底盘调节:STG背座同步倾仰,四档锁定功能,自负重机构无需调节倾仰力度,座垫可前后滑动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2)扶手调节:扶手可上下调节≥85mm,左右≥15°旋转,扶手面前后滑动≥40mm,左右宽度调节≥30mm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3)椅背调节：左右摇摆各≥15°，共计≥30°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4)椅背调节：下背前后调节≥62mm，9档锁定功能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5)头枕调节:上端旋转≥140°，下端旋转≥60°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6)头枕调节:上下调节≥55mm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定制工作台（含玻璃门）</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90170</wp:posOffset>
                  </wp:positionV>
                  <wp:extent cx="1115060" cy="1310005"/>
                  <wp:effectExtent l="0" t="0" r="8890" b="4445"/>
                  <wp:wrapNone/>
                  <wp:docPr id="321" name="图片_213"/>
                  <wp:cNvGraphicFramePr/>
                  <a:graphic xmlns:a="http://schemas.openxmlformats.org/drawingml/2006/main">
                    <a:graphicData uri="http://schemas.openxmlformats.org/drawingml/2006/picture">
                      <pic:pic xmlns:pic="http://schemas.openxmlformats.org/drawingml/2006/picture">
                        <pic:nvPicPr>
                          <pic:cNvPr id="321" name="图片_213"/>
                          <pic:cNvPicPr/>
                        </pic:nvPicPr>
                        <pic:blipFill>
                          <a:blip r:embed="rId275"/>
                          <a:stretch>
                            <a:fillRect/>
                          </a:stretch>
                        </pic:blipFill>
                        <pic:spPr>
                          <a:xfrm>
                            <a:off x="0" y="0"/>
                            <a:ext cx="1115060" cy="13100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暂定尺寸15000*400*1100mm  玻璃门1500*2100mm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（具体尺寸依据现场实际为准）其中大理石台面宽度为420mm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6.台面选用复合亚克力；材料性能：符合国家相关标准要求；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7.12MM厚钢化玻璃门；</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9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文件柜（钢制）</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243840</wp:posOffset>
                  </wp:positionV>
                  <wp:extent cx="1219200" cy="1013460"/>
                  <wp:effectExtent l="0" t="0" r="0" b="15240"/>
                  <wp:wrapNone/>
                  <wp:docPr id="308" name="图片_183"/>
                  <wp:cNvGraphicFramePr/>
                  <a:graphic xmlns:a="http://schemas.openxmlformats.org/drawingml/2006/main">
                    <a:graphicData uri="http://schemas.openxmlformats.org/drawingml/2006/picture">
                      <pic:pic xmlns:pic="http://schemas.openxmlformats.org/drawingml/2006/picture">
                        <pic:nvPicPr>
                          <pic:cNvPr id="308" name="图片_183"/>
                          <pic:cNvPicPr/>
                        </pic:nvPicPr>
                        <pic:blipFill>
                          <a:blip r:embed="rId276"/>
                          <a:stretch>
                            <a:fillRect/>
                          </a:stretch>
                        </pic:blipFill>
                        <pic:spPr>
                          <a:xfrm>
                            <a:off x="0" y="0"/>
                            <a:ext cx="1219200" cy="10134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900*450*1864 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1）基材：柜体主体采用大于0.6mm优质冷轧钢板；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2）表面外观：符合国家相关标准；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柜体工艺特点：门板、抽屉面板均采用双层全封工艺，外表面无裸漏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4）五金：采用优质铰链，符合国家相关标准；；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4"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4-11会客室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接待沙发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762000</wp:posOffset>
                  </wp:positionV>
                  <wp:extent cx="1196340" cy="611505"/>
                  <wp:effectExtent l="0" t="0" r="3810" b="17145"/>
                  <wp:wrapNone/>
                  <wp:docPr id="306" name="图片_184"/>
                  <wp:cNvGraphicFramePr/>
                  <a:graphic xmlns:a="http://schemas.openxmlformats.org/drawingml/2006/main">
                    <a:graphicData uri="http://schemas.openxmlformats.org/drawingml/2006/picture">
                      <pic:pic xmlns:pic="http://schemas.openxmlformats.org/drawingml/2006/picture">
                        <pic:nvPicPr>
                          <pic:cNvPr id="306" name="图片_184"/>
                          <pic:cNvPicPr/>
                        </pic:nvPicPr>
                        <pic:blipFill>
                          <a:blip r:embed="rId277"/>
                          <a:stretch>
                            <a:fillRect/>
                          </a:stretch>
                        </pic:blipFill>
                        <pic:spPr>
                          <a:xfrm>
                            <a:off x="0" y="0"/>
                            <a:ext cx="1196340" cy="6115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870*800*820 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1.面材：采用优质真皮，依据相关标准 ，厚度≥ 1.0mm；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2.基材：采用E0级实木多层板，符合国家相关标准；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4.绷带：甲醛含量未检出，符合国家相关标准；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5.椅架：采用实木油漆架，油漆采用水性漆，依据相关标准；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6.水基型胶粘剂：符合国家相关标准；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7.蛇形弹簧：符合国家相关标准；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2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茶几2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173990</wp:posOffset>
                  </wp:positionH>
                  <wp:positionV relativeFrom="paragraph">
                    <wp:posOffset>54610</wp:posOffset>
                  </wp:positionV>
                  <wp:extent cx="981075" cy="911860"/>
                  <wp:effectExtent l="0" t="0" r="9525" b="2540"/>
                  <wp:wrapNone/>
                  <wp:docPr id="299" name="图片_185"/>
                  <wp:cNvGraphicFramePr/>
                  <a:graphic xmlns:a="http://schemas.openxmlformats.org/drawingml/2006/main">
                    <a:graphicData uri="http://schemas.openxmlformats.org/drawingml/2006/picture">
                      <pic:pic xmlns:pic="http://schemas.openxmlformats.org/drawingml/2006/picture">
                        <pic:nvPicPr>
                          <pic:cNvPr id="299" name="图片_185"/>
                          <pic:cNvPicPr/>
                        </pic:nvPicPr>
                        <pic:blipFill>
                          <a:blip r:embed="rId187"/>
                          <a:stretch>
                            <a:fillRect/>
                          </a:stretch>
                        </pic:blipFill>
                        <pic:spPr>
                          <a:xfrm>
                            <a:off x="0" y="0"/>
                            <a:ext cx="981075" cy="9118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700*450*550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茶水柜1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436880</wp:posOffset>
                  </wp:positionV>
                  <wp:extent cx="1300480" cy="842645"/>
                  <wp:effectExtent l="0" t="0" r="13970" b="14605"/>
                  <wp:wrapNone/>
                  <wp:docPr id="296" name="图片_186"/>
                  <wp:cNvGraphicFramePr/>
                  <a:graphic xmlns:a="http://schemas.openxmlformats.org/drawingml/2006/main">
                    <a:graphicData uri="http://schemas.openxmlformats.org/drawingml/2006/picture">
                      <pic:pic xmlns:pic="http://schemas.openxmlformats.org/drawingml/2006/picture">
                        <pic:nvPicPr>
                          <pic:cNvPr id="296" name="图片_186"/>
                          <pic:cNvPicPr/>
                        </pic:nvPicPr>
                        <pic:blipFill>
                          <a:blip r:embed="rId278"/>
                          <a:stretch>
                            <a:fillRect/>
                          </a:stretch>
                        </pic:blipFill>
                        <pic:spPr>
                          <a:xfrm>
                            <a:off x="0" y="0"/>
                            <a:ext cx="1300480" cy="8426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1621*400*805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6.亚克力:符合国家相关标准；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密集档案室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手动密集档案柜</w:t>
            </w:r>
          </w:p>
        </w:tc>
        <w:tc>
          <w:tcPr>
            <w:tcW w:w="2576" w:type="dxa"/>
            <w:tcBorders>
              <w:tl2br w:val="nil"/>
              <w:tr2bl w:val="nil"/>
            </w:tcBorders>
            <w:shd w:val="clear" w:color="auto" w:fill="auto"/>
            <w:vAlign w:val="center"/>
          </w:tcPr>
          <w:p>
            <w:pPr>
              <w:keepNext w:val="0"/>
              <w:keepLines w:val="0"/>
              <w:widowControl/>
              <w:suppressLineNumbers w:val="0"/>
              <w:jc w:val="righ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731520</wp:posOffset>
                  </wp:positionV>
                  <wp:extent cx="1133475" cy="678815"/>
                  <wp:effectExtent l="0" t="0" r="9525" b="6985"/>
                  <wp:wrapNone/>
                  <wp:docPr id="297" name="图片_187"/>
                  <wp:cNvGraphicFramePr/>
                  <a:graphic xmlns:a="http://schemas.openxmlformats.org/drawingml/2006/main">
                    <a:graphicData uri="http://schemas.openxmlformats.org/drawingml/2006/picture">
                      <pic:pic xmlns:pic="http://schemas.openxmlformats.org/drawingml/2006/picture">
                        <pic:nvPicPr>
                          <pic:cNvPr id="297" name="图片_187"/>
                          <pic:cNvPicPr/>
                        </pic:nvPicPr>
                        <pic:blipFill>
                          <a:blip r:embed="rId279"/>
                          <a:stretch>
                            <a:fillRect/>
                          </a:stretch>
                        </pic:blipFill>
                        <pic:spPr>
                          <a:xfrm>
                            <a:off x="0" y="0"/>
                            <a:ext cx="1133475" cy="6788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立方米</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1.轨道座:采用优质冷轧钢板，厚度≥3.0mm,表面静电喷塑，喷塑前经严格去油、除锈、磷化处理；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2.轨道方钢：采用22×22mm实心方钢，表面静电喷塑，喷塑前经严格去油、除锈、磷化处理；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3.底盘:底梁、轴承档、夹紧板,采用优质冷轧钢板，厚度≥3.0mm,表面静电喷塑，喷塑前经严格去油、除锈、磷化处理；底盘采用整体焊接，钢性足，不变形，表面喷塑;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4.立柱板:采用优质冷轧钢板，厚度≥1.2mm,架体结实、坚固、设计新颖，安装规范，层数和间距自由调整，表面喷塑;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5.搁板、分隔板、搁脚（挂板）、门框、门板、侧护板、侧面板等均采用优质冷轧钢板，厚度≥0.8mm,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6.轴承采用双向滚珠轴承，精密度高，万向灵活，材料质量好；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转动轴、传动机构配合精度高，定位可靠；传动轻便灵活，摇力轻，运行平稳，性能达到和超过国家标准；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7.连接钢管采用直径为25*2.5mm的无缝钢管；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8.摇手体采用双向超越离合器结构，手感舒适，可折迭，以避免信道障碍；</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9.制动装置：磁性密封条，操作方便，制动可靠，使用存取安全，每列的接触面均有缓冲及密封装置，具有良好的防震、防尘、防鼠、防潮、防火功能。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10.防尘板、顶板、防鼠板采用优质冷轧钢板，厚度≥1.0mm,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11.具有防倾倒装置；</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立方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2"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体育馆办公室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办公桌3</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647700</wp:posOffset>
                  </wp:positionV>
                  <wp:extent cx="1190625" cy="855980"/>
                  <wp:effectExtent l="0" t="0" r="9525" b="1270"/>
                  <wp:wrapNone/>
                  <wp:docPr id="300" name="图片_207"/>
                  <wp:cNvGraphicFramePr/>
                  <a:graphic xmlns:a="http://schemas.openxmlformats.org/drawingml/2006/main">
                    <a:graphicData uri="http://schemas.openxmlformats.org/drawingml/2006/picture">
                      <pic:pic xmlns:pic="http://schemas.openxmlformats.org/drawingml/2006/picture">
                        <pic:nvPicPr>
                          <pic:cNvPr id="300" name="图片_207"/>
                          <pic:cNvPicPr/>
                        </pic:nvPicPr>
                        <pic:blipFill>
                          <a:blip r:embed="rId270"/>
                          <a:stretch>
                            <a:fillRect/>
                          </a:stretch>
                        </pic:blipFill>
                        <pic:spPr>
                          <a:xfrm>
                            <a:off x="0" y="0"/>
                            <a:ext cx="1190625" cy="8559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1780*1600*1150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侧柜：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1600*400*1150 mm   </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4.五金件：钢制脚架采用60*25mm方管，倒斜角10*10mm，壁厚≥1.8mm，45°斗角焊接，表面喷塑；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5.固定柜：含三抽柜，抽屉内抽旁采用45°拼接，表面PVC包覆，抽底板采用5MM中纤板，与抽旁采用拉槽连接方式；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6.功能配置：含桌下挡板，尺寸900*300mm，采用8MM聚酯纤维板，桌面线盒最少预留3个86型电源模块位置；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7.下架：静电粉末喷涂钢制下架；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8.热固性粉末涂料：符合国家相关标准；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1.桌面线盒采用集成插座,含电源模块、USB模块,符合3C或者CE认证要求；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2.聚酯纤维板:毛毡板采用聚酯纤维,符合国家相关标准；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文件柜3</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220980</wp:posOffset>
                  </wp:positionH>
                  <wp:positionV relativeFrom="paragraph">
                    <wp:posOffset>160020</wp:posOffset>
                  </wp:positionV>
                  <wp:extent cx="754380" cy="1478280"/>
                  <wp:effectExtent l="0" t="0" r="7620" b="7620"/>
                  <wp:wrapNone/>
                  <wp:docPr id="301" name="图片_210_SpCnt_6"/>
                  <wp:cNvGraphicFramePr/>
                  <a:graphic xmlns:a="http://schemas.openxmlformats.org/drawingml/2006/main">
                    <a:graphicData uri="http://schemas.openxmlformats.org/drawingml/2006/picture">
                      <pic:pic xmlns:pic="http://schemas.openxmlformats.org/drawingml/2006/picture">
                        <pic:nvPicPr>
                          <pic:cNvPr id="301" name="图片_210_SpCnt_6"/>
                          <pic:cNvPicPr/>
                        </pic:nvPicPr>
                        <pic:blipFill>
                          <a:blip r:embed="rId128"/>
                          <a:stretch>
                            <a:fillRect/>
                          </a:stretch>
                        </pic:blipFill>
                        <pic:spPr>
                          <a:xfrm>
                            <a:off x="0" y="0"/>
                            <a:ext cx="754380" cy="14782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900*400*1966mm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可选配玻璃柜门</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备注：层板可活动、可拆卸；上门柜的木门板可选配玻璃门板；</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373380</wp:posOffset>
                  </wp:positionV>
                  <wp:extent cx="1143635" cy="1531620"/>
                  <wp:effectExtent l="0" t="0" r="18415" b="11430"/>
                  <wp:wrapNone/>
                  <wp:docPr id="311" name="图片_189"/>
                  <wp:cNvGraphicFramePr/>
                  <a:graphic xmlns:a="http://schemas.openxmlformats.org/drawingml/2006/main">
                    <a:graphicData uri="http://schemas.openxmlformats.org/drawingml/2006/picture">
                      <pic:pic xmlns:pic="http://schemas.openxmlformats.org/drawingml/2006/picture">
                        <pic:nvPicPr>
                          <pic:cNvPr id="311" name="图片_189"/>
                          <pic:cNvPicPr/>
                        </pic:nvPicPr>
                        <pic:blipFill>
                          <a:blip r:embed="rId267"/>
                          <a:stretch>
                            <a:fillRect/>
                          </a:stretch>
                        </pic:blipFill>
                        <pic:spPr>
                          <a:xfrm>
                            <a:off x="0" y="0"/>
                            <a:ext cx="1143635" cy="153162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690*660*1190mm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1.面料:采用环保面料 ，面料经过防火、防污、抗菌、抗静电、耐色牢度、抗强度等加工处理；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2.背框:尼龙+30%玻纤,符合国家环保标准；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3.曲木板：采用E1级优质曲木板，≥12mm外板≥6mm内板；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5.底盘:采用优质底盘,底座钢板厚度≥2mm；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7.气压棒:采用三级优质气杆，符合国家相关标准要求；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8.椅轮:采用优质PA轮,符合国家相关标准；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9.扶手:固定PA扶手，强度高、耐腐蚀；</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1)底盘调节:STG背座同步倾仰,四档锁定功能,自负重机构无需调节倾仰力度,座垫可前后滑动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2)扶手调节:扶手可上下调节≥85mm,左右≥15°旋转,扶手面前后滑动≥40mm,左右宽度调节≥30mm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3)椅背调节：左右摇摆各≥15°，共计≥30°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4)椅背调节：下背前后调节≥62mm，9档锁定功能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5)头枕调节:上端旋转≥140°，下端旋转≥60°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6)头枕调节:上下调节≥55mm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4"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入口大厅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休闲沙发组合</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337185</wp:posOffset>
                  </wp:positionV>
                  <wp:extent cx="1165860" cy="683260"/>
                  <wp:effectExtent l="0" t="0" r="15240" b="2540"/>
                  <wp:wrapNone/>
                  <wp:docPr id="320" name="图片_190"/>
                  <wp:cNvGraphicFramePr/>
                  <a:graphic xmlns:a="http://schemas.openxmlformats.org/drawingml/2006/main">
                    <a:graphicData uri="http://schemas.openxmlformats.org/drawingml/2006/picture">
                      <pic:pic xmlns:pic="http://schemas.openxmlformats.org/drawingml/2006/picture">
                        <pic:nvPicPr>
                          <pic:cNvPr id="320" name="图片_190"/>
                          <pic:cNvPicPr/>
                        </pic:nvPicPr>
                        <pic:blipFill>
                          <a:blip r:embed="rId280"/>
                          <a:stretch>
                            <a:fillRect/>
                          </a:stretch>
                        </pic:blipFill>
                        <pic:spPr>
                          <a:xfrm>
                            <a:off x="0" y="0"/>
                            <a:ext cx="1165860" cy="6832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三人位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2000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820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810 mm (H)</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430 mm (D)</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单人位</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920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820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810 mm (H)</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430 mm (D)</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1）面材：采用优质真皮，依据相关标准 ，厚度≥ 1.0mm；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2）基材：采用E0级实木多层板，符合国家相关标准；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4)绷带：甲醛含量未检出，符合国家相关标准；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5)蛇形弹簧：符合国家相关标准；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6）钢架：符合国家相关标准；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7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两人位休闲沙发1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189230</wp:posOffset>
                  </wp:positionH>
                  <wp:positionV relativeFrom="paragraph">
                    <wp:posOffset>340995</wp:posOffset>
                  </wp:positionV>
                  <wp:extent cx="925195" cy="821055"/>
                  <wp:effectExtent l="0" t="0" r="8255" b="17145"/>
                  <wp:wrapNone/>
                  <wp:docPr id="313" name="图片_191"/>
                  <wp:cNvGraphicFramePr/>
                  <a:graphic xmlns:a="http://schemas.openxmlformats.org/drawingml/2006/main">
                    <a:graphicData uri="http://schemas.openxmlformats.org/drawingml/2006/picture">
                      <pic:pic xmlns:pic="http://schemas.openxmlformats.org/drawingml/2006/picture">
                        <pic:nvPicPr>
                          <pic:cNvPr id="313" name="图片_191"/>
                          <pic:cNvPicPr/>
                        </pic:nvPicPr>
                        <pic:blipFill>
                          <a:blip r:embed="rId281"/>
                          <a:stretch>
                            <a:fillRect/>
                          </a:stretch>
                        </pic:blipFill>
                        <pic:spPr>
                          <a:xfrm>
                            <a:off x="0" y="0"/>
                            <a:ext cx="925195" cy="82105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650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740 mm (H)</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420 mm (D)</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1.面料：采用优质网布面料，符合国家相关标准；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2.基材：采用E0级实木多层板，符合国家相关标准。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3.高弹海绵：采用优质高弹海绵，符合国家相关标准；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4.绷带：甲醛含量未检出，符合国家相关标准；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5.蛇形弹簧：符合国家相关标准；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6.钢管脚壁厚，横梁壁厚≥1.8mm；符合国家相关标准；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7.热固性粉末涂料：符合国家相关标准；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9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单人位休闲沙发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233045</wp:posOffset>
                  </wp:positionH>
                  <wp:positionV relativeFrom="paragraph">
                    <wp:posOffset>467995</wp:posOffset>
                  </wp:positionV>
                  <wp:extent cx="1089660" cy="927735"/>
                  <wp:effectExtent l="0" t="0" r="15240" b="5715"/>
                  <wp:wrapNone/>
                  <wp:docPr id="304" name="图片_192"/>
                  <wp:cNvGraphicFramePr/>
                  <a:graphic xmlns:a="http://schemas.openxmlformats.org/drawingml/2006/main">
                    <a:graphicData uri="http://schemas.openxmlformats.org/drawingml/2006/picture">
                      <pic:pic xmlns:pic="http://schemas.openxmlformats.org/drawingml/2006/picture">
                        <pic:nvPicPr>
                          <pic:cNvPr id="304" name="图片_192"/>
                          <pic:cNvPicPr/>
                        </pic:nvPicPr>
                        <pic:blipFill>
                          <a:blip r:embed="rId282"/>
                          <a:stretch>
                            <a:fillRect/>
                          </a:stretch>
                        </pic:blipFill>
                        <pic:spPr>
                          <a:xfrm>
                            <a:off x="0" y="0"/>
                            <a:ext cx="1089660" cy="9277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650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650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420 mm (H)</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1.面料：采用优质网布面料，符合国家相关标准；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2.基材：采用E0级实木多层板，符合国家相关标准。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3.高弹海绵：采用优质高弹海绵，符合国家相关标准；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4.绷带：甲醛含量未检出，符合国家相关标准；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5.蛇形弹簧：符合国家相关标准；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6.钢管脚壁厚，横梁壁厚≥1.8mm；符合国家相关标准；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7.热固性粉末涂料：符合国家相关标准；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两人位休闲沙发2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620395</wp:posOffset>
                  </wp:positionV>
                  <wp:extent cx="1192530" cy="847090"/>
                  <wp:effectExtent l="0" t="0" r="7620" b="10160"/>
                  <wp:wrapNone/>
                  <wp:docPr id="322" name="图片_193"/>
                  <wp:cNvGraphicFramePr/>
                  <a:graphic xmlns:a="http://schemas.openxmlformats.org/drawingml/2006/main">
                    <a:graphicData uri="http://schemas.openxmlformats.org/drawingml/2006/picture">
                      <pic:pic xmlns:pic="http://schemas.openxmlformats.org/drawingml/2006/picture">
                        <pic:nvPicPr>
                          <pic:cNvPr id="322" name="图片_193"/>
                          <pic:cNvPicPr/>
                        </pic:nvPicPr>
                        <pic:blipFill>
                          <a:blip r:embed="rId283"/>
                          <a:stretch>
                            <a:fillRect/>
                          </a:stretch>
                        </pic:blipFill>
                        <pic:spPr>
                          <a:xfrm>
                            <a:off x="0" y="0"/>
                            <a:ext cx="1192530" cy="8470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650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420 mm (H)</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1.面料：采用优质网布面料，符合国家相关标准；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2.基材：采用E0级实木多层板，符合国家相关标准。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3.高弹海绵：采用优质高弹海绵，符合国家相关标准；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4.绷带：甲醛含量未检出，符合国家相关标准；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5.蛇形弹簧：符合国家相关标准；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6.钢管脚壁厚，横梁壁厚≥1.8mm；符合国家相关标准；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7.热固性粉末涂料：符合国家相关标准；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5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休闲茶几1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420370</wp:posOffset>
                  </wp:positionV>
                  <wp:extent cx="920115" cy="703580"/>
                  <wp:effectExtent l="0" t="0" r="13335" b="1270"/>
                  <wp:wrapNone/>
                  <wp:docPr id="295" name="图片_194"/>
                  <wp:cNvGraphicFramePr/>
                  <a:graphic xmlns:a="http://schemas.openxmlformats.org/drawingml/2006/main">
                    <a:graphicData uri="http://schemas.openxmlformats.org/drawingml/2006/picture">
                      <pic:pic xmlns:pic="http://schemas.openxmlformats.org/drawingml/2006/picture">
                        <pic:nvPicPr>
                          <pic:cNvPr id="295" name="图片_194"/>
                          <pic:cNvPicPr/>
                        </pic:nvPicPr>
                        <pic:blipFill>
                          <a:blip r:embed="rId284"/>
                          <a:stretch>
                            <a:fillRect/>
                          </a:stretch>
                        </pic:blipFill>
                        <pic:spPr>
                          <a:xfrm>
                            <a:off x="0" y="0"/>
                            <a:ext cx="920115" cy="7035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640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650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370 mm (H)</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5)钢管脚壁厚，横梁壁厚≥1.8mm；符合国家相关标准；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6)热固性粉末涂料：符合国家相关标准；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4"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共享空间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异形沙发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320040</wp:posOffset>
                  </wp:positionV>
                  <wp:extent cx="1233805" cy="613410"/>
                  <wp:effectExtent l="0" t="0" r="4445" b="15240"/>
                  <wp:wrapNone/>
                  <wp:docPr id="303" name="图片_195"/>
                  <wp:cNvGraphicFramePr/>
                  <a:graphic xmlns:a="http://schemas.openxmlformats.org/drawingml/2006/main">
                    <a:graphicData uri="http://schemas.openxmlformats.org/drawingml/2006/picture">
                      <pic:pic xmlns:pic="http://schemas.openxmlformats.org/drawingml/2006/picture">
                        <pic:nvPicPr>
                          <pic:cNvPr id="303" name="图片_195"/>
                          <pic:cNvPicPr/>
                        </pic:nvPicPr>
                        <pic:blipFill>
                          <a:blip r:embed="rId285"/>
                          <a:stretch>
                            <a:fillRect/>
                          </a:stretch>
                        </pic:blipFill>
                        <pic:spPr>
                          <a:xfrm>
                            <a:off x="0" y="0"/>
                            <a:ext cx="1233805" cy="61341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3600*1500*870 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2）基材：采用E0级实木多层板，符合国家相关标准；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3）海绵：采用优质高弹海绵，依据相关标准，符合国家相关标准；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4)绷带：甲醛含量未检出，符合国家相关标准；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7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休闲茶几2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200025</wp:posOffset>
                  </wp:positionV>
                  <wp:extent cx="1019175" cy="789305"/>
                  <wp:effectExtent l="0" t="0" r="9525" b="10795"/>
                  <wp:wrapNone/>
                  <wp:docPr id="316" name="图片_198"/>
                  <wp:cNvGraphicFramePr/>
                  <a:graphic xmlns:a="http://schemas.openxmlformats.org/drawingml/2006/main">
                    <a:graphicData uri="http://schemas.openxmlformats.org/drawingml/2006/picture">
                      <pic:pic xmlns:pic="http://schemas.openxmlformats.org/drawingml/2006/picture">
                        <pic:nvPicPr>
                          <pic:cNvPr id="316" name="图片_198"/>
                          <pic:cNvPicPr/>
                        </pic:nvPicPr>
                        <pic:blipFill>
                          <a:blip r:embed="rId286"/>
                          <a:stretch>
                            <a:fillRect/>
                          </a:stretch>
                        </pic:blipFill>
                        <pic:spPr>
                          <a:xfrm>
                            <a:off x="0" y="0"/>
                            <a:ext cx="1019175" cy="7893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500*500*500 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休闲茶几3</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153035</wp:posOffset>
                  </wp:positionV>
                  <wp:extent cx="1084580" cy="902970"/>
                  <wp:effectExtent l="0" t="0" r="1270" b="11430"/>
                  <wp:wrapNone/>
                  <wp:docPr id="309" name="图片_199"/>
                  <wp:cNvGraphicFramePr/>
                  <a:graphic xmlns:a="http://schemas.openxmlformats.org/drawingml/2006/main">
                    <a:graphicData uri="http://schemas.openxmlformats.org/drawingml/2006/picture">
                      <pic:pic xmlns:pic="http://schemas.openxmlformats.org/drawingml/2006/picture">
                        <pic:nvPicPr>
                          <pic:cNvPr id="309" name="图片_199"/>
                          <pic:cNvPicPr/>
                        </pic:nvPicPr>
                        <pic:blipFill>
                          <a:blip r:embed="rId287"/>
                          <a:stretch>
                            <a:fillRect/>
                          </a:stretch>
                        </pic:blipFill>
                        <pic:spPr>
                          <a:xfrm>
                            <a:off x="0" y="0"/>
                            <a:ext cx="1084580" cy="90297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700*700*350 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洽谈桌1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90805</wp:posOffset>
                  </wp:positionV>
                  <wp:extent cx="973455" cy="1052195"/>
                  <wp:effectExtent l="0" t="0" r="17145" b="14605"/>
                  <wp:wrapNone/>
                  <wp:docPr id="305" name="图片_196"/>
                  <wp:cNvGraphicFramePr/>
                  <a:graphic xmlns:a="http://schemas.openxmlformats.org/drawingml/2006/main">
                    <a:graphicData uri="http://schemas.openxmlformats.org/drawingml/2006/picture">
                      <pic:pic xmlns:pic="http://schemas.openxmlformats.org/drawingml/2006/picture">
                        <pic:nvPicPr>
                          <pic:cNvPr id="305" name="图片_196"/>
                          <pic:cNvPicPr/>
                        </pic:nvPicPr>
                        <pic:blipFill>
                          <a:blip r:embed="rId268"/>
                          <a:stretch>
                            <a:fillRect/>
                          </a:stretch>
                        </pic:blipFill>
                        <pic:spPr>
                          <a:xfrm>
                            <a:off x="0" y="0"/>
                            <a:ext cx="973455" cy="10521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800*800*750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4.钢架：壁厚≥1.8mm，符合国家相关标准；                                                                        5)热固性粉末涂料：符合国家相关标准；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3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休闲沙发椅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139065</wp:posOffset>
                  </wp:positionV>
                  <wp:extent cx="952500" cy="1045210"/>
                  <wp:effectExtent l="0" t="0" r="0" b="2540"/>
                  <wp:wrapNone/>
                  <wp:docPr id="318" name="图片_197"/>
                  <wp:cNvGraphicFramePr/>
                  <a:graphic xmlns:a="http://schemas.openxmlformats.org/drawingml/2006/main">
                    <a:graphicData uri="http://schemas.openxmlformats.org/drawingml/2006/picture">
                      <pic:pic xmlns:pic="http://schemas.openxmlformats.org/drawingml/2006/picture">
                        <pic:nvPicPr>
                          <pic:cNvPr id="318" name="图片_197"/>
                          <pic:cNvPicPr/>
                        </pic:nvPicPr>
                        <pic:blipFill>
                          <a:blip r:embed="rId288"/>
                          <a:stretch>
                            <a:fillRect/>
                          </a:stretch>
                        </pic:blipFill>
                        <pic:spPr>
                          <a:xfrm>
                            <a:off x="0" y="0"/>
                            <a:ext cx="952500" cy="104521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660*620*820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2.海绵：高弹海绵，符合国家相关标准；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3.椅架：采用实木油漆架，表面喷涂水性面漆，符合国家相关标准；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功能说明：腰靠突出区宽约360mm，高约200m，大面积支撑人体腰曲位置，自动挺直腰椎，缓解脊椎压力；</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小会议室（一层1间、二层1间、三层1间、4层1间）共4间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45</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会议桌/14人</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117475</wp:posOffset>
                  </wp:positionH>
                  <wp:positionV relativeFrom="paragraph">
                    <wp:posOffset>358775</wp:posOffset>
                  </wp:positionV>
                  <wp:extent cx="1177290" cy="812165"/>
                  <wp:effectExtent l="0" t="0" r="3810" b="6985"/>
                  <wp:wrapNone/>
                  <wp:docPr id="307" name="图片_221"/>
                  <wp:cNvGraphicFramePr/>
                  <a:graphic xmlns:a="http://schemas.openxmlformats.org/drawingml/2006/main">
                    <a:graphicData uri="http://schemas.openxmlformats.org/drawingml/2006/picture">
                      <pic:pic xmlns:pic="http://schemas.openxmlformats.org/drawingml/2006/picture">
                        <pic:nvPicPr>
                          <pic:cNvPr id="307" name="图片_221"/>
                          <pic:cNvPicPr/>
                        </pic:nvPicPr>
                        <pic:blipFill>
                          <a:blip r:embed="rId289"/>
                          <a:stretch>
                            <a:fillRect/>
                          </a:stretch>
                        </pic:blipFill>
                        <pic:spPr>
                          <a:xfrm>
                            <a:off x="0" y="0"/>
                            <a:ext cx="1177290" cy="8121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会议桌：4800*2200*760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中间花坛尺寸：</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3190长*590宽*204深</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功能说明：台面标配翻盖线盒盖，内置3个86型插座孔位，出线孔处设有毛刷，有效避免灰尘进入，电子设备取电方便快捷，远程视讯会议也可轻松开展；</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1.台面装饰板侧边预留凹孔便于手部抓握，掀开后内部为检修口，在理线和后期维修时更加方便；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2.根据客户的需求，台面可以开升降屏孔位；</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8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65405</wp:posOffset>
                  </wp:positionV>
                  <wp:extent cx="981075" cy="1033780"/>
                  <wp:effectExtent l="0" t="0" r="9525" b="13970"/>
                  <wp:wrapNone/>
                  <wp:docPr id="323" name="图片_222"/>
                  <wp:cNvGraphicFramePr/>
                  <a:graphic xmlns:a="http://schemas.openxmlformats.org/drawingml/2006/main">
                    <a:graphicData uri="http://schemas.openxmlformats.org/drawingml/2006/picture">
                      <pic:pic xmlns:pic="http://schemas.openxmlformats.org/drawingml/2006/picture">
                        <pic:nvPicPr>
                          <pic:cNvPr id="323" name="图片_222"/>
                          <pic:cNvPicPr/>
                        </pic:nvPicPr>
                        <pic:blipFill>
                          <a:blip r:embed="rId290"/>
                          <a:stretch>
                            <a:fillRect/>
                          </a:stretch>
                        </pic:blipFill>
                        <pic:spPr>
                          <a:xfrm>
                            <a:off x="0" y="0"/>
                            <a:ext cx="981075" cy="10337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635*735*960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2.曲木板：采用优质曲木板，12mm外板/6mm内板；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4.椅架：采用优质实木油漆架,符合国家相关标准；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黑色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56</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47</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茶水柜1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326390</wp:posOffset>
                  </wp:positionV>
                  <wp:extent cx="1173480" cy="760095"/>
                  <wp:effectExtent l="0" t="0" r="7620" b="1905"/>
                  <wp:wrapNone/>
                  <wp:docPr id="317" name="图片_220"/>
                  <wp:cNvGraphicFramePr/>
                  <a:graphic xmlns:a="http://schemas.openxmlformats.org/drawingml/2006/main">
                    <a:graphicData uri="http://schemas.openxmlformats.org/drawingml/2006/picture">
                      <pic:pic xmlns:pic="http://schemas.openxmlformats.org/drawingml/2006/picture">
                        <pic:nvPicPr>
                          <pic:cNvPr id="317" name="图片_220"/>
                          <pic:cNvPicPr/>
                        </pic:nvPicPr>
                        <pic:blipFill>
                          <a:blip r:embed="rId258"/>
                          <a:stretch>
                            <a:fillRect/>
                          </a:stretch>
                        </pic:blipFill>
                        <pic:spPr>
                          <a:xfrm>
                            <a:off x="0" y="0"/>
                            <a:ext cx="1173480" cy="7600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1621*400*805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6.亚克力:符合国家相关标准；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一层200人会议室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48</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主席桌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200660</wp:posOffset>
                  </wp:positionV>
                  <wp:extent cx="1196975" cy="889000"/>
                  <wp:effectExtent l="0" t="0" r="3175" b="6350"/>
                  <wp:wrapNone/>
                  <wp:docPr id="319" name="图片_224"/>
                  <wp:cNvGraphicFramePr/>
                  <a:graphic xmlns:a="http://schemas.openxmlformats.org/drawingml/2006/main">
                    <a:graphicData uri="http://schemas.openxmlformats.org/drawingml/2006/picture">
                      <pic:pic xmlns:pic="http://schemas.openxmlformats.org/drawingml/2006/picture">
                        <pic:nvPicPr>
                          <pic:cNvPr id="319" name="图片_224"/>
                          <pic:cNvPicPr/>
                        </pic:nvPicPr>
                        <pic:blipFill>
                          <a:blip r:embed="rId291"/>
                          <a:stretch>
                            <a:fillRect/>
                          </a:stretch>
                        </pic:blipFill>
                        <pic:spPr>
                          <a:xfrm>
                            <a:off x="0" y="0"/>
                            <a:ext cx="1196975" cy="8890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1400*600*760mm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49</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主席椅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wp:posOffset>
                  </wp:positionH>
                  <wp:positionV relativeFrom="paragraph">
                    <wp:posOffset>125095</wp:posOffset>
                  </wp:positionV>
                  <wp:extent cx="737870" cy="906145"/>
                  <wp:effectExtent l="0" t="0" r="5080" b="8255"/>
                  <wp:wrapNone/>
                  <wp:docPr id="292" name="图片_225"/>
                  <wp:cNvGraphicFramePr/>
                  <a:graphic xmlns:a="http://schemas.openxmlformats.org/drawingml/2006/main">
                    <a:graphicData uri="http://schemas.openxmlformats.org/drawingml/2006/picture">
                      <pic:pic xmlns:pic="http://schemas.openxmlformats.org/drawingml/2006/picture">
                        <pic:nvPicPr>
                          <pic:cNvPr id="292" name="图片_225"/>
                          <pic:cNvPicPr/>
                        </pic:nvPicPr>
                        <pic:blipFill>
                          <a:blip r:embed="rId292"/>
                          <a:stretch>
                            <a:fillRect/>
                          </a:stretch>
                        </pic:blipFill>
                        <pic:spPr>
                          <a:xfrm>
                            <a:off x="0" y="0"/>
                            <a:ext cx="737870" cy="9061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550*640*910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2.曲木板：采用优质曲木板，12mm外板/6mm内板；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4.椅架：采用优质实木油漆架,符合国家相关标准；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黑色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0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50</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会议条桌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482600</wp:posOffset>
                  </wp:positionV>
                  <wp:extent cx="1162050" cy="899795"/>
                  <wp:effectExtent l="0" t="0" r="0" b="14605"/>
                  <wp:wrapNone/>
                  <wp:docPr id="293" name="图片_223"/>
                  <wp:cNvGraphicFramePr/>
                  <a:graphic xmlns:a="http://schemas.openxmlformats.org/drawingml/2006/main">
                    <a:graphicData uri="http://schemas.openxmlformats.org/drawingml/2006/picture">
                      <pic:pic xmlns:pic="http://schemas.openxmlformats.org/drawingml/2006/picture">
                        <pic:nvPicPr>
                          <pic:cNvPr id="293" name="图片_223"/>
                          <pic:cNvPicPr/>
                        </pic:nvPicPr>
                        <pic:blipFill>
                          <a:blip r:embed="rId293"/>
                          <a:stretch>
                            <a:fillRect/>
                          </a:stretch>
                        </pic:blipFill>
                        <pic:spPr>
                          <a:xfrm>
                            <a:off x="0" y="0"/>
                            <a:ext cx="1162050" cy="8997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1400*450*760mm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5.钢架：符合国家相关标准；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6.热固性粉末涂料：符合国家相关标准；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7.功能说明：带置物功能，可拼接，可翻转；</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9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197485</wp:posOffset>
                  </wp:positionV>
                  <wp:extent cx="957580" cy="1097280"/>
                  <wp:effectExtent l="0" t="0" r="13970" b="7620"/>
                  <wp:wrapNone/>
                  <wp:docPr id="340" name="图片_227"/>
                  <wp:cNvGraphicFramePr/>
                  <a:graphic xmlns:a="http://schemas.openxmlformats.org/drawingml/2006/main">
                    <a:graphicData uri="http://schemas.openxmlformats.org/drawingml/2006/picture">
                      <pic:pic xmlns:pic="http://schemas.openxmlformats.org/drawingml/2006/picture">
                        <pic:nvPicPr>
                          <pic:cNvPr id="340" name="图片_227"/>
                          <pic:cNvPicPr/>
                        </pic:nvPicPr>
                        <pic:blipFill>
                          <a:blip r:embed="rId294"/>
                          <a:stretch>
                            <a:fillRect/>
                          </a:stretch>
                        </pic:blipFill>
                        <pic:spPr>
                          <a:xfrm>
                            <a:off x="0" y="0"/>
                            <a:ext cx="957580" cy="10972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560*580*810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1)面料：采用优质网布面料，符合国家相关标准；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4)椅架：壁厚≥2.0mm，符合国家相关标准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 功能说明：后脚小椅轮滑动设计，配备公母扣（起到固定的作用，使空间更加有序)；</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7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升降演讲台</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335915</wp:posOffset>
                  </wp:positionH>
                  <wp:positionV relativeFrom="paragraph">
                    <wp:posOffset>466725</wp:posOffset>
                  </wp:positionV>
                  <wp:extent cx="853440" cy="913130"/>
                  <wp:effectExtent l="0" t="0" r="3810" b="1270"/>
                  <wp:wrapNone/>
                  <wp:docPr id="347" name="图片_226"/>
                  <wp:cNvGraphicFramePr/>
                  <a:graphic xmlns:a="http://schemas.openxmlformats.org/drawingml/2006/main">
                    <a:graphicData uri="http://schemas.openxmlformats.org/drawingml/2006/picture">
                      <pic:pic xmlns:pic="http://schemas.openxmlformats.org/drawingml/2006/picture">
                        <pic:nvPicPr>
                          <pic:cNvPr id="347" name="图片_226"/>
                          <pic:cNvPicPr/>
                        </pic:nvPicPr>
                        <pic:blipFill>
                          <a:blip r:embed="rId114"/>
                          <a:stretch>
                            <a:fillRect/>
                          </a:stretch>
                        </pic:blipFill>
                        <pic:spPr>
                          <a:xfrm>
                            <a:off x="0" y="0"/>
                            <a:ext cx="853440" cy="9131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700*500*1130 mm</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5.升降器:符合国家标准要求；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7.万向轮:符合国家相关标准；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50人会议室（二层1间、三层1间）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53</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会议桌/45人</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251460</wp:posOffset>
                  </wp:positionV>
                  <wp:extent cx="1177290" cy="812165"/>
                  <wp:effectExtent l="0" t="0" r="3810" b="6985"/>
                  <wp:wrapNone/>
                  <wp:docPr id="327" name="图片_229"/>
                  <wp:cNvGraphicFramePr/>
                  <a:graphic xmlns:a="http://schemas.openxmlformats.org/drawingml/2006/main">
                    <a:graphicData uri="http://schemas.openxmlformats.org/drawingml/2006/picture">
                      <pic:pic xmlns:pic="http://schemas.openxmlformats.org/drawingml/2006/picture">
                        <pic:nvPicPr>
                          <pic:cNvPr id="327" name="图片_229"/>
                          <pic:cNvPicPr/>
                        </pic:nvPicPr>
                        <pic:blipFill>
                          <a:blip r:embed="rId289"/>
                          <a:stretch>
                            <a:fillRect/>
                          </a:stretch>
                        </pic:blipFill>
                        <pic:spPr>
                          <a:xfrm>
                            <a:off x="0" y="0"/>
                            <a:ext cx="1177290" cy="8121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7200*2200*760 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中间花坛尺寸：</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5590长*590宽*204深</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功能说明：台面标配翻盖线盒盖，内置3个86型插座孔位，出线孔处设有毛刷，有效避免灰尘进入，电子设备取电方便快捷，远程视讯会议也可轻松开展；</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1.台面装饰板侧边预留凹孔便于手部抓握，掀开后内部为检修口，在理线和后期维修时更加方便；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2.根据客户的需求，台面可以开升降屏孔位；</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91440</wp:posOffset>
                  </wp:positionV>
                  <wp:extent cx="819785" cy="863600"/>
                  <wp:effectExtent l="0" t="0" r="18415" b="12700"/>
                  <wp:wrapNone/>
                  <wp:docPr id="354" name="图片_230"/>
                  <wp:cNvGraphicFramePr/>
                  <a:graphic xmlns:a="http://schemas.openxmlformats.org/drawingml/2006/main">
                    <a:graphicData uri="http://schemas.openxmlformats.org/drawingml/2006/picture">
                      <pic:pic xmlns:pic="http://schemas.openxmlformats.org/drawingml/2006/picture">
                        <pic:nvPicPr>
                          <pic:cNvPr id="354" name="图片_230"/>
                          <pic:cNvPicPr/>
                        </pic:nvPicPr>
                        <pic:blipFill>
                          <a:blip r:embed="rId295"/>
                          <a:stretch>
                            <a:fillRect/>
                          </a:stretch>
                        </pic:blipFill>
                        <pic:spPr>
                          <a:xfrm>
                            <a:off x="0" y="0"/>
                            <a:ext cx="819785" cy="8636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635*735*960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1.面材：采用优质西皮，符合国家相关标准；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2.曲木板：采用优质曲木板，12mm外板/6mm内板；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4.椅架：采用优质实木油漆架,符合国家相关标准；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黑色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茶水柜1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146050</wp:posOffset>
                  </wp:positionH>
                  <wp:positionV relativeFrom="paragraph">
                    <wp:posOffset>334645</wp:posOffset>
                  </wp:positionV>
                  <wp:extent cx="1173480" cy="760095"/>
                  <wp:effectExtent l="0" t="0" r="7620" b="1905"/>
                  <wp:wrapNone/>
                  <wp:docPr id="334" name="图片_228"/>
                  <wp:cNvGraphicFramePr/>
                  <a:graphic xmlns:a="http://schemas.openxmlformats.org/drawingml/2006/main">
                    <a:graphicData uri="http://schemas.openxmlformats.org/drawingml/2006/picture">
                      <pic:pic xmlns:pic="http://schemas.openxmlformats.org/drawingml/2006/picture">
                        <pic:nvPicPr>
                          <pic:cNvPr id="334" name="图片_228"/>
                          <pic:cNvPicPr/>
                        </pic:nvPicPr>
                        <pic:blipFill>
                          <a:blip r:embed="rId258"/>
                          <a:stretch>
                            <a:fillRect/>
                          </a:stretch>
                        </pic:blipFill>
                        <pic:spPr>
                          <a:xfrm>
                            <a:off x="0" y="0"/>
                            <a:ext cx="1173480" cy="7600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1621*400*805 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2.饰面：采用优质天然实木木皮，符合国家相关标准；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6.亚克力:符合国家相关标准；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工艺说明：包覆抽屉符合国家相关标准；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胡桃木色</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2"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门卫室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124460</wp:posOffset>
                  </wp:positionH>
                  <wp:positionV relativeFrom="paragraph">
                    <wp:posOffset>650875</wp:posOffset>
                  </wp:positionV>
                  <wp:extent cx="1038860" cy="601980"/>
                  <wp:effectExtent l="0" t="0" r="8890" b="7620"/>
                  <wp:wrapNone/>
                  <wp:docPr id="348" name="图片_233"/>
                  <wp:cNvGraphicFramePr/>
                  <a:graphic xmlns:a="http://schemas.openxmlformats.org/drawingml/2006/main">
                    <a:graphicData uri="http://schemas.openxmlformats.org/drawingml/2006/picture">
                      <pic:pic xmlns:pic="http://schemas.openxmlformats.org/drawingml/2006/picture">
                        <pic:nvPicPr>
                          <pic:cNvPr id="348" name="图片_233"/>
                          <pic:cNvPicPr/>
                        </pic:nvPicPr>
                        <pic:blipFill>
                          <a:blip r:embed="rId296"/>
                          <a:stretch>
                            <a:fillRect/>
                          </a:stretch>
                        </pic:blipFill>
                        <pic:spPr>
                          <a:xfrm>
                            <a:off x="0" y="0"/>
                            <a:ext cx="1038860" cy="6019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1200*600*750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1、基材：采用E0级中密度纤维板，符合国家相关标准；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2、面材：采用天然木皮、厚度≥0.6mm；甲醛释放量未检出；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3、油漆：采用水性漆，符合国家相关标准；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4、水基胶粘剂：符合国家相关标准；；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5、阻尼铰链：符合符合国家相关标准；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6、阻尼导轨：符合符合国家相关标准；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功能说明:含侧柜和推柜。</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3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140970</wp:posOffset>
                  </wp:positionV>
                  <wp:extent cx="618490" cy="894715"/>
                  <wp:effectExtent l="0" t="0" r="10160" b="635"/>
                  <wp:wrapNone/>
                  <wp:docPr id="341" name="图片_232"/>
                  <wp:cNvGraphicFramePr/>
                  <a:graphic xmlns:a="http://schemas.openxmlformats.org/drawingml/2006/main">
                    <a:graphicData uri="http://schemas.openxmlformats.org/drawingml/2006/picture">
                      <pic:pic xmlns:pic="http://schemas.openxmlformats.org/drawingml/2006/picture">
                        <pic:nvPicPr>
                          <pic:cNvPr id="341" name="图片_232"/>
                          <pic:cNvPicPr/>
                        </pic:nvPicPr>
                        <pic:blipFill>
                          <a:blip r:embed="rId297"/>
                          <a:stretch>
                            <a:fillRect/>
                          </a:stretch>
                        </pic:blipFill>
                        <pic:spPr>
                          <a:xfrm>
                            <a:off x="0" y="0"/>
                            <a:ext cx="618490" cy="8947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640*635*1000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1)面料:采用优质网布，符合国家相关标准；；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2)背框:PP+玻纤,符合国家相关标准；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3)曲木板:采用优质E1级成型胶合板,符合国家相关标准；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5)扶手：采用PP材质扶手，符合国家相关标准要求；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6)底架：喷塑钢制管材，一次折弯成型，符合国家相关标准。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7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w:t>
            </w:r>
          </w:p>
        </w:tc>
        <w:tc>
          <w:tcPr>
            <w:tcW w:w="2576" w:type="dxa"/>
            <w:tcBorders>
              <w:tl2br w:val="nil"/>
              <w:tr2bl w:val="nil"/>
            </w:tcBorders>
            <w:shd w:val="clear" w:color="auto" w:fill="auto"/>
            <w:vAlign w:val="center"/>
          </w:tcPr>
          <w:p>
            <w:pPr>
              <w:keepNext w:val="0"/>
              <w:keepLines w:val="0"/>
              <w:widowControl/>
              <w:suppressLineNumbers w:val="0"/>
              <w:jc w:val="righ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327025</wp:posOffset>
                  </wp:positionH>
                  <wp:positionV relativeFrom="paragraph">
                    <wp:posOffset>57150</wp:posOffset>
                  </wp:positionV>
                  <wp:extent cx="512445" cy="990600"/>
                  <wp:effectExtent l="0" t="0" r="1905" b="0"/>
                  <wp:wrapNone/>
                  <wp:docPr id="349" name="图片_234"/>
                  <wp:cNvGraphicFramePr/>
                  <a:graphic xmlns:a="http://schemas.openxmlformats.org/drawingml/2006/main">
                    <a:graphicData uri="http://schemas.openxmlformats.org/drawingml/2006/picture">
                      <pic:pic xmlns:pic="http://schemas.openxmlformats.org/drawingml/2006/picture">
                        <pic:nvPicPr>
                          <pic:cNvPr id="349" name="图片_234"/>
                          <pic:cNvPicPr/>
                        </pic:nvPicPr>
                        <pic:blipFill>
                          <a:blip r:embed="rId298"/>
                          <a:stretch>
                            <a:fillRect/>
                          </a:stretch>
                        </pic:blipFill>
                        <pic:spPr>
                          <a:xfrm>
                            <a:off x="0" y="0"/>
                            <a:ext cx="512445" cy="9906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800*400*2000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1)面材：采用三聚氰胺饰面刨花板，符合国家相关标准；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2)封边：ABS激光封边条，符合国家相关标准；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4)功能说明：层板可活动、拆卸。</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2"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休息室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5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单人床</w:t>
            </w:r>
          </w:p>
        </w:tc>
        <w:tc>
          <w:tcPr>
            <w:tcW w:w="257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419100</wp:posOffset>
                  </wp:positionV>
                  <wp:extent cx="894080" cy="549910"/>
                  <wp:effectExtent l="0" t="0" r="1270" b="2540"/>
                  <wp:wrapNone/>
                  <wp:docPr id="331" name="图片_236"/>
                  <wp:cNvGraphicFramePr/>
                  <a:graphic xmlns:a="http://schemas.openxmlformats.org/drawingml/2006/main">
                    <a:graphicData uri="http://schemas.openxmlformats.org/drawingml/2006/picture">
                      <pic:pic xmlns:pic="http://schemas.openxmlformats.org/drawingml/2006/picture">
                        <pic:nvPicPr>
                          <pic:cNvPr id="331" name="图片_236"/>
                          <pic:cNvPicPr/>
                        </pic:nvPicPr>
                        <pic:blipFill>
                          <a:blip r:embed="rId299"/>
                          <a:stretch>
                            <a:fillRect/>
                          </a:stretch>
                        </pic:blipFill>
                        <pic:spPr>
                          <a:xfrm>
                            <a:off x="0" y="0"/>
                            <a:ext cx="894080" cy="54991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1000*2150*830</w:t>
            </w:r>
          </w:p>
        </w:tc>
        <w:tc>
          <w:tcPr>
            <w:tcW w:w="7556" w:type="dxa"/>
            <w:vMerge w:val="restar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1.产品工艺采用传统榫卯结构和现代工艺设备相结合，总体结构 KD 拆装结构，各组单元之间采用偏心件、螺丝等五金连接而成，更易拆装组合，实木产品结构更加稳定耐用；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2.木材：橡木天然实木，性能稳定，纹理清晰，自然感强烈。</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 采用环保水性面漆底漆，采用五底三面的八道涂装工艺，保证产品光泽、平整、纹理清晰、环保符合国家标准。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5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床头柜</w:t>
            </w:r>
          </w:p>
        </w:tc>
        <w:tc>
          <w:tcPr>
            <w:tcW w:w="2576" w:type="dxa"/>
            <w:vMerge w:val="continue"/>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400*350*450</w:t>
            </w:r>
          </w:p>
        </w:tc>
        <w:tc>
          <w:tcPr>
            <w:tcW w:w="7556" w:type="dxa"/>
            <w:vMerge w:val="continue"/>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4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衣柜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302895</wp:posOffset>
                  </wp:positionH>
                  <wp:positionV relativeFrom="paragraph">
                    <wp:posOffset>142875</wp:posOffset>
                  </wp:positionV>
                  <wp:extent cx="557530" cy="987425"/>
                  <wp:effectExtent l="0" t="0" r="13970" b="3175"/>
                  <wp:wrapNone/>
                  <wp:docPr id="326" name="图片_235"/>
                  <wp:cNvGraphicFramePr/>
                  <a:graphic xmlns:a="http://schemas.openxmlformats.org/drawingml/2006/main">
                    <a:graphicData uri="http://schemas.openxmlformats.org/drawingml/2006/picture">
                      <pic:pic xmlns:pic="http://schemas.openxmlformats.org/drawingml/2006/picture">
                        <pic:nvPicPr>
                          <pic:cNvPr id="326" name="图片_235"/>
                          <pic:cNvPicPr/>
                        </pic:nvPicPr>
                        <pic:blipFill>
                          <a:blip r:embed="rId300"/>
                          <a:stretch>
                            <a:fillRect/>
                          </a:stretch>
                        </pic:blipFill>
                        <pic:spPr>
                          <a:xfrm>
                            <a:off x="0" y="0"/>
                            <a:ext cx="557530" cy="9874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800*550*2000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1.产品工艺采用传统榫卯结构和现代工艺设备相结合，总体结构 KD 拆装结构，各组单元之间采用偏心件、螺丝等五金连接而成，更易拆装组合，实木产品结构更加稳定耐用；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2.木材：橡木天然实木，性能稳定，纹理清晰，自然感强烈。</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 采用环保水性面漆底漆，采用五底三面的八道涂装工艺，保证产品光泽、平整、纹理清晰、环保符合国家标准。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卫生所一层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药库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药品置物架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（铝合金药架）</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222885</wp:posOffset>
                  </wp:positionH>
                  <wp:positionV relativeFrom="paragraph">
                    <wp:posOffset>93980</wp:posOffset>
                  </wp:positionV>
                  <wp:extent cx="741680" cy="843280"/>
                  <wp:effectExtent l="0" t="0" r="1270" b="13970"/>
                  <wp:wrapNone/>
                  <wp:docPr id="346" name="图片_237"/>
                  <wp:cNvGraphicFramePr/>
                  <a:graphic xmlns:a="http://schemas.openxmlformats.org/drawingml/2006/main">
                    <a:graphicData uri="http://schemas.openxmlformats.org/drawingml/2006/picture">
                      <pic:pic xmlns:pic="http://schemas.openxmlformats.org/drawingml/2006/picture">
                        <pic:nvPicPr>
                          <pic:cNvPr id="346" name="图片_237"/>
                          <pic:cNvPicPr/>
                        </pic:nvPicPr>
                        <pic:blipFill>
                          <a:blip r:embed="rId301"/>
                          <a:stretch>
                            <a:fillRect/>
                          </a:stretch>
                        </pic:blipFill>
                        <pic:spPr>
                          <a:xfrm>
                            <a:off x="0" y="0"/>
                            <a:ext cx="741680" cy="8432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2000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1）铝合金方管+冷轧钢板+铝塑板；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2）功能说明：标配6层活动药盘，药盘高度可调节；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3）配置说明：立柱为40*40铝合金方管，壁厚大于1.2；药盘采用大于1.0冷轧钢板、背板采用大于5mm铝塑板；</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药房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0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药品柜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100330</wp:posOffset>
                  </wp:positionV>
                  <wp:extent cx="822325" cy="922655"/>
                  <wp:effectExtent l="0" t="0" r="15875" b="10795"/>
                  <wp:wrapNone/>
                  <wp:docPr id="350" name="图片_261"/>
                  <wp:cNvGraphicFramePr/>
                  <a:graphic xmlns:a="http://schemas.openxmlformats.org/drawingml/2006/main">
                    <a:graphicData uri="http://schemas.openxmlformats.org/drawingml/2006/picture">
                      <pic:pic xmlns:pic="http://schemas.openxmlformats.org/drawingml/2006/picture">
                        <pic:nvPicPr>
                          <pic:cNvPr id="350" name="图片_261"/>
                          <pic:cNvPicPr/>
                        </pic:nvPicPr>
                        <pic:blipFill>
                          <a:blip r:embed="rId302"/>
                          <a:stretch>
                            <a:fillRect/>
                          </a:stretch>
                        </pic:blipFill>
                        <pic:spPr>
                          <a:xfrm>
                            <a:off x="0" y="0"/>
                            <a:ext cx="822325" cy="92265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450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1800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1）采用大于1.0优质冷轧钢板；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2）功能说明：用于储存各种药品；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3）配置说明配：三块可调层板、C型拉手、可选配加锁、上玻门下实门,门板双层结构、下实门可以存放一些不可见光的药品、内有隔音板,配铰链；</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全透明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办公桌2</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203200</wp:posOffset>
                  </wp:positionV>
                  <wp:extent cx="1028065" cy="778510"/>
                  <wp:effectExtent l="0" t="0" r="635" b="2540"/>
                  <wp:wrapNone/>
                  <wp:docPr id="335" name="image43.jpeg"/>
                  <wp:cNvGraphicFramePr/>
                  <a:graphic xmlns:a="http://schemas.openxmlformats.org/drawingml/2006/main">
                    <a:graphicData uri="http://schemas.openxmlformats.org/drawingml/2006/picture">
                      <pic:pic xmlns:pic="http://schemas.openxmlformats.org/drawingml/2006/picture">
                        <pic:nvPicPr>
                          <pic:cNvPr id="335" name="image43.jpeg"/>
                          <pic:cNvPicPr/>
                        </pic:nvPicPr>
                        <pic:blipFill>
                          <a:blip r:embed="rId303"/>
                          <a:stretch>
                            <a:fillRect/>
                          </a:stretch>
                        </pic:blipFill>
                        <pic:spPr>
                          <a:xfrm>
                            <a:off x="0" y="0"/>
                            <a:ext cx="1028065" cy="77851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800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1)面材：采用E0级浸渍胶膜纸饰面板；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2）基材：采用E0级刨花板、中纤板或胶合板，符合国家相关标准；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3）封边条：采用优质PVC封边条，耐干热性、耐磨性符合要求；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5）三节轨：采用优质三节轨，符合国家相关标准；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9"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165735</wp:posOffset>
                  </wp:positionH>
                  <wp:positionV relativeFrom="paragraph">
                    <wp:posOffset>1265555</wp:posOffset>
                  </wp:positionV>
                  <wp:extent cx="1203325" cy="1412875"/>
                  <wp:effectExtent l="0" t="0" r="15875" b="15875"/>
                  <wp:wrapNone/>
                  <wp:docPr id="332" name="图片_262"/>
                  <wp:cNvGraphicFramePr/>
                  <a:graphic xmlns:a="http://schemas.openxmlformats.org/drawingml/2006/main">
                    <a:graphicData uri="http://schemas.openxmlformats.org/drawingml/2006/picture">
                      <pic:pic xmlns:pic="http://schemas.openxmlformats.org/drawingml/2006/picture">
                        <pic:nvPicPr>
                          <pic:cNvPr id="332" name="图片_262"/>
                          <pic:cNvPicPr/>
                        </pic:nvPicPr>
                        <pic:blipFill>
                          <a:blip r:embed="rId304"/>
                          <a:stretch>
                            <a:fillRect/>
                          </a:stretch>
                        </pic:blipFill>
                        <pic:spPr>
                          <a:xfrm>
                            <a:off x="0" y="0"/>
                            <a:ext cx="1203325" cy="14128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595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630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1240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1)椅轮:PU轮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2)五星脚:尼龙五星脚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3)气杆三级气杆,行程80±2mm,升降平稳,无漏声、噪声；</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5)扶手:升降PU面扶手；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6)曲木板:E1级成型胶合板,符合国家相关标准；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8)背框:尼龙+30%玻纤；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9)面料:优质网布面料,符合国家相关标准；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1)座垫气控拉绳包覆成型,形状稳定,无喷胶,减少甲醛含量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1)底盘调节:STG背座同步倾仰,四档锁定功能,自负重机构无需调节倾仰力度</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2)扶手调节:扶手可上下调节60mm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3)腰托调节:上下调节40mm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4)头枕调节:上端旋转140°，下端旋转60°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5)头枕调节:上下调节55mm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38"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取药凳</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215900</wp:posOffset>
                  </wp:positionH>
                  <wp:positionV relativeFrom="paragraph">
                    <wp:posOffset>36830</wp:posOffset>
                  </wp:positionV>
                  <wp:extent cx="1010285" cy="1187450"/>
                  <wp:effectExtent l="0" t="0" r="18415" b="12700"/>
                  <wp:wrapNone/>
                  <wp:docPr id="328" name="图片_263"/>
                  <wp:cNvGraphicFramePr/>
                  <a:graphic xmlns:a="http://schemas.openxmlformats.org/drawingml/2006/main">
                    <a:graphicData uri="http://schemas.openxmlformats.org/drawingml/2006/picture">
                      <pic:pic xmlns:pic="http://schemas.openxmlformats.org/drawingml/2006/picture">
                        <pic:nvPicPr>
                          <pic:cNvPr id="328" name="图片_263"/>
                          <pic:cNvPicPr/>
                        </pic:nvPicPr>
                        <pic:blipFill>
                          <a:blip r:embed="rId305"/>
                          <a:stretch>
                            <a:fillRect/>
                          </a:stretch>
                        </pic:blipFill>
                        <pic:spPr>
                          <a:xfrm>
                            <a:off x="0" y="0"/>
                            <a:ext cx="1010285" cy="11874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560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560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810~940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材质说明：凳面靠背:环保多层板,优质发泡定型海绵；</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功能说明：坐面升降范围460~590mm；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配置说明：医用专用PU厚仿皮，白色塑料底封板；托盘：倾仰功能钢制托盘；气压棒：三级电镀气杆；椅轮：优质PU轮；靠背高于坐面约350mm；五星脚：铝合金，直径：约60CM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78"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多功能推车</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360680</wp:posOffset>
                  </wp:positionH>
                  <wp:positionV relativeFrom="paragraph">
                    <wp:posOffset>40640</wp:posOffset>
                  </wp:positionV>
                  <wp:extent cx="814070" cy="817245"/>
                  <wp:effectExtent l="0" t="0" r="5080" b="1905"/>
                  <wp:wrapNone/>
                  <wp:docPr id="355" name="图片_264"/>
                  <wp:cNvGraphicFramePr/>
                  <a:graphic xmlns:a="http://schemas.openxmlformats.org/drawingml/2006/main">
                    <a:graphicData uri="http://schemas.openxmlformats.org/drawingml/2006/picture">
                      <pic:pic xmlns:pic="http://schemas.openxmlformats.org/drawingml/2006/picture">
                        <pic:nvPicPr>
                          <pic:cNvPr id="355" name="图片_264"/>
                          <pic:cNvPicPr/>
                        </pic:nvPicPr>
                        <pic:blipFill>
                          <a:blip r:embed="rId306"/>
                          <a:stretch>
                            <a:fillRect/>
                          </a:stretch>
                        </pic:blipFill>
                        <pic:spPr>
                          <a:xfrm>
                            <a:off x="0" y="0"/>
                            <a:ext cx="814070" cy="8172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750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900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1）钢架：采用直径大于20mm的圆管；</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2）功能说明：带万向轮； 整体为钢制；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3）配置说明：圆管厚度大于1.2mm，层板大于0.8mm；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96"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旋转药架</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325120</wp:posOffset>
                  </wp:positionH>
                  <wp:positionV relativeFrom="paragraph">
                    <wp:posOffset>83185</wp:posOffset>
                  </wp:positionV>
                  <wp:extent cx="593090" cy="505460"/>
                  <wp:effectExtent l="0" t="0" r="16510" b="8890"/>
                  <wp:wrapNone/>
                  <wp:docPr id="324" name="图片_3_SpCnt_1"/>
                  <wp:cNvGraphicFramePr/>
                  <a:graphic xmlns:a="http://schemas.openxmlformats.org/drawingml/2006/main">
                    <a:graphicData uri="http://schemas.openxmlformats.org/drawingml/2006/picture">
                      <pic:pic xmlns:pic="http://schemas.openxmlformats.org/drawingml/2006/picture">
                        <pic:nvPicPr>
                          <pic:cNvPr id="324" name="图片_3_SpCnt_1"/>
                          <pic:cNvPicPr/>
                        </pic:nvPicPr>
                        <pic:blipFill>
                          <a:blip r:embed="rId307"/>
                          <a:stretch>
                            <a:fillRect/>
                          </a:stretch>
                        </pic:blipFill>
                        <pic:spPr>
                          <a:xfrm>
                            <a:off x="0" y="0"/>
                            <a:ext cx="593090" cy="5054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1）材质：采用304不锈钢，不锈钢厚度≥ 1.20mm；金属喷漆（塑）涂层：符合国家相关标准。；耐酸碱腐蚀、光滑、不伤手，外形设计美观大方，表面光滑、平整；</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1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急诊观察室</w:t>
            </w:r>
          </w:p>
        </w:tc>
        <w:tc>
          <w:tcPr>
            <w:tcW w:w="257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top"/>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6"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电动病床</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387350</wp:posOffset>
                  </wp:positionV>
                  <wp:extent cx="1323975" cy="789940"/>
                  <wp:effectExtent l="0" t="0" r="9525" b="10160"/>
                  <wp:wrapNone/>
                  <wp:docPr id="333" name="图片_265"/>
                  <wp:cNvGraphicFramePr/>
                  <a:graphic xmlns:a="http://schemas.openxmlformats.org/drawingml/2006/main">
                    <a:graphicData uri="http://schemas.openxmlformats.org/drawingml/2006/picture">
                      <pic:pic xmlns:pic="http://schemas.openxmlformats.org/drawingml/2006/picture">
                        <pic:nvPicPr>
                          <pic:cNvPr id="333" name="图片_265"/>
                          <pic:cNvPicPr/>
                        </pic:nvPicPr>
                        <pic:blipFill>
                          <a:blip r:embed="rId308"/>
                          <a:stretch>
                            <a:fillRect/>
                          </a:stretch>
                        </pic:blipFill>
                        <pic:spPr>
                          <a:xfrm>
                            <a:off x="0" y="0"/>
                            <a:ext cx="1323975" cy="7899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全长2150mm，全宽（含护栏）1000±20mm；床面离地固定高度490±10mm</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材质说明：床头床尾板：高密度HDPE；</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功能说明：背部升降0-65°；膝部升降0-35°；</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配置说明：整床独立框架设计；</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配置说明：靠背手动CPR紧急复位；背膝联动；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配置说明：带急停开关；垂头仰卧位倾斜0-12°；</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配置说明：中控一脚带刹，床尾两个轮个带刹车脚踏；</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8"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床头柜</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182880</wp:posOffset>
                  </wp:positionH>
                  <wp:positionV relativeFrom="paragraph">
                    <wp:posOffset>231140</wp:posOffset>
                  </wp:positionV>
                  <wp:extent cx="915670" cy="937260"/>
                  <wp:effectExtent l="0" t="0" r="17780" b="15240"/>
                  <wp:wrapNone/>
                  <wp:docPr id="329" name="图片_240"/>
                  <wp:cNvGraphicFramePr/>
                  <a:graphic xmlns:a="http://schemas.openxmlformats.org/drawingml/2006/main">
                    <a:graphicData uri="http://schemas.openxmlformats.org/drawingml/2006/picture">
                      <pic:pic xmlns:pic="http://schemas.openxmlformats.org/drawingml/2006/picture">
                        <pic:nvPicPr>
                          <pic:cNvPr id="329" name="图片_240"/>
                          <pic:cNvPicPr/>
                        </pic:nvPicPr>
                        <pic:blipFill>
                          <a:blip r:embed="rId309"/>
                          <a:stretch>
                            <a:fillRect/>
                          </a:stretch>
                        </pic:blipFill>
                        <pic:spPr>
                          <a:xfrm>
                            <a:off x="0" y="0"/>
                            <a:ext cx="915670" cy="9372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460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455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720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1）整体采用优质ABS材料；</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2）功能说明：隐藏式毛巾杆；杂物挂钩；抽屉；储物柜；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3）配置说明：储物鞋架；四角配备脚轮，推行灵活方便、整体采用优质ABS材料、抽屉面板可翻转为小桌板使用、预留杯子及温度计放置凹糟、柜体两侧内置下翻式毛巾架及挂钩、左开门储物柜</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37"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推车床</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116840</wp:posOffset>
                  </wp:positionV>
                  <wp:extent cx="1050290" cy="883920"/>
                  <wp:effectExtent l="0" t="0" r="16510" b="11430"/>
                  <wp:wrapNone/>
                  <wp:docPr id="330" name="图片_268"/>
                  <wp:cNvGraphicFramePr/>
                  <a:graphic xmlns:a="http://schemas.openxmlformats.org/drawingml/2006/main">
                    <a:graphicData uri="http://schemas.openxmlformats.org/drawingml/2006/picture">
                      <pic:pic xmlns:pic="http://schemas.openxmlformats.org/drawingml/2006/picture">
                        <pic:nvPicPr>
                          <pic:cNvPr id="330" name="图片_268"/>
                          <pic:cNvPicPr/>
                        </pic:nvPicPr>
                        <pic:blipFill>
                          <a:blip r:embed="rId310"/>
                          <a:stretch>
                            <a:fillRect/>
                          </a:stretch>
                        </pic:blipFill>
                        <pic:spPr>
                          <a:xfrm>
                            <a:off x="0" y="0"/>
                            <a:ext cx="1050290" cy="88392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750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1）整体304不锈钢结构；</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2）功能说明：配输液架；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3）配置说明：分担架和推车两部分，双层人革担架面、装有四只脚轮，带输液杆；国标SUS304不锈钢,严格执行国标、主管材厚度≥1.2，主板材厚度≥1.0mm、万向轮：5寸平板轮，载重能力强；</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3"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急救物品柜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128270</wp:posOffset>
                  </wp:positionV>
                  <wp:extent cx="1013460" cy="1101090"/>
                  <wp:effectExtent l="0" t="0" r="15240" b="3810"/>
                  <wp:wrapNone/>
                  <wp:docPr id="351" name="图片_267"/>
                  <wp:cNvGraphicFramePr/>
                  <a:graphic xmlns:a="http://schemas.openxmlformats.org/drawingml/2006/main">
                    <a:graphicData uri="http://schemas.openxmlformats.org/drawingml/2006/picture">
                      <pic:pic xmlns:pic="http://schemas.openxmlformats.org/drawingml/2006/picture">
                        <pic:nvPicPr>
                          <pic:cNvPr id="351" name="图片_267"/>
                          <pic:cNvPicPr/>
                        </pic:nvPicPr>
                        <pic:blipFill>
                          <a:blip r:embed="rId311"/>
                          <a:stretch>
                            <a:fillRect/>
                          </a:stretch>
                        </pic:blipFill>
                        <pic:spPr>
                          <a:xfrm>
                            <a:off x="0" y="0"/>
                            <a:ext cx="1013460" cy="11010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750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960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1）整体不锈钢+铝板+铝型材+喷塑结构；</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2）功能说明：通过前两只带刹车脚轮固定车子的位置；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3）配置说明：台面和背侧底板采用国标201不锈钢制作、喷塑采用双层处理工艺、抽屉导轨为优质静音伸缩自吸导轨、明抽屉双层复合卫生学工艺设计、万向轮：φ100全ABS防锈、车体四周安装强力塑胶防撞角；</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含锁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可折叠落地晾衣架</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160655</wp:posOffset>
                  </wp:positionH>
                  <wp:positionV relativeFrom="paragraph">
                    <wp:posOffset>100330</wp:posOffset>
                  </wp:positionV>
                  <wp:extent cx="1079500" cy="827405"/>
                  <wp:effectExtent l="0" t="0" r="6350" b="10795"/>
                  <wp:wrapNone/>
                  <wp:docPr id="325" name="图片_29_SpCnt_1"/>
                  <wp:cNvGraphicFramePr/>
                  <a:graphic xmlns:a="http://schemas.openxmlformats.org/drawingml/2006/main">
                    <a:graphicData uri="http://schemas.openxmlformats.org/drawingml/2006/picture">
                      <pic:pic xmlns:pic="http://schemas.openxmlformats.org/drawingml/2006/picture">
                        <pic:nvPicPr>
                          <pic:cNvPr id="325" name="图片_29_SpCnt_1"/>
                          <pic:cNvPicPr/>
                        </pic:nvPicPr>
                        <pic:blipFill>
                          <a:blip r:embed="rId312"/>
                          <a:stretch>
                            <a:fillRect/>
                          </a:stretch>
                        </pic:blipFill>
                        <pic:spPr>
                          <a:xfrm>
                            <a:off x="0" y="0"/>
                            <a:ext cx="1079500" cy="8274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常规</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材质说明：整体采用304不锈钢，厚度≥ 1.20mm；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配置说明：可折叠；</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2"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病患椅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128905</wp:posOffset>
                  </wp:positionV>
                  <wp:extent cx="842010" cy="1264285"/>
                  <wp:effectExtent l="0" t="0" r="15240" b="12065"/>
                  <wp:wrapNone/>
                  <wp:docPr id="336" name="图片_266"/>
                  <wp:cNvGraphicFramePr/>
                  <a:graphic xmlns:a="http://schemas.openxmlformats.org/drawingml/2006/main">
                    <a:graphicData uri="http://schemas.openxmlformats.org/drawingml/2006/picture">
                      <pic:pic xmlns:pic="http://schemas.openxmlformats.org/drawingml/2006/picture">
                        <pic:nvPicPr>
                          <pic:cNvPr id="336" name="图片_266"/>
                          <pic:cNvPicPr/>
                        </pic:nvPicPr>
                        <pic:blipFill>
                          <a:blip r:embed="rId313"/>
                          <a:stretch>
                            <a:fillRect/>
                          </a:stretch>
                        </pic:blipFill>
                        <pic:spPr>
                          <a:xfrm>
                            <a:off x="0" y="0"/>
                            <a:ext cx="842010" cy="12642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480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490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760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1）背框:PP+30%玻纤；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2）椅架：采用实木油漆架，表面喷涂水性面漆；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工艺说明:座背分离结构及连接工艺,隐藏式连接部件；</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门厅</w:t>
            </w:r>
          </w:p>
        </w:tc>
        <w:tc>
          <w:tcPr>
            <w:tcW w:w="257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top"/>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9"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四人排椅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267970</wp:posOffset>
                  </wp:positionV>
                  <wp:extent cx="1086485" cy="725170"/>
                  <wp:effectExtent l="0" t="0" r="18415" b="17780"/>
                  <wp:wrapNone/>
                  <wp:docPr id="339" name="图片_239"/>
                  <wp:cNvGraphicFramePr/>
                  <a:graphic xmlns:a="http://schemas.openxmlformats.org/drawingml/2006/main">
                    <a:graphicData uri="http://schemas.openxmlformats.org/drawingml/2006/picture">
                      <pic:pic xmlns:pic="http://schemas.openxmlformats.org/drawingml/2006/picture">
                        <pic:nvPicPr>
                          <pic:cNvPr id="339" name="图片_239"/>
                          <pic:cNvPicPr/>
                        </pic:nvPicPr>
                        <pic:blipFill>
                          <a:blip r:embed="rId314"/>
                          <a:stretch>
                            <a:fillRect/>
                          </a:stretch>
                        </pic:blipFill>
                        <pic:spPr>
                          <a:xfrm>
                            <a:off x="0" y="0"/>
                            <a:ext cx="1086485" cy="72517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2340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620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795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1）扶手/脚/支架：采用优质冷轧钢板；钢板厚度≥1.2mm；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2）椅面：采用PU自结皮一体发泡成型；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3）横梁：采用六角形优质铁管；厚度≥2.5mm；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4）座背板:内置高强度钢板金属及方管铁架；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功能说明：优质冷轧钢板+高密度PU自结皮具有极强的承重能力和稳定性；</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导医台</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356235</wp:posOffset>
                  </wp:positionH>
                  <wp:positionV relativeFrom="paragraph">
                    <wp:posOffset>297815</wp:posOffset>
                  </wp:positionV>
                  <wp:extent cx="995680" cy="675005"/>
                  <wp:effectExtent l="0" t="0" r="13970" b="10795"/>
                  <wp:wrapNone/>
                  <wp:docPr id="342" name="图片_279"/>
                  <wp:cNvGraphicFramePr/>
                  <a:graphic xmlns:a="http://schemas.openxmlformats.org/drawingml/2006/main">
                    <a:graphicData uri="http://schemas.openxmlformats.org/drawingml/2006/picture">
                      <pic:pic xmlns:pic="http://schemas.openxmlformats.org/drawingml/2006/picture">
                        <pic:nvPicPr>
                          <pic:cNvPr id="342" name="图片_279"/>
                          <pic:cNvPicPr/>
                        </pic:nvPicPr>
                        <pic:blipFill>
                          <a:blip r:embed="rId315"/>
                          <a:stretch>
                            <a:fillRect/>
                          </a:stretch>
                        </pic:blipFill>
                        <pic:spPr>
                          <a:xfrm>
                            <a:off x="0" y="0"/>
                            <a:ext cx="995680" cy="6750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1050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1）基材：主体钢架采用大于1mm双面电解钢板，通过相关标准；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2）外观：表面采用无尘静电粉末喷涂，涂层光滑均匀，色泽一致；</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工艺特点：整体钢架采用电阻焊接工艺，无外露焊点，钢板采用激光切割及数控折边成型，保证产品表面不会出现凹凸不平的焊疤，人造石采用CNN加工、涂胶、抛光打磨等，成品表面光滑平整、无拼接痕迹。</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护士椅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808355</wp:posOffset>
                  </wp:positionV>
                  <wp:extent cx="1170305" cy="1376680"/>
                  <wp:effectExtent l="0" t="0" r="10795" b="13970"/>
                  <wp:wrapNone/>
                  <wp:docPr id="337" name="图片_282"/>
                  <wp:cNvGraphicFramePr/>
                  <a:graphic xmlns:a="http://schemas.openxmlformats.org/drawingml/2006/main">
                    <a:graphicData uri="http://schemas.openxmlformats.org/drawingml/2006/picture">
                      <pic:pic xmlns:pic="http://schemas.openxmlformats.org/drawingml/2006/picture">
                        <pic:nvPicPr>
                          <pic:cNvPr id="337" name="图片_282"/>
                          <pic:cNvPicPr/>
                        </pic:nvPicPr>
                        <pic:blipFill>
                          <a:blip r:embed="rId316"/>
                          <a:stretch>
                            <a:fillRect/>
                          </a:stretch>
                        </pic:blipFill>
                        <pic:spPr>
                          <a:xfrm>
                            <a:off x="0" y="0"/>
                            <a:ext cx="1170305" cy="13766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595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630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1240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1)椅轮:PU轮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2)五星脚:尼龙五星脚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3)气杆三级气杆,行程80±2mm,升降平稳,无漏声、噪声；</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5)扶手:升降PU面扶手；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6)曲木板:E1级成型胶合板,符合国家相关标准；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8)背框:尼龙+30%玻纤；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9)面料:优质网布面料,符合国家相关标准；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1)座垫气控拉绳包覆成型,形状稳定,无喷胶,减少甲醛含量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1)底盘调节:STG背座同步倾仰,四档锁定功能,自负重机构无需调节倾仰力度</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2)扶手调节:扶手可上下调节60mm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3)腰托调节:上下调节40mm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4)头枕调节:上端旋转140°，下端旋转60°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5)头枕调节:上下调节55mm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1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门诊2间</w:t>
            </w:r>
          </w:p>
        </w:tc>
        <w:tc>
          <w:tcPr>
            <w:tcW w:w="257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top"/>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63"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诊桌1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1009650</wp:posOffset>
                  </wp:positionV>
                  <wp:extent cx="1196975" cy="816610"/>
                  <wp:effectExtent l="0" t="0" r="3175" b="2540"/>
                  <wp:wrapNone/>
                  <wp:docPr id="338" name="图片_242"/>
                  <wp:cNvGraphicFramePr/>
                  <a:graphic xmlns:a="http://schemas.openxmlformats.org/drawingml/2006/main">
                    <a:graphicData uri="http://schemas.openxmlformats.org/drawingml/2006/picture">
                      <pic:pic xmlns:pic="http://schemas.openxmlformats.org/drawingml/2006/picture">
                        <pic:nvPicPr>
                          <pic:cNvPr id="338" name="图片_242"/>
                          <pic:cNvPicPr/>
                        </pic:nvPicPr>
                        <pic:blipFill>
                          <a:blip r:embed="rId317"/>
                          <a:stretch>
                            <a:fillRect/>
                          </a:stretch>
                        </pic:blipFill>
                        <pic:spPr>
                          <a:xfrm>
                            <a:off x="0" y="0"/>
                            <a:ext cx="1196975" cy="81661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1400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750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1）台面：采用E0级抗菌防火饰面板，抗菌率大于99.9%；</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2）基材：采用刨花板、中纤板或胶合板，符合国家相关标准；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3）封边条：采用优质PVC封边条，耐干热性、耐磨性符合要求；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5）家具锁：符合符合国家相关标准；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7）五金件：采用优质三节轨，符合国家相关标准；；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功能说明：至少含两块门板和两个抽屉；</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诊疗桌：表面理化性能耐干湿热＞4级，耐污染性能4级及以上，耐光色牢度4级及以上，甲醛释放量≤0.2mg/L。</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252730</wp:posOffset>
                  </wp:positionH>
                  <wp:positionV relativeFrom="paragraph">
                    <wp:posOffset>324485</wp:posOffset>
                  </wp:positionV>
                  <wp:extent cx="1077595" cy="1268095"/>
                  <wp:effectExtent l="0" t="0" r="8255" b="8255"/>
                  <wp:wrapNone/>
                  <wp:docPr id="343" name="图片_273"/>
                  <wp:cNvGraphicFramePr/>
                  <a:graphic xmlns:a="http://schemas.openxmlformats.org/drawingml/2006/main">
                    <a:graphicData uri="http://schemas.openxmlformats.org/drawingml/2006/picture">
                      <pic:pic xmlns:pic="http://schemas.openxmlformats.org/drawingml/2006/picture">
                        <pic:nvPicPr>
                          <pic:cNvPr id="343" name="图片_273"/>
                          <pic:cNvPicPr/>
                        </pic:nvPicPr>
                        <pic:blipFill>
                          <a:blip r:embed="rId318"/>
                          <a:stretch>
                            <a:fillRect/>
                          </a:stretch>
                        </pic:blipFill>
                        <pic:spPr>
                          <a:xfrm>
                            <a:off x="0" y="0"/>
                            <a:ext cx="1077595" cy="12680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595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630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1240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1)椅轮:PU轮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2)五星脚:尼龙五星脚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3)气杆三级气杆,行程80±2mm,升降平稳,无漏声、噪声；</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5)扶手:升降PU面扶手；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6)曲木板:E1级成型胶合板,符合国家相关标准；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8)背框:尼龙+30%玻纤；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9)面料:优质网布面料,符合国家相关标准；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1)座垫气控拉绳包覆成型,形状稳定,无喷胶,减少甲醛含量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1)底盘调节:STG背座同步倾仰,四档锁定功能,自负重机构无需调节倾仰力度</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2)扶手调节:扶手可上下调节60mm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3)腰托调节:上下调节40mm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4)头枕调节:上端旋转140°，下端旋转60°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5)头枕调节:上下调节55mm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73"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病患椅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291465</wp:posOffset>
                  </wp:positionV>
                  <wp:extent cx="763270" cy="528320"/>
                  <wp:effectExtent l="0" t="0" r="17780" b="5080"/>
                  <wp:wrapNone/>
                  <wp:docPr id="352" name="图片_243"/>
                  <wp:cNvGraphicFramePr/>
                  <a:graphic xmlns:a="http://schemas.openxmlformats.org/drawingml/2006/main">
                    <a:graphicData uri="http://schemas.openxmlformats.org/drawingml/2006/picture">
                      <pic:pic xmlns:pic="http://schemas.openxmlformats.org/drawingml/2006/picture">
                        <pic:nvPicPr>
                          <pic:cNvPr id="352" name="图片_243"/>
                          <pic:cNvPicPr/>
                        </pic:nvPicPr>
                        <pic:blipFill>
                          <a:blip r:embed="rId319"/>
                          <a:stretch>
                            <a:fillRect/>
                          </a:stretch>
                        </pic:blipFill>
                        <pic:spPr>
                          <a:xfrm>
                            <a:off x="0" y="0"/>
                            <a:ext cx="763270" cy="52832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480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490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760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1）背框:PP+30%玻纤；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2）椅架：采用实木油漆架，表面喷涂水性面漆；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工艺说明:座背分离结构及连接工艺,隐藏式连接部件；</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25"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检查床</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163830</wp:posOffset>
                  </wp:positionH>
                  <wp:positionV relativeFrom="paragraph">
                    <wp:posOffset>90805</wp:posOffset>
                  </wp:positionV>
                  <wp:extent cx="1109980" cy="747395"/>
                  <wp:effectExtent l="0" t="0" r="13970" b="14605"/>
                  <wp:wrapNone/>
                  <wp:docPr id="353" name="图片_244"/>
                  <wp:cNvGraphicFramePr/>
                  <a:graphic xmlns:a="http://schemas.openxmlformats.org/drawingml/2006/main">
                    <a:graphicData uri="http://schemas.openxmlformats.org/drawingml/2006/picture">
                      <pic:pic xmlns:pic="http://schemas.openxmlformats.org/drawingml/2006/picture">
                        <pic:nvPicPr>
                          <pic:cNvPr id="353" name="图片_244"/>
                          <pic:cNvPicPr/>
                        </pic:nvPicPr>
                        <pic:blipFill>
                          <a:blip r:embed="rId320"/>
                          <a:stretch>
                            <a:fillRect/>
                          </a:stretch>
                        </pic:blipFill>
                        <pic:spPr>
                          <a:xfrm>
                            <a:off x="0" y="0"/>
                            <a:ext cx="1109980" cy="7473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1830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775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1）方管+西皮+海绵；</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2）功能说明：标准载重170KG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配置说明：床架采用大于32*32方管，壁厚大于1.5mm、优质西皮，耐污、易清洁、抗菌、防火、高回弹海绵、床架高度手动调节，范围550-775(级差45)、标配纸巾固定杆，可择安装在床头或床尾、靠背可调节角度，范围0-70度；</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1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换药室1间</w:t>
            </w:r>
          </w:p>
        </w:tc>
        <w:tc>
          <w:tcPr>
            <w:tcW w:w="257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top"/>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4"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 治疗柜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89535</wp:posOffset>
                  </wp:positionH>
                  <wp:positionV relativeFrom="paragraph">
                    <wp:posOffset>654050</wp:posOffset>
                  </wp:positionV>
                  <wp:extent cx="1223645" cy="1031875"/>
                  <wp:effectExtent l="0" t="0" r="14605" b="15875"/>
                  <wp:wrapNone/>
                  <wp:docPr id="344" name="图片_280"/>
                  <wp:cNvGraphicFramePr/>
                  <a:graphic xmlns:a="http://schemas.openxmlformats.org/drawingml/2006/main">
                    <a:graphicData uri="http://schemas.openxmlformats.org/drawingml/2006/picture">
                      <pic:pic xmlns:pic="http://schemas.openxmlformats.org/drawingml/2006/picture">
                        <pic:nvPicPr>
                          <pic:cNvPr id="344" name="图片_280"/>
                          <pic:cNvPicPr/>
                        </pic:nvPicPr>
                        <pic:blipFill>
                          <a:blip r:embed="rId321"/>
                          <a:stretch>
                            <a:fillRect/>
                          </a:stretch>
                        </pic:blipFill>
                        <pic:spPr>
                          <a:xfrm>
                            <a:off x="0" y="0"/>
                            <a:ext cx="1223645" cy="10318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  2800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2000 mm (H）定制家具：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1）医用级纯亚克力人造石台面：材料性能：符合国家相关标准。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2）柜体基材：柜体主体采用大于0.7mm优质冷轧钢板，柜体底部采用304不锈钢踢脚线，背架立柱采用 40*40方管壁厚大于1.5mm，整体采用贯穿式背架，便于穿线走电。</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3）表面外观：符合国家相关标准。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柜体工艺特点：门板、抽屉面板均采用双层全封工艺，外表面无裸漏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5）五金：符合国家相关标准。 </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86"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检查床</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148590</wp:posOffset>
                  </wp:positionH>
                  <wp:positionV relativeFrom="paragraph">
                    <wp:posOffset>120650</wp:posOffset>
                  </wp:positionV>
                  <wp:extent cx="1136015" cy="960120"/>
                  <wp:effectExtent l="0" t="0" r="6985" b="11430"/>
                  <wp:wrapNone/>
                  <wp:docPr id="345" name="图片_270"/>
                  <wp:cNvGraphicFramePr/>
                  <a:graphic xmlns:a="http://schemas.openxmlformats.org/drawingml/2006/main">
                    <a:graphicData uri="http://schemas.openxmlformats.org/drawingml/2006/picture">
                      <pic:pic xmlns:pic="http://schemas.openxmlformats.org/drawingml/2006/picture">
                        <pic:nvPicPr>
                          <pic:cNvPr id="345" name="图片_270"/>
                          <pic:cNvPicPr/>
                        </pic:nvPicPr>
                        <pic:blipFill>
                          <a:blip r:embed="rId322"/>
                          <a:stretch>
                            <a:fillRect/>
                          </a:stretch>
                        </pic:blipFill>
                        <pic:spPr>
                          <a:xfrm>
                            <a:off x="0" y="0"/>
                            <a:ext cx="1136015" cy="96012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1830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775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1）方管+西皮+海绵；</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2）功能说明：标准载重170KG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配置说明：床架采用大于32*32方管，壁厚大于1.5mm、优质西皮，耐污、易清洁、抗菌、防火、高回弹海绵、床架高度手动调节，范围550-775(级差45)、标配纸巾固定杆，可择安装在床头或床尾、靠背可调节角度，范围0-70度；</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治疗车</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299720</wp:posOffset>
                  </wp:positionV>
                  <wp:extent cx="1091565" cy="1055370"/>
                  <wp:effectExtent l="0" t="0" r="13335" b="11430"/>
                  <wp:wrapNone/>
                  <wp:docPr id="372" name="图片_271"/>
                  <wp:cNvGraphicFramePr/>
                  <a:graphic xmlns:a="http://schemas.openxmlformats.org/drawingml/2006/main">
                    <a:graphicData uri="http://schemas.openxmlformats.org/drawingml/2006/picture">
                      <pic:pic xmlns:pic="http://schemas.openxmlformats.org/drawingml/2006/picture">
                        <pic:nvPicPr>
                          <pic:cNvPr id="372" name="图片_271"/>
                          <pic:cNvPicPr/>
                        </pic:nvPicPr>
                        <pic:blipFill>
                          <a:blip r:embed="rId323"/>
                          <a:stretch>
                            <a:fillRect/>
                          </a:stretch>
                        </pic:blipFill>
                        <pic:spPr>
                          <a:xfrm>
                            <a:off x="0" y="0"/>
                            <a:ext cx="1091565" cy="105537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450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990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材质说明：整体不锈钢+喷塑结构，双层台面；</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功能说明：通过前两只带刹车脚轮固定车子的位置；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配置说明：台面、抽屉、背侧板采用国标304不锈钢；</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配置说明：立柱和护栏采用国标304不锈钢制作；</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配置说明：喷塑采用双层处理工艺，桶为蓝色；</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配置说明：抽屉导轨为优质静音伸缩自吸导轨；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配置说明：通过把手可控制抽屉的开关；</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配置说明抽屉内无轨道螺丝及拉手螺丝；</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51"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病患椅</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349885</wp:posOffset>
                  </wp:positionH>
                  <wp:positionV relativeFrom="paragraph">
                    <wp:posOffset>177165</wp:posOffset>
                  </wp:positionV>
                  <wp:extent cx="596900" cy="913130"/>
                  <wp:effectExtent l="0" t="0" r="12700" b="1270"/>
                  <wp:wrapNone/>
                  <wp:docPr id="386" name="图片_245"/>
                  <wp:cNvGraphicFramePr/>
                  <a:graphic xmlns:a="http://schemas.openxmlformats.org/drawingml/2006/main">
                    <a:graphicData uri="http://schemas.openxmlformats.org/drawingml/2006/picture">
                      <pic:pic xmlns:pic="http://schemas.openxmlformats.org/drawingml/2006/picture">
                        <pic:nvPicPr>
                          <pic:cNvPr id="386" name="图片_245"/>
                          <pic:cNvPicPr/>
                        </pic:nvPicPr>
                        <pic:blipFill>
                          <a:blip r:embed="rId324"/>
                          <a:stretch>
                            <a:fillRect/>
                          </a:stretch>
                        </pic:blipFill>
                        <pic:spPr>
                          <a:xfrm>
                            <a:off x="0" y="0"/>
                            <a:ext cx="596900" cy="9131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480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490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760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1）背框:PP+30%玻纤；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2）椅架：采用实木油漆架，表面喷涂水性面漆；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3）水基型胶粘剂（白乳胶）：符合国家相关标准；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工艺说明:座背分离结构及连接工艺,隐藏式连接部件；</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注射室1间</w:t>
            </w:r>
          </w:p>
        </w:tc>
        <w:tc>
          <w:tcPr>
            <w:tcW w:w="257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top"/>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9"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定制治疗柜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875030</wp:posOffset>
                  </wp:positionV>
                  <wp:extent cx="1176020" cy="1147445"/>
                  <wp:effectExtent l="0" t="0" r="5080" b="14605"/>
                  <wp:wrapNone/>
                  <wp:docPr id="361" name="图片_281"/>
                  <wp:cNvGraphicFramePr/>
                  <a:graphic xmlns:a="http://schemas.openxmlformats.org/drawingml/2006/main">
                    <a:graphicData uri="http://schemas.openxmlformats.org/drawingml/2006/picture">
                      <pic:pic xmlns:pic="http://schemas.openxmlformats.org/drawingml/2006/picture">
                        <pic:nvPicPr>
                          <pic:cNvPr id="361" name="图片_281"/>
                          <pic:cNvPicPr/>
                        </pic:nvPicPr>
                        <pic:blipFill>
                          <a:blip r:embed="rId325"/>
                          <a:stretch>
                            <a:fillRect/>
                          </a:stretch>
                        </pic:blipFill>
                        <pic:spPr>
                          <a:xfrm>
                            <a:off x="0" y="0"/>
                            <a:ext cx="1176020" cy="11474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暂定尺寸 2800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2000 mm (H）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1）医用级纯亚克力人造石台面：材料性能：符合国家相关标准。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2）柜体基材：柜体主体采用大于0.7mm优质冷轧钢板，柜体底部采用304不锈钢踢脚线，背架立柱采用 40*40方管壁厚大于1.5mm，整体采用贯穿式背架，便于穿线走电。</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3）表面外观：符合国家相关标准。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柜体工艺特点：门板、抽屉面板均采用双层全封工艺，外表面无裸漏的焊疤螺丝等连接工艺，门板采用内置一体成型拉手，拉手正面圆弧处理防伤手，使用起来既安全也便于擦拭清洁。抽屉内无缝隙，避免药品滑落到抽屉背后。钢板采用激光切割及数控折边成型，整体采用电阻焊接工艺，无外露焊点，保证产品表面不会出现凹凸不平的焊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 xml:space="preserve">5）五金：符合国家相关标准。 </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2"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医生桌</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1057910</wp:posOffset>
                  </wp:positionV>
                  <wp:extent cx="1174750" cy="972185"/>
                  <wp:effectExtent l="0" t="0" r="6350" b="18415"/>
                  <wp:wrapNone/>
                  <wp:docPr id="377" name="图片_246"/>
                  <wp:cNvGraphicFramePr/>
                  <a:graphic xmlns:a="http://schemas.openxmlformats.org/drawingml/2006/main">
                    <a:graphicData uri="http://schemas.openxmlformats.org/drawingml/2006/picture">
                      <pic:pic xmlns:pic="http://schemas.openxmlformats.org/drawingml/2006/picture">
                        <pic:nvPicPr>
                          <pic:cNvPr id="377" name="图片_246"/>
                          <pic:cNvPicPr/>
                        </pic:nvPicPr>
                        <pic:blipFill>
                          <a:blip r:embed="rId326"/>
                          <a:stretch>
                            <a:fillRect/>
                          </a:stretch>
                        </pic:blipFill>
                        <pic:spPr>
                          <a:xfrm>
                            <a:off x="0" y="0"/>
                            <a:ext cx="1174750" cy="9721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1650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740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750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1)面材：采用E0级浸渍胶膜纸饰面板；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2）刨花板：采用E0级刨花板，符合国家相关标准；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3）封边条：采用优质PVC封边条，耐干热性、耐磨性符合要求；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4）五金件：钢制脚架采用60*25mm方管，壁厚大于1.5mm，45°斗角焊接，表面喷塑；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5）固定柜：抽屉内抽旁采用45°拼接，表面PVC包覆，抽底板采用大于5MM中纤板，与抽旁采用拉槽连接方式；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6）功能配置：含桌下挡板，采用大于8MM密度板，桌面线盒最少预留3个86型电源模块位置。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7）下架：静电粉末喷涂钢制下架；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8）胶粘剂：水基型胶粘剂，符合国家相关标准；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173990</wp:posOffset>
                  </wp:positionH>
                  <wp:positionV relativeFrom="paragraph">
                    <wp:posOffset>756920</wp:posOffset>
                  </wp:positionV>
                  <wp:extent cx="1239520" cy="1458595"/>
                  <wp:effectExtent l="0" t="0" r="17780" b="8255"/>
                  <wp:wrapNone/>
                  <wp:docPr id="384" name="图片_274"/>
                  <wp:cNvGraphicFramePr/>
                  <a:graphic xmlns:a="http://schemas.openxmlformats.org/drawingml/2006/main">
                    <a:graphicData uri="http://schemas.openxmlformats.org/drawingml/2006/picture">
                      <pic:pic xmlns:pic="http://schemas.openxmlformats.org/drawingml/2006/picture">
                        <pic:nvPicPr>
                          <pic:cNvPr id="384" name="图片_274"/>
                          <pic:cNvPicPr/>
                        </pic:nvPicPr>
                        <pic:blipFill>
                          <a:blip r:embed="rId327"/>
                          <a:stretch>
                            <a:fillRect/>
                          </a:stretch>
                        </pic:blipFill>
                        <pic:spPr>
                          <a:xfrm>
                            <a:off x="0" y="0"/>
                            <a:ext cx="1239520" cy="14585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595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630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1240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1)椅轮:PU轮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2)五星脚:尼龙五星脚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3)气杆三级气杆,行程80±2mm,升降平稳,无漏声、噪声；</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5)扶手:升降PU面扶手；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6)曲木板:E1级成型胶合板,符合国家相关标准；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8)背框:尼龙+30%玻纤；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9)面料:优质网布面料,符合国家相关标准；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1)座垫气控拉绳包覆成型,形状稳定,无喷胶,减少甲醛含量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1)底盘调节:STG背座同步倾仰,四档锁定功能,自负重机构无需调节倾仰力度</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2)扶手调节:扶手可上下调节60mm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3)腰托调节:上下调节40mm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4)头枕调节:上端旋转140°，下端旋转60°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5)头枕调节:上下调节55mm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12"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注射凳</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173355</wp:posOffset>
                  </wp:positionH>
                  <wp:positionV relativeFrom="paragraph">
                    <wp:posOffset>281940</wp:posOffset>
                  </wp:positionV>
                  <wp:extent cx="1162685" cy="1162050"/>
                  <wp:effectExtent l="0" t="0" r="18415" b="0"/>
                  <wp:wrapNone/>
                  <wp:docPr id="374" name="图片_248"/>
                  <wp:cNvGraphicFramePr/>
                  <a:graphic xmlns:a="http://schemas.openxmlformats.org/drawingml/2006/main">
                    <a:graphicData uri="http://schemas.openxmlformats.org/drawingml/2006/picture">
                      <pic:pic xmlns:pic="http://schemas.openxmlformats.org/drawingml/2006/picture">
                        <pic:nvPicPr>
                          <pic:cNvPr id="374" name="图片_248"/>
                          <pic:cNvPicPr/>
                        </pic:nvPicPr>
                        <pic:blipFill>
                          <a:blip r:embed="rId328"/>
                          <a:stretch>
                            <a:fillRect/>
                          </a:stretch>
                        </pic:blipFill>
                        <pic:spPr>
                          <a:xfrm>
                            <a:off x="0" y="0"/>
                            <a:ext cx="1162685" cy="11620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560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560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700-830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1面材：采用医用皮，抗菌率≥99%；</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2）基材：采用E0级实木多层板,甲醛释放量≤0.05 mg/m³；</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4)钢架：国家一级冷轧钢板，冲压件无脱层裂缝,收口无毛刺刃口菱角；</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5)五星脚:采用优质尼龙五星脚；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6)椅轮:采用优质PA轮,符合国家相关标准；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1）坐面可升降，范围700-830mm；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12"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 打针凳</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546735</wp:posOffset>
                  </wp:positionV>
                  <wp:extent cx="1186815" cy="1019175"/>
                  <wp:effectExtent l="0" t="0" r="13335" b="9525"/>
                  <wp:wrapNone/>
                  <wp:docPr id="366" name="图片_247"/>
                  <wp:cNvGraphicFramePr/>
                  <a:graphic xmlns:a="http://schemas.openxmlformats.org/drawingml/2006/main">
                    <a:graphicData uri="http://schemas.openxmlformats.org/drawingml/2006/picture">
                      <pic:pic xmlns:pic="http://schemas.openxmlformats.org/drawingml/2006/picture">
                        <pic:nvPicPr>
                          <pic:cNvPr id="366" name="图片_247"/>
                          <pic:cNvPicPr/>
                        </pic:nvPicPr>
                        <pic:blipFill>
                          <a:blip r:embed="rId329"/>
                          <a:stretch>
                            <a:fillRect/>
                          </a:stretch>
                        </pic:blipFill>
                        <pic:spPr>
                          <a:xfrm>
                            <a:off x="0" y="0"/>
                            <a:ext cx="1186815" cy="10191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 </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650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800 mm (H)  定制家具：</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厂家需现场测量，深化设计，经甲方和装修设计单位认可后方可施工</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2）基材：采用E0级刨花板、中纤板或胶合板，符合国家相关标准；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3）封边条：采用优质PVC封边条，耐干热性、耐磨性符合要求；</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1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理疗室1间</w:t>
            </w:r>
          </w:p>
        </w:tc>
        <w:tc>
          <w:tcPr>
            <w:tcW w:w="257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top"/>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7"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检查床</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-7620</wp:posOffset>
                  </wp:positionV>
                  <wp:extent cx="1233805" cy="1037590"/>
                  <wp:effectExtent l="0" t="0" r="4445" b="10160"/>
                  <wp:wrapNone/>
                  <wp:docPr id="371" name="图片_249"/>
                  <wp:cNvGraphicFramePr/>
                  <a:graphic xmlns:a="http://schemas.openxmlformats.org/drawingml/2006/main">
                    <a:graphicData uri="http://schemas.openxmlformats.org/drawingml/2006/picture">
                      <pic:pic xmlns:pic="http://schemas.openxmlformats.org/drawingml/2006/picture">
                        <pic:nvPicPr>
                          <pic:cNvPr id="371" name="图片_249"/>
                          <pic:cNvPicPr/>
                        </pic:nvPicPr>
                        <pic:blipFill>
                          <a:blip r:embed="rId330"/>
                          <a:stretch>
                            <a:fillRect/>
                          </a:stretch>
                        </pic:blipFill>
                        <pic:spPr>
                          <a:xfrm>
                            <a:off x="0" y="0"/>
                            <a:ext cx="1233805" cy="10375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1830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775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1）方管+西皮+海绵；</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2）功能说明：标准载重170KG</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配置说明：床架采用32*32方管，壁厚1.5mm、优质西皮，耐污、易清洁、抗菌、防火、高回弹海绵、床架高度手动调节，范围550-775(级差45)、标配纸巾固定杆，可择安装在床头或床尾、靠背可调节角度，范围0-70度；</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三人位沙发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643255</wp:posOffset>
                  </wp:positionV>
                  <wp:extent cx="1276350" cy="1330325"/>
                  <wp:effectExtent l="0" t="0" r="0" b="3175"/>
                  <wp:wrapNone/>
                  <wp:docPr id="356" name="图片_272"/>
                  <wp:cNvGraphicFramePr/>
                  <a:graphic xmlns:a="http://schemas.openxmlformats.org/drawingml/2006/main">
                    <a:graphicData uri="http://schemas.openxmlformats.org/drawingml/2006/picture">
                      <pic:pic xmlns:pic="http://schemas.openxmlformats.org/drawingml/2006/picture">
                        <pic:nvPicPr>
                          <pic:cNvPr id="356" name="图片_272"/>
                          <pic:cNvPicPr/>
                        </pic:nvPicPr>
                        <pic:blipFill>
                          <a:blip r:embed="rId331"/>
                          <a:stretch>
                            <a:fillRect/>
                          </a:stretch>
                        </pic:blipFill>
                        <pic:spPr>
                          <a:xfrm>
                            <a:off x="0" y="0"/>
                            <a:ext cx="1276350" cy="133032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1810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780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770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1)杨木多层板:欧亚木业,符合GB/T 9846-2015《普通胶合板》标准要求；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2)松木:符合GB/T 3324-2017《木家具通用技术条件》,标准要求；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4)面料:优质麻绒面料,符合国家相关标准；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5)木制油漆件:符合木家具通用技术条件)中木家具表面理化性能；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1)裁剪工艺:全自动美国PGM自动精确裁床裁剪工艺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2)缝纫工艺:德国杜克普电脑机车自动化缝纫工艺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3)海绵裁剪:半自动平切立洗裁切工艺</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4)开料工艺:CNC半自动雕刻开板件工艺</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医生凳</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290830</wp:posOffset>
                  </wp:positionH>
                  <wp:positionV relativeFrom="paragraph">
                    <wp:posOffset>67310</wp:posOffset>
                  </wp:positionV>
                  <wp:extent cx="874395" cy="1023620"/>
                  <wp:effectExtent l="0" t="0" r="1905" b="5080"/>
                  <wp:wrapNone/>
                  <wp:docPr id="387" name="图片_283"/>
                  <wp:cNvGraphicFramePr/>
                  <a:graphic xmlns:a="http://schemas.openxmlformats.org/drawingml/2006/main">
                    <a:graphicData uri="http://schemas.openxmlformats.org/drawingml/2006/picture">
                      <pic:pic xmlns:pic="http://schemas.openxmlformats.org/drawingml/2006/picture">
                        <pic:nvPicPr>
                          <pic:cNvPr id="387" name="图片_283"/>
                          <pic:cNvPicPr/>
                        </pic:nvPicPr>
                        <pic:blipFill>
                          <a:blip r:embed="rId332"/>
                          <a:stretch>
                            <a:fillRect/>
                          </a:stretch>
                        </pic:blipFill>
                        <pic:spPr>
                          <a:xfrm>
                            <a:off x="0" y="0"/>
                            <a:ext cx="874395" cy="102362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560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560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810~940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材质说明：凳面靠背:环保多层板,优质发泡定型海绵；</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功能说明：坐面升降范围460~590mm；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配置说明：医用专用PU厚仿皮，白色塑料底封板；托盘：倾仰功能钢制托盘；气压棒：三级电镀气杆；椅轮：优质PU轮；靠背高于坐面约350mm；五星脚：铝合金，直径：约60CM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2"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药品柜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379095</wp:posOffset>
                  </wp:positionH>
                  <wp:positionV relativeFrom="paragraph">
                    <wp:posOffset>49530</wp:posOffset>
                  </wp:positionV>
                  <wp:extent cx="850900" cy="997585"/>
                  <wp:effectExtent l="0" t="0" r="6350" b="12065"/>
                  <wp:wrapNone/>
                  <wp:docPr id="359" name="图片_250"/>
                  <wp:cNvGraphicFramePr/>
                  <a:graphic xmlns:a="http://schemas.openxmlformats.org/drawingml/2006/main">
                    <a:graphicData uri="http://schemas.openxmlformats.org/drawingml/2006/picture">
                      <pic:pic xmlns:pic="http://schemas.openxmlformats.org/drawingml/2006/picture">
                        <pic:nvPicPr>
                          <pic:cNvPr id="359" name="图片_250"/>
                          <pic:cNvPicPr/>
                        </pic:nvPicPr>
                        <pic:blipFill>
                          <a:blip r:embed="rId333"/>
                          <a:stretch>
                            <a:fillRect/>
                          </a:stretch>
                        </pic:blipFill>
                        <pic:spPr>
                          <a:xfrm>
                            <a:off x="0" y="0"/>
                            <a:ext cx="850900" cy="99758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450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1800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1）采用大于1.0优质冷轧钢板；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2）功能说明：用于储存各种药品；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3）配置说明配：三块可调层板、C型拉手、可选配加锁、上玻门下实门,门板双层结构、下实门可以存放一些不可见光的药品、内有隔音板,配铰链；</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7"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多功能推车</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73025</wp:posOffset>
                  </wp:positionH>
                  <wp:positionV relativeFrom="paragraph">
                    <wp:posOffset>66040</wp:posOffset>
                  </wp:positionV>
                  <wp:extent cx="925195" cy="950595"/>
                  <wp:effectExtent l="0" t="0" r="8255" b="1905"/>
                  <wp:wrapNone/>
                  <wp:docPr id="357" name="图片_251"/>
                  <wp:cNvGraphicFramePr/>
                  <a:graphic xmlns:a="http://schemas.openxmlformats.org/drawingml/2006/main">
                    <a:graphicData uri="http://schemas.openxmlformats.org/drawingml/2006/picture">
                      <pic:pic xmlns:pic="http://schemas.openxmlformats.org/drawingml/2006/picture">
                        <pic:nvPicPr>
                          <pic:cNvPr id="357" name="图片_251"/>
                          <pic:cNvPicPr/>
                        </pic:nvPicPr>
                        <pic:blipFill>
                          <a:blip r:embed="rId334"/>
                          <a:stretch>
                            <a:fillRect/>
                          </a:stretch>
                        </pic:blipFill>
                        <pic:spPr>
                          <a:xfrm>
                            <a:off x="0" y="0"/>
                            <a:ext cx="925195" cy="9505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750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900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1）钢架：采用直径大于20mm的圆管；</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2）功能说明：带万向轮； 整体为钢制；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3）配置说明：圆管厚度大于1.2mm，层板大于0.8mm；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13142" w:type="dxa"/>
            <w:gridSpan w:val="6"/>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二层</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资料室</w:t>
            </w:r>
          </w:p>
        </w:tc>
        <w:tc>
          <w:tcPr>
            <w:tcW w:w="257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top"/>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44"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资料柜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137795</wp:posOffset>
                  </wp:positionH>
                  <wp:positionV relativeFrom="paragraph">
                    <wp:posOffset>491490</wp:posOffset>
                  </wp:positionV>
                  <wp:extent cx="1022350" cy="1626235"/>
                  <wp:effectExtent l="0" t="0" r="6350" b="12065"/>
                  <wp:wrapNone/>
                  <wp:docPr id="358" name="图片_252"/>
                  <wp:cNvGraphicFramePr/>
                  <a:graphic xmlns:a="http://schemas.openxmlformats.org/drawingml/2006/main">
                    <a:graphicData uri="http://schemas.openxmlformats.org/drawingml/2006/picture">
                      <pic:pic xmlns:pic="http://schemas.openxmlformats.org/drawingml/2006/picture">
                        <pic:nvPicPr>
                          <pic:cNvPr id="358" name="图片_252"/>
                          <pic:cNvPicPr/>
                        </pic:nvPicPr>
                        <pic:blipFill>
                          <a:blip r:embed="rId335"/>
                          <a:stretch>
                            <a:fillRect/>
                          </a:stretch>
                        </pic:blipFill>
                        <pic:spPr>
                          <a:xfrm>
                            <a:off x="0" y="0"/>
                            <a:ext cx="1022350" cy="16262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450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1864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1）基材：柜体主体采用大于0.7mm优质冷轧钢板；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2）表面外观：符合国家相关标准。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柜体工艺特点：门板采用全封工艺，外表面无裸漏的焊疤螺丝等连接工艺，门板采用内置一体成型拉手，拉手正面圆弧处理防伤手，使用起来既安全也便于擦拭清洁。钢板采用激光切割及数控折边成型，整体采用电阻焊接工艺，无外露焊点，保证产品表面不会出现凹凸不平的焊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4）五金：采用优质铰链，符合国家相关标准要求；</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内部层板可活动调节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档案室</w:t>
            </w:r>
          </w:p>
        </w:tc>
        <w:tc>
          <w:tcPr>
            <w:tcW w:w="257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top"/>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34"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资料柜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207010</wp:posOffset>
                  </wp:positionH>
                  <wp:positionV relativeFrom="paragraph">
                    <wp:posOffset>433705</wp:posOffset>
                  </wp:positionV>
                  <wp:extent cx="1022350" cy="1626235"/>
                  <wp:effectExtent l="0" t="0" r="6350" b="12065"/>
                  <wp:wrapNone/>
                  <wp:docPr id="363" name="图片_253"/>
                  <wp:cNvGraphicFramePr/>
                  <a:graphic xmlns:a="http://schemas.openxmlformats.org/drawingml/2006/main">
                    <a:graphicData uri="http://schemas.openxmlformats.org/drawingml/2006/picture">
                      <pic:pic xmlns:pic="http://schemas.openxmlformats.org/drawingml/2006/picture">
                        <pic:nvPicPr>
                          <pic:cNvPr id="363" name="图片_253"/>
                          <pic:cNvPicPr/>
                        </pic:nvPicPr>
                        <pic:blipFill>
                          <a:blip r:embed="rId335"/>
                          <a:stretch>
                            <a:fillRect/>
                          </a:stretch>
                        </pic:blipFill>
                        <pic:spPr>
                          <a:xfrm>
                            <a:off x="0" y="0"/>
                            <a:ext cx="1022350" cy="16262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450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1864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1）基材：柜体主体采用大于0.7mm优质冷轧钢板；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2）表面外观：符合国家相关标准。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柜体工艺特点：门板采用全封工艺，外表面无裸漏的焊疤螺丝等连接工艺，门板采用内置一体成型拉手，拉手正面圆弧处理防伤手，使用起来既安全也便于擦拭清洁。钢板采用激光切割及数控折边成型，整体采用电阻焊接工艺，无外露焊点，保证产品表面不会出现凹凸不平的焊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4）五金：采用优质铰链，符合国家相关标准要求；</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内部层板可活动调节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会议室</w:t>
            </w:r>
          </w:p>
        </w:tc>
        <w:tc>
          <w:tcPr>
            <w:tcW w:w="257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top"/>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会议桌1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354965</wp:posOffset>
                  </wp:positionV>
                  <wp:extent cx="1189990" cy="894080"/>
                  <wp:effectExtent l="0" t="0" r="10160" b="1270"/>
                  <wp:wrapNone/>
                  <wp:docPr id="385" name="图片_254"/>
                  <wp:cNvGraphicFramePr/>
                  <a:graphic xmlns:a="http://schemas.openxmlformats.org/drawingml/2006/main">
                    <a:graphicData uri="http://schemas.openxmlformats.org/drawingml/2006/picture">
                      <pic:pic xmlns:pic="http://schemas.openxmlformats.org/drawingml/2006/picture">
                        <pic:nvPicPr>
                          <pic:cNvPr id="385" name="图片_254"/>
                          <pic:cNvPicPr/>
                        </pic:nvPicPr>
                        <pic:blipFill>
                          <a:blip r:embed="rId336"/>
                          <a:stretch>
                            <a:fillRect/>
                          </a:stretch>
                        </pic:blipFill>
                        <pic:spPr>
                          <a:xfrm>
                            <a:off x="0" y="0"/>
                            <a:ext cx="1189990" cy="89408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2800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1400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750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1)面材：采用E0级浸渍胶膜纸饰面板；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2）基材：采用E0级刨花板、中纤板或胶合板，符合国家相关标准；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3）封边条：采用优质PVC封边条，耐干热性、耐磨性符合要求；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4）五金件：钢制脚架采用60*25mm方管，壁厚大于1.5mm，45°斗角焊接，表面喷塑；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5）功能配置：含桌下挡板，采用大于8MM密度板，桌面线盒最少预留3个86型电源模块位置。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6）下架：静电粉末喷涂钢制下架；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7）胶粘剂：水基型胶粘剂，符合国家相关标准；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会议椅1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271145</wp:posOffset>
                  </wp:positionH>
                  <wp:positionV relativeFrom="paragraph">
                    <wp:posOffset>166370</wp:posOffset>
                  </wp:positionV>
                  <wp:extent cx="933450" cy="1431290"/>
                  <wp:effectExtent l="0" t="0" r="0" b="16510"/>
                  <wp:wrapNone/>
                  <wp:docPr id="375" name="图片_8_SpCnt_1"/>
                  <wp:cNvGraphicFramePr/>
                  <a:graphic xmlns:a="http://schemas.openxmlformats.org/drawingml/2006/main">
                    <a:graphicData uri="http://schemas.openxmlformats.org/drawingml/2006/picture">
                      <pic:pic xmlns:pic="http://schemas.openxmlformats.org/drawingml/2006/picture">
                        <pic:nvPicPr>
                          <pic:cNvPr id="375" name="图片_8_SpCnt_1"/>
                          <pic:cNvPicPr/>
                        </pic:nvPicPr>
                        <pic:blipFill>
                          <a:blip r:embed="rId337"/>
                          <a:stretch>
                            <a:fillRect/>
                          </a:stretch>
                        </pic:blipFill>
                        <pic:spPr>
                          <a:xfrm>
                            <a:off x="0" y="0"/>
                            <a:ext cx="933450" cy="14312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620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615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1015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1)面料:网布，采用优质网布面料，符合国家相关要求；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2)背框:尼龙+30%玻纤,符合国家环保标准；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3）曲木板：采用E1级优质曲木板，12mm外板/6mm内板；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6）椅架：采用优质钢架，壁厚≥2.0mm；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7"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茶水柜1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594995</wp:posOffset>
                  </wp:positionV>
                  <wp:extent cx="1249680" cy="579755"/>
                  <wp:effectExtent l="0" t="0" r="7620" b="10795"/>
                  <wp:wrapNone/>
                  <wp:docPr id="360" name="Picture_2"/>
                  <wp:cNvGraphicFramePr/>
                  <a:graphic xmlns:a="http://schemas.openxmlformats.org/drawingml/2006/main">
                    <a:graphicData uri="http://schemas.openxmlformats.org/drawingml/2006/picture">
                      <pic:pic xmlns:pic="http://schemas.openxmlformats.org/drawingml/2006/picture">
                        <pic:nvPicPr>
                          <pic:cNvPr id="360" name="Picture_2"/>
                          <pic:cNvPicPr/>
                        </pic:nvPicPr>
                        <pic:blipFill>
                          <a:blip r:embed="rId338"/>
                          <a:stretch>
                            <a:fillRect/>
                          </a:stretch>
                        </pic:blipFill>
                        <pic:spPr>
                          <a:xfrm>
                            <a:off x="0" y="0"/>
                            <a:ext cx="1249680" cy="57975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1669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808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1)面材：采用E0级浸渍胶膜纸饰面板；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2）基材：采用E0级刨花板、中纤板或胶合板，符合国家相关标准；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3）封边条：采用优质PVC封边条，耐干热性、耐磨性符合要求；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4）铰链：采用优质铰链，耐久性试验100000次符合要求，200h中性盐雾试验耐腐蚀等级9级及以上，金属电镀层100h乙酸盐雾试验9级及以上；</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办公室</w:t>
            </w:r>
          </w:p>
        </w:tc>
        <w:tc>
          <w:tcPr>
            <w:tcW w:w="257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top"/>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9"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办公桌1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1196975</wp:posOffset>
                  </wp:positionV>
                  <wp:extent cx="1238250" cy="952500"/>
                  <wp:effectExtent l="0" t="0" r="0" b="0"/>
                  <wp:wrapNone/>
                  <wp:docPr id="362" name="图片_260"/>
                  <wp:cNvGraphicFramePr/>
                  <a:graphic xmlns:a="http://schemas.openxmlformats.org/drawingml/2006/main">
                    <a:graphicData uri="http://schemas.openxmlformats.org/drawingml/2006/picture">
                      <pic:pic xmlns:pic="http://schemas.openxmlformats.org/drawingml/2006/picture">
                        <pic:nvPicPr>
                          <pic:cNvPr id="362" name="图片_260"/>
                          <pic:cNvPicPr/>
                        </pic:nvPicPr>
                        <pic:blipFill>
                          <a:blip r:embed="rId339"/>
                          <a:stretch>
                            <a:fillRect/>
                          </a:stretch>
                        </pic:blipFill>
                        <pic:spPr>
                          <a:xfrm>
                            <a:off x="0" y="0"/>
                            <a:ext cx="1238250" cy="9525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750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1)面材：采用E0浸渍胶膜纸饰面板；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2）刨花板：采用E0级刨花板，符合国家相关标准；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3）封边条：采用优质PVC封边条，耐干热性、耐磨性符合要求；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4）五金件：钢制脚架采用60*25mm方管，壁厚大于1.5mm，45°斗角焊接，表面喷塑；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5）固定柜：抽屉内抽旁采用45°拼接，表面PVC包覆，抽底板采用大于5MM中纤板，与抽旁采用拉槽连接方式；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6）功能配置：含桌下挡板，采用大于E0级8MM密度板，桌面线盒最少预留3个86型电源模块位置。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7）下架：静电粉末喷涂钢制下架；</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8）胶粘剂：水基型胶粘剂，符合国家相关标准；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9"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办公椅1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1659890</wp:posOffset>
                  </wp:positionV>
                  <wp:extent cx="1230630" cy="1447800"/>
                  <wp:effectExtent l="0" t="0" r="7620" b="0"/>
                  <wp:wrapNone/>
                  <wp:docPr id="367" name="图片_259"/>
                  <wp:cNvGraphicFramePr/>
                  <a:graphic xmlns:a="http://schemas.openxmlformats.org/drawingml/2006/main">
                    <a:graphicData uri="http://schemas.openxmlformats.org/drawingml/2006/picture">
                      <pic:pic xmlns:pic="http://schemas.openxmlformats.org/drawingml/2006/picture">
                        <pic:nvPicPr>
                          <pic:cNvPr id="367" name="图片_259"/>
                          <pic:cNvPicPr/>
                        </pic:nvPicPr>
                        <pic:blipFill>
                          <a:blip r:embed="rId340"/>
                          <a:stretch>
                            <a:fillRect/>
                          </a:stretch>
                        </pic:blipFill>
                        <pic:spPr>
                          <a:xfrm>
                            <a:off x="0" y="0"/>
                            <a:ext cx="1230630" cy="14478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595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630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1240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1)椅轮:PU轮</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2)五星脚:尼龙五星脚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3)气杆三级气杆,行程80±2mm,升降平稳,无漏声、噪声；</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4)底盘:底座钢板厚度＞2mm；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5)扶手:升降PU面扶手；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6)曲木板:E1级成型胶合板,符合国家相关标准；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7)海绵:采用优质高弹海绵，符合国家相关标准；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8)背框:尼龙+30%玻纤；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9)面料:优质网布面料,符合国家相关标准；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1)座垫气控拉绳包覆成型,形状稳定,无喷胶,减少甲醛含量</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功能说明: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1)底盘调节:STG背座同步倾仰,四档锁定功能,自负重机构无需调节倾仰力度</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2)扶手调节:扶手可上下调节60mm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3)腰托调节:上下调节40mm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4)头枕调节:上端旋转140°，下端旋转60°</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5)头枕调节:上下调节55mm</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文件柜1</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101600</wp:posOffset>
                  </wp:positionV>
                  <wp:extent cx="646430" cy="1425575"/>
                  <wp:effectExtent l="0" t="0" r="1270" b="3175"/>
                  <wp:wrapNone/>
                  <wp:docPr id="380" name="图片_258"/>
                  <wp:cNvGraphicFramePr/>
                  <a:graphic xmlns:a="http://schemas.openxmlformats.org/drawingml/2006/main">
                    <a:graphicData uri="http://schemas.openxmlformats.org/drawingml/2006/picture">
                      <pic:pic xmlns:pic="http://schemas.openxmlformats.org/drawingml/2006/picture">
                        <pic:nvPicPr>
                          <pic:cNvPr id="380" name="图片_258"/>
                          <pic:cNvPicPr/>
                        </pic:nvPicPr>
                        <pic:blipFill>
                          <a:blip r:embed="rId341"/>
                          <a:stretch>
                            <a:fillRect/>
                          </a:stretch>
                        </pic:blipFill>
                        <pic:spPr>
                          <a:xfrm>
                            <a:off x="0" y="0"/>
                            <a:ext cx="646430" cy="14255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1966 mm（H）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2）基材：采用E0级刨花板、中纤板或胶合板，符合国家相关标准；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3）PVC封边条：采用优质PVC封边条，耐干热性、耐磨性符合要求；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4）铰链：采用优质铰链，符合国家相关标准；</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值班室</w:t>
            </w:r>
          </w:p>
        </w:tc>
        <w:tc>
          <w:tcPr>
            <w:tcW w:w="257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1150"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7556" w:type="dxa"/>
            <w:tcBorders>
              <w:tl2br w:val="nil"/>
              <w:tr2bl w:val="nil"/>
            </w:tcBorders>
            <w:shd w:val="clear" w:color="auto" w:fill="auto"/>
            <w:vAlign w:val="top"/>
          </w:tcPr>
          <w:p>
            <w:pPr>
              <w:jc w:val="left"/>
              <w:rPr>
                <w:rFonts w:hint="eastAsia" w:ascii="宋体" w:hAnsi="宋体" w:eastAsia="宋体" w:cs="宋体"/>
                <w:b w:val="0"/>
                <w:bCs w:val="0"/>
                <w:i w:val="0"/>
                <w:iCs w:val="0"/>
                <w:color w:val="000000"/>
                <w:sz w:val="18"/>
                <w:szCs w:val="18"/>
                <w:highlight w:val="none"/>
                <w:u w:val="none"/>
              </w:rPr>
            </w:pP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jc w:val="left"/>
              <w:rPr>
                <w:rFonts w:hint="eastAsia" w:ascii="宋体" w:hAnsi="宋体" w:eastAsia="宋体" w:cs="宋体"/>
                <w:b w:val="0"/>
                <w:bCs w:val="0"/>
                <w:i w:val="0"/>
                <w:iCs w:val="0"/>
                <w:color w:val="000000"/>
                <w:sz w:val="18"/>
                <w:szCs w:val="18"/>
                <w:highlight w:val="none"/>
                <w:u w:val="none"/>
              </w:rPr>
            </w:pP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医生值班床（上下铺）</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155575</wp:posOffset>
                  </wp:positionV>
                  <wp:extent cx="1056005" cy="1069340"/>
                  <wp:effectExtent l="0" t="0" r="10795" b="16510"/>
                  <wp:wrapNone/>
                  <wp:docPr id="381" name="图片_256"/>
                  <wp:cNvGraphicFramePr/>
                  <a:graphic xmlns:a="http://schemas.openxmlformats.org/drawingml/2006/main">
                    <a:graphicData uri="http://schemas.openxmlformats.org/drawingml/2006/picture">
                      <pic:pic xmlns:pic="http://schemas.openxmlformats.org/drawingml/2006/picture">
                        <pic:nvPicPr>
                          <pic:cNvPr id="381" name="图片_256"/>
                          <pic:cNvPicPr/>
                        </pic:nvPicPr>
                        <pic:blipFill>
                          <a:blip r:embed="rId342"/>
                          <a:stretch>
                            <a:fillRect/>
                          </a:stretch>
                        </pic:blipFill>
                        <pic:spPr>
                          <a:xfrm>
                            <a:off x="0" y="0"/>
                            <a:ext cx="1056005" cy="10693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2020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960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1800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1)基材：整体框架采用松木，床板采用云杉木；符合国家相关标准；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2）水性面/底漆：采用优质水性面/底漆，符合国家相关标准；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3）五金件：采用优质三节轨，符合国家相关标准；；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60"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床垫</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127000</wp:posOffset>
                  </wp:positionH>
                  <wp:positionV relativeFrom="paragraph">
                    <wp:posOffset>85090</wp:posOffset>
                  </wp:positionV>
                  <wp:extent cx="1183005" cy="862965"/>
                  <wp:effectExtent l="0" t="0" r="17145" b="13335"/>
                  <wp:wrapNone/>
                  <wp:docPr id="364" name="图片_257"/>
                  <wp:cNvGraphicFramePr/>
                  <a:graphic xmlns:a="http://schemas.openxmlformats.org/drawingml/2006/main">
                    <a:graphicData uri="http://schemas.openxmlformats.org/drawingml/2006/picture">
                      <pic:pic xmlns:pic="http://schemas.openxmlformats.org/drawingml/2006/picture">
                        <pic:nvPicPr>
                          <pic:cNvPr id="364" name="图片_257"/>
                          <pic:cNvPicPr/>
                        </pic:nvPicPr>
                        <pic:blipFill>
                          <a:blip r:embed="rId343"/>
                          <a:stretch>
                            <a:fillRect/>
                          </a:stretch>
                        </pic:blipFill>
                        <pic:spPr>
                          <a:xfrm>
                            <a:off x="0" y="0"/>
                            <a:ext cx="1183005" cy="8629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900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1）30g无纺布+19kg海绵+针织面料+20mm环保椰棕；</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2）配置说明：正面针织面料、19KG密度圆泡海绵+30g无纺布、20mm环保椰棕；</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11"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床头柜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113665</wp:posOffset>
                  </wp:positionV>
                  <wp:extent cx="1270635" cy="1036955"/>
                  <wp:effectExtent l="0" t="0" r="5715" b="10795"/>
                  <wp:wrapNone/>
                  <wp:docPr id="376" name="图片_277"/>
                  <wp:cNvGraphicFramePr/>
                  <a:graphic xmlns:a="http://schemas.openxmlformats.org/drawingml/2006/main">
                    <a:graphicData uri="http://schemas.openxmlformats.org/drawingml/2006/picture">
                      <pic:pic xmlns:pic="http://schemas.openxmlformats.org/drawingml/2006/picture">
                        <pic:nvPicPr>
                          <pic:cNvPr id="376" name="图片_277"/>
                          <pic:cNvPicPr/>
                        </pic:nvPicPr>
                        <pic:blipFill>
                          <a:blip r:embed="rId344"/>
                          <a:stretch>
                            <a:fillRect/>
                          </a:stretch>
                        </pic:blipFill>
                        <pic:spPr>
                          <a:xfrm>
                            <a:off x="0" y="0"/>
                            <a:ext cx="1270635" cy="103695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496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394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426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2）基材：采用E0级刨花板、中纤板或胶合板，符合国家相关标准；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3）PVC封边条：采用优质PVC封边条，耐干热性、耐磨性符合要求；</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12"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被服柜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180340</wp:posOffset>
                  </wp:positionH>
                  <wp:positionV relativeFrom="paragraph">
                    <wp:posOffset>299085</wp:posOffset>
                  </wp:positionV>
                  <wp:extent cx="996315" cy="1463040"/>
                  <wp:effectExtent l="0" t="0" r="13335" b="3810"/>
                  <wp:wrapNone/>
                  <wp:docPr id="370" name="图片_278"/>
                  <wp:cNvGraphicFramePr/>
                  <a:graphic xmlns:a="http://schemas.openxmlformats.org/drawingml/2006/main">
                    <a:graphicData uri="http://schemas.openxmlformats.org/drawingml/2006/picture">
                      <pic:pic xmlns:pic="http://schemas.openxmlformats.org/drawingml/2006/picture">
                        <pic:nvPicPr>
                          <pic:cNvPr id="370" name="图片_278"/>
                          <pic:cNvPicPr/>
                        </pic:nvPicPr>
                        <pic:blipFill>
                          <a:blip r:embed="rId345"/>
                          <a:stretch>
                            <a:fillRect/>
                          </a:stretch>
                        </pic:blipFill>
                        <pic:spPr>
                          <a:xfrm>
                            <a:off x="0" y="0"/>
                            <a:ext cx="996315" cy="14630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600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2000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2）基材：采用E0级刨花板，符合国家相关标准；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3）封边条：采用优质环保ABS封边条，符合国家相关标准；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4）铰链：采用优质铰链，符合国家相关标准；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工艺说明：拉手采用ABS材质；</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34" w:hRule="atLeast"/>
        </w:trPr>
        <w:tc>
          <w:tcPr>
            <w:tcW w:w="421"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79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更衣柜</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89535</wp:posOffset>
                  </wp:positionH>
                  <wp:positionV relativeFrom="paragraph">
                    <wp:posOffset>351155</wp:posOffset>
                  </wp:positionV>
                  <wp:extent cx="1036320" cy="864870"/>
                  <wp:effectExtent l="0" t="0" r="11430" b="11430"/>
                  <wp:wrapNone/>
                  <wp:docPr id="378" name="图片_276"/>
                  <wp:cNvGraphicFramePr/>
                  <a:graphic xmlns:a="http://schemas.openxmlformats.org/drawingml/2006/main">
                    <a:graphicData uri="http://schemas.openxmlformats.org/drawingml/2006/picture">
                      <pic:pic xmlns:pic="http://schemas.openxmlformats.org/drawingml/2006/picture">
                        <pic:nvPicPr>
                          <pic:cNvPr id="378" name="图片_276"/>
                          <pic:cNvPicPr/>
                        </pic:nvPicPr>
                        <pic:blipFill>
                          <a:blip r:embed="rId346"/>
                          <a:stretch>
                            <a:fillRect/>
                          </a:stretch>
                        </pic:blipFill>
                        <pic:spPr>
                          <a:xfrm>
                            <a:off x="0" y="0"/>
                            <a:ext cx="1036320" cy="86487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900 mm (L)</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500 mm (W)</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1800 mm (H）</w:t>
            </w:r>
          </w:p>
        </w:tc>
        <w:tc>
          <w:tcPr>
            <w:tcW w:w="7556" w:type="dxa"/>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材质说明:</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1）基材：柜体主体采用0.7mm优质冷轧钢板；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2）表面外观：符合国家相关标准。</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3）柜体工艺特点：门板采用全封工艺，外表面无裸漏的焊疤螺丝等连接工艺，门板采用内置一体成型拉手，拉手正面圆弧处理防伤手，使用起来既安全也便于擦拭清洁。钢板采用激光切割及数控折边成型，整体采用电阻焊接工艺，无外露焊点，保证产品表面不会出现凹凸不平的焊疤。</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4）五金：采用优质铰链，符合国家相关标准；</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可选</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1" w:hRule="atLeast"/>
        </w:trPr>
        <w:tc>
          <w:tcPr>
            <w:tcW w:w="14000" w:type="dxa"/>
            <w:gridSpan w:val="8"/>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浙江金融职业学院绍兴校区体育器材设备采购清单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电动液压篮球架</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85725</wp:posOffset>
                  </wp:positionV>
                  <wp:extent cx="1245235" cy="1111250"/>
                  <wp:effectExtent l="0" t="0" r="12065" b="12700"/>
                  <wp:wrapNone/>
                  <wp:docPr id="373" name="图片_322"/>
                  <wp:cNvGraphicFramePr/>
                  <a:graphic xmlns:a="http://schemas.openxmlformats.org/drawingml/2006/main">
                    <a:graphicData uri="http://schemas.openxmlformats.org/drawingml/2006/picture">
                      <pic:pic xmlns:pic="http://schemas.openxmlformats.org/drawingml/2006/picture">
                        <pic:nvPicPr>
                          <pic:cNvPr id="373" name="图片_322"/>
                          <pic:cNvPicPr/>
                        </pic:nvPicPr>
                        <pic:blipFill>
                          <a:blip r:embed="rId347"/>
                          <a:stretch>
                            <a:fillRect/>
                          </a:stretch>
                        </pic:blipFill>
                        <pic:spPr>
                          <a:xfrm>
                            <a:off x="0" y="0"/>
                            <a:ext cx="1245235" cy="11112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YLJ-5</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微电脑控制，全自动升降</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FIBA 认证；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配高强度安全玻璃篮板；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篮架二十四秒、不含灯带；</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单折式乒乓球台</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640715</wp:posOffset>
                  </wp:positionV>
                  <wp:extent cx="1080770" cy="621665"/>
                  <wp:effectExtent l="0" t="0" r="5080" b="6985"/>
                  <wp:wrapNone/>
                  <wp:docPr id="365" name="图片_323"/>
                  <wp:cNvGraphicFramePr/>
                  <a:graphic xmlns:a="http://schemas.openxmlformats.org/drawingml/2006/main">
                    <a:graphicData uri="http://schemas.openxmlformats.org/drawingml/2006/picture">
                      <pic:pic xmlns:pic="http://schemas.openxmlformats.org/drawingml/2006/picture">
                        <pic:nvPicPr>
                          <pic:cNvPr id="365" name="图片_323"/>
                          <pic:cNvPicPr/>
                        </pic:nvPicPr>
                        <pic:blipFill>
                          <a:blip r:embed="rId348"/>
                          <a:stretch>
                            <a:fillRect/>
                          </a:stretch>
                        </pic:blipFill>
                        <pic:spPr>
                          <a:xfrm>
                            <a:off x="0" y="0"/>
                            <a:ext cx="1080770" cy="6216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T2023</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规格：2740*1525*760mm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桌面厚度：18mm高密度纤维板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桌脚尺寸：40mm方管台脚</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脚轮尺寸：75mm可移动脚轮，可以推移，</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外脚装有高度调节装置，半幅科竖放，推移轻巧方便，球台底面与优质钢管框架连接，台面平整稳固；台面采用专用球台漆涂饰，色泽均匀，漆膜牢固，滑度好；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物理性能：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弹性：230-260mm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弹性均匀度：≤10mm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球台稳定性：＜10mm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台面光泽度：≤10</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乒乓球台</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207010</wp:posOffset>
                  </wp:positionH>
                  <wp:positionV relativeFrom="paragraph">
                    <wp:posOffset>517525</wp:posOffset>
                  </wp:positionV>
                  <wp:extent cx="1123315" cy="575945"/>
                  <wp:effectExtent l="0" t="0" r="635" b="14605"/>
                  <wp:wrapNone/>
                  <wp:docPr id="382" name="图片_324"/>
                  <wp:cNvGraphicFramePr/>
                  <a:graphic xmlns:a="http://schemas.openxmlformats.org/drawingml/2006/main">
                    <a:graphicData uri="http://schemas.openxmlformats.org/drawingml/2006/picture">
                      <pic:pic xmlns:pic="http://schemas.openxmlformats.org/drawingml/2006/picture">
                        <pic:nvPicPr>
                          <pic:cNvPr id="382" name="图片_324"/>
                          <pic:cNvPicPr/>
                        </pic:nvPicPr>
                        <pic:blipFill>
                          <a:blip r:embed="rId349"/>
                          <a:stretch>
                            <a:fillRect/>
                          </a:stretch>
                        </pic:blipFill>
                        <pic:spPr>
                          <a:xfrm>
                            <a:off x="0" y="0"/>
                            <a:ext cx="1123315" cy="5759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NE0彩虹台N.TCH</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规格：2740*1525*760mm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平面度：≤3mm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桌面材质：高密度板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桌面颜色：蓝色/黑色</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无脚轮，高度可调节；</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物理性能：</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弹性：230-260mm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弹性均匀度：≤5mm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球台稳定性：＜10mm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台面光泽度：≤0.6</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8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移动式羽毛球柱（含网）</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79375</wp:posOffset>
                  </wp:positionV>
                  <wp:extent cx="1073150" cy="882015"/>
                  <wp:effectExtent l="0" t="0" r="12700" b="13335"/>
                  <wp:wrapNone/>
                  <wp:docPr id="368" name="图片_325"/>
                  <wp:cNvGraphicFramePr/>
                  <a:graphic xmlns:a="http://schemas.openxmlformats.org/drawingml/2006/main">
                    <a:graphicData uri="http://schemas.openxmlformats.org/drawingml/2006/picture">
                      <pic:pic xmlns:pic="http://schemas.openxmlformats.org/drawingml/2006/picture">
                        <pic:nvPicPr>
                          <pic:cNvPr id="368" name="图片_325"/>
                          <pic:cNvPicPr/>
                        </pic:nvPicPr>
                        <pic:blipFill>
                          <a:blip r:embed="rId350"/>
                          <a:stretch>
                            <a:fillRect/>
                          </a:stretch>
                        </pic:blipFill>
                        <pic:spPr>
                          <a:xfrm>
                            <a:off x="0" y="0"/>
                            <a:ext cx="1073150" cy="8820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ZYZ-1A</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健身型，带走轮（含网）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NSCC 国体认证</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11人制移动式足球门（含网）</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141605</wp:posOffset>
                  </wp:positionH>
                  <wp:positionV relativeFrom="paragraph">
                    <wp:posOffset>185420</wp:posOffset>
                  </wp:positionV>
                  <wp:extent cx="1114425" cy="671195"/>
                  <wp:effectExtent l="0" t="0" r="9525" b="14605"/>
                  <wp:wrapNone/>
                  <wp:docPr id="379" name="图片_326"/>
                  <wp:cNvGraphicFramePr/>
                  <a:graphic xmlns:a="http://schemas.openxmlformats.org/drawingml/2006/main">
                    <a:graphicData uri="http://schemas.openxmlformats.org/drawingml/2006/picture">
                      <pic:pic xmlns:pic="http://schemas.openxmlformats.org/drawingml/2006/picture">
                        <pic:nvPicPr>
                          <pic:cNvPr id="379" name="图片_326"/>
                          <pic:cNvPicPr/>
                        </pic:nvPicPr>
                        <pic:blipFill>
                          <a:blip r:embed="rId351"/>
                          <a:stretch>
                            <a:fillRect/>
                          </a:stretch>
                        </pic:blipFill>
                        <pic:spPr>
                          <a:xfrm>
                            <a:off x="0" y="0"/>
                            <a:ext cx="1114425" cy="6711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ZQM-1A</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7.32 ×2.44（m）（配网）</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材质：钢管</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室外地埋式篮球架</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261620</wp:posOffset>
                  </wp:positionV>
                  <wp:extent cx="1056640" cy="1075690"/>
                  <wp:effectExtent l="0" t="0" r="10160" b="10160"/>
                  <wp:wrapNone/>
                  <wp:docPr id="369" name="图片_339"/>
                  <wp:cNvGraphicFramePr/>
                  <a:graphic xmlns:a="http://schemas.openxmlformats.org/drawingml/2006/main">
                    <a:graphicData uri="http://schemas.openxmlformats.org/drawingml/2006/picture">
                      <pic:pic xmlns:pic="http://schemas.openxmlformats.org/drawingml/2006/picture">
                        <pic:nvPicPr>
                          <pic:cNvPr id="369" name="图片_339"/>
                          <pic:cNvPicPr/>
                        </pic:nvPicPr>
                        <pic:blipFill>
                          <a:blip r:embed="rId352"/>
                          <a:stretch>
                            <a:fillRect/>
                          </a:stretch>
                        </pic:blipFill>
                        <pic:spPr>
                          <a:xfrm>
                            <a:off x="0" y="0"/>
                            <a:ext cx="1056640" cy="10756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GDJ-1AB</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伸臂1.8m/2.25m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场地预埋件中心间距29.38m/30.28m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配高强度安全玻璃篮板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护套另配</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含地埋施工和材料费</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网球柱（含网）</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330835</wp:posOffset>
                  </wp:positionH>
                  <wp:positionV relativeFrom="paragraph">
                    <wp:posOffset>100965</wp:posOffset>
                  </wp:positionV>
                  <wp:extent cx="751840" cy="1042035"/>
                  <wp:effectExtent l="0" t="0" r="10160" b="5715"/>
                  <wp:wrapNone/>
                  <wp:docPr id="383" name="图片_340"/>
                  <wp:cNvGraphicFramePr/>
                  <a:graphic xmlns:a="http://schemas.openxmlformats.org/drawingml/2006/main">
                    <a:graphicData uri="http://schemas.openxmlformats.org/drawingml/2006/picture">
                      <pic:pic xmlns:pic="http://schemas.openxmlformats.org/drawingml/2006/picture">
                        <pic:nvPicPr>
                          <pic:cNvPr id="383" name="图片_340"/>
                          <pic:cNvPicPr/>
                        </pic:nvPicPr>
                        <pic:blipFill>
                          <a:blip r:embed="rId353"/>
                          <a:stretch>
                            <a:fillRect/>
                          </a:stretch>
                        </pic:blipFill>
                        <pic:spPr>
                          <a:xfrm>
                            <a:off x="0" y="0"/>
                            <a:ext cx="751840" cy="104203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TP-3000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       质：全铝合金型材精制而成，可完全回收重复利用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       艺：表面经超耐候纯聚脂粉末喷涂，颜色十年不脱落，全天候环境使用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设       计：全内置蜗杆蜗轮式收紧装置；防回弹的自动锁定装置；球柱内侧焊接V型边杆，有效收紧网球网；网球网中心承重达700N以上</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标       配：网球柱，预埋件，主柱摇把</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含地埋施工和材料费</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1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网球中网</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145415</wp:posOffset>
                  </wp:positionH>
                  <wp:positionV relativeFrom="paragraph">
                    <wp:posOffset>124460</wp:posOffset>
                  </wp:positionV>
                  <wp:extent cx="989330" cy="440690"/>
                  <wp:effectExtent l="0" t="0" r="1270" b="16510"/>
                  <wp:wrapNone/>
                  <wp:docPr id="391" name="图片_341"/>
                  <wp:cNvGraphicFramePr/>
                  <a:graphic xmlns:a="http://schemas.openxmlformats.org/drawingml/2006/main">
                    <a:graphicData uri="http://schemas.openxmlformats.org/drawingml/2006/picture">
                      <pic:pic xmlns:pic="http://schemas.openxmlformats.org/drawingml/2006/picture">
                        <pic:nvPicPr>
                          <pic:cNvPr id="391" name="图片_341"/>
                          <pic:cNvPicPr/>
                        </pic:nvPicPr>
                        <pic:blipFill>
                          <a:blip r:embed="rId354"/>
                          <a:stretch>
                            <a:fillRect/>
                          </a:stretch>
                        </pic:blipFill>
                        <pic:spPr>
                          <a:xfrm>
                            <a:off x="0" y="0"/>
                            <a:ext cx="989330" cy="4406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TN-1012</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材质：聚乙烯绳、PVC</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工艺：聚乙烯绳耐酸碱、抗老化、抗冲击,使用寿命长;</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顶部包边采用PVC材质，耐酸碱，化学性质稳定;包边经四层密线缝制;顶部六格双层设计</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标配：网球网、钢丝绳、中心索带、中心索带预埋件</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6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网球场推水器</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287020</wp:posOffset>
                  </wp:positionH>
                  <wp:positionV relativeFrom="paragraph">
                    <wp:posOffset>256540</wp:posOffset>
                  </wp:positionV>
                  <wp:extent cx="951865" cy="829945"/>
                  <wp:effectExtent l="0" t="0" r="635" b="8255"/>
                  <wp:wrapNone/>
                  <wp:docPr id="401" name="图片_342"/>
                  <wp:cNvGraphicFramePr/>
                  <a:graphic xmlns:a="http://schemas.openxmlformats.org/drawingml/2006/main">
                    <a:graphicData uri="http://schemas.openxmlformats.org/drawingml/2006/picture">
                      <pic:pic xmlns:pic="http://schemas.openxmlformats.org/drawingml/2006/picture">
                        <pic:nvPicPr>
                          <pic:cNvPr id="401" name="图片_342"/>
                          <pic:cNvPicPr/>
                        </pic:nvPicPr>
                        <pic:blipFill>
                          <a:blip r:embed="rId355"/>
                          <a:stretch>
                            <a:fillRect/>
                          </a:stretch>
                        </pic:blipFill>
                        <pic:spPr>
                          <a:xfrm>
                            <a:off x="0" y="0"/>
                            <a:ext cx="951865" cy="8299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TP-033</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全铝合金型材精制而成，可完全回收重复利用</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加厚型胶条夹紧型材，胶条可更换</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全天候环境使用</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插地式排球柱</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158750</wp:posOffset>
                  </wp:positionH>
                  <wp:positionV relativeFrom="paragraph">
                    <wp:posOffset>278765</wp:posOffset>
                  </wp:positionV>
                  <wp:extent cx="1276985" cy="628650"/>
                  <wp:effectExtent l="0" t="0" r="18415" b="0"/>
                  <wp:wrapNone/>
                  <wp:docPr id="397" name="图片_344"/>
                  <wp:cNvGraphicFramePr/>
                  <a:graphic xmlns:a="http://schemas.openxmlformats.org/drawingml/2006/main">
                    <a:graphicData uri="http://schemas.openxmlformats.org/drawingml/2006/picture">
                      <pic:pic xmlns:pic="http://schemas.openxmlformats.org/drawingml/2006/picture">
                        <pic:nvPicPr>
                          <pic:cNvPr id="397" name="图片_344"/>
                          <pic:cNvPicPr/>
                        </pic:nvPicPr>
                        <pic:blipFill>
                          <a:blip r:embed="rId356"/>
                          <a:stretch>
                            <a:fillRect/>
                          </a:stretch>
                        </pic:blipFill>
                        <pic:spPr>
                          <a:xfrm>
                            <a:off x="0" y="0"/>
                            <a:ext cx="1276985" cy="6286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ZPZ-3</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室外型，材质钢管（含网及钢丝绳）</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含地埋施工和材料费</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6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移动式五人足球门（含网）</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247015</wp:posOffset>
                  </wp:positionH>
                  <wp:positionV relativeFrom="paragraph">
                    <wp:posOffset>139700</wp:posOffset>
                  </wp:positionV>
                  <wp:extent cx="1104900" cy="856615"/>
                  <wp:effectExtent l="0" t="0" r="0" b="635"/>
                  <wp:wrapNone/>
                  <wp:docPr id="403" name="图片_343"/>
                  <wp:cNvGraphicFramePr/>
                  <a:graphic xmlns:a="http://schemas.openxmlformats.org/drawingml/2006/main">
                    <a:graphicData uri="http://schemas.openxmlformats.org/drawingml/2006/picture">
                      <pic:pic xmlns:pic="http://schemas.openxmlformats.org/drawingml/2006/picture">
                        <pic:nvPicPr>
                          <pic:cNvPr id="403" name="图片_343"/>
                          <pic:cNvPicPr/>
                        </pic:nvPicPr>
                        <pic:blipFill>
                          <a:blip r:embed="rId357"/>
                          <a:stretch>
                            <a:fillRect/>
                          </a:stretch>
                        </pic:blipFill>
                        <pic:spPr>
                          <a:xfrm>
                            <a:off x="0" y="0"/>
                            <a:ext cx="1104900" cy="8566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ZQM-3A</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3×2（m）钢管（配网）</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6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铅球投掷圈</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322580</wp:posOffset>
                  </wp:positionH>
                  <wp:positionV relativeFrom="paragraph">
                    <wp:posOffset>41910</wp:posOffset>
                  </wp:positionV>
                  <wp:extent cx="847090" cy="789940"/>
                  <wp:effectExtent l="0" t="0" r="10160" b="10160"/>
                  <wp:wrapNone/>
                  <wp:docPr id="413" name="图片_337"/>
                  <wp:cNvGraphicFramePr/>
                  <a:graphic xmlns:a="http://schemas.openxmlformats.org/drawingml/2006/main">
                    <a:graphicData uri="http://schemas.openxmlformats.org/drawingml/2006/picture">
                      <pic:pic xmlns:pic="http://schemas.openxmlformats.org/drawingml/2006/picture">
                        <pic:nvPicPr>
                          <pic:cNvPr id="413" name="图片_337"/>
                          <pic:cNvPicPr/>
                        </pic:nvPicPr>
                        <pic:blipFill>
                          <a:blip r:embed="rId358"/>
                          <a:stretch>
                            <a:fillRect/>
                          </a:stretch>
                        </pic:blipFill>
                        <pic:spPr>
                          <a:xfrm>
                            <a:off x="0" y="0"/>
                            <a:ext cx="847090" cy="7899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TZQ-1</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圈内沿直径2.135m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IAAF 认证</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含地埋施工和材料费</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9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13</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铅球抵趾板</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143510</wp:posOffset>
                  </wp:positionV>
                  <wp:extent cx="1142365" cy="532765"/>
                  <wp:effectExtent l="0" t="0" r="635" b="635"/>
                  <wp:wrapNone/>
                  <wp:docPr id="402" name="图片_338"/>
                  <wp:cNvGraphicFramePr/>
                  <a:graphic xmlns:a="http://schemas.openxmlformats.org/drawingml/2006/main">
                    <a:graphicData uri="http://schemas.openxmlformats.org/drawingml/2006/picture">
                      <pic:pic xmlns:pic="http://schemas.openxmlformats.org/drawingml/2006/picture">
                        <pic:nvPicPr>
                          <pic:cNvPr id="402" name="图片_338"/>
                          <pic:cNvPicPr/>
                        </pic:nvPicPr>
                        <pic:blipFill>
                          <a:blip r:embed="rId359"/>
                          <a:stretch>
                            <a:fillRect/>
                          </a:stretch>
                        </pic:blipFill>
                        <pic:spPr>
                          <a:xfrm>
                            <a:off x="0" y="0"/>
                            <a:ext cx="1142365" cy="5327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DZB-1</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1.21×0.3（m）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IAAF 认证</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14</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比赛跳高架</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419735</wp:posOffset>
                  </wp:positionH>
                  <wp:positionV relativeFrom="paragraph">
                    <wp:posOffset>83820</wp:posOffset>
                  </wp:positionV>
                  <wp:extent cx="628015" cy="1142365"/>
                  <wp:effectExtent l="0" t="0" r="635" b="635"/>
                  <wp:wrapNone/>
                  <wp:docPr id="392" name="图片_327"/>
                  <wp:cNvGraphicFramePr/>
                  <a:graphic xmlns:a="http://schemas.openxmlformats.org/drawingml/2006/main">
                    <a:graphicData uri="http://schemas.openxmlformats.org/drawingml/2006/picture">
                      <pic:pic xmlns:pic="http://schemas.openxmlformats.org/drawingml/2006/picture">
                        <pic:nvPicPr>
                          <pic:cNvPr id="392" name="图片_327"/>
                          <pic:cNvPicPr/>
                        </pic:nvPicPr>
                        <pic:blipFill>
                          <a:blip r:embed="rId360"/>
                          <a:stretch>
                            <a:fillRect/>
                          </a:stretch>
                        </pic:blipFill>
                        <pic:spPr>
                          <a:xfrm>
                            <a:off x="0" y="0"/>
                            <a:ext cx="628015" cy="11423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TGJ-2</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0.6～2.6（m）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IAAF 认证</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NSCC 国体认证</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6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15</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跳高横杆</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276860</wp:posOffset>
                  </wp:positionV>
                  <wp:extent cx="1108075" cy="546100"/>
                  <wp:effectExtent l="0" t="0" r="15875" b="6350"/>
                  <wp:wrapNone/>
                  <wp:docPr id="408" name="图片_328"/>
                  <wp:cNvGraphicFramePr/>
                  <a:graphic xmlns:a="http://schemas.openxmlformats.org/drawingml/2006/main">
                    <a:graphicData uri="http://schemas.openxmlformats.org/drawingml/2006/picture">
                      <pic:pic xmlns:pic="http://schemas.openxmlformats.org/drawingml/2006/picture">
                        <pic:nvPicPr>
                          <pic:cNvPr id="408" name="图片_328"/>
                          <pic:cNvPicPr/>
                        </pic:nvPicPr>
                        <pic:blipFill>
                          <a:blip r:embed="rId361"/>
                          <a:stretch>
                            <a:fillRect/>
                          </a:stretch>
                        </pic:blipFill>
                        <pic:spPr>
                          <a:xfrm>
                            <a:off x="0" y="0"/>
                            <a:ext cx="1108075" cy="5461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HG-1</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玻璃钢</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IAAF 认证</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4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跳高丈量尺</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285115</wp:posOffset>
                  </wp:positionH>
                  <wp:positionV relativeFrom="paragraph">
                    <wp:posOffset>172720</wp:posOffset>
                  </wp:positionV>
                  <wp:extent cx="780415" cy="818515"/>
                  <wp:effectExtent l="0" t="0" r="635" b="635"/>
                  <wp:wrapNone/>
                  <wp:docPr id="412" name="图片_329"/>
                  <wp:cNvGraphicFramePr/>
                  <a:graphic xmlns:a="http://schemas.openxmlformats.org/drawingml/2006/main">
                    <a:graphicData uri="http://schemas.openxmlformats.org/drawingml/2006/picture">
                      <pic:pic xmlns:pic="http://schemas.openxmlformats.org/drawingml/2006/picture">
                        <pic:nvPicPr>
                          <pic:cNvPr id="412" name="图片_329"/>
                          <pic:cNvPicPr/>
                        </pic:nvPicPr>
                        <pic:blipFill>
                          <a:blip r:embed="rId362"/>
                          <a:stretch>
                            <a:fillRect/>
                          </a:stretch>
                        </pic:blipFill>
                        <pic:spPr>
                          <a:xfrm>
                            <a:off x="0" y="0"/>
                            <a:ext cx="780415" cy="8185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ZLC-7</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铝合金、可伸缩</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03"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17</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跳高海绵垫</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173990</wp:posOffset>
                  </wp:positionH>
                  <wp:positionV relativeFrom="paragraph">
                    <wp:posOffset>345440</wp:posOffset>
                  </wp:positionV>
                  <wp:extent cx="1001395" cy="607695"/>
                  <wp:effectExtent l="0" t="0" r="8255" b="1905"/>
                  <wp:wrapNone/>
                  <wp:docPr id="416" name="图片_330"/>
                  <wp:cNvGraphicFramePr/>
                  <a:graphic xmlns:a="http://schemas.openxmlformats.org/drawingml/2006/main">
                    <a:graphicData uri="http://schemas.openxmlformats.org/drawingml/2006/picture">
                      <pic:pic xmlns:pic="http://schemas.openxmlformats.org/drawingml/2006/picture">
                        <pic:nvPicPr>
                          <pic:cNvPr id="416" name="图片_330"/>
                          <pic:cNvPicPr/>
                        </pic:nvPicPr>
                        <pic:blipFill>
                          <a:blip r:embed="rId363"/>
                          <a:stretch>
                            <a:fillRect/>
                          </a:stretch>
                        </pic:blipFill>
                        <pic:spPr>
                          <a:xfrm>
                            <a:off x="0" y="0"/>
                            <a:ext cx="1001395" cy="6076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HMB-1A</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3000*5000*700mm</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18</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跳高海绵垫底架</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250825</wp:posOffset>
                  </wp:positionV>
                  <wp:extent cx="1033145" cy="696595"/>
                  <wp:effectExtent l="0" t="0" r="14605" b="8255"/>
                  <wp:wrapNone/>
                  <wp:docPr id="390" name="图片_331"/>
                  <wp:cNvGraphicFramePr/>
                  <a:graphic xmlns:a="http://schemas.openxmlformats.org/drawingml/2006/main">
                    <a:graphicData uri="http://schemas.openxmlformats.org/drawingml/2006/picture">
                      <pic:pic xmlns:pic="http://schemas.openxmlformats.org/drawingml/2006/picture">
                        <pic:nvPicPr>
                          <pic:cNvPr id="390" name="图片_331"/>
                          <pic:cNvPicPr/>
                        </pic:nvPicPr>
                        <pic:blipFill>
                          <a:blip r:embed="rId364"/>
                          <a:stretch>
                            <a:fillRect/>
                          </a:stretch>
                        </pic:blipFill>
                        <pic:spPr>
                          <a:xfrm>
                            <a:off x="0" y="0"/>
                            <a:ext cx="1033145" cy="69659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HMJ-1</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4.8×2.8×0.1（m）</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19</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跳高海绵垫防护棚</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302260</wp:posOffset>
                  </wp:positionV>
                  <wp:extent cx="1050290" cy="624205"/>
                  <wp:effectExtent l="0" t="0" r="16510" b="4445"/>
                  <wp:wrapNone/>
                  <wp:docPr id="409" name="图片_332"/>
                  <wp:cNvGraphicFramePr/>
                  <a:graphic xmlns:a="http://schemas.openxmlformats.org/drawingml/2006/main">
                    <a:graphicData uri="http://schemas.openxmlformats.org/drawingml/2006/picture">
                      <pic:pic xmlns:pic="http://schemas.openxmlformats.org/drawingml/2006/picture">
                        <pic:nvPicPr>
                          <pic:cNvPr id="409" name="图片_332"/>
                          <pic:cNvPicPr/>
                        </pic:nvPicPr>
                        <pic:blipFill>
                          <a:blip r:embed="rId365"/>
                          <a:stretch>
                            <a:fillRect/>
                          </a:stretch>
                        </pic:blipFill>
                        <pic:spPr>
                          <a:xfrm>
                            <a:off x="0" y="0"/>
                            <a:ext cx="1050290" cy="6242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HMP-1</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5.4×3.4×1.1（m）</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20</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跳远起跳板</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114935</wp:posOffset>
                  </wp:positionV>
                  <wp:extent cx="1189990" cy="761365"/>
                  <wp:effectExtent l="0" t="0" r="10160" b="635"/>
                  <wp:wrapNone/>
                  <wp:docPr id="395" name="图片_333"/>
                  <wp:cNvGraphicFramePr/>
                  <a:graphic xmlns:a="http://schemas.openxmlformats.org/drawingml/2006/main">
                    <a:graphicData uri="http://schemas.openxmlformats.org/drawingml/2006/picture">
                      <pic:pic xmlns:pic="http://schemas.openxmlformats.org/drawingml/2006/picture">
                        <pic:nvPicPr>
                          <pic:cNvPr id="395" name="图片_333"/>
                          <pic:cNvPicPr/>
                        </pic:nvPicPr>
                        <pic:blipFill>
                          <a:blip r:embed="rId366"/>
                          <a:stretch>
                            <a:fillRect/>
                          </a:stretch>
                        </pic:blipFill>
                        <pic:spPr>
                          <a:xfrm>
                            <a:off x="0" y="0"/>
                            <a:ext cx="1189990" cy="76136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QTB-2</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1.22×0.3（m）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IAAF 认证</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21</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起跳板底座</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124460</wp:posOffset>
                  </wp:positionV>
                  <wp:extent cx="1247140" cy="789940"/>
                  <wp:effectExtent l="0" t="0" r="10160" b="10160"/>
                  <wp:wrapNone/>
                  <wp:docPr id="406" name="图片_334"/>
                  <wp:cNvGraphicFramePr/>
                  <a:graphic xmlns:a="http://schemas.openxmlformats.org/drawingml/2006/main">
                    <a:graphicData uri="http://schemas.openxmlformats.org/drawingml/2006/picture">
                      <pic:pic xmlns:pic="http://schemas.openxmlformats.org/drawingml/2006/picture">
                        <pic:nvPicPr>
                          <pic:cNvPr id="406" name="图片_334"/>
                          <pic:cNvPicPr/>
                        </pic:nvPicPr>
                        <pic:blipFill>
                          <a:blip r:embed="rId367"/>
                          <a:stretch>
                            <a:fillRect/>
                          </a:stretch>
                        </pic:blipFill>
                        <pic:spPr>
                          <a:xfrm>
                            <a:off x="0" y="0"/>
                            <a:ext cx="1247140" cy="7899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TBZ-1</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1.22×0.3（m）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热镀锌</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IAAF 认证</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含地埋施工和材料费</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22</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起跳板盖板</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135255</wp:posOffset>
                  </wp:positionH>
                  <wp:positionV relativeFrom="paragraph">
                    <wp:posOffset>126365</wp:posOffset>
                  </wp:positionV>
                  <wp:extent cx="1068070" cy="546100"/>
                  <wp:effectExtent l="0" t="0" r="17780" b="6350"/>
                  <wp:wrapNone/>
                  <wp:docPr id="398" name="图片_335"/>
                  <wp:cNvGraphicFramePr/>
                  <a:graphic xmlns:a="http://schemas.openxmlformats.org/drawingml/2006/main">
                    <a:graphicData uri="http://schemas.openxmlformats.org/drawingml/2006/picture">
                      <pic:pic xmlns:pic="http://schemas.openxmlformats.org/drawingml/2006/picture">
                        <pic:nvPicPr>
                          <pic:cNvPr id="398" name="图片_335"/>
                          <pic:cNvPicPr/>
                        </pic:nvPicPr>
                        <pic:blipFill>
                          <a:blip r:embed="rId368"/>
                          <a:stretch>
                            <a:fillRect/>
                          </a:stretch>
                        </pic:blipFill>
                        <pic:spPr>
                          <a:xfrm>
                            <a:off x="0" y="0"/>
                            <a:ext cx="1068070" cy="54610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TBG-1</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1.22×0.3（m）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热镀锌</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9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23</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铝合金平砂板</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139065</wp:posOffset>
                  </wp:positionV>
                  <wp:extent cx="1056640" cy="589915"/>
                  <wp:effectExtent l="0" t="0" r="10160" b="635"/>
                  <wp:wrapNone/>
                  <wp:docPr id="417" name="图片_336"/>
                  <wp:cNvGraphicFramePr/>
                  <a:graphic xmlns:a="http://schemas.openxmlformats.org/drawingml/2006/main">
                    <a:graphicData uri="http://schemas.openxmlformats.org/drawingml/2006/picture">
                      <pic:pic xmlns:pic="http://schemas.openxmlformats.org/drawingml/2006/picture">
                        <pic:nvPicPr>
                          <pic:cNvPr id="417" name="图片_336"/>
                          <pic:cNvPicPr/>
                        </pic:nvPicPr>
                        <pic:blipFill>
                          <a:blip r:embed="rId369"/>
                          <a:stretch>
                            <a:fillRect/>
                          </a:stretch>
                        </pic:blipFill>
                        <pic:spPr>
                          <a:xfrm>
                            <a:off x="0" y="0"/>
                            <a:ext cx="1056640" cy="58991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PSB-2</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1.65×0.92（m）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北京奥运会使用器材</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4</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24</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11人制铝合金直插式足球门（配网）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203835</wp:posOffset>
                  </wp:positionH>
                  <wp:positionV relativeFrom="paragraph">
                    <wp:posOffset>178435</wp:posOffset>
                  </wp:positionV>
                  <wp:extent cx="1051560" cy="728345"/>
                  <wp:effectExtent l="0" t="0" r="15240" b="14605"/>
                  <wp:wrapNone/>
                  <wp:docPr id="414" name="图片_345"/>
                  <wp:cNvGraphicFramePr/>
                  <a:graphic xmlns:a="http://schemas.openxmlformats.org/drawingml/2006/main">
                    <a:graphicData uri="http://schemas.openxmlformats.org/drawingml/2006/picture">
                      <pic:pic xmlns:pic="http://schemas.openxmlformats.org/drawingml/2006/picture">
                        <pic:nvPicPr>
                          <pic:cNvPr id="414" name="图片_345"/>
                          <pic:cNvPicPr/>
                        </pic:nvPicPr>
                        <pic:blipFill>
                          <a:blip r:embed="rId370"/>
                          <a:stretch>
                            <a:fillRect/>
                          </a:stretch>
                        </pic:blipFill>
                        <pic:spPr>
                          <a:xfrm>
                            <a:off x="0" y="0"/>
                            <a:ext cx="1051560" cy="7283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ZQM-2</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7.32×2.44(m)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（必须配置直插式而非移动式）</w:t>
            </w:r>
          </w:p>
        </w:tc>
        <w:tc>
          <w:tcPr>
            <w:tcW w:w="45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含地埋施工和材料费</w:t>
            </w: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60"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25</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8人制铝合金移动式足球门（配网）</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162560</wp:posOffset>
                  </wp:positionV>
                  <wp:extent cx="1266825" cy="829945"/>
                  <wp:effectExtent l="0" t="0" r="9525" b="8255"/>
                  <wp:wrapNone/>
                  <wp:docPr id="404" name="图片_346"/>
                  <wp:cNvGraphicFramePr/>
                  <a:graphic xmlns:a="http://schemas.openxmlformats.org/drawingml/2006/main">
                    <a:graphicData uri="http://schemas.openxmlformats.org/drawingml/2006/picture">
                      <pic:pic xmlns:pic="http://schemas.openxmlformats.org/drawingml/2006/picture">
                        <pic:nvPicPr>
                          <pic:cNvPr id="404" name="图片_346"/>
                          <pic:cNvPicPr/>
                        </pic:nvPicPr>
                        <pic:blipFill>
                          <a:blip r:embed="rId371"/>
                          <a:stretch>
                            <a:fillRect/>
                          </a:stretch>
                        </pic:blipFill>
                        <pic:spPr>
                          <a:xfrm>
                            <a:off x="0" y="0"/>
                            <a:ext cx="1266825" cy="8299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ZQM-8A</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5.5×2（m）</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（为方便大型运动会清理场地，使用移动式）</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12"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26</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起跑器</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212725</wp:posOffset>
                  </wp:positionV>
                  <wp:extent cx="1314450" cy="650240"/>
                  <wp:effectExtent l="0" t="0" r="0" b="16510"/>
                  <wp:wrapNone/>
                  <wp:docPr id="405" name="图片_347"/>
                  <wp:cNvGraphicFramePr/>
                  <a:graphic xmlns:a="http://schemas.openxmlformats.org/drawingml/2006/main">
                    <a:graphicData uri="http://schemas.openxmlformats.org/drawingml/2006/picture">
                      <pic:pic xmlns:pic="http://schemas.openxmlformats.org/drawingml/2006/picture">
                        <pic:nvPicPr>
                          <pic:cNvPr id="405" name="图片_347"/>
                          <pic:cNvPicPr/>
                        </pic:nvPicPr>
                        <pic:blipFill>
                          <a:blip r:embed="rId372"/>
                          <a:stretch>
                            <a:fillRect/>
                          </a:stretch>
                        </pic:blipFill>
                        <pic:spPr>
                          <a:xfrm>
                            <a:off x="0" y="0"/>
                            <a:ext cx="1314450" cy="6502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QPQ-5</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铝合金IAAF 认证</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8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27</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起跑器运输车</w:t>
            </w:r>
          </w:p>
        </w:tc>
        <w:tc>
          <w:tcPr>
            <w:tcW w:w="2576" w:type="dxa"/>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170815</wp:posOffset>
                  </wp:positionV>
                  <wp:extent cx="904875" cy="962660"/>
                  <wp:effectExtent l="0" t="0" r="9525" b="8890"/>
                  <wp:wrapNone/>
                  <wp:docPr id="415" name="图片_348"/>
                  <wp:cNvGraphicFramePr/>
                  <a:graphic xmlns:a="http://schemas.openxmlformats.org/drawingml/2006/main">
                    <a:graphicData uri="http://schemas.openxmlformats.org/drawingml/2006/picture">
                      <pic:pic xmlns:pic="http://schemas.openxmlformats.org/drawingml/2006/picture">
                        <pic:nvPicPr>
                          <pic:cNvPr id="415" name="图片_348"/>
                          <pic:cNvPicPr/>
                        </pic:nvPicPr>
                        <pic:blipFill>
                          <a:blip r:embed="rId373"/>
                          <a:stretch>
                            <a:fillRect/>
                          </a:stretch>
                        </pic:blipFill>
                        <pic:spPr>
                          <a:xfrm>
                            <a:off x="0" y="0"/>
                            <a:ext cx="904875" cy="9626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YSC-1</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放10副</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16"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28</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道次墩</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174625</wp:posOffset>
                  </wp:positionV>
                  <wp:extent cx="1029335" cy="821690"/>
                  <wp:effectExtent l="0" t="0" r="18415" b="16510"/>
                  <wp:wrapNone/>
                  <wp:docPr id="399" name="图片_349"/>
                  <wp:cNvGraphicFramePr/>
                  <a:graphic xmlns:a="http://schemas.openxmlformats.org/drawingml/2006/main">
                    <a:graphicData uri="http://schemas.openxmlformats.org/drawingml/2006/picture">
                      <pic:pic xmlns:pic="http://schemas.openxmlformats.org/drawingml/2006/picture">
                        <pic:nvPicPr>
                          <pic:cNvPr id="399" name="图片_349"/>
                          <pic:cNvPicPr/>
                        </pic:nvPicPr>
                        <pic:blipFill>
                          <a:blip r:embed="rId374"/>
                          <a:stretch>
                            <a:fillRect/>
                          </a:stretch>
                        </pic:blipFill>
                        <pic:spPr>
                          <a:xfrm>
                            <a:off x="0" y="0"/>
                            <a:ext cx="1029335" cy="82169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DCD-1A</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三面显示</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29</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发令台（含发令烟屏）</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229235</wp:posOffset>
                  </wp:positionH>
                  <wp:positionV relativeFrom="paragraph">
                    <wp:posOffset>137795</wp:posOffset>
                  </wp:positionV>
                  <wp:extent cx="718185" cy="941705"/>
                  <wp:effectExtent l="0" t="0" r="5715" b="10795"/>
                  <wp:wrapNone/>
                  <wp:docPr id="396" name="图片_350"/>
                  <wp:cNvGraphicFramePr/>
                  <a:graphic xmlns:a="http://schemas.openxmlformats.org/drawingml/2006/main">
                    <a:graphicData uri="http://schemas.openxmlformats.org/drawingml/2006/picture">
                      <pic:pic xmlns:pic="http://schemas.openxmlformats.org/drawingml/2006/picture">
                        <pic:nvPicPr>
                          <pic:cNvPr id="396" name="图片_350"/>
                          <pic:cNvPicPr/>
                        </pic:nvPicPr>
                        <pic:blipFill>
                          <a:blip r:embed="rId375"/>
                          <a:stretch>
                            <a:fillRect/>
                          </a:stretch>
                        </pic:blipFill>
                        <pic:spPr>
                          <a:xfrm>
                            <a:off x="0" y="0"/>
                            <a:ext cx="718185" cy="94170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fldChar w:fldCharType="begin"/>
            </w:r>
            <w:r>
              <w:rPr>
                <w:rFonts w:hint="eastAsia" w:ascii="宋体" w:hAnsi="宋体" w:eastAsia="宋体" w:cs="宋体"/>
                <w:b w:val="0"/>
                <w:bCs w:val="0"/>
                <w:i w:val="0"/>
                <w:iCs w:val="0"/>
                <w:color w:val="auto"/>
                <w:kern w:val="0"/>
                <w:sz w:val="18"/>
                <w:szCs w:val="18"/>
                <w:highlight w:val="none"/>
                <w:u w:val="none"/>
                <w:lang w:val="en-US" w:eastAsia="zh-CN" w:bidi="ar"/>
              </w:rPr>
              <w:instrText xml:space="preserve"> HYPERLINK "https://www.zcygov.cn/items/32919440?searchType=1" \o "https://www.zcygov.cn/items/32919440?searchType=1" </w:instrText>
            </w:r>
            <w:r>
              <w:rPr>
                <w:rFonts w:hint="eastAsia" w:ascii="宋体" w:hAnsi="宋体" w:eastAsia="宋体" w:cs="宋体"/>
                <w:b w:val="0"/>
                <w:bCs w:val="0"/>
                <w:i w:val="0"/>
                <w:iCs w:val="0"/>
                <w:color w:val="auto"/>
                <w:kern w:val="0"/>
                <w:sz w:val="18"/>
                <w:szCs w:val="18"/>
                <w:highlight w:val="none"/>
                <w:u w:val="none"/>
                <w:lang w:val="en-US" w:eastAsia="zh-CN" w:bidi="ar"/>
              </w:rPr>
              <w:fldChar w:fldCharType="separate"/>
            </w:r>
            <w:r>
              <w:rPr>
                <w:rStyle w:val="33"/>
                <w:rFonts w:hint="eastAsia" w:ascii="宋体" w:hAnsi="宋体" w:eastAsia="宋体" w:cs="宋体"/>
                <w:b w:val="0"/>
                <w:bCs w:val="0"/>
                <w:i w:val="0"/>
                <w:iCs w:val="0"/>
                <w:color w:val="auto"/>
                <w:sz w:val="18"/>
                <w:szCs w:val="18"/>
                <w:highlight w:val="none"/>
                <w:u w:val="none"/>
              </w:rPr>
              <w:t>FLT-1/FLP-1</w:t>
            </w:r>
            <w:r>
              <w:rPr>
                <w:rFonts w:hint="eastAsia" w:ascii="宋体" w:hAnsi="宋体" w:eastAsia="宋体" w:cs="宋体"/>
                <w:b w:val="0"/>
                <w:bCs w:val="0"/>
                <w:i w:val="0"/>
                <w:iCs w:val="0"/>
                <w:color w:val="auto"/>
                <w:kern w:val="0"/>
                <w:sz w:val="18"/>
                <w:szCs w:val="18"/>
                <w:highlight w:val="none"/>
                <w:u w:val="none"/>
                <w:lang w:val="en-US" w:eastAsia="zh-CN" w:bidi="ar"/>
              </w:rPr>
              <w:fldChar w:fldCharType="end"/>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800×610×1500（㎜）</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足球场替补席</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11人制足球场和五人制足球场都需要配置10组</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（4-6人席）</w:t>
            </w:r>
          </w:p>
        </w:tc>
        <w:tc>
          <w:tcPr>
            <w:tcW w:w="25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166370</wp:posOffset>
                  </wp:positionH>
                  <wp:positionV relativeFrom="paragraph">
                    <wp:posOffset>266065</wp:posOffset>
                  </wp:positionV>
                  <wp:extent cx="1067435" cy="855345"/>
                  <wp:effectExtent l="0" t="0" r="18415" b="1905"/>
                  <wp:wrapNone/>
                  <wp:docPr id="407" name="图片_351"/>
                  <wp:cNvGraphicFramePr/>
                  <a:graphic xmlns:a="http://schemas.openxmlformats.org/drawingml/2006/main">
                    <a:graphicData uri="http://schemas.openxmlformats.org/drawingml/2006/picture">
                      <pic:pic xmlns:pic="http://schemas.openxmlformats.org/drawingml/2006/picture">
                        <pic:nvPicPr>
                          <pic:cNvPr id="407" name="图片_351"/>
                          <pic:cNvPicPr/>
                        </pic:nvPicPr>
                        <pic:blipFill>
                          <a:blip r:embed="rId376"/>
                          <a:stretch>
                            <a:fillRect/>
                          </a:stretch>
                        </pic:blipFill>
                        <pic:spPr>
                          <a:xfrm>
                            <a:off x="0" y="0"/>
                            <a:ext cx="1067435" cy="85534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定制</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3000*1000*2000，6人</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7"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31</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气排球地胶、</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191770</wp:posOffset>
                  </wp:positionV>
                  <wp:extent cx="1181100" cy="1095375"/>
                  <wp:effectExtent l="0" t="0" r="0" b="9525"/>
                  <wp:wrapNone/>
                  <wp:docPr id="393" name="图片_353"/>
                  <wp:cNvGraphicFramePr/>
                  <a:graphic xmlns:a="http://schemas.openxmlformats.org/drawingml/2006/main">
                    <a:graphicData uri="http://schemas.openxmlformats.org/drawingml/2006/picture">
                      <pic:pic xmlns:pic="http://schemas.openxmlformats.org/drawingml/2006/picture">
                        <pic:nvPicPr>
                          <pic:cNvPr id="393" name="图片_353"/>
                          <pic:cNvPicPr/>
                        </pic:nvPicPr>
                        <pic:blipFill>
                          <a:blip r:embed="rId377"/>
                          <a:stretch>
                            <a:fillRect/>
                          </a:stretch>
                        </pic:blipFill>
                        <pic:spPr>
                          <a:xfrm>
                            <a:off x="0" y="0"/>
                            <a:ext cx="1181100" cy="1095375"/>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斯代尔</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16*10米，厚度：5MM （需木地板上铺装）</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2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32</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移动球柱及球网</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480060</wp:posOffset>
                  </wp:positionH>
                  <wp:positionV relativeFrom="paragraph">
                    <wp:posOffset>55245</wp:posOffset>
                  </wp:positionV>
                  <wp:extent cx="391795" cy="773430"/>
                  <wp:effectExtent l="0" t="0" r="8255" b="7620"/>
                  <wp:wrapNone/>
                  <wp:docPr id="394" name="image216.jpeg"/>
                  <wp:cNvGraphicFramePr/>
                  <a:graphic xmlns:a="http://schemas.openxmlformats.org/drawingml/2006/main">
                    <a:graphicData uri="http://schemas.openxmlformats.org/drawingml/2006/picture">
                      <pic:pic xmlns:pic="http://schemas.openxmlformats.org/drawingml/2006/picture">
                        <pic:nvPicPr>
                          <pic:cNvPr id="394" name="image216.jpeg"/>
                          <pic:cNvPicPr/>
                        </pic:nvPicPr>
                        <pic:blipFill>
                          <a:blip r:embed="rId378"/>
                          <a:stretch>
                            <a:fillRect/>
                          </a:stretch>
                        </pic:blipFill>
                        <pic:spPr>
                          <a:xfrm>
                            <a:off x="0" y="0"/>
                            <a:ext cx="391795" cy="77343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QPZ-1</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气排球移动网架</w:t>
            </w:r>
          </w:p>
        </w:tc>
        <w:tc>
          <w:tcPr>
            <w:tcW w:w="454"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jc w:val="center"/>
              <w:rPr>
                <w:rFonts w:hint="eastAsia" w:ascii="宋体" w:hAnsi="宋体" w:eastAsia="宋体" w:cs="宋体"/>
                <w:b w:val="0"/>
                <w:bCs w:val="0"/>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08"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33</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配重式排球柱  新增</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40640</wp:posOffset>
                  </wp:positionV>
                  <wp:extent cx="1146175" cy="1145540"/>
                  <wp:effectExtent l="0" t="0" r="15875" b="16510"/>
                  <wp:wrapNone/>
                  <wp:docPr id="388" name="图片_4_SpCnt_3"/>
                  <wp:cNvGraphicFramePr/>
                  <a:graphic xmlns:a="http://schemas.openxmlformats.org/drawingml/2006/main">
                    <a:graphicData uri="http://schemas.openxmlformats.org/drawingml/2006/picture">
                      <pic:pic xmlns:pic="http://schemas.openxmlformats.org/drawingml/2006/picture">
                        <pic:nvPicPr>
                          <pic:cNvPr id="388" name="图片_4_SpCnt_3"/>
                          <pic:cNvPicPr/>
                        </pic:nvPicPr>
                        <pic:blipFill>
                          <a:blip r:embed="rId379"/>
                          <a:stretch>
                            <a:fillRect/>
                          </a:stretch>
                        </pic:blipFill>
                        <pic:spPr>
                          <a:xfrm>
                            <a:off x="0" y="0"/>
                            <a:ext cx="1146175" cy="11455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PPZ-1A/13110</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金陵体育器材，附带裁判椅、含网、钢丝绳</w:t>
            </w:r>
          </w:p>
        </w:tc>
        <w:tc>
          <w:tcPr>
            <w:tcW w:w="454"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4"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34</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乒乓球挡板  新增</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83820</wp:posOffset>
                  </wp:positionV>
                  <wp:extent cx="1240790" cy="784860"/>
                  <wp:effectExtent l="0" t="0" r="16510" b="15240"/>
                  <wp:wrapNone/>
                  <wp:docPr id="410" name="图片_355"/>
                  <wp:cNvGraphicFramePr/>
                  <a:graphic xmlns:a="http://schemas.openxmlformats.org/drawingml/2006/main">
                    <a:graphicData uri="http://schemas.openxmlformats.org/drawingml/2006/picture">
                      <pic:pic xmlns:pic="http://schemas.openxmlformats.org/drawingml/2006/picture">
                        <pic:nvPicPr>
                          <pic:cNvPr id="410" name="图片_355"/>
                          <pic:cNvPicPr/>
                        </pic:nvPicPr>
                        <pic:blipFill>
                          <a:blip r:embed="rId380"/>
                          <a:stretch>
                            <a:fillRect/>
                          </a:stretch>
                        </pic:blipFill>
                        <pic:spPr>
                          <a:xfrm>
                            <a:off x="0" y="0"/>
                            <a:ext cx="1240790" cy="78486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高级</w:t>
            </w:r>
            <w:r>
              <w:rPr>
                <w:rStyle w:val="71"/>
                <w:rFonts w:hint="eastAsia" w:ascii="宋体" w:hAnsi="宋体" w:eastAsia="宋体" w:cs="宋体"/>
                <w:b w:val="0"/>
                <w:bCs w:val="0"/>
                <w:sz w:val="18"/>
                <w:szCs w:val="18"/>
                <w:highlight w:val="none"/>
                <w:lang w:val="en-US" w:eastAsia="zh-CN" w:bidi="ar"/>
              </w:rPr>
              <w:t>S1-01A</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红双喜乒乓球牛津含布</w:t>
            </w:r>
          </w:p>
        </w:tc>
        <w:tc>
          <w:tcPr>
            <w:tcW w:w="454"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60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0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35</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田径场终点计时台  新增</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183515</wp:posOffset>
                  </wp:positionH>
                  <wp:positionV relativeFrom="paragraph">
                    <wp:posOffset>232410</wp:posOffset>
                  </wp:positionV>
                  <wp:extent cx="1094740" cy="624840"/>
                  <wp:effectExtent l="0" t="0" r="10160" b="3810"/>
                  <wp:wrapNone/>
                  <wp:docPr id="389" name="图片_1_SpCnt_1"/>
                  <wp:cNvGraphicFramePr/>
                  <a:graphic xmlns:a="http://schemas.openxmlformats.org/drawingml/2006/main">
                    <a:graphicData uri="http://schemas.openxmlformats.org/drawingml/2006/picture">
                      <pic:pic xmlns:pic="http://schemas.openxmlformats.org/drawingml/2006/picture">
                        <pic:nvPicPr>
                          <pic:cNvPr id="389" name="图片_1_SpCnt_1"/>
                          <pic:cNvPicPr/>
                        </pic:nvPicPr>
                        <pic:blipFill>
                          <a:blip r:embed="rId381"/>
                          <a:stretch>
                            <a:fillRect/>
                          </a:stretch>
                        </pic:blipFill>
                        <pic:spPr>
                          <a:xfrm>
                            <a:off x="0" y="0"/>
                            <a:ext cx="1094740" cy="62484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cpt-2</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金陵田径场可伸缩型终点裁判台计时台（27座）</w:t>
            </w:r>
          </w:p>
        </w:tc>
        <w:tc>
          <w:tcPr>
            <w:tcW w:w="454"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79"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36</w:t>
            </w:r>
          </w:p>
        </w:tc>
        <w:tc>
          <w:tcPr>
            <w:tcW w:w="79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田径跨栏架  新增</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199390</wp:posOffset>
                  </wp:positionH>
                  <wp:positionV relativeFrom="paragraph">
                    <wp:posOffset>127000</wp:posOffset>
                  </wp:positionV>
                  <wp:extent cx="989330" cy="984250"/>
                  <wp:effectExtent l="0" t="0" r="1270" b="6350"/>
                  <wp:wrapNone/>
                  <wp:docPr id="411" name="图片_357"/>
                  <wp:cNvGraphicFramePr/>
                  <a:graphic xmlns:a="http://schemas.openxmlformats.org/drawingml/2006/main">
                    <a:graphicData uri="http://schemas.openxmlformats.org/drawingml/2006/picture">
                      <pic:pic xmlns:pic="http://schemas.openxmlformats.org/drawingml/2006/picture">
                        <pic:nvPicPr>
                          <pic:cNvPr id="411" name="图片_357"/>
                          <pic:cNvPicPr/>
                        </pic:nvPicPr>
                        <pic:blipFill>
                          <a:blip r:embed="rId382"/>
                          <a:stretch>
                            <a:fillRect/>
                          </a:stretch>
                        </pic:blipFill>
                        <pic:spPr>
                          <a:xfrm>
                            <a:off x="0" y="0"/>
                            <a:ext cx="989330" cy="9842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22502</w:t>
            </w:r>
          </w:p>
        </w:tc>
        <w:tc>
          <w:tcPr>
            <w:tcW w:w="755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金陵跨栏架</w:t>
            </w:r>
            <w:r>
              <w:rPr>
                <w:rStyle w:val="71"/>
                <w:rFonts w:hint="eastAsia" w:ascii="宋体" w:hAnsi="宋体" w:eastAsia="宋体" w:cs="宋体"/>
                <w:b w:val="0"/>
                <w:bCs w:val="0"/>
                <w:sz w:val="18"/>
                <w:szCs w:val="18"/>
                <w:highlight w:val="none"/>
                <w:lang w:val="en-US" w:eastAsia="zh-CN" w:bidi="ar"/>
              </w:rPr>
              <w:t>22502</w:t>
            </w:r>
            <w:r>
              <w:rPr>
                <w:rStyle w:val="70"/>
                <w:rFonts w:hint="eastAsia" w:ascii="宋体" w:hAnsi="宋体" w:eastAsia="宋体" w:cs="宋体"/>
                <w:b w:val="0"/>
                <w:bCs w:val="0"/>
                <w:sz w:val="18"/>
                <w:szCs w:val="18"/>
                <w:highlight w:val="none"/>
                <w:lang w:val="en-US" w:eastAsia="zh-CN" w:bidi="ar"/>
              </w:rPr>
              <w:t>田径</w:t>
            </w:r>
            <w:r>
              <w:rPr>
                <w:rStyle w:val="71"/>
                <w:rFonts w:hint="eastAsia" w:ascii="宋体" w:hAnsi="宋体" w:eastAsia="宋体" w:cs="宋体"/>
                <w:b w:val="0"/>
                <w:bCs w:val="0"/>
                <w:sz w:val="18"/>
                <w:szCs w:val="18"/>
                <w:highlight w:val="none"/>
                <w:lang w:val="en-US" w:eastAsia="zh-CN" w:bidi="ar"/>
              </w:rPr>
              <w:t>ZKL-1</w:t>
            </w:r>
            <w:r>
              <w:rPr>
                <w:rStyle w:val="70"/>
                <w:rFonts w:hint="eastAsia" w:ascii="宋体" w:hAnsi="宋体" w:eastAsia="宋体" w:cs="宋体"/>
                <w:b w:val="0"/>
                <w:bCs w:val="0"/>
                <w:sz w:val="18"/>
                <w:szCs w:val="18"/>
                <w:highlight w:val="none"/>
                <w:lang w:val="en-US" w:eastAsia="zh-CN" w:bidi="ar"/>
              </w:rPr>
              <w:t>运动比赛跨栏架</w:t>
            </w:r>
          </w:p>
        </w:tc>
        <w:tc>
          <w:tcPr>
            <w:tcW w:w="454"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90</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51" w:hRule="atLeast"/>
        </w:trPr>
        <w:tc>
          <w:tcPr>
            <w:tcW w:w="4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37</w:t>
            </w:r>
          </w:p>
        </w:tc>
        <w:tc>
          <w:tcPr>
            <w:tcW w:w="790" w:type="dxa"/>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电子型坐位体前屈测试仪  新增</w:t>
            </w:r>
          </w:p>
        </w:tc>
        <w:tc>
          <w:tcPr>
            <w:tcW w:w="257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164465</wp:posOffset>
                  </wp:positionV>
                  <wp:extent cx="1104265" cy="869950"/>
                  <wp:effectExtent l="0" t="0" r="635" b="6350"/>
                  <wp:wrapNone/>
                  <wp:docPr id="400" name="图片_358"/>
                  <wp:cNvGraphicFramePr/>
                  <a:graphic xmlns:a="http://schemas.openxmlformats.org/drawingml/2006/main">
                    <a:graphicData uri="http://schemas.openxmlformats.org/drawingml/2006/picture">
                      <pic:pic xmlns:pic="http://schemas.openxmlformats.org/drawingml/2006/picture">
                        <pic:nvPicPr>
                          <pic:cNvPr id="400" name="图片_358"/>
                          <pic:cNvPicPr/>
                        </pic:nvPicPr>
                        <pic:blipFill>
                          <a:blip r:embed="rId383"/>
                          <a:stretch>
                            <a:fillRect/>
                          </a:stretch>
                        </pic:blipFill>
                        <pic:spPr>
                          <a:xfrm>
                            <a:off x="0" y="0"/>
                            <a:ext cx="1104265" cy="869950"/>
                          </a:xfrm>
                          <a:prstGeom prst="rect">
                            <a:avLst/>
                          </a:prstGeom>
                          <a:noFill/>
                          <a:ln>
                            <a:noFill/>
                          </a:ln>
                        </pic:spPr>
                      </pic:pic>
                    </a:graphicData>
                  </a:graphic>
                </wp:anchor>
              </w:drawing>
            </w:r>
          </w:p>
        </w:tc>
        <w:tc>
          <w:tcPr>
            <w:tcW w:w="1150"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鑫瑞奥</w:t>
            </w:r>
          </w:p>
        </w:tc>
        <w:tc>
          <w:tcPr>
            <w:tcW w:w="7556" w:type="dxa"/>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电子型坐位体前屈测试仪</w:t>
            </w:r>
          </w:p>
        </w:tc>
        <w:tc>
          <w:tcPr>
            <w:tcW w:w="454" w:type="dxa"/>
            <w:tcBorders>
              <w:tl2br w:val="nil"/>
              <w:tr2bl w:val="nil"/>
            </w:tcBorders>
            <w:shd w:val="clear" w:color="auto" w:fill="auto"/>
            <w:vAlign w:val="center"/>
          </w:tcPr>
          <w:p>
            <w:pPr>
              <w:rPr>
                <w:rFonts w:hint="eastAsia" w:ascii="宋体" w:hAnsi="宋体" w:eastAsia="宋体" w:cs="宋体"/>
                <w:b w:val="0"/>
                <w:bCs w:val="0"/>
                <w:i w:val="0"/>
                <w:iCs w:val="0"/>
                <w:color w:val="000000"/>
                <w:sz w:val="18"/>
                <w:szCs w:val="18"/>
                <w:highlight w:val="none"/>
                <w:u w:val="none"/>
              </w:rPr>
            </w:pPr>
          </w:p>
        </w:tc>
        <w:tc>
          <w:tcPr>
            <w:tcW w:w="61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8</w:t>
            </w:r>
          </w:p>
        </w:tc>
        <w:tc>
          <w:tcPr>
            <w:tcW w:w="4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台</w:t>
            </w:r>
          </w:p>
        </w:tc>
      </w:tr>
    </w:tbl>
    <w:p>
      <w:pPr>
        <w:pStyle w:val="2"/>
        <w:ind w:left="0" w:leftChars="0" w:firstLine="0" w:firstLineChars="0"/>
        <w:rPr>
          <w:rFonts w:hint="eastAsia" w:ascii="宋体" w:hAnsi="宋体" w:eastAsia="宋体" w:cs="宋体"/>
          <w:b/>
          <w:bCs/>
          <w:color w:val="auto"/>
          <w:sz w:val="24"/>
          <w:szCs w:val="24"/>
          <w:highlight w:val="none"/>
          <w:lang w:val="en-US" w:eastAsia="zh-CN"/>
        </w:rPr>
      </w:pPr>
    </w:p>
    <w:p>
      <w:pPr>
        <w:pStyle w:val="2"/>
        <w:ind w:left="0" w:leftChars="0" w:firstLine="0" w:firstLineChars="0"/>
        <w:rPr>
          <w:rFonts w:hint="eastAsia" w:ascii="宋体" w:hAnsi="宋体" w:eastAsia="宋体" w:cs="宋体"/>
          <w:b/>
          <w:bCs/>
          <w:color w:val="auto"/>
          <w:sz w:val="24"/>
          <w:szCs w:val="24"/>
          <w:highlight w:val="none"/>
          <w:lang w:val="en-US" w:eastAsia="zh-CN"/>
        </w:rPr>
      </w:pPr>
    </w:p>
    <w:p>
      <w:pPr>
        <w:pStyle w:val="2"/>
        <w:ind w:left="0" w:leftChars="0" w:firstLine="0" w:firstLineChars="0"/>
        <w:rPr>
          <w:color w:val="auto"/>
          <w:highlight w:val="none"/>
        </w:rPr>
      </w:pPr>
      <w:r>
        <w:rPr>
          <w:rFonts w:hint="eastAsia" w:ascii="宋体" w:hAnsi="宋体" w:eastAsia="宋体" w:cs="宋体"/>
          <w:b/>
          <w:bCs/>
          <w:i w:val="0"/>
          <w:iCs w:val="0"/>
          <w:color w:val="auto"/>
          <w:kern w:val="0"/>
          <w:sz w:val="18"/>
          <w:szCs w:val="18"/>
          <w:highlight w:val="none"/>
          <w:u w:val="none"/>
          <w:lang w:val="en-US" w:eastAsia="zh-CN" w:bidi="ar"/>
        </w:rPr>
        <w:t>备注：家具单价已包括主辅材、材料制作、安装费、运输损耗等各种损耗及运输费、采保费、质量技术监督部门和工程质量监督部门检验费、管理费、利润、规费、税金等一切费用</w:t>
      </w:r>
    </w:p>
    <w:p>
      <w:pPr>
        <w:pStyle w:val="2"/>
        <w:ind w:left="0" w:leftChars="0" w:firstLine="0" w:firstLineChars="0"/>
        <w:rPr>
          <w:rFonts w:hint="eastAsia" w:ascii="宋体" w:hAnsi="宋体" w:eastAsia="宋体" w:cs="宋体"/>
          <w:b/>
          <w:bCs/>
          <w:color w:val="auto"/>
          <w:sz w:val="24"/>
          <w:szCs w:val="24"/>
          <w:highlight w:val="none"/>
          <w:lang w:val="en-US" w:eastAsia="zh-CN"/>
        </w:rPr>
      </w:pPr>
    </w:p>
    <w:p>
      <w:pPr>
        <w:pStyle w:val="2"/>
        <w:ind w:left="0" w:leftChars="0" w:firstLine="0" w:firstLineChars="0"/>
        <w:rPr>
          <w:rFonts w:hint="eastAsia" w:ascii="宋体" w:hAnsi="宋体" w:eastAsia="宋体" w:cs="宋体"/>
          <w:b/>
          <w:bCs/>
          <w:color w:val="auto"/>
          <w:sz w:val="24"/>
          <w:szCs w:val="24"/>
          <w:highlight w:val="none"/>
          <w:lang w:val="en-US" w:eastAsia="zh-CN"/>
        </w:rPr>
      </w:pPr>
    </w:p>
    <w:p>
      <w:pPr>
        <w:pStyle w:val="2"/>
        <w:rPr>
          <w:rFonts w:hint="eastAsia" w:ascii="宋体" w:hAnsi="宋体" w:eastAsia="宋体" w:cs="宋体"/>
          <w:b/>
          <w:bCs/>
          <w:color w:val="auto"/>
          <w:sz w:val="24"/>
          <w:szCs w:val="24"/>
          <w:highlight w:val="none"/>
          <w:lang w:val="en-US" w:eastAsia="zh-CN"/>
        </w:rPr>
        <w:sectPr>
          <w:pgSz w:w="16840" w:h="11907" w:orient="landscape"/>
          <w:pgMar w:top="1803" w:right="1440" w:bottom="1236" w:left="1440" w:header="851" w:footer="992" w:gutter="0"/>
          <w:pgBorders>
            <w:top w:val="none" w:sz="0" w:space="0"/>
            <w:left w:val="none" w:sz="0" w:space="0"/>
            <w:bottom w:val="none" w:sz="0" w:space="0"/>
            <w:right w:val="none" w:sz="0" w:space="0"/>
          </w:pgBorders>
          <w:cols w:space="0" w:num="1"/>
          <w:rtlGutter w:val="0"/>
          <w:docGrid w:type="lines" w:linePitch="316" w:charSpace="0"/>
        </w:sectPr>
      </w:pPr>
    </w:p>
    <w:p>
      <w:pPr>
        <w:spacing w:line="500" w:lineRule="exact"/>
        <w:jc w:val="left"/>
        <w:rPr>
          <w:rFonts w:hint="eastAsia" w:ascii="宋体" w:hAnsi="宋体" w:eastAsia="宋体" w:cs="宋体"/>
          <w:b/>
          <w:bCs/>
          <w:iCs/>
          <w:color w:val="auto"/>
          <w:sz w:val="21"/>
          <w:szCs w:val="21"/>
          <w:highlight w:val="none"/>
          <w:lang w:val="en-US" w:eastAsia="zh-CN"/>
        </w:rPr>
      </w:pPr>
      <w:r>
        <w:rPr>
          <w:rFonts w:hint="eastAsia" w:ascii="宋体" w:hAnsi="宋体" w:cs="宋体"/>
          <w:b/>
          <w:bCs/>
          <w:iCs/>
          <w:color w:val="auto"/>
          <w:sz w:val="21"/>
          <w:szCs w:val="21"/>
          <w:highlight w:val="none"/>
          <w:lang w:val="en-US" w:eastAsia="zh-CN"/>
        </w:rPr>
        <w:t>标项一</w:t>
      </w:r>
      <w:r>
        <w:rPr>
          <w:rFonts w:hint="eastAsia" w:ascii="宋体" w:hAnsi="宋体" w:eastAsia="宋体" w:cs="宋体"/>
          <w:b/>
          <w:bCs/>
          <w:iCs/>
          <w:color w:val="auto"/>
          <w:sz w:val="21"/>
          <w:szCs w:val="21"/>
          <w:highlight w:val="none"/>
          <w:lang w:val="en-US" w:eastAsia="zh-CN"/>
        </w:rPr>
        <w:t>附件：</w:t>
      </w:r>
    </w:p>
    <w:p>
      <w:pPr>
        <w:jc w:val="center"/>
        <w:rPr>
          <w:rFonts w:hint="eastAsia" w:eastAsia="宋体"/>
          <w:highlight w:val="none"/>
          <w:lang w:val="en-US" w:eastAsia="zh-CN"/>
        </w:rPr>
      </w:pPr>
      <w:r>
        <w:rPr>
          <w:rFonts w:hint="eastAsia" w:ascii="宋体" w:hAnsi="宋体" w:cs="宋体"/>
          <w:b/>
          <w:bCs/>
          <w:sz w:val="32"/>
          <w:szCs w:val="32"/>
          <w:highlight w:val="none"/>
        </w:rPr>
        <w:t>技术参数规格表</w:t>
      </w:r>
    </w:p>
    <w:p>
      <w:pPr>
        <w:pStyle w:val="2"/>
        <w:rPr>
          <w:rFonts w:hint="eastAsia" w:ascii="宋体" w:hAnsi="宋体" w:eastAsia="宋体" w:cs="宋体"/>
          <w:b/>
          <w:bCs/>
          <w:color w:val="auto"/>
          <w:sz w:val="24"/>
          <w:szCs w:val="24"/>
          <w:highlight w:val="none"/>
          <w:lang w:val="en-US" w:eastAsia="zh-CN"/>
        </w:rPr>
      </w:pPr>
    </w:p>
    <w:tbl>
      <w:tblPr>
        <w:tblStyle w:val="28"/>
        <w:tblW w:w="909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8" w:type="dxa"/>
            <w:noWrap w:val="0"/>
            <w:vAlign w:val="center"/>
          </w:tcPr>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原材料检测报告</w:t>
            </w:r>
          </w:p>
        </w:tc>
        <w:tc>
          <w:tcPr>
            <w:tcW w:w="7375" w:type="dxa"/>
            <w:noWrap w:val="0"/>
            <w:vAlign w:val="center"/>
          </w:tcPr>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提供有CMA资质的机构出具的原材料检测报告（要求报告的检测日期为本项目发布公告之日前的2年内）：</w:t>
            </w:r>
          </w:p>
          <w:p>
            <w:pPr>
              <w:widowControl/>
              <w:snapToGrid w:val="0"/>
              <w:spacing w:line="480" w:lineRule="exact"/>
              <w:ind w:left="0"/>
              <w:rPr>
                <w:rFonts w:hint="eastAsia" w:ascii="仿宋" w:eastAsia="仿宋"/>
                <w:color w:val="auto"/>
                <w:sz w:val="24"/>
                <w:lang w:val="zh-CN" w:eastAsia="zh-CN"/>
              </w:rPr>
            </w:pPr>
            <w:r>
              <w:rPr>
                <w:rFonts w:hint="eastAsia" w:ascii="仿宋" w:eastAsia="仿宋"/>
                <w:color w:val="auto"/>
                <w:sz w:val="24"/>
                <w:lang w:val="en-US" w:eastAsia="zh-CN"/>
              </w:rPr>
              <w:t>提供实木多层板符合检测依据符合GB 18580-2017、GB/T 9846-2015、GB/T 35601-2017、GB/T 17657-2013标准要求，其中甲醛释放量≤0.05mg/m³；含水率符合标准；苯、甲苯、二甲苯≤10㎍/m³，TVOC≤50㎍/m³，胶合强度、弹性模量、静曲强度、浸渍剥离符合标准；</w:t>
            </w:r>
          </w:p>
          <w:p>
            <w:pPr>
              <w:widowControl/>
              <w:snapToGrid w:val="0"/>
              <w:spacing w:line="480" w:lineRule="exact"/>
              <w:ind w:left="0"/>
              <w:rPr>
                <w:rFonts w:hint="eastAsia" w:ascii="仿宋" w:eastAsia="仿宋"/>
                <w:color w:val="auto"/>
                <w:sz w:val="24"/>
                <w:lang w:val="zh-CN" w:eastAsia="zh-CN"/>
              </w:rPr>
            </w:pPr>
            <w:r>
              <w:rPr>
                <w:rFonts w:hint="eastAsia" w:ascii="仿宋" w:eastAsia="仿宋"/>
                <w:color w:val="auto"/>
                <w:sz w:val="24"/>
                <w:lang w:val="en-US" w:eastAsia="zh-CN"/>
              </w:rPr>
              <w:t>2、提供刨花板符合检测依据GB/T4897-2015《创花板》、GB18580-2017《室内装饰装修材料人造板及其制品中甲醛释放限量》、GB/T39600-2021《人造板及其制品甲醛释放量分级》检测标准。</w:t>
            </w:r>
          </w:p>
          <w:p>
            <w:pPr>
              <w:widowControl/>
              <w:snapToGrid w:val="0"/>
              <w:spacing w:line="480" w:lineRule="exact"/>
              <w:ind w:left="0"/>
              <w:rPr>
                <w:rFonts w:hint="eastAsia" w:ascii="仿宋" w:eastAsia="仿宋"/>
                <w:color w:val="auto"/>
                <w:sz w:val="24"/>
                <w:lang w:val="zh-CN" w:eastAsia="zh-CN"/>
              </w:rPr>
            </w:pPr>
            <w:r>
              <w:rPr>
                <w:rFonts w:hint="eastAsia" w:ascii="仿宋" w:eastAsia="仿宋"/>
                <w:color w:val="auto"/>
                <w:sz w:val="24"/>
                <w:lang w:val="en-US" w:eastAsia="zh-CN"/>
              </w:rPr>
              <w:t>3、提供</w:t>
            </w:r>
            <w:r>
              <w:rPr>
                <w:rFonts w:hint="eastAsia" w:ascii="仿宋" w:eastAsia="仿宋"/>
                <w:color w:val="auto"/>
                <w:sz w:val="24"/>
                <w:lang w:val="zh-CN" w:eastAsia="zh-CN"/>
              </w:rPr>
              <w:t>实木板</w:t>
            </w:r>
            <w:r>
              <w:rPr>
                <w:rFonts w:hint="eastAsia" w:ascii="仿宋" w:eastAsia="仿宋"/>
                <w:color w:val="auto"/>
                <w:sz w:val="24"/>
                <w:lang w:val="en-US" w:eastAsia="zh-CN"/>
              </w:rPr>
              <w:t>符合检测依据GB/T 3324-2017《木家具通用技术条件》、GB/T 17657-2013《人造板及饰面人造板理化性能试验方法》要求，检测项目包含木材含水率≤9%。</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 xml:space="preserve">4、提供木皮符合检测依据GB/T 13010-2020、GB/T 35601-2017的抽样检测报告，甲醛未检出，单板外观质量符合I级要求，含水率≤6-14%。  </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5、提供环保胶水符合检测依据符合GB 18583-2008、GB 33372-2020标准的检测报告，其中游离甲醛、总挥发性有机物检测符合标准要求；</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6、提供环保油漆符合检测依据符合GB 18581-2020标准的抽样合格检测报告，其中甲醛含量≤20mg/kg，VOC含量≤60g/L，苯系物总和含量≤100mg/kg。</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7、提供</w:t>
            </w:r>
            <w:r>
              <w:rPr>
                <w:rFonts w:hint="eastAsia" w:ascii="仿宋" w:eastAsia="仿宋"/>
                <w:color w:val="auto"/>
                <w:sz w:val="24"/>
                <w:lang w:val="zh-CN" w:eastAsia="zh-CN"/>
              </w:rPr>
              <w:t>超纤皮</w:t>
            </w:r>
            <w:r>
              <w:rPr>
                <w:rFonts w:hint="eastAsia" w:ascii="仿宋" w:eastAsia="仿宋"/>
                <w:color w:val="auto"/>
                <w:sz w:val="24"/>
                <w:lang w:val="en-US" w:eastAsia="zh-CN"/>
              </w:rPr>
              <w:t>符合检测依据GB/T 16799-2018《家具用皮革》、GB 8624-2012《建筑材料及制品燃烧性能分级》标准。</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8、提供冷轧钢板符合检测依据GB/T5213-2019的标准，屈服强度≤250MPa，抗拉强度320-350MPa，断后伸长率≥30%，化学元素C≤0.1%,Mn≤0.25%,P≤0.02%，S≤0.2%；</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9、提供家具锁符合检测依QB/T3827-1999《轻工产品金属镀层和化学处理层的耐腐蚀试验方法乙酸盐雾试验（ASS）法》：依据QB/T3832-1999《轻工产品金属镀层腐蚀试验结果的评价》标准的要求，涂层本身耐腐蚀等级实测值≥10级。</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10、提供塑料件符合检测依据GB 28481-2012标准的抽样合格检测报告，其中邻苯二甲酸酯未检出、重金属未检出、多环芳烃未检出。</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11、提供布料符合检测依据GB/T 24346-2009：黑曲霉霉菌；防霉等级0级；GB/T 20944.1-2007：大肠杆菌；抑菌带宽度＞1mm；GB 18401-2010：甲醛含量≤20mg/kg；可分解芳香胺染料，未检出；染色牢度；耐水3-4级；耐酸汗渍3-4级；耐碱汗渍3-4级；耐干摩擦4级；耐唾液4级；</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12、提供封边条符合检测依据GB28481-2012、SN/T 1877.2-2007的标准出具的检测报告，耐干热性应无龟裂、无鼓泡。耐老化性应无开裂，耐冷热循环性应无龟裂、无鼓泡、无变色、无起皱、苯并[a]芘、领苯二甲酸酯符合要求。；</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13、提供钢管符合检测依据GB/T 3325-2017《金属家具通用技术条件》的检验标准，应符合国家标准硬度≥4H；冲击强度应无剥落、裂纹、皱纹；金属喷漆耐腐蚀，观察在溶剂中样板上划道两侧3mm以外， 应无气泡产生；检查划道两侧 3mm 以外，应无锈迹、剥 落、起皱、变色和失光等现象。</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14、提供带涂层塑料部件符合检测依据GB/T 3325-2017，结构安全、塑料件耐老化性能需达标准要求；依据GB 28481-2012，邻苯二甲酸酯、重金属、多环芳烃均为未检出；</w:t>
            </w:r>
          </w:p>
          <w:p>
            <w:pPr>
              <w:widowControl/>
              <w:snapToGrid w:val="0"/>
              <w:spacing w:line="480" w:lineRule="exact"/>
              <w:ind w:left="0"/>
              <w:rPr>
                <w:rFonts w:hint="default"/>
                <w:lang w:val="en-US" w:eastAsia="zh-CN"/>
              </w:rPr>
            </w:pPr>
            <w:r>
              <w:rPr>
                <w:rFonts w:hint="eastAsia" w:ascii="仿宋" w:eastAsia="仿宋"/>
                <w:color w:val="auto"/>
                <w:sz w:val="24"/>
                <w:lang w:val="en-US" w:eastAsia="zh-CN"/>
              </w:rPr>
              <w:t>15、提供冷轧钢板符合检测依据GB/T 708-2019 《冷轧钢板和钢带的尺寸、外形、重量及允许偏差》要求的检验报告，其中力学性能：最小屈服强度≤280MPa，厚度≥2.0mm。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8" w:type="dxa"/>
            <w:noWrap w:val="0"/>
            <w:vAlign w:val="center"/>
          </w:tcPr>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成品检测报告</w:t>
            </w:r>
          </w:p>
        </w:tc>
        <w:tc>
          <w:tcPr>
            <w:tcW w:w="7375" w:type="dxa"/>
            <w:noWrap w:val="0"/>
            <w:vAlign w:val="center"/>
          </w:tcPr>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投标人提供有CMA资质的机构出具的成品检测报告（要求报告的检测日期为本项目发布公告之日前的2年内）：</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1、提供阅览桌符合检测依据为GB/T 3324-2017《木家具通用技术条件》标准要求出具的检测报告，检测内容有木工要求、强度和耐久性、甲醛释放量、重金属等合格标准。</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2、提供阅览椅符合检测依据为GB/T 3324-2017、GB/T 35607-2017标准要求出具的检测报告，检测内容有木工要求、强度和耐久性、甲醛释放量、苯、甲苯、二甲苯、总挥发性有机化合物（TVOC）等合格标准。</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3、提供沙发符合检测依据为QB/T 1952.1-2012、GB/T 35607-2017、GB 18401-2010标准的全项检测报告，其中甲醛释放量≤0.03mg/m3、TVOC≤0.2mg/m3、产品寿命6万次合格、可分解芳香胺染料未检出。</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4、提供课桌符合检测依据为QB/T 4071-2021《课桌椅》标准，，检测内容包含桌面垂直静载荷、桌面垂直耐久性、桌面垂直冲击、桌腿跌落、桌面水平静载荷检测合格。</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5、提供双面书架符合检测依据为GB/T3325-2017《金属家具通用技术条件》标准要求出具的检测报告，检测内容硬度≥3H。耐腐蚀550h后，检查划道两侧3mm以外无锈蚀、剥落、起皱、变色和失光等现象 。耐腐蚀550h内，观察在溶剂中样板上划道两侧3mm以外无鼓泡 。</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6、提供密集架符合检测依据为GB/T3325-2017《金属家具通用技术条件》标准要求出具的检测报告，检测内容有金属件外性能要求、金属喷漆(塑)涂层（硬度、冲击强度、耐腐蚀）。</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7、提供办公桌符合检测依据为GB/T 3325-2017全项；GB/T 244-2020弯曲试验；GB/T3639-2021表面质量、拉伸、压扁、扩口；GB/T 35607-2017寿命和有害物质； GB/T 16422.2- 2022耐老化性能；EN 13501-1:2018，燃烧性能B级。</w:t>
            </w:r>
          </w:p>
        </w:tc>
      </w:tr>
    </w:tbl>
    <w:p>
      <w:pPr>
        <w:pStyle w:val="2"/>
        <w:rPr>
          <w:rFonts w:hint="eastAsia" w:ascii="宋体" w:hAnsi="宋体" w:eastAsia="宋体" w:cs="宋体"/>
          <w:b/>
          <w:bCs/>
          <w:color w:val="auto"/>
          <w:sz w:val="24"/>
          <w:szCs w:val="24"/>
          <w:highlight w:val="none"/>
          <w:lang w:val="en-US" w:eastAsia="zh-CN"/>
        </w:rPr>
        <w:sectPr>
          <w:pgSz w:w="11907" w:h="16840"/>
          <w:pgMar w:top="1440" w:right="1236" w:bottom="1440" w:left="1803" w:header="851" w:footer="992" w:gutter="0"/>
          <w:pgBorders>
            <w:top w:val="none" w:sz="0" w:space="0"/>
            <w:left w:val="none" w:sz="0" w:space="0"/>
            <w:bottom w:val="none" w:sz="0" w:space="0"/>
            <w:right w:val="none" w:sz="0" w:space="0"/>
          </w:pgBorders>
          <w:cols w:space="0" w:num="1"/>
          <w:rtlGutter w:val="0"/>
          <w:docGrid w:type="lines" w:linePitch="316" w:charSpace="0"/>
        </w:sectPr>
      </w:pPr>
    </w:p>
    <w:p>
      <w:pPr>
        <w:pStyle w:val="2"/>
        <w:rPr>
          <w:rFonts w:hint="eastAsia" w:ascii="宋体" w:hAnsi="宋体" w:eastAsia="宋体" w:cs="宋体"/>
          <w:b/>
          <w:bCs/>
          <w:color w:val="auto"/>
          <w:sz w:val="24"/>
          <w:szCs w:val="24"/>
          <w:highlight w:val="none"/>
          <w:lang w:val="en-US" w:eastAsia="zh-CN"/>
        </w:rPr>
      </w:pPr>
    </w:p>
    <w:p>
      <w:pPr>
        <w:pStyle w:val="2"/>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02标</w:t>
      </w:r>
      <w:r>
        <w:rPr>
          <w:rFonts w:hint="eastAsia" w:ascii="宋体" w:hAnsi="宋体" w:cs="宋体"/>
          <w:b/>
          <w:bCs/>
          <w:color w:val="auto"/>
          <w:sz w:val="24"/>
          <w:szCs w:val="24"/>
          <w:highlight w:val="none"/>
          <w:lang w:val="en-US" w:eastAsia="zh-CN"/>
        </w:rPr>
        <w:t xml:space="preserve">  浙江金融职业学院绍兴校区新建工程家具采购项目（标段二：宿舍及餐厅家具）</w:t>
      </w:r>
    </w:p>
    <w:p>
      <w:pPr>
        <w:widowControl/>
        <w:jc w:val="left"/>
        <w:textAlignment w:val="center"/>
        <w:rPr>
          <w:rFonts w:ascii="仿宋" w:hAnsi="仿宋" w:eastAsia="仿宋" w:cs="仿宋"/>
          <w:b/>
          <w:color w:val="auto"/>
          <w:kern w:val="0"/>
          <w:sz w:val="32"/>
          <w:szCs w:val="32"/>
          <w:highlight w:val="none"/>
          <w:lang w:bidi="ar"/>
        </w:rPr>
      </w:pPr>
    </w:p>
    <w:tbl>
      <w:tblPr>
        <w:tblStyle w:val="28"/>
        <w:tblW w:w="13940"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05"/>
        <w:gridCol w:w="756"/>
        <w:gridCol w:w="2076"/>
        <w:gridCol w:w="1386"/>
        <w:gridCol w:w="7601"/>
        <w:gridCol w:w="576"/>
        <w:gridCol w:w="576"/>
        <w:gridCol w:w="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3" w:hRule="atLeast"/>
        </w:trPr>
        <w:tc>
          <w:tcPr>
            <w:tcW w:w="13940" w:type="dxa"/>
            <w:gridSpan w:val="8"/>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宿舍家具清单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5"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序号</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品名</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产品图片</w:t>
            </w:r>
          </w:p>
        </w:tc>
        <w:tc>
          <w:tcPr>
            <w:tcW w:w="127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规格</w:t>
            </w:r>
          </w:p>
        </w:tc>
        <w:tc>
          <w:tcPr>
            <w:tcW w:w="860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材质说明</w:t>
            </w:r>
          </w:p>
        </w:tc>
        <w:tc>
          <w:tcPr>
            <w:tcW w:w="4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颜色</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数量</w:t>
            </w:r>
          </w:p>
        </w:tc>
        <w:tc>
          <w:tcPr>
            <w:tcW w:w="56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0" w:type="auto"/>
            <w:gridSpan w:val="8"/>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无障碍宿舍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3"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无障碍宿舍床</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71575" cy="876300"/>
                  <wp:effectExtent l="0" t="0" r="9525" b="0"/>
                  <wp:docPr id="418" name="图片 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94" descr="IMG_256"/>
                          <pic:cNvPicPr>
                            <a:picLocks noChangeAspect="1"/>
                          </pic:cNvPicPr>
                        </pic:nvPicPr>
                        <pic:blipFill>
                          <a:blip r:embed="rId384"/>
                          <a:stretch>
                            <a:fillRect/>
                          </a:stretch>
                        </pic:blipFill>
                        <pic:spPr>
                          <a:xfrm>
                            <a:off x="0" y="0"/>
                            <a:ext cx="1171575" cy="876300"/>
                          </a:xfrm>
                          <a:prstGeom prst="rect">
                            <a:avLst/>
                          </a:prstGeom>
                          <a:noFill/>
                          <a:ln w="9525">
                            <a:noFill/>
                          </a:ln>
                        </pic:spPr>
                      </pic:pic>
                    </a:graphicData>
                  </a:graphic>
                </wp:inline>
              </w:drawing>
            </w:r>
          </w:p>
        </w:tc>
        <w:tc>
          <w:tcPr>
            <w:tcW w:w="127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1200*2000*520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1.基材：整体采用18mm厚人造板（刨花板）制作；</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2.封边条:采用1.5mm优质PVC封边条封边；</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3.床体：床立柱受力立柱采用80*40*1.2mm L型封闭式异型钢管，带安全倒角，床挺采用80*20*1.2MM钢管+ 30*20*1.2MM钢管组合而成，床头床尾盖管采用异性铝合金管50*30*1.6MM：用ABS塑料连接件与承重立柱链接，塑料连接件尺寸： 95*50*70MM；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4.五金件：带阻尼铰链及采用带缓冲三节轨道；拉手采用高强度铝合金一体成型压铸件；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5.床垫：80mm植物棉床垫，填充为食品级别的植物棉，以植物纤维为原料，整个制作工艺属物理变化，生产环境清洁无污染。</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36"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床中柜</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62050" cy="1247775"/>
                  <wp:effectExtent l="0" t="0" r="0" b="9525"/>
                  <wp:docPr id="419" name="图片 9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95" descr="IMG_257"/>
                          <pic:cNvPicPr>
                            <a:picLocks noChangeAspect="1"/>
                          </pic:cNvPicPr>
                        </pic:nvPicPr>
                        <pic:blipFill>
                          <a:blip r:embed="rId385"/>
                          <a:stretch>
                            <a:fillRect/>
                          </a:stretch>
                        </pic:blipFill>
                        <pic:spPr>
                          <a:xfrm>
                            <a:off x="0" y="0"/>
                            <a:ext cx="1162050" cy="1247775"/>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1200*600*520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1、面材：优质浸渍胶膜纸饰面板；</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2、基材：E0级刨花板，符合相关标准；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3、封边条：优质PVC封边条，符合相关标准；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4、热熔胶：符合相关标准；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5、铰链：符合相关标准；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7"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连体书桌</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62050" cy="876300"/>
                  <wp:effectExtent l="0" t="0" r="0" b="0"/>
                  <wp:docPr id="420" name="图片 9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96" descr="IMG_258"/>
                          <pic:cNvPicPr>
                            <a:picLocks noChangeAspect="1"/>
                          </pic:cNvPicPr>
                        </pic:nvPicPr>
                        <pic:blipFill>
                          <a:blip r:embed="rId386"/>
                          <a:stretch>
                            <a:fillRect/>
                          </a:stretch>
                        </pic:blipFill>
                        <pic:spPr>
                          <a:xfrm>
                            <a:off x="0" y="0"/>
                            <a:ext cx="1162050" cy="876300"/>
                          </a:xfrm>
                          <a:prstGeom prst="rect">
                            <a:avLst/>
                          </a:prstGeom>
                          <a:noFill/>
                          <a:ln w="9525">
                            <a:noFill/>
                          </a:ln>
                        </pic:spPr>
                      </pic:pic>
                    </a:graphicData>
                  </a:graphic>
                </wp:inline>
              </w:drawing>
            </w:r>
          </w:p>
        </w:tc>
        <w:tc>
          <w:tcPr>
            <w:tcW w:w="127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1200*550*2400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1.基材：整体采用18mm厚人造板（刨花板）制作；</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2.封边条:采用1.5mm优质PVC封边条封边；</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3.五金件：带阻尼铰链及采用带缓冲三节轨道；拉手采用高强度铝合金一体成型压铸件；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投标时提供书桌（含书架）：符合相关标准；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05"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★椅子</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170180</wp:posOffset>
                  </wp:positionH>
                  <wp:positionV relativeFrom="paragraph">
                    <wp:posOffset>234950</wp:posOffset>
                  </wp:positionV>
                  <wp:extent cx="839470" cy="839470"/>
                  <wp:effectExtent l="0" t="0" r="17780" b="17780"/>
                  <wp:wrapNone/>
                  <wp:docPr id="421" name="图片_3"/>
                  <wp:cNvGraphicFramePr/>
                  <a:graphic xmlns:a="http://schemas.openxmlformats.org/drawingml/2006/main">
                    <a:graphicData uri="http://schemas.openxmlformats.org/drawingml/2006/picture">
                      <pic:pic xmlns:pic="http://schemas.openxmlformats.org/drawingml/2006/picture">
                        <pic:nvPicPr>
                          <pic:cNvPr id="421" name="图片_3"/>
                          <pic:cNvPicPr/>
                        </pic:nvPicPr>
                        <pic:blipFill>
                          <a:blip r:embed="rId387"/>
                          <a:stretch>
                            <a:fillRect/>
                          </a:stretch>
                        </pic:blipFill>
                        <pic:spPr>
                          <a:xfrm>
                            <a:off x="0" y="0"/>
                            <a:ext cx="839470" cy="839470"/>
                          </a:xfrm>
                          <a:prstGeom prst="rect">
                            <a:avLst/>
                          </a:prstGeom>
                          <a:noFill/>
                          <a:ln>
                            <a:noFill/>
                          </a:ln>
                        </pic:spPr>
                      </pic:pic>
                    </a:graphicData>
                  </a:graphic>
                </wp:anchor>
              </w:drawing>
            </w:r>
          </w:p>
        </w:tc>
        <w:tc>
          <w:tcPr>
            <w:tcW w:w="127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538*505*800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椅面，靠背：采用塑料PP部件；注塑口无明显痕迹外型圆润，边缘自然卷边过渡，触摸感舒适不割手，耐高温，耐腐蚀，绝缘等良好性能。座板规格：445*400*8mm；靠背尺寸：500*245*6mm。靠背上小（490mm）下大（500mm），中间镂空100*35mm，用作于抓手，方便悬挂，堆叠；</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2.椅架：采用φ28*2.0mm塑粉喷涂钢管制作，焊接均采用二氧化碳气体保护焊，表面经去油、除锈工艺处理后静电喷塑；</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3.脚垫：采用优质尼龙材质；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4.外型： 按人体工程学设计，线条流畅，座感舒适。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5.颜色：靠背和座板做分色处理。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39"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衣柜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71575" cy="1685925"/>
                  <wp:effectExtent l="0" t="0" r="9525" b="9525"/>
                  <wp:docPr id="423" name="图片 9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97" descr="IMG_259"/>
                          <pic:cNvPicPr>
                            <a:picLocks noChangeAspect="1"/>
                          </pic:cNvPicPr>
                        </pic:nvPicPr>
                        <pic:blipFill>
                          <a:blip r:embed="rId388"/>
                          <a:stretch>
                            <a:fillRect/>
                          </a:stretch>
                        </pic:blipFill>
                        <pic:spPr>
                          <a:xfrm>
                            <a:off x="0" y="0"/>
                            <a:ext cx="1171575" cy="1685925"/>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1200*550*2400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1、面材：优质浸渍胶膜纸E0饰面板；</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2、基材：E0级刨花板，符合相关标准；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3、封边条：优质PVC封边条，符合相关标准；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4、热熔胶：符合相关标准；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5、铰链：符合相关标准；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9" w:hRule="atLeast"/>
        </w:trPr>
        <w:tc>
          <w:tcPr>
            <w:tcW w:w="0" w:type="auto"/>
            <w:gridSpan w:val="8"/>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宿舍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71"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定制衣柜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66775" cy="1200150"/>
                  <wp:effectExtent l="0" t="0" r="9525" b="0"/>
                  <wp:docPr id="422" name="图片 9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98" descr="IMG_260"/>
                          <pic:cNvPicPr>
                            <a:picLocks noChangeAspect="1"/>
                          </pic:cNvPicPr>
                        </pic:nvPicPr>
                        <pic:blipFill>
                          <a:blip r:embed="rId389"/>
                          <a:stretch>
                            <a:fillRect/>
                          </a:stretch>
                        </pic:blipFill>
                        <pic:spPr>
                          <a:xfrm>
                            <a:off x="0" y="0"/>
                            <a:ext cx="866775" cy="1200150"/>
                          </a:xfrm>
                          <a:prstGeom prst="rect">
                            <a:avLst/>
                          </a:prstGeom>
                          <a:noFill/>
                          <a:ln w="9525">
                            <a:noFill/>
                          </a:ln>
                        </pic:spPr>
                      </pic:pic>
                    </a:graphicData>
                  </a:graphic>
                </wp:inline>
              </w:drawing>
            </w:r>
          </w:p>
        </w:tc>
        <w:tc>
          <w:tcPr>
            <w:tcW w:w="127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2200*500*2400（衣柜两端与两面墙体相接无缝隙，根据现场调整长度）</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1.柜体：采用人造板（刨花板）制作，背板采用9mm人造板（密度板）制作，挂衣杆底座采用ABS材料，不锈钢挂衣标杆或铝合金挂衣杆尺寸φ22mm厚度1mm或30*18mm，上圆（R6）下方。</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2.底座：采用25*25*1.2mm方形塑粉喷涂钢管和φ19*1.2mm圆形塑粉喷涂钢管制作，焊接均采用二氧化碳气体保护焊，表面经去油、除锈工艺处理后静电喷塑；</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3.五金件：带阻尼铰链，拉手采用铝、塑复合长腰形短拉手，多色可选，拉手底座规格：100*40*23.2mm，拉手盖规格：84*24*15mm，不得采用金属焊接件，以防学生存取物品易刮伤；</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1682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5" w:hRule="atLeast"/>
        </w:trPr>
        <w:tc>
          <w:tcPr>
            <w:tcW w:w="40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56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★宿舍床</w:t>
            </w:r>
          </w:p>
        </w:tc>
        <w:tc>
          <w:tcPr>
            <w:tcW w:w="155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1791970</wp:posOffset>
                  </wp:positionV>
                  <wp:extent cx="919480" cy="819785"/>
                  <wp:effectExtent l="0" t="0" r="13970" b="18415"/>
                  <wp:wrapNone/>
                  <wp:docPr id="424" name="图片_106"/>
                  <wp:cNvGraphicFramePr/>
                  <a:graphic xmlns:a="http://schemas.openxmlformats.org/drawingml/2006/main">
                    <a:graphicData uri="http://schemas.openxmlformats.org/drawingml/2006/picture">
                      <pic:pic xmlns:pic="http://schemas.openxmlformats.org/drawingml/2006/picture">
                        <pic:nvPicPr>
                          <pic:cNvPr id="424" name="图片_106"/>
                          <pic:cNvPicPr/>
                        </pic:nvPicPr>
                        <pic:blipFill>
                          <a:blip r:embed="rId390"/>
                          <a:stretch>
                            <a:fillRect/>
                          </a:stretch>
                        </pic:blipFill>
                        <pic:spPr>
                          <a:xfrm>
                            <a:off x="0" y="0"/>
                            <a:ext cx="919480" cy="81978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122555</wp:posOffset>
                  </wp:positionH>
                  <wp:positionV relativeFrom="paragraph">
                    <wp:posOffset>5111115</wp:posOffset>
                  </wp:positionV>
                  <wp:extent cx="878205" cy="968375"/>
                  <wp:effectExtent l="0" t="0" r="17145" b="3175"/>
                  <wp:wrapNone/>
                  <wp:docPr id="426" name="图片_1"/>
                  <wp:cNvGraphicFramePr/>
                  <a:graphic xmlns:a="http://schemas.openxmlformats.org/drawingml/2006/main">
                    <a:graphicData uri="http://schemas.openxmlformats.org/drawingml/2006/picture">
                      <pic:pic xmlns:pic="http://schemas.openxmlformats.org/drawingml/2006/picture">
                        <pic:nvPicPr>
                          <pic:cNvPr id="426" name="图片_1"/>
                          <pic:cNvPicPr/>
                        </pic:nvPicPr>
                        <pic:blipFill>
                          <a:blip r:embed="rId391"/>
                          <a:stretch>
                            <a:fillRect/>
                          </a:stretch>
                        </pic:blipFill>
                        <pic:spPr>
                          <a:xfrm>
                            <a:off x="0" y="0"/>
                            <a:ext cx="878205" cy="968375"/>
                          </a:xfrm>
                          <a:prstGeom prst="rect">
                            <a:avLst/>
                          </a:prstGeom>
                          <a:noFill/>
                          <a:ln>
                            <a:noFill/>
                          </a:ln>
                        </pic:spPr>
                      </pic:pic>
                    </a:graphicData>
                  </a:graphic>
                </wp:anchor>
              </w:drawing>
            </w:r>
          </w:p>
        </w:tc>
        <w:tc>
          <w:tcPr>
            <w:tcW w:w="127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4650X900X2265（2980）</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b/>
                <w:bCs/>
                <w:i w:val="0"/>
                <w:iCs w:val="0"/>
                <w:color w:val="000000"/>
                <w:kern w:val="0"/>
                <w:sz w:val="18"/>
                <w:szCs w:val="18"/>
                <w:highlight w:val="none"/>
                <w:u w:val="none"/>
                <w:lang w:val="en-US" w:eastAsia="zh-CN" w:bidi="ar"/>
              </w:rPr>
              <w:t>（根据现场调整长度，若增加尺寸增加在床铺长度上，走梯尺寸不变，床宽度不变，单价不变）</w:t>
            </w:r>
          </w:p>
        </w:tc>
        <w:tc>
          <w:tcPr>
            <w:tcW w:w="8609" w:type="dxa"/>
            <w:vMerge w:val="restart"/>
            <w:tcBorders>
              <w:tl2br w:val="nil"/>
              <w:tr2bl w:val="nil"/>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1、床立柱</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①技术参数：不低于65×65×26×1.2mm，安全导角“L”形钢管，采用封闭式型材使立柱抗扭距性增强，人体易接触部位不能有直角。底部端口安装优质工程塑料耐磨内塞（嵌入深度≥25mm，外露厚度≥7mm），立柱顶部端口安装优质安全导角工程塑料内塞（内塞内嵌深度≥100mm，外露厚度≥20mm，金属蚊帐杆可直接插入且固定于顶部内塞）</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②质量及性能指标：床立柱受力立柱：符合相关标准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2、床厅</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①前后床厅：不低于80×20×1.2mm，闭口型钢管。管材为矩形状；为防止碰伤，床厅下方矩形管需导角。</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②边侧床厅：不低于80×20×1.2mm，闭口型钢管。管材为矩形状；为防止碰伤，床厅下方矩形管需导角。</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3、卡式连接件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①技术参数：两端焊接金属嵌齿卡口连接件；床厅与立柱的固定采用双点式金属嵌齿卡口连接件加固定螺丝连接，更牢固安全，嵌齿卡口连接件采用2.5mm厚的优质钢板经冲压拉伸一次成型，尺寸为26.5×26.5×140（mm），外露金属连接件采用卡扣式PP塑料装饰件覆盖，确保圆润光滑无毛刺无割手。床挂件采用优质钢板经冲压拉伸一次成型，成型后外形规格高于145mm，宽度不小于26mm,厚度不小于2.5mm，挂件与床厅接触的前后面要满焊，不能留下缝隙，挂件与立柱至少有两个接触面，不少于2个挂齿，挂齿由导向段和锁紧段组成，安装时床挂件件与立柱齐平，整体美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②质量及性能指标：塑料装饰件：符合相关标准；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4、蚊帐杆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①技术参数：采用30*20*1.2矩形钢管或φ19*1.2mm的圆管制作，金属蚊帐杆可直接插入且固定于立柱顶部内塞，且确保蚊帐杆稳定不晃动。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5、床换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①技术参数：外形规格为30×20×1.2mm，共5根梯形钢管，采用钢制卡件锁紧固定，使用无噪音，稳固可靠。</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②质量及性能指标：塑粉喷涂钢管：符合相关标准；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6、床头护栏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①技术参数：采用金属框体结构护拦，护栏高度＞320mm；外框采用25×25×1.0（mm）U形金属型材，金属型材与床厅采用太空铝材质护栏连接件紧密连接。护拦板采用18mm，护拦板顶部内嵌与U型金属型材，避免螺丝裸露。</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7、床尾、床厅护栏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①床尾与床厅护栏：护栏高度200mm，护拦板采用18mm厚饰面E0级刨花板，1.5mmPVC封边条同色封边工艺；护拦板与立柱、床板采用2.5mm厚冷轧钢板冲压件固定。床头横梁采用 40×50×1.2mm 安全导角L型管。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②质量及性能指标：人造板（刨花板）：符合相关标准；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8、中上走梯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①爬梯内框采用25*25*1.2mm方管焊接而成；柜体板材采用18与25mm厚E0级刨花板，1.5mmPVC同色封边条封边工艺；楼梯为四阶结构，三阶可储物，储物柜门采用免拉手上翻设计，配并由阻尼缓冲铰链；踏板前端采用铝合金护条与软性橡胶材质防滑条集成组装，增强上下爬梯安全性。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②质量及性能指标：铝合金内嵌条：符合相关标准；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9、实木铺板</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①技术参数：不低于15mm厚度的实木铺板。（板材：杉木)。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10、衣柜、书桌架、坐凳，采用侧桌位布置，板材为E0级三聚氰胺饰面板,基材为刨花板</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①柜体：规格为≧L600×W800×H1700mm,16mm厚板材，背板厚5mm。柜体采用PVC封边。</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②书架带行李箱架，规格≧L800×W240×H1700mm，16mm厚板材。上下分格开放设计。PVC封边。书架桌面下方可放置行李箱等物品。</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③坐凳（带鞋箱）：16mm厚板材，PVC封边，凳面软包为高密度海绵外包科技布，防污防潮可清洗；规格：≧L800×W390×H450mm,凳子后方封板。凳下方可放置鞋子等物品。坐凳可移动，后方走梯底部为大件储物空间。</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④柜门拉手及锁舌：衣柜柜门拉手嵌入式设计，金属材质，拉手集成锁扣和自动落锁一体式设计；开启时随手波动开锁按钮即可打开柜门，关门后可自动落锁；使用者可这配挂锁，锁悬挂于挖槽中，不容易磕碰，更加安全；柜内锁片采用2mm厚安全导角折弯镀锌金属件制作，安全牢固，且使用时不会刮伤使用者。</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质量及性能指标：拉手：符合相关标准；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11、学习桌桌面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①桌面：≧810×600×25mm，优质25mm厚的三聚氰胺饰面板，前方为倒鸭嘴边造型。</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②桌面翻转器：桌面为折叠上翻设计，收起可向上翻转90度贴合书架腾出活动空间，桌面翻转器采用冷轧钢板镀锌材质，CNC加工，外表无毛刺；抗压、耐用，翻转顺滑无噪声，使用稳固不晃动，承载重量：80KG，使用寿命不低于10万次。桌面距地高度750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12、优质五金件及钢管喷塑工艺</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①五金件：均采用带阻尼的铰链；</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②喷涂工艺：主件表面经充分硅烷磷化处理，表面喷涂热固性粉末涂料，高压恒温静电喷塑，喷涂均匀，附着牢固，耐腐蚀，耐划擦，耐冲击。金属配件做除锈和防腐处理，喷塑后，塑粉喷涂钢管的热固粉与所有贴面附着牢固，不易脱落，无气泡；表面硬度较大，不易划伤；有较强的抗涂鸦能力与防破坏能力，便于维护。</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质量及性能指标：热固性粉末涂料：符合相关标准；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13、“学生公寓多功能床”质量及性能指标：符合相关标准；</w:t>
            </w:r>
          </w:p>
        </w:tc>
        <w:tc>
          <w:tcPr>
            <w:tcW w:w="49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3364</w:t>
            </w:r>
          </w:p>
        </w:tc>
        <w:tc>
          <w:tcPr>
            <w:tcW w:w="0" w:type="auto"/>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7" w:hRule="atLeast"/>
        </w:trPr>
        <w:tc>
          <w:tcPr>
            <w:tcW w:w="40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56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5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271"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609" w:type="dxa"/>
            <w:vMerge w:val="continue"/>
            <w:tcBorders>
              <w:tl2br w:val="nil"/>
              <w:tr2bl w:val="nil"/>
            </w:tcBorders>
            <w:shd w:val="clear" w:color="auto" w:fill="auto"/>
            <w:vAlign w:val="top"/>
          </w:tcPr>
          <w:p>
            <w:pPr>
              <w:jc w:val="left"/>
              <w:rPr>
                <w:rFonts w:hint="eastAsia" w:ascii="宋体" w:hAnsi="宋体" w:eastAsia="宋体" w:cs="宋体"/>
                <w:i w:val="0"/>
                <w:iCs w:val="0"/>
                <w:color w:val="000000"/>
                <w:sz w:val="18"/>
                <w:szCs w:val="18"/>
                <w:highlight w:val="none"/>
                <w:u w:val="none"/>
              </w:rPr>
            </w:pPr>
          </w:p>
        </w:tc>
        <w:tc>
          <w:tcPr>
            <w:tcW w:w="49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47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0" w:type="auto"/>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0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56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55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1271"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609" w:type="dxa"/>
            <w:vMerge w:val="continue"/>
            <w:tcBorders>
              <w:tl2br w:val="nil"/>
              <w:tr2bl w:val="nil"/>
            </w:tcBorders>
            <w:shd w:val="clear" w:color="auto" w:fill="auto"/>
            <w:vAlign w:val="top"/>
          </w:tcPr>
          <w:p>
            <w:pPr>
              <w:jc w:val="left"/>
              <w:rPr>
                <w:rFonts w:hint="eastAsia" w:ascii="宋体" w:hAnsi="宋体" w:eastAsia="宋体" w:cs="宋体"/>
                <w:i w:val="0"/>
                <w:iCs w:val="0"/>
                <w:color w:val="000000"/>
                <w:sz w:val="18"/>
                <w:szCs w:val="18"/>
                <w:highlight w:val="none"/>
                <w:u w:val="none"/>
              </w:rPr>
            </w:pPr>
          </w:p>
        </w:tc>
        <w:tc>
          <w:tcPr>
            <w:tcW w:w="49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47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0" w:type="auto"/>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18"/>
                <w:szCs w:val="18"/>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5" w:hRule="atLeast"/>
        </w:trPr>
        <w:tc>
          <w:tcPr>
            <w:tcW w:w="0" w:type="auto"/>
            <w:gridSpan w:val="8"/>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值班室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12"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办公桌</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71575" cy="723900"/>
                  <wp:effectExtent l="0" t="0" r="9525" b="0"/>
                  <wp:docPr id="425" name="图片 9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99" descr="IMG_261"/>
                          <pic:cNvPicPr>
                            <a:picLocks noChangeAspect="1"/>
                          </pic:cNvPicPr>
                        </pic:nvPicPr>
                        <pic:blipFill>
                          <a:blip r:embed="rId392"/>
                          <a:stretch>
                            <a:fillRect/>
                          </a:stretch>
                        </pic:blipFill>
                        <pic:spPr>
                          <a:xfrm>
                            <a:off x="0" y="0"/>
                            <a:ext cx="1171575" cy="723900"/>
                          </a:xfrm>
                          <a:prstGeom prst="rect">
                            <a:avLst/>
                          </a:prstGeom>
                          <a:noFill/>
                          <a:ln w="9525">
                            <a:noFill/>
                          </a:ln>
                        </pic:spPr>
                      </pic:pic>
                    </a:graphicData>
                  </a:graphic>
                </wp:inline>
              </w:drawing>
            </w:r>
          </w:p>
        </w:tc>
        <w:tc>
          <w:tcPr>
            <w:tcW w:w="127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1100*600*750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1、基材：E0级中密度纤维板，符合相关标准；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2、面材：天然木皮、厚度≥0.6mm；符合相关标准；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3、油漆：水性漆，符合相关标准；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4、胶水：采用白乳胶，符合相关标准。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5、五金配件：采用优质五金配件。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功能说明:含侧柜和推柜。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9"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椅子</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52475" cy="1228725"/>
                  <wp:effectExtent l="0" t="0" r="9525" b="9525"/>
                  <wp:docPr id="427" name="图片 10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100" descr="IMG_262"/>
                          <pic:cNvPicPr>
                            <a:picLocks noChangeAspect="1"/>
                          </pic:cNvPicPr>
                        </pic:nvPicPr>
                        <pic:blipFill>
                          <a:blip r:embed="rId393"/>
                          <a:stretch>
                            <a:fillRect/>
                          </a:stretch>
                        </pic:blipFill>
                        <pic:spPr>
                          <a:xfrm>
                            <a:off x="0" y="0"/>
                            <a:ext cx="752475" cy="1228725"/>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1、面料：采用优质麻绒，耐磨性强、透气性好；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2.海绵：优质高密度阻燃海绵，符合相关标准；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3.升降功能：配置座椅防爆气压杆，符合相关标准；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4.结构:升降头枕、三段倾仰底盘，三档锁定，升降扶手，PU扶手面，尼龙五星脚。</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6"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文件柜</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85825" cy="1733550"/>
                  <wp:effectExtent l="0" t="0" r="9525" b="0"/>
                  <wp:docPr id="432" name="图片 10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101" descr="IMG_263"/>
                          <pic:cNvPicPr>
                            <a:picLocks noChangeAspect="1"/>
                          </pic:cNvPicPr>
                        </pic:nvPicPr>
                        <pic:blipFill>
                          <a:blip r:embed="rId394"/>
                          <a:stretch>
                            <a:fillRect/>
                          </a:stretch>
                        </pic:blipFill>
                        <pic:spPr>
                          <a:xfrm>
                            <a:off x="0" y="0"/>
                            <a:ext cx="885825" cy="1733550"/>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800*400*2000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1、冷轧钢板：钢板厚度≥0.8mm，符合相关标准。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2、铰链：符合相关标准；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4、采用钢化玻璃,玻璃外露部分不应有裂纹和缺角；</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功能说明：层板可活动。</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51"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值班床</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90575" cy="809625"/>
                  <wp:effectExtent l="0" t="0" r="9525" b="9525"/>
                  <wp:docPr id="435" name="图片 10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102" descr="IMG_264"/>
                          <pic:cNvPicPr>
                            <a:picLocks noChangeAspect="1"/>
                          </pic:cNvPicPr>
                        </pic:nvPicPr>
                        <pic:blipFill>
                          <a:blip r:embed="rId395"/>
                          <a:stretch>
                            <a:fillRect/>
                          </a:stretch>
                        </pic:blipFill>
                        <pic:spPr>
                          <a:xfrm>
                            <a:off x="0" y="0"/>
                            <a:ext cx="790575" cy="809625"/>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2000*900*1850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1.产品工艺采用传统榫卯结构和现代工艺设备相结合，总体结构 KD 拆装结构，各组单元之间采用偏心件、螺丝等五金连接而成，更易拆装组合，实木产品结构更加稳定耐用；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2、实木：橡木或白蜡木等天然实木，经过防虫、防腐特殊处理，确保坚固可靠，长期使用不松动、不腐朽。符合相关标准，符合相关标准。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3、油漆：采用水性漆，符合相关标准。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7"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床头柜</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90575" cy="809625"/>
                  <wp:effectExtent l="0" t="0" r="9525" b="9525"/>
                  <wp:docPr id="428" name="图片 10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103" descr="IMG_265"/>
                          <pic:cNvPicPr>
                            <a:picLocks noChangeAspect="1"/>
                          </pic:cNvPicPr>
                        </pic:nvPicPr>
                        <pic:blipFill>
                          <a:blip r:embed="rId396"/>
                          <a:stretch>
                            <a:fillRect/>
                          </a:stretch>
                        </pic:blipFill>
                        <pic:spPr>
                          <a:xfrm>
                            <a:off x="0" y="0"/>
                            <a:ext cx="790575" cy="809625"/>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400*350*450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1.产品工艺采用传统榫卯结构和现代工艺设备相结合，总体结构 KD 拆装结构，各组单元之间采用偏心件、螺丝等五金连接而成，更易拆装组合，实木产品结构更加稳定耐用；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eastAsia="宋体" w:cs="宋体"/>
                <w:b/>
                <w:bCs/>
                <w:i w:val="0"/>
                <w:iCs w:val="0"/>
                <w:color w:val="000000"/>
                <w:kern w:val="0"/>
                <w:sz w:val="18"/>
                <w:szCs w:val="18"/>
                <w:highlight w:val="none"/>
                <w:u w:val="none"/>
                <w:lang w:val="en-US" w:eastAsia="zh-CN" w:bidi="ar"/>
              </w:rPr>
              <w:t>实木</w:t>
            </w:r>
            <w:r>
              <w:rPr>
                <w:rFonts w:hint="eastAsia" w:ascii="宋体" w:hAnsi="宋体" w:eastAsia="宋体" w:cs="宋体"/>
                <w:i w:val="0"/>
                <w:iCs w:val="0"/>
                <w:color w:val="000000"/>
                <w:kern w:val="0"/>
                <w:sz w:val="18"/>
                <w:szCs w:val="18"/>
                <w:highlight w:val="none"/>
                <w:u w:val="none"/>
                <w:lang w:val="en-US" w:eastAsia="zh-CN" w:bidi="ar"/>
              </w:rPr>
              <w:t>：橡木或白蜡木等天然实木，经过防虫、防腐特殊处理，确保坚固可靠，长期使用不松动、不腐朽。符合相关标准。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eastAsia="宋体" w:cs="宋体"/>
                <w:b/>
                <w:bCs/>
                <w:i w:val="0"/>
                <w:iCs w:val="0"/>
                <w:color w:val="000000"/>
                <w:kern w:val="0"/>
                <w:sz w:val="18"/>
                <w:szCs w:val="18"/>
                <w:highlight w:val="none"/>
                <w:u w:val="none"/>
                <w:lang w:val="en-US" w:eastAsia="zh-CN" w:bidi="ar"/>
              </w:rPr>
              <w:t>油漆</w:t>
            </w:r>
            <w:r>
              <w:rPr>
                <w:rFonts w:hint="eastAsia" w:ascii="宋体" w:hAnsi="宋体" w:eastAsia="宋体" w:cs="宋体"/>
                <w:i w:val="0"/>
                <w:iCs w:val="0"/>
                <w:color w:val="000000"/>
                <w:kern w:val="0"/>
                <w:sz w:val="18"/>
                <w:szCs w:val="18"/>
                <w:highlight w:val="none"/>
                <w:u w:val="none"/>
                <w:lang w:val="en-US" w:eastAsia="zh-CN" w:bidi="ar"/>
              </w:rPr>
              <w:t>：采用水性漆，符合相关标准。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65"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衣柜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00100" cy="942975"/>
                  <wp:effectExtent l="0" t="0" r="0" b="9525"/>
                  <wp:docPr id="442" name="图片 10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104" descr="IMG_266"/>
                          <pic:cNvPicPr>
                            <a:picLocks noChangeAspect="1"/>
                          </pic:cNvPicPr>
                        </pic:nvPicPr>
                        <pic:blipFill>
                          <a:blip r:embed="rId397"/>
                          <a:stretch>
                            <a:fillRect/>
                          </a:stretch>
                        </pic:blipFill>
                        <pic:spPr>
                          <a:xfrm>
                            <a:off x="0" y="0"/>
                            <a:ext cx="800100" cy="942975"/>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1400*550*2400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1、面材：优质浸渍胶膜纸E0饰面板；</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2、基材：E0级刨花板，符合相关标准；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3、封边条：优质PVC封边条，符合相关标准；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4、热熔胶：符合相关标准；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5、铰链：符合相关标准； </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5" w:hRule="atLeast"/>
        </w:trPr>
        <w:tc>
          <w:tcPr>
            <w:tcW w:w="0" w:type="auto"/>
            <w:gridSpan w:val="8"/>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活动室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办公桌</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71575" cy="752475"/>
                  <wp:effectExtent l="0" t="0" r="9525" b="9525"/>
                  <wp:docPr id="436" name="图片 10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105" descr="IMG_267"/>
                          <pic:cNvPicPr>
                            <a:picLocks noChangeAspect="1"/>
                          </pic:cNvPicPr>
                        </pic:nvPicPr>
                        <pic:blipFill>
                          <a:blip r:embed="rId244"/>
                          <a:stretch>
                            <a:fillRect/>
                          </a:stretch>
                        </pic:blipFill>
                        <pic:spPr>
                          <a:xfrm>
                            <a:off x="0" y="0"/>
                            <a:ext cx="1171575" cy="752475"/>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1600*800*750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1、基材：E0级中密度纤维板，符合相关标准；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3、油漆：水性漆，符合相关标准。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4、胶水：采用白乳胶，符合相关标准。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5、五金配件：采用优质五金配件。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功能说明:含侧柜和推柜。</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9"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文件柜</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85825" cy="1733550"/>
                  <wp:effectExtent l="0" t="0" r="9525" b="0"/>
                  <wp:docPr id="443" name="图片 10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106" descr="IMG_268"/>
                          <pic:cNvPicPr>
                            <a:picLocks noChangeAspect="1"/>
                          </pic:cNvPicPr>
                        </pic:nvPicPr>
                        <pic:blipFill>
                          <a:blip r:embed="rId394"/>
                          <a:stretch>
                            <a:fillRect/>
                          </a:stretch>
                        </pic:blipFill>
                        <pic:spPr>
                          <a:xfrm>
                            <a:off x="0" y="0"/>
                            <a:ext cx="885825" cy="1733550"/>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800*400*2000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eastAsia="宋体" w:cs="宋体"/>
                <w:b/>
                <w:bCs/>
                <w:i w:val="0"/>
                <w:iCs w:val="0"/>
                <w:color w:val="000000"/>
                <w:kern w:val="0"/>
                <w:sz w:val="18"/>
                <w:szCs w:val="18"/>
                <w:highlight w:val="none"/>
                <w:u w:val="none"/>
                <w:lang w:val="en-US" w:eastAsia="zh-CN" w:bidi="ar"/>
              </w:rPr>
              <w:t>冷轧钢板：</w:t>
            </w:r>
            <w:r>
              <w:rPr>
                <w:rFonts w:hint="eastAsia" w:ascii="宋体" w:hAnsi="宋体" w:eastAsia="宋体" w:cs="宋体"/>
                <w:i w:val="0"/>
                <w:iCs w:val="0"/>
                <w:color w:val="000000"/>
                <w:kern w:val="0"/>
                <w:sz w:val="18"/>
                <w:szCs w:val="18"/>
                <w:highlight w:val="none"/>
                <w:u w:val="none"/>
                <w:lang w:val="en-US" w:eastAsia="zh-CN" w:bidi="ar"/>
              </w:rPr>
              <w:t>钢板厚度≥0.8mm，符合相关标准；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eastAsia="宋体" w:cs="宋体"/>
                <w:b/>
                <w:bCs/>
                <w:i w:val="0"/>
                <w:iCs w:val="0"/>
                <w:color w:val="000000"/>
                <w:kern w:val="0"/>
                <w:sz w:val="18"/>
                <w:szCs w:val="18"/>
                <w:highlight w:val="none"/>
                <w:u w:val="none"/>
                <w:lang w:val="en-US" w:eastAsia="zh-CN" w:bidi="ar"/>
              </w:rPr>
              <w:t>铰链</w:t>
            </w:r>
            <w:r>
              <w:rPr>
                <w:rFonts w:hint="eastAsia" w:ascii="宋体" w:hAnsi="宋体" w:eastAsia="宋体" w:cs="宋体"/>
                <w:i w:val="0"/>
                <w:iCs w:val="0"/>
                <w:color w:val="000000"/>
                <w:kern w:val="0"/>
                <w:sz w:val="18"/>
                <w:szCs w:val="18"/>
                <w:highlight w:val="none"/>
                <w:u w:val="none"/>
                <w:lang w:val="en-US" w:eastAsia="zh-CN" w:bidi="ar"/>
              </w:rPr>
              <w:t>：符合相关标准；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eastAsia="宋体" w:cs="宋体"/>
                <w:b/>
                <w:bCs/>
                <w:i w:val="0"/>
                <w:iCs w:val="0"/>
                <w:color w:val="000000"/>
                <w:kern w:val="0"/>
                <w:sz w:val="18"/>
                <w:szCs w:val="18"/>
                <w:highlight w:val="none"/>
                <w:u w:val="none"/>
                <w:lang w:val="en-US" w:eastAsia="zh-CN" w:bidi="ar"/>
              </w:rPr>
              <w:t>塑粉</w:t>
            </w:r>
            <w:r>
              <w:rPr>
                <w:rFonts w:hint="eastAsia" w:ascii="宋体" w:hAnsi="宋体" w:eastAsia="宋体" w:cs="宋体"/>
                <w:i w:val="0"/>
                <w:iCs w:val="0"/>
                <w:color w:val="000000"/>
                <w:kern w:val="0"/>
                <w:sz w:val="18"/>
                <w:szCs w:val="18"/>
                <w:highlight w:val="none"/>
                <w:u w:val="none"/>
                <w:lang w:val="en-US" w:eastAsia="zh-CN" w:bidi="ar"/>
              </w:rPr>
              <w:t>：符合相关标准；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4、采用钢化玻璃,玻璃外露部分不应有裂纹和缺角；</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b/>
                <w:bCs/>
                <w:i w:val="0"/>
                <w:iCs w:val="0"/>
                <w:color w:val="000000"/>
                <w:kern w:val="0"/>
                <w:sz w:val="18"/>
                <w:szCs w:val="18"/>
                <w:highlight w:val="none"/>
                <w:u w:val="none"/>
                <w:lang w:val="en-US" w:eastAsia="zh-CN" w:bidi="ar"/>
              </w:rPr>
              <w:t>功能说明</w:t>
            </w:r>
            <w:r>
              <w:rPr>
                <w:rFonts w:hint="eastAsia" w:ascii="宋体" w:hAnsi="宋体" w:eastAsia="宋体" w:cs="宋体"/>
                <w:i w:val="0"/>
                <w:iCs w:val="0"/>
                <w:color w:val="000000"/>
                <w:kern w:val="0"/>
                <w:sz w:val="18"/>
                <w:szCs w:val="18"/>
                <w:highlight w:val="none"/>
                <w:u w:val="none"/>
                <w:lang w:val="en-US" w:eastAsia="zh-CN" w:bidi="ar"/>
              </w:rPr>
              <w:t>：层板可活动。</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09"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办公椅</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42950" cy="1219200"/>
                  <wp:effectExtent l="0" t="0" r="0" b="0"/>
                  <wp:docPr id="439" name="图片 10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107" descr="IMG_269"/>
                          <pic:cNvPicPr>
                            <a:picLocks noChangeAspect="1"/>
                          </pic:cNvPicPr>
                        </pic:nvPicPr>
                        <pic:blipFill>
                          <a:blip r:embed="rId393"/>
                          <a:stretch>
                            <a:fillRect/>
                          </a:stretch>
                        </pic:blipFill>
                        <pic:spPr>
                          <a:xfrm>
                            <a:off x="0" y="0"/>
                            <a:ext cx="742950" cy="1219200"/>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常规</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1、面料：采用优质麻绒，耐磨性强、透气性好；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2.海绵：优质高密度阻燃海绵；</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3.升降功能：配置座椅防爆气压杆；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4.结构:升降头枕、三段倾仰底盘，三档锁定，升降扶手，PU扶手面，尼龙五星脚。</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7"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0" w:type="auto"/>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沙发</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19150" cy="819150"/>
                  <wp:effectExtent l="0" t="0" r="0" b="0"/>
                  <wp:docPr id="433" name="图片 10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108" descr="IMG_270"/>
                          <pic:cNvPicPr>
                            <a:picLocks noChangeAspect="1"/>
                          </pic:cNvPicPr>
                        </pic:nvPicPr>
                        <pic:blipFill>
                          <a:blip r:embed="rId398"/>
                          <a:stretch>
                            <a:fillRect/>
                          </a:stretch>
                        </pic:blipFill>
                        <pic:spPr>
                          <a:xfrm>
                            <a:off x="0" y="0"/>
                            <a:ext cx="819150" cy="819150"/>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单人位</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eastAsia="宋体" w:cs="宋体"/>
                <w:b/>
                <w:bCs/>
                <w:i w:val="0"/>
                <w:iCs w:val="0"/>
                <w:color w:val="000000"/>
                <w:kern w:val="0"/>
                <w:sz w:val="18"/>
                <w:szCs w:val="18"/>
                <w:highlight w:val="none"/>
                <w:u w:val="none"/>
                <w:lang w:val="en-US" w:eastAsia="zh-CN" w:bidi="ar"/>
              </w:rPr>
              <w:t>框架</w:t>
            </w:r>
            <w:r>
              <w:rPr>
                <w:rFonts w:hint="eastAsia" w:ascii="宋体" w:hAnsi="宋体" w:eastAsia="宋体" w:cs="宋体"/>
                <w:i w:val="0"/>
                <w:iCs w:val="0"/>
                <w:color w:val="000000"/>
                <w:kern w:val="0"/>
                <w:sz w:val="18"/>
                <w:szCs w:val="18"/>
                <w:highlight w:val="none"/>
                <w:u w:val="none"/>
                <w:lang w:val="en-US" w:eastAsia="zh-CN" w:bidi="ar"/>
              </w:rPr>
              <w:t>：实木框架，结构稳定，框架内无填充物；实木框架经过防腐、防虫蚀、防开裂处理；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eastAsia="宋体" w:cs="宋体"/>
                <w:b/>
                <w:bCs/>
                <w:i w:val="0"/>
                <w:iCs w:val="0"/>
                <w:color w:val="000000"/>
                <w:kern w:val="0"/>
                <w:sz w:val="18"/>
                <w:szCs w:val="18"/>
                <w:highlight w:val="none"/>
                <w:u w:val="none"/>
                <w:lang w:val="en-US" w:eastAsia="zh-CN" w:bidi="ar"/>
              </w:rPr>
              <w:t>面料</w:t>
            </w:r>
            <w:r>
              <w:rPr>
                <w:rFonts w:hint="eastAsia" w:ascii="宋体" w:hAnsi="宋体" w:eastAsia="宋体" w:cs="宋体"/>
                <w:i w:val="0"/>
                <w:iCs w:val="0"/>
                <w:color w:val="000000"/>
                <w:kern w:val="0"/>
                <w:sz w:val="18"/>
                <w:szCs w:val="18"/>
                <w:highlight w:val="none"/>
                <w:u w:val="none"/>
                <w:lang w:val="en-US" w:eastAsia="zh-CN" w:bidi="ar"/>
              </w:rPr>
              <w:t>：优质麻绒，耐磨性强、透气性好；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eastAsia="宋体" w:cs="宋体"/>
                <w:b/>
                <w:bCs/>
                <w:i w:val="0"/>
                <w:iCs w:val="0"/>
                <w:color w:val="000000"/>
                <w:kern w:val="0"/>
                <w:sz w:val="18"/>
                <w:szCs w:val="18"/>
                <w:highlight w:val="none"/>
                <w:u w:val="none"/>
                <w:lang w:val="en-US" w:eastAsia="zh-CN" w:bidi="ar"/>
              </w:rPr>
              <w:t>海绵</w:t>
            </w:r>
            <w:r>
              <w:rPr>
                <w:rFonts w:hint="eastAsia" w:ascii="宋体" w:hAnsi="宋体" w:eastAsia="宋体" w:cs="宋体"/>
                <w:i w:val="0"/>
                <w:iCs w:val="0"/>
                <w:color w:val="000000"/>
                <w:kern w:val="0"/>
                <w:sz w:val="18"/>
                <w:szCs w:val="18"/>
                <w:highlight w:val="none"/>
                <w:u w:val="none"/>
                <w:lang w:val="en-US" w:eastAsia="zh-CN" w:bidi="ar"/>
              </w:rPr>
              <w:t>：符合相关标准。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7"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0" w:type="auto"/>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18"/>
                <w:szCs w:val="18"/>
                <w:highlight w:val="none"/>
                <w:u w:val="none"/>
              </w:rPr>
            </w:pP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914400" cy="638175"/>
                  <wp:effectExtent l="0" t="0" r="0" b="9525"/>
                  <wp:docPr id="441" name="图片 10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109" descr="IMG_271"/>
                          <pic:cNvPicPr>
                            <a:picLocks noChangeAspect="1"/>
                          </pic:cNvPicPr>
                        </pic:nvPicPr>
                        <pic:blipFill>
                          <a:blip r:embed="rId399"/>
                          <a:stretch>
                            <a:fillRect/>
                          </a:stretch>
                        </pic:blipFill>
                        <pic:spPr>
                          <a:xfrm>
                            <a:off x="0" y="0"/>
                            <a:ext cx="914400" cy="638175"/>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L型</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eastAsia="宋体" w:cs="宋体"/>
                <w:b/>
                <w:bCs/>
                <w:i w:val="0"/>
                <w:iCs w:val="0"/>
                <w:color w:val="000000"/>
                <w:kern w:val="0"/>
                <w:sz w:val="18"/>
                <w:szCs w:val="18"/>
                <w:highlight w:val="none"/>
                <w:u w:val="none"/>
                <w:lang w:val="en-US" w:eastAsia="zh-CN" w:bidi="ar"/>
              </w:rPr>
              <w:t>框架</w:t>
            </w:r>
            <w:r>
              <w:rPr>
                <w:rFonts w:hint="eastAsia" w:ascii="宋体" w:hAnsi="宋体" w:eastAsia="宋体" w:cs="宋体"/>
                <w:i w:val="0"/>
                <w:iCs w:val="0"/>
                <w:color w:val="000000"/>
                <w:kern w:val="0"/>
                <w:sz w:val="18"/>
                <w:szCs w:val="18"/>
                <w:highlight w:val="none"/>
                <w:u w:val="none"/>
                <w:lang w:val="en-US" w:eastAsia="zh-CN" w:bidi="ar"/>
              </w:rPr>
              <w:t>：实木框架，结构稳定，框架内无填充物；实木框架经过防腐、防虫蚀、防开裂处理；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eastAsia="宋体" w:cs="宋体"/>
                <w:b/>
                <w:bCs/>
                <w:i w:val="0"/>
                <w:iCs w:val="0"/>
                <w:color w:val="000000"/>
                <w:kern w:val="0"/>
                <w:sz w:val="18"/>
                <w:szCs w:val="18"/>
                <w:highlight w:val="none"/>
                <w:u w:val="none"/>
                <w:lang w:val="en-US" w:eastAsia="zh-CN" w:bidi="ar"/>
              </w:rPr>
              <w:t>面料</w:t>
            </w:r>
            <w:r>
              <w:rPr>
                <w:rFonts w:hint="eastAsia" w:ascii="宋体" w:hAnsi="宋体" w:eastAsia="宋体" w:cs="宋体"/>
                <w:i w:val="0"/>
                <w:iCs w:val="0"/>
                <w:color w:val="000000"/>
                <w:kern w:val="0"/>
                <w:sz w:val="18"/>
                <w:szCs w:val="18"/>
                <w:highlight w:val="none"/>
                <w:u w:val="none"/>
                <w:lang w:val="en-US" w:eastAsia="zh-CN" w:bidi="ar"/>
              </w:rPr>
              <w:t>：优质麻绒，耐磨性强、透气性好；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eastAsia="宋体" w:cs="宋体"/>
                <w:b/>
                <w:bCs/>
                <w:i w:val="0"/>
                <w:iCs w:val="0"/>
                <w:color w:val="000000"/>
                <w:kern w:val="0"/>
                <w:sz w:val="18"/>
                <w:szCs w:val="18"/>
                <w:highlight w:val="none"/>
                <w:u w:val="none"/>
                <w:lang w:val="en-US" w:eastAsia="zh-CN" w:bidi="ar"/>
              </w:rPr>
              <w:t>海绵</w:t>
            </w:r>
            <w:r>
              <w:rPr>
                <w:rFonts w:hint="eastAsia" w:ascii="宋体" w:hAnsi="宋体" w:eastAsia="宋体" w:cs="宋体"/>
                <w:i w:val="0"/>
                <w:iCs w:val="0"/>
                <w:color w:val="000000"/>
                <w:kern w:val="0"/>
                <w:sz w:val="18"/>
                <w:szCs w:val="18"/>
                <w:highlight w:val="none"/>
                <w:u w:val="none"/>
                <w:lang w:val="en-US" w:eastAsia="zh-CN" w:bidi="ar"/>
              </w:rPr>
              <w:t>：符合相关标准。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7"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0" w:type="auto"/>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茶几</w:t>
            </w:r>
          </w:p>
        </w:tc>
        <w:tc>
          <w:tcPr>
            <w:tcW w:w="0" w:type="auto"/>
            <w:tcBorders>
              <w:tl2br w:val="nil"/>
              <w:tr2bl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38200" cy="619125"/>
                  <wp:effectExtent l="0" t="0" r="0" b="9525"/>
                  <wp:docPr id="434" name="图片 11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110" descr="IMG_272"/>
                          <pic:cNvPicPr>
                            <a:picLocks noChangeAspect="1"/>
                          </pic:cNvPicPr>
                        </pic:nvPicPr>
                        <pic:blipFill>
                          <a:blip r:embed="rId400"/>
                          <a:stretch>
                            <a:fillRect/>
                          </a:stretch>
                        </pic:blipFill>
                        <pic:spPr>
                          <a:xfrm>
                            <a:off x="0" y="0"/>
                            <a:ext cx="838200" cy="619125"/>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1200*450*600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1.产品工艺采用传统榫卯结构和现代工艺设备相结合，总体结构 KD 拆装结构，各组单元之间采用偏心件、螺丝等五金连接而成，更易拆装组合，实木产品结构更加稳定耐用；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eastAsia="宋体" w:cs="宋体"/>
                <w:b/>
                <w:bCs/>
                <w:i w:val="0"/>
                <w:iCs w:val="0"/>
                <w:color w:val="000000"/>
                <w:kern w:val="0"/>
                <w:sz w:val="18"/>
                <w:szCs w:val="18"/>
                <w:highlight w:val="none"/>
                <w:u w:val="none"/>
                <w:lang w:val="en-US" w:eastAsia="zh-CN" w:bidi="ar"/>
              </w:rPr>
              <w:t>实木</w:t>
            </w:r>
            <w:r>
              <w:rPr>
                <w:rFonts w:hint="eastAsia" w:ascii="宋体" w:hAnsi="宋体" w:eastAsia="宋体" w:cs="宋体"/>
                <w:i w:val="0"/>
                <w:iCs w:val="0"/>
                <w:color w:val="000000"/>
                <w:kern w:val="0"/>
                <w:sz w:val="18"/>
                <w:szCs w:val="18"/>
                <w:highlight w:val="none"/>
                <w:u w:val="none"/>
                <w:lang w:val="en-US" w:eastAsia="zh-CN" w:bidi="ar"/>
              </w:rPr>
              <w:t>：橡木或白蜡木等天然实木，经过防虫、防腐特殊处理，确保坚固可靠，长期使用不松动、不腐朽。符合相关标准。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eastAsia="宋体" w:cs="宋体"/>
                <w:b/>
                <w:bCs/>
                <w:i w:val="0"/>
                <w:iCs w:val="0"/>
                <w:color w:val="000000"/>
                <w:kern w:val="0"/>
                <w:sz w:val="18"/>
                <w:szCs w:val="18"/>
                <w:highlight w:val="none"/>
                <w:u w:val="none"/>
                <w:lang w:val="en-US" w:eastAsia="zh-CN" w:bidi="ar"/>
              </w:rPr>
              <w:t>油漆</w:t>
            </w:r>
            <w:r>
              <w:rPr>
                <w:rFonts w:hint="eastAsia" w:ascii="宋体" w:hAnsi="宋体" w:eastAsia="宋体" w:cs="宋体"/>
                <w:i w:val="0"/>
                <w:iCs w:val="0"/>
                <w:color w:val="000000"/>
                <w:kern w:val="0"/>
                <w:sz w:val="18"/>
                <w:szCs w:val="18"/>
                <w:highlight w:val="none"/>
                <w:u w:val="none"/>
                <w:lang w:val="en-US" w:eastAsia="zh-CN" w:bidi="ar"/>
              </w:rPr>
              <w:t>：水性漆，符合相关标准。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7"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0" w:type="auto"/>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18"/>
                <w:szCs w:val="18"/>
                <w:highlight w:val="none"/>
                <w:u w:val="none"/>
              </w:rPr>
            </w:pP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90575" cy="800100"/>
                  <wp:effectExtent l="0" t="0" r="9525" b="0"/>
                  <wp:docPr id="429" name="图片 11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111" descr="IMG_273"/>
                          <pic:cNvPicPr>
                            <a:picLocks noChangeAspect="1"/>
                          </pic:cNvPicPr>
                        </pic:nvPicPr>
                        <pic:blipFill>
                          <a:blip r:embed="rId401"/>
                          <a:stretch>
                            <a:fillRect/>
                          </a:stretch>
                        </pic:blipFill>
                        <pic:spPr>
                          <a:xfrm>
                            <a:off x="0" y="0"/>
                            <a:ext cx="790575" cy="800100"/>
                          </a:xfrm>
                          <a:prstGeom prst="rect">
                            <a:avLst/>
                          </a:prstGeom>
                          <a:noFill/>
                          <a:ln w="9525">
                            <a:noFill/>
                          </a:ln>
                        </pic:spPr>
                      </pic:pic>
                    </a:graphicData>
                  </a:graphic>
                </wp:inline>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400*400*500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1.产品工艺采用传统榫卯结构和现代工艺设备相结合，总体结构 KD 拆装结构，各组单元之间采用偏心件、螺丝等五金连接而成，更易拆装组合，实木产品结构更加稳定耐用；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eastAsia="宋体" w:cs="宋体"/>
                <w:b/>
                <w:bCs/>
                <w:i w:val="0"/>
                <w:iCs w:val="0"/>
                <w:color w:val="000000"/>
                <w:kern w:val="0"/>
                <w:sz w:val="18"/>
                <w:szCs w:val="18"/>
                <w:highlight w:val="none"/>
                <w:u w:val="none"/>
                <w:lang w:val="en-US" w:eastAsia="zh-CN" w:bidi="ar"/>
              </w:rPr>
              <w:t>实木</w:t>
            </w:r>
            <w:r>
              <w:rPr>
                <w:rFonts w:hint="eastAsia" w:ascii="宋体" w:hAnsi="宋体" w:eastAsia="宋体" w:cs="宋体"/>
                <w:i w:val="0"/>
                <w:iCs w:val="0"/>
                <w:color w:val="000000"/>
                <w:kern w:val="0"/>
                <w:sz w:val="18"/>
                <w:szCs w:val="18"/>
                <w:highlight w:val="none"/>
                <w:u w:val="none"/>
                <w:lang w:val="en-US" w:eastAsia="zh-CN" w:bidi="ar"/>
              </w:rPr>
              <w:t>：橡木或白蜡木等天然实木，经过防虫、防腐特殊处理，确保坚固可靠，长期使用不松动、不腐朽。符合相关标准。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w:t>
            </w:r>
            <w:r>
              <w:rPr>
                <w:rFonts w:hint="eastAsia" w:ascii="宋体" w:hAnsi="宋体" w:eastAsia="宋体" w:cs="宋体"/>
                <w:b/>
                <w:bCs/>
                <w:i w:val="0"/>
                <w:iCs w:val="0"/>
                <w:color w:val="000000"/>
                <w:kern w:val="0"/>
                <w:sz w:val="18"/>
                <w:szCs w:val="18"/>
                <w:highlight w:val="none"/>
                <w:u w:val="none"/>
                <w:lang w:val="en-US" w:eastAsia="zh-CN" w:bidi="ar"/>
              </w:rPr>
              <w:t>油漆</w:t>
            </w:r>
            <w:r>
              <w:rPr>
                <w:rFonts w:hint="eastAsia" w:ascii="宋体" w:hAnsi="宋体" w:eastAsia="宋体" w:cs="宋体"/>
                <w:i w:val="0"/>
                <w:iCs w:val="0"/>
                <w:color w:val="000000"/>
                <w:kern w:val="0"/>
                <w:sz w:val="18"/>
                <w:szCs w:val="18"/>
                <w:highlight w:val="none"/>
                <w:u w:val="none"/>
                <w:lang w:val="en-US" w:eastAsia="zh-CN" w:bidi="ar"/>
              </w:rPr>
              <w:t>：水性漆，符合相关标准。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6" w:hRule="atLeast"/>
        </w:trPr>
        <w:tc>
          <w:tcPr>
            <w:tcW w:w="0" w:type="auto"/>
            <w:gridSpan w:val="8"/>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食堂一楼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09" w:hRule="atLeast"/>
        </w:trPr>
        <w:tc>
          <w:tcPr>
            <w:tcW w:w="40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★4人连体餐桌</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268605</wp:posOffset>
                  </wp:positionV>
                  <wp:extent cx="1010285" cy="878840"/>
                  <wp:effectExtent l="0" t="0" r="18415" b="16510"/>
                  <wp:wrapNone/>
                  <wp:docPr id="431" name="图片_11"/>
                  <wp:cNvGraphicFramePr/>
                  <a:graphic xmlns:a="http://schemas.openxmlformats.org/drawingml/2006/main">
                    <a:graphicData uri="http://schemas.openxmlformats.org/drawingml/2006/picture">
                      <pic:pic xmlns:pic="http://schemas.openxmlformats.org/drawingml/2006/picture">
                        <pic:nvPicPr>
                          <pic:cNvPr id="431" name="图片_11"/>
                          <pic:cNvPicPr/>
                        </pic:nvPicPr>
                        <pic:blipFill>
                          <a:blip r:embed="rId402"/>
                          <a:stretch>
                            <a:fillRect/>
                          </a:stretch>
                        </pic:blipFill>
                        <pic:spPr>
                          <a:xfrm>
                            <a:off x="0" y="0"/>
                            <a:ext cx="1010285" cy="878840"/>
                          </a:xfrm>
                          <a:prstGeom prst="rect">
                            <a:avLst/>
                          </a:prstGeom>
                          <a:noFill/>
                          <a:ln>
                            <a:noFill/>
                          </a:ln>
                        </pic:spPr>
                      </pic:pic>
                    </a:graphicData>
                  </a:graphic>
                </wp:anchor>
              </w:drawing>
            </w:r>
          </w:p>
        </w:tc>
        <w:tc>
          <w:tcPr>
            <w:tcW w:w="1271"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1810*1300*760（桌面高度）</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(土10mm)</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1.基材：面板尺寸1300*700*25mm，采用25mm环保多层实木板材：</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2.椅面：PP材料混入加强纤维，经模具注塑成型，尺寸：椅面坐宽最窄处为415mm，最宽处为460mm，椅面坐深430mm，椅面靠背最窄处为262mm，最宽处为420mm，椅面靠背高度不小于405 mm；椅面感官厚度不小于7MM，实际受力部位厚度10.5mm；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3.连接件：椅面下方和钢脚链接的225*235*85mm四爪支撑件是4MM厚钢板一次冲压成型；</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4.钢架：台面支架30*50*2.0mm的钢管，立脚内衬Φ60*1.8mm钢管；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5.底座：外部套热塑性工程塑料脚套，造型为喇叭形，底部带有高低微调调节脚，顶部直径70mm，底部直径198mm，PP材料外壳，混入加强纤维塑料，厚度不小于7mm；</w:t>
            </w:r>
          </w:p>
        </w:tc>
        <w:tc>
          <w:tcPr>
            <w:tcW w:w="0" w:type="auto"/>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252</w:t>
            </w:r>
          </w:p>
        </w:tc>
        <w:tc>
          <w:tcPr>
            <w:tcW w:w="0" w:type="auto"/>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trPr>
        <w:tc>
          <w:tcPr>
            <w:tcW w:w="0" w:type="auto"/>
            <w:gridSpan w:val="8"/>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食堂三楼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51"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长餐桌</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110490</wp:posOffset>
                  </wp:positionV>
                  <wp:extent cx="717550" cy="805815"/>
                  <wp:effectExtent l="0" t="0" r="6350" b="13335"/>
                  <wp:wrapNone/>
                  <wp:docPr id="444" name="图片_7"/>
                  <wp:cNvGraphicFramePr/>
                  <a:graphic xmlns:a="http://schemas.openxmlformats.org/drawingml/2006/main">
                    <a:graphicData uri="http://schemas.openxmlformats.org/drawingml/2006/picture">
                      <pic:pic xmlns:pic="http://schemas.openxmlformats.org/drawingml/2006/picture">
                        <pic:nvPicPr>
                          <pic:cNvPr id="444" name="图片_7"/>
                          <pic:cNvPicPr/>
                        </pic:nvPicPr>
                        <pic:blipFill>
                          <a:blip r:embed="rId403"/>
                          <a:stretch>
                            <a:fillRect/>
                          </a:stretch>
                        </pic:blipFill>
                        <pic:spPr>
                          <a:xfrm>
                            <a:off x="0" y="0"/>
                            <a:ext cx="717550" cy="805815"/>
                          </a:xfrm>
                          <a:prstGeom prst="rect">
                            <a:avLst/>
                          </a:prstGeom>
                          <a:noFill/>
                          <a:ln>
                            <a:noFill/>
                          </a:ln>
                        </pic:spPr>
                      </pic:pic>
                    </a:graphicData>
                  </a:graphic>
                </wp:anchor>
              </w:drawing>
            </w:r>
          </w:p>
        </w:tc>
        <w:tc>
          <w:tcPr>
            <w:tcW w:w="127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1200*600*750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1.面板：采用25mm厚人造板（刨花板）制作；</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桌架：立柱采用铝合金异型管，插片立柱装饰条均采用铝型材，桌面底部固定采用方板，均经过酸洗、磷洗等防锈处理，表面喷涂优质金属粉体。底板：850*450*20mm厚抗倍特板或同等档次钢板，耐脏耐油污，吸水膨胀率≤5%，底部配调节脚；</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08"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方餐桌</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212090</wp:posOffset>
                  </wp:positionV>
                  <wp:extent cx="687070" cy="644525"/>
                  <wp:effectExtent l="0" t="0" r="17780" b="3175"/>
                  <wp:wrapNone/>
                  <wp:docPr id="430" name="图片_4"/>
                  <wp:cNvGraphicFramePr/>
                  <a:graphic xmlns:a="http://schemas.openxmlformats.org/drawingml/2006/main">
                    <a:graphicData uri="http://schemas.openxmlformats.org/drawingml/2006/picture">
                      <pic:pic xmlns:pic="http://schemas.openxmlformats.org/drawingml/2006/picture">
                        <pic:nvPicPr>
                          <pic:cNvPr id="430" name="图片_4"/>
                          <pic:cNvPicPr/>
                        </pic:nvPicPr>
                        <pic:blipFill>
                          <a:blip r:embed="rId404"/>
                          <a:stretch>
                            <a:fillRect/>
                          </a:stretch>
                        </pic:blipFill>
                        <pic:spPr>
                          <a:xfrm>
                            <a:off x="0" y="0"/>
                            <a:ext cx="687070" cy="644525"/>
                          </a:xfrm>
                          <a:prstGeom prst="rect">
                            <a:avLst/>
                          </a:prstGeom>
                          <a:noFill/>
                          <a:ln>
                            <a:noFill/>
                          </a:ln>
                        </pic:spPr>
                      </pic:pic>
                    </a:graphicData>
                  </a:graphic>
                </wp:anchor>
              </w:drawing>
            </w:r>
          </w:p>
        </w:tc>
        <w:tc>
          <w:tcPr>
            <w:tcW w:w="127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600*600*750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2、基材：采用E0级刨花板，符合相关标准。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3、封边条：采用优质PVC封边条，耐干热性、耐磨性符合要求，符合相关标准。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4、脚架：选用冷轧钢材，经脱脂、水洗、酸洗、水洗中和、表调、磷化、干燥等工艺处理，表面粉末涂料静电喷涂处理。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40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餐椅1</w:t>
            </w:r>
          </w:p>
        </w:tc>
        <w:tc>
          <w:tcPr>
            <w:tcW w:w="0" w:type="auto"/>
            <w:tcBorders>
              <w:tl2br w:val="nil"/>
              <w:tr2bl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222250</wp:posOffset>
                  </wp:positionV>
                  <wp:extent cx="623570" cy="818515"/>
                  <wp:effectExtent l="0" t="0" r="5080" b="635"/>
                  <wp:wrapNone/>
                  <wp:docPr id="438" name="图片_10"/>
                  <wp:cNvGraphicFramePr/>
                  <a:graphic xmlns:a="http://schemas.openxmlformats.org/drawingml/2006/main">
                    <a:graphicData uri="http://schemas.openxmlformats.org/drawingml/2006/picture">
                      <pic:pic xmlns:pic="http://schemas.openxmlformats.org/drawingml/2006/picture">
                        <pic:nvPicPr>
                          <pic:cNvPr id="438" name="图片_10"/>
                          <pic:cNvPicPr/>
                        </pic:nvPicPr>
                        <pic:blipFill>
                          <a:blip r:embed="rId405"/>
                          <a:stretch>
                            <a:fillRect/>
                          </a:stretch>
                        </pic:blipFill>
                        <pic:spPr>
                          <a:xfrm>
                            <a:off x="0" y="0"/>
                            <a:ext cx="623570" cy="818515"/>
                          </a:xfrm>
                          <a:prstGeom prst="rect">
                            <a:avLst/>
                          </a:prstGeom>
                          <a:noFill/>
                          <a:ln>
                            <a:noFill/>
                          </a:ln>
                        </pic:spPr>
                      </pic:pic>
                    </a:graphicData>
                  </a:graphic>
                </wp:anchor>
              </w:drawing>
            </w:r>
          </w:p>
        </w:tc>
        <w:tc>
          <w:tcPr>
            <w:tcW w:w="127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630*565*765</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1、椅座：连体塑料座板靠背尺寸约55mm*450mm*460mm，椅面厚度不小于5mm，座面安装高度440mm；采用纯新工程材料PP +20%玻纤增强；抗紫外线UV级；座面深度410mm；椅背正面上下分别有内凹弧面更加贴合人体背部肌肉；背面添加整体加强面，根据加强面添加弧形加强筋支撑椅背；靠背上方内凹弧面圆弧；使靠背造型简约不单调，增加靠背的立体感，整体表面做皮纹颗粒工艺防滑美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2、椅架主体采用φ19mm，厚度2mm圆管。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3、金属件表面工艺：各金属件进行打磨、除油、除锈、酸洗、清洗及磷化等工艺处理后，通过粉沫喷涂设备进行静电喷塑，防锈防腐蚀。</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4、地脚：配有4个PC万向耐磨底角，运用管塞方式与钢管锁定。</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5、椅子颜色：自选色系</w:t>
            </w:r>
          </w:p>
        </w:tc>
        <w:tc>
          <w:tcPr>
            <w:tcW w:w="0" w:type="auto"/>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244</w:t>
            </w:r>
          </w:p>
        </w:tc>
        <w:tc>
          <w:tcPr>
            <w:tcW w:w="0" w:type="auto"/>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80" w:hRule="atLeast"/>
        </w:trPr>
        <w:tc>
          <w:tcPr>
            <w:tcW w:w="40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餐椅2</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154940</wp:posOffset>
                  </wp:positionV>
                  <wp:extent cx="930275" cy="823595"/>
                  <wp:effectExtent l="0" t="0" r="3175" b="14605"/>
                  <wp:wrapNone/>
                  <wp:docPr id="440" name="图片_12"/>
                  <wp:cNvGraphicFramePr/>
                  <a:graphic xmlns:a="http://schemas.openxmlformats.org/drawingml/2006/main">
                    <a:graphicData uri="http://schemas.openxmlformats.org/drawingml/2006/picture">
                      <pic:pic xmlns:pic="http://schemas.openxmlformats.org/drawingml/2006/picture">
                        <pic:nvPicPr>
                          <pic:cNvPr id="440" name="图片_12"/>
                          <pic:cNvPicPr/>
                        </pic:nvPicPr>
                        <pic:blipFill>
                          <a:blip r:embed="rId406"/>
                          <a:stretch>
                            <a:fillRect/>
                          </a:stretch>
                        </pic:blipFill>
                        <pic:spPr>
                          <a:xfrm>
                            <a:off x="0" y="0"/>
                            <a:ext cx="930275" cy="823595"/>
                          </a:xfrm>
                          <a:prstGeom prst="rect">
                            <a:avLst/>
                          </a:prstGeom>
                          <a:noFill/>
                          <a:ln>
                            <a:noFill/>
                          </a:ln>
                        </pic:spPr>
                      </pic:pic>
                    </a:graphicData>
                  </a:graphic>
                </wp:anchor>
              </w:drawing>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545*515*835mm</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1.椅座：连体塑料座板靠背外径尺寸约490*510*410mm（±5mm）；采用纯新工程PP +25%玻纤增强；抗紫外线UV级，靠背与座板之间带两个可抓握孔，靠背上带曲线凹凸纹理，使靠背造型不单调，增加靠背的美观性。</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2.椅座颜色：浅灰色。</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3.钢架：采用φ12mm实心圆钢，表面处理：静电亚光白色喷涂。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4.地脚：PC透明耐磨底角，尺寸约长400*宽17.6*高16mm，用螺丝与钢管锁定。</w:t>
            </w:r>
          </w:p>
        </w:tc>
        <w:tc>
          <w:tcPr>
            <w:tcW w:w="0" w:type="auto"/>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0" w:type="auto"/>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35" w:hRule="atLeast"/>
        </w:trPr>
        <w:tc>
          <w:tcPr>
            <w:tcW w:w="4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5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长餐桌2</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143510</wp:posOffset>
                  </wp:positionV>
                  <wp:extent cx="683895" cy="591185"/>
                  <wp:effectExtent l="0" t="0" r="1905" b="18415"/>
                  <wp:wrapNone/>
                  <wp:docPr id="437" name="图片_8"/>
                  <wp:cNvGraphicFramePr/>
                  <a:graphic xmlns:a="http://schemas.openxmlformats.org/drawingml/2006/main">
                    <a:graphicData uri="http://schemas.openxmlformats.org/drawingml/2006/picture">
                      <pic:pic xmlns:pic="http://schemas.openxmlformats.org/drawingml/2006/picture">
                        <pic:nvPicPr>
                          <pic:cNvPr id="437" name="图片_8"/>
                          <pic:cNvPicPr/>
                        </pic:nvPicPr>
                        <pic:blipFill>
                          <a:blip r:embed="rId407"/>
                          <a:stretch>
                            <a:fillRect/>
                          </a:stretch>
                        </pic:blipFill>
                        <pic:spPr>
                          <a:xfrm>
                            <a:off x="0" y="0"/>
                            <a:ext cx="683895" cy="591185"/>
                          </a:xfrm>
                          <a:prstGeom prst="rect">
                            <a:avLst/>
                          </a:prstGeom>
                          <a:noFill/>
                          <a:ln>
                            <a:noFill/>
                          </a:ln>
                        </pic:spPr>
                      </pic:pic>
                    </a:graphicData>
                  </a:graphic>
                </wp:anchor>
              </w:drawing>
            </w:r>
          </w:p>
        </w:tc>
        <w:tc>
          <w:tcPr>
            <w:tcW w:w="127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2100*1200*750</w:t>
            </w:r>
          </w:p>
        </w:tc>
        <w:tc>
          <w:tcPr>
            <w:tcW w:w="860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1、面材：采用优质浸渍胶膜纸饰面板；</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2、基材：采用E0级刨花板，符合相关标准。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3、封边条：采用优质PVC封边条，耐干热性、耐磨性符合要求符合相关标准。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4、脚架：选用冷轧钢材，经脱脂、水洗、酸洗、水洗中和、表调、磷化、干燥等工艺处理，表面粉末涂料静电喷涂处理。</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w:t>
            </w:r>
          </w:p>
        </w:tc>
        <w:tc>
          <w:tcPr>
            <w:tcW w:w="4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6" w:hRule="atLeast"/>
        </w:trPr>
        <w:tc>
          <w:tcPr>
            <w:tcW w:w="0" w:type="auto"/>
            <w:gridSpan w:val="8"/>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4" w:hRule="atLeast"/>
        </w:trPr>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0" w:type="auto"/>
            <w:tcBorders>
              <w:tl2br w:val="nil"/>
              <w:tr2bl w:val="nil"/>
            </w:tcBorders>
            <w:shd w:val="clear" w:color="auto" w:fill="auto"/>
            <w:noWrap/>
            <w:vAlign w:val="center"/>
          </w:tcPr>
          <w:p>
            <w:pPr>
              <w:jc w:val="left"/>
              <w:rPr>
                <w:rFonts w:hint="eastAsia" w:ascii="宋体" w:hAnsi="宋体" w:eastAsia="宋体" w:cs="宋体"/>
                <w:i w:val="0"/>
                <w:iCs w:val="0"/>
                <w:color w:val="000000"/>
                <w:sz w:val="18"/>
                <w:szCs w:val="18"/>
                <w:highlight w:val="none"/>
                <w:u w:val="none"/>
              </w:rPr>
            </w:pP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0" w:type="auto"/>
            <w:tcBorders>
              <w:tl2br w:val="nil"/>
              <w:tr2bl w:val="nil"/>
            </w:tcBorders>
            <w:shd w:val="clear" w:color="auto" w:fill="auto"/>
            <w:noWrap/>
            <w:vAlign w:val="center"/>
          </w:tcPr>
          <w:p>
            <w:pPr>
              <w:jc w:val="left"/>
              <w:rPr>
                <w:rFonts w:hint="eastAsia" w:ascii="宋体" w:hAnsi="宋体" w:eastAsia="宋体" w:cs="宋体"/>
                <w:i w:val="0"/>
                <w:iCs w:val="0"/>
                <w:color w:val="000000"/>
                <w:sz w:val="18"/>
                <w:szCs w:val="18"/>
                <w:highlight w:val="none"/>
                <w:u w:val="none"/>
              </w:rPr>
            </w:pPr>
          </w:p>
        </w:tc>
        <w:tc>
          <w:tcPr>
            <w:tcW w:w="860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不锈钢水槽37cmX42cm（含单冷龙头、角阀、软管、下水管、玻璃胶等一切配件）</w:t>
            </w:r>
          </w:p>
        </w:tc>
        <w:tc>
          <w:tcPr>
            <w:tcW w:w="0" w:type="auto"/>
            <w:tcBorders>
              <w:tl2br w:val="nil"/>
              <w:tr2bl w:val="nil"/>
            </w:tcBorders>
            <w:shd w:val="clear" w:color="auto" w:fill="auto"/>
            <w:noWrap/>
            <w:vAlign w:val="center"/>
          </w:tcPr>
          <w:p>
            <w:pPr>
              <w:jc w:val="center"/>
              <w:rPr>
                <w:rFonts w:hint="eastAsia" w:ascii="宋体" w:hAnsi="宋体" w:eastAsia="宋体" w:cs="宋体"/>
                <w:i w:val="0"/>
                <w:iCs w:val="0"/>
                <w:color w:val="000000"/>
                <w:sz w:val="18"/>
                <w:szCs w:val="18"/>
                <w:highlight w:val="none"/>
                <w:u w:val="none"/>
              </w:rPr>
            </w:pP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1728</w:t>
            </w:r>
          </w:p>
        </w:tc>
        <w:tc>
          <w:tcPr>
            <w:tcW w:w="0" w:type="auto"/>
            <w:tcBorders>
              <w:tl2br w:val="nil"/>
              <w:tr2bl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r>
    </w:tbl>
    <w:p>
      <w:pPr>
        <w:pStyle w:val="2"/>
        <w:ind w:left="0" w:leftChars="0" w:firstLine="0" w:firstLineChars="0"/>
        <w:rPr>
          <w:color w:val="auto"/>
          <w:highlight w:val="none"/>
        </w:rPr>
      </w:pPr>
    </w:p>
    <w:p>
      <w:pPr>
        <w:pStyle w:val="2"/>
        <w:ind w:left="0" w:leftChars="0" w:firstLine="0" w:firstLineChars="0"/>
        <w:rPr>
          <w:rFonts w:hint="eastAsia" w:ascii="宋体" w:hAnsi="宋体" w:eastAsia="宋体" w:cs="宋体"/>
          <w:b/>
          <w:bCs/>
          <w:i w:val="0"/>
          <w:iCs w:val="0"/>
          <w:color w:val="auto"/>
          <w:kern w:val="0"/>
          <w:sz w:val="18"/>
          <w:szCs w:val="18"/>
          <w:highlight w:val="none"/>
          <w:u w:val="none"/>
          <w:lang w:val="en-US" w:eastAsia="zh-CN" w:bidi="ar"/>
        </w:rPr>
      </w:pPr>
    </w:p>
    <w:p>
      <w:pPr>
        <w:pStyle w:val="2"/>
        <w:ind w:left="0" w:leftChars="0" w:firstLine="0" w:firstLineChars="0"/>
        <w:rPr>
          <w:color w:val="auto"/>
          <w:highlight w:val="none"/>
        </w:rPr>
      </w:pPr>
      <w:r>
        <w:rPr>
          <w:rFonts w:hint="eastAsia" w:ascii="宋体" w:hAnsi="宋体" w:eastAsia="宋体" w:cs="宋体"/>
          <w:b/>
          <w:bCs/>
          <w:i w:val="0"/>
          <w:iCs w:val="0"/>
          <w:color w:val="auto"/>
          <w:kern w:val="0"/>
          <w:sz w:val="18"/>
          <w:szCs w:val="18"/>
          <w:highlight w:val="none"/>
          <w:u w:val="none"/>
          <w:lang w:val="en-US" w:eastAsia="zh-CN" w:bidi="ar"/>
        </w:rPr>
        <w:t>备注：家具单价已包括主辅材、材料制作、安装费、运输损耗等各种损耗及运输费、采保费、质量技术监督部门和工程质量监督部门检验费、管理费、利润、规费、税金等一切费用</w:t>
      </w:r>
    </w:p>
    <w:p>
      <w:pPr>
        <w:pStyle w:val="51"/>
        <w:pageBreakBefore/>
        <w:spacing w:line="360" w:lineRule="auto"/>
        <w:jc w:val="left"/>
        <w:rPr>
          <w:rFonts w:hint="eastAsia" w:ascii="仿宋" w:hAnsi="仿宋" w:eastAsia="仿宋"/>
          <w:b/>
          <w:bCs/>
          <w:color w:val="auto"/>
          <w:kern w:val="0"/>
          <w:sz w:val="24"/>
          <w:highlight w:val="none"/>
        </w:rPr>
        <w:sectPr>
          <w:pgSz w:w="16840" w:h="11907" w:orient="landscape"/>
          <w:pgMar w:top="1803" w:right="1440" w:bottom="1236" w:left="1440" w:header="851" w:footer="992" w:gutter="0"/>
          <w:pgBorders>
            <w:top w:val="none" w:sz="0" w:space="0"/>
            <w:left w:val="none" w:sz="0" w:space="0"/>
            <w:bottom w:val="none" w:sz="0" w:space="0"/>
            <w:right w:val="none" w:sz="0" w:space="0"/>
          </w:pgBorders>
          <w:cols w:space="0" w:num="1"/>
          <w:rtlGutter w:val="0"/>
          <w:docGrid w:type="lines" w:linePitch="316" w:charSpace="0"/>
        </w:sectPr>
      </w:pPr>
    </w:p>
    <w:p>
      <w:pPr>
        <w:spacing w:line="500" w:lineRule="exact"/>
        <w:jc w:val="left"/>
        <w:rPr>
          <w:rFonts w:hint="eastAsia" w:ascii="宋体" w:hAnsi="宋体" w:eastAsia="宋体" w:cs="宋体"/>
          <w:b/>
          <w:bCs/>
          <w:iCs/>
          <w:color w:val="auto"/>
          <w:sz w:val="21"/>
          <w:szCs w:val="21"/>
          <w:highlight w:val="none"/>
          <w:lang w:val="en-US" w:eastAsia="zh-CN"/>
        </w:rPr>
      </w:pPr>
      <w:r>
        <w:rPr>
          <w:rFonts w:hint="eastAsia" w:ascii="宋体" w:hAnsi="宋体" w:cs="宋体"/>
          <w:b/>
          <w:bCs/>
          <w:iCs/>
          <w:color w:val="auto"/>
          <w:sz w:val="21"/>
          <w:szCs w:val="21"/>
          <w:highlight w:val="none"/>
          <w:lang w:val="en-US" w:eastAsia="zh-CN"/>
        </w:rPr>
        <w:t>标项二</w:t>
      </w:r>
      <w:r>
        <w:rPr>
          <w:rFonts w:hint="eastAsia" w:ascii="宋体" w:hAnsi="宋体" w:eastAsia="宋体" w:cs="宋体"/>
          <w:b/>
          <w:bCs/>
          <w:iCs/>
          <w:color w:val="auto"/>
          <w:sz w:val="21"/>
          <w:szCs w:val="21"/>
          <w:highlight w:val="none"/>
          <w:lang w:val="en-US" w:eastAsia="zh-CN"/>
        </w:rPr>
        <w:t>附件：</w:t>
      </w:r>
    </w:p>
    <w:p>
      <w:pPr>
        <w:jc w:val="center"/>
        <w:rPr>
          <w:rFonts w:hint="eastAsia" w:eastAsia="宋体"/>
          <w:highlight w:val="none"/>
          <w:lang w:val="en-US" w:eastAsia="zh-CN"/>
        </w:rPr>
      </w:pPr>
      <w:r>
        <w:rPr>
          <w:rFonts w:hint="eastAsia" w:ascii="宋体" w:hAnsi="宋体" w:cs="宋体"/>
          <w:b/>
          <w:bCs/>
          <w:sz w:val="32"/>
          <w:szCs w:val="32"/>
          <w:highlight w:val="none"/>
        </w:rPr>
        <w:t>技术参数规格表</w:t>
      </w:r>
    </w:p>
    <w:tbl>
      <w:tblPr>
        <w:tblStyle w:val="28"/>
        <w:tblW w:w="90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7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8" w:type="dxa"/>
            <w:noWrap w:val="0"/>
            <w:vAlign w:val="center"/>
          </w:tcPr>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原材料检测报告</w:t>
            </w:r>
          </w:p>
        </w:tc>
        <w:tc>
          <w:tcPr>
            <w:tcW w:w="7363" w:type="dxa"/>
            <w:noWrap w:val="0"/>
            <w:vAlign w:val="center"/>
          </w:tcPr>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提供CMA资质的机构出具的原材料检测报告（要求报告的检测日期为本项目发布公告之日前的2年内）：</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1、提供人造板（刨花板）：符合检测依据为GB/T 15102-2017《浸渍胶膜纸饰面纤维板和刨花板》、GB/T39600-2021《人造板及其制品甲醛释放量分级》、HJ 571-2010《环境标志产品技术要求人造板及其制品》、GB 8624-2012《建筑材料及制品燃烧性能分级》全项目委托抽样检测报告，其中核心参数要求：1.甲醛释放量≤0.025mg/m³，标识等级为ENF级；2.总挥发有机化合物TVOC≤0.5mg/㎡·h（72h）；3.阻燃性能达到B1级。</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2、提供塑粉喷涂钢管：符合检测依据为GB/T 3325-2017《金属家具通用技术条件》、GB 20286-2006《公共场所阻燃制品及组件燃烧性能要求和标识》、QB/T 4371-2012《家具抗菌性能的评价》全项目委托抽样检测报告其中核心参数要求：1.抗菌性能：金黄色葡萄球菌检测结果≥99%； 2.阻燃等级1级，其中热释放速率峰值≤150KW；5min内放出的总能力≤30MJ；最大烟密度≤75%；3.安全性能要求：有害物质限量-重金属含量（限色漆-可溶性铅、可溶性铬、可溶性镉、可溶性汞）均未检出。</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3、提供床立柱受力立柱：符合检测依据为GB/T 3325-2017《金属家具通用技术条件》、QB/T 3827-1999《轻工产品金属镀层和化学处理层的耐腐蚀试验方法 乙酸盐雾试验(ASS)法》、QB/T 3826-1999《轻工产品金属镀层和化学处理层的耐腐蚀试验方法 中性盐雾试验(NSS)法》全项目委托抽样检测报告，其中核心参数要求：1.金属件外观性能要求检测结果均符合技术要求；2.中性盐雾试验（200h）：镀层本身的耐蚀能力10级，镀层对基体金属的防蚀能力10级。检测结果符合技术要求；3.乙酸盐雾试验（100h）：镀层本身的耐蚀能力10级，镀层对基体金属的防蚀能力10级。检测结果符合技术要求。</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4、提供水性漆：符合检测依据为GB/T 23993-2009《水性涂料中甲醛含量的测定乙酷丙分光光度法)、GB/T23986-2009《色和清漆发性有机化合物(yoC)含量的测定气相色谱法》、GB/T 23990-2009《涂料中、甲苯、乙苯和二甲苯含量的测定气相色谱法》、GB/T 23991-2009(涂料中可溶性有害元素含量的测定)、GB厂30647-2014《涂料中有害元素总含量的测定》GB 18581-2020《木器涂料中有害物质限量》全项目委托抽样检测报告，其中核心参数要求：1. VOC含量，总铅 (Pb)，可溶性重金属含量均未检出；2.甲醛含量≤10 mg/kg ；3.苯系物总和含量未检出。</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5、提供铝合金异型管:符合检测依据为GB/T 3325-2017《金属家具通用技术条件》、QB/T 3827-1999《轻工产品金属镀层和化学处理层的耐腐蚀试验方法 乙酸盐雾试验(ASS)法》、QB/T 3826-1999《轻工产品金属镀层和化学处理层的耐腐蚀试验方法 中性盐雾试验(NSS)法》全项目委托抽样检测报告，其中核心参数要求：1.金属件外观性能要求检测结果均符合技术要求；2.中性盐雾试验（200h）：镀层本身的耐蚀能力10级，镀层对基体金属的防蚀能力10级。检测结果符合技术要求；3.乙酸盐雾试验（100h）：镀层本身的耐蚀能力10级，镀层对基体金属的防蚀能力10级。检测结果符合技术要求。</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6、提供铝合金内嵌条：符合检测依据为GB/T 3325-2017《金属家具通用技术条件》、QB/T 3827-1999《轻工产品金属镀层和化学处理层的耐腐蚀试验方法 乙酸盐雾试验(ASS)法》、QB/T 3826-1999《轻工产品金属镀层和化学处理层的耐腐蚀试验方法 中性盐雾试验(NSS)法》全项目委托抽样检测报告，其中核心参数要求：1.金属件外观性能要求检测结果均符合技术要求；2.中性盐雾试验（200h）：镀层本身的耐蚀能力10级，镀层对基体金属的防蚀能力10级。检测结果符合技术要求；3.乙酸盐雾试验（100h）：镀层本身的耐蚀能力10级，镀层对基体金属的防蚀能力10级。检测结果符合技术要求。</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7、提供塑料装饰件：符合检测依据为 GB/T32487-2016《塑料家具通用技术条件》、GB 20286-2006《公共场所阻燃制品及组件燃烧性能要求和标识》全项目委托抽样检测报告，其中核心参数要求：1.阻燃等级1级，其中热释放速率峰值≤150KW；5min内放出的总能力≤30MJ；最大烟密度≤75%；2.耐老化性：室内用500h,冲击强度的保持率≥60%，外观颜色变色评级≥3级。</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8、提供阻尼铰链：符合检测依据为QB/T 2189-2013《家具五金 杯状暗铰链》、GB/T 10125-2021《人造气氛腐蚀试验 盐雾试验》、QB/T 3832-1999 《轻工产品金属镀层腐蚀实验结果的评价》全项目委托抽样检测报告，其中核心参数要求：1.安装试验门时下沉量≤1.0mm；2.耐腐蚀（中性盐雾）喷雾周期达18H符合10级要求。</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9、提供带缓冲三节导轨：符合检测依据为QB/T 2454-2013《家具五金 抽屉导轨》、QB/T 3826-1999《轻工产品金属镀层和化学处理层的耐腐蚀试验方法 中性盐雾试验（NSS)法》全项目委托抽样检测报告，其中核心参数要求：1.过载：垂直向下静载荷、水平侧向静载荷、猛关、猛开均符合要求；2.功能：耐久性、垂直向下静载荷、水平侧向静荷载、拉出安全性、猛关或猛开均符合要求；3.下沉量不应超过抽屉导轨拉出长度的3%；4.耐腐蚀（中性盐雾）喷雾周期达18H符合10级要求。</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10、提供座椅防爆气压杆：符合检测依据为QB/T 2280-2016《办公家具 办公椅》全项目委托抽样检测报告，其中核心参数要求：1.安全性要求中密封性能和耐高低温性能试验符合要求。</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11、提供热塑性工程塑料脚套：符合检测依据为GB 28481-2012《塑料家具中有害物质限量》、 GB 20286-2006《公共场所阻燃制品及组件燃烧性能要求和标识》全项目委托抽样检测报告，其中核心参数要求：1.重金属（mg/kg）：可溶性铅、可溶性镉、可溶性铬、可溶性汞均未检出；2.阻燃等级1级，其中热释放速率峰值≤150KW；5min内放出的总能力≤30MJ；最大烟密度≤75%。</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12、提供高密度阻燃海绵：符合检测依据为GB/T 10802-2006《通用软质聚醚型聚氨酯泡沫塑料》、GB 8624-2012、GB/T 2912.1-2009《纺织品 甲醛的测定 第1 部分:游离和水解的甲醛 (水萃取法)》全项目委托抽样检测报告，其中核心参数要求：1.75%压缩永久变形≤8%；2.回弹率%≥35%；3.干热老化后拉伸强度≥100kPa；4.游离甲醛（mg/kg)未检出。5.阻燃等级B1级。</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 xml:space="preserve">13、提供热固性粉末涂料：符合GB28481-2012《塑料家具中有害物质限量》、GB18581-2020《热固性和热塑性粉末涂料检测》标准要求的全项目委托抽样检测报告。其中核心参数要求：1.重金属含量均未检出；2.邻苯二甲酸酯、多环芳烃、多溴联苯、多溴二苯醚均未检出。 </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14、提供白乳胶：符合GB 18583-2008《室内装饰装修材料 胶粘剂中有害物质限量》、GB 33372-2020《胶粘剂挥发性有机化合物限量》标准要求。其中核心参数要求：1.游离甲醛≤0.5g/kg；2.苯≤0.20g/kg、甲苯+二甲苯≤5g/kg；3.VOC含量≤50g/L。</w:t>
            </w:r>
          </w:p>
          <w:p>
            <w:pPr>
              <w:widowControl/>
              <w:snapToGrid w:val="0"/>
              <w:spacing w:line="480" w:lineRule="exact"/>
              <w:ind w:left="0"/>
              <w:rPr>
                <w:rFonts w:hint="eastAsia" w:ascii="仿宋" w:eastAsia="仿宋"/>
                <w:color w:val="auto"/>
                <w:sz w:val="24"/>
                <w:lang w:val="zh-CN" w:eastAsia="zh-CN"/>
              </w:rPr>
            </w:pPr>
            <w:r>
              <w:rPr>
                <w:rFonts w:hint="eastAsia" w:ascii="仿宋" w:eastAsia="仿宋"/>
                <w:color w:val="auto"/>
                <w:sz w:val="24"/>
                <w:lang w:val="en-US" w:eastAsia="zh-CN"/>
              </w:rPr>
              <w:t>15、提供拉手：符合GB/T 3325-2017《金属家具通用技术条件》、GB 20286-2006《公共场所阻燃制品及组件燃烧性能要求和标识》、QB/T 4371-2012《家具抗菌性能的评价》、QB/T 3827-1999《轻工产品金属镀层和化学处理层的耐腐蚀试验方法 乙酸盐雾试验(ASS)法》全项目委托抽样检测报告。其中核心参数要求：1.重金属含量均未检出；2.抗菌性能（肠沙门氏菌肠亚种婴儿血清型CICC 21482）检测结果≥99%；3. 阻燃等级1级，其中热释放速率峰值≤150KW；5min内放出的总能力≤30MJ；最大烟密度≤75%；4.乙酸盐雾试验（200h）：镀层本身的耐蚀能力10级，镀层对基体金属的防蚀能力10级。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18" w:type="dxa"/>
            <w:noWrap w:val="0"/>
            <w:vAlign w:val="center"/>
          </w:tcPr>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成品检测报告</w:t>
            </w:r>
          </w:p>
        </w:tc>
        <w:tc>
          <w:tcPr>
            <w:tcW w:w="7363" w:type="dxa"/>
            <w:noWrap w:val="0"/>
            <w:vAlign w:val="center"/>
          </w:tcPr>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投标人提供CMA资质的机构出具的成品检测报告（要求报告的检测日期为本项目发布公告之日前的2年内）官网上可以查询到：</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1、提供学生公寓多功能床：符合检测依据为QB/T2741-2013《学生公寓多功能家具》、GB/T 35607-2017《绿色产品评价 家具》、GB 18580-2017《室内装饰装修材料 人造板及其制品中甲醛释放限量》、GB20286-2006《公共场所阻燃制品及组件燃烧性能要求和标识》、GB/T 3324-2017《木家具通用技术条件》、QB/T4371-2012《家具抗菌性能的评价》、GB/T32487-2016《塑料家具通用技术条件》全项目委托抽样检测报告，其中核心参数要求：1.阻燃等级1级，其中热释放速率峰值≤150KW；5min内放出的总能力≤30MJ；最大烟密度≤75%；2.甲醛释放量≤0.5 mg/L；3.力学性能检测项目至少包含：桌类、柜类、床类、书架、扶梯、安全栏，并符合相应要求；4.绿色产品评价家具产品寿命检测（万次）符合要求；5.耐老化性：室内用500h,冲击强度的保持率≥60%，外观颜色变色评级≥3级；6.抗菌性能：大肠杆菌抑菌率≥99%。</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2、提供单人床：符合检测依据为QB/T2741-2013《学生公寓多功能家具》、GB/T 35607-2017《绿色产品评价 家具》、GB20286-2006《公共场所阻燃制品及组件燃烧性能要求和标识》、GB/T 3324-2017《木家具通用技术条件》、QB/T4371-2012《家具抗菌性能的评价》、GB/T32487-2016《塑料家具通用技术条件》全项目委托抽样检测报告，其中核心参数要求：1.阻燃等级1级，其中热释放速率峰值≤150KW；5min内放出的总能力≤30MJ；最大烟密度≤75%；2.甲醛释放量≤0.5 mg/L；3.力学性能检测项目至少包含：床类铺面均布静载荷：1200N,7天；铺面集中静载荷：1100N，10次；铺面冲击：140mm，25kg，10次并符合相应要求；4.绿色产品评价家具产品寿命检测（万次）符合要求；5.耐老化性：室内用500h,冲击强度的保持率≥60%，外观颜色变色评级≥3级；6.抗菌性能：大肠杆菌抑菌率≥99%。</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3、提供宿舍椅：符合检测依据为 GB/T32487-2016《塑料家具通用技术条件》、QB/T4371-2012《家具抗菌性能的评价》、GB 28481-2012《塑料家具中有害物质限量》全项目委托抽样检测报告，其中核心参数要求：1.阻燃等级1级，其中热释放速率峰值≤150KW；5min内放出的总能力≤30MJ；最大烟密度≤75%；2.抗菌性能：大肠杆菌抑菌率≥99%；3.耐老化性：室内用500h,冲击强度的保持率≥60%，外观颜色变色评级≥3级。</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4、提供衣柜：符合检测依据为QB/T 2741-2013《学生公寓多功能家具》、GB 20286-2006《公共场所阻燃制品及组件燃烧性能要求和标识》、QB/T4371-2012《家具抗菌性能的评价》、GB/T 35607-2017《绿色产品评价 家具》全项目委托抽样检测报告，其中核心参数要求：1.阻燃等级1级，其中热释放速率峰值≤150KW；5min内放出的总能力≤30MJ；最大烟密度≤75%；2.甲醛释放量≤0.5 mg/L；3.绿色产品评价家具产品寿命检测（万次）符合要求；4.抗菌性能：金黄色葡萄球菌抑菌率≥99%。</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5、提供书桌（含书架）：符合检测依据为QB/T 2741-2013《学生公寓多功能家具》、GB/T 3324-2017《木家具通用技术条件》、GB 20286-2006《公共场所阻燃制品及组件燃烧性能要求和标识》、GB/T 35607-2017《绿色产品评价 家具》QB/T4371-2012《家具抗菌性能的评价》全项目委托抽样检测报告，其中核心参数要求：1.阻燃等级1级，其中热释放速率峰值≤150KW；5min内放出的总能力≤30MJ；最大烟密度≤75%；2.甲醛释放量≤0.5 mg/L；3.绿色产品评价家具产品寿命检测（万次）符合要求；4.抗菌性能：白假丝酵母菌抑菌率≥99%。</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6、提供餐椅：符合检测依据为GB/T 24821-2009《餐桌餐椅》、GB/T 10357.3-2013《家具力学性能试验 第3部分：椅凳类强度和耐久性》、GB/T 35607-2017《绿色产品评价 家具》、QB/T4371-2012《家具抗菌性能的评价》全项目委托抽样检测报告，其中核心参数要求：1.着地平稳性符合要求；2.甲醛释放量≤0.5mg/L;3.重金属含量未检出；4.椅凳类强度和耐久性符合检测要求；5.产品寿命（万次）检测结果符合检测要求；6.抗菌性能：金黄色葡萄球菌抑菌率≥99%。</w:t>
            </w:r>
          </w:p>
          <w:p>
            <w:pPr>
              <w:widowControl/>
              <w:snapToGrid w:val="0"/>
              <w:spacing w:line="480" w:lineRule="exact"/>
              <w:ind w:left="0"/>
              <w:rPr>
                <w:rFonts w:hint="eastAsia" w:ascii="仿宋" w:eastAsia="仿宋"/>
                <w:color w:val="auto"/>
                <w:sz w:val="24"/>
                <w:lang w:val="en-US" w:eastAsia="zh-CN"/>
              </w:rPr>
            </w:pPr>
            <w:r>
              <w:rPr>
                <w:rFonts w:hint="eastAsia" w:ascii="仿宋" w:eastAsia="仿宋"/>
                <w:color w:val="auto"/>
                <w:sz w:val="24"/>
                <w:lang w:val="en-US" w:eastAsia="zh-CN"/>
              </w:rPr>
              <w:t>7、提供连体餐桌椅：符合检测依据为QB/T 4934-2016《连体餐桌椅》、GB/T 35607-2017</w:t>
            </w:r>
          </w:p>
        </w:tc>
      </w:tr>
    </w:tbl>
    <w:p>
      <w:pPr>
        <w:pStyle w:val="51"/>
        <w:pageBreakBefore/>
        <w:spacing w:line="360" w:lineRule="auto"/>
        <w:jc w:val="left"/>
        <w:rPr>
          <w:color w:val="auto"/>
          <w:highlight w:val="none"/>
        </w:rPr>
      </w:pPr>
      <w:r>
        <w:rPr>
          <w:rFonts w:hint="eastAsia" w:ascii="仿宋" w:hAnsi="仿宋" w:eastAsia="仿宋"/>
          <w:b/>
          <w:bCs/>
          <w:color w:val="auto"/>
          <w:kern w:val="0"/>
          <w:sz w:val="24"/>
          <w:highlight w:val="none"/>
        </w:rPr>
        <w:t>三、其它说明：</w:t>
      </w:r>
    </w:p>
    <w:p>
      <w:pPr>
        <w:spacing w:line="440" w:lineRule="exact"/>
        <w:rPr>
          <w:color w:val="auto"/>
          <w:highlight w:val="none"/>
        </w:rPr>
      </w:pPr>
      <w:r>
        <w:rPr>
          <w:rFonts w:hint="eastAsia" w:ascii="仿宋" w:hAnsi="仿宋" w:eastAsia="仿宋" w:cs="仿宋"/>
          <w:bCs/>
          <w:color w:val="auto"/>
          <w:sz w:val="24"/>
          <w:highlight w:val="none"/>
        </w:rPr>
        <w:t>1.</w:t>
      </w:r>
      <w:r>
        <w:rPr>
          <w:rFonts w:hint="eastAsia" w:ascii="仿宋" w:hAnsi="仿宋" w:eastAsia="仿宋" w:cs="宋体"/>
          <w:bCs/>
          <w:color w:val="auto"/>
          <w:sz w:val="24"/>
          <w:highlight w:val="none"/>
        </w:rPr>
        <w:t>中标后允许业主根据现场安装环境在主要构造不变的前提下对家具颜色、款式、尺寸、数量等进行适当调整（所有家具必须满足现场安装条件），单价不作调整；产品在交货时，产品的颜色必须与业主要求相符合。</w:t>
      </w:r>
    </w:p>
    <w:p>
      <w:pPr>
        <w:spacing w:line="440" w:lineRule="exact"/>
        <w:rPr>
          <w:color w:val="auto"/>
          <w:highlight w:val="none"/>
        </w:rPr>
      </w:pPr>
      <w:r>
        <w:rPr>
          <w:rFonts w:hint="eastAsia" w:ascii="仿宋" w:hAnsi="仿宋" w:eastAsia="仿宋" w:cs="仿宋"/>
          <w:color w:val="auto"/>
          <w:sz w:val="24"/>
          <w:highlight w:val="none"/>
        </w:rPr>
        <w:t>2.</w:t>
      </w:r>
      <w:r>
        <w:rPr>
          <w:rFonts w:hint="eastAsia" w:ascii="仿宋" w:hAnsi="仿宋" w:eastAsia="仿宋" w:cs="宋体"/>
          <w:color w:val="auto"/>
          <w:sz w:val="24"/>
          <w:highlight w:val="none"/>
        </w:rPr>
        <w:t>中标单位需按国家有关标准及规范独立完成招标内容中的产品及工程，不得转包给第三方，如发现转包，中标人必须接受无条件退货并按合同总额</w:t>
      </w:r>
      <w:r>
        <w:rPr>
          <w:rFonts w:hint="eastAsia" w:ascii="仿宋" w:hAnsi="仿宋" w:eastAsia="仿宋" w:cs="仿宋"/>
          <w:color w:val="auto"/>
          <w:sz w:val="24"/>
          <w:highlight w:val="none"/>
        </w:rPr>
        <w:t>50</w:t>
      </w:r>
      <w:r>
        <w:rPr>
          <w:rFonts w:hint="eastAsia" w:ascii="仿宋" w:hAnsi="仿宋" w:eastAsia="仿宋" w:cs="宋体"/>
          <w:color w:val="auto"/>
          <w:sz w:val="24"/>
          <w:highlight w:val="none"/>
        </w:rPr>
        <w:t>％的罚款。</w:t>
      </w:r>
    </w:p>
    <w:p>
      <w:pPr>
        <w:spacing w:line="440" w:lineRule="exact"/>
        <w:rPr>
          <w:color w:val="auto"/>
          <w:highlight w:val="none"/>
        </w:rPr>
      </w:pPr>
      <w:r>
        <w:rPr>
          <w:rFonts w:hint="eastAsia" w:ascii="仿宋" w:hAnsi="仿宋" w:eastAsia="仿宋" w:cs="仿宋"/>
          <w:color w:val="auto"/>
          <w:sz w:val="24"/>
          <w:highlight w:val="none"/>
        </w:rPr>
        <w:t>3.</w:t>
      </w:r>
      <w:r>
        <w:rPr>
          <w:rFonts w:hint="eastAsia" w:ascii="仿宋" w:hAnsi="仿宋" w:eastAsia="仿宋" w:cs="宋体"/>
          <w:color w:val="auto"/>
          <w:sz w:val="24"/>
          <w:highlight w:val="none"/>
        </w:rPr>
        <w:t>投标单位及制造商需对成交货物使用的安全性与检测结果的可靠性负全部责任。业主单位将组织检测机构或专业人士对产品的生产、安装过程进行监督检查。安装完毕，由业主会同使用单位、监理单位或行业专家等部门对货物进行综合验收。如验收不合格，则作整改处理及至业主满意为止。如因退货或不能一次性通过综合验收而贻误时间的，则按合同总金额的</w:t>
      </w:r>
      <w:r>
        <w:rPr>
          <w:rFonts w:hint="eastAsia" w:ascii="仿宋" w:hAnsi="仿宋" w:eastAsia="仿宋" w:cs="仿宋"/>
          <w:color w:val="000000" w:themeColor="text1"/>
          <w:sz w:val="24"/>
          <w:highlight w:val="none"/>
          <w14:textFill>
            <w14:solidFill>
              <w14:schemeClr w14:val="tx1"/>
            </w14:solidFill>
          </w14:textFill>
        </w:rPr>
        <w:t>20%</w:t>
      </w:r>
      <w:r>
        <w:rPr>
          <w:rFonts w:hint="eastAsia" w:ascii="仿宋" w:hAnsi="仿宋" w:eastAsia="仿宋" w:cs="宋体"/>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14:textFill>
            <w14:solidFill>
              <w14:schemeClr w14:val="tx1"/>
            </w14:solidFill>
          </w14:textFill>
        </w:rPr>
        <w:t>50</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auto"/>
          <w:sz w:val="24"/>
          <w:highlight w:val="none"/>
        </w:rPr>
        <w:t>进行处罚。</w:t>
      </w:r>
    </w:p>
    <w:p>
      <w:pPr>
        <w:spacing w:line="440" w:lineRule="exact"/>
        <w:rPr>
          <w:color w:val="auto"/>
          <w:highlight w:val="none"/>
        </w:rPr>
      </w:pPr>
      <w:r>
        <w:rPr>
          <w:rFonts w:hint="eastAsia" w:ascii="仿宋" w:hAnsi="仿宋" w:eastAsia="仿宋" w:cs="仿宋"/>
          <w:bCs/>
          <w:color w:val="auto"/>
          <w:sz w:val="24"/>
          <w:highlight w:val="none"/>
        </w:rPr>
        <w:t>4.</w:t>
      </w:r>
      <w:r>
        <w:rPr>
          <w:rFonts w:hint="eastAsia" w:ascii="仿宋" w:hAnsi="仿宋" w:eastAsia="仿宋" w:cs="宋体"/>
          <w:color w:val="auto"/>
          <w:sz w:val="24"/>
          <w:highlight w:val="none"/>
        </w:rPr>
        <w:t>所有家具供货、安装、摆放到位后，由</w:t>
      </w:r>
      <w:r>
        <w:rPr>
          <w:rFonts w:hint="eastAsia" w:ascii="仿宋" w:hAnsi="仿宋" w:eastAsia="仿宋" w:cs="宋体"/>
          <w:color w:val="auto"/>
          <w:sz w:val="24"/>
          <w:highlight w:val="none"/>
          <w:lang w:eastAsia="zh-CN"/>
        </w:rPr>
        <w:t>采购人</w:t>
      </w:r>
      <w:r>
        <w:rPr>
          <w:rFonts w:hint="eastAsia" w:ascii="仿宋" w:hAnsi="仿宋" w:eastAsia="仿宋" w:cs="宋体"/>
          <w:color w:val="auto"/>
          <w:sz w:val="24"/>
          <w:highlight w:val="none"/>
          <w:lang w:val="en-US" w:eastAsia="zh-CN"/>
        </w:rPr>
        <w:t>认可的</w:t>
      </w:r>
      <w:r>
        <w:rPr>
          <w:rFonts w:hint="eastAsia" w:ascii="仿宋" w:hAnsi="仿宋" w:eastAsia="仿宋" w:cs="宋体"/>
          <w:color w:val="auto"/>
          <w:sz w:val="24"/>
          <w:highlight w:val="none"/>
          <w:lang w:eastAsia="zh-CN"/>
        </w:rPr>
        <w:t>检测机构</w:t>
      </w:r>
      <w:r>
        <w:rPr>
          <w:rFonts w:hint="eastAsia" w:ascii="仿宋" w:hAnsi="仿宋" w:eastAsia="仿宋" w:cs="宋体"/>
          <w:color w:val="auto"/>
          <w:sz w:val="24"/>
          <w:highlight w:val="none"/>
        </w:rPr>
        <w:t>进行室内环境检测（以《室内空气质量标准》</w:t>
      </w:r>
      <w:r>
        <w:rPr>
          <w:rFonts w:hint="eastAsia" w:ascii="仿宋" w:hAnsi="仿宋" w:eastAsia="仿宋" w:cs="仿宋"/>
          <w:color w:val="auto"/>
          <w:sz w:val="24"/>
          <w:highlight w:val="none"/>
        </w:rPr>
        <w:t>GB/T18883-2002</w:t>
      </w:r>
      <w:r>
        <w:rPr>
          <w:rFonts w:hint="eastAsia" w:ascii="仿宋" w:hAnsi="仿宋" w:eastAsia="仿宋" w:cs="宋体"/>
          <w:color w:val="auto"/>
          <w:sz w:val="24"/>
          <w:highlight w:val="none"/>
        </w:rPr>
        <w:t>进行室内空气质量检测），及对</w:t>
      </w:r>
      <w:r>
        <w:rPr>
          <w:rFonts w:hint="eastAsia" w:ascii="仿宋" w:hAnsi="仿宋" w:eastAsia="仿宋" w:cs="宋体"/>
          <w:color w:val="auto"/>
          <w:sz w:val="24"/>
          <w:highlight w:val="none"/>
          <w:lang w:eastAsia="zh-CN"/>
        </w:rPr>
        <w:t>选中的家具</w:t>
      </w:r>
      <w:r>
        <w:rPr>
          <w:rFonts w:hint="eastAsia" w:ascii="仿宋" w:hAnsi="仿宋" w:eastAsia="仿宋" w:cs="宋体"/>
          <w:color w:val="auto"/>
          <w:sz w:val="24"/>
          <w:highlight w:val="none"/>
        </w:rPr>
        <w:t>分割肢解</w:t>
      </w:r>
      <w:r>
        <w:rPr>
          <w:rFonts w:hint="eastAsia" w:ascii="仿宋" w:hAnsi="仿宋" w:eastAsia="仿宋" w:cs="宋体"/>
          <w:color w:val="auto"/>
          <w:sz w:val="24"/>
          <w:highlight w:val="none"/>
          <w:lang w:eastAsia="zh-CN"/>
        </w:rPr>
        <w:t>或拆解</w:t>
      </w:r>
      <w:r>
        <w:rPr>
          <w:rFonts w:hint="eastAsia" w:ascii="仿宋" w:hAnsi="仿宋" w:eastAsia="仿宋" w:cs="宋体"/>
          <w:color w:val="auto"/>
          <w:sz w:val="24"/>
          <w:highlight w:val="none"/>
        </w:rPr>
        <w:t>后进行材料检测和内外部材质的核实验收</w:t>
      </w:r>
      <w:r>
        <w:rPr>
          <w:rFonts w:hint="eastAsia" w:ascii="仿宋" w:hAnsi="仿宋" w:eastAsia="仿宋" w:cs="宋体"/>
          <w:color w:val="auto"/>
          <w:sz w:val="24"/>
          <w:highlight w:val="none"/>
          <w:lang w:eastAsia="zh-CN"/>
        </w:rPr>
        <w:t>以及</w:t>
      </w:r>
      <w:r>
        <w:rPr>
          <w:rFonts w:hint="eastAsia" w:ascii="仿宋" w:hAnsi="仿宋" w:eastAsia="仿宋" w:cs="仿宋"/>
          <w:color w:val="auto"/>
          <w:sz w:val="24"/>
          <w:szCs w:val="24"/>
          <w:highlight w:val="none"/>
        </w:rPr>
        <w:t>有害物质限量检测</w:t>
      </w:r>
      <w:r>
        <w:rPr>
          <w:rFonts w:hint="eastAsia" w:ascii="仿宋" w:hAnsi="仿宋" w:eastAsia="仿宋" w:cs="仿宋"/>
          <w:color w:val="auto"/>
          <w:sz w:val="24"/>
          <w:szCs w:val="24"/>
          <w:highlight w:val="none"/>
          <w:lang w:eastAsia="zh-CN"/>
        </w:rPr>
        <w:t>（检测家具详见总清单）</w:t>
      </w:r>
      <w:r>
        <w:rPr>
          <w:rFonts w:hint="eastAsia" w:ascii="仿宋" w:hAnsi="仿宋" w:eastAsia="仿宋" w:cs="宋体"/>
          <w:color w:val="auto"/>
          <w:sz w:val="24"/>
          <w:highlight w:val="none"/>
        </w:rPr>
        <w:t>，只有全部合格的才能予以验收，否则应承担违约责任。</w:t>
      </w:r>
      <w:r>
        <w:rPr>
          <w:rFonts w:hint="eastAsia" w:ascii="仿宋" w:hAnsi="仿宋" w:eastAsia="仿宋" w:cs="宋体"/>
          <w:color w:val="auto"/>
          <w:sz w:val="24"/>
          <w:highlight w:val="none"/>
          <w:lang w:eastAsia="zh-CN"/>
        </w:rPr>
        <w:t>检测费用由投标人支付，检测时有损坏的家具</w:t>
      </w:r>
      <w:r>
        <w:rPr>
          <w:rFonts w:hint="eastAsia" w:ascii="仿宋" w:hAnsi="仿宋" w:eastAsia="仿宋" w:cs="宋体"/>
          <w:color w:val="auto"/>
          <w:sz w:val="24"/>
          <w:highlight w:val="none"/>
        </w:rPr>
        <w:t>应免费补足给采购人</w:t>
      </w:r>
      <w:r>
        <w:rPr>
          <w:rFonts w:hint="eastAsia" w:ascii="仿宋" w:hAnsi="仿宋" w:eastAsia="仿宋" w:cs="宋体"/>
          <w:color w:val="auto"/>
          <w:sz w:val="24"/>
          <w:highlight w:val="none"/>
          <w:lang w:eastAsia="zh-CN"/>
        </w:rPr>
        <w:t>，请投标人在报价时自行</w:t>
      </w:r>
      <w:r>
        <w:rPr>
          <w:rFonts w:hint="eastAsia" w:ascii="仿宋" w:hAnsi="仿宋" w:eastAsia="仿宋" w:cs="宋体"/>
          <w:color w:val="auto"/>
          <w:sz w:val="24"/>
          <w:highlight w:val="none"/>
        </w:rPr>
        <w:t>考虑该部分费用。如检测结果不符合招标文件要求无条件退货并承担一切后果，同时没收履约保证金。</w:t>
      </w:r>
    </w:p>
    <w:tbl>
      <w:tblPr>
        <w:tblStyle w:val="28"/>
        <w:tblW w:w="0" w:type="auto"/>
        <w:jc w:val="center"/>
        <w:tblLayout w:type="fixed"/>
        <w:tblCellMar>
          <w:top w:w="0" w:type="dxa"/>
          <w:left w:w="108" w:type="dxa"/>
          <w:bottom w:w="0" w:type="dxa"/>
          <w:right w:w="108" w:type="dxa"/>
        </w:tblCellMar>
      </w:tblPr>
      <w:tblGrid>
        <w:gridCol w:w="708"/>
        <w:gridCol w:w="5354"/>
        <w:gridCol w:w="3076"/>
      </w:tblGrid>
      <w:tr>
        <w:tblPrEx>
          <w:tblCellMar>
            <w:top w:w="0" w:type="dxa"/>
            <w:left w:w="108" w:type="dxa"/>
            <w:bottom w:w="0" w:type="dxa"/>
            <w:right w:w="108" w:type="dxa"/>
          </w:tblCellMar>
        </w:tblPrEx>
        <w:trPr>
          <w:trHeight w:val="420" w:hRule="atLeast"/>
          <w:jc w:val="center"/>
        </w:trPr>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24"/>
                <w:szCs w:val="24"/>
                <w:highlight w:val="none"/>
              </w:rPr>
            </w:pPr>
            <w:r>
              <w:rPr>
                <w:rFonts w:hint="eastAsia" w:ascii="仿宋" w:hAnsi="仿宋" w:eastAsia="仿宋" w:cs="仿宋"/>
                <w:color w:val="auto"/>
                <w:sz w:val="24"/>
                <w:szCs w:val="24"/>
                <w:highlight w:val="none"/>
              </w:rPr>
              <w:t>序号</w:t>
            </w:r>
          </w:p>
        </w:tc>
        <w:tc>
          <w:tcPr>
            <w:tcW w:w="5354"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24"/>
                <w:szCs w:val="24"/>
                <w:highlight w:val="none"/>
              </w:rPr>
            </w:pPr>
            <w:r>
              <w:rPr>
                <w:rFonts w:hint="eastAsia" w:ascii="仿宋" w:hAnsi="仿宋" w:eastAsia="仿宋" w:cs="仿宋"/>
                <w:color w:val="auto"/>
                <w:sz w:val="24"/>
                <w:szCs w:val="24"/>
                <w:highlight w:val="none"/>
              </w:rPr>
              <w:t>检测内容</w:t>
            </w:r>
          </w:p>
        </w:tc>
        <w:tc>
          <w:tcPr>
            <w:tcW w:w="3076"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24"/>
                <w:szCs w:val="24"/>
                <w:highlight w:val="none"/>
              </w:rPr>
            </w:pPr>
            <w:r>
              <w:rPr>
                <w:rFonts w:hint="eastAsia" w:ascii="仿宋" w:hAnsi="仿宋" w:eastAsia="仿宋" w:cs="仿宋"/>
                <w:color w:val="auto"/>
                <w:sz w:val="24"/>
                <w:szCs w:val="24"/>
                <w:highlight w:val="none"/>
              </w:rPr>
              <w:t>要求</w:t>
            </w:r>
          </w:p>
        </w:tc>
      </w:tr>
      <w:tr>
        <w:tblPrEx>
          <w:tblCellMar>
            <w:top w:w="0" w:type="dxa"/>
            <w:left w:w="108" w:type="dxa"/>
            <w:bottom w:w="0" w:type="dxa"/>
            <w:right w:w="108" w:type="dxa"/>
          </w:tblCellMar>
        </w:tblPrEx>
        <w:trPr>
          <w:trHeight w:val="825" w:hRule="atLeast"/>
          <w:jc w:val="center"/>
        </w:trPr>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24"/>
                <w:szCs w:val="24"/>
                <w:highlight w:val="none"/>
              </w:rPr>
            </w:pPr>
            <w:r>
              <w:rPr>
                <w:rFonts w:hint="eastAsia" w:ascii="仿宋" w:hAnsi="仿宋" w:eastAsia="仿宋" w:cs="仿宋"/>
                <w:color w:val="auto"/>
                <w:sz w:val="24"/>
                <w:szCs w:val="24"/>
                <w:highlight w:val="none"/>
              </w:rPr>
              <w:t>1</w:t>
            </w:r>
          </w:p>
        </w:tc>
        <w:tc>
          <w:tcPr>
            <w:tcW w:w="5354" w:type="dxa"/>
            <w:tcBorders>
              <w:top w:val="single" w:color="000000" w:sz="4" w:space="0"/>
              <w:left w:val="single" w:color="000000" w:sz="4" w:space="0"/>
              <w:bottom w:val="single" w:color="000000" w:sz="4" w:space="0"/>
              <w:right w:val="single" w:color="000000" w:sz="4" w:space="0"/>
            </w:tcBorders>
            <w:noWrap/>
            <w:vAlign w:val="center"/>
          </w:tcPr>
          <w:p>
            <w:pPr>
              <w:rPr>
                <w:color w:val="auto"/>
                <w:sz w:val="24"/>
                <w:szCs w:val="24"/>
                <w:highlight w:val="none"/>
              </w:rPr>
            </w:pPr>
            <w:r>
              <w:rPr>
                <w:rFonts w:hint="eastAsia" w:ascii="仿宋" w:hAnsi="仿宋" w:eastAsia="仿宋" w:cs="仿宋"/>
                <w:color w:val="auto"/>
                <w:sz w:val="24"/>
                <w:szCs w:val="24"/>
                <w:highlight w:val="none"/>
              </w:rPr>
              <w:t>物理特性检测：主要指产品尺寸形状偏差、标识与实物一致性、表面理化性能、力学性能、安全性要求检测</w:t>
            </w:r>
          </w:p>
        </w:tc>
        <w:tc>
          <w:tcPr>
            <w:tcW w:w="3076"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24"/>
                <w:szCs w:val="24"/>
                <w:highlight w:val="none"/>
              </w:rPr>
            </w:pPr>
            <w:r>
              <w:rPr>
                <w:rFonts w:hint="eastAsia" w:ascii="仿宋" w:hAnsi="仿宋" w:eastAsia="仿宋" w:cs="仿宋"/>
                <w:color w:val="auto"/>
                <w:sz w:val="24"/>
                <w:szCs w:val="24"/>
                <w:highlight w:val="none"/>
              </w:rPr>
              <w:t>符合国家标准和招标文件要求</w:t>
            </w:r>
          </w:p>
        </w:tc>
      </w:tr>
      <w:tr>
        <w:tblPrEx>
          <w:tblCellMar>
            <w:top w:w="0" w:type="dxa"/>
            <w:left w:w="108" w:type="dxa"/>
            <w:bottom w:w="0" w:type="dxa"/>
            <w:right w:w="108" w:type="dxa"/>
          </w:tblCellMar>
        </w:tblPrEx>
        <w:trPr>
          <w:trHeight w:val="624" w:hRule="atLeast"/>
          <w:jc w:val="center"/>
        </w:trPr>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24"/>
                <w:szCs w:val="24"/>
                <w:highlight w:val="none"/>
              </w:rPr>
            </w:pPr>
            <w:r>
              <w:rPr>
                <w:rFonts w:hint="eastAsia" w:ascii="仿宋" w:hAnsi="仿宋" w:eastAsia="仿宋" w:cs="仿宋"/>
                <w:color w:val="auto"/>
                <w:sz w:val="24"/>
                <w:szCs w:val="24"/>
                <w:highlight w:val="none"/>
              </w:rPr>
              <w:t>2</w:t>
            </w:r>
          </w:p>
        </w:tc>
        <w:tc>
          <w:tcPr>
            <w:tcW w:w="5354" w:type="dxa"/>
            <w:tcBorders>
              <w:top w:val="single" w:color="000000" w:sz="4" w:space="0"/>
              <w:left w:val="single" w:color="000000" w:sz="4" w:space="0"/>
              <w:bottom w:val="single" w:color="000000" w:sz="4" w:space="0"/>
              <w:right w:val="single" w:color="000000" w:sz="4" w:space="0"/>
            </w:tcBorders>
            <w:noWrap/>
            <w:vAlign w:val="center"/>
          </w:tcPr>
          <w:p>
            <w:pPr>
              <w:jc w:val="left"/>
              <w:rPr>
                <w:color w:val="auto"/>
                <w:sz w:val="24"/>
                <w:szCs w:val="24"/>
                <w:highlight w:val="none"/>
              </w:rPr>
            </w:pPr>
            <w:r>
              <w:rPr>
                <w:rFonts w:hint="eastAsia" w:ascii="仿宋" w:hAnsi="仿宋" w:eastAsia="仿宋" w:cs="仿宋"/>
                <w:color w:val="auto"/>
                <w:sz w:val="24"/>
                <w:szCs w:val="24"/>
                <w:highlight w:val="none"/>
              </w:rPr>
              <w:t>有害物质限量检测</w:t>
            </w:r>
          </w:p>
        </w:tc>
        <w:tc>
          <w:tcPr>
            <w:tcW w:w="3076"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24"/>
                <w:szCs w:val="24"/>
                <w:highlight w:val="none"/>
              </w:rPr>
            </w:pPr>
            <w:r>
              <w:rPr>
                <w:rFonts w:hint="eastAsia" w:ascii="仿宋" w:hAnsi="仿宋" w:eastAsia="仿宋" w:cs="仿宋"/>
                <w:color w:val="auto"/>
                <w:sz w:val="24"/>
                <w:szCs w:val="24"/>
                <w:highlight w:val="none"/>
              </w:rPr>
              <w:t>符合国家标准和招标文件要求，板材检测需提前抽样检测</w:t>
            </w:r>
          </w:p>
        </w:tc>
      </w:tr>
    </w:tbl>
    <w:p>
      <w:pPr>
        <w:spacing w:line="440" w:lineRule="exact"/>
        <w:rPr>
          <w:color w:val="auto"/>
          <w:highlight w:val="none"/>
        </w:rPr>
      </w:pPr>
      <w:r>
        <w:rPr>
          <w:rFonts w:hint="eastAsia" w:ascii="仿宋" w:hAnsi="仿宋" w:eastAsia="仿宋" w:cs="仿宋"/>
          <w:color w:val="auto"/>
          <w:sz w:val="24"/>
          <w:highlight w:val="none"/>
        </w:rPr>
        <w:t>6.</w:t>
      </w:r>
      <w:r>
        <w:rPr>
          <w:rFonts w:hint="eastAsia" w:ascii="仿宋" w:hAnsi="仿宋" w:eastAsia="仿宋" w:cs="宋体"/>
          <w:color w:val="auto"/>
          <w:sz w:val="24"/>
          <w:highlight w:val="none"/>
        </w:rPr>
        <w:t>这部</w:t>
      </w:r>
      <w:r>
        <w:rPr>
          <w:rFonts w:hint="eastAsia" w:ascii="仿宋" w:hAnsi="仿宋" w:eastAsia="仿宋" w:cs="宋体"/>
          <w:color w:val="auto"/>
          <w:sz w:val="24"/>
          <w:highlight w:val="none"/>
          <w:lang w:eastAsia="zh-CN"/>
        </w:rPr>
        <w:t>分</w:t>
      </w:r>
      <w:r>
        <w:rPr>
          <w:rFonts w:hint="eastAsia" w:ascii="仿宋" w:hAnsi="仿宋" w:eastAsia="仿宋" w:cs="宋体"/>
          <w:color w:val="auto"/>
          <w:sz w:val="24"/>
          <w:highlight w:val="none"/>
        </w:rPr>
        <w:t>技术要求（规格）书只是对货物的一些原则性要求，并不是详尽的要求，投标单位有责任对设计符合技术规范、标准负责。中标单位应对投标内容所涉及的专利承担责任，并负责保护采购人的利益不受任何损害。一切由于文字、商标、技术和软件制作专利引起的法律裁决、诉讼和费用均与采购人无关。</w:t>
      </w:r>
    </w:p>
    <w:p>
      <w:pPr>
        <w:spacing w:line="440" w:lineRule="exact"/>
        <w:rPr>
          <w:color w:val="auto"/>
          <w:highlight w:val="none"/>
        </w:rPr>
      </w:pPr>
      <w:r>
        <w:rPr>
          <w:rFonts w:hint="eastAsia" w:ascii="仿宋" w:hAnsi="仿宋" w:eastAsia="仿宋" w:cs="仿宋"/>
          <w:color w:val="auto"/>
          <w:sz w:val="24"/>
          <w:highlight w:val="none"/>
        </w:rPr>
        <w:t>7.</w:t>
      </w:r>
      <w:r>
        <w:rPr>
          <w:rFonts w:hint="eastAsia" w:ascii="仿宋" w:hAnsi="仿宋" w:eastAsia="仿宋" w:cs="宋体"/>
          <w:color w:val="auto"/>
          <w:sz w:val="24"/>
          <w:highlight w:val="none"/>
        </w:rPr>
        <w:t>采购人提供的设计图纸和内容，根据情况的变化，有可能进行局部修改，中标单位应根据修改后的图纸，相应地改变自己的施工方案。</w:t>
      </w:r>
    </w:p>
    <w:p>
      <w:pPr>
        <w:spacing w:line="440" w:lineRule="exact"/>
        <w:rPr>
          <w:color w:val="auto"/>
          <w:highlight w:val="none"/>
        </w:rPr>
      </w:pPr>
      <w:r>
        <w:rPr>
          <w:rFonts w:hint="eastAsia" w:ascii="仿宋" w:hAnsi="仿宋" w:eastAsia="仿宋" w:cs="仿宋"/>
          <w:color w:val="auto"/>
          <w:sz w:val="24"/>
          <w:highlight w:val="none"/>
        </w:rPr>
        <w:t>8.</w:t>
      </w:r>
      <w:r>
        <w:rPr>
          <w:rFonts w:hint="eastAsia" w:ascii="仿宋" w:hAnsi="仿宋" w:eastAsia="仿宋" w:cs="宋体"/>
          <w:color w:val="auto"/>
          <w:sz w:val="24"/>
          <w:highlight w:val="none"/>
        </w:rPr>
        <w:t>对于属于整套家具安装所必需的部件、附件，即使工程量清单中未列出或数目不足，中标单位仍需在执行合同时补足，费用视为已包含在综合单价内。</w:t>
      </w:r>
    </w:p>
    <w:p>
      <w:pPr>
        <w:spacing w:line="440" w:lineRule="exact"/>
        <w:rPr>
          <w:color w:val="auto"/>
          <w:highlight w:val="none"/>
        </w:rPr>
      </w:pPr>
      <w:r>
        <w:rPr>
          <w:rFonts w:hint="eastAsia" w:ascii="仿宋" w:hAnsi="仿宋" w:eastAsia="仿宋" w:cs="仿宋"/>
          <w:color w:val="auto"/>
          <w:sz w:val="24"/>
          <w:highlight w:val="none"/>
        </w:rPr>
        <w:t>9.</w:t>
      </w:r>
      <w:r>
        <w:rPr>
          <w:rFonts w:hint="eastAsia" w:ascii="仿宋" w:hAnsi="仿宋" w:eastAsia="仿宋" w:cs="宋体"/>
          <w:color w:val="auto"/>
          <w:sz w:val="24"/>
          <w:highlight w:val="none"/>
        </w:rPr>
        <w:t>在家具安装过程中，由于中标单位安装不当引起的地面损坏，相关修复费用由中标单位负责。</w:t>
      </w:r>
    </w:p>
    <w:p>
      <w:pPr>
        <w:pStyle w:val="51"/>
        <w:spacing w:line="360" w:lineRule="auto"/>
        <w:rPr>
          <w:rFonts w:hint="eastAsia" w:ascii="仿宋" w:hAnsi="仿宋" w:eastAsia="仿宋"/>
          <w:color w:val="auto"/>
          <w:sz w:val="24"/>
          <w:highlight w:val="none"/>
        </w:rPr>
      </w:pPr>
      <w:r>
        <w:rPr>
          <w:rFonts w:ascii="仿宋" w:hAnsi="仿宋" w:eastAsia="仿宋" w:cs="仿宋"/>
          <w:color w:val="auto"/>
          <w:sz w:val="24"/>
          <w:highlight w:val="none"/>
        </w:rPr>
        <w:t>10.</w:t>
      </w:r>
      <w:r>
        <w:rPr>
          <w:rFonts w:hint="eastAsia" w:ascii="仿宋" w:hAnsi="仿宋" w:eastAsia="仿宋"/>
          <w:color w:val="auto"/>
          <w:sz w:val="24"/>
          <w:highlight w:val="none"/>
        </w:rPr>
        <w:t>关于工程实施过程中发生的变更联系单，必须严格遵守滨海新城管委会【</w:t>
      </w:r>
      <w:r>
        <w:rPr>
          <w:rFonts w:hint="eastAsia" w:ascii="仿宋" w:hAnsi="仿宋" w:eastAsia="仿宋" w:cs="仿宋"/>
          <w:color w:val="auto"/>
          <w:sz w:val="24"/>
          <w:highlight w:val="none"/>
        </w:rPr>
        <w:t>2015</w:t>
      </w:r>
      <w:r>
        <w:rPr>
          <w:rFonts w:hint="eastAsia" w:ascii="仿宋" w:hAnsi="仿宋" w:eastAsia="仿宋"/>
          <w:color w:val="auto"/>
          <w:sz w:val="24"/>
          <w:highlight w:val="none"/>
        </w:rPr>
        <w:t>】</w:t>
      </w:r>
      <w:r>
        <w:rPr>
          <w:rFonts w:hint="eastAsia" w:ascii="仿宋" w:hAnsi="仿宋" w:eastAsia="仿宋" w:cs="仿宋"/>
          <w:color w:val="auto"/>
          <w:sz w:val="24"/>
          <w:highlight w:val="none"/>
        </w:rPr>
        <w:t>54</w:t>
      </w:r>
      <w:r>
        <w:rPr>
          <w:rFonts w:hint="eastAsia" w:ascii="仿宋" w:hAnsi="仿宋" w:eastAsia="仿宋"/>
          <w:color w:val="auto"/>
          <w:sz w:val="24"/>
          <w:highlight w:val="none"/>
        </w:rPr>
        <w:t>号文件规定，做到“先审批后实施”，对于未经书面批复的联系单，施工单位擅自施工的，建设单位有权不予认可。</w:t>
      </w:r>
    </w:p>
    <w:p>
      <w:pPr>
        <w:pStyle w:val="51"/>
        <w:spacing w:line="360" w:lineRule="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11.中标人必须承诺中标后严格按照招标文件参数供货。</w:t>
      </w:r>
    </w:p>
    <w:p>
      <w:pPr>
        <w:widowControl/>
        <w:snapToGrid w:val="0"/>
        <w:spacing w:line="480" w:lineRule="exact"/>
        <w:ind w:firstLine="0"/>
        <w:rPr>
          <w:rFonts w:ascii="仿宋" w:eastAsia="仿宋"/>
          <w:b/>
          <w:bCs/>
          <w:color w:val="auto"/>
          <w:sz w:val="24"/>
          <w:highlight w:val="none"/>
        </w:rPr>
      </w:pPr>
    </w:p>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1"/>
        <w:rPr>
          <w:rFonts w:hint="eastAsia" w:ascii="宋体" w:hAnsi="宋体" w:eastAsia="宋体" w:cs="宋体"/>
          <w:b/>
          <w:bCs/>
          <w:i w:val="0"/>
          <w:iCs w:val="0"/>
          <w:color w:val="auto"/>
          <w:kern w:val="0"/>
          <w:sz w:val="30"/>
          <w:szCs w:val="30"/>
          <w:highlight w:val="none"/>
          <w:u w:val="none"/>
          <w:lang w:val="en-US" w:eastAsia="zh-CN" w:bidi="ar"/>
        </w:rPr>
      </w:pPr>
      <w:bookmarkStart w:id="12" w:name="_Toc18942"/>
      <w:r>
        <w:rPr>
          <w:rFonts w:hint="eastAsia" w:ascii="宋体" w:hAnsi="宋体" w:eastAsia="宋体" w:cs="宋体"/>
          <w:b/>
          <w:bCs/>
          <w:i w:val="0"/>
          <w:iCs w:val="0"/>
          <w:color w:val="auto"/>
          <w:kern w:val="0"/>
          <w:sz w:val="30"/>
          <w:szCs w:val="30"/>
          <w:highlight w:val="none"/>
          <w:u w:val="none"/>
          <w:lang w:val="en-US" w:eastAsia="zh-CN" w:bidi="ar"/>
        </w:rPr>
        <w:t>二．商务要求</w:t>
      </w:r>
      <w:bookmarkEnd w:id="12"/>
    </w:p>
    <w:p>
      <w:pPr>
        <w:pStyle w:val="51"/>
        <w:spacing w:line="360" w:lineRule="auto"/>
        <w:rPr>
          <w:color w:val="auto"/>
          <w:highlight w:val="none"/>
        </w:rPr>
      </w:pPr>
    </w:p>
    <w:p>
      <w:pPr>
        <w:widowControl/>
        <w:snapToGrid w:val="0"/>
        <w:spacing w:line="480" w:lineRule="exact"/>
        <w:rPr>
          <w:rFonts w:hint="eastAsia" w:ascii="仿宋" w:eastAsia="仿宋"/>
          <w:b/>
          <w:bCs/>
          <w:color w:val="auto"/>
          <w:kern w:val="0"/>
          <w:sz w:val="24"/>
          <w:highlight w:val="none"/>
          <w:lang w:eastAsia="zh-CN"/>
        </w:rPr>
      </w:pPr>
      <w:r>
        <w:rPr>
          <w:rFonts w:hint="eastAsia" w:ascii="仿宋" w:eastAsia="仿宋"/>
          <w:b/>
          <w:bCs/>
          <w:color w:val="auto"/>
          <w:kern w:val="0"/>
          <w:sz w:val="24"/>
          <w:highlight w:val="none"/>
        </w:rPr>
        <w:t>2.1供货</w:t>
      </w:r>
      <w:r>
        <w:rPr>
          <w:rFonts w:hint="eastAsia" w:ascii="仿宋" w:eastAsia="仿宋"/>
          <w:b/>
          <w:bCs/>
          <w:color w:val="auto"/>
          <w:kern w:val="0"/>
          <w:sz w:val="24"/>
          <w:highlight w:val="none"/>
          <w:lang w:eastAsia="zh-CN"/>
        </w:rPr>
        <w:t>期</w:t>
      </w:r>
    </w:p>
    <w:p>
      <w:pPr>
        <w:widowControl/>
        <w:snapToGrid w:val="0"/>
        <w:spacing w:line="48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合同签订后</w:t>
      </w:r>
      <w:r>
        <w:rPr>
          <w:rFonts w:hint="eastAsia" w:ascii="仿宋" w:eastAsia="仿宋"/>
          <w:color w:val="auto"/>
          <w:kern w:val="0"/>
          <w:sz w:val="24"/>
          <w:highlight w:val="none"/>
          <w:lang w:val="en-US" w:eastAsia="zh-CN"/>
        </w:rPr>
        <w:t>90</w:t>
      </w:r>
      <w:r>
        <w:rPr>
          <w:rFonts w:hint="eastAsia" w:ascii="仿宋" w:eastAsia="仿宋"/>
          <w:color w:val="auto"/>
          <w:kern w:val="0"/>
          <w:sz w:val="24"/>
          <w:highlight w:val="none"/>
        </w:rPr>
        <w:t>日历天内完成安装、调试、验收。</w:t>
      </w:r>
    </w:p>
    <w:p>
      <w:pPr>
        <w:widowControl/>
        <w:snapToGrid w:val="0"/>
        <w:spacing w:line="480" w:lineRule="exact"/>
        <w:ind w:firstLine="0"/>
        <w:rPr>
          <w:rFonts w:ascii="仿宋" w:eastAsia="仿宋"/>
          <w:b/>
          <w:bCs/>
          <w:color w:val="auto"/>
          <w:kern w:val="0"/>
          <w:sz w:val="24"/>
          <w:highlight w:val="none"/>
        </w:rPr>
      </w:pPr>
      <w:r>
        <w:rPr>
          <w:rFonts w:ascii="仿宋" w:eastAsia="仿宋"/>
          <w:b/>
          <w:bCs/>
          <w:color w:val="auto"/>
          <w:kern w:val="0"/>
          <w:sz w:val="24"/>
          <w:highlight w:val="none"/>
        </w:rPr>
        <w:t>2.2安装调试：</w:t>
      </w:r>
    </w:p>
    <w:p>
      <w:pPr>
        <w:widowControl/>
        <w:snapToGrid w:val="0"/>
        <w:spacing w:line="48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中标人负责设备的安装、调试</w:t>
      </w:r>
      <w:r>
        <w:rPr>
          <w:rFonts w:ascii="仿宋_GB2312" w:eastAsia="仿宋_GB2312"/>
          <w:color w:val="auto"/>
          <w:sz w:val="24"/>
          <w:highlight w:val="none"/>
        </w:rPr>
        <w:t>，费用由中标人承担，请考虑到本次投标报价中。</w:t>
      </w:r>
    </w:p>
    <w:p>
      <w:pPr>
        <w:widowControl/>
        <w:snapToGrid w:val="0"/>
        <w:spacing w:line="480" w:lineRule="exact"/>
        <w:ind w:left="0"/>
        <w:rPr>
          <w:rFonts w:ascii="仿宋_GB2312" w:eastAsia="仿宋_GB2312"/>
          <w:b/>
          <w:bCs/>
          <w:color w:val="auto"/>
          <w:sz w:val="24"/>
          <w:highlight w:val="none"/>
        </w:rPr>
      </w:pPr>
      <w:r>
        <w:rPr>
          <w:rFonts w:ascii="仿宋_GB2312" w:eastAsia="仿宋_GB2312"/>
          <w:b/>
          <w:bCs/>
          <w:color w:val="auto"/>
          <w:sz w:val="24"/>
          <w:highlight w:val="none"/>
        </w:rPr>
        <w:t>2.3质保期</w:t>
      </w:r>
    </w:p>
    <w:p>
      <w:pPr>
        <w:spacing w:line="400" w:lineRule="exact"/>
        <w:ind w:firstLine="480" w:firstLineChars="200"/>
        <w:rPr>
          <w:color w:val="auto"/>
          <w:highlight w:val="none"/>
        </w:rPr>
      </w:pPr>
      <w:r>
        <w:rPr>
          <w:rFonts w:hint="eastAsia" w:ascii="仿宋" w:hAnsi="仿宋" w:eastAsia="仿宋" w:cs="仿宋"/>
          <w:color w:val="auto"/>
          <w:kern w:val="0"/>
          <w:sz w:val="24"/>
          <w:highlight w:val="none"/>
          <w:lang w:val="en-US" w:eastAsia="zh-CN"/>
        </w:rPr>
        <w:t>2.3.1</w:t>
      </w:r>
      <w:r>
        <w:rPr>
          <w:rFonts w:hint="eastAsia" w:ascii="仿宋" w:hAnsi="仿宋" w:eastAsia="仿宋" w:cs="仿宋"/>
          <w:color w:val="auto"/>
          <w:kern w:val="0"/>
          <w:sz w:val="24"/>
          <w:highlight w:val="none"/>
        </w:rPr>
        <w:t>供应商须提供经调试、试运行、验收合格后至少</w:t>
      </w:r>
      <w:r>
        <w:rPr>
          <w:rFonts w:hint="eastAsia" w:ascii="仿宋" w:hAnsi="仿宋" w:eastAsia="仿宋" w:cs="仿宋"/>
          <w:b/>
          <w:bCs/>
          <w:color w:val="auto"/>
          <w:kern w:val="0"/>
          <w:sz w:val="24"/>
          <w:highlight w:val="none"/>
        </w:rPr>
        <w:t>三年</w:t>
      </w:r>
      <w:r>
        <w:rPr>
          <w:rFonts w:hint="eastAsia" w:ascii="仿宋" w:hAnsi="仿宋" w:eastAsia="仿宋" w:cs="仿宋"/>
          <w:color w:val="auto"/>
          <w:kern w:val="0"/>
          <w:sz w:val="24"/>
          <w:highlight w:val="none"/>
        </w:rPr>
        <w:t>的质保期(供应商可根据自身实力作出更长时间的质保承诺)。在此期间，供应商应免费处理因质量发生的故障，并进行正常保养。</w:t>
      </w:r>
    </w:p>
    <w:p>
      <w:pPr>
        <w:widowControl/>
        <w:snapToGrid w:val="0"/>
        <w:spacing w:line="480" w:lineRule="exact"/>
        <w:ind w:left="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2.3.2</w:t>
      </w:r>
      <w:r>
        <w:rPr>
          <w:rFonts w:hint="eastAsia" w:ascii="仿宋" w:hAnsi="仿宋" w:eastAsia="仿宋" w:cs="仿宋"/>
          <w:color w:val="auto"/>
          <w:kern w:val="0"/>
          <w:sz w:val="24"/>
          <w:highlight w:val="none"/>
        </w:rPr>
        <w:t>中标单位必须有可靠的售后服务保障包括但不限于在</w:t>
      </w:r>
      <w:r>
        <w:rPr>
          <w:rFonts w:hint="eastAsia" w:ascii="仿宋" w:hAnsi="仿宋" w:eastAsia="仿宋" w:cs="仿宋"/>
          <w:b/>
          <w:color w:val="auto"/>
          <w:kern w:val="0"/>
          <w:sz w:val="24"/>
          <w:highlight w:val="none"/>
          <w:u w:val="single"/>
        </w:rPr>
        <w:t>绍兴附近</w:t>
      </w:r>
      <w:r>
        <w:rPr>
          <w:rFonts w:hint="eastAsia" w:ascii="仿宋" w:hAnsi="仿宋" w:eastAsia="仿宋" w:cs="仿宋"/>
          <w:color w:val="auto"/>
          <w:kern w:val="0"/>
          <w:sz w:val="24"/>
          <w:highlight w:val="none"/>
        </w:rPr>
        <w:t>有固定的维修服务点，能提供正常的技术、备品备件服务。中标单位在接到采购人通知后，6小时内派人赴现场处理设备质量问题。24小时内不能修复的，则无偿提供备机或备用零件供采购人使用。</w:t>
      </w:r>
    </w:p>
    <w:p>
      <w:pPr>
        <w:widowControl/>
        <w:snapToGrid w:val="0"/>
        <w:spacing w:line="480" w:lineRule="exact"/>
        <w:ind w:left="0"/>
        <w:rPr>
          <w:rFonts w:ascii="仿宋_GB2312" w:eastAsia="仿宋_GB2312"/>
          <w:b/>
          <w:bCs/>
          <w:color w:val="auto"/>
          <w:sz w:val="24"/>
          <w:highlight w:val="none"/>
        </w:rPr>
      </w:pPr>
      <w:r>
        <w:rPr>
          <w:rFonts w:ascii="仿宋_GB2312" w:eastAsia="仿宋_GB2312"/>
          <w:b/>
          <w:bCs/>
          <w:color w:val="auto"/>
          <w:sz w:val="24"/>
          <w:highlight w:val="none"/>
        </w:rPr>
        <w:t>2.4技术培训</w:t>
      </w:r>
    </w:p>
    <w:p>
      <w:pPr>
        <w:widowControl/>
        <w:snapToGrid w:val="0"/>
        <w:spacing w:line="480" w:lineRule="exact"/>
        <w:ind w:left="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2.4.1</w:t>
      </w:r>
      <w:r>
        <w:rPr>
          <w:rFonts w:hint="eastAsia" w:ascii="仿宋" w:hAnsi="仿宋" w:eastAsia="仿宋" w:cs="仿宋"/>
          <w:color w:val="auto"/>
          <w:kern w:val="0"/>
          <w:sz w:val="24"/>
          <w:highlight w:val="none"/>
        </w:rPr>
        <w:t>中标单位须对采购人的技术人员培训。供应商须在投标文件中提供详细的培训计划，包括培训内容、培训时间、培训费用等。</w:t>
      </w:r>
    </w:p>
    <w:p>
      <w:pPr>
        <w:widowControl/>
        <w:snapToGrid w:val="0"/>
        <w:spacing w:line="480" w:lineRule="exact"/>
        <w:ind w:left="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2.4.2</w:t>
      </w:r>
      <w:r>
        <w:rPr>
          <w:rFonts w:hint="eastAsia" w:ascii="仿宋" w:hAnsi="仿宋" w:eastAsia="仿宋" w:cs="仿宋"/>
          <w:color w:val="auto"/>
          <w:kern w:val="0"/>
          <w:sz w:val="24"/>
          <w:highlight w:val="none"/>
        </w:rPr>
        <w:t>中标单位提供的负责培训的人员应具备同类设备五年以上的经验。</w:t>
      </w:r>
    </w:p>
    <w:p>
      <w:pPr>
        <w:widowControl/>
        <w:snapToGrid w:val="0"/>
        <w:spacing w:line="480" w:lineRule="exact"/>
        <w:ind w:left="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2.4.3</w:t>
      </w:r>
      <w:r>
        <w:rPr>
          <w:rFonts w:hint="eastAsia" w:ascii="仿宋" w:hAnsi="仿宋" w:eastAsia="仿宋" w:cs="仿宋"/>
          <w:color w:val="auto"/>
          <w:kern w:val="0"/>
          <w:sz w:val="24"/>
          <w:highlight w:val="none"/>
        </w:rPr>
        <w:t xml:space="preserve">技术培训费用应包含在投标总价中。    </w:t>
      </w:r>
    </w:p>
    <w:p>
      <w:pPr>
        <w:widowControl/>
        <w:snapToGrid w:val="0"/>
        <w:spacing w:line="480" w:lineRule="exact"/>
        <w:ind w:left="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2.4.4</w:t>
      </w:r>
      <w:r>
        <w:rPr>
          <w:rFonts w:hint="eastAsia" w:ascii="仿宋" w:hAnsi="仿宋" w:eastAsia="仿宋" w:cs="仿宋"/>
          <w:color w:val="auto"/>
          <w:kern w:val="0"/>
          <w:sz w:val="24"/>
          <w:highlight w:val="none"/>
        </w:rPr>
        <w:t>技术培训至少应包括下列内容：</w:t>
      </w:r>
    </w:p>
    <w:p>
      <w:pPr>
        <w:widowControl/>
        <w:snapToGrid w:val="0"/>
        <w:spacing w:line="480" w:lineRule="exact"/>
        <w:ind w:left="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2.4.4.1</w:t>
      </w:r>
      <w:r>
        <w:rPr>
          <w:rFonts w:hint="eastAsia" w:ascii="仿宋" w:hAnsi="仿宋" w:eastAsia="仿宋" w:cs="仿宋"/>
          <w:color w:val="auto"/>
          <w:kern w:val="0"/>
          <w:sz w:val="24"/>
          <w:highlight w:val="none"/>
        </w:rPr>
        <w:t>原理、构成和功能的描述。</w:t>
      </w:r>
    </w:p>
    <w:p>
      <w:pPr>
        <w:widowControl/>
        <w:snapToGrid w:val="0"/>
        <w:spacing w:line="480" w:lineRule="exact"/>
        <w:ind w:left="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2.4.4.2</w:t>
      </w:r>
      <w:r>
        <w:rPr>
          <w:rFonts w:hint="eastAsia" w:ascii="仿宋" w:hAnsi="仿宋" w:eastAsia="仿宋" w:cs="仿宋"/>
          <w:color w:val="auto"/>
          <w:kern w:val="0"/>
          <w:sz w:val="24"/>
          <w:highlight w:val="none"/>
        </w:rPr>
        <w:t>常见故障的处理或排除。</w:t>
      </w:r>
    </w:p>
    <w:p>
      <w:pPr>
        <w:widowControl/>
        <w:snapToGrid w:val="0"/>
        <w:spacing w:line="480" w:lineRule="exact"/>
        <w:ind w:left="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2.4.4.3</w:t>
      </w:r>
      <w:r>
        <w:rPr>
          <w:rFonts w:hint="eastAsia" w:ascii="仿宋" w:hAnsi="仿宋" w:eastAsia="仿宋" w:cs="仿宋"/>
          <w:color w:val="auto"/>
          <w:kern w:val="0"/>
          <w:sz w:val="24"/>
          <w:highlight w:val="none"/>
        </w:rPr>
        <w:t>各系统部件（设备）的检查、调整和维护。</w:t>
      </w:r>
    </w:p>
    <w:p>
      <w:pPr>
        <w:widowControl/>
        <w:snapToGrid w:val="0"/>
        <w:spacing w:line="480" w:lineRule="exact"/>
        <w:ind w:left="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2.4.4.4</w:t>
      </w:r>
      <w:r>
        <w:rPr>
          <w:rFonts w:hint="eastAsia" w:ascii="仿宋" w:hAnsi="仿宋" w:eastAsia="仿宋" w:cs="仿宋"/>
          <w:color w:val="auto"/>
          <w:kern w:val="0"/>
          <w:sz w:val="24"/>
          <w:highlight w:val="none"/>
        </w:rPr>
        <w:t>对使用者关于设备基本操作技能的培训。</w:t>
      </w:r>
    </w:p>
    <w:p>
      <w:pPr>
        <w:widowControl/>
        <w:snapToGrid w:val="0"/>
        <w:spacing w:line="480" w:lineRule="exact"/>
        <w:rPr>
          <w:rFonts w:ascii="仿宋_GB2312" w:eastAsia="仿宋_GB2312"/>
          <w:b/>
          <w:bCs/>
          <w:color w:val="auto"/>
          <w:sz w:val="24"/>
          <w:highlight w:val="none"/>
        </w:rPr>
      </w:pPr>
      <w:r>
        <w:rPr>
          <w:rFonts w:ascii="仿宋_GB2312" w:eastAsia="仿宋_GB2312"/>
          <w:b/>
          <w:bCs/>
          <w:color w:val="auto"/>
          <w:sz w:val="24"/>
          <w:highlight w:val="none"/>
        </w:rPr>
        <w:t>2.5售后服务</w:t>
      </w:r>
    </w:p>
    <w:p>
      <w:pPr>
        <w:widowControl/>
        <w:snapToGrid w:val="0"/>
        <w:spacing w:line="480" w:lineRule="exact"/>
        <w:ind w:left="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标单位必须有可靠的售后服务保障包括但不限于在绍兴附近有固定的维修服务点，能提供正常的技术、备品备件服务。中标单位在接到采购人通知后，6小时内派人赴现场处理设备质量问题。24小时内不能修复的，则无偿提供备机或备用零件供采购人使用。</w:t>
      </w:r>
    </w:p>
    <w:p>
      <w:pPr>
        <w:widowControl/>
        <w:snapToGrid w:val="0"/>
        <w:spacing w:line="480" w:lineRule="exact"/>
        <w:ind w:left="0"/>
        <w:rPr>
          <w:rFonts w:hint="eastAsia" w:ascii="仿宋" w:eastAsia="仿宋"/>
          <w:b/>
          <w:bCs/>
          <w:color w:val="auto"/>
          <w:sz w:val="24"/>
          <w:highlight w:val="none"/>
        </w:rPr>
      </w:pPr>
      <w:r>
        <w:rPr>
          <w:rFonts w:hint="eastAsia" w:ascii="仿宋" w:eastAsia="仿宋"/>
          <w:b/>
          <w:bCs/>
          <w:color w:val="auto"/>
          <w:sz w:val="24"/>
          <w:highlight w:val="none"/>
        </w:rPr>
        <w:t>2.</w:t>
      </w:r>
      <w:r>
        <w:rPr>
          <w:rFonts w:ascii="仿宋" w:eastAsia="仿宋"/>
          <w:b/>
          <w:bCs/>
          <w:color w:val="auto"/>
          <w:sz w:val="24"/>
          <w:highlight w:val="none"/>
        </w:rPr>
        <w:t>6</w:t>
      </w:r>
      <w:r>
        <w:rPr>
          <w:rFonts w:hint="eastAsia" w:ascii="仿宋" w:eastAsia="仿宋"/>
          <w:b/>
          <w:bCs/>
          <w:color w:val="auto"/>
          <w:sz w:val="24"/>
          <w:highlight w:val="none"/>
        </w:rPr>
        <w:t>付款方式</w:t>
      </w:r>
    </w:p>
    <w:p>
      <w:pPr>
        <w:widowControl/>
        <w:snapToGrid w:val="0"/>
        <w:spacing w:line="48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2.4.1本项目不支付预付款。</w:t>
      </w:r>
    </w:p>
    <w:p>
      <w:pPr>
        <w:widowControl/>
        <w:snapToGrid w:val="0"/>
        <w:spacing w:line="48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2.4.2按月进度支付。承包人于每月20日前向采购人上报产值报表，支付比例为业主审核值的</w:t>
      </w:r>
      <w:r>
        <w:rPr>
          <w:rFonts w:hint="eastAsia" w:ascii="仿宋" w:eastAsia="仿宋"/>
          <w:color w:val="auto"/>
          <w:kern w:val="0"/>
          <w:sz w:val="24"/>
          <w:highlight w:val="none"/>
          <w:lang w:val="en-US" w:eastAsia="zh-CN"/>
        </w:rPr>
        <w:t>7</w:t>
      </w:r>
      <w:r>
        <w:rPr>
          <w:rFonts w:hint="eastAsia" w:ascii="仿宋" w:eastAsia="仿宋"/>
          <w:color w:val="auto"/>
          <w:kern w:val="0"/>
          <w:sz w:val="24"/>
          <w:highlight w:val="none"/>
        </w:rPr>
        <w:t>0％</w:t>
      </w:r>
      <w:r>
        <w:rPr>
          <w:rFonts w:hint="eastAsia" w:ascii="仿宋" w:eastAsia="仿宋"/>
          <w:color w:val="auto"/>
          <w:kern w:val="0"/>
          <w:sz w:val="24"/>
          <w:highlight w:val="none"/>
          <w:lang w:eastAsia="zh-CN"/>
        </w:rPr>
        <w:t>；</w:t>
      </w:r>
      <w:r>
        <w:rPr>
          <w:rFonts w:hint="eastAsia" w:ascii="仿宋" w:hAnsi="仿宋" w:eastAsia="仿宋" w:cs="仿宋"/>
          <w:kern w:val="0"/>
          <w:sz w:val="24"/>
          <w:highlight w:val="none"/>
        </w:rPr>
        <w:t>安装调试完毕、通过第三方100%检测、验收合格后，采购人付至合同价的90%;</w:t>
      </w:r>
      <w:r>
        <w:rPr>
          <w:rFonts w:hint="eastAsia" w:ascii="仿宋" w:eastAsia="仿宋"/>
          <w:color w:val="auto"/>
          <w:kern w:val="0"/>
          <w:sz w:val="24"/>
          <w:highlight w:val="none"/>
          <w:u w:val="none"/>
        </w:rPr>
        <w:t>同履行完毕且经采购人认可的第三方专业检测机构对家具现场破坏性检测，出具合格报告后退还（不计利息），采购人验收不合格的，不予退还履约保证金</w:t>
      </w:r>
      <w:r>
        <w:rPr>
          <w:rFonts w:hint="eastAsia" w:ascii="仿宋" w:eastAsia="仿宋"/>
          <w:color w:val="auto"/>
          <w:kern w:val="0"/>
          <w:sz w:val="24"/>
          <w:highlight w:val="none"/>
        </w:rPr>
        <w:t>。</w:t>
      </w:r>
    </w:p>
    <w:p>
      <w:pPr>
        <w:widowControl/>
        <w:snapToGrid w:val="0"/>
        <w:spacing w:line="48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2.4.3</w:t>
      </w:r>
      <w:r>
        <w:rPr>
          <w:rFonts w:hint="eastAsia" w:ascii="仿宋" w:hAnsi="仿宋" w:eastAsia="仿宋" w:cs="仿宋"/>
          <w:kern w:val="0"/>
          <w:sz w:val="24"/>
          <w:highlight w:val="none"/>
        </w:rPr>
        <w:t>档案资料归档及项目移交后付至合同价的100%</w:t>
      </w:r>
      <w:r>
        <w:rPr>
          <w:rFonts w:hint="eastAsia" w:ascii="仿宋" w:eastAsia="仿宋"/>
          <w:color w:val="auto"/>
          <w:kern w:val="0"/>
          <w:sz w:val="24"/>
          <w:highlight w:val="none"/>
        </w:rPr>
        <w:t>。</w:t>
      </w:r>
    </w:p>
    <w:p>
      <w:pPr>
        <w:widowControl/>
        <w:snapToGrid w:val="0"/>
        <w:spacing w:line="48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2.4.4</w:t>
      </w:r>
      <w:r>
        <w:rPr>
          <w:rFonts w:hint="eastAsia" w:ascii="仿宋" w:hAnsi="仿宋" w:eastAsia="仿宋" w:cs="仿宋"/>
          <w:kern w:val="0"/>
          <w:sz w:val="24"/>
          <w:highlight w:val="none"/>
        </w:rPr>
        <w:t>上述货款支付时中标人应开具增值税发票,否则采购人相应顺延支付货款</w:t>
      </w:r>
      <w:r>
        <w:rPr>
          <w:rFonts w:hint="eastAsia" w:ascii="仿宋" w:eastAsia="仿宋"/>
          <w:color w:val="auto"/>
          <w:kern w:val="0"/>
          <w:sz w:val="24"/>
          <w:highlight w:val="none"/>
        </w:rPr>
        <w:t>。</w:t>
      </w:r>
    </w:p>
    <w:p>
      <w:pPr>
        <w:widowControl/>
        <w:snapToGrid w:val="0"/>
        <w:spacing w:line="480" w:lineRule="exact"/>
        <w:ind w:left="0"/>
        <w:rPr>
          <w:rFonts w:ascii="仿宋_GB2312" w:eastAsia="仿宋_GB2312"/>
          <w:b/>
          <w:bCs/>
          <w:color w:val="auto"/>
          <w:kern w:val="0"/>
          <w:sz w:val="24"/>
          <w:highlight w:val="none"/>
          <w:u w:val="none"/>
        </w:rPr>
      </w:pPr>
      <w:r>
        <w:rPr>
          <w:rFonts w:ascii="仿宋_GB2312" w:eastAsia="仿宋_GB2312"/>
          <w:b/>
          <w:bCs/>
          <w:color w:val="auto"/>
          <w:sz w:val="24"/>
          <w:highlight w:val="none"/>
        </w:rPr>
        <w:t>2.7</w:t>
      </w:r>
      <w:r>
        <w:rPr>
          <w:rFonts w:ascii="仿宋_GB2312" w:eastAsia="仿宋_GB2312"/>
          <w:b/>
          <w:bCs/>
          <w:color w:val="auto"/>
          <w:kern w:val="0"/>
          <w:sz w:val="24"/>
          <w:highlight w:val="none"/>
          <w:u w:val="none"/>
        </w:rPr>
        <w:t>验收</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2.7.1</w:t>
      </w:r>
      <w:r>
        <w:rPr>
          <w:rFonts w:hint="eastAsia" w:ascii="仿宋" w:eastAsia="仿宋"/>
          <w:color w:val="auto"/>
          <w:kern w:val="0"/>
          <w:sz w:val="24"/>
          <w:highlight w:val="none"/>
        </w:rPr>
        <w:t>中标单位应派经采购人认可的有经验和能力、具有相应资质的技术人员，负责系统设备安装工作，在设备安装期间应充分了解设备安装进度要求，解决安装中出现的技术问题。</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2.7.2</w:t>
      </w:r>
      <w:r>
        <w:rPr>
          <w:rFonts w:hint="eastAsia" w:ascii="仿宋" w:eastAsia="仿宋"/>
          <w:color w:val="auto"/>
          <w:kern w:val="0"/>
          <w:sz w:val="24"/>
          <w:highlight w:val="none"/>
        </w:rPr>
        <w:t>中标单位负责设备的安装、调试，并负责调试至验收合格。</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2.7.3</w:t>
      </w:r>
      <w:r>
        <w:rPr>
          <w:rFonts w:hint="eastAsia" w:ascii="仿宋" w:eastAsia="仿宋"/>
          <w:color w:val="auto"/>
          <w:kern w:val="0"/>
          <w:sz w:val="24"/>
          <w:highlight w:val="none"/>
        </w:rPr>
        <w:t>调试所需专用工具设施物料由中标单位自备、自费运到现场，完工后自费搬走。</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2.7.4</w:t>
      </w:r>
      <w:r>
        <w:rPr>
          <w:rFonts w:hint="eastAsia" w:ascii="仿宋" w:eastAsia="仿宋"/>
          <w:color w:val="auto"/>
          <w:kern w:val="0"/>
          <w:sz w:val="24"/>
          <w:highlight w:val="none"/>
        </w:rPr>
        <w:t>安装完成后，进行调试、</w:t>
      </w:r>
      <w:r>
        <w:rPr>
          <w:rFonts w:hint="eastAsia" w:ascii="仿宋" w:eastAsia="仿宋"/>
          <w:color w:val="auto"/>
          <w:kern w:val="0"/>
          <w:sz w:val="24"/>
          <w:highlight w:val="none"/>
          <w:lang w:eastAsia="zh-CN"/>
        </w:rPr>
        <w:t>委托业主认可的</w:t>
      </w:r>
      <w:r>
        <w:rPr>
          <w:rFonts w:hint="eastAsia" w:ascii="仿宋" w:eastAsia="仿宋"/>
          <w:color w:val="auto"/>
          <w:kern w:val="0"/>
          <w:sz w:val="24"/>
          <w:highlight w:val="none"/>
        </w:rPr>
        <w:t>第三方</w:t>
      </w:r>
      <w:r>
        <w:rPr>
          <w:rFonts w:hint="eastAsia" w:ascii="仿宋" w:eastAsia="仿宋"/>
          <w:color w:val="auto"/>
          <w:kern w:val="0"/>
          <w:sz w:val="24"/>
          <w:highlight w:val="none"/>
          <w:lang w:eastAsia="zh-CN"/>
        </w:rPr>
        <w:t>检测机构进行检测</w:t>
      </w:r>
      <w:r>
        <w:rPr>
          <w:rFonts w:hint="eastAsia" w:ascii="仿宋" w:eastAsia="仿宋"/>
          <w:color w:val="auto"/>
          <w:kern w:val="0"/>
          <w:sz w:val="24"/>
          <w:highlight w:val="none"/>
        </w:rPr>
        <w:t>，验收按国家有关规范标准（国家无验收规范标准的按双方合同规定的要求）</w:t>
      </w:r>
      <w:r>
        <w:rPr>
          <w:rFonts w:hint="eastAsia" w:ascii="仿宋" w:eastAsia="仿宋"/>
          <w:color w:val="auto"/>
          <w:kern w:val="0"/>
          <w:sz w:val="24"/>
          <w:highlight w:val="none"/>
          <w:lang w:eastAsia="zh-CN"/>
        </w:rPr>
        <w:t>进行验收。验收时由中标单位提供核心产品的检测报告及有害物质证书</w:t>
      </w:r>
      <w:r>
        <w:rPr>
          <w:rFonts w:hint="eastAsia" w:ascii="仿宋" w:eastAsia="仿宋"/>
          <w:color w:val="auto"/>
          <w:kern w:val="0"/>
          <w:sz w:val="24"/>
          <w:highlight w:val="none"/>
        </w:rPr>
        <w:t>。</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2.7.5</w:t>
      </w:r>
      <w:r>
        <w:rPr>
          <w:rFonts w:hint="eastAsia" w:ascii="仿宋" w:eastAsia="仿宋"/>
          <w:color w:val="auto"/>
          <w:kern w:val="0"/>
          <w:sz w:val="24"/>
          <w:highlight w:val="none"/>
        </w:rPr>
        <w:t>设备的拆箱、通电、调试等各项工作由中标单位负责，但必须在采购人指定人员的参与下进行。在实际实施前必须先经采购人同意方可进行。调试的原始记录须经各方签字后作为验收的文件之一。</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2.7.6</w:t>
      </w:r>
      <w:r>
        <w:rPr>
          <w:rFonts w:hint="eastAsia" w:ascii="仿宋" w:eastAsia="仿宋"/>
          <w:color w:val="auto"/>
          <w:kern w:val="0"/>
          <w:sz w:val="24"/>
          <w:highlight w:val="none"/>
        </w:rPr>
        <w:t>所有的招标设备应按照国家有关技术标准在制造厂检查和试验合格，以表明其运行性能、安全性能以及设备材料和结构在电气、机械上的完整性。</w:t>
      </w:r>
    </w:p>
    <w:p>
      <w:pPr>
        <w:widowControl/>
        <w:snapToGrid w:val="0"/>
        <w:spacing w:line="480" w:lineRule="exact"/>
        <w:ind w:left="0"/>
        <w:rPr>
          <w:rFonts w:hint="eastAsia" w:ascii="仿宋_GB2312" w:eastAsia="仿宋_GB2312"/>
          <w:b/>
          <w:bCs/>
          <w:color w:val="auto"/>
          <w:kern w:val="0"/>
          <w:sz w:val="24"/>
          <w:highlight w:val="none"/>
          <w:u w:val="none"/>
          <w:lang w:val="en-US" w:eastAsia="zh-CN"/>
        </w:rPr>
      </w:pPr>
      <w:r>
        <w:rPr>
          <w:rFonts w:hint="eastAsia" w:ascii="仿宋_GB2312" w:eastAsia="仿宋_GB2312"/>
          <w:b/>
          <w:bCs/>
          <w:color w:val="auto"/>
          <w:kern w:val="0"/>
          <w:sz w:val="24"/>
          <w:highlight w:val="none"/>
          <w:u w:val="none"/>
          <w:lang w:val="en-US" w:eastAsia="zh-CN"/>
        </w:rPr>
        <w:t>2.8其他：</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2.8.1</w:t>
      </w:r>
      <w:r>
        <w:rPr>
          <w:rFonts w:hint="eastAsia" w:ascii="仿宋" w:eastAsia="仿宋"/>
          <w:color w:val="auto"/>
          <w:kern w:val="0"/>
          <w:sz w:val="24"/>
          <w:highlight w:val="none"/>
        </w:rPr>
        <w:t>.设备（材料）要求</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2.8.1.1</w:t>
      </w:r>
      <w:r>
        <w:rPr>
          <w:rFonts w:hint="eastAsia" w:ascii="仿宋" w:eastAsia="仿宋"/>
          <w:color w:val="auto"/>
          <w:kern w:val="0"/>
          <w:sz w:val="24"/>
          <w:highlight w:val="none"/>
        </w:rPr>
        <w:t>供应商投标提供的设备必须是厂商原装的、全新的，型号、性能及指标符合国家及招标文件提出的有关技术、质量、安全标准。</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2.8.1.2</w:t>
      </w:r>
      <w:r>
        <w:rPr>
          <w:rFonts w:hint="eastAsia" w:ascii="仿宋" w:eastAsia="仿宋"/>
          <w:color w:val="auto"/>
          <w:kern w:val="0"/>
          <w:sz w:val="24"/>
          <w:highlight w:val="none"/>
        </w:rPr>
        <w:t>所有设备在开箱检验时必须完好，无破损，配置与装箱单相符。数量、质量及性能不低于本需求书中提出的要求。</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2.8.1.3</w:t>
      </w:r>
      <w:r>
        <w:rPr>
          <w:rFonts w:hint="eastAsia" w:ascii="仿宋" w:eastAsia="仿宋"/>
          <w:color w:val="auto"/>
          <w:kern w:val="0"/>
          <w:sz w:val="24"/>
          <w:highlight w:val="none"/>
        </w:rPr>
        <w:t>设备外观清洁，标记编号以及盘面显示等字体清晰，明确。铭牌、使用指示、警告指示应以中文或英文及易懂的通用符号来表示；应准确无误地表明设备之型号、规格、制造厂及生产或出厂日期。</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2.8.</w:t>
      </w:r>
      <w:r>
        <w:rPr>
          <w:rFonts w:hint="eastAsia" w:ascii="仿宋" w:eastAsia="仿宋"/>
          <w:color w:val="auto"/>
          <w:kern w:val="0"/>
          <w:sz w:val="24"/>
          <w:highlight w:val="none"/>
        </w:rPr>
        <w:t>1.4对于影响设备正常工作的必要组成部分，无论在技术规范中指出与否，供应商都应提供并在投标文件中明确列出。</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2.8.</w:t>
      </w:r>
      <w:r>
        <w:rPr>
          <w:rFonts w:hint="eastAsia" w:ascii="仿宋" w:eastAsia="仿宋"/>
          <w:color w:val="auto"/>
          <w:kern w:val="0"/>
          <w:sz w:val="24"/>
          <w:highlight w:val="none"/>
        </w:rPr>
        <w:t>1.5所有货物提供出厂合格证等质量证明文件，国外生产的必须有合法的进货渠道证明，如海关报关单、原产地证明、商检证明等。</w:t>
      </w:r>
    </w:p>
    <w:p>
      <w:pPr>
        <w:widowControl/>
        <w:snapToGrid w:val="0"/>
        <w:spacing w:line="480" w:lineRule="exact"/>
        <w:ind w:firstLine="480" w:firstLineChars="200"/>
        <w:rPr>
          <w:rFonts w:hint="eastAsia" w:ascii="仿宋" w:eastAsia="仿宋"/>
          <w:color w:val="auto"/>
          <w:kern w:val="0"/>
          <w:sz w:val="24"/>
          <w:highlight w:val="none"/>
          <w:lang w:eastAsia="zh-CN"/>
        </w:rPr>
      </w:pPr>
      <w:r>
        <w:rPr>
          <w:rFonts w:hint="eastAsia" w:ascii="仿宋" w:eastAsia="仿宋"/>
          <w:color w:val="auto"/>
          <w:kern w:val="0"/>
          <w:sz w:val="24"/>
          <w:highlight w:val="none"/>
          <w:lang w:val="en-US" w:eastAsia="zh-CN"/>
        </w:rPr>
        <w:t>2.8.</w:t>
      </w:r>
      <w:r>
        <w:rPr>
          <w:rFonts w:hint="eastAsia" w:ascii="仿宋" w:eastAsia="仿宋"/>
          <w:color w:val="auto"/>
          <w:kern w:val="0"/>
          <w:sz w:val="24"/>
          <w:highlight w:val="none"/>
        </w:rPr>
        <w:t>1.6所有货物到现场安装使用前，采购单位</w:t>
      </w:r>
      <w:r>
        <w:rPr>
          <w:rFonts w:hint="eastAsia" w:ascii="仿宋" w:eastAsia="仿宋"/>
          <w:color w:val="auto"/>
          <w:kern w:val="0"/>
          <w:sz w:val="24"/>
          <w:highlight w:val="none"/>
          <w:lang w:val="en-US" w:eastAsia="zh-CN"/>
        </w:rPr>
        <w:t>及</w:t>
      </w:r>
      <w:r>
        <w:rPr>
          <w:rFonts w:hint="eastAsia" w:ascii="仿宋" w:eastAsia="仿宋"/>
          <w:color w:val="auto"/>
          <w:kern w:val="0"/>
          <w:sz w:val="24"/>
          <w:highlight w:val="none"/>
        </w:rPr>
        <w:t>使用单位有权组织检测机构或专业人士对产品的生产、安装过程进行监督检查。安装完毕，由</w:t>
      </w:r>
      <w:r>
        <w:rPr>
          <w:rFonts w:hint="eastAsia" w:ascii="仿宋" w:eastAsia="仿宋"/>
          <w:color w:val="auto"/>
          <w:kern w:val="0"/>
          <w:sz w:val="24"/>
          <w:highlight w:val="none"/>
          <w:lang w:val="en-US" w:eastAsia="zh-CN"/>
        </w:rPr>
        <w:t>采购人、</w:t>
      </w:r>
      <w:r>
        <w:rPr>
          <w:rFonts w:hint="eastAsia" w:ascii="仿宋" w:eastAsia="仿宋"/>
          <w:color w:val="auto"/>
          <w:kern w:val="0"/>
          <w:sz w:val="24"/>
          <w:highlight w:val="none"/>
        </w:rPr>
        <w:t>使用单位</w:t>
      </w:r>
      <w:r>
        <w:rPr>
          <w:rFonts w:hint="eastAsia" w:ascii="仿宋" w:eastAsia="仿宋"/>
          <w:color w:val="auto"/>
          <w:kern w:val="0"/>
          <w:sz w:val="24"/>
          <w:highlight w:val="none"/>
          <w:lang w:val="en-US" w:eastAsia="zh-CN"/>
        </w:rPr>
        <w:t>或经采购人及使用单位认可的第三方检测机构或</w:t>
      </w:r>
      <w:r>
        <w:rPr>
          <w:rFonts w:hint="eastAsia" w:ascii="仿宋" w:eastAsia="仿宋"/>
          <w:color w:val="auto"/>
          <w:kern w:val="0"/>
          <w:sz w:val="24"/>
          <w:highlight w:val="none"/>
        </w:rPr>
        <w:t>专业人士对货物进行综合验收。如验收不合格，则作整改处理至使用单位满意为止。</w:t>
      </w:r>
      <w:r>
        <w:rPr>
          <w:rFonts w:hint="eastAsia" w:ascii="仿宋" w:hAnsi="仿宋" w:eastAsia="仿宋" w:cs="仿宋"/>
          <w:color w:val="auto"/>
          <w:kern w:val="0"/>
          <w:sz w:val="24"/>
          <w:highlight w:val="none"/>
        </w:rPr>
        <w:t>整改完毕且复验合格后将本项目货物交给采购人使用，完成日期以通过复验日期为准</w:t>
      </w:r>
      <w:r>
        <w:rPr>
          <w:rFonts w:hint="eastAsia" w:ascii="仿宋" w:hAnsi="仿宋" w:eastAsia="仿宋" w:cs="仿宋"/>
          <w:color w:val="auto"/>
          <w:kern w:val="0"/>
          <w:sz w:val="24"/>
          <w:highlight w:val="none"/>
          <w:lang w:eastAsia="zh-CN"/>
        </w:rPr>
        <w:t>。</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2.8.2</w:t>
      </w:r>
      <w:r>
        <w:rPr>
          <w:rFonts w:hint="eastAsia" w:ascii="仿宋" w:eastAsia="仿宋"/>
          <w:color w:val="auto"/>
          <w:kern w:val="0"/>
          <w:sz w:val="24"/>
          <w:highlight w:val="none"/>
        </w:rPr>
        <w:t>项目实施人员费用</w:t>
      </w:r>
      <w:r>
        <w:rPr>
          <w:rFonts w:hint="eastAsia" w:ascii="仿宋" w:eastAsia="仿宋"/>
          <w:color w:val="auto"/>
          <w:kern w:val="0"/>
          <w:sz w:val="24"/>
          <w:highlight w:val="none"/>
          <w:lang w:val="en-US" w:eastAsia="zh-CN"/>
        </w:rPr>
        <w:t xml:space="preserve"> </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2.8.2.1</w:t>
      </w:r>
      <w:r>
        <w:rPr>
          <w:rFonts w:hint="eastAsia" w:ascii="仿宋" w:eastAsia="仿宋"/>
          <w:color w:val="auto"/>
          <w:kern w:val="0"/>
          <w:sz w:val="24"/>
          <w:highlight w:val="none"/>
        </w:rPr>
        <w:t>中标单位应自行承担选派专业人员的住宿、就餐和交通等费用。</w:t>
      </w:r>
    </w:p>
    <w:p>
      <w:pPr>
        <w:widowControl/>
        <w:snapToGrid w:val="0"/>
        <w:spacing w:line="480" w:lineRule="exact"/>
        <w:ind w:firstLine="480" w:firstLineChars="200"/>
        <w:rPr>
          <w:rFonts w:hint="eastAsia"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2.8.2.2</w:t>
      </w:r>
      <w:r>
        <w:rPr>
          <w:rFonts w:hint="eastAsia" w:ascii="仿宋" w:eastAsia="仿宋"/>
          <w:color w:val="auto"/>
          <w:kern w:val="0"/>
          <w:sz w:val="24"/>
          <w:highlight w:val="none"/>
        </w:rPr>
        <w:t>中标单位应当为本合同工程和施工场地内的自有人员、设备及第三方生命财产办理保险并支付保险费用，费用已包含在合同总价内。因中标单位未办理保险所造成采购人、监理人、其他中标人、第三方人员的损失，由中标单位承担赔偿责任</w:t>
      </w:r>
      <w:r>
        <w:rPr>
          <w:rFonts w:hint="eastAsia" w:ascii="仿宋" w:eastAsia="仿宋"/>
          <w:color w:val="auto"/>
          <w:kern w:val="0"/>
          <w:sz w:val="24"/>
          <w:highlight w:val="none"/>
          <w:lang w:eastAsia="zh-CN"/>
        </w:rPr>
        <w:t>。</w:t>
      </w:r>
      <w:r>
        <w:rPr>
          <w:rFonts w:hint="eastAsia" w:ascii="仿宋" w:eastAsia="仿宋"/>
          <w:color w:val="auto"/>
          <w:kern w:val="0"/>
          <w:sz w:val="24"/>
          <w:highlight w:val="none"/>
          <w:lang w:val="en-US" w:eastAsia="zh-CN"/>
        </w:rPr>
        <w:t xml:space="preserve"> </w:t>
      </w:r>
    </w:p>
    <w:p>
      <w:pPr>
        <w:widowControl/>
        <w:snapToGrid w:val="0"/>
        <w:spacing w:line="480" w:lineRule="exact"/>
        <w:ind w:firstLine="480" w:firstLineChars="200"/>
        <w:rPr>
          <w:rFonts w:hint="eastAsia" w:ascii="仿宋" w:eastAsia="仿宋"/>
          <w:color w:val="auto"/>
          <w:kern w:val="0"/>
          <w:sz w:val="24"/>
          <w:highlight w:val="none"/>
          <w:lang w:eastAsia="zh-CN"/>
        </w:rPr>
        <w:sectPr>
          <w:pgSz w:w="11907" w:h="16840"/>
          <w:pgMar w:top="1440" w:right="1236" w:bottom="1440" w:left="1803" w:header="851" w:footer="992" w:gutter="0"/>
          <w:pgBorders>
            <w:top w:val="none" w:sz="0" w:space="0"/>
            <w:left w:val="none" w:sz="0" w:space="0"/>
            <w:bottom w:val="none" w:sz="0" w:space="0"/>
            <w:right w:val="none" w:sz="0" w:space="0"/>
          </w:pgBorders>
          <w:cols w:space="0" w:num="1"/>
          <w:rtlGutter w:val="0"/>
          <w:docGrid w:type="lines" w:linePitch="316" w:charSpace="0"/>
        </w:sectPr>
      </w:pPr>
      <w:r>
        <w:rPr>
          <w:rFonts w:hint="eastAsia" w:ascii="仿宋" w:eastAsia="仿宋"/>
          <w:color w:val="auto"/>
          <w:kern w:val="0"/>
          <w:sz w:val="24"/>
          <w:highlight w:val="none"/>
          <w:lang w:val="en-US" w:eastAsia="zh-CN"/>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
        <w:keepNext/>
        <w:keepLines/>
        <w:pageBreakBefore w:val="0"/>
        <w:widowControl w:val="0"/>
        <w:suppressLineNumbers w:val="0"/>
        <w:suppressAutoHyphens w:val="0"/>
        <w:spacing w:line="578" w:lineRule="auto"/>
        <w:jc w:val="center"/>
        <w:rPr>
          <w:color w:val="auto"/>
          <w:highlight w:val="none"/>
        </w:rPr>
      </w:pPr>
      <w:bookmarkStart w:id="13" w:name="_Toc643610535"/>
      <w:r>
        <w:rPr>
          <w:color w:val="auto"/>
          <w:highlight w:val="none"/>
        </w:rPr>
        <w:t>第四章  拟签订合同的主要条款</w:t>
      </w:r>
      <w:bookmarkEnd w:id="13"/>
    </w:p>
    <w:p>
      <w:pPr>
        <w:widowControl/>
        <w:snapToGrid w:val="0"/>
        <w:spacing w:line="480" w:lineRule="exact"/>
        <w:ind w:left="0"/>
        <w:rPr>
          <w:rFonts w:hint="eastAsia" w:ascii="仿宋" w:eastAsia="仿宋"/>
          <w:b/>
          <w:bCs/>
          <w:color w:val="auto"/>
          <w:kern w:val="0"/>
          <w:sz w:val="24"/>
          <w:highlight w:val="none"/>
          <w:u w:val="single"/>
        </w:rPr>
      </w:pPr>
      <w:r>
        <w:rPr>
          <w:rFonts w:hint="eastAsia" w:ascii="仿宋" w:eastAsia="仿宋"/>
          <w:b/>
          <w:bCs/>
          <w:color w:val="auto"/>
          <w:kern w:val="0"/>
          <w:sz w:val="24"/>
          <w:highlight w:val="none"/>
          <w:u w:val="single"/>
        </w:rPr>
        <w:t>（合同按采购文件及中标供应商投标文件的内容制定，以下仅为部分</w:t>
      </w:r>
      <w:r>
        <w:rPr>
          <w:rFonts w:ascii="仿宋" w:eastAsia="仿宋"/>
          <w:b/>
          <w:bCs/>
          <w:color w:val="auto"/>
          <w:kern w:val="0"/>
          <w:sz w:val="24"/>
          <w:highlight w:val="none"/>
          <w:u w:val="single"/>
        </w:rPr>
        <w:t>参考</w:t>
      </w:r>
      <w:r>
        <w:rPr>
          <w:rFonts w:hint="eastAsia" w:ascii="仿宋" w:eastAsia="仿宋"/>
          <w:b/>
          <w:bCs/>
          <w:color w:val="auto"/>
          <w:kern w:val="0"/>
          <w:sz w:val="24"/>
          <w:highlight w:val="none"/>
          <w:u w:val="single"/>
        </w:rPr>
        <w:t>条款）</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                                     合同编号：</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                                     确认书号：</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甲方（采购人）：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乙方（供应商）： </w:t>
      </w: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甲、乙双方根据</w:t>
      </w:r>
      <w:r>
        <w:rPr>
          <w:rFonts w:hint="eastAsia" w:ascii="仿宋" w:eastAsia="仿宋"/>
          <w:color w:val="auto"/>
          <w:kern w:val="0"/>
          <w:sz w:val="24"/>
          <w:highlight w:val="none"/>
          <w:u w:val="single"/>
        </w:rPr>
        <w:t xml:space="preserve">    （填写采购代理机构名称）   </w:t>
      </w:r>
      <w:r>
        <w:rPr>
          <w:rFonts w:hint="eastAsia" w:ascii="仿宋" w:eastAsia="仿宋"/>
          <w:color w:val="auto"/>
          <w:kern w:val="0"/>
          <w:sz w:val="24"/>
          <w:highlight w:val="none"/>
          <w:u w:val="none"/>
        </w:rPr>
        <w:t xml:space="preserve">关于项目编号为 </w:t>
      </w:r>
      <w:r>
        <w:rPr>
          <w:rFonts w:hint="eastAsia" w:ascii="仿宋" w:eastAsia="仿宋"/>
          <w:color w:val="auto"/>
          <w:kern w:val="0"/>
          <w:sz w:val="24"/>
          <w:highlight w:val="none"/>
          <w:u w:val="single"/>
        </w:rPr>
        <w:t xml:space="preserve">     </w:t>
      </w:r>
      <w:r>
        <w:rPr>
          <w:rFonts w:hint="eastAsia" w:ascii="仿宋" w:eastAsia="仿宋"/>
          <w:color w:val="auto"/>
          <w:kern w:val="0"/>
          <w:sz w:val="24"/>
          <w:highlight w:val="none"/>
          <w:u w:val="none"/>
        </w:rPr>
        <w:t>的（标项及名称）项目的采购交易结果，签署本合同。</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中标单位须在中标通知书发出30日内按招标文件和中标供应商投标文件的约定，凭中标通知书和采购人在约定的时间、地点，由法定代表人或其授权代表与采购人签订书面合同。</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一、项目内容及合同价格</w:t>
      </w:r>
    </w:p>
    <w:p>
      <w:pPr>
        <w:widowControl/>
        <w:snapToGrid w:val="0"/>
        <w:spacing w:line="480" w:lineRule="exact"/>
        <w:ind w:firstLine="480" w:firstLineChars="200"/>
        <w:jc w:val="right"/>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金额单位：元 </w:t>
      </w:r>
    </w:p>
    <w:tbl>
      <w:tblPr>
        <w:tblStyle w:val="28"/>
        <w:tblW w:w="913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3240"/>
        <w:gridCol w:w="1080"/>
        <w:gridCol w:w="1260"/>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40" w:type="dxa"/>
            <w:tcBorders>
              <w:top w:val="single" w:color="auto" w:sz="4" w:space="0"/>
              <w:left w:val="single" w:color="auto" w:sz="4" w:space="0"/>
              <w:bottom w:val="single" w:color="auto" w:sz="4" w:space="0"/>
              <w:right w:val="single" w:color="auto" w:sz="4" w:space="0"/>
            </w:tcBorders>
            <w:vAlign w:val="center"/>
          </w:tcPr>
          <w:p>
            <w:pPr>
              <w:pStyle w:val="20"/>
              <w:snapToGrid w:val="0"/>
              <w:spacing w:before="120" w:after="120" w:line="460" w:lineRule="exact"/>
              <w:jc w:val="center"/>
              <w:rPr>
                <w:rFonts w:hint="eastAsia" w:ascii="仿宋" w:eastAsia="仿宋"/>
                <w:color w:val="auto"/>
                <w:sz w:val="24"/>
                <w:szCs w:val="24"/>
                <w:highlight w:val="none"/>
              </w:rPr>
            </w:pPr>
            <w:r>
              <w:rPr>
                <w:rFonts w:hint="eastAsia" w:ascii="仿宋" w:eastAsia="仿宋"/>
                <w:color w:val="auto"/>
                <w:sz w:val="24"/>
                <w:szCs w:val="24"/>
                <w:highlight w:val="none"/>
              </w:rPr>
              <w:t>项目名称</w:t>
            </w:r>
          </w:p>
        </w:tc>
        <w:tc>
          <w:tcPr>
            <w:tcW w:w="3240" w:type="dxa"/>
            <w:tcBorders>
              <w:top w:val="single" w:color="auto" w:sz="4" w:space="0"/>
              <w:left w:val="single" w:color="auto" w:sz="4" w:space="0"/>
              <w:bottom w:val="single" w:color="auto" w:sz="4" w:space="0"/>
              <w:right w:val="single" w:color="auto" w:sz="4" w:space="0"/>
            </w:tcBorders>
            <w:vAlign w:val="center"/>
          </w:tcPr>
          <w:p>
            <w:pPr>
              <w:pStyle w:val="20"/>
              <w:snapToGrid w:val="0"/>
              <w:spacing w:before="120" w:after="120" w:line="460" w:lineRule="exact"/>
              <w:jc w:val="center"/>
              <w:rPr>
                <w:rFonts w:hint="eastAsia" w:ascii="仿宋" w:eastAsia="仿宋"/>
                <w:color w:val="auto"/>
                <w:sz w:val="24"/>
                <w:szCs w:val="24"/>
                <w:highlight w:val="none"/>
              </w:rPr>
            </w:pPr>
            <w:r>
              <w:rPr>
                <w:rFonts w:hint="eastAsia" w:ascii="仿宋" w:eastAsia="仿宋"/>
                <w:color w:val="auto"/>
                <w:sz w:val="24"/>
                <w:szCs w:val="24"/>
                <w:highlight w:val="none"/>
              </w:rPr>
              <w:t>技术需求</w:t>
            </w:r>
          </w:p>
        </w:tc>
        <w:tc>
          <w:tcPr>
            <w:tcW w:w="1080" w:type="dxa"/>
            <w:tcBorders>
              <w:top w:val="single" w:color="auto" w:sz="4" w:space="0"/>
              <w:left w:val="single" w:color="auto" w:sz="4" w:space="0"/>
              <w:bottom w:val="single" w:color="auto" w:sz="4" w:space="0"/>
              <w:right w:val="single" w:color="auto" w:sz="4" w:space="0"/>
            </w:tcBorders>
            <w:vAlign w:val="center"/>
          </w:tcPr>
          <w:p>
            <w:pPr>
              <w:pStyle w:val="20"/>
              <w:snapToGrid w:val="0"/>
              <w:spacing w:before="120" w:after="120" w:line="460" w:lineRule="exact"/>
              <w:ind w:left="-108"/>
              <w:jc w:val="center"/>
              <w:rPr>
                <w:rFonts w:hint="eastAsia" w:ascii="仿宋" w:eastAsia="仿宋"/>
                <w:color w:val="auto"/>
                <w:sz w:val="24"/>
                <w:szCs w:val="24"/>
                <w:highlight w:val="none"/>
              </w:rPr>
            </w:pPr>
            <w:r>
              <w:rPr>
                <w:rFonts w:hint="eastAsia" w:ascii="仿宋" w:eastAsia="仿宋"/>
                <w:color w:val="auto"/>
                <w:sz w:val="24"/>
                <w:szCs w:val="24"/>
                <w:highlight w:val="none"/>
              </w:rPr>
              <w:t>数量</w:t>
            </w:r>
          </w:p>
        </w:tc>
        <w:tc>
          <w:tcPr>
            <w:tcW w:w="1260" w:type="dxa"/>
            <w:tcBorders>
              <w:top w:val="single" w:color="auto" w:sz="4" w:space="0"/>
              <w:left w:val="single" w:color="auto" w:sz="4" w:space="0"/>
              <w:bottom w:val="single" w:color="auto" w:sz="4" w:space="0"/>
              <w:right w:val="single" w:color="auto" w:sz="4" w:space="0"/>
            </w:tcBorders>
            <w:vAlign w:val="center"/>
          </w:tcPr>
          <w:p>
            <w:pPr>
              <w:pStyle w:val="20"/>
              <w:snapToGrid w:val="0"/>
              <w:spacing w:before="120" w:after="120" w:line="460" w:lineRule="exact"/>
              <w:ind w:left="-108"/>
              <w:jc w:val="center"/>
              <w:rPr>
                <w:rFonts w:hint="eastAsia" w:ascii="仿宋" w:eastAsia="仿宋"/>
                <w:color w:val="auto"/>
                <w:sz w:val="24"/>
                <w:szCs w:val="24"/>
                <w:highlight w:val="none"/>
              </w:rPr>
            </w:pPr>
            <w:r>
              <w:rPr>
                <w:rFonts w:hint="eastAsia" w:ascii="仿宋" w:eastAsia="仿宋"/>
                <w:color w:val="auto"/>
                <w:sz w:val="24"/>
                <w:szCs w:val="24"/>
                <w:highlight w:val="none"/>
              </w:rPr>
              <w:t>单价</w:t>
            </w:r>
          </w:p>
        </w:tc>
        <w:tc>
          <w:tcPr>
            <w:tcW w:w="1212" w:type="dxa"/>
            <w:tcBorders>
              <w:top w:val="single" w:color="auto" w:sz="4" w:space="0"/>
              <w:left w:val="single" w:color="auto" w:sz="4" w:space="0"/>
              <w:bottom w:val="single" w:color="auto" w:sz="4" w:space="0"/>
              <w:right w:val="single" w:color="auto" w:sz="4" w:space="0"/>
            </w:tcBorders>
            <w:vAlign w:val="center"/>
          </w:tcPr>
          <w:p>
            <w:pPr>
              <w:pStyle w:val="20"/>
              <w:snapToGrid w:val="0"/>
              <w:spacing w:before="120" w:after="120" w:line="460" w:lineRule="exact"/>
              <w:jc w:val="center"/>
              <w:rPr>
                <w:rFonts w:hint="eastAsia" w:ascii="仿宋" w:eastAsia="仿宋"/>
                <w:color w:val="auto"/>
                <w:sz w:val="24"/>
                <w:szCs w:val="24"/>
                <w:highlight w:val="none"/>
              </w:rPr>
            </w:pPr>
            <w:r>
              <w:rPr>
                <w:rFonts w:hint="eastAsia" w:ascii="仿宋" w:eastAsia="仿宋"/>
                <w:color w:val="auto"/>
                <w:sz w:val="24"/>
                <w:szCs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2340" w:type="dxa"/>
            <w:tcBorders>
              <w:top w:val="single" w:color="auto" w:sz="4" w:space="0"/>
              <w:left w:val="single" w:color="auto" w:sz="4" w:space="0"/>
              <w:bottom w:val="single" w:color="auto" w:sz="4" w:space="0"/>
              <w:right w:val="single" w:color="auto" w:sz="4" w:space="0"/>
            </w:tcBorders>
          </w:tcPr>
          <w:p>
            <w:pPr>
              <w:spacing w:line="460" w:lineRule="exact"/>
              <w:ind w:firstLine="511" w:firstLineChars="213"/>
              <w:rPr>
                <w:rFonts w:hint="eastAsia" w:ascii="仿宋" w:eastAsia="仿宋"/>
                <w:color w:val="auto"/>
                <w:sz w:val="24"/>
                <w:szCs w:val="24"/>
                <w:highlight w:val="none"/>
              </w:rPr>
            </w:pPr>
          </w:p>
        </w:tc>
        <w:tc>
          <w:tcPr>
            <w:tcW w:w="3240" w:type="dxa"/>
            <w:tcBorders>
              <w:top w:val="single" w:color="auto" w:sz="4" w:space="0"/>
              <w:left w:val="single" w:color="auto" w:sz="4" w:space="0"/>
              <w:bottom w:val="single" w:color="auto" w:sz="4" w:space="0"/>
              <w:right w:val="single" w:color="auto" w:sz="4" w:space="0"/>
            </w:tcBorders>
          </w:tcPr>
          <w:p>
            <w:pPr>
              <w:spacing w:line="460" w:lineRule="exact"/>
              <w:rPr>
                <w:rFonts w:hint="eastAsia" w:ascii="仿宋" w:eastAsia="仿宋"/>
                <w:color w:val="auto"/>
                <w:sz w:val="24"/>
                <w:szCs w:val="24"/>
                <w:highlight w:val="none"/>
              </w:rPr>
            </w:pPr>
            <w:r>
              <w:rPr>
                <w:rFonts w:hint="eastAsia" w:ascii="仿宋" w:eastAsia="仿宋"/>
                <w:color w:val="auto"/>
                <w:sz w:val="24"/>
                <w:szCs w:val="24"/>
                <w:highlight w:val="none"/>
              </w:rPr>
              <w:t>详见项目对应招投标文件</w:t>
            </w:r>
          </w:p>
        </w:tc>
        <w:tc>
          <w:tcPr>
            <w:tcW w:w="1080" w:type="dxa"/>
            <w:tcBorders>
              <w:top w:val="single" w:color="auto" w:sz="4" w:space="0"/>
              <w:left w:val="single" w:color="auto" w:sz="4" w:space="0"/>
              <w:bottom w:val="single" w:color="auto" w:sz="4" w:space="0"/>
              <w:right w:val="single" w:color="auto" w:sz="4" w:space="0"/>
            </w:tcBorders>
          </w:tcPr>
          <w:p>
            <w:pPr>
              <w:spacing w:line="460" w:lineRule="exact"/>
              <w:ind w:firstLine="511" w:firstLineChars="213"/>
              <w:rPr>
                <w:rFonts w:hint="eastAsia" w:ascii="仿宋" w:eastAsia="仿宋"/>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pPr>
              <w:pStyle w:val="36"/>
              <w:spacing w:after="120" w:line="460" w:lineRule="exact"/>
              <w:ind w:firstLine="511" w:firstLineChars="213"/>
              <w:rPr>
                <w:rFonts w:hint="eastAsia" w:ascii="仿宋" w:eastAsia="仿宋"/>
                <w:color w:val="auto"/>
                <w:kern w:val="2"/>
                <w:szCs w:val="24"/>
                <w:highlight w:val="none"/>
              </w:rPr>
            </w:pPr>
          </w:p>
        </w:tc>
        <w:tc>
          <w:tcPr>
            <w:tcW w:w="1212" w:type="dxa"/>
            <w:tcBorders>
              <w:top w:val="single" w:color="auto" w:sz="4" w:space="0"/>
              <w:left w:val="single" w:color="auto" w:sz="4" w:space="0"/>
              <w:bottom w:val="single" w:color="auto" w:sz="4" w:space="0"/>
              <w:right w:val="single" w:color="auto" w:sz="4" w:space="0"/>
            </w:tcBorders>
          </w:tcPr>
          <w:p>
            <w:pPr>
              <w:pStyle w:val="36"/>
              <w:spacing w:after="120" w:line="460" w:lineRule="exact"/>
              <w:ind w:left="570"/>
              <w:rPr>
                <w:rFonts w:hint="eastAsia" w:ascii="仿宋" w:eastAsia="仿宋"/>
                <w:color w:val="auto"/>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5580" w:type="dxa"/>
            <w:gridSpan w:val="2"/>
            <w:tcBorders>
              <w:top w:val="single" w:color="auto" w:sz="4" w:space="0"/>
              <w:left w:val="single" w:color="auto" w:sz="4" w:space="0"/>
              <w:bottom w:val="single" w:color="auto" w:sz="4" w:space="0"/>
              <w:right w:val="single" w:color="auto" w:sz="4" w:space="0"/>
            </w:tcBorders>
          </w:tcPr>
          <w:p>
            <w:pPr>
              <w:pStyle w:val="20"/>
              <w:snapToGrid w:val="0"/>
              <w:spacing w:before="120" w:after="120" w:line="460" w:lineRule="exact"/>
              <w:ind w:firstLine="511" w:firstLineChars="213"/>
              <w:jc w:val="center"/>
              <w:rPr>
                <w:rFonts w:hint="eastAsia" w:ascii="仿宋" w:eastAsia="仿宋"/>
                <w:color w:val="auto"/>
                <w:sz w:val="24"/>
                <w:szCs w:val="24"/>
                <w:highlight w:val="none"/>
              </w:rPr>
            </w:pPr>
            <w:r>
              <w:rPr>
                <w:rFonts w:hint="eastAsia" w:ascii="仿宋" w:eastAsia="仿宋"/>
                <w:color w:val="auto"/>
                <w:sz w:val="24"/>
                <w:szCs w:val="24"/>
                <w:highlight w:val="none"/>
              </w:rPr>
              <w:t>合            计</w:t>
            </w:r>
          </w:p>
        </w:tc>
        <w:tc>
          <w:tcPr>
            <w:tcW w:w="1080" w:type="dxa"/>
            <w:tcBorders>
              <w:top w:val="single" w:color="auto" w:sz="4" w:space="0"/>
              <w:left w:val="single" w:color="auto" w:sz="4" w:space="0"/>
              <w:bottom w:val="single" w:color="auto" w:sz="4" w:space="0"/>
              <w:right w:val="single" w:color="auto" w:sz="4" w:space="0"/>
            </w:tcBorders>
          </w:tcPr>
          <w:p>
            <w:pPr>
              <w:pStyle w:val="20"/>
              <w:snapToGrid w:val="0"/>
              <w:spacing w:before="120" w:after="120" w:line="460" w:lineRule="exact"/>
              <w:ind w:firstLine="511" w:firstLineChars="213"/>
              <w:jc w:val="center"/>
              <w:rPr>
                <w:rFonts w:hint="eastAsia" w:ascii="仿宋" w:eastAsia="仿宋"/>
                <w:color w:val="auto"/>
                <w:sz w:val="24"/>
                <w:szCs w:val="24"/>
                <w:highlight w:val="none"/>
              </w:rPr>
            </w:pPr>
          </w:p>
        </w:tc>
        <w:tc>
          <w:tcPr>
            <w:tcW w:w="2472" w:type="dxa"/>
            <w:gridSpan w:val="2"/>
            <w:tcBorders>
              <w:top w:val="single" w:color="auto" w:sz="4" w:space="0"/>
              <w:left w:val="single" w:color="auto" w:sz="4" w:space="0"/>
              <w:bottom w:val="single" w:color="auto" w:sz="4" w:space="0"/>
              <w:right w:val="single" w:color="auto" w:sz="4" w:space="0"/>
            </w:tcBorders>
          </w:tcPr>
          <w:p>
            <w:pPr>
              <w:pStyle w:val="36"/>
              <w:spacing w:after="120" w:line="460" w:lineRule="exact"/>
              <w:ind w:firstLine="511" w:firstLineChars="213"/>
              <w:rPr>
                <w:rFonts w:hint="eastAsia" w:ascii="仿宋" w:eastAsia="仿宋"/>
                <w:color w:val="auto"/>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9132" w:type="dxa"/>
            <w:gridSpan w:val="5"/>
            <w:tcBorders>
              <w:top w:val="single" w:color="auto" w:sz="4" w:space="0"/>
              <w:left w:val="single" w:color="auto" w:sz="4" w:space="0"/>
              <w:bottom w:val="single" w:color="auto" w:sz="4" w:space="0"/>
              <w:right w:val="single" w:color="auto" w:sz="4" w:space="0"/>
            </w:tcBorders>
          </w:tcPr>
          <w:p>
            <w:pPr>
              <w:pStyle w:val="20"/>
              <w:snapToGrid w:val="0"/>
              <w:spacing w:before="120" w:after="120" w:line="460" w:lineRule="exact"/>
              <w:rPr>
                <w:rFonts w:hint="eastAsia" w:ascii="仿宋" w:eastAsia="仿宋"/>
                <w:color w:val="auto"/>
                <w:sz w:val="24"/>
                <w:szCs w:val="24"/>
                <w:highlight w:val="none"/>
              </w:rPr>
            </w:pPr>
            <w:r>
              <w:rPr>
                <w:rFonts w:hint="eastAsia" w:ascii="仿宋" w:eastAsia="仿宋"/>
                <w:color w:val="auto"/>
                <w:sz w:val="24"/>
                <w:szCs w:val="24"/>
                <w:highlight w:val="none"/>
              </w:rPr>
              <w:t>合同总价大写：                                      小写：￥</w:t>
            </w:r>
            <w:r>
              <w:rPr>
                <w:rFonts w:hint="eastAsia" w:ascii="仿宋" w:eastAsia="仿宋"/>
                <w:color w:val="auto"/>
                <w:sz w:val="24"/>
                <w:szCs w:val="24"/>
                <w:highlight w:val="none"/>
                <w:u w:val="single"/>
              </w:rPr>
              <w:t xml:space="preserve">      </w:t>
            </w:r>
          </w:p>
        </w:tc>
      </w:tr>
    </w:tbl>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注：1.项目具体技术需求详见采购文件、投标文件以及询标记录。</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2.以上合同总价包含项目达到预期使用效果所需的一切费用。</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二、技术资料</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1.乙方应按采购文件规定的时间向甲方提供使用项目的有关技术资料。</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三、知识产权</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乙方应保证所提供的货物或其任何一部分均不会侵犯任何第三方的知识产权。</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四、产权担保</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乙方保证所交付的货物的所有权完全属于乙方且无任何抵押、查封等产权瑕疵。</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五、转包或分包</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不允许转包。</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允许分包部分</w:t>
      </w:r>
      <w:r>
        <w:rPr>
          <w:rFonts w:hint="eastAsia" w:ascii="仿宋" w:eastAsia="仿宋"/>
          <w:color w:val="auto"/>
          <w:kern w:val="0"/>
          <w:sz w:val="24"/>
          <w:highlight w:val="none"/>
          <w:u w:val="single"/>
        </w:rPr>
        <w:t xml:space="preserve">      </w:t>
      </w:r>
      <w:r>
        <w:rPr>
          <w:rFonts w:hint="eastAsia" w:ascii="仿宋" w:eastAsia="仿宋"/>
          <w:color w:val="auto"/>
          <w:kern w:val="0"/>
          <w:sz w:val="24"/>
          <w:highlight w:val="none"/>
          <w:u w:val="single"/>
          <w:lang w:val="en-US" w:eastAsia="zh-CN"/>
        </w:rPr>
        <w:t>/</w:t>
      </w:r>
      <w:r>
        <w:rPr>
          <w:rFonts w:hint="eastAsia" w:ascii="仿宋" w:eastAsia="仿宋"/>
          <w:color w:val="auto"/>
          <w:kern w:val="0"/>
          <w:sz w:val="24"/>
          <w:highlight w:val="none"/>
          <w:u w:val="single"/>
        </w:rPr>
        <w:t xml:space="preserve">         </w:t>
      </w:r>
      <w:r>
        <w:rPr>
          <w:rFonts w:hint="eastAsia" w:ascii="仿宋" w:eastAsia="仿宋"/>
          <w:color w:val="auto"/>
          <w:kern w:val="0"/>
          <w:sz w:val="24"/>
          <w:highlight w:val="none"/>
          <w:u w:val="none"/>
        </w:rPr>
        <w:t>。</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如乙方将项目转包或将不允许分包部分进行了分包，甲方有权解除合同，没收履约保证金并追究乙方的违约责任。</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六、质保期和履约保证金</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1.质保期 </w:t>
      </w:r>
      <w:r>
        <w:rPr>
          <w:rFonts w:hint="eastAsia" w:ascii="仿宋" w:eastAsia="仿宋"/>
          <w:color w:val="auto"/>
          <w:kern w:val="0"/>
          <w:sz w:val="24"/>
          <w:highlight w:val="none"/>
          <w:u w:val="single"/>
          <w:lang w:val="en-US" w:eastAsia="zh-CN"/>
        </w:rPr>
        <w:t xml:space="preserve">      </w:t>
      </w:r>
      <w:r>
        <w:rPr>
          <w:rFonts w:hint="eastAsia" w:ascii="仿宋" w:eastAsia="仿宋"/>
          <w:color w:val="auto"/>
          <w:kern w:val="0"/>
          <w:sz w:val="24"/>
          <w:highlight w:val="none"/>
          <w:u w:val="none"/>
        </w:rPr>
        <w:t>年。（自项目验收合格交付使用之日起计）</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2.履约保证金</w:t>
      </w:r>
      <w:r>
        <w:rPr>
          <w:rFonts w:hint="eastAsia" w:ascii="仿宋" w:eastAsia="仿宋"/>
          <w:color w:val="auto"/>
          <w:kern w:val="0"/>
          <w:sz w:val="24"/>
          <w:highlight w:val="none"/>
          <w:u w:val="single"/>
        </w:rPr>
        <w:t xml:space="preserve">     </w:t>
      </w:r>
      <w:r>
        <w:rPr>
          <w:rFonts w:hint="eastAsia" w:ascii="仿宋" w:eastAsia="仿宋"/>
          <w:color w:val="auto"/>
          <w:kern w:val="0"/>
          <w:sz w:val="24"/>
          <w:highlight w:val="none"/>
          <w:u w:val="none"/>
        </w:rPr>
        <w:t>元。（[退还方式为：合同履行完毕且经采购人认可的第三方专业检测机构对家具现场破坏性检测，出具合格报告后退还（不计利息），采购人验收不合格的，不予退还履约保证金]</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七、项目工期及实施地点</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1.交货期：合同签订后90日历天内完成安装、调试、验收</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2.实施地点：用户指定地点。</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八、货款支付</w:t>
      </w:r>
    </w:p>
    <w:p>
      <w:pPr>
        <w:widowControl/>
        <w:snapToGrid w:val="0"/>
        <w:spacing w:line="480" w:lineRule="exact"/>
        <w:ind w:left="0" w:firstLine="480" w:firstLineChars="200"/>
        <w:rPr>
          <w:rFonts w:hint="eastAsia"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1.本项目不支付预付款。</w:t>
      </w:r>
    </w:p>
    <w:p>
      <w:pPr>
        <w:widowControl/>
        <w:snapToGrid w:val="0"/>
        <w:spacing w:line="48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lang w:val="en-US" w:eastAsia="zh-CN"/>
        </w:rPr>
        <w:t>2.按月进度支付。承包人于每月20日前向采购人上报产值报表，支付比例为业主审核值的70％</w:t>
      </w:r>
      <w:r>
        <w:rPr>
          <w:rFonts w:hint="eastAsia" w:ascii="仿宋" w:hAnsi="仿宋" w:eastAsia="仿宋" w:cs="仿宋"/>
          <w:kern w:val="0"/>
          <w:sz w:val="24"/>
          <w:highlight w:val="none"/>
        </w:rPr>
        <w:t>安装调试完毕、通过第三方100%检测、验收合格后，采购人付至合同价的90%;</w:t>
      </w:r>
      <w:r>
        <w:rPr>
          <w:rFonts w:hint="eastAsia" w:ascii="仿宋" w:eastAsia="仿宋"/>
          <w:color w:val="auto"/>
          <w:kern w:val="0"/>
          <w:sz w:val="24"/>
          <w:highlight w:val="none"/>
          <w:u w:val="none"/>
        </w:rPr>
        <w:t>同履行完毕且经采购人认可的第三方专业检测机构对家具现场破坏性检测，出具合格报告后退还（不计利息），采购人验收不合格的，不予退还履约保证金</w:t>
      </w:r>
      <w:r>
        <w:rPr>
          <w:rFonts w:hint="eastAsia" w:ascii="仿宋" w:eastAsia="仿宋"/>
          <w:color w:val="auto"/>
          <w:kern w:val="0"/>
          <w:sz w:val="24"/>
          <w:highlight w:val="none"/>
        </w:rPr>
        <w:t>。</w:t>
      </w:r>
    </w:p>
    <w:p>
      <w:pPr>
        <w:widowControl/>
        <w:snapToGrid w:val="0"/>
        <w:spacing w:line="48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3</w:t>
      </w:r>
      <w:r>
        <w:rPr>
          <w:rFonts w:hint="eastAsia" w:ascii="仿宋" w:eastAsia="仿宋"/>
          <w:color w:val="auto"/>
          <w:kern w:val="0"/>
          <w:sz w:val="24"/>
          <w:highlight w:val="none"/>
          <w:lang w:eastAsia="zh-CN"/>
        </w:rPr>
        <w:t>.</w:t>
      </w:r>
      <w:r>
        <w:rPr>
          <w:rFonts w:hint="eastAsia" w:ascii="仿宋" w:hAnsi="仿宋" w:eastAsia="仿宋" w:cs="仿宋"/>
          <w:kern w:val="0"/>
          <w:sz w:val="24"/>
          <w:highlight w:val="none"/>
        </w:rPr>
        <w:t>档案资料归档及项目移交后付至合同价的100%</w:t>
      </w:r>
      <w:r>
        <w:rPr>
          <w:rFonts w:hint="eastAsia" w:ascii="仿宋" w:eastAsia="仿宋"/>
          <w:color w:val="auto"/>
          <w:kern w:val="0"/>
          <w:sz w:val="24"/>
          <w:highlight w:val="none"/>
        </w:rPr>
        <w:t>。</w:t>
      </w:r>
    </w:p>
    <w:p>
      <w:pPr>
        <w:widowControl/>
        <w:snapToGrid w:val="0"/>
        <w:spacing w:line="480" w:lineRule="exact"/>
        <w:ind w:left="0" w:firstLine="480" w:firstLineChars="200"/>
        <w:rPr>
          <w:rFonts w:hint="eastAsia" w:ascii="仿宋" w:eastAsia="仿宋"/>
          <w:color w:val="auto"/>
          <w:kern w:val="0"/>
          <w:sz w:val="24"/>
          <w:highlight w:val="none"/>
          <w:lang w:val="en-US" w:eastAsia="zh-CN"/>
        </w:rPr>
      </w:pPr>
      <w:r>
        <w:rPr>
          <w:rFonts w:hint="eastAsia" w:ascii="仿宋" w:eastAsia="仿宋"/>
          <w:color w:val="auto"/>
          <w:kern w:val="0"/>
          <w:sz w:val="24"/>
          <w:highlight w:val="none"/>
        </w:rPr>
        <w:t>4</w:t>
      </w:r>
      <w:r>
        <w:rPr>
          <w:rFonts w:hint="eastAsia" w:ascii="仿宋" w:eastAsia="仿宋"/>
          <w:color w:val="auto"/>
          <w:kern w:val="0"/>
          <w:sz w:val="24"/>
          <w:highlight w:val="none"/>
          <w:lang w:eastAsia="zh-CN"/>
        </w:rPr>
        <w:t>.</w:t>
      </w:r>
      <w:r>
        <w:rPr>
          <w:rFonts w:hint="eastAsia" w:ascii="仿宋" w:hAnsi="仿宋" w:eastAsia="仿宋" w:cs="仿宋"/>
          <w:kern w:val="0"/>
          <w:sz w:val="24"/>
          <w:highlight w:val="none"/>
        </w:rPr>
        <w:t>上述货款支付时中标人应开具增值税发票,否则采购人相应顺延支付货款</w:t>
      </w:r>
      <w:r>
        <w:rPr>
          <w:rFonts w:hint="eastAsia" w:ascii="仿宋" w:eastAsia="仿宋"/>
          <w:color w:val="auto"/>
          <w:kern w:val="0"/>
          <w:sz w:val="24"/>
          <w:highlight w:val="none"/>
          <w:lang w:val="en-US" w:eastAsia="zh-CN"/>
        </w:rPr>
        <w:t>。</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九、税费</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本合同执行中相关的一切税费均由乙方负担。</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十、质量保证及售后服务</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lang w:val="en-US" w:eastAsia="zh-CN"/>
        </w:rPr>
        <w:t>中标单位必须有可靠的售后服务保障包括但不限于在绍兴附近有固定的维修服务点，能提供正常的技术、备品备件服务。中标单位在接到采购人通知后，6小时内派人赴现场处理设备质量问题。24小时内不能修复的，则无偿提供备机或备用零件供采购人使用。</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十一、调试和验收</w:t>
      </w:r>
    </w:p>
    <w:p>
      <w:pPr>
        <w:widowControl/>
        <w:snapToGrid w:val="0"/>
        <w:spacing w:line="480" w:lineRule="exact"/>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1.供方将所供商品运至交货地点并安装调试完毕后，由需方负责在30日内按验收标准进行验收。如发现产品和招标文件要求及采购人认可的式样或样品不一致，则供方需根据招标文件要求无条件更换产品，并由供方支付给需方合同货款总价20％的赔偿金。如经抽样检测发现产品有重大质量问题的，需方承担检测费用同时供方同意需方可无条件退货并由供方支付给需方合同货款总价20％的赔金。</w:t>
      </w:r>
    </w:p>
    <w:p>
      <w:pPr>
        <w:widowControl/>
        <w:snapToGrid w:val="0"/>
        <w:spacing w:line="480" w:lineRule="exact"/>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2.验收时成交供应商向采购人提供所有板材、油漆、胶水、五金件等原材料的出货证明及检测合格证明、验收标准，同时家具产品必须和招标文件中的功能、目标、质量、安全、技术规格、物理特性等要求相一致；家具产品必须和要求及采购人认可的式样或样品相一致，实际产品尺寸与标书规定尺寸误差不超过1cm。</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hAnsi="仿宋" w:eastAsia="仿宋"/>
          <w:color w:val="auto"/>
          <w:kern w:val="0"/>
          <w:sz w:val="24"/>
          <w:highlight w:val="none"/>
        </w:rPr>
        <w:t>3.采购人有权进入供方工厂，对本次提供产品的板材、油漆、胶水、五金件等原材料进行检查或提交第三方权威机构进行环保或材质方面的检测;采购人有权抽取供方提供的产品提交第三方权威检测机构进行环保或材质方面的检测;以上检测费用由供方负责；所有家具成品及部件（含油漆、板材及配件）必须符合招标文件的要求。如供方的产品达不到相应检测标准或要求，采购人将作退货处理，因此而造成的损失由供方负责。对供方未能按时提供符合需方要求的产品而给采购人造成的损失，采购人有权向供方进行索赔。若供方对检测结果持有异议，应在收到检测报告后的7个工作日内，以书面形式向采购人提出重新检测申请，否则视为认可检测结果。但就货物内在质量瑕疵，采购人有权在任何时间包括质保期内或质保期满后提出异议，不受上述期间限制。</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十二、货物包装</w:t>
      </w:r>
    </w:p>
    <w:p>
      <w:pPr>
        <w:widowControl/>
        <w:snapToGrid w:val="0"/>
        <w:spacing w:line="480" w:lineRule="exact"/>
        <w:ind w:firstLine="480" w:firstLineChars="200"/>
        <w:rPr>
          <w:rFonts w:ascii="仿宋" w:hAnsi="仿宋" w:eastAsia="仿宋" w:cs="仿宋"/>
          <w:color w:val="auto"/>
          <w:kern w:val="0"/>
          <w:sz w:val="24"/>
          <w:highlight w:val="none"/>
        </w:rPr>
      </w:pPr>
      <w:r>
        <w:rPr>
          <w:rFonts w:hint="eastAsia" w:ascii="仿宋" w:hAnsi="仿宋" w:eastAsia="仿宋"/>
          <w:color w:val="auto"/>
          <w:kern w:val="0"/>
          <w:sz w:val="24"/>
          <w:highlight w:val="none"/>
        </w:rPr>
        <w:t>在家具安装过程中，由于中标单位安装不当引起的地面损坏，相关修复费用由中标单位负责。</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十三、违约责任</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1.甲方无正当理由拒收验收项目的，甲方向乙方偿付拒收合同总价的百分之五违约金。</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2.甲方无故逾期验收和办理合同款项支付手续的,甲方应按逾期付款总额每日万分之五向乙方支付违约金。</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4.乙方所交的货物品种、型号、规格、技术参数、质量不符合合同规定及采购文件规定标准的，甲方有权拒收该货物，乙方愿意更换货物但逾期交货的，按乙方逾期交货处理。乙方拒绝更换货物的，甲方可单方面解除合同。</w:t>
      </w:r>
    </w:p>
    <w:p>
      <w:pPr>
        <w:widowControl/>
        <w:snapToGrid w:val="0"/>
        <w:spacing w:line="480" w:lineRule="exact"/>
        <w:ind w:firstLine="480" w:firstLineChars="200"/>
        <w:rPr>
          <w:rFonts w:hint="eastAsia" w:ascii="仿宋" w:hAnsi="仿宋" w:eastAsia="仿宋"/>
          <w:color w:val="auto"/>
          <w:kern w:val="0"/>
          <w:sz w:val="24"/>
          <w:highlight w:val="none"/>
        </w:rPr>
      </w:pPr>
      <w:r>
        <w:rPr>
          <w:rFonts w:hint="eastAsia" w:ascii="仿宋" w:eastAsia="仿宋"/>
          <w:color w:val="auto"/>
          <w:kern w:val="0"/>
          <w:sz w:val="24"/>
          <w:highlight w:val="none"/>
          <w:u w:val="none"/>
        </w:rPr>
        <w:t>5.解除合同应按向本项目监督部门备案。</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十四、不可抗力事件处理</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1.在合同有效期内，任何一方因不可抗力事件导致不能履行合同，则合同履行期可延长，其延长期与不可抗力影响期相同。</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2.不可抗力事件发生后，应立即通知对方，并寄送有关权威机构出具的证明。</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3.不可抗力事件延续120天以上，双方应通过友好协商，确定是否继续履行合同。</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十五、诉讼</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双方在执行合同中所发生的一切争议，应通过协商解决。如协商不成，可向甲方所在地法院起诉。</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十六、合同生效及其他</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1.合同经甲、乙双方签名并加盖单位公章后生效。</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2.合同执行中涉及采购资金和采购内容修改或补充的，须经本项目监督部门审批，并签书面补充协议，经报本项目监督部门备案后，方可作为主合同不可分割的一部分。</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3.采购文件、投标文件与本合同具有同等法律效力。</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4.本合同未尽事宜，遵照《中华人民共和国民法典》有关条文执行。</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5.本合同一式五份，具有同等法律效力，甲、乙双方各执二份，采购代理机构一份。</w:t>
      </w: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甲方（盖章）：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地址：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法定（授权）代表人：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签名日期：     年   月   日           </w:t>
      </w: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乙方（盖章）：</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地址：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开户行：</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开户账号：</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法定（授权）代表人：</w:t>
      </w:r>
    </w:p>
    <w:p>
      <w:pPr>
        <w:widowControl/>
        <w:snapToGrid w:val="0"/>
        <w:spacing w:line="480" w:lineRule="exact"/>
        <w:ind w:firstLine="480" w:firstLineChars="200"/>
        <w:rPr>
          <w:color w:val="auto"/>
          <w:highlight w:val="none"/>
        </w:rPr>
      </w:pPr>
      <w:r>
        <w:rPr>
          <w:rFonts w:hint="eastAsia" w:ascii="仿宋" w:eastAsia="仿宋"/>
          <w:color w:val="auto"/>
          <w:kern w:val="0"/>
          <w:sz w:val="24"/>
          <w:highlight w:val="none"/>
          <w:u w:val="none"/>
        </w:rPr>
        <w:t>签名日期：      年   月   日</w:t>
      </w:r>
      <w:bookmarkStart w:id="14" w:name="_Toc643610536"/>
    </w:p>
    <w:p>
      <w:pPr>
        <w:pStyle w:val="3"/>
        <w:keepNext/>
        <w:keepLines/>
        <w:pageBreakBefore w:val="0"/>
        <w:widowControl w:val="0"/>
        <w:suppressLineNumbers w:val="0"/>
        <w:suppressAutoHyphens w:val="0"/>
        <w:spacing w:line="578" w:lineRule="auto"/>
        <w:jc w:val="center"/>
        <w:rPr>
          <w:color w:val="auto"/>
          <w:highlight w:val="none"/>
        </w:rPr>
      </w:pPr>
      <w:r>
        <w:rPr>
          <w:color w:val="auto"/>
          <w:highlight w:val="none"/>
        </w:rPr>
        <w:t>第五章  评标办法及标准</w:t>
      </w:r>
      <w:bookmarkEnd w:id="14"/>
    </w:p>
    <w:p>
      <w:pPr>
        <w:spacing w:line="440" w:lineRule="exact"/>
        <w:jc w:val="left"/>
        <w:rPr>
          <w:rFonts w:hint="eastAsia" w:ascii="仿宋" w:eastAsia="仿宋"/>
          <w:b/>
          <w:color w:val="auto"/>
          <w:sz w:val="24"/>
          <w:highlight w:val="none"/>
        </w:rPr>
      </w:pPr>
      <w:r>
        <w:rPr>
          <w:rFonts w:hint="eastAsia" w:ascii="仿宋" w:eastAsia="仿宋"/>
          <w:b/>
          <w:color w:val="auto"/>
          <w:sz w:val="24"/>
          <w:highlight w:val="none"/>
        </w:rPr>
        <w:t>特别条款：</w:t>
      </w:r>
    </w:p>
    <w:p>
      <w:pPr>
        <w:spacing w:line="440" w:lineRule="exact"/>
        <w:ind w:firstLine="472" w:firstLineChars="196"/>
        <w:jc w:val="left"/>
        <w:rPr>
          <w:rFonts w:hint="eastAsia" w:ascii="仿宋" w:eastAsia="仿宋"/>
          <w:b/>
          <w:color w:val="auto"/>
          <w:sz w:val="24"/>
          <w:highlight w:val="none"/>
        </w:rPr>
      </w:pPr>
      <w:r>
        <w:rPr>
          <w:rFonts w:hint="eastAsia" w:ascii="仿宋" w:eastAsia="仿宋"/>
          <w:b/>
          <w:color w:val="auto"/>
          <w:sz w:val="24"/>
          <w:highlight w:val="none"/>
        </w:rPr>
        <w:t>A.使用综合评分法的采购项目，提供</w:t>
      </w:r>
      <w:r>
        <w:rPr>
          <w:rFonts w:hint="eastAsia" w:ascii="仿宋" w:eastAsia="仿宋"/>
          <w:b/>
          <w:color w:val="auto"/>
          <w:sz w:val="24"/>
          <w:highlight w:val="none"/>
          <w:bdr w:val="single" w:color="000000" w:sz="4" w:space="0"/>
        </w:rPr>
        <w:t>相同品牌</w:t>
      </w:r>
      <w:r>
        <w:rPr>
          <w:rFonts w:hint="eastAsia" w:ascii="仿宋" w:eastAsia="仿宋"/>
          <w:b/>
          <w:color w:val="auto"/>
          <w:sz w:val="24"/>
          <w:highlight w:val="none"/>
        </w:rPr>
        <w:t>产品且通过资格审查、符合性审查的不同供应商参加同一合同项下投标的，按一家供应商计算，评审后得分最高的同品牌供应商获得中标人推荐资格；评审得分相同的，由采购人或者采购人委托评审委员会按照采购文件规定的方式确定一个供应商获得中标人推荐资格，采购文件未规定的采取随机抽取方式确定，其他同品牌供应商不作为中标候选人。</w:t>
      </w:r>
    </w:p>
    <w:p>
      <w:pPr>
        <w:spacing w:line="440" w:lineRule="exact"/>
        <w:ind w:firstLine="472" w:firstLineChars="196"/>
        <w:jc w:val="left"/>
        <w:rPr>
          <w:rFonts w:hint="eastAsia" w:ascii="仿宋" w:eastAsia="仿宋"/>
          <w:b/>
          <w:color w:val="auto"/>
          <w:sz w:val="24"/>
          <w:highlight w:val="none"/>
        </w:rPr>
      </w:pPr>
      <w:r>
        <w:rPr>
          <w:rFonts w:hint="eastAsia" w:ascii="仿宋" w:eastAsia="仿宋"/>
          <w:b/>
          <w:color w:val="auto"/>
          <w:sz w:val="24"/>
          <w:highlight w:val="none"/>
        </w:rPr>
        <w:t>B.非单一产品采购项目，多家供应商中作为核心产品（由采购人根据采购项目技术构成、产品价格比重等确定，并在采购文件中载明）品牌均相同的，视为提供的是同品牌的产品；按前款规定处理。</w:t>
      </w:r>
    </w:p>
    <w:p>
      <w:pPr>
        <w:spacing w:line="440" w:lineRule="exact"/>
        <w:jc w:val="left"/>
        <w:rPr>
          <w:rFonts w:hint="eastAsia" w:ascii="仿宋" w:eastAsia="仿宋"/>
          <w:b/>
          <w:color w:val="auto"/>
          <w:sz w:val="24"/>
          <w:highlight w:val="none"/>
        </w:rPr>
      </w:pPr>
      <w:r>
        <w:rPr>
          <w:rFonts w:hint="eastAsia" w:ascii="仿宋" w:eastAsia="仿宋"/>
          <w:b/>
          <w:color w:val="auto"/>
          <w:sz w:val="24"/>
          <w:highlight w:val="none"/>
        </w:rPr>
        <w:t>1、评</w:t>
      </w:r>
      <w:r>
        <w:rPr>
          <w:rFonts w:ascii="仿宋" w:eastAsia="仿宋"/>
          <w:b/>
          <w:color w:val="auto"/>
          <w:sz w:val="24"/>
          <w:highlight w:val="none"/>
        </w:rPr>
        <w:t>标</w:t>
      </w:r>
      <w:r>
        <w:rPr>
          <w:rFonts w:hint="eastAsia" w:ascii="仿宋" w:eastAsia="仿宋"/>
          <w:b/>
          <w:color w:val="auto"/>
          <w:sz w:val="24"/>
          <w:highlight w:val="none"/>
        </w:rPr>
        <w:t>方法：</w:t>
      </w:r>
    </w:p>
    <w:p>
      <w:pPr>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本次评标采用综合评分法，投标文件满足采购文件全部实质性要求且按照评审因素的量化指标评审得分最高的供应商为中标候选人。得分相同的，投标报价</w:t>
      </w:r>
      <w:r>
        <w:rPr>
          <w:rFonts w:ascii="仿宋" w:eastAsia="仿宋"/>
          <w:color w:val="auto"/>
          <w:sz w:val="24"/>
          <w:highlight w:val="none"/>
        </w:rPr>
        <w:t>低者为中标候选人</w:t>
      </w:r>
      <w:r>
        <w:rPr>
          <w:rFonts w:hint="eastAsia" w:ascii="仿宋" w:eastAsia="仿宋"/>
          <w:color w:val="auto"/>
          <w:sz w:val="24"/>
          <w:highlight w:val="none"/>
        </w:rPr>
        <w:t>。得分且投标报价相同的</w:t>
      </w:r>
      <w:r>
        <w:rPr>
          <w:rFonts w:ascii="仿宋" w:eastAsia="仿宋"/>
          <w:color w:val="auto"/>
          <w:sz w:val="24"/>
          <w:highlight w:val="none"/>
        </w:rPr>
        <w:t>由采购人代表开标现场随机抽签确定。</w:t>
      </w:r>
    </w:p>
    <w:p>
      <w:pPr>
        <w:widowControl/>
        <w:snapToGrid w:val="0"/>
        <w:spacing w:line="480" w:lineRule="exact"/>
        <w:ind w:left="0"/>
        <w:rPr>
          <w:rFonts w:ascii="仿宋_GB2312" w:eastAsia="仿宋_GB2312"/>
          <w:color w:val="auto"/>
          <w:kern w:val="0"/>
          <w:sz w:val="24"/>
          <w:highlight w:val="none"/>
          <w:u w:val="none"/>
        </w:rPr>
      </w:pPr>
      <w:r>
        <w:rPr>
          <w:rFonts w:hint="eastAsia" w:ascii="仿宋" w:eastAsia="仿宋"/>
          <w:b/>
          <w:color w:val="auto"/>
          <w:sz w:val="24"/>
          <w:highlight w:val="none"/>
        </w:rPr>
        <w:t>2.评分标准：</w:t>
      </w:r>
      <w:r>
        <w:rPr>
          <w:rFonts w:hint="eastAsia" w:ascii="仿宋" w:eastAsia="仿宋"/>
          <w:color w:val="auto"/>
          <w:sz w:val="24"/>
          <w:highlight w:val="none"/>
        </w:rPr>
        <w:t>总分100分，其中</w:t>
      </w:r>
      <w:r>
        <w:rPr>
          <w:rFonts w:ascii="仿宋" w:eastAsia="仿宋"/>
          <w:color w:val="auto"/>
          <w:sz w:val="24"/>
          <w:highlight w:val="none"/>
        </w:rPr>
        <w:t>商务</w:t>
      </w:r>
      <w:r>
        <w:rPr>
          <w:rFonts w:hint="eastAsia" w:ascii="仿宋" w:eastAsia="仿宋"/>
          <w:color w:val="auto"/>
          <w:sz w:val="24"/>
          <w:highlight w:val="none"/>
        </w:rPr>
        <w:t>技术分</w:t>
      </w:r>
      <w:r>
        <w:rPr>
          <w:rFonts w:hint="eastAsia" w:ascii="仿宋" w:eastAsia="仿宋"/>
          <w:color w:val="auto"/>
          <w:sz w:val="24"/>
          <w:highlight w:val="none"/>
          <w:u w:val="single"/>
          <w:lang w:val="en-US" w:eastAsia="zh-CN"/>
        </w:rPr>
        <w:t xml:space="preserve"> 50 </w:t>
      </w:r>
      <w:r>
        <w:rPr>
          <w:rFonts w:hint="eastAsia" w:ascii="仿宋" w:eastAsia="仿宋"/>
          <w:color w:val="auto"/>
          <w:sz w:val="24"/>
          <w:highlight w:val="none"/>
        </w:rPr>
        <w:t>分，</w:t>
      </w:r>
      <w:r>
        <w:rPr>
          <w:rFonts w:ascii="仿宋" w:eastAsia="仿宋"/>
          <w:color w:val="auto"/>
          <w:sz w:val="24"/>
          <w:highlight w:val="none"/>
        </w:rPr>
        <w:t>价格</w:t>
      </w:r>
      <w:r>
        <w:rPr>
          <w:rFonts w:hint="eastAsia" w:ascii="仿宋" w:eastAsia="仿宋"/>
          <w:color w:val="auto"/>
          <w:sz w:val="24"/>
          <w:highlight w:val="none"/>
        </w:rPr>
        <w:t>分</w:t>
      </w:r>
      <w:r>
        <w:rPr>
          <w:rFonts w:hint="eastAsia" w:ascii="仿宋" w:eastAsia="仿宋"/>
          <w:color w:val="auto"/>
          <w:sz w:val="24"/>
          <w:highlight w:val="none"/>
          <w:u w:val="single"/>
          <w:lang w:val="en-US" w:eastAsia="zh-CN"/>
        </w:rPr>
        <w:t xml:space="preserve"> 50 </w:t>
      </w:r>
      <w:r>
        <w:rPr>
          <w:rFonts w:hint="eastAsia" w:ascii="仿宋" w:eastAsia="仿宋"/>
          <w:color w:val="auto"/>
          <w:sz w:val="24"/>
          <w:highlight w:val="none"/>
        </w:rPr>
        <w:t>分。下述所列为评分依据，分值如下（计算分值时，按其算术平均值保留小数2位）。</w:t>
      </w:r>
    </w:p>
    <w:p>
      <w:pPr>
        <w:widowControl/>
        <w:snapToGrid w:val="0"/>
        <w:spacing w:line="480" w:lineRule="exact"/>
        <w:ind w:left="0"/>
        <w:rPr>
          <w:rFonts w:ascii="仿宋_GB2312" w:eastAsia="仿宋_GB2312"/>
          <w:b/>
          <w:bCs/>
          <w:color w:val="auto"/>
          <w:kern w:val="0"/>
          <w:sz w:val="24"/>
          <w:highlight w:val="none"/>
          <w:u w:val="none"/>
        </w:rPr>
      </w:pPr>
      <w:r>
        <w:rPr>
          <w:rFonts w:hint="eastAsia" w:ascii="仿宋_GB2312" w:eastAsia="仿宋_GB2312"/>
          <w:b/>
          <w:bCs/>
          <w:color w:val="auto"/>
          <w:kern w:val="0"/>
          <w:sz w:val="24"/>
          <w:highlight w:val="none"/>
          <w:u w:val="none"/>
        </w:rPr>
        <w:t>浙江金融职业学院绍兴校区新建工程家具采购项目（标段一：图书馆、教学及其他家具）</w:t>
      </w:r>
      <w:r>
        <w:rPr>
          <w:rFonts w:ascii="仿宋_GB2312" w:eastAsia="仿宋_GB2312"/>
          <w:b/>
          <w:bCs/>
          <w:color w:val="auto"/>
          <w:kern w:val="0"/>
          <w:sz w:val="24"/>
          <w:highlight w:val="none"/>
          <w:u w:val="none"/>
        </w:rPr>
        <w:t>商务技术分：</w:t>
      </w:r>
    </w:p>
    <w:tbl>
      <w:tblPr>
        <w:tblStyle w:val="28"/>
        <w:tblW w:w="895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2317"/>
        <w:gridCol w:w="729"/>
        <w:gridCol w:w="720"/>
        <w:gridCol w:w="5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评分项目</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分值</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评分内容和标准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23"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企业资信（3分）</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3分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1、投标人具有有效期内的《ISO9001质量管理体系认证证书》（认证范围：木制家具、钢木家具、软体家具（包含图书馆、剧院、办公）的生产）；得1分，未提供或缺项不得分。</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2、投标人具有有效期内的《ISO14001管理体系认证证书》（认证范围：木制家具、钢木家具、软体家具（包含图书馆、剧院、办公）的生产）；得1分，未提供或缺项不得分。</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3、投标人具有有效期内的《ISO45001职业健康安全管理体系认证证书》（认证范围：木制家具、钢木家具、软体家具（包含图书馆、剧院、办公）的生产）；得1分，未提供或缺项不得分。</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以上证书提供全国认证认可信息公共服务平台查询截图（http://cx.cnca.cn/）。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同类业绩（2分）</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投标人业绩案例：投标人自2022年1月1日以来（时间以合同签订时间为准）承担过同类业绩的项目案列，每提供一个案例得0.5分，最多得2分（政府单位或国有企业网站上可以查询中标公告）；</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投标文件中同时提供合同扫描件和对应此项目的验收合格报告扫描件，须同时提供，缺一项不得分。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626" w:hRule="atLeast"/>
        </w:trPr>
        <w:tc>
          <w:tcPr>
            <w:tcW w:w="2317" w:type="dxa"/>
            <w:vMerge w:val="restart"/>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技术参数规格（20分）</w:t>
            </w:r>
          </w:p>
        </w:tc>
        <w:tc>
          <w:tcPr>
            <w:tcW w:w="729" w:type="dxa"/>
            <w:vMerge w:val="restart"/>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20分</w:t>
            </w:r>
          </w:p>
        </w:tc>
        <w:tc>
          <w:tcPr>
            <w:tcW w:w="5906" w:type="dxa"/>
            <w:gridSpan w:val="2"/>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所投产品技术参数或功能均满足采购需求的得10分，出现负偏离或缺漏每项扣0.5分；10分扣完为止。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50" w:hRule="atLeast"/>
        </w:trPr>
        <w:tc>
          <w:tcPr>
            <w:tcW w:w="2317" w:type="dxa"/>
            <w:vMerge w:val="continue"/>
            <w:tcBorders>
              <w:tl2br w:val="nil"/>
              <w:tr2bl w:val="nil"/>
            </w:tcBorders>
            <w:noWrap/>
            <w:vAlign w:val="center"/>
          </w:tcPr>
          <w:p>
            <w:pPr>
              <w:widowControl/>
              <w:snapToGrid w:val="0"/>
              <w:spacing w:line="480" w:lineRule="exact"/>
              <w:ind w:left="0" w:leftChars="0"/>
              <w:rPr>
                <w:color w:val="auto"/>
                <w:highlight w:val="none"/>
              </w:rPr>
            </w:pPr>
          </w:p>
        </w:tc>
        <w:tc>
          <w:tcPr>
            <w:tcW w:w="729" w:type="dxa"/>
            <w:vMerge w:val="continue"/>
            <w:tcBorders>
              <w:tl2br w:val="nil"/>
              <w:tr2bl w:val="nil"/>
            </w:tcBorders>
            <w:noWrap/>
            <w:vAlign w:val="center"/>
          </w:tcPr>
          <w:p>
            <w:pPr>
              <w:widowControl/>
              <w:snapToGrid w:val="0"/>
              <w:spacing w:line="480" w:lineRule="exact"/>
              <w:ind w:left="0" w:leftChars="0"/>
              <w:rPr>
                <w:color w:val="auto"/>
                <w:highlight w:val="none"/>
              </w:rPr>
            </w:pP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根据投标人响应“技术参数规格表”的情况（详见清单后附件）：</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1.提供原材料检测报告全部响应且满足招标文件要求的得3分（要求报告的检测日期为本项目发布公告之日前的2年内）。如检测报告中有检测项缺漏或不满足的，每一项负偏离扣0.2分，扣完为止。</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注：出具的检测报告必须由具备家具原辅材料检测能力并通过国家计量认证（CMA资质）的第三方检测机构提供，并提供全国认证认可信息公共服务平台查询截图（http://www.cnca.gov.cn/）。</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2.提供成品检测报告，全部响应且满足招标文件要求的得7分（要求报告的检测日期为本项目发布公告之日前的2年内）。如检测报告中有检测项缺漏或不满足的，每一项负偏离扣1分，扣完为止。</w:t>
            </w:r>
          </w:p>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注：出具的检测报告须由具备家具成品检测能力的通过国家计量认证（CMA资质）的第三方检测机构提供且需附检验机构委托合同、打款记录、检测报告出具单位的对应的检测费发票，提供全国认证认可信息公共服务平台查询截图（http://www.cnca.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521"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项目实施方案（3分）</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3分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组织实施方案的科学性、合理性、规范性、可操作性，包括产品供货、验货、安装调试、测试、调优等内容，以及组织机构、工作时间进度表、工作程序和步骤、管理和协调方法、关键步骤的思路和要点等。由评审小组判定评分，较好得3.0-2.1分，一般得2.0-1.1分，差得1.0-0.1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42"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工艺流程（3分）</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3分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hAnsi="Times New Roman" w:eastAsia="仿宋" w:cs="Times New Roman"/>
                <w:color w:val="auto"/>
                <w:sz w:val="24"/>
                <w:highlight w:val="none"/>
                <w:lang w:val="en-US" w:eastAsia="zh-CN"/>
              </w:rPr>
              <w:t>根据</w:t>
            </w:r>
            <w:r>
              <w:rPr>
                <w:rFonts w:hint="eastAsia" w:ascii="仿宋" w:eastAsia="仿宋"/>
                <w:color w:val="auto"/>
                <w:sz w:val="24"/>
                <w:highlight w:val="none"/>
                <w:lang w:val="en-US" w:eastAsia="zh-CN"/>
              </w:rPr>
              <w:t>本项目所投产品生产工艺流程等，由评审小组判定评分，较好得3.0-2.1分，一般得2.0-1.1分，差得1.0-0.1分，不提供不得分。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22"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产品质量管控和措施（3分）</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3分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品质管理管控方案的全面性、针对性，包括产品品质管理管控过程，相应的品控标准，确保产品生产过程中质量控制完善的措施。由评审小组判定评分，较好得3.0-2.1分，一般得2.0-1.1分，差得1.0-0.1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trPr>
        <w:tc>
          <w:tcPr>
            <w:tcW w:w="2317"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售后服务应对方案及承诺</w:t>
            </w:r>
            <w:r>
              <w:rPr>
                <w:rFonts w:hint="eastAsia" w:ascii="仿宋" w:hAnsi="Times New Roman" w:eastAsia="仿宋" w:cs="Times New Roman"/>
                <w:color w:val="auto"/>
                <w:sz w:val="24"/>
                <w:highlight w:val="none"/>
                <w:lang w:val="en-US" w:eastAsia="zh-CN"/>
              </w:rPr>
              <w:t>（4分）</w:t>
            </w:r>
          </w:p>
        </w:tc>
        <w:tc>
          <w:tcPr>
            <w:tcW w:w="729"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hAnsi="Times New Roman" w:eastAsia="仿宋" w:cs="Times New Roman"/>
                <w:color w:val="auto"/>
                <w:sz w:val="24"/>
                <w:highlight w:val="none"/>
                <w:lang w:val="en-US" w:eastAsia="zh-CN"/>
              </w:rPr>
              <w:t>4分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1.提供详细完整的“三包”措施及售后服务措施和方案（包括服务措施、产品质量保证、回访、技术培训等）。根据供应商提供的方案能否满足采购需求，由评审小组判定评分，</w:t>
            </w:r>
            <w:r>
              <w:rPr>
                <w:rFonts w:hint="eastAsia" w:ascii="仿宋" w:hAnsi="Times New Roman" w:eastAsia="仿宋" w:cs="Times New Roman"/>
                <w:color w:val="auto"/>
                <w:sz w:val="24"/>
                <w:highlight w:val="none"/>
                <w:lang w:val="en-US" w:eastAsia="zh-CN"/>
              </w:rPr>
              <w:t>较好得2-1.1分，一般得1-0.5分，差得0.</w:t>
            </w:r>
            <w:r>
              <w:rPr>
                <w:rFonts w:hint="eastAsia" w:ascii="仿宋" w:eastAsia="仿宋" w:cs="Times New Roman"/>
                <w:color w:val="auto"/>
                <w:sz w:val="24"/>
                <w:highlight w:val="none"/>
                <w:lang w:val="en-US" w:eastAsia="zh-CN"/>
              </w:rPr>
              <w:t>4</w:t>
            </w:r>
            <w:r>
              <w:rPr>
                <w:rFonts w:hint="eastAsia" w:ascii="仿宋" w:hAnsi="Times New Roman" w:eastAsia="仿宋" w:cs="Times New Roman"/>
                <w:color w:val="auto"/>
                <w:sz w:val="24"/>
                <w:highlight w:val="none"/>
                <w:lang w:val="en-US" w:eastAsia="zh-CN"/>
              </w:rPr>
              <w:t>-0.1分，不提供不得分。</w:t>
            </w:r>
          </w:p>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2.质保期外能够提供的技术支持及服务能力进行酌情评分，包括售后服务网点的安排、故障响应时间、响应程度、故障处理、巡检、保证及承诺，由评审小组判定评分，</w:t>
            </w:r>
            <w:r>
              <w:rPr>
                <w:rFonts w:hint="eastAsia" w:ascii="仿宋" w:hAnsi="Times New Roman" w:eastAsia="仿宋" w:cs="Times New Roman"/>
                <w:color w:val="auto"/>
                <w:sz w:val="24"/>
                <w:highlight w:val="none"/>
                <w:lang w:val="en-US" w:eastAsia="zh-CN"/>
              </w:rPr>
              <w:t>较好得2-1.1分，一般得1-0.5分，差得0.</w:t>
            </w:r>
            <w:r>
              <w:rPr>
                <w:rFonts w:hint="eastAsia" w:ascii="仿宋" w:eastAsia="仿宋" w:cs="Times New Roman"/>
                <w:color w:val="auto"/>
                <w:sz w:val="24"/>
                <w:highlight w:val="none"/>
                <w:lang w:val="en-US" w:eastAsia="zh-CN"/>
              </w:rPr>
              <w:t>4</w:t>
            </w:r>
            <w:r>
              <w:rPr>
                <w:rFonts w:hint="eastAsia" w:ascii="仿宋" w:hAnsi="Times New Roman" w:eastAsia="仿宋" w:cs="Times New Roman"/>
                <w:color w:val="auto"/>
                <w:sz w:val="24"/>
                <w:highlight w:val="none"/>
                <w:lang w:val="en-US" w:eastAsia="zh-CN"/>
              </w:rPr>
              <w:t>-0.1分，不提供不得分。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48"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质保期（2分）</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质保期满足招标文件基本要求的，不得分，在此基础上每增加1年加1分，最高加2分。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7" w:hRule="atLeast"/>
        </w:trPr>
        <w:tc>
          <w:tcPr>
            <w:tcW w:w="2317" w:type="dxa"/>
            <w:vMerge w:val="restart"/>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样品分（10分）</w:t>
            </w:r>
          </w:p>
        </w:tc>
        <w:tc>
          <w:tcPr>
            <w:tcW w:w="729" w:type="dxa"/>
            <w:vMerge w:val="restart"/>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10分</w:t>
            </w:r>
          </w:p>
        </w:tc>
        <w:tc>
          <w:tcPr>
            <w:tcW w:w="720"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报告厅 椅</w:t>
            </w:r>
          </w:p>
        </w:tc>
        <w:tc>
          <w:tcPr>
            <w:tcW w:w="5186"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根据投标人提供的样品的使用功能、款式、材质、规格、工艺，评标委员会进行横向对比，综合打分，完全符合得3-2.1分，基本符合得2.0-0.1分，偏离较大得0分；无样品不得分。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7" w:hRule="atLeast"/>
        </w:trPr>
        <w:tc>
          <w:tcPr>
            <w:tcW w:w="2317" w:type="dxa"/>
            <w:vMerge w:val="continue"/>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p>
        </w:tc>
        <w:tc>
          <w:tcPr>
            <w:tcW w:w="729" w:type="dxa"/>
            <w:vMerge w:val="continue"/>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p>
        </w:tc>
        <w:tc>
          <w:tcPr>
            <w:tcW w:w="720"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单人半隐私沙发</w:t>
            </w:r>
          </w:p>
        </w:tc>
        <w:tc>
          <w:tcPr>
            <w:tcW w:w="5186"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根据投标人提供的样品的使用功能、款式、材质、规格、工艺，评标委员会进行横向对比，综合打分，完全符合得4-2.1分，基本符合得2.0-0.1分，偏离较大得0分；无样品不得分。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7" w:hRule="atLeast"/>
        </w:trPr>
        <w:tc>
          <w:tcPr>
            <w:tcW w:w="2317" w:type="dxa"/>
            <w:vMerge w:val="continue"/>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p>
        </w:tc>
        <w:tc>
          <w:tcPr>
            <w:tcW w:w="729" w:type="dxa"/>
            <w:vMerge w:val="continue"/>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p>
        </w:tc>
        <w:tc>
          <w:tcPr>
            <w:tcW w:w="720"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课桌单人</w:t>
            </w:r>
          </w:p>
        </w:tc>
        <w:tc>
          <w:tcPr>
            <w:tcW w:w="5186"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根据投标人提供的样品的使用功能、款式、材质、规格、工艺，评标委员会进行横向对比，综合打分，完全符合得3-2.1分，基本符合得2.0-0.1分，偏离较大得0分；无样品不得分。</w:t>
            </w:r>
          </w:p>
        </w:tc>
      </w:tr>
    </w:tbl>
    <w:p>
      <w:pPr>
        <w:spacing w:line="500" w:lineRule="exact"/>
        <w:jc w:val="left"/>
        <w:rPr>
          <w:rFonts w:hint="eastAsia" w:ascii="仿宋" w:eastAsia="仿宋"/>
          <w:b/>
          <w:bCs/>
          <w:iCs/>
          <w:color w:val="auto"/>
          <w:sz w:val="24"/>
          <w:highlight w:val="none"/>
        </w:rPr>
      </w:pPr>
    </w:p>
    <w:p>
      <w:pPr>
        <w:spacing w:line="500" w:lineRule="exact"/>
        <w:jc w:val="left"/>
        <w:rPr>
          <w:rFonts w:ascii="仿宋" w:eastAsia="仿宋"/>
          <w:color w:val="auto"/>
          <w:sz w:val="24"/>
          <w:highlight w:val="none"/>
        </w:rPr>
      </w:pPr>
      <w:r>
        <w:rPr>
          <w:rFonts w:hint="eastAsia" w:ascii="仿宋" w:eastAsia="仿宋"/>
          <w:b/>
          <w:bCs/>
          <w:iCs/>
          <w:color w:val="auto"/>
          <w:sz w:val="24"/>
          <w:highlight w:val="none"/>
        </w:rPr>
        <w:t>注：所有证书都应在有效期内，逾期不得分。</w:t>
      </w:r>
      <w:r>
        <w:rPr>
          <w:rFonts w:ascii="仿宋" w:eastAsia="仿宋"/>
          <w:color w:val="auto"/>
          <w:sz w:val="24"/>
          <w:highlight w:val="none"/>
        </w:rPr>
        <w:t xml:space="preserve"> </w:t>
      </w:r>
    </w:p>
    <w:p>
      <w:pPr>
        <w:widowControl/>
        <w:snapToGrid w:val="0"/>
        <w:spacing w:line="480" w:lineRule="exact"/>
        <w:ind w:left="0"/>
        <w:rPr>
          <w:rFonts w:hint="eastAsia" w:ascii="仿宋_GB2312" w:eastAsia="仿宋_GB2312"/>
          <w:b/>
          <w:bCs/>
          <w:color w:val="auto"/>
          <w:kern w:val="0"/>
          <w:sz w:val="24"/>
          <w:highlight w:val="none"/>
          <w:u w:val="none"/>
          <w:lang w:eastAsia="zh-CN"/>
        </w:rPr>
      </w:pPr>
    </w:p>
    <w:p>
      <w:pPr>
        <w:widowControl/>
        <w:snapToGrid w:val="0"/>
        <w:spacing w:line="480" w:lineRule="exact"/>
        <w:ind w:left="0"/>
        <w:rPr>
          <w:rFonts w:hint="eastAsia" w:ascii="仿宋_GB2312" w:eastAsia="仿宋_GB2312"/>
          <w:b/>
          <w:bCs/>
          <w:color w:val="auto"/>
          <w:kern w:val="0"/>
          <w:sz w:val="24"/>
          <w:highlight w:val="none"/>
          <w:u w:val="none"/>
          <w:lang w:eastAsia="zh-CN"/>
        </w:rPr>
      </w:pPr>
      <w:r>
        <w:rPr>
          <w:rFonts w:hint="eastAsia" w:ascii="仿宋_GB2312" w:eastAsia="仿宋_GB2312"/>
          <w:b/>
          <w:bCs/>
          <w:color w:val="auto"/>
          <w:kern w:val="0"/>
          <w:sz w:val="24"/>
          <w:highlight w:val="none"/>
          <w:u w:val="none"/>
          <w:lang w:eastAsia="zh-CN"/>
        </w:rPr>
        <w:t>浙江金融职业学院绍兴校区新建工程家具采购项目（标段二：宿舍及餐厅家具）商务技术分：</w:t>
      </w:r>
    </w:p>
    <w:tbl>
      <w:tblPr>
        <w:tblStyle w:val="28"/>
        <w:tblW w:w="895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2317"/>
        <w:gridCol w:w="729"/>
        <w:gridCol w:w="915"/>
        <w:gridCol w:w="4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评分项目</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分值</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评分内容和标准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23"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企业资信（3分）</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3分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1、投标人具有有效期内的《ISO9001质量管理体系认证证书》（认证范围：钢木家具的生产，木制家具( 实木、人造板 )、钢木家具、金属家具、软体家具、钢塑家具 (含办公、公寓、学校场所用家具) 的生产）；得1分，未提供或缺项不得分。</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2、投标人具有有效期内的《ISO14001管理体系认证证书》（认证范围：钢木家具的生产，木制家具( 实木、人造板 )、钢木家具、金属家具、软体家具、钢塑家具 (含办公、公寓、学校场所用家具) 的生产）；得1分，未提供或缺项不得分。</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3、投标人具有有效期内的《ISO45001职业健康安全管理体系认证证书》（认证范围：钢木家具的生产，木制家具( 实木、人造板 )、钢木家具、金属家具、软体家具、钢塑家具 (含办公、公寓、学校场所用家具) 的生产）；得1分，未提供或缺项不得分。</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以上证书提供全国认证认可信息公共服务平台查询截图（http://cx.cnca.cn/）。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同类业绩（2分）</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投标人业绩案例：投标人自2022年1月1日以来（时间以合同签订时间为准）承担过同类业绩的项目案列，每提供一个案例得0.5分，最多得2分（政府单位或国有企业网站上可以查询中标公告）；</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投标文件中同时提供合同扫描件和对应此项目的验收合格报告扫描件，须同时提供，缺一项不得分。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113" w:hRule="atLeast"/>
        </w:trPr>
        <w:tc>
          <w:tcPr>
            <w:tcW w:w="2317" w:type="dxa"/>
            <w:vMerge w:val="restart"/>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技术参数规格（20分）</w:t>
            </w:r>
          </w:p>
        </w:tc>
        <w:tc>
          <w:tcPr>
            <w:tcW w:w="729" w:type="dxa"/>
            <w:vMerge w:val="restart"/>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20分</w:t>
            </w:r>
          </w:p>
        </w:tc>
        <w:tc>
          <w:tcPr>
            <w:tcW w:w="5906" w:type="dxa"/>
            <w:gridSpan w:val="2"/>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所投产品技术参数或功能均满足采购需求的得10分，出现负偏离或缺漏每项扣0.5分；10分扣完为止。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trPr>
        <w:tc>
          <w:tcPr>
            <w:tcW w:w="2317" w:type="dxa"/>
            <w:vMerge w:val="continue"/>
            <w:tcBorders>
              <w:tl2br w:val="nil"/>
              <w:tr2bl w:val="nil"/>
            </w:tcBorders>
            <w:noWrap/>
            <w:vAlign w:val="center"/>
          </w:tcPr>
          <w:p>
            <w:pPr>
              <w:widowControl/>
              <w:snapToGrid w:val="0"/>
              <w:spacing w:line="480" w:lineRule="exact"/>
              <w:ind w:left="0" w:leftChars="0"/>
              <w:rPr>
                <w:color w:val="auto"/>
                <w:highlight w:val="none"/>
              </w:rPr>
            </w:pPr>
          </w:p>
        </w:tc>
        <w:tc>
          <w:tcPr>
            <w:tcW w:w="729" w:type="dxa"/>
            <w:vMerge w:val="continue"/>
            <w:tcBorders>
              <w:tl2br w:val="nil"/>
              <w:tr2bl w:val="nil"/>
            </w:tcBorders>
            <w:noWrap/>
            <w:vAlign w:val="center"/>
          </w:tcPr>
          <w:p>
            <w:pPr>
              <w:widowControl/>
              <w:snapToGrid w:val="0"/>
              <w:spacing w:line="480" w:lineRule="exact"/>
              <w:ind w:left="0" w:leftChars="0"/>
              <w:rPr>
                <w:color w:val="auto"/>
                <w:highlight w:val="none"/>
              </w:rPr>
            </w:pP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根据投标人响应“技术参数规格表”的情况（详见</w:t>
            </w:r>
            <w:r>
              <w:rPr>
                <w:rFonts w:hint="eastAsia" w:ascii="仿宋" w:hAnsi="Times New Roman" w:eastAsia="仿宋" w:cs="Times New Roman"/>
                <w:color w:val="auto"/>
                <w:sz w:val="24"/>
                <w:highlight w:val="none"/>
                <w:lang w:val="en-US" w:eastAsia="zh-CN"/>
              </w:rPr>
              <w:t>清单</w:t>
            </w:r>
            <w:r>
              <w:rPr>
                <w:rFonts w:hint="eastAsia" w:ascii="仿宋" w:eastAsia="仿宋"/>
                <w:color w:val="auto"/>
                <w:sz w:val="24"/>
                <w:highlight w:val="none"/>
                <w:lang w:val="en-US" w:eastAsia="zh-CN"/>
              </w:rPr>
              <w:t>后附件）：</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1.提供原材料检测报告全部响应且满足招标文件要求的得3分（要求报告的检测日期为本项目发布公告之日前的2年内）。如检测报告中有检测项缺漏或不满足的，每一项负偏离扣0.2分，扣完为止。</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注：出具的检测报告必须由具备家具原辅材料检测能力并通过国家计量认证（CMA资质）的第三方检测机构提供，并提供全国认证认可信息公共服务平台查询截图（http://www.cnca.gov.cn/）。</w:t>
            </w:r>
          </w:p>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2.提供成品检测报告，全部响应且满足招标文件要求的得7分（要求报告的检测日期为本项目发布公告之日前的2年内）。如检测报告中有检测项缺漏或不满足的，每一项负偏离扣1分，扣完为止。</w:t>
            </w:r>
          </w:p>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注：出具的检测报告须由具备家具成品检测能力的通过国家计量认证（CMA资质）的第三方检测机构提供且需附检验机构委托合同、打款记录、检测报告出具单位的对应的检测费发票，提供全国认证认可信息公共服务平台查询截图（http://www.cnca.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51"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项目实施方案（3分）</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3分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组织实施方案的科学性、合理性、规范性、可操作性，包括产品供货、验货、安装调试、测试、调优等内容，以及组织机构、工作时间进度表、工作程序和步骤、管理和协调方法、关键步骤的思路和要点等。由评审小组判定评分，较好得3.0-2.1分，一般得2.0-1.1分，差得1.0-0.1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42" w:hRule="atLeast"/>
        </w:trPr>
        <w:tc>
          <w:tcPr>
            <w:tcW w:w="2317"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工艺流程（3分）</w:t>
            </w:r>
          </w:p>
        </w:tc>
        <w:tc>
          <w:tcPr>
            <w:tcW w:w="729"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3分</w:t>
            </w:r>
          </w:p>
        </w:tc>
        <w:tc>
          <w:tcPr>
            <w:tcW w:w="5906" w:type="dxa"/>
            <w:gridSpan w:val="2"/>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hAnsi="Times New Roman" w:eastAsia="仿宋" w:cs="Times New Roman"/>
                <w:color w:val="auto"/>
                <w:sz w:val="24"/>
                <w:highlight w:val="none"/>
                <w:lang w:val="en-US" w:eastAsia="zh-CN"/>
              </w:rPr>
              <w:t>根据</w:t>
            </w:r>
            <w:r>
              <w:rPr>
                <w:rFonts w:hint="eastAsia" w:ascii="仿宋" w:eastAsia="仿宋"/>
                <w:color w:val="auto"/>
                <w:sz w:val="24"/>
                <w:highlight w:val="none"/>
                <w:lang w:val="en-US" w:eastAsia="zh-CN"/>
              </w:rPr>
              <w:t>本项目所投产品生产工艺流程等，由评审小组判定评分，较好得3.0-2.1分，一般得2.0-1.1分，差得1.0-0.1分，不提供不得分。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trPr>
        <w:tc>
          <w:tcPr>
            <w:tcW w:w="2317"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产品质量管控和措施（3分）</w:t>
            </w:r>
          </w:p>
        </w:tc>
        <w:tc>
          <w:tcPr>
            <w:tcW w:w="729"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3分</w:t>
            </w:r>
          </w:p>
        </w:tc>
        <w:tc>
          <w:tcPr>
            <w:tcW w:w="5906" w:type="dxa"/>
            <w:gridSpan w:val="2"/>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品质管理管控方案的全面性、针对性，包括产品品质管理管控过程，相应的品控标准，确保产品生产过程中质量控制完善的措施。由评审小组判定评分，较好得3.0-2.1分，一般得2.0-1.1分，差得1.0-0.1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42" w:hRule="atLeast"/>
        </w:trPr>
        <w:tc>
          <w:tcPr>
            <w:tcW w:w="2317"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售后服务应对方案及承诺</w:t>
            </w:r>
            <w:r>
              <w:rPr>
                <w:rFonts w:hint="eastAsia" w:ascii="仿宋" w:hAnsi="Times New Roman" w:eastAsia="仿宋" w:cs="Times New Roman"/>
                <w:color w:val="auto"/>
                <w:sz w:val="24"/>
                <w:highlight w:val="none"/>
                <w:lang w:val="en-US" w:eastAsia="zh-CN"/>
              </w:rPr>
              <w:t>（4分）</w:t>
            </w:r>
          </w:p>
        </w:tc>
        <w:tc>
          <w:tcPr>
            <w:tcW w:w="729" w:type="dxa"/>
            <w:tcBorders>
              <w:tl2br w:val="nil"/>
              <w:tr2bl w:val="nil"/>
            </w:tcBorders>
            <w:noWrap/>
            <w:vAlign w:val="center"/>
          </w:tcPr>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hAnsi="Times New Roman" w:eastAsia="仿宋" w:cs="Times New Roman"/>
                <w:color w:val="auto"/>
                <w:sz w:val="24"/>
                <w:highlight w:val="none"/>
                <w:lang w:val="en-US" w:eastAsia="zh-CN"/>
              </w:rPr>
              <w:t>4分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1.提供详细完整的“三包”措施及售后服务措施和方案（包括服务措施、产品质量保证、回访、技术培训等）。根据供应商提供的方案能否满足采购需求，由评审小组判定评分，</w:t>
            </w:r>
            <w:r>
              <w:rPr>
                <w:rFonts w:hint="eastAsia" w:ascii="仿宋" w:hAnsi="Times New Roman" w:eastAsia="仿宋" w:cs="Times New Roman"/>
                <w:color w:val="auto"/>
                <w:sz w:val="24"/>
                <w:highlight w:val="none"/>
                <w:lang w:val="en-US" w:eastAsia="zh-CN"/>
              </w:rPr>
              <w:t>较好得2-1.1分，一般得1-0.5分，差得0.</w:t>
            </w:r>
            <w:r>
              <w:rPr>
                <w:rFonts w:hint="eastAsia" w:ascii="仿宋" w:eastAsia="仿宋" w:cs="Times New Roman"/>
                <w:color w:val="auto"/>
                <w:sz w:val="24"/>
                <w:highlight w:val="none"/>
                <w:lang w:val="en-US" w:eastAsia="zh-CN"/>
              </w:rPr>
              <w:t>4</w:t>
            </w:r>
            <w:r>
              <w:rPr>
                <w:rFonts w:hint="eastAsia" w:ascii="仿宋" w:hAnsi="Times New Roman" w:eastAsia="仿宋" w:cs="Times New Roman"/>
                <w:color w:val="auto"/>
                <w:sz w:val="24"/>
                <w:highlight w:val="none"/>
                <w:lang w:val="en-US" w:eastAsia="zh-CN"/>
              </w:rPr>
              <w:t>-0.1分，不提供不得分。</w:t>
            </w:r>
          </w:p>
          <w:p>
            <w:pPr>
              <w:widowControl/>
              <w:snapToGrid w:val="0"/>
              <w:spacing w:line="480" w:lineRule="exact"/>
              <w:ind w:left="0" w:leftChars="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2.质保期外能够提供的技术支持及服务能力进行酌情评分，包括售后服务网点的安排、故障响应时间、响应程度、故障处理、巡检、保证及承诺，由评审小组判定评分，</w:t>
            </w:r>
            <w:r>
              <w:rPr>
                <w:rFonts w:hint="eastAsia" w:ascii="仿宋" w:hAnsi="Times New Roman" w:eastAsia="仿宋" w:cs="Times New Roman"/>
                <w:color w:val="auto"/>
                <w:sz w:val="24"/>
                <w:highlight w:val="none"/>
                <w:lang w:val="en-US" w:eastAsia="zh-CN"/>
              </w:rPr>
              <w:t>较好得2-1.1分，一般得1-0.5分，差得0.</w:t>
            </w:r>
            <w:r>
              <w:rPr>
                <w:rFonts w:hint="eastAsia" w:ascii="仿宋" w:eastAsia="仿宋" w:cs="Times New Roman"/>
                <w:color w:val="auto"/>
                <w:sz w:val="24"/>
                <w:highlight w:val="none"/>
                <w:lang w:val="en-US" w:eastAsia="zh-CN"/>
              </w:rPr>
              <w:t>4</w:t>
            </w:r>
            <w:r>
              <w:rPr>
                <w:rFonts w:hint="eastAsia" w:ascii="仿宋" w:hAnsi="Times New Roman" w:eastAsia="仿宋" w:cs="Times New Roman"/>
                <w:color w:val="auto"/>
                <w:sz w:val="24"/>
                <w:highlight w:val="none"/>
                <w:lang w:val="en-US" w:eastAsia="zh-CN"/>
              </w:rPr>
              <w:t>-0.1分，不提供不得分。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75" w:hRule="atLeast"/>
        </w:trPr>
        <w:tc>
          <w:tcPr>
            <w:tcW w:w="2317"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质保期（2分）</w:t>
            </w:r>
          </w:p>
        </w:tc>
        <w:tc>
          <w:tcPr>
            <w:tcW w:w="729"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2分</w:t>
            </w:r>
          </w:p>
        </w:tc>
        <w:tc>
          <w:tcPr>
            <w:tcW w:w="5906" w:type="dxa"/>
            <w:gridSpan w:val="2"/>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质保期满足招标文件基本要求的，不得分，在此基础上每增加1年加1分，最高加2分。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14" w:hRule="atLeast"/>
        </w:trPr>
        <w:tc>
          <w:tcPr>
            <w:tcW w:w="2317" w:type="dxa"/>
            <w:vMerge w:val="restart"/>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样品分（</w:t>
            </w:r>
            <w:r>
              <w:rPr>
                <w:rFonts w:hint="eastAsia" w:ascii="仿宋" w:hAnsi="Times New Roman" w:eastAsia="仿宋" w:cs="Times New Roman"/>
                <w:color w:val="auto"/>
                <w:sz w:val="24"/>
                <w:highlight w:val="none"/>
                <w:lang w:val="en-US" w:eastAsia="zh-CN"/>
              </w:rPr>
              <w:t>10分</w:t>
            </w:r>
            <w:r>
              <w:rPr>
                <w:rFonts w:hint="eastAsia" w:ascii="仿宋" w:eastAsia="仿宋"/>
                <w:color w:val="auto"/>
                <w:sz w:val="24"/>
                <w:highlight w:val="none"/>
                <w:lang w:val="en-US" w:eastAsia="zh-CN"/>
              </w:rPr>
              <w:t>）</w:t>
            </w:r>
          </w:p>
        </w:tc>
        <w:tc>
          <w:tcPr>
            <w:tcW w:w="729" w:type="dxa"/>
            <w:vMerge w:val="restart"/>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hAnsi="Times New Roman" w:eastAsia="仿宋" w:cs="Times New Roman"/>
                <w:color w:val="auto"/>
                <w:sz w:val="24"/>
                <w:highlight w:val="none"/>
                <w:lang w:val="en-US" w:eastAsia="zh-CN"/>
              </w:rPr>
              <w:t>10分</w:t>
            </w:r>
          </w:p>
        </w:tc>
        <w:tc>
          <w:tcPr>
            <w:tcW w:w="915" w:type="dxa"/>
            <w:tcBorders>
              <w:tl2br w:val="nil"/>
              <w:tr2bl w:val="nil"/>
            </w:tcBorders>
            <w:noWrap/>
            <w:vAlign w:val="center"/>
          </w:tcPr>
          <w:p>
            <w:pPr>
              <w:widowControl/>
              <w:snapToGrid w:val="0"/>
              <w:spacing w:line="480" w:lineRule="exact"/>
              <w:ind w:left="0"/>
              <w:rPr>
                <w:rFonts w:hint="default" w:ascii="仿宋" w:eastAsia="仿宋"/>
                <w:color w:val="auto"/>
                <w:sz w:val="24"/>
                <w:highlight w:val="none"/>
                <w:lang w:val="en-US" w:eastAsia="zh-CN"/>
              </w:rPr>
            </w:pPr>
            <w:r>
              <w:rPr>
                <w:rFonts w:hint="eastAsia" w:ascii="仿宋" w:eastAsia="仿宋"/>
                <w:color w:val="auto"/>
                <w:sz w:val="24"/>
                <w:highlight w:val="none"/>
                <w:lang w:val="en-US" w:eastAsia="zh-CN"/>
              </w:rPr>
              <w:t>椅子</w:t>
            </w:r>
          </w:p>
        </w:tc>
        <w:tc>
          <w:tcPr>
            <w:tcW w:w="4991"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根据投标人提供的样品的使用功能、款式、材质、规格、工艺，评标委员会进行横向对比，综合打分，完全符合得3-2.1分，基本符合得2.0-0.1分，偏离较大得0分；无样品不得分。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14" w:hRule="atLeast"/>
        </w:trPr>
        <w:tc>
          <w:tcPr>
            <w:tcW w:w="2317" w:type="dxa"/>
            <w:vMerge w:val="continue"/>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p>
        </w:tc>
        <w:tc>
          <w:tcPr>
            <w:tcW w:w="729" w:type="dxa"/>
            <w:vMerge w:val="continue"/>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p>
        </w:tc>
        <w:tc>
          <w:tcPr>
            <w:tcW w:w="915"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宿舍床</w:t>
            </w:r>
          </w:p>
        </w:tc>
        <w:tc>
          <w:tcPr>
            <w:tcW w:w="4991"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根据投标人提供的样品的使用功能、款式、材质、规格、工艺，评标委员会进行横向对比，综合打分，完全符合得4-2.1分，基本符合得2.0-0.1分，偏离较大得0分；无样品不得分。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14" w:hRule="atLeast"/>
        </w:trPr>
        <w:tc>
          <w:tcPr>
            <w:tcW w:w="2317" w:type="dxa"/>
            <w:vMerge w:val="continue"/>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p>
        </w:tc>
        <w:tc>
          <w:tcPr>
            <w:tcW w:w="729" w:type="dxa"/>
            <w:vMerge w:val="continue"/>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p>
        </w:tc>
        <w:tc>
          <w:tcPr>
            <w:tcW w:w="915"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4人连体餐桌</w:t>
            </w:r>
          </w:p>
        </w:tc>
        <w:tc>
          <w:tcPr>
            <w:tcW w:w="4991" w:type="dxa"/>
            <w:tcBorders>
              <w:tl2br w:val="nil"/>
              <w:tr2bl w:val="nil"/>
            </w:tcBorders>
            <w:noWrap/>
            <w:vAlign w:val="center"/>
          </w:tcPr>
          <w:p>
            <w:pPr>
              <w:widowControl/>
              <w:snapToGrid w:val="0"/>
              <w:spacing w:line="480" w:lineRule="exact"/>
              <w:ind w:left="0"/>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根据投标人提供的样品的使用功能、款式、材质、规格、工艺，评标委员会进行横向对比，综合打分，完全符合得3-2.1分，，基本符合得2.0-0.1分，偏离较大得0分；无样品不得分。</w:t>
            </w:r>
          </w:p>
        </w:tc>
      </w:tr>
    </w:tbl>
    <w:p>
      <w:pPr>
        <w:spacing w:line="500" w:lineRule="exact"/>
        <w:jc w:val="left"/>
        <w:rPr>
          <w:rFonts w:hint="eastAsia" w:ascii="仿宋" w:eastAsia="仿宋"/>
          <w:b/>
          <w:bCs/>
          <w:iCs/>
          <w:color w:val="auto"/>
          <w:sz w:val="24"/>
          <w:highlight w:val="none"/>
        </w:rPr>
      </w:pPr>
    </w:p>
    <w:p>
      <w:pPr>
        <w:spacing w:line="500" w:lineRule="exact"/>
        <w:jc w:val="left"/>
        <w:rPr>
          <w:rFonts w:ascii="仿宋" w:eastAsia="仿宋"/>
          <w:color w:val="auto"/>
          <w:sz w:val="24"/>
          <w:highlight w:val="none"/>
        </w:rPr>
      </w:pPr>
      <w:r>
        <w:rPr>
          <w:rFonts w:hint="eastAsia" w:ascii="仿宋" w:eastAsia="仿宋"/>
          <w:b/>
          <w:bCs/>
          <w:iCs/>
          <w:color w:val="auto"/>
          <w:sz w:val="24"/>
          <w:highlight w:val="none"/>
        </w:rPr>
        <w:t>注：所有证书都应在有效期内，逾期不得分。</w:t>
      </w:r>
      <w:r>
        <w:rPr>
          <w:rFonts w:ascii="仿宋" w:eastAsia="仿宋"/>
          <w:color w:val="auto"/>
          <w:sz w:val="24"/>
          <w:highlight w:val="none"/>
        </w:rPr>
        <w:t xml:space="preserve"> </w:t>
      </w:r>
    </w:p>
    <w:p>
      <w:pPr>
        <w:pStyle w:val="2"/>
        <w:ind w:left="0" w:leftChars="0" w:firstLine="0" w:firstLineChars="0"/>
        <w:rPr>
          <w:rFonts w:ascii="仿宋" w:eastAsia="仿宋"/>
          <w:color w:val="auto"/>
          <w:sz w:val="24"/>
          <w:highlight w:val="none"/>
        </w:rPr>
      </w:pPr>
    </w:p>
    <w:p>
      <w:pPr>
        <w:spacing w:line="400" w:lineRule="exact"/>
        <w:rPr>
          <w:rFonts w:hint="eastAsia" w:ascii="仿宋" w:eastAsia="仿宋"/>
          <w:b/>
          <w:bCs/>
          <w:iCs/>
          <w:color w:val="auto"/>
          <w:sz w:val="24"/>
          <w:highlight w:val="none"/>
        </w:rPr>
      </w:pPr>
      <w:r>
        <w:rPr>
          <w:rFonts w:hint="eastAsia" w:ascii="仿宋" w:eastAsia="仿宋"/>
          <w:b/>
          <w:color w:val="auto"/>
          <w:sz w:val="24"/>
          <w:highlight w:val="none"/>
          <w:bdr w:val="single" w:color="auto" w:sz="4" w:space="0"/>
        </w:rPr>
        <w:t>01标</w:t>
      </w:r>
      <w:r>
        <w:rPr>
          <w:rFonts w:hint="eastAsia" w:ascii="仿宋" w:eastAsia="仿宋"/>
          <w:b/>
          <w:color w:val="auto"/>
          <w:sz w:val="24"/>
          <w:highlight w:val="none"/>
          <w:bdr w:val="single" w:color="auto" w:sz="4" w:space="0"/>
          <w:lang w:eastAsia="zh-CN"/>
        </w:rPr>
        <w:t>、</w:t>
      </w:r>
      <w:r>
        <w:rPr>
          <w:rFonts w:hint="eastAsia" w:ascii="仿宋" w:eastAsia="仿宋"/>
          <w:b/>
          <w:color w:val="auto"/>
          <w:sz w:val="24"/>
          <w:highlight w:val="none"/>
          <w:bdr w:val="single" w:color="auto" w:sz="4" w:space="0"/>
          <w:lang w:val="en-US" w:eastAsia="zh-CN"/>
        </w:rPr>
        <w:t>02标</w:t>
      </w:r>
      <w:r>
        <w:rPr>
          <w:rFonts w:ascii="仿宋" w:eastAsia="仿宋"/>
          <w:b/>
          <w:bCs/>
          <w:iCs/>
          <w:color w:val="auto"/>
          <w:sz w:val="24"/>
          <w:highlight w:val="none"/>
        </w:rPr>
        <w:t>价格</w:t>
      </w:r>
      <w:r>
        <w:rPr>
          <w:rFonts w:hint="eastAsia" w:ascii="仿宋" w:eastAsia="仿宋"/>
          <w:b/>
          <w:bCs/>
          <w:iCs/>
          <w:color w:val="auto"/>
          <w:sz w:val="24"/>
          <w:highlight w:val="none"/>
        </w:rPr>
        <w:t>分：</w:t>
      </w:r>
    </w:p>
    <w:p>
      <w:pPr>
        <w:spacing w:line="400" w:lineRule="exact"/>
        <w:rPr>
          <w:rFonts w:hint="eastAsia" w:ascii="仿宋" w:eastAsia="仿宋"/>
          <w:bCs/>
          <w:iCs/>
          <w:color w:val="auto"/>
          <w:sz w:val="24"/>
          <w:highlight w:val="none"/>
        </w:rPr>
      </w:pPr>
      <w:r>
        <w:rPr>
          <w:rFonts w:hint="eastAsia" w:ascii="仿宋" w:eastAsia="仿宋"/>
          <w:bCs/>
          <w:iCs/>
          <w:color w:val="auto"/>
          <w:sz w:val="24"/>
          <w:highlight w:val="none"/>
        </w:rPr>
        <w:t>2.2.1评标基准价：即满足采购文件要求且投标报价最低的投标报价为评标基准价，其价格分为满分。</w:t>
      </w:r>
    </w:p>
    <w:p>
      <w:pPr>
        <w:spacing w:line="400" w:lineRule="exact"/>
        <w:rPr>
          <w:rFonts w:hint="eastAsia" w:ascii="仿宋" w:eastAsia="仿宋"/>
          <w:bCs/>
          <w:iCs/>
          <w:color w:val="auto"/>
          <w:sz w:val="24"/>
          <w:highlight w:val="none"/>
        </w:rPr>
      </w:pPr>
      <w:r>
        <w:rPr>
          <w:rFonts w:hint="eastAsia" w:ascii="仿宋" w:eastAsia="仿宋"/>
          <w:bCs/>
          <w:iCs/>
          <w:color w:val="auto"/>
          <w:sz w:val="24"/>
          <w:highlight w:val="none"/>
        </w:rPr>
        <w:t>2.2.2其他供应商的价格分统一按照下列公式计算：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hint="eastAsia" w:ascii="仿宋" w:eastAsia="仿宋"/>
          <w:bCs/>
          <w:iCs/>
          <w:color w:val="auto"/>
          <w:sz w:val="24"/>
          <w:highlight w:val="none"/>
        </w:rPr>
      </w:pPr>
      <w:r>
        <w:rPr>
          <w:rFonts w:hint="eastAsia" w:ascii="仿宋" w:eastAsia="仿宋"/>
          <w:bCs/>
          <w:iCs/>
          <w:color w:val="auto"/>
          <w:sz w:val="24"/>
          <w:highlight w:val="none"/>
        </w:rPr>
        <w:t>投标报价得分=(评标基准价／投标报价)×价格权值×100</w:t>
      </w:r>
    </w:p>
    <w:p>
      <w:pPr>
        <w:widowControl/>
        <w:snapToGrid w:val="0"/>
        <w:spacing w:line="480" w:lineRule="exact"/>
        <w:ind w:left="0"/>
        <w:rPr>
          <w:rFonts w:hint="default" w:ascii="仿宋" w:eastAsia="仿宋"/>
          <w:bCs/>
          <w:iCs/>
          <w:color w:val="auto"/>
          <w:sz w:val="24"/>
          <w:highlight w:val="none"/>
          <w:u w:val="single"/>
          <w:lang w:val="en-US" w:eastAsia="zh-CN"/>
        </w:rPr>
      </w:pPr>
      <w:r>
        <w:rPr>
          <w:rFonts w:hint="eastAsia" w:ascii="仿宋" w:eastAsia="仿宋"/>
          <w:bCs/>
          <w:iCs/>
          <w:color w:val="auto"/>
          <w:sz w:val="24"/>
          <w:highlight w:val="none"/>
        </w:rPr>
        <w:t>即：投标报价得分=(评标基准价／投标报价)×</w:t>
      </w:r>
      <w:r>
        <w:rPr>
          <w:rFonts w:hint="eastAsia" w:ascii="仿宋" w:eastAsia="仿宋"/>
          <w:bCs/>
          <w:iCs/>
          <w:color w:val="auto"/>
          <w:sz w:val="24"/>
          <w:highlight w:val="none"/>
          <w:u w:val="single"/>
          <w:lang w:val="en-US" w:eastAsia="zh-CN"/>
        </w:rPr>
        <w:t>50</w:t>
      </w:r>
    </w:p>
    <w:p>
      <w:pPr>
        <w:widowControl/>
        <w:snapToGrid w:val="0"/>
        <w:spacing w:line="480" w:lineRule="exact"/>
        <w:ind w:left="0"/>
        <w:rPr>
          <w:rFonts w:ascii="仿宋" w:eastAsia="仿宋"/>
          <w:bCs/>
          <w:iCs/>
          <w:color w:val="auto"/>
          <w:sz w:val="24"/>
          <w:highlight w:val="none"/>
          <w:u w:val="none"/>
        </w:rPr>
      </w:pPr>
    </w:p>
    <w:p>
      <w:pPr>
        <w:pStyle w:val="3"/>
        <w:rPr>
          <w:color w:val="auto"/>
          <w:highlight w:val="none"/>
        </w:rPr>
      </w:pPr>
    </w:p>
    <w:p>
      <w:pPr>
        <w:rPr>
          <w:color w:val="auto"/>
          <w:highlight w:val="none"/>
        </w:rPr>
      </w:pPr>
    </w:p>
    <w:p>
      <w:pPr>
        <w:pStyle w:val="15"/>
        <w:rPr>
          <w:color w:val="auto"/>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rPr>
          <w:color w:val="auto"/>
          <w:highlight w:val="none"/>
        </w:rPr>
      </w:pPr>
    </w:p>
    <w:p>
      <w:pPr>
        <w:pStyle w:val="15"/>
        <w:rPr>
          <w:color w:val="auto"/>
          <w:highlight w:val="none"/>
        </w:rPr>
      </w:pPr>
    </w:p>
    <w:p>
      <w:pPr>
        <w:rPr>
          <w:color w:val="auto"/>
          <w:highlight w:val="none"/>
        </w:rPr>
      </w:pPr>
    </w:p>
    <w:p>
      <w:pPr>
        <w:pStyle w:val="3"/>
        <w:keepNext/>
        <w:keepLines/>
        <w:pageBreakBefore w:val="0"/>
        <w:widowControl w:val="0"/>
        <w:suppressLineNumbers w:val="0"/>
        <w:suppressAutoHyphens w:val="0"/>
        <w:spacing w:line="578" w:lineRule="auto"/>
        <w:jc w:val="center"/>
        <w:rPr>
          <w:color w:val="auto"/>
          <w:highlight w:val="none"/>
        </w:rPr>
      </w:pPr>
      <w:bookmarkStart w:id="15" w:name="_Toc643610537"/>
      <w:r>
        <w:rPr>
          <w:color w:val="auto"/>
          <w:highlight w:val="none"/>
        </w:rPr>
        <w:t>第六章  投标文件格式附件</w:t>
      </w:r>
      <w:bookmarkEnd w:id="15"/>
    </w:p>
    <w:p>
      <w:pPr>
        <w:widowControl/>
        <w:snapToGrid w:val="0"/>
        <w:spacing w:line="480" w:lineRule="exact"/>
        <w:ind w:firstLine="480" w:firstLineChars="200"/>
        <w:rPr>
          <w:rFonts w:ascii="仿宋_GB2312" w:eastAsia="仿宋_GB2312"/>
          <w:color w:val="auto"/>
          <w:kern w:val="0"/>
          <w:sz w:val="24"/>
          <w:highlight w:val="none"/>
          <w:u w:val="none"/>
        </w:rPr>
      </w:pPr>
      <w:r>
        <w:rPr>
          <w:rFonts w:ascii="仿宋_GB2312" w:eastAsia="仿宋_GB2312"/>
          <w:color w:val="auto"/>
          <w:kern w:val="0"/>
          <w:sz w:val="24"/>
          <w:highlight w:val="none"/>
          <w:u w:val="none"/>
        </w:rPr>
        <w:t>投标文件制作请按照本采购文件</w:t>
      </w:r>
      <w:r>
        <w:rPr>
          <w:rFonts w:hint="eastAsia" w:ascii="仿宋_GB2312" w:eastAsia="仿宋_GB2312"/>
          <w:color w:val="auto"/>
          <w:kern w:val="0"/>
          <w:sz w:val="24"/>
          <w:highlight w:val="none"/>
          <w:u w:val="none"/>
        </w:rPr>
        <w:t>“</w:t>
      </w:r>
      <w:r>
        <w:rPr>
          <w:rFonts w:ascii="仿宋_GB2312" w:eastAsia="仿宋_GB2312"/>
          <w:color w:val="auto"/>
          <w:kern w:val="0"/>
          <w:sz w:val="24"/>
          <w:highlight w:val="none"/>
          <w:u w:val="none"/>
        </w:rPr>
        <w:t>第二章 供应商须知</w:t>
      </w:r>
      <w:r>
        <w:rPr>
          <w:rFonts w:hint="eastAsia" w:ascii="仿宋_GB2312" w:eastAsia="仿宋_GB2312"/>
          <w:color w:val="auto"/>
          <w:kern w:val="0"/>
          <w:sz w:val="24"/>
          <w:highlight w:val="none"/>
          <w:u w:val="none"/>
        </w:rPr>
        <w:t>”</w:t>
      </w:r>
      <w:r>
        <w:rPr>
          <w:rFonts w:ascii="仿宋_GB2312" w:eastAsia="仿宋_GB2312"/>
          <w:color w:val="auto"/>
          <w:kern w:val="0"/>
          <w:sz w:val="24"/>
          <w:highlight w:val="none"/>
          <w:u w:val="none"/>
        </w:rPr>
        <w:t>第三部分</w:t>
      </w:r>
      <w:r>
        <w:rPr>
          <w:rFonts w:hint="eastAsia" w:ascii="仿宋_GB2312" w:eastAsia="仿宋_GB2312"/>
          <w:color w:val="auto"/>
          <w:kern w:val="0"/>
          <w:sz w:val="24"/>
          <w:highlight w:val="none"/>
          <w:u w:val="none"/>
        </w:rPr>
        <w:t>“</w:t>
      </w:r>
      <w:r>
        <w:rPr>
          <w:rFonts w:ascii="仿宋_GB2312" w:eastAsia="仿宋_GB2312"/>
          <w:color w:val="auto"/>
          <w:kern w:val="0"/>
          <w:sz w:val="24"/>
          <w:highlight w:val="none"/>
          <w:u w:val="none"/>
        </w:rPr>
        <w:t>投标文件</w:t>
      </w:r>
      <w:r>
        <w:rPr>
          <w:rFonts w:hint="eastAsia" w:ascii="仿宋_GB2312" w:eastAsia="仿宋_GB2312"/>
          <w:color w:val="auto"/>
          <w:kern w:val="0"/>
          <w:sz w:val="24"/>
          <w:highlight w:val="none"/>
          <w:u w:val="none"/>
        </w:rPr>
        <w:t>”</w:t>
      </w:r>
      <w:r>
        <w:rPr>
          <w:rFonts w:ascii="仿宋_GB2312" w:eastAsia="仿宋_GB2312"/>
          <w:color w:val="auto"/>
          <w:kern w:val="0"/>
          <w:sz w:val="24"/>
          <w:highlight w:val="none"/>
          <w:u w:val="none"/>
        </w:rPr>
        <w:t>的规定制作，有关格式附件如下：</w:t>
      </w:r>
    </w:p>
    <w:p>
      <w:pPr>
        <w:widowControl/>
        <w:snapToGrid w:val="0"/>
        <w:spacing w:line="480" w:lineRule="exact"/>
        <w:ind w:firstLine="480" w:firstLineChars="200"/>
        <w:rPr>
          <w:rFonts w:ascii="仿宋_GB2312" w:eastAsia="仿宋_GB2312"/>
          <w:color w:val="auto"/>
          <w:kern w:val="0"/>
          <w:sz w:val="24"/>
          <w:highlight w:val="none"/>
          <w:u w:val="none"/>
        </w:rPr>
      </w:pPr>
    </w:p>
    <w:p>
      <w:pPr>
        <w:widowControl/>
        <w:snapToGrid w:val="0"/>
        <w:spacing w:line="480" w:lineRule="exact"/>
        <w:ind w:firstLine="480" w:firstLineChars="200"/>
        <w:rPr>
          <w:rFonts w:ascii="仿宋_GB2312" w:eastAsia="仿宋_GB2312"/>
          <w:color w:val="auto"/>
          <w:kern w:val="0"/>
          <w:sz w:val="24"/>
          <w:highlight w:val="none"/>
          <w:u w:val="none"/>
        </w:rPr>
      </w:pPr>
    </w:p>
    <w:p>
      <w:pPr>
        <w:widowControl/>
        <w:snapToGrid w:val="0"/>
        <w:spacing w:line="480" w:lineRule="exact"/>
        <w:ind w:firstLine="480" w:firstLineChars="200"/>
        <w:rPr>
          <w:rFonts w:ascii="仿宋_GB2312" w:eastAsia="仿宋_GB2312"/>
          <w:color w:val="auto"/>
          <w:kern w:val="0"/>
          <w:sz w:val="24"/>
          <w:highlight w:val="none"/>
          <w:u w:val="none"/>
        </w:rPr>
      </w:pPr>
    </w:p>
    <w:p>
      <w:pPr>
        <w:widowControl/>
        <w:snapToGrid w:val="0"/>
        <w:spacing w:line="480" w:lineRule="exact"/>
        <w:ind w:firstLine="480" w:firstLineChars="200"/>
        <w:rPr>
          <w:rFonts w:ascii="仿宋_GB2312" w:eastAsia="仿宋_GB2312"/>
          <w:color w:val="auto"/>
          <w:kern w:val="0"/>
          <w:sz w:val="24"/>
          <w:highlight w:val="none"/>
          <w:u w:val="none"/>
        </w:rPr>
      </w:pPr>
    </w:p>
    <w:p>
      <w:pPr>
        <w:widowControl/>
        <w:snapToGrid w:val="0"/>
        <w:spacing w:line="480" w:lineRule="exact"/>
        <w:ind w:firstLine="480" w:firstLineChars="200"/>
        <w:rPr>
          <w:rFonts w:ascii="仿宋_GB2312" w:eastAsia="仿宋_GB2312"/>
          <w:color w:val="auto"/>
          <w:kern w:val="0"/>
          <w:sz w:val="24"/>
          <w:highlight w:val="none"/>
          <w:u w:val="none"/>
        </w:rPr>
      </w:pPr>
    </w:p>
    <w:p>
      <w:pPr>
        <w:widowControl/>
        <w:snapToGrid w:val="0"/>
        <w:spacing w:line="480" w:lineRule="exact"/>
        <w:ind w:firstLine="480" w:firstLineChars="200"/>
        <w:rPr>
          <w:rFonts w:ascii="仿宋_GB2312" w:eastAsia="仿宋_GB2312"/>
          <w:color w:val="auto"/>
          <w:kern w:val="0"/>
          <w:sz w:val="24"/>
          <w:highlight w:val="none"/>
          <w:u w:val="none"/>
        </w:rPr>
      </w:pPr>
    </w:p>
    <w:p>
      <w:pPr>
        <w:widowControl/>
        <w:snapToGrid w:val="0"/>
        <w:spacing w:line="480" w:lineRule="exact"/>
        <w:ind w:firstLine="480" w:firstLineChars="200"/>
        <w:rPr>
          <w:rFonts w:ascii="仿宋_GB2312" w:eastAsia="仿宋_GB2312"/>
          <w:color w:val="auto"/>
          <w:kern w:val="0"/>
          <w:sz w:val="24"/>
          <w:highlight w:val="none"/>
          <w:u w:val="none"/>
        </w:rPr>
      </w:pPr>
    </w:p>
    <w:p>
      <w:pPr>
        <w:widowControl/>
        <w:snapToGrid w:val="0"/>
        <w:spacing w:line="480" w:lineRule="exact"/>
        <w:rPr>
          <w:rFonts w:ascii="仿宋_GB2312" w:eastAsia="仿宋_GB2312"/>
          <w:color w:val="auto"/>
          <w:kern w:val="0"/>
          <w:sz w:val="24"/>
          <w:highlight w:val="none"/>
          <w:u w:val="none"/>
        </w:rPr>
      </w:pPr>
    </w:p>
    <w:p>
      <w:pPr>
        <w:snapToGrid w:val="0"/>
        <w:spacing w:before="156" w:beforeLines="50" w:after="50"/>
        <w:jc w:val="left"/>
        <w:rPr>
          <w:rFonts w:hint="eastAsia" w:ascii="仿宋" w:eastAsia="仿宋"/>
          <w:b/>
          <w:bCs/>
          <w:color w:val="auto"/>
          <w:sz w:val="30"/>
          <w:szCs w:val="30"/>
          <w:highlight w:val="none"/>
        </w:rPr>
      </w:pPr>
    </w:p>
    <w:p>
      <w:pPr>
        <w:snapToGrid w:val="0"/>
        <w:spacing w:before="156" w:beforeLines="50" w:after="50"/>
        <w:jc w:val="left"/>
        <w:rPr>
          <w:rFonts w:hint="eastAsia" w:ascii="仿宋" w:eastAsia="仿宋"/>
          <w:b/>
          <w:bCs/>
          <w:color w:val="auto"/>
          <w:sz w:val="30"/>
          <w:szCs w:val="30"/>
          <w:highlight w:val="none"/>
        </w:rPr>
      </w:pPr>
    </w:p>
    <w:p>
      <w:pPr>
        <w:snapToGrid w:val="0"/>
        <w:spacing w:before="156" w:beforeLines="50" w:after="50"/>
        <w:jc w:val="left"/>
        <w:rPr>
          <w:rFonts w:hint="eastAsia" w:ascii="仿宋" w:eastAsia="仿宋"/>
          <w:b/>
          <w:bCs/>
          <w:color w:val="auto"/>
          <w:sz w:val="30"/>
          <w:szCs w:val="30"/>
          <w:highlight w:val="none"/>
        </w:rPr>
      </w:pPr>
    </w:p>
    <w:p>
      <w:pPr>
        <w:snapToGrid w:val="0"/>
        <w:spacing w:before="156" w:beforeLines="50" w:after="50"/>
        <w:jc w:val="left"/>
        <w:rPr>
          <w:rFonts w:hint="eastAsia" w:ascii="仿宋" w:eastAsia="仿宋"/>
          <w:b/>
          <w:bCs/>
          <w:color w:val="auto"/>
          <w:sz w:val="30"/>
          <w:szCs w:val="30"/>
          <w:highlight w:val="none"/>
        </w:rPr>
      </w:pPr>
    </w:p>
    <w:p>
      <w:pPr>
        <w:snapToGrid w:val="0"/>
        <w:spacing w:before="156" w:beforeLines="50" w:after="50"/>
        <w:jc w:val="left"/>
        <w:rPr>
          <w:rFonts w:hint="eastAsia" w:ascii="仿宋" w:eastAsia="仿宋"/>
          <w:b/>
          <w:bCs/>
          <w:color w:val="auto"/>
          <w:sz w:val="30"/>
          <w:szCs w:val="30"/>
          <w:highlight w:val="none"/>
        </w:rPr>
      </w:pPr>
    </w:p>
    <w:p>
      <w:pPr>
        <w:snapToGrid w:val="0"/>
        <w:spacing w:before="156" w:beforeLines="50" w:after="50"/>
        <w:jc w:val="left"/>
        <w:rPr>
          <w:rFonts w:hint="eastAsia" w:ascii="仿宋" w:eastAsia="仿宋"/>
          <w:b/>
          <w:bCs/>
          <w:color w:val="auto"/>
          <w:sz w:val="30"/>
          <w:szCs w:val="30"/>
          <w:highlight w:val="none"/>
        </w:rPr>
      </w:pPr>
    </w:p>
    <w:p>
      <w:pPr>
        <w:snapToGrid w:val="0"/>
        <w:spacing w:before="156" w:beforeLines="50" w:after="50"/>
        <w:jc w:val="left"/>
        <w:rPr>
          <w:rFonts w:hint="eastAsia" w:ascii="仿宋" w:eastAsia="仿宋"/>
          <w:b/>
          <w:bCs/>
          <w:color w:val="auto"/>
          <w:sz w:val="30"/>
          <w:szCs w:val="30"/>
          <w:highlight w:val="none"/>
        </w:rPr>
      </w:pPr>
    </w:p>
    <w:p>
      <w:pPr>
        <w:snapToGrid w:val="0"/>
        <w:spacing w:before="156" w:beforeLines="50" w:after="50"/>
        <w:jc w:val="left"/>
        <w:rPr>
          <w:rFonts w:hint="eastAsia" w:ascii="仿宋" w:eastAsia="仿宋"/>
          <w:b/>
          <w:bCs/>
          <w:color w:val="auto"/>
          <w:sz w:val="30"/>
          <w:szCs w:val="30"/>
          <w:highlight w:val="none"/>
        </w:rPr>
      </w:pPr>
    </w:p>
    <w:p>
      <w:pPr>
        <w:snapToGrid w:val="0"/>
        <w:spacing w:before="156" w:beforeLines="50" w:after="50"/>
        <w:jc w:val="left"/>
        <w:rPr>
          <w:rFonts w:hint="eastAsia" w:ascii="仿宋" w:eastAsia="仿宋"/>
          <w:b/>
          <w:bCs/>
          <w:color w:val="auto"/>
          <w:sz w:val="30"/>
          <w:szCs w:val="30"/>
          <w:highlight w:val="none"/>
        </w:rPr>
      </w:pPr>
    </w:p>
    <w:p>
      <w:pPr>
        <w:snapToGrid w:val="0"/>
        <w:spacing w:before="156" w:beforeLines="50" w:after="50"/>
        <w:jc w:val="left"/>
        <w:rPr>
          <w:rFonts w:hint="eastAsia" w:ascii="仿宋" w:eastAsia="仿宋"/>
          <w:b/>
          <w:bCs/>
          <w:color w:val="auto"/>
          <w:sz w:val="30"/>
          <w:szCs w:val="30"/>
          <w:highlight w:val="none"/>
        </w:rPr>
      </w:pPr>
    </w:p>
    <w:p>
      <w:pPr>
        <w:snapToGrid w:val="0"/>
        <w:spacing w:before="156" w:beforeLines="50" w:after="50"/>
        <w:jc w:val="left"/>
        <w:rPr>
          <w:rFonts w:hint="eastAsia" w:ascii="仿宋" w:eastAsia="仿宋"/>
          <w:b/>
          <w:color w:val="auto"/>
          <w:sz w:val="30"/>
          <w:szCs w:val="30"/>
          <w:highlight w:val="none"/>
        </w:rPr>
      </w:pPr>
      <w:r>
        <w:rPr>
          <w:rFonts w:hint="eastAsia" w:ascii="仿宋" w:eastAsia="仿宋"/>
          <w:b/>
          <w:bCs/>
          <w:color w:val="auto"/>
          <w:sz w:val="30"/>
          <w:szCs w:val="30"/>
          <w:highlight w:val="none"/>
        </w:rPr>
        <w:t>附件1：</w:t>
      </w:r>
      <w:r>
        <w:rPr>
          <w:rFonts w:hint="eastAsia" w:ascii="仿宋" w:eastAsia="仿宋"/>
          <w:b/>
          <w:color w:val="auto"/>
          <w:sz w:val="30"/>
          <w:szCs w:val="30"/>
          <w:highlight w:val="none"/>
        </w:rPr>
        <w:t>资格文件封面</w:t>
      </w:r>
    </w:p>
    <w:p>
      <w:pPr>
        <w:snapToGrid w:val="0"/>
        <w:spacing w:before="156" w:beforeLines="50" w:after="50"/>
        <w:jc w:val="right"/>
        <w:rPr>
          <w:rFonts w:hint="eastAsia" w:ascii="仿宋" w:eastAsia="仿宋"/>
          <w:b/>
          <w:color w:val="auto"/>
          <w:sz w:val="30"/>
          <w:szCs w:val="30"/>
          <w:highlight w:val="none"/>
        </w:rPr>
      </w:pPr>
      <w:r>
        <w:rPr>
          <w:rFonts w:ascii="仿宋" w:eastAsia="仿宋"/>
          <w:color w:val="auto"/>
          <w:sz w:val="30"/>
          <w:szCs w:val="30"/>
          <w:highlight w:val="none"/>
          <w:u w:val="single"/>
        </w:rPr>
        <w:t>（填写正本或副本）</w:t>
      </w:r>
    </w:p>
    <w:p>
      <w:pPr>
        <w:snapToGrid w:val="0"/>
        <w:spacing w:before="156" w:beforeLines="50" w:after="50"/>
        <w:jc w:val="right"/>
        <w:rPr>
          <w:rFonts w:hint="eastAsia" w:ascii="仿宋" w:eastAsia="仿宋"/>
          <w:bCs/>
          <w:color w:val="auto"/>
          <w:sz w:val="30"/>
          <w:szCs w:val="30"/>
          <w:highlight w:val="none"/>
        </w:rPr>
      </w:pP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项目名称：</w:t>
      </w:r>
      <w:r>
        <w:rPr>
          <w:rFonts w:hint="eastAsia" w:ascii="仿宋" w:eastAsia="仿宋"/>
          <w:color w:val="auto"/>
          <w:spacing w:val="40"/>
          <w:sz w:val="30"/>
          <w:szCs w:val="30"/>
          <w:highlight w:val="none"/>
          <w:u w:val="single"/>
        </w:rPr>
        <w:t xml:space="preserve">           </w:t>
      </w:r>
    </w:p>
    <w:p>
      <w:pPr>
        <w:spacing w:before="312" w:beforeLines="100" w:line="400" w:lineRule="exact"/>
        <w:rPr>
          <w:rFonts w:hint="eastAsia" w:ascii="仿宋" w:eastAsia="仿宋"/>
          <w:color w:val="auto"/>
          <w:sz w:val="30"/>
          <w:szCs w:val="30"/>
          <w:highlight w:val="none"/>
          <w:u w:val="single"/>
        </w:rPr>
      </w:pPr>
      <w:r>
        <w:rPr>
          <w:rFonts w:hint="eastAsia" w:ascii="仿宋" w:eastAsia="仿宋"/>
          <w:color w:val="auto"/>
          <w:sz w:val="30"/>
          <w:szCs w:val="30"/>
          <w:highlight w:val="none"/>
        </w:rPr>
        <w:t>项目编号：</w:t>
      </w:r>
      <w:r>
        <w:rPr>
          <w:rFonts w:hint="eastAsia" w:ascii="仿宋" w:eastAsia="仿宋"/>
          <w:color w:val="auto"/>
          <w:sz w:val="30"/>
          <w:szCs w:val="30"/>
          <w:highlight w:val="none"/>
          <w:u w:val="single"/>
        </w:rPr>
        <w:t xml:space="preserve">                   </w:t>
      </w:r>
    </w:p>
    <w:p>
      <w:pPr>
        <w:spacing w:before="312" w:beforeLines="100" w:line="400" w:lineRule="exact"/>
        <w:rPr>
          <w:rFonts w:hint="eastAsia" w:ascii="仿宋" w:eastAsia="仿宋"/>
          <w:color w:val="auto"/>
          <w:sz w:val="30"/>
          <w:szCs w:val="30"/>
          <w:highlight w:val="none"/>
        </w:rPr>
      </w:pPr>
      <w:r>
        <w:rPr>
          <w:rFonts w:hint="eastAsia" w:ascii="仿宋" w:eastAsia="仿宋"/>
          <w:color w:val="auto"/>
          <w:sz w:val="30"/>
          <w:szCs w:val="30"/>
          <w:highlight w:val="none"/>
        </w:rPr>
        <w:t>标段编号：</w:t>
      </w:r>
      <w:r>
        <w:rPr>
          <w:rFonts w:hint="eastAsia" w:ascii="仿宋" w:eastAsia="仿宋"/>
          <w:color w:val="auto"/>
          <w:sz w:val="30"/>
          <w:szCs w:val="30"/>
          <w:highlight w:val="none"/>
          <w:u w:val="single"/>
        </w:rPr>
        <w:t xml:space="preserve">                    </w:t>
      </w:r>
    </w:p>
    <w:p>
      <w:pPr>
        <w:spacing w:line="1200" w:lineRule="exact"/>
        <w:ind w:right="6"/>
        <w:jc w:val="center"/>
        <w:rPr>
          <w:rFonts w:hint="eastAsia" w:ascii="仿宋" w:eastAsia="仿宋"/>
          <w:color w:val="auto"/>
          <w:sz w:val="72"/>
          <w:szCs w:val="72"/>
          <w:highlight w:val="none"/>
        </w:rPr>
      </w:pP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资</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格</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文</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件</w:t>
      </w:r>
    </w:p>
    <w:p>
      <w:pPr>
        <w:spacing w:line="500" w:lineRule="exact"/>
        <w:ind w:right="7"/>
        <w:jc w:val="both"/>
        <w:rPr>
          <w:rFonts w:hint="eastAsia" w:ascii="仿宋" w:eastAsia="仿宋"/>
          <w:color w:val="auto"/>
          <w:sz w:val="36"/>
          <w:szCs w:val="36"/>
          <w:highlight w:val="none"/>
        </w:rPr>
      </w:pPr>
    </w:p>
    <w:p>
      <w:pPr>
        <w:spacing w:line="500" w:lineRule="exact"/>
        <w:ind w:right="7"/>
        <w:jc w:val="center"/>
        <w:rPr>
          <w:rFonts w:hint="eastAsia" w:ascii="仿宋" w:eastAsia="仿宋"/>
          <w:color w:val="auto"/>
          <w:sz w:val="36"/>
          <w:szCs w:val="36"/>
          <w:highlight w:val="none"/>
        </w:rPr>
      </w:pPr>
    </w:p>
    <w:p>
      <w:pPr>
        <w:spacing w:line="400" w:lineRule="exact"/>
        <w:ind w:right="-110"/>
        <w:rPr>
          <w:rFonts w:ascii="仿宋" w:eastAsia="仿宋"/>
          <w:color w:val="auto"/>
          <w:spacing w:val="40"/>
          <w:sz w:val="30"/>
          <w:szCs w:val="30"/>
          <w:highlight w:val="none"/>
        </w:rPr>
      </w:pPr>
    </w:p>
    <w:p>
      <w:pPr>
        <w:spacing w:line="400" w:lineRule="exact"/>
        <w:ind w:right="-110"/>
        <w:rPr>
          <w:rFonts w:hint="eastAsia" w:ascii="仿宋" w:eastAsia="仿宋"/>
          <w:color w:val="auto"/>
          <w:spacing w:val="40"/>
          <w:sz w:val="30"/>
          <w:szCs w:val="30"/>
          <w:highlight w:val="none"/>
        </w:rPr>
      </w:pPr>
      <w:r>
        <w:rPr>
          <w:rFonts w:ascii="仿宋" w:eastAsia="仿宋"/>
          <w:color w:val="auto"/>
          <w:spacing w:val="40"/>
          <w:sz w:val="30"/>
          <w:szCs w:val="30"/>
          <w:highlight w:val="none"/>
        </w:rPr>
        <w:t>供应商</w:t>
      </w:r>
      <w:r>
        <w:rPr>
          <w:rFonts w:hint="eastAsia" w:ascii="仿宋" w:eastAsia="仿宋"/>
          <w:color w:val="auto"/>
          <w:spacing w:val="40"/>
          <w:sz w:val="30"/>
          <w:szCs w:val="30"/>
          <w:highlight w:val="none"/>
        </w:rPr>
        <w:t>名称（盖</w:t>
      </w:r>
      <w:r>
        <w:rPr>
          <w:rFonts w:ascii="仿宋" w:eastAsia="仿宋"/>
          <w:color w:val="auto"/>
          <w:spacing w:val="40"/>
          <w:sz w:val="30"/>
          <w:szCs w:val="30"/>
          <w:highlight w:val="none"/>
        </w:rPr>
        <w:t>公</w:t>
      </w:r>
      <w:r>
        <w:rPr>
          <w:rFonts w:hint="eastAsia" w:ascii="仿宋" w:eastAsia="仿宋"/>
          <w:color w:val="auto"/>
          <w:spacing w:val="40"/>
          <w:sz w:val="30"/>
          <w:szCs w:val="30"/>
          <w:highlight w:val="none"/>
        </w:rPr>
        <w:t>章）：</w:t>
      </w: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地    址：</w:t>
      </w: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日    期：</w:t>
      </w:r>
    </w:p>
    <w:p>
      <w:pPr>
        <w:snapToGrid w:val="0"/>
        <w:spacing w:before="156" w:beforeLines="50" w:after="50"/>
        <w:jc w:val="left"/>
        <w:rPr>
          <w:rFonts w:hint="eastAsia" w:ascii="仿宋" w:eastAsia="仿宋"/>
          <w:b/>
          <w:bCs/>
          <w:color w:val="auto"/>
          <w:sz w:val="30"/>
          <w:szCs w:val="30"/>
          <w:highlight w:val="none"/>
        </w:rPr>
      </w:pPr>
    </w:p>
    <w:p>
      <w:pPr>
        <w:pStyle w:val="2"/>
        <w:rPr>
          <w:rFonts w:hint="eastAsia" w:ascii="仿宋" w:eastAsia="仿宋"/>
          <w:b/>
          <w:bCs/>
          <w:color w:val="auto"/>
          <w:sz w:val="30"/>
          <w:szCs w:val="30"/>
          <w:highlight w:val="none"/>
        </w:rPr>
      </w:pPr>
    </w:p>
    <w:p>
      <w:pPr>
        <w:pStyle w:val="2"/>
        <w:rPr>
          <w:rFonts w:hint="eastAsia" w:ascii="仿宋" w:eastAsia="仿宋"/>
          <w:b/>
          <w:bCs/>
          <w:color w:val="auto"/>
          <w:sz w:val="30"/>
          <w:szCs w:val="30"/>
          <w:highlight w:val="none"/>
        </w:rPr>
      </w:pPr>
    </w:p>
    <w:p>
      <w:pPr>
        <w:pStyle w:val="2"/>
        <w:rPr>
          <w:rFonts w:hint="eastAsia" w:ascii="仿宋" w:eastAsia="仿宋"/>
          <w:b/>
          <w:bCs/>
          <w:color w:val="auto"/>
          <w:sz w:val="30"/>
          <w:szCs w:val="30"/>
          <w:highlight w:val="none"/>
        </w:rPr>
      </w:pPr>
    </w:p>
    <w:p>
      <w:pPr>
        <w:snapToGrid w:val="0"/>
        <w:spacing w:before="156" w:beforeLines="50" w:after="50"/>
        <w:jc w:val="left"/>
        <w:rPr>
          <w:rFonts w:hint="eastAsia" w:ascii="仿宋" w:eastAsia="仿宋"/>
          <w:b/>
          <w:bCs/>
          <w:color w:val="auto"/>
          <w:sz w:val="30"/>
          <w:szCs w:val="30"/>
          <w:highlight w:val="none"/>
        </w:rPr>
      </w:pPr>
      <w:r>
        <w:rPr>
          <w:rFonts w:hint="eastAsia" w:ascii="仿宋" w:eastAsia="仿宋"/>
          <w:b/>
          <w:bCs/>
          <w:color w:val="auto"/>
          <w:sz w:val="30"/>
          <w:szCs w:val="30"/>
          <w:highlight w:val="none"/>
        </w:rPr>
        <w:t>附件2：资格文件目录</w:t>
      </w:r>
    </w:p>
    <w:p>
      <w:pPr>
        <w:snapToGrid w:val="0"/>
        <w:spacing w:before="156" w:beforeLines="50" w:after="50"/>
        <w:jc w:val="center"/>
        <w:rPr>
          <w:rFonts w:hint="eastAsia" w:ascii="仿宋" w:eastAsia="仿宋" w:cs="仿宋_GB2312"/>
          <w:color w:val="auto"/>
          <w:sz w:val="30"/>
          <w:szCs w:val="30"/>
          <w:highlight w:val="none"/>
        </w:rPr>
      </w:pPr>
      <w:r>
        <w:rPr>
          <w:rFonts w:hint="eastAsia" w:ascii="仿宋" w:eastAsia="仿宋" w:cs="仿宋_GB2312"/>
          <w:color w:val="auto"/>
          <w:sz w:val="30"/>
          <w:szCs w:val="30"/>
          <w:highlight w:val="none"/>
        </w:rPr>
        <w:t>目 录</w:t>
      </w:r>
    </w:p>
    <w:p>
      <w:pPr>
        <w:pStyle w:val="40"/>
        <w:spacing w:line="360" w:lineRule="auto"/>
        <w:ind w:firstLine="0" w:firstLineChars="0"/>
        <w:jc w:val="left"/>
        <w:rPr>
          <w:rFonts w:hint="eastAsia" w:ascii="仿宋" w:eastAsia="仿宋" w:cs="仿宋_GB2312"/>
          <w:color w:val="auto"/>
          <w:highlight w:val="none"/>
        </w:rPr>
      </w:pPr>
      <w:r>
        <w:rPr>
          <w:rFonts w:hint="eastAsia" w:ascii="仿宋" w:eastAsia="仿宋" w:cs="仿宋_GB2312"/>
          <w:color w:val="auto"/>
          <w:highlight w:val="none"/>
        </w:rPr>
        <w:t>1.投标声明函 …………………………………………………………………（页码）</w:t>
      </w:r>
    </w:p>
    <w:p>
      <w:pPr>
        <w:pStyle w:val="40"/>
        <w:spacing w:line="360" w:lineRule="auto"/>
        <w:ind w:firstLine="0" w:firstLineChars="0"/>
        <w:jc w:val="left"/>
        <w:rPr>
          <w:rFonts w:hint="eastAsia" w:ascii="仿宋" w:eastAsia="仿宋" w:cs="仿宋_GB2312"/>
          <w:color w:val="auto"/>
          <w:highlight w:val="none"/>
        </w:rPr>
      </w:pPr>
      <w:r>
        <w:rPr>
          <w:rFonts w:hint="eastAsia" w:ascii="仿宋" w:eastAsia="仿宋" w:cs="仿宋_GB2312"/>
          <w:color w:val="auto"/>
          <w:sz w:val="24"/>
          <w:szCs w:val="24"/>
          <w:highlight w:val="none"/>
        </w:rPr>
        <w:t>2.联合体协议书（如有）</w:t>
      </w:r>
      <w:r>
        <w:rPr>
          <w:rFonts w:hint="eastAsia" w:ascii="仿宋" w:eastAsia="仿宋" w:cs="仿宋_GB2312"/>
          <w:color w:val="auto"/>
          <w:highlight w:val="none"/>
        </w:rPr>
        <w:t>……………………………………………………（页码）</w:t>
      </w:r>
    </w:p>
    <w:p>
      <w:pPr>
        <w:pStyle w:val="40"/>
        <w:spacing w:line="360" w:lineRule="auto"/>
        <w:ind w:firstLine="0" w:firstLineChars="0"/>
        <w:jc w:val="left"/>
        <w:rPr>
          <w:rFonts w:hint="eastAsia" w:ascii="仿宋" w:eastAsia="仿宋" w:cs="仿宋_GB2312"/>
          <w:color w:val="auto"/>
          <w:highlight w:val="none"/>
        </w:rPr>
      </w:pPr>
      <w:r>
        <w:rPr>
          <w:rFonts w:hint="eastAsia" w:ascii="仿宋" w:eastAsia="仿宋" w:cs="仿宋_GB2312"/>
          <w:color w:val="auto"/>
          <w:highlight w:val="none"/>
        </w:rPr>
        <w:t>3.法定代表人授权委托书……………………………………………………（页码）</w:t>
      </w:r>
    </w:p>
    <w:p>
      <w:pPr>
        <w:pStyle w:val="40"/>
        <w:spacing w:line="360" w:lineRule="auto"/>
        <w:ind w:firstLine="0" w:firstLineChars="0"/>
        <w:jc w:val="left"/>
        <w:rPr>
          <w:rFonts w:hint="eastAsia" w:ascii="仿宋" w:eastAsia="仿宋" w:cs="仿宋_GB2312"/>
          <w:color w:val="auto"/>
          <w:highlight w:val="none"/>
        </w:rPr>
      </w:pPr>
      <w:r>
        <w:rPr>
          <w:rFonts w:hint="eastAsia" w:ascii="仿宋" w:eastAsia="仿宋" w:cs="仿宋_GB2312"/>
          <w:color w:val="auto"/>
          <w:highlight w:val="none"/>
        </w:rPr>
        <w:t>4.法定代表人及其授权代表身份证…………………………………………（页码）</w:t>
      </w:r>
    </w:p>
    <w:p>
      <w:pPr>
        <w:pStyle w:val="40"/>
        <w:spacing w:line="360" w:lineRule="auto"/>
        <w:ind w:firstLine="0" w:firstLineChars="0"/>
        <w:jc w:val="left"/>
        <w:rPr>
          <w:rFonts w:hint="eastAsia" w:ascii="仿宋" w:eastAsia="仿宋" w:cs="仿宋_GB2312"/>
          <w:color w:val="auto"/>
          <w:sz w:val="24"/>
          <w:szCs w:val="24"/>
          <w:highlight w:val="none"/>
        </w:rPr>
      </w:pPr>
      <w:r>
        <w:rPr>
          <w:rFonts w:ascii="仿宋" w:eastAsia="仿宋" w:cs="仿宋_GB2312"/>
          <w:color w:val="auto"/>
          <w:sz w:val="24"/>
          <w:szCs w:val="24"/>
          <w:highlight w:val="none"/>
        </w:rPr>
        <w:t>5</w:t>
      </w:r>
      <w:r>
        <w:rPr>
          <w:rFonts w:hint="eastAsia" w:ascii="仿宋" w:eastAsia="仿宋" w:cs="仿宋_GB2312"/>
          <w:color w:val="auto"/>
          <w:sz w:val="24"/>
          <w:szCs w:val="24"/>
          <w:highlight w:val="none"/>
        </w:rPr>
        <w:t>.资格条件证明材料</w:t>
      </w:r>
    </w:p>
    <w:p>
      <w:pPr>
        <w:pStyle w:val="40"/>
        <w:spacing w:line="360" w:lineRule="auto"/>
        <w:ind w:firstLine="240" w:firstLineChars="100"/>
        <w:jc w:val="left"/>
        <w:rPr>
          <w:rFonts w:hint="eastAsia" w:ascii="仿宋" w:eastAsia="仿宋" w:cs="仿宋_GB2312"/>
          <w:color w:val="auto"/>
          <w:highlight w:val="none"/>
        </w:rPr>
      </w:pPr>
      <w:r>
        <w:rPr>
          <w:rFonts w:ascii="仿宋" w:eastAsia="仿宋" w:cs="仿宋_GB2312"/>
          <w:color w:val="auto"/>
          <w:highlight w:val="none"/>
        </w:rPr>
        <w:t>5</w:t>
      </w:r>
      <w:r>
        <w:rPr>
          <w:rFonts w:hint="eastAsia" w:ascii="仿宋" w:eastAsia="仿宋" w:cs="仿宋_GB2312"/>
          <w:color w:val="auto"/>
          <w:highlight w:val="none"/>
        </w:rPr>
        <w:t>.1营业执照(或事业法人登记证书)………………………………………（页码）</w:t>
      </w:r>
    </w:p>
    <w:p>
      <w:pPr>
        <w:pStyle w:val="40"/>
        <w:spacing w:line="360" w:lineRule="auto"/>
        <w:ind w:firstLine="240" w:firstLineChars="100"/>
        <w:jc w:val="left"/>
        <w:rPr>
          <w:rFonts w:hint="eastAsia" w:ascii="仿宋" w:eastAsia="仿宋" w:cs="仿宋_GB2312"/>
          <w:color w:val="auto"/>
          <w:highlight w:val="none"/>
        </w:rPr>
      </w:pPr>
      <w:r>
        <w:rPr>
          <w:rFonts w:ascii="仿宋" w:eastAsia="仿宋" w:cs="仿宋_GB2312"/>
          <w:color w:val="auto"/>
          <w:highlight w:val="none"/>
        </w:rPr>
        <w:t>5</w:t>
      </w:r>
      <w:r>
        <w:rPr>
          <w:rFonts w:hint="eastAsia" w:ascii="仿宋" w:eastAsia="仿宋" w:cs="仿宋_GB2312"/>
          <w:color w:val="auto"/>
          <w:highlight w:val="none"/>
        </w:rPr>
        <w:t>.</w:t>
      </w:r>
      <w:r>
        <w:rPr>
          <w:rFonts w:ascii="仿宋" w:eastAsia="仿宋" w:cs="仿宋_GB2312"/>
          <w:color w:val="auto"/>
          <w:highlight w:val="none"/>
        </w:rPr>
        <w:t>2</w:t>
      </w:r>
      <w:r>
        <w:rPr>
          <w:rFonts w:hint="eastAsia" w:ascii="仿宋" w:eastAsia="仿宋" w:cs="仿宋_GB2312"/>
          <w:color w:val="auto"/>
          <w:highlight w:val="none"/>
        </w:rPr>
        <w:t>特定资格条件的有关证明材料（如有）………………………………（页码）</w:t>
      </w:r>
    </w:p>
    <w:p>
      <w:pPr>
        <w:spacing w:line="360" w:lineRule="auto"/>
        <w:jc w:val="left"/>
        <w:rPr>
          <w:rFonts w:hint="eastAsia" w:ascii="仿宋" w:eastAsia="仿宋" w:cs="仿宋_GB2312"/>
          <w:b/>
          <w:bCs/>
          <w:color w:val="auto"/>
          <w:sz w:val="24"/>
          <w:highlight w:val="none"/>
        </w:rPr>
      </w:pPr>
    </w:p>
    <w:p>
      <w:pPr>
        <w:spacing w:line="360" w:lineRule="auto"/>
        <w:jc w:val="left"/>
        <w:rPr>
          <w:rFonts w:hint="eastAsia" w:ascii="仿宋" w:eastAsia="仿宋" w:cs="仿宋_GB2312"/>
          <w:b/>
          <w:bCs/>
          <w:color w:val="auto"/>
          <w:sz w:val="24"/>
          <w:highlight w:val="none"/>
        </w:rPr>
      </w:pPr>
      <w:r>
        <w:rPr>
          <w:rFonts w:hint="eastAsia" w:ascii="仿宋" w:eastAsia="仿宋"/>
          <w:b/>
          <w:bCs/>
          <w:color w:val="auto"/>
          <w:sz w:val="24"/>
          <w:szCs w:val="24"/>
          <w:highlight w:val="none"/>
          <w:u w:val="single"/>
          <w:shd w:val="solid" w:color="FFFF00" w:fill="FFFFFF"/>
        </w:rPr>
        <w:t>注：“资格文件”需按采购文件</w:t>
      </w:r>
      <w:r>
        <w:rPr>
          <w:rFonts w:ascii="仿宋" w:eastAsia="仿宋"/>
          <w:b/>
          <w:bCs/>
          <w:color w:val="auto"/>
          <w:sz w:val="24"/>
          <w:szCs w:val="24"/>
          <w:highlight w:val="none"/>
          <w:u w:val="single"/>
          <w:shd w:val="solid" w:color="FFFF00" w:fill="FFFFFF"/>
        </w:rPr>
        <w:t>要求的内容制作，复印件需加盖供应商公章，未按要求签署、盖章或内容实质性偏离的，资格审查不通过。</w:t>
      </w:r>
    </w:p>
    <w:p>
      <w:pPr>
        <w:pageBreakBefore/>
        <w:widowControl w:val="0"/>
        <w:rPr>
          <w:rFonts w:hint="eastAsia" w:ascii="仿宋" w:eastAsia="仿宋"/>
          <w:b/>
          <w:color w:val="auto"/>
          <w:sz w:val="28"/>
          <w:szCs w:val="28"/>
          <w:highlight w:val="none"/>
        </w:rPr>
      </w:pPr>
      <w:r>
        <w:rPr>
          <w:rFonts w:hint="eastAsia" w:ascii="仿宋" w:eastAsia="仿宋"/>
          <w:b/>
          <w:color w:val="auto"/>
          <w:sz w:val="28"/>
          <w:szCs w:val="28"/>
          <w:highlight w:val="none"/>
        </w:rPr>
        <w:t>附件3：投标声明函</w:t>
      </w:r>
    </w:p>
    <w:p>
      <w:pPr>
        <w:pStyle w:val="35"/>
        <w:spacing w:after="50" w:afterLines="0" w:line="440" w:lineRule="exact"/>
        <w:ind w:firstLine="0" w:firstLineChars="0"/>
        <w:rPr>
          <w:rFonts w:hint="eastAsia" w:ascii="仿宋" w:eastAsia="仿宋"/>
          <w:color w:val="auto"/>
          <w:szCs w:val="24"/>
          <w:highlight w:val="none"/>
        </w:rPr>
      </w:pPr>
      <w:r>
        <w:rPr>
          <w:rFonts w:hint="eastAsia" w:ascii="仿宋" w:eastAsia="仿宋"/>
          <w:color w:val="auto"/>
          <w:szCs w:val="24"/>
          <w:highlight w:val="none"/>
        </w:rPr>
        <w:t>致</w:t>
      </w:r>
      <w:r>
        <w:rPr>
          <w:rFonts w:hint="eastAsia" w:ascii="仿宋" w:eastAsia="仿宋"/>
          <w:color w:val="auto"/>
          <w:szCs w:val="24"/>
          <w:highlight w:val="none"/>
          <w:u w:val="single"/>
        </w:rPr>
        <w:t xml:space="preserve"> （填写采购代理机构或采购人名称） </w:t>
      </w:r>
      <w:r>
        <w:rPr>
          <w:rFonts w:hint="eastAsia" w:ascii="仿宋" w:eastAsia="仿宋"/>
          <w:color w:val="auto"/>
          <w:szCs w:val="24"/>
          <w:highlight w:val="none"/>
        </w:rPr>
        <w:t xml:space="preserve">： </w:t>
      </w:r>
    </w:p>
    <w:p>
      <w:pPr>
        <w:pStyle w:val="35"/>
        <w:spacing w:after="50" w:afterLines="0" w:line="440" w:lineRule="exact"/>
        <w:ind w:left="0" w:firstLine="480" w:firstLineChars="200"/>
        <w:rPr>
          <w:rFonts w:hint="eastAsia" w:ascii="仿宋" w:eastAsia="仿宋"/>
          <w:color w:val="auto"/>
          <w:szCs w:val="24"/>
          <w:highlight w:val="none"/>
        </w:rPr>
      </w:pPr>
      <w:r>
        <w:rPr>
          <w:rFonts w:hint="eastAsia" w:ascii="仿宋" w:eastAsia="仿宋"/>
          <w:color w:val="auto"/>
          <w:szCs w:val="24"/>
          <w:highlight w:val="none"/>
        </w:rPr>
        <w:t>我方</w:t>
      </w:r>
      <w:r>
        <w:rPr>
          <w:rFonts w:hint="eastAsia" w:ascii="仿宋" w:eastAsia="仿宋"/>
          <w:color w:val="auto"/>
          <w:szCs w:val="24"/>
          <w:highlight w:val="none"/>
          <w:u w:val="single"/>
        </w:rPr>
        <w:t xml:space="preserve">  （填写投标</w:t>
      </w:r>
      <w:r>
        <w:rPr>
          <w:rFonts w:ascii="仿宋" w:eastAsia="仿宋"/>
          <w:color w:val="auto"/>
          <w:szCs w:val="24"/>
          <w:highlight w:val="none"/>
          <w:u w:val="single"/>
        </w:rPr>
        <w:t>供应商</w:t>
      </w:r>
      <w:r>
        <w:rPr>
          <w:rFonts w:hint="eastAsia" w:ascii="仿宋" w:eastAsia="仿宋"/>
          <w:color w:val="auto"/>
          <w:szCs w:val="24"/>
          <w:highlight w:val="none"/>
          <w:u w:val="single"/>
        </w:rPr>
        <w:t xml:space="preserve">全称；联合体投标的写全部联合体成员）   </w:t>
      </w:r>
      <w:r>
        <w:rPr>
          <w:rFonts w:hint="eastAsia" w:ascii="仿宋" w:eastAsia="仿宋"/>
          <w:color w:val="auto"/>
          <w:szCs w:val="24"/>
          <w:highlight w:val="none"/>
        </w:rPr>
        <w:t>愿意参加贵方组织的</w:t>
      </w:r>
      <w:r>
        <w:rPr>
          <w:rFonts w:hint="eastAsia" w:ascii="仿宋" w:eastAsia="仿宋"/>
          <w:color w:val="auto"/>
          <w:szCs w:val="24"/>
          <w:highlight w:val="none"/>
          <w:u w:val="single"/>
        </w:rPr>
        <w:t>（填写招标项目名称）（采购编号：    ）</w:t>
      </w:r>
      <w:r>
        <w:rPr>
          <w:rFonts w:hint="eastAsia" w:ascii="仿宋" w:eastAsia="仿宋"/>
          <w:color w:val="auto"/>
          <w:szCs w:val="24"/>
          <w:highlight w:val="none"/>
        </w:rPr>
        <w:t>的投标，为此，我方就本次投标有关事项郑重声明如下：</w:t>
      </w:r>
    </w:p>
    <w:p>
      <w:pPr>
        <w:pStyle w:val="35"/>
        <w:spacing w:after="50" w:afterLines="0" w:line="440" w:lineRule="exact"/>
        <w:rPr>
          <w:rFonts w:hint="eastAsia" w:ascii="仿宋" w:eastAsia="仿宋"/>
          <w:color w:val="auto"/>
          <w:szCs w:val="24"/>
          <w:highlight w:val="none"/>
        </w:rPr>
      </w:pPr>
      <w:r>
        <w:rPr>
          <w:rFonts w:hint="eastAsia" w:ascii="仿宋" w:eastAsia="仿宋"/>
          <w:color w:val="auto"/>
          <w:szCs w:val="24"/>
          <w:highlight w:val="none"/>
        </w:rPr>
        <w:t>1.我方已详细审查全部采购文件，同意采购文件的各项要求。</w:t>
      </w:r>
    </w:p>
    <w:p>
      <w:pPr>
        <w:pStyle w:val="7"/>
        <w:tabs>
          <w:tab w:val="clear" w:pos="1697"/>
        </w:tabs>
        <w:spacing w:after="50" w:afterLines="0" w:line="440" w:lineRule="exact"/>
        <w:ind w:left="0" w:firstLine="480" w:firstLineChars="200"/>
        <w:rPr>
          <w:rFonts w:hint="eastAsia" w:ascii="仿宋" w:eastAsia="仿宋"/>
          <w:color w:val="auto"/>
          <w:szCs w:val="24"/>
          <w:highlight w:val="none"/>
        </w:rPr>
      </w:pPr>
      <w:r>
        <w:rPr>
          <w:rFonts w:hint="eastAsia" w:ascii="仿宋" w:eastAsia="仿宋"/>
          <w:color w:val="auto"/>
          <w:szCs w:val="24"/>
          <w:highlight w:val="none"/>
        </w:rPr>
        <w:t>2.若我方中标，承诺按采购文件、投标文件和合同的规定履行责任和义务。</w:t>
      </w:r>
    </w:p>
    <w:p>
      <w:pPr>
        <w:pStyle w:val="35"/>
        <w:spacing w:after="50" w:afterLines="0" w:line="440" w:lineRule="exact"/>
        <w:rPr>
          <w:rFonts w:hint="eastAsia" w:ascii="仿宋" w:eastAsia="仿宋"/>
          <w:color w:val="auto"/>
          <w:szCs w:val="24"/>
          <w:highlight w:val="none"/>
        </w:rPr>
      </w:pPr>
      <w:r>
        <w:rPr>
          <w:rFonts w:hint="eastAsia" w:ascii="仿宋" w:eastAsia="仿宋"/>
          <w:color w:val="auto"/>
          <w:szCs w:val="24"/>
          <w:highlight w:val="none"/>
        </w:rPr>
        <w:t>3.</w:t>
      </w:r>
      <w:r>
        <w:rPr>
          <w:rFonts w:hint="eastAsia" w:ascii="仿宋" w:eastAsia="仿宋" w:cs="仿宋_GB2312"/>
          <w:b/>
          <w:bCs/>
          <w:color w:val="auto"/>
          <w:sz w:val="24"/>
          <w:highlight w:val="none"/>
          <w:lang w:val="zh-CN"/>
        </w:rPr>
        <w:t>我方</w:t>
      </w:r>
      <w:r>
        <w:rPr>
          <w:rFonts w:hint="eastAsia" w:ascii="仿宋" w:eastAsia="仿宋" w:cs="仿宋_GB2312"/>
          <w:b/>
          <w:bCs/>
          <w:color w:val="auto"/>
          <w:sz w:val="24"/>
          <w:highlight w:val="none"/>
        </w:rPr>
        <w:t>声明参加本次政府采购活动前三年内，在经营活动中没有重大违法记录</w:t>
      </w:r>
      <w:r>
        <w:rPr>
          <w:rFonts w:hint="eastAsia" w:ascii="仿宋" w:eastAsia="仿宋" w:cs="仿宋_GB2312"/>
          <w:b/>
          <w:bCs/>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pStyle w:val="35"/>
        <w:spacing w:after="50" w:afterLines="0" w:line="440" w:lineRule="exact"/>
        <w:rPr>
          <w:rFonts w:hint="eastAsia" w:ascii="仿宋" w:eastAsia="仿宋"/>
          <w:color w:val="auto"/>
          <w:szCs w:val="24"/>
          <w:highlight w:val="none"/>
        </w:rPr>
      </w:pPr>
      <w:r>
        <w:rPr>
          <w:rFonts w:hint="eastAsia" w:ascii="仿宋" w:eastAsia="仿宋"/>
          <w:color w:val="auto"/>
          <w:highlight w:val="none"/>
        </w:rPr>
        <w:t>4.我方投标文件中填列的技术参数、配置、服务、数量等相关内容都是真实、准确的。保证在本次项目中所提供的资料全部真实和合法。同意向采购代理机构提供可能另外要求的与投标有关且合法的任何数据或资料。</w:t>
      </w:r>
    </w:p>
    <w:p>
      <w:pPr>
        <w:pStyle w:val="35"/>
        <w:spacing w:after="50" w:afterLines="0" w:line="440" w:lineRule="exact"/>
        <w:rPr>
          <w:rFonts w:hint="eastAsia" w:ascii="仿宋" w:eastAsia="仿宋"/>
          <w:color w:val="auto"/>
          <w:szCs w:val="24"/>
          <w:highlight w:val="none"/>
        </w:rPr>
      </w:pPr>
      <w:r>
        <w:rPr>
          <w:rFonts w:hint="eastAsia" w:ascii="仿宋" w:eastAsia="仿宋"/>
          <w:color w:val="auto"/>
          <w:szCs w:val="24"/>
          <w:highlight w:val="none"/>
        </w:rPr>
        <w:t>5.我方保证所供货物质量符合国家强制性规范和标准，达到采购文件规定的要求；</w:t>
      </w:r>
    </w:p>
    <w:p>
      <w:pPr>
        <w:pStyle w:val="7"/>
        <w:tabs>
          <w:tab w:val="clear" w:pos="1697"/>
        </w:tabs>
        <w:spacing w:after="50" w:afterLines="0" w:line="440" w:lineRule="exact"/>
        <w:ind w:left="0" w:firstLine="482" w:firstLineChars="200"/>
        <w:rPr>
          <w:rFonts w:hint="eastAsia" w:ascii="仿宋" w:eastAsia="仿宋"/>
          <w:b/>
          <w:bCs/>
          <w:color w:val="auto"/>
          <w:szCs w:val="24"/>
          <w:highlight w:val="none"/>
        </w:rPr>
      </w:pPr>
      <w:r>
        <w:rPr>
          <w:rFonts w:hint="eastAsia" w:ascii="仿宋" w:eastAsia="仿宋"/>
          <w:b/>
          <w:bCs/>
          <w:color w:val="auto"/>
          <w:highlight w:val="none"/>
        </w:rPr>
        <w:t>6.</w:t>
      </w:r>
      <w:r>
        <w:rPr>
          <w:rFonts w:hint="eastAsia" w:ascii="仿宋" w:eastAsia="仿宋"/>
          <w:b/>
          <w:bCs/>
          <w:color w:val="auto"/>
          <w:szCs w:val="24"/>
          <w:highlight w:val="none"/>
        </w:rPr>
        <w:t>我方承诺</w:t>
      </w:r>
      <w:r>
        <w:rPr>
          <w:rFonts w:ascii="仿宋" w:eastAsia="仿宋"/>
          <w:b/>
          <w:bCs/>
          <w:color w:val="auto"/>
          <w:szCs w:val="24"/>
          <w:highlight w:val="none"/>
        </w:rPr>
        <w:t>具备良好的财务制度</w:t>
      </w:r>
      <w:r>
        <w:rPr>
          <w:rFonts w:hint="eastAsia" w:ascii="仿宋" w:eastAsia="仿宋"/>
          <w:b/>
          <w:bCs/>
          <w:color w:val="auto"/>
          <w:szCs w:val="24"/>
          <w:highlight w:val="none"/>
        </w:rPr>
        <w:t>并且没有税收缴纳、社会保障等方面的失信记录。</w:t>
      </w:r>
    </w:p>
    <w:p>
      <w:pPr>
        <w:pStyle w:val="35"/>
        <w:spacing w:after="50" w:afterLines="0" w:line="440" w:lineRule="exact"/>
        <w:rPr>
          <w:rFonts w:hint="eastAsia" w:ascii="仿宋" w:eastAsia="仿宋"/>
          <w:color w:val="auto"/>
          <w:szCs w:val="24"/>
          <w:highlight w:val="none"/>
        </w:rPr>
      </w:pPr>
      <w:r>
        <w:rPr>
          <w:rFonts w:hint="eastAsia" w:ascii="仿宋" w:eastAsia="仿宋"/>
          <w:color w:val="auto"/>
          <w:sz w:val="24"/>
          <w:highlight w:val="none"/>
        </w:rPr>
        <w:t>7.我方对所投产品、方案、技术、服务等拥有合法的占有和处置权，并对涉及项目的所有内容可能侵权行为指控负责，保证不伤害采购人的利益。我方为执行本项目合同而提供的技术资料等归采购人所有。</w:t>
      </w:r>
    </w:p>
    <w:p>
      <w:pPr>
        <w:snapToGrid w:val="0"/>
        <w:spacing w:line="440" w:lineRule="exact"/>
        <w:ind w:firstLine="480" w:firstLineChars="200"/>
        <w:rPr>
          <w:rFonts w:hint="eastAsia" w:ascii="仿宋" w:eastAsia="仿宋"/>
          <w:color w:val="auto"/>
          <w:sz w:val="30"/>
          <w:szCs w:val="30"/>
          <w:highlight w:val="none"/>
        </w:rPr>
      </w:pPr>
      <w:r>
        <w:rPr>
          <w:rFonts w:hint="eastAsia" w:ascii="仿宋" w:eastAsia="仿宋" w:cs="仿宋_GB2312"/>
          <w:color w:val="auto"/>
          <w:sz w:val="24"/>
          <w:highlight w:val="none"/>
        </w:rPr>
        <w:t>8.我方承诺若违反《中华人民共和国政府采购法》第七十七条规定，愿接受依法处理。</w:t>
      </w:r>
    </w:p>
    <w:p>
      <w:pPr>
        <w:pStyle w:val="35"/>
        <w:spacing w:after="50" w:afterLines="0" w:line="440" w:lineRule="exact"/>
        <w:rPr>
          <w:rFonts w:hint="eastAsia" w:ascii="仿宋" w:eastAsia="仿宋"/>
          <w:color w:val="auto"/>
          <w:szCs w:val="24"/>
          <w:highlight w:val="none"/>
        </w:rPr>
      </w:pPr>
    </w:p>
    <w:p>
      <w:pPr>
        <w:pStyle w:val="35"/>
        <w:spacing w:after="50" w:afterLines="0" w:line="440" w:lineRule="exact"/>
        <w:rPr>
          <w:rFonts w:hint="eastAsia" w:ascii="仿宋" w:eastAsia="仿宋"/>
          <w:color w:val="auto"/>
          <w:szCs w:val="24"/>
          <w:highlight w:val="none"/>
        </w:rPr>
      </w:pPr>
      <w:r>
        <w:rPr>
          <w:rFonts w:hint="eastAsia" w:ascii="仿宋" w:eastAsia="仿宋"/>
          <w:color w:val="auto"/>
          <w:szCs w:val="24"/>
          <w:highlight w:val="none"/>
        </w:rPr>
        <w:t>法定代表人或其授权代表(签字或签章)：</w:t>
      </w:r>
    </w:p>
    <w:p>
      <w:pPr>
        <w:pStyle w:val="35"/>
        <w:spacing w:after="50" w:afterLines="0" w:line="440" w:lineRule="exact"/>
        <w:rPr>
          <w:rFonts w:hint="eastAsia" w:ascii="仿宋" w:eastAsia="仿宋"/>
          <w:color w:val="auto"/>
          <w:szCs w:val="24"/>
          <w:highlight w:val="none"/>
        </w:rPr>
      </w:pPr>
    </w:p>
    <w:p>
      <w:pPr>
        <w:pStyle w:val="35"/>
        <w:spacing w:after="50" w:afterLines="0" w:line="440" w:lineRule="exact"/>
        <w:rPr>
          <w:rFonts w:hint="eastAsia" w:ascii="仿宋" w:eastAsia="仿宋"/>
          <w:color w:val="auto"/>
          <w:szCs w:val="24"/>
          <w:highlight w:val="none"/>
        </w:rPr>
      </w:pPr>
      <w:r>
        <w:rPr>
          <w:rFonts w:ascii="仿宋" w:eastAsia="仿宋"/>
          <w:color w:val="auto"/>
          <w:szCs w:val="24"/>
          <w:highlight w:val="none"/>
        </w:rPr>
        <w:t>供应商</w:t>
      </w:r>
      <w:r>
        <w:rPr>
          <w:rFonts w:hint="eastAsia" w:ascii="仿宋" w:eastAsia="仿宋"/>
          <w:color w:val="auto"/>
          <w:szCs w:val="24"/>
          <w:highlight w:val="none"/>
        </w:rPr>
        <w:t>(盖</w:t>
      </w:r>
      <w:r>
        <w:rPr>
          <w:rFonts w:ascii="仿宋" w:eastAsia="仿宋"/>
          <w:color w:val="auto"/>
          <w:szCs w:val="24"/>
          <w:highlight w:val="none"/>
        </w:rPr>
        <w:t>公</w:t>
      </w:r>
      <w:r>
        <w:rPr>
          <w:rFonts w:hint="eastAsia" w:ascii="仿宋" w:eastAsia="仿宋"/>
          <w:color w:val="auto"/>
          <w:szCs w:val="24"/>
          <w:highlight w:val="none"/>
        </w:rPr>
        <w:t>章)：　　　　　　　　　　　　　　　　　　　　日期：</w:t>
      </w:r>
      <w:r>
        <w:rPr>
          <w:rFonts w:hint="eastAsia" w:ascii="仿宋" w:eastAsia="仿宋"/>
          <w:color w:val="auto"/>
          <w:szCs w:val="24"/>
          <w:highlight w:val="none"/>
          <w:u w:val="single"/>
        </w:rPr>
        <w:t xml:space="preserve">     </w:t>
      </w:r>
    </w:p>
    <w:p>
      <w:pPr>
        <w:pStyle w:val="35"/>
        <w:spacing w:after="50" w:afterLines="0" w:line="440" w:lineRule="exact"/>
        <w:rPr>
          <w:rFonts w:hint="eastAsia" w:ascii="仿宋" w:eastAsia="仿宋"/>
          <w:color w:val="auto"/>
          <w:szCs w:val="24"/>
          <w:highlight w:val="none"/>
        </w:rPr>
      </w:pPr>
    </w:p>
    <w:p>
      <w:pPr>
        <w:pStyle w:val="35"/>
        <w:spacing w:after="50" w:afterLines="0" w:line="440" w:lineRule="exact"/>
        <w:rPr>
          <w:rFonts w:hint="eastAsia" w:ascii="仿宋" w:eastAsia="仿宋"/>
          <w:color w:val="auto"/>
          <w:szCs w:val="24"/>
          <w:highlight w:val="none"/>
        </w:rPr>
      </w:pPr>
    </w:p>
    <w:p>
      <w:pPr>
        <w:pStyle w:val="35"/>
        <w:spacing w:after="50" w:afterLines="0" w:line="440" w:lineRule="exact"/>
        <w:ind w:left="0" w:firstLine="0" w:firstLineChars="0"/>
        <w:rPr>
          <w:rFonts w:hint="eastAsia" w:ascii="仿宋" w:eastAsia="仿宋"/>
          <w:b/>
          <w:bCs/>
          <w:color w:val="auto"/>
          <w:sz w:val="28"/>
          <w:szCs w:val="28"/>
          <w:highlight w:val="none"/>
        </w:rPr>
      </w:pPr>
      <w:r>
        <w:rPr>
          <w:rFonts w:hint="eastAsia" w:ascii="仿宋" w:eastAsia="仿宋"/>
          <w:b/>
          <w:bCs/>
          <w:color w:val="auto"/>
          <w:sz w:val="28"/>
          <w:szCs w:val="28"/>
          <w:highlight w:val="none"/>
        </w:rPr>
        <w:t>附件4：联合体协议书（如有）</w:t>
      </w:r>
    </w:p>
    <w:p>
      <w:pPr>
        <w:pStyle w:val="9"/>
        <w:overflowPunct w:val="0"/>
        <w:spacing w:line="360" w:lineRule="auto"/>
        <w:ind w:firstLine="0"/>
        <w:jc w:val="center"/>
        <w:rPr>
          <w:rFonts w:hint="eastAsia" w:ascii="仿宋" w:eastAsia="仿宋"/>
          <w:b/>
          <w:color w:val="auto"/>
          <w:spacing w:val="40"/>
          <w:kern w:val="0"/>
          <w:sz w:val="24"/>
          <w:szCs w:val="24"/>
          <w:highlight w:val="none"/>
        </w:rPr>
      </w:pPr>
      <w:r>
        <w:rPr>
          <w:rFonts w:hint="eastAsia" w:ascii="仿宋" w:eastAsia="仿宋"/>
          <w:b/>
          <w:color w:val="auto"/>
          <w:spacing w:val="40"/>
          <w:kern w:val="0"/>
          <w:sz w:val="24"/>
          <w:szCs w:val="24"/>
          <w:highlight w:val="none"/>
        </w:rPr>
        <w:t>联合体协议书</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甲方：</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乙方：</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（如果有的话，可按甲、乙、丙、丁…序列增加）</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 xml:space="preserve">各方经协商，就响应 </w:t>
      </w:r>
      <w:r>
        <w:rPr>
          <w:rFonts w:hint="eastAsia" w:ascii="仿宋" w:eastAsia="仿宋"/>
          <w:color w:val="auto"/>
          <w:sz w:val="24"/>
          <w:szCs w:val="24"/>
          <w:highlight w:val="none"/>
          <w:u w:val="single"/>
        </w:rPr>
        <w:t xml:space="preserve">  （填写采购代理机构名称）         </w:t>
      </w:r>
      <w:r>
        <w:rPr>
          <w:rFonts w:hint="eastAsia" w:ascii="仿宋" w:eastAsia="仿宋"/>
          <w:color w:val="auto"/>
          <w:sz w:val="24"/>
          <w:szCs w:val="24"/>
          <w:highlight w:val="none"/>
        </w:rPr>
        <w:t>组织实施的</w:t>
      </w:r>
      <w:r>
        <w:rPr>
          <w:rFonts w:hint="eastAsia" w:ascii="仿宋" w:eastAsia="仿宋"/>
          <w:color w:val="auto"/>
          <w:sz w:val="24"/>
          <w:szCs w:val="24"/>
          <w:highlight w:val="none"/>
          <w:u w:val="single"/>
        </w:rPr>
        <w:t xml:space="preserve"> （填写项目名称）  </w:t>
      </w:r>
      <w:r>
        <w:rPr>
          <w:rFonts w:hint="eastAsia" w:ascii="仿宋" w:eastAsia="仿宋"/>
          <w:color w:val="auto"/>
          <w:sz w:val="24"/>
          <w:szCs w:val="24"/>
          <w:highlight w:val="none"/>
        </w:rPr>
        <w:t>项目编号为</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的</w:t>
      </w:r>
      <w:r>
        <w:rPr>
          <w:rFonts w:ascii="仿宋" w:eastAsia="仿宋"/>
          <w:color w:val="auto"/>
          <w:sz w:val="24"/>
          <w:szCs w:val="24"/>
          <w:highlight w:val="none"/>
        </w:rPr>
        <w:t>采购</w:t>
      </w:r>
      <w:r>
        <w:rPr>
          <w:rFonts w:hint="eastAsia" w:ascii="仿宋" w:eastAsia="仿宋"/>
          <w:color w:val="auto"/>
          <w:sz w:val="24"/>
          <w:szCs w:val="24"/>
          <w:highlight w:val="none"/>
        </w:rPr>
        <w:t>活动联合进行投标之事宜，达成如下协议：</w:t>
      </w:r>
    </w:p>
    <w:p>
      <w:pPr>
        <w:pStyle w:val="9"/>
        <w:numPr>
          <w:ilvl w:val="0"/>
          <w:numId w:val="6"/>
        </w:numPr>
        <w:overflowPunct w:val="0"/>
        <w:spacing w:line="460" w:lineRule="exact"/>
        <w:ind w:left="0" w:firstLine="524"/>
        <w:rPr>
          <w:rFonts w:hint="eastAsia" w:ascii="仿宋" w:eastAsia="仿宋"/>
          <w:color w:val="auto"/>
          <w:sz w:val="24"/>
          <w:szCs w:val="24"/>
          <w:highlight w:val="none"/>
        </w:rPr>
      </w:pPr>
      <w:r>
        <w:rPr>
          <w:rFonts w:hint="eastAsia" w:ascii="仿宋" w:eastAsia="仿宋"/>
          <w:color w:val="auto"/>
          <w:sz w:val="24"/>
          <w:szCs w:val="24"/>
          <w:highlight w:val="none"/>
        </w:rPr>
        <w:t>各方一致决定组成一个联合体，以一个供应商的身份共同参加本项目采购。</w:t>
      </w:r>
    </w:p>
    <w:p>
      <w:pPr>
        <w:pStyle w:val="9"/>
        <w:numPr>
          <w:ilvl w:val="0"/>
          <w:numId w:val="6"/>
        </w:numPr>
        <w:overflowPunct w:val="0"/>
        <w:spacing w:line="460" w:lineRule="exact"/>
        <w:ind w:left="0" w:firstLine="524"/>
        <w:rPr>
          <w:rFonts w:hint="eastAsia" w:ascii="仿宋" w:eastAsia="仿宋"/>
          <w:color w:val="auto"/>
          <w:sz w:val="24"/>
          <w:szCs w:val="24"/>
          <w:highlight w:val="none"/>
        </w:rPr>
      </w:pPr>
      <w:r>
        <w:rPr>
          <w:rFonts w:hint="eastAsia" w:ascii="仿宋" w:eastAsia="仿宋"/>
          <w:color w:val="auto"/>
          <w:sz w:val="24"/>
          <w:szCs w:val="24"/>
          <w:highlight w:val="none"/>
        </w:rPr>
        <w:t xml:space="preserve">以 </w:t>
      </w:r>
      <w:r>
        <w:rPr>
          <w:rFonts w:hint="eastAsia" w:ascii="仿宋" w:eastAsia="仿宋"/>
          <w:color w:val="auto"/>
          <w:sz w:val="24"/>
          <w:szCs w:val="24"/>
          <w:highlight w:val="none"/>
          <w:u w:val="single"/>
        </w:rPr>
        <w:t xml:space="preserve">  （填写联合体牵头人名称）  </w:t>
      </w:r>
      <w:r>
        <w:rPr>
          <w:rFonts w:hint="eastAsia" w:ascii="仿宋" w:eastAsia="仿宋"/>
          <w:color w:val="auto"/>
          <w:sz w:val="24"/>
          <w:szCs w:val="24"/>
          <w:highlight w:val="none"/>
        </w:rPr>
        <w:t xml:space="preserve"> 为联合体牵头人，负责包括但不仅限于投标、配合处理质疑投诉等一切和采购活动相关的事宜。</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三、联合体各方对投标响应文件及开标过程中的各种书面承诺、澄清等均予以认可，对联合投标各方均产生约束力。</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四、如果中标，联合投标各方共同与采购人签订采购合同，共同履行对采购人所负有的全部义务并就采购合同约定的事项对采购人承担连带责任。</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五、联合体各方不再单独参加或与其他供应商另外组成联合体参加同一标段（项目）的采购活动，否则均被视为无效投标。</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六、如果中标，联合体各方在项目实施过程中承担的</w:t>
      </w:r>
      <w:r>
        <w:rPr>
          <w:rFonts w:hint="eastAsia" w:ascii="仿宋" w:eastAsia="仿宋"/>
          <w:color w:val="auto"/>
          <w:sz w:val="24"/>
          <w:szCs w:val="24"/>
          <w:highlight w:val="none"/>
          <w:lang w:eastAsia="zh-CN"/>
        </w:rPr>
        <w:t>货物和服务</w:t>
      </w:r>
      <w:r>
        <w:rPr>
          <w:rFonts w:hint="eastAsia" w:ascii="仿宋" w:eastAsia="仿宋"/>
          <w:color w:val="auto"/>
          <w:sz w:val="24"/>
          <w:szCs w:val="24"/>
          <w:highlight w:val="none"/>
        </w:rPr>
        <w:t>为：</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甲方：…            乙方：…</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w:t>
      </w:r>
    </w:p>
    <w:p>
      <w:pPr>
        <w:pStyle w:val="9"/>
        <w:overflowPunct w:val="0"/>
        <w:spacing w:line="460" w:lineRule="exact"/>
        <w:ind w:firstLine="513" w:firstLineChars="214"/>
        <w:rPr>
          <w:rFonts w:hint="eastAsia" w:ascii="仿宋" w:eastAsia="仿宋" w:cs="仿宋_GB2312"/>
          <w:color w:val="auto"/>
          <w:sz w:val="24"/>
          <w:highlight w:val="none"/>
        </w:rPr>
      </w:pPr>
      <w:r>
        <w:rPr>
          <w:rFonts w:hint="eastAsia" w:ascii="仿宋" w:eastAsia="仿宋"/>
          <w:color w:val="auto"/>
          <w:sz w:val="24"/>
          <w:szCs w:val="24"/>
          <w:highlight w:val="none"/>
        </w:rPr>
        <w:t>七、联合体各方在本项目实施过程中承担的</w:t>
      </w:r>
      <w:r>
        <w:rPr>
          <w:rFonts w:hint="eastAsia" w:ascii="仿宋" w:eastAsia="仿宋" w:cs="仿宋_GB2312"/>
          <w:color w:val="auto"/>
          <w:sz w:val="24"/>
          <w:highlight w:val="none"/>
        </w:rPr>
        <w:t>合同比例分别为：</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甲方：…            乙方：…</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八、本协议签约各方各持一份，并作为投标文件的一部分。</w:t>
      </w:r>
    </w:p>
    <w:p>
      <w:pPr>
        <w:pStyle w:val="9"/>
        <w:overflowPunct w:val="0"/>
        <w:spacing w:line="460" w:lineRule="exact"/>
        <w:ind w:firstLine="513" w:firstLineChars="214"/>
        <w:rPr>
          <w:rFonts w:hint="eastAsia" w:ascii="仿宋" w:eastAsia="仿宋"/>
          <w:color w:val="auto"/>
          <w:sz w:val="24"/>
          <w:szCs w:val="24"/>
          <w:highlight w:val="none"/>
        </w:rPr>
      </w:pPr>
    </w:p>
    <w:p>
      <w:pPr>
        <w:pStyle w:val="9"/>
        <w:overflowPunct w:val="0"/>
        <w:spacing w:line="460" w:lineRule="exact"/>
        <w:ind w:firstLine="513" w:firstLineChars="214"/>
        <w:rPr>
          <w:rFonts w:hint="eastAsia" w:ascii="仿宋" w:eastAsia="仿宋"/>
          <w:color w:val="auto"/>
          <w:sz w:val="24"/>
          <w:szCs w:val="24"/>
          <w:highlight w:val="none"/>
        </w:rPr>
      </w:pPr>
    </w:p>
    <w:tbl>
      <w:tblPr>
        <w:tblStyle w:val="28"/>
        <w:tblW w:w="85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4"/>
        <w:gridCol w:w="42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4" w:type="dxa"/>
            <w:tcBorders>
              <w:top w:val="nil"/>
              <w:left w:val="nil"/>
              <w:bottom w:val="nil"/>
              <w:right w:val="nil"/>
            </w:tcBorders>
          </w:tcPr>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甲方单位：       （公章）</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法定代表人：     （签章）</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日  期：  年  月   日</w:t>
            </w:r>
          </w:p>
        </w:tc>
        <w:tc>
          <w:tcPr>
            <w:tcW w:w="4264" w:type="dxa"/>
            <w:tcBorders>
              <w:top w:val="nil"/>
              <w:left w:val="nil"/>
              <w:bottom w:val="nil"/>
              <w:right w:val="nil"/>
            </w:tcBorders>
          </w:tcPr>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乙方单位：       （公章）</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法定代表人：     （签章）</w:t>
            </w:r>
          </w:p>
          <w:p>
            <w:pPr>
              <w:pStyle w:val="9"/>
              <w:overflowPunct w:val="0"/>
              <w:spacing w:line="460" w:lineRule="exact"/>
              <w:ind w:firstLine="513" w:firstLineChars="214"/>
              <w:rPr>
                <w:rFonts w:hint="eastAsia" w:ascii="仿宋" w:eastAsia="仿宋"/>
                <w:color w:val="auto"/>
                <w:sz w:val="24"/>
                <w:szCs w:val="24"/>
                <w:highlight w:val="none"/>
              </w:rPr>
            </w:pPr>
            <w:r>
              <w:rPr>
                <w:rFonts w:hint="eastAsia" w:ascii="仿宋" w:eastAsia="仿宋"/>
                <w:color w:val="auto"/>
                <w:sz w:val="24"/>
                <w:szCs w:val="24"/>
                <w:highlight w:val="none"/>
              </w:rPr>
              <w:t>日  期：  年  月   日</w:t>
            </w:r>
          </w:p>
        </w:tc>
      </w:tr>
    </w:tbl>
    <w:p>
      <w:pPr>
        <w:pStyle w:val="35"/>
        <w:spacing w:after="50" w:afterLines="0" w:line="440" w:lineRule="exact"/>
        <w:ind w:left="0" w:firstLine="0" w:firstLineChars="0"/>
        <w:rPr>
          <w:rFonts w:hint="eastAsia" w:ascii="仿宋" w:eastAsia="仿宋"/>
          <w:b/>
          <w:bCs/>
          <w:color w:val="auto"/>
          <w:sz w:val="28"/>
          <w:szCs w:val="28"/>
          <w:highlight w:val="none"/>
        </w:rPr>
      </w:pPr>
    </w:p>
    <w:p>
      <w:pPr>
        <w:pStyle w:val="35"/>
        <w:spacing w:after="50" w:afterLines="0" w:line="440" w:lineRule="exact"/>
        <w:ind w:left="0" w:firstLine="0" w:firstLineChars="0"/>
        <w:rPr>
          <w:rFonts w:hint="eastAsia" w:ascii="仿宋" w:eastAsia="仿宋"/>
          <w:b/>
          <w:bCs/>
          <w:color w:val="auto"/>
          <w:sz w:val="28"/>
          <w:szCs w:val="28"/>
          <w:highlight w:val="none"/>
        </w:rPr>
      </w:pPr>
      <w:r>
        <w:rPr>
          <w:rFonts w:hint="eastAsia" w:ascii="仿宋" w:eastAsia="仿宋"/>
          <w:b/>
          <w:bCs/>
          <w:color w:val="auto"/>
          <w:sz w:val="28"/>
          <w:szCs w:val="28"/>
          <w:highlight w:val="none"/>
        </w:rPr>
        <w:t>附件5：法定代表人授权委托书</w:t>
      </w:r>
    </w:p>
    <w:p>
      <w:pPr>
        <w:snapToGrid w:val="0"/>
        <w:spacing w:before="50" w:after="50"/>
        <w:jc w:val="center"/>
        <w:rPr>
          <w:rFonts w:hint="eastAsia" w:ascii="仿宋" w:eastAsia="仿宋"/>
          <w:b/>
          <w:color w:val="auto"/>
          <w:sz w:val="36"/>
          <w:szCs w:val="36"/>
          <w:highlight w:val="none"/>
        </w:rPr>
      </w:pPr>
    </w:p>
    <w:p>
      <w:pPr>
        <w:snapToGrid w:val="0"/>
        <w:spacing w:before="50" w:after="50"/>
        <w:jc w:val="center"/>
        <w:rPr>
          <w:rFonts w:hint="eastAsia" w:ascii="仿宋" w:eastAsia="仿宋"/>
          <w:b/>
          <w:color w:val="auto"/>
          <w:sz w:val="36"/>
          <w:szCs w:val="36"/>
          <w:highlight w:val="none"/>
        </w:rPr>
      </w:pPr>
      <w:r>
        <w:rPr>
          <w:rFonts w:hint="eastAsia" w:ascii="仿宋" w:eastAsia="仿宋"/>
          <w:b/>
          <w:color w:val="auto"/>
          <w:sz w:val="36"/>
          <w:szCs w:val="36"/>
          <w:highlight w:val="none"/>
        </w:rPr>
        <w:t>法定代表人授权委托书</w:t>
      </w:r>
    </w:p>
    <w:p>
      <w:pPr>
        <w:snapToGrid w:val="0"/>
        <w:spacing w:before="156" w:beforeLines="50" w:after="50" w:line="460" w:lineRule="exact"/>
        <w:rPr>
          <w:rFonts w:hint="eastAsia" w:ascii="仿宋" w:eastAsia="仿宋"/>
          <w:b/>
          <w:bCs/>
          <w:color w:val="auto"/>
          <w:sz w:val="24"/>
          <w:szCs w:val="24"/>
          <w:highlight w:val="none"/>
        </w:rPr>
      </w:pPr>
      <w:r>
        <w:rPr>
          <w:rFonts w:hint="eastAsia" w:ascii="仿宋" w:eastAsia="仿宋"/>
          <w:bCs/>
          <w:color w:val="auto"/>
          <w:sz w:val="24"/>
          <w:szCs w:val="24"/>
          <w:highlight w:val="none"/>
        </w:rPr>
        <w:t>致</w:t>
      </w:r>
      <w:r>
        <w:rPr>
          <w:rFonts w:ascii="仿宋" w:eastAsia="仿宋"/>
          <w:bCs/>
          <w:color w:val="auto"/>
          <w:sz w:val="24"/>
          <w:szCs w:val="24"/>
          <w:highlight w:val="none"/>
          <w:u w:val="single"/>
        </w:rPr>
        <w:t>（填写采购代理机构或采购人名称）</w:t>
      </w:r>
      <w:r>
        <w:rPr>
          <w:rFonts w:hint="eastAsia" w:ascii="仿宋" w:eastAsia="仿宋"/>
          <w:bCs/>
          <w:color w:val="auto"/>
          <w:sz w:val="24"/>
          <w:szCs w:val="24"/>
          <w:highlight w:val="none"/>
        </w:rPr>
        <w:t>：</w:t>
      </w:r>
    </w:p>
    <w:p>
      <w:pPr>
        <w:snapToGrid w:val="0"/>
        <w:spacing w:before="156" w:beforeLines="50" w:after="50" w:line="460" w:lineRule="exact"/>
        <w:ind w:firstLine="720" w:firstLineChars="300"/>
        <w:rPr>
          <w:rFonts w:hint="eastAsia" w:ascii="仿宋" w:eastAsia="仿宋"/>
          <w:color w:val="auto"/>
          <w:sz w:val="24"/>
          <w:szCs w:val="24"/>
          <w:highlight w:val="none"/>
        </w:rPr>
      </w:pPr>
      <w:r>
        <w:rPr>
          <w:rFonts w:hint="eastAsia" w:ascii="仿宋" w:eastAsia="仿宋"/>
          <w:color w:val="auto"/>
          <w:sz w:val="24"/>
          <w:szCs w:val="24"/>
          <w:highlight w:val="none"/>
        </w:rPr>
        <w:t>我</w:t>
      </w:r>
      <w:r>
        <w:rPr>
          <w:rFonts w:hint="eastAsia" w:ascii="仿宋" w:eastAsia="仿宋"/>
          <w:color w:val="auto"/>
          <w:sz w:val="24"/>
          <w:szCs w:val="24"/>
          <w:highlight w:val="none"/>
          <w:u w:val="single"/>
        </w:rPr>
        <w:t xml:space="preserve">  （姓名） </w:t>
      </w:r>
      <w:r>
        <w:rPr>
          <w:rFonts w:hint="eastAsia" w:ascii="仿宋" w:eastAsia="仿宋"/>
          <w:color w:val="auto"/>
          <w:sz w:val="24"/>
          <w:szCs w:val="24"/>
          <w:highlight w:val="none"/>
        </w:rPr>
        <w:t>系</w:t>
      </w:r>
      <w:r>
        <w:rPr>
          <w:rFonts w:hint="eastAsia" w:ascii="仿宋" w:eastAsia="仿宋"/>
          <w:color w:val="auto"/>
          <w:sz w:val="24"/>
          <w:szCs w:val="24"/>
          <w:highlight w:val="none"/>
          <w:u w:val="single"/>
        </w:rPr>
        <w:t xml:space="preserve">  （</w:t>
      </w:r>
      <w:r>
        <w:rPr>
          <w:rFonts w:ascii="仿宋" w:eastAsia="仿宋"/>
          <w:color w:val="auto"/>
          <w:sz w:val="24"/>
          <w:szCs w:val="24"/>
          <w:highlight w:val="none"/>
          <w:u w:val="single"/>
        </w:rPr>
        <w:t>供应商</w:t>
      </w:r>
      <w:r>
        <w:rPr>
          <w:rFonts w:hint="eastAsia" w:ascii="仿宋" w:eastAsia="仿宋"/>
          <w:color w:val="auto"/>
          <w:sz w:val="24"/>
          <w:szCs w:val="24"/>
          <w:highlight w:val="none"/>
          <w:u w:val="single"/>
        </w:rPr>
        <w:t xml:space="preserve">或联合体牵头人全称） </w:t>
      </w:r>
      <w:r>
        <w:rPr>
          <w:rFonts w:hint="eastAsia" w:ascii="仿宋" w:eastAsia="仿宋"/>
          <w:color w:val="auto"/>
          <w:sz w:val="24"/>
          <w:szCs w:val="24"/>
          <w:highlight w:val="none"/>
        </w:rPr>
        <w:t xml:space="preserve">的法定代表人，现授权委托 </w:t>
      </w:r>
      <w:r>
        <w:rPr>
          <w:rFonts w:hint="eastAsia" w:ascii="仿宋" w:eastAsia="仿宋"/>
          <w:color w:val="auto"/>
          <w:sz w:val="24"/>
          <w:szCs w:val="24"/>
          <w:highlight w:val="none"/>
          <w:u w:val="single"/>
        </w:rPr>
        <w:t xml:space="preserve"> （姓名） </w:t>
      </w:r>
      <w:r>
        <w:rPr>
          <w:rFonts w:hint="eastAsia" w:ascii="仿宋" w:eastAsia="仿宋"/>
          <w:color w:val="auto"/>
          <w:sz w:val="24"/>
          <w:szCs w:val="24"/>
          <w:highlight w:val="none"/>
        </w:rPr>
        <w:t>为授权代表，以我方的名义参加</w:t>
      </w:r>
      <w:r>
        <w:rPr>
          <w:rFonts w:hint="eastAsia" w:ascii="仿宋" w:eastAsia="仿宋"/>
          <w:color w:val="auto"/>
          <w:sz w:val="24"/>
          <w:szCs w:val="24"/>
          <w:highlight w:val="none"/>
          <w:u w:val="single"/>
        </w:rPr>
        <w:t xml:space="preserve">   （项目名称及编号）    </w:t>
      </w:r>
      <w:r>
        <w:rPr>
          <w:rFonts w:hint="eastAsia" w:ascii="仿宋" w:eastAsia="仿宋"/>
          <w:color w:val="auto"/>
          <w:sz w:val="24"/>
          <w:szCs w:val="24"/>
          <w:highlight w:val="none"/>
        </w:rPr>
        <w:t>的投标活动，并代表我方全权办理针对上述项目的投标、开标、评标、签约等具体事务和签署相关文件。我方对授权代表的签名事项负全部认可并承担责任。</w:t>
      </w:r>
    </w:p>
    <w:p>
      <w:pPr>
        <w:snapToGrid w:val="0"/>
        <w:spacing w:before="156" w:beforeLines="50" w:after="50" w:line="460" w:lineRule="exact"/>
        <w:ind w:firstLine="480"/>
        <w:rPr>
          <w:rFonts w:hint="eastAsia" w:ascii="仿宋" w:eastAsia="仿宋"/>
          <w:color w:val="auto"/>
          <w:sz w:val="24"/>
          <w:szCs w:val="24"/>
          <w:highlight w:val="none"/>
        </w:rPr>
      </w:pPr>
      <w:r>
        <w:rPr>
          <w:rFonts w:hint="eastAsia" w:ascii="仿宋" w:eastAsia="仿宋"/>
          <w:color w:val="auto"/>
          <w:sz w:val="24"/>
          <w:szCs w:val="24"/>
          <w:highlight w:val="none"/>
        </w:rPr>
        <w:t>在撤销授权的书面通知以前，本授权书一直有效。授权代表在授权书有效期内签署的所有文件不因授权的撤销而失效。</w:t>
      </w:r>
    </w:p>
    <w:p>
      <w:pPr>
        <w:snapToGrid w:val="0"/>
        <w:spacing w:before="156" w:beforeLines="50" w:after="50" w:line="460" w:lineRule="exact"/>
        <w:ind w:firstLine="480"/>
        <w:rPr>
          <w:rFonts w:hint="eastAsia" w:ascii="仿宋" w:eastAsia="仿宋"/>
          <w:color w:val="auto"/>
          <w:sz w:val="24"/>
          <w:szCs w:val="24"/>
          <w:highlight w:val="none"/>
        </w:rPr>
      </w:pPr>
      <w:r>
        <w:rPr>
          <w:rFonts w:hint="eastAsia" w:ascii="仿宋" w:eastAsia="仿宋"/>
          <w:color w:val="auto"/>
          <w:sz w:val="24"/>
          <w:szCs w:val="24"/>
          <w:highlight w:val="none"/>
        </w:rPr>
        <w:t>授权代表无转委托权，特此委托。</w:t>
      </w:r>
    </w:p>
    <w:p>
      <w:pPr>
        <w:snapToGrid w:val="0"/>
        <w:spacing w:before="156" w:beforeLines="50" w:after="50" w:line="460" w:lineRule="exact"/>
        <w:ind w:firstLine="480"/>
        <w:rPr>
          <w:rFonts w:hint="eastAsia" w:ascii="仿宋" w:eastAsia="仿宋"/>
          <w:color w:val="auto"/>
          <w:sz w:val="24"/>
          <w:szCs w:val="24"/>
          <w:highlight w:val="none"/>
        </w:rPr>
      </w:pPr>
    </w:p>
    <w:p>
      <w:pPr>
        <w:snapToGrid w:val="0"/>
        <w:spacing w:before="156" w:beforeLines="50" w:after="50" w:line="460" w:lineRule="exact"/>
        <w:rPr>
          <w:rFonts w:hint="eastAsia" w:ascii="仿宋" w:eastAsia="仿宋"/>
          <w:color w:val="auto"/>
          <w:sz w:val="24"/>
          <w:szCs w:val="24"/>
          <w:highlight w:val="none"/>
        </w:rPr>
      </w:pPr>
      <w:r>
        <w:rPr>
          <w:rFonts w:hint="eastAsia" w:ascii="仿宋" w:eastAsia="仿宋"/>
          <w:color w:val="auto"/>
          <w:sz w:val="24"/>
          <w:szCs w:val="24"/>
          <w:highlight w:val="none"/>
        </w:rPr>
        <w:t xml:space="preserve">授权代表签字（或盖章）：      </w:t>
      </w:r>
    </w:p>
    <w:p>
      <w:pPr>
        <w:snapToGrid w:val="0"/>
        <w:spacing w:before="156" w:beforeLines="50" w:after="50" w:line="460" w:lineRule="exact"/>
        <w:rPr>
          <w:rFonts w:hint="eastAsia" w:ascii="仿宋" w:eastAsia="仿宋"/>
          <w:color w:val="auto"/>
          <w:sz w:val="24"/>
          <w:szCs w:val="24"/>
          <w:highlight w:val="none"/>
        </w:rPr>
      </w:pPr>
      <w:r>
        <w:rPr>
          <w:rFonts w:hint="eastAsia" w:ascii="仿宋" w:eastAsia="仿宋"/>
          <w:color w:val="auto"/>
          <w:sz w:val="24"/>
          <w:szCs w:val="24"/>
          <w:highlight w:val="none"/>
        </w:rPr>
        <w:t>授权代表身份证号码：</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 xml:space="preserve"> </w:t>
      </w:r>
    </w:p>
    <w:p>
      <w:pPr>
        <w:snapToGrid w:val="0"/>
        <w:spacing w:before="156" w:beforeLines="50" w:after="50" w:line="460" w:lineRule="exact"/>
        <w:rPr>
          <w:rFonts w:hint="eastAsia" w:ascii="仿宋" w:eastAsia="仿宋"/>
          <w:color w:val="auto"/>
          <w:sz w:val="24"/>
          <w:szCs w:val="24"/>
          <w:highlight w:val="none"/>
        </w:rPr>
      </w:pPr>
    </w:p>
    <w:p>
      <w:pPr>
        <w:snapToGrid w:val="0"/>
        <w:spacing w:before="156" w:beforeLines="50" w:after="50" w:line="460" w:lineRule="exact"/>
        <w:rPr>
          <w:rFonts w:hint="eastAsia" w:ascii="仿宋" w:eastAsia="仿宋"/>
          <w:color w:val="auto"/>
          <w:sz w:val="24"/>
          <w:szCs w:val="24"/>
          <w:highlight w:val="none"/>
          <w:u w:val="single"/>
        </w:rPr>
      </w:pPr>
      <w:r>
        <w:rPr>
          <w:rFonts w:hint="eastAsia" w:ascii="仿宋" w:eastAsia="仿宋"/>
          <w:color w:val="auto"/>
          <w:sz w:val="24"/>
          <w:szCs w:val="24"/>
          <w:highlight w:val="none"/>
        </w:rPr>
        <w:t>法定代表人签字（或盖章）：</w:t>
      </w:r>
    </w:p>
    <w:p>
      <w:pPr>
        <w:snapToGrid w:val="0"/>
        <w:spacing w:before="156" w:beforeLines="50" w:after="50" w:line="460" w:lineRule="exact"/>
        <w:rPr>
          <w:rFonts w:hint="eastAsia" w:ascii="仿宋" w:eastAsia="仿宋"/>
          <w:color w:val="auto"/>
          <w:sz w:val="24"/>
          <w:szCs w:val="24"/>
          <w:highlight w:val="none"/>
        </w:rPr>
      </w:pPr>
      <w:r>
        <w:rPr>
          <w:rFonts w:hint="eastAsia" w:ascii="仿宋" w:eastAsia="仿宋"/>
          <w:color w:val="auto"/>
          <w:sz w:val="24"/>
          <w:szCs w:val="24"/>
          <w:highlight w:val="none"/>
        </w:rPr>
        <w:t>法定代表人身份证号码：</w:t>
      </w:r>
      <w:r>
        <w:rPr>
          <w:rFonts w:hint="eastAsia" w:ascii="仿宋" w:eastAsia="仿宋"/>
          <w:color w:val="auto"/>
          <w:sz w:val="24"/>
          <w:szCs w:val="24"/>
          <w:highlight w:val="none"/>
          <w:u w:val="single"/>
        </w:rPr>
        <w:t xml:space="preserve">                         </w:t>
      </w:r>
    </w:p>
    <w:p>
      <w:pPr>
        <w:snapToGrid w:val="0"/>
        <w:spacing w:before="156" w:beforeLines="50" w:after="50" w:line="460" w:lineRule="exact"/>
        <w:rPr>
          <w:rFonts w:hint="eastAsia" w:ascii="仿宋" w:eastAsia="仿宋"/>
          <w:color w:val="auto"/>
          <w:sz w:val="24"/>
          <w:szCs w:val="24"/>
          <w:highlight w:val="none"/>
        </w:rPr>
      </w:pPr>
    </w:p>
    <w:p>
      <w:pPr>
        <w:snapToGrid w:val="0"/>
        <w:spacing w:before="156" w:beforeLines="50" w:after="50" w:line="460" w:lineRule="exact"/>
        <w:rPr>
          <w:rFonts w:hint="eastAsia" w:ascii="仿宋" w:eastAsia="仿宋"/>
          <w:color w:val="auto"/>
          <w:sz w:val="24"/>
          <w:szCs w:val="24"/>
          <w:highlight w:val="none"/>
        </w:rPr>
      </w:pPr>
      <w:r>
        <w:rPr>
          <w:rFonts w:hint="eastAsia" w:ascii="仿宋" w:eastAsia="仿宋"/>
          <w:color w:val="auto"/>
          <w:sz w:val="24"/>
          <w:szCs w:val="24"/>
          <w:highlight w:val="none"/>
        </w:rPr>
        <w:t xml:space="preserve">                                     </w:t>
      </w:r>
    </w:p>
    <w:p>
      <w:pPr>
        <w:snapToGrid w:val="0"/>
        <w:spacing w:before="156" w:beforeLines="50" w:after="50" w:line="460" w:lineRule="exact"/>
        <w:rPr>
          <w:rFonts w:hint="eastAsia" w:ascii="仿宋" w:eastAsia="仿宋"/>
          <w:color w:val="auto"/>
          <w:sz w:val="24"/>
          <w:szCs w:val="24"/>
          <w:highlight w:val="none"/>
          <w:u w:val="single"/>
        </w:rPr>
      </w:pPr>
      <w:r>
        <w:rPr>
          <w:rFonts w:ascii="仿宋" w:eastAsia="仿宋"/>
          <w:color w:val="auto"/>
          <w:sz w:val="24"/>
          <w:szCs w:val="24"/>
          <w:highlight w:val="none"/>
        </w:rPr>
        <w:t>供应商</w:t>
      </w:r>
      <w:r>
        <w:rPr>
          <w:rFonts w:hint="eastAsia" w:ascii="仿宋" w:eastAsia="仿宋"/>
          <w:color w:val="auto"/>
          <w:sz w:val="24"/>
          <w:szCs w:val="24"/>
          <w:highlight w:val="none"/>
        </w:rPr>
        <w:t>全称（盖公章）：            日  期：</w:t>
      </w:r>
      <w:r>
        <w:rPr>
          <w:rFonts w:hint="eastAsia" w:ascii="仿宋" w:eastAsia="仿宋"/>
          <w:color w:val="auto"/>
          <w:sz w:val="24"/>
          <w:szCs w:val="24"/>
          <w:highlight w:val="none"/>
          <w:u w:val="single"/>
        </w:rPr>
        <w:t xml:space="preserve">     年   月  日</w:t>
      </w:r>
    </w:p>
    <w:p>
      <w:pPr>
        <w:widowControl/>
        <w:jc w:val="left"/>
        <w:rPr>
          <w:rFonts w:hint="eastAsia" w:ascii="仿宋" w:eastAsia="仿宋"/>
          <w:color w:val="auto"/>
          <w:sz w:val="24"/>
          <w:szCs w:val="24"/>
          <w:highlight w:val="none"/>
          <w:u w:val="single"/>
        </w:rPr>
      </w:pPr>
    </w:p>
    <w:p>
      <w:pPr>
        <w:widowControl/>
        <w:jc w:val="left"/>
        <w:rPr>
          <w:rFonts w:hint="eastAsia" w:ascii="仿宋" w:eastAsia="仿宋"/>
          <w:color w:val="auto"/>
          <w:sz w:val="24"/>
          <w:szCs w:val="24"/>
          <w:highlight w:val="none"/>
          <w:u w:val="single"/>
        </w:rPr>
      </w:pPr>
    </w:p>
    <w:p>
      <w:pPr>
        <w:snapToGrid w:val="0"/>
        <w:spacing w:before="50" w:after="50"/>
        <w:jc w:val="left"/>
        <w:rPr>
          <w:rFonts w:hint="eastAsia" w:ascii="仿宋" w:eastAsia="仿宋"/>
          <w:b/>
          <w:bCs/>
          <w:color w:val="auto"/>
          <w:sz w:val="24"/>
          <w:szCs w:val="24"/>
          <w:highlight w:val="none"/>
          <w:u w:val="single"/>
        </w:rPr>
      </w:pPr>
      <w:r>
        <w:rPr>
          <w:rFonts w:hint="eastAsia" w:ascii="仿宋" w:eastAsia="仿宋"/>
          <w:b/>
          <w:bCs/>
          <w:color w:val="auto"/>
          <w:sz w:val="24"/>
          <w:szCs w:val="24"/>
          <w:highlight w:val="none"/>
        </w:rPr>
        <w:t>友情提示：</w:t>
      </w:r>
      <w:r>
        <w:rPr>
          <w:rFonts w:hint="eastAsia" w:ascii="仿宋" w:eastAsia="仿宋"/>
          <w:b/>
          <w:bCs/>
          <w:color w:val="auto"/>
          <w:sz w:val="24"/>
          <w:szCs w:val="24"/>
          <w:highlight w:val="none"/>
          <w:u w:val="single"/>
        </w:rPr>
        <w:t>1、请仔细核对身份证号码，若填写错误，作无效投标处理。</w:t>
      </w:r>
    </w:p>
    <w:p>
      <w:pPr>
        <w:snapToGrid w:val="0"/>
        <w:spacing w:before="50" w:after="50"/>
        <w:ind w:left="1558" w:leftChars="570" w:hanging="361" w:hangingChars="150"/>
        <w:jc w:val="left"/>
        <w:rPr>
          <w:rFonts w:ascii="仿宋" w:eastAsia="仿宋"/>
          <w:b/>
          <w:bCs/>
          <w:color w:val="auto"/>
          <w:sz w:val="24"/>
          <w:szCs w:val="24"/>
          <w:highlight w:val="none"/>
          <w:u w:val="single"/>
        </w:rPr>
      </w:pPr>
      <w:r>
        <w:rPr>
          <w:rFonts w:hint="eastAsia" w:ascii="仿宋" w:eastAsia="仿宋"/>
          <w:b/>
          <w:bCs/>
          <w:color w:val="auto"/>
          <w:sz w:val="24"/>
          <w:szCs w:val="24"/>
          <w:highlight w:val="none"/>
          <w:u w:val="single"/>
        </w:rPr>
        <w:t>2、联合体投标的，需提供联合体牵头人的法定代表人授权委托书，否则作无效投标处理。</w:t>
      </w:r>
    </w:p>
    <w:p>
      <w:pPr>
        <w:snapToGrid w:val="0"/>
        <w:spacing w:before="50" w:after="50"/>
        <w:ind w:left="1558" w:leftChars="570" w:hanging="361" w:hangingChars="150"/>
        <w:jc w:val="left"/>
        <w:rPr>
          <w:rFonts w:hint="eastAsia" w:ascii="仿宋" w:eastAsia="仿宋"/>
          <w:b/>
          <w:bCs/>
          <w:color w:val="auto"/>
          <w:sz w:val="24"/>
          <w:szCs w:val="24"/>
          <w:highlight w:val="none"/>
          <w:u w:val="single"/>
        </w:rPr>
      </w:pPr>
      <w:r>
        <w:rPr>
          <w:rFonts w:ascii="仿宋" w:eastAsia="仿宋"/>
          <w:b/>
          <w:bCs/>
          <w:color w:val="auto"/>
          <w:sz w:val="24"/>
          <w:szCs w:val="24"/>
          <w:highlight w:val="none"/>
          <w:u w:val="single"/>
        </w:rPr>
        <w:t>3、法定代表人或个体工商户经营者参加开标会的可不授权。</w:t>
      </w:r>
    </w:p>
    <w:p>
      <w:pPr>
        <w:snapToGrid w:val="0"/>
        <w:spacing w:before="50" w:after="50"/>
        <w:ind w:left="1558" w:leftChars="570" w:hanging="361" w:hangingChars="150"/>
        <w:jc w:val="left"/>
        <w:rPr>
          <w:rFonts w:hint="eastAsia" w:ascii="仿宋" w:eastAsia="仿宋"/>
          <w:b/>
          <w:bCs/>
          <w:color w:val="auto"/>
          <w:sz w:val="24"/>
          <w:szCs w:val="24"/>
          <w:highlight w:val="none"/>
          <w:u w:val="single"/>
        </w:rPr>
      </w:pPr>
    </w:p>
    <w:p>
      <w:pPr>
        <w:pStyle w:val="35"/>
        <w:spacing w:after="50" w:afterLines="0" w:line="440" w:lineRule="exact"/>
        <w:ind w:left="0" w:firstLine="0" w:firstLineChars="0"/>
        <w:rPr>
          <w:rFonts w:hint="eastAsia" w:ascii="仿宋" w:eastAsia="仿宋"/>
          <w:b/>
          <w:bCs/>
          <w:color w:val="auto"/>
          <w:sz w:val="28"/>
          <w:szCs w:val="28"/>
          <w:highlight w:val="none"/>
        </w:rPr>
      </w:pPr>
      <w:r>
        <w:rPr>
          <w:rFonts w:ascii="仿宋" w:eastAsia="仿宋"/>
          <w:b/>
          <w:bCs/>
          <w:color w:val="auto"/>
          <w:sz w:val="28"/>
          <w:szCs w:val="28"/>
          <w:highlight w:val="none"/>
        </w:rPr>
        <w:t>附</w:t>
      </w:r>
      <w:r>
        <w:rPr>
          <w:rFonts w:hint="eastAsia" w:ascii="仿宋" w:eastAsia="仿宋"/>
          <w:b/>
          <w:bCs/>
          <w:color w:val="auto"/>
          <w:sz w:val="28"/>
          <w:szCs w:val="28"/>
          <w:highlight w:val="none"/>
        </w:rPr>
        <w:t>件</w:t>
      </w:r>
      <w:r>
        <w:rPr>
          <w:rFonts w:ascii="仿宋" w:eastAsia="仿宋"/>
          <w:b/>
          <w:bCs/>
          <w:color w:val="auto"/>
          <w:sz w:val="28"/>
          <w:szCs w:val="28"/>
          <w:highlight w:val="none"/>
        </w:rPr>
        <w:t>6</w:t>
      </w:r>
      <w:r>
        <w:rPr>
          <w:rFonts w:hint="eastAsia" w:ascii="仿宋" w:eastAsia="仿宋"/>
          <w:b/>
          <w:bCs/>
          <w:color w:val="auto"/>
          <w:sz w:val="28"/>
          <w:szCs w:val="28"/>
          <w:highlight w:val="none"/>
        </w:rPr>
        <w:t>：法定代表人及其授权代表身份证</w:t>
      </w:r>
      <w:r>
        <w:rPr>
          <w:rFonts w:ascii="仿宋" w:eastAsia="仿宋"/>
          <w:b/>
          <w:bCs/>
          <w:color w:val="auto"/>
          <w:sz w:val="28"/>
          <w:szCs w:val="28"/>
          <w:highlight w:val="none"/>
        </w:rPr>
        <w:t>明</w:t>
      </w:r>
    </w:p>
    <w:p>
      <w:pPr>
        <w:pStyle w:val="35"/>
        <w:spacing w:after="50" w:afterLines="0" w:line="440" w:lineRule="exact"/>
        <w:ind w:left="0" w:firstLine="0" w:firstLineChars="0"/>
        <w:rPr>
          <w:rFonts w:hint="eastAsia" w:ascii="仿宋" w:eastAsia="仿宋"/>
          <w:b/>
          <w:bCs/>
          <w:color w:val="auto"/>
          <w:sz w:val="28"/>
          <w:szCs w:val="28"/>
          <w:highlight w:val="none"/>
        </w:rPr>
      </w:pPr>
    </w:p>
    <w:p>
      <w:pPr>
        <w:pStyle w:val="35"/>
        <w:spacing w:after="50" w:afterLines="0" w:line="440" w:lineRule="exact"/>
        <w:ind w:left="0" w:firstLine="0" w:firstLineChars="0"/>
        <w:rPr>
          <w:rFonts w:hint="eastAsia" w:ascii="仿宋" w:eastAsia="仿宋"/>
          <w:b/>
          <w:bCs/>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r>
        <w:rPr>
          <w:rFonts w:hint="eastAsia" w:ascii="仿宋" w:eastAsia="仿宋"/>
          <w:color w:val="auto"/>
          <w:sz w:val="28"/>
          <w:szCs w:val="28"/>
          <w:highlight w:val="none"/>
        </w:rPr>
        <w:t>制作说明：</w:t>
      </w:r>
    </w:p>
    <w:p>
      <w:pPr>
        <w:pStyle w:val="35"/>
        <w:numPr>
          <w:ilvl w:val="0"/>
          <w:numId w:val="7"/>
        </w:numPr>
        <w:spacing w:after="50" w:afterLines="0" w:line="440" w:lineRule="exact"/>
        <w:ind w:firstLineChars="0"/>
        <w:rPr>
          <w:rFonts w:hint="eastAsia" w:ascii="仿宋" w:eastAsia="仿宋"/>
          <w:color w:val="auto"/>
          <w:sz w:val="28"/>
          <w:szCs w:val="28"/>
          <w:highlight w:val="none"/>
        </w:rPr>
      </w:pPr>
      <w:r>
        <w:rPr>
          <w:rFonts w:hint="eastAsia" w:ascii="仿宋" w:eastAsia="仿宋"/>
          <w:color w:val="auto"/>
          <w:sz w:val="28"/>
          <w:szCs w:val="28"/>
          <w:highlight w:val="none"/>
        </w:rPr>
        <w:t>提供身份证原件正反两面的</w:t>
      </w:r>
      <w:r>
        <w:rPr>
          <w:rFonts w:ascii="仿宋" w:eastAsia="仿宋"/>
          <w:color w:val="auto"/>
          <w:sz w:val="28"/>
          <w:szCs w:val="28"/>
          <w:highlight w:val="none"/>
        </w:rPr>
        <w:t>复印件或扫描件或图片</w:t>
      </w:r>
      <w:r>
        <w:rPr>
          <w:rFonts w:hint="eastAsia" w:ascii="仿宋" w:eastAsia="仿宋"/>
          <w:color w:val="auto"/>
          <w:sz w:val="28"/>
          <w:szCs w:val="28"/>
          <w:highlight w:val="none"/>
        </w:rPr>
        <w:t>，</w:t>
      </w:r>
      <w:r>
        <w:rPr>
          <w:rFonts w:hint="eastAsia" w:ascii="仿宋" w:eastAsia="仿宋"/>
          <w:color w:val="auto"/>
          <w:sz w:val="28"/>
          <w:szCs w:val="28"/>
          <w:highlight w:val="none"/>
          <w:lang w:eastAsia="zh-CN"/>
        </w:rPr>
        <w:t>加盖单位公章</w:t>
      </w:r>
      <w:r>
        <w:rPr>
          <w:rFonts w:hint="eastAsia" w:ascii="仿宋" w:eastAsia="仿宋"/>
          <w:color w:val="auto"/>
          <w:sz w:val="28"/>
          <w:szCs w:val="28"/>
          <w:highlight w:val="none"/>
        </w:rPr>
        <w:t>，否则视为无效投标。</w:t>
      </w:r>
    </w:p>
    <w:p>
      <w:pPr>
        <w:pStyle w:val="35"/>
        <w:numPr>
          <w:ilvl w:val="0"/>
          <w:numId w:val="7"/>
        </w:numPr>
        <w:spacing w:after="50" w:afterLines="0" w:line="440" w:lineRule="exact"/>
        <w:ind w:firstLineChars="0"/>
        <w:rPr>
          <w:rFonts w:hint="eastAsia" w:ascii="仿宋" w:eastAsia="仿宋"/>
          <w:color w:val="auto"/>
          <w:sz w:val="28"/>
          <w:szCs w:val="28"/>
          <w:highlight w:val="none"/>
        </w:rPr>
      </w:pPr>
      <w:r>
        <w:rPr>
          <w:rFonts w:hint="eastAsia" w:ascii="仿宋" w:eastAsia="仿宋"/>
          <w:color w:val="auto"/>
          <w:sz w:val="28"/>
          <w:szCs w:val="28"/>
          <w:highlight w:val="none"/>
        </w:rPr>
        <w:t>联合体投标的，提供联合体牵头人的法定代表人及其授权代表身份证，授权代表需为联合体牵头人单位在职职工。</w:t>
      </w:r>
    </w:p>
    <w:p>
      <w:pPr>
        <w:pStyle w:val="35"/>
        <w:numPr>
          <w:ilvl w:val="0"/>
          <w:numId w:val="7"/>
        </w:numPr>
        <w:spacing w:after="50" w:afterLines="0" w:line="440" w:lineRule="exact"/>
        <w:ind w:firstLineChars="0"/>
        <w:rPr>
          <w:rFonts w:hint="eastAsia" w:ascii="仿宋" w:eastAsia="仿宋"/>
          <w:color w:val="auto"/>
          <w:sz w:val="28"/>
          <w:szCs w:val="28"/>
          <w:highlight w:val="none"/>
        </w:rPr>
      </w:pPr>
      <w:r>
        <w:rPr>
          <w:rFonts w:hint="eastAsia" w:ascii="仿宋" w:eastAsia="仿宋"/>
          <w:color w:val="auto"/>
          <w:sz w:val="28"/>
          <w:szCs w:val="28"/>
          <w:highlight w:val="none"/>
        </w:rPr>
        <w:t>个体工商户参与投标的提供经营者本人的身份证。</w:t>
      </w:r>
    </w:p>
    <w:p>
      <w:pPr>
        <w:pStyle w:val="35"/>
        <w:spacing w:after="50" w:afterLines="0" w:line="440" w:lineRule="exact"/>
        <w:ind w:left="0" w:firstLine="0" w:firstLineChars="0"/>
        <w:rPr>
          <w:rFonts w:hint="eastAsia" w:ascii="仿宋" w:eastAsia="仿宋"/>
          <w:color w:val="auto"/>
          <w:sz w:val="28"/>
          <w:szCs w:val="28"/>
          <w:highlight w:val="none"/>
        </w:rPr>
      </w:pPr>
      <w:r>
        <w:rPr>
          <w:rFonts w:ascii="仿宋" w:eastAsia="仿宋"/>
          <w:color w:val="auto"/>
          <w:sz w:val="28"/>
          <w:szCs w:val="28"/>
          <w:highlight w:val="none"/>
        </w:rPr>
        <w:t>4、法定代表人不授权的无需提供其授权代表身份证。</w:t>
      </w: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snapToGrid w:val="0"/>
        <w:spacing w:before="156" w:beforeLines="50" w:after="50"/>
        <w:jc w:val="left"/>
        <w:rPr>
          <w:rFonts w:ascii="仿宋" w:eastAsia="仿宋"/>
          <w:b/>
          <w:bCs/>
          <w:color w:val="auto"/>
          <w:sz w:val="30"/>
          <w:szCs w:val="30"/>
          <w:highlight w:val="none"/>
        </w:rPr>
      </w:pPr>
      <w:r>
        <w:rPr>
          <w:rFonts w:hint="eastAsia" w:ascii="仿宋" w:eastAsia="仿宋"/>
          <w:b/>
          <w:bCs/>
          <w:color w:val="auto"/>
          <w:sz w:val="30"/>
          <w:szCs w:val="30"/>
          <w:highlight w:val="none"/>
        </w:rPr>
        <w:t>附件</w:t>
      </w:r>
      <w:r>
        <w:rPr>
          <w:rFonts w:hint="default" w:ascii="仿宋" w:eastAsia="仿宋"/>
          <w:b/>
          <w:bCs/>
          <w:color w:val="auto"/>
          <w:sz w:val="30"/>
          <w:szCs w:val="30"/>
          <w:highlight w:val="none"/>
        </w:rPr>
        <w:t>7</w:t>
      </w:r>
      <w:r>
        <w:rPr>
          <w:rFonts w:hint="eastAsia" w:ascii="仿宋" w:eastAsia="仿宋"/>
          <w:b/>
          <w:bCs/>
          <w:color w:val="auto"/>
          <w:sz w:val="30"/>
          <w:szCs w:val="30"/>
          <w:highlight w:val="none"/>
        </w:rPr>
        <w:t>：</w:t>
      </w:r>
      <w:r>
        <w:rPr>
          <w:rFonts w:ascii="仿宋" w:eastAsia="仿宋"/>
          <w:b/>
          <w:bCs/>
          <w:color w:val="auto"/>
          <w:sz w:val="30"/>
          <w:szCs w:val="30"/>
          <w:highlight w:val="none"/>
        </w:rPr>
        <w:t>商务和技术文件封面</w:t>
      </w:r>
    </w:p>
    <w:p>
      <w:pPr>
        <w:snapToGrid w:val="0"/>
        <w:spacing w:before="156" w:beforeLines="50" w:after="50"/>
        <w:jc w:val="right"/>
        <w:rPr>
          <w:rFonts w:ascii="仿宋" w:eastAsia="仿宋"/>
          <w:b/>
          <w:color w:val="auto"/>
          <w:sz w:val="30"/>
          <w:szCs w:val="30"/>
          <w:highlight w:val="none"/>
        </w:rPr>
      </w:pPr>
      <w:r>
        <w:rPr>
          <w:rFonts w:ascii="仿宋" w:eastAsia="仿宋"/>
          <w:bCs/>
          <w:color w:val="auto"/>
          <w:sz w:val="30"/>
          <w:szCs w:val="30"/>
          <w:highlight w:val="none"/>
          <w:u w:val="single"/>
        </w:rPr>
        <w:t>（填写</w:t>
      </w:r>
      <w:r>
        <w:rPr>
          <w:rFonts w:hint="eastAsia" w:ascii="仿宋" w:eastAsia="仿宋"/>
          <w:bCs/>
          <w:color w:val="auto"/>
          <w:sz w:val="30"/>
          <w:szCs w:val="30"/>
          <w:highlight w:val="none"/>
          <w:u w:val="single"/>
        </w:rPr>
        <w:t>正本或副本</w:t>
      </w:r>
      <w:r>
        <w:rPr>
          <w:rFonts w:ascii="仿宋" w:eastAsia="仿宋"/>
          <w:bCs/>
          <w:color w:val="auto"/>
          <w:sz w:val="30"/>
          <w:szCs w:val="30"/>
          <w:highlight w:val="none"/>
          <w:u w:val="single"/>
        </w:rPr>
        <w:t>）</w:t>
      </w:r>
    </w:p>
    <w:p>
      <w:pPr>
        <w:snapToGrid w:val="0"/>
        <w:spacing w:before="156" w:beforeLines="50" w:after="50"/>
        <w:jc w:val="right"/>
        <w:rPr>
          <w:rFonts w:ascii="仿宋" w:eastAsia="仿宋"/>
          <w:bCs/>
          <w:color w:val="auto"/>
          <w:sz w:val="30"/>
          <w:szCs w:val="30"/>
          <w:highlight w:val="none"/>
        </w:rPr>
      </w:pPr>
    </w:p>
    <w:p>
      <w:pPr>
        <w:spacing w:line="400" w:lineRule="exact"/>
        <w:ind w:right="-110"/>
        <w:rPr>
          <w:rFonts w:ascii="仿宋" w:eastAsia="仿宋"/>
          <w:color w:val="auto"/>
          <w:spacing w:val="40"/>
          <w:sz w:val="30"/>
          <w:szCs w:val="30"/>
          <w:highlight w:val="none"/>
        </w:rPr>
      </w:pPr>
      <w:r>
        <w:rPr>
          <w:rFonts w:hint="eastAsia" w:ascii="仿宋" w:eastAsia="仿宋"/>
          <w:color w:val="auto"/>
          <w:spacing w:val="40"/>
          <w:sz w:val="30"/>
          <w:szCs w:val="30"/>
          <w:highlight w:val="none"/>
        </w:rPr>
        <w:t>项目名称</w:t>
      </w:r>
      <w:r>
        <w:rPr>
          <w:rFonts w:ascii="仿宋" w:eastAsia="仿宋"/>
          <w:color w:val="auto"/>
          <w:spacing w:val="40"/>
          <w:sz w:val="30"/>
          <w:szCs w:val="30"/>
          <w:highlight w:val="none"/>
        </w:rPr>
        <w:t>：</w:t>
      </w:r>
      <w:r>
        <w:rPr>
          <w:rFonts w:ascii="仿宋" w:eastAsia="仿宋"/>
          <w:color w:val="auto"/>
          <w:spacing w:val="40"/>
          <w:sz w:val="30"/>
          <w:szCs w:val="30"/>
          <w:highlight w:val="none"/>
          <w:u w:val="single"/>
        </w:rPr>
        <w:t xml:space="preserve">           </w:t>
      </w:r>
    </w:p>
    <w:p>
      <w:pPr>
        <w:spacing w:before="312" w:beforeLines="100" w:line="400" w:lineRule="exact"/>
        <w:rPr>
          <w:rFonts w:ascii="仿宋" w:eastAsia="仿宋"/>
          <w:color w:val="auto"/>
          <w:sz w:val="30"/>
          <w:szCs w:val="30"/>
          <w:highlight w:val="none"/>
          <w:u w:val="single"/>
        </w:rPr>
      </w:pPr>
      <w:r>
        <w:rPr>
          <w:rFonts w:hint="eastAsia" w:ascii="仿宋" w:eastAsia="仿宋"/>
          <w:color w:val="auto"/>
          <w:sz w:val="30"/>
          <w:szCs w:val="30"/>
          <w:highlight w:val="none"/>
        </w:rPr>
        <w:t>项目编号：</w:t>
      </w:r>
      <w:r>
        <w:rPr>
          <w:rFonts w:ascii="仿宋" w:eastAsia="仿宋"/>
          <w:color w:val="auto"/>
          <w:sz w:val="30"/>
          <w:szCs w:val="30"/>
          <w:highlight w:val="none"/>
          <w:u w:val="single"/>
        </w:rPr>
        <w:t xml:space="preserve">                   </w:t>
      </w:r>
    </w:p>
    <w:p>
      <w:pPr>
        <w:spacing w:before="312" w:beforeLines="100" w:line="400" w:lineRule="exact"/>
        <w:rPr>
          <w:rFonts w:ascii="仿宋" w:eastAsia="仿宋"/>
          <w:color w:val="auto"/>
          <w:sz w:val="30"/>
          <w:szCs w:val="30"/>
          <w:highlight w:val="none"/>
        </w:rPr>
      </w:pPr>
      <w:r>
        <w:rPr>
          <w:rFonts w:ascii="仿宋" w:eastAsia="仿宋"/>
          <w:color w:val="auto"/>
          <w:sz w:val="30"/>
          <w:szCs w:val="30"/>
          <w:highlight w:val="none"/>
        </w:rPr>
        <w:t>标段编号：</w:t>
      </w:r>
      <w:r>
        <w:rPr>
          <w:rFonts w:ascii="仿宋" w:eastAsia="仿宋"/>
          <w:color w:val="auto"/>
          <w:sz w:val="30"/>
          <w:szCs w:val="30"/>
          <w:highlight w:val="none"/>
          <w:u w:val="single"/>
        </w:rPr>
        <w:t xml:space="preserve">                    </w:t>
      </w:r>
    </w:p>
    <w:p>
      <w:pPr>
        <w:spacing w:line="1200" w:lineRule="exact"/>
        <w:ind w:right="6"/>
        <w:jc w:val="center"/>
        <w:rPr>
          <w:rFonts w:ascii="仿宋" w:eastAsia="仿宋"/>
          <w:color w:val="auto"/>
          <w:sz w:val="72"/>
          <w:szCs w:val="72"/>
          <w:highlight w:val="none"/>
        </w:rPr>
      </w:pPr>
      <w:r>
        <w:rPr>
          <w:rFonts w:ascii="仿宋" w:eastAsia="仿宋"/>
          <w:color w:val="auto"/>
          <w:sz w:val="72"/>
          <w:szCs w:val="72"/>
          <w:highlight w:val="none"/>
        </w:rPr>
        <w:t>商</w:t>
      </w:r>
    </w:p>
    <w:p>
      <w:pPr>
        <w:spacing w:line="1200" w:lineRule="exact"/>
        <w:ind w:right="6"/>
        <w:jc w:val="center"/>
        <w:rPr>
          <w:rFonts w:ascii="仿宋" w:eastAsia="仿宋"/>
          <w:color w:val="auto"/>
          <w:sz w:val="72"/>
          <w:szCs w:val="72"/>
          <w:highlight w:val="none"/>
        </w:rPr>
      </w:pPr>
      <w:r>
        <w:rPr>
          <w:rFonts w:ascii="仿宋" w:eastAsia="仿宋"/>
          <w:color w:val="auto"/>
          <w:sz w:val="72"/>
          <w:szCs w:val="72"/>
          <w:highlight w:val="none"/>
        </w:rPr>
        <w:t>务</w:t>
      </w:r>
    </w:p>
    <w:p>
      <w:pPr>
        <w:spacing w:line="1200" w:lineRule="exact"/>
        <w:ind w:right="6"/>
        <w:jc w:val="center"/>
        <w:rPr>
          <w:rFonts w:ascii="仿宋" w:eastAsia="仿宋"/>
          <w:color w:val="auto"/>
          <w:sz w:val="72"/>
          <w:szCs w:val="72"/>
          <w:highlight w:val="none"/>
        </w:rPr>
      </w:pPr>
      <w:r>
        <w:rPr>
          <w:rFonts w:ascii="仿宋" w:eastAsia="仿宋"/>
          <w:color w:val="auto"/>
          <w:sz w:val="72"/>
          <w:szCs w:val="72"/>
          <w:highlight w:val="none"/>
        </w:rPr>
        <w:t>和</w:t>
      </w:r>
    </w:p>
    <w:p>
      <w:pPr>
        <w:spacing w:line="1200" w:lineRule="exact"/>
        <w:ind w:right="6"/>
        <w:jc w:val="center"/>
        <w:rPr>
          <w:rFonts w:ascii="仿宋" w:eastAsia="仿宋"/>
          <w:color w:val="auto"/>
          <w:sz w:val="72"/>
          <w:szCs w:val="72"/>
          <w:highlight w:val="none"/>
        </w:rPr>
      </w:pPr>
      <w:r>
        <w:rPr>
          <w:rFonts w:ascii="仿宋" w:eastAsia="仿宋"/>
          <w:color w:val="auto"/>
          <w:sz w:val="72"/>
          <w:szCs w:val="72"/>
          <w:highlight w:val="none"/>
        </w:rPr>
        <w:t>技</w:t>
      </w:r>
    </w:p>
    <w:p>
      <w:pPr>
        <w:spacing w:line="1200" w:lineRule="exact"/>
        <w:ind w:right="6"/>
        <w:jc w:val="center"/>
        <w:rPr>
          <w:rFonts w:ascii="仿宋" w:eastAsia="仿宋"/>
          <w:color w:val="auto"/>
          <w:sz w:val="72"/>
          <w:szCs w:val="72"/>
          <w:highlight w:val="none"/>
        </w:rPr>
      </w:pPr>
      <w:r>
        <w:rPr>
          <w:rFonts w:ascii="仿宋" w:eastAsia="仿宋"/>
          <w:color w:val="auto"/>
          <w:sz w:val="72"/>
          <w:szCs w:val="72"/>
          <w:highlight w:val="none"/>
        </w:rPr>
        <w:t>术</w:t>
      </w:r>
    </w:p>
    <w:p>
      <w:pPr>
        <w:spacing w:line="1200" w:lineRule="exact"/>
        <w:ind w:right="6"/>
        <w:jc w:val="center"/>
        <w:rPr>
          <w:rFonts w:ascii="仿宋" w:eastAsia="仿宋"/>
          <w:color w:val="auto"/>
          <w:sz w:val="72"/>
          <w:szCs w:val="72"/>
          <w:highlight w:val="none"/>
        </w:rPr>
      </w:pPr>
      <w:r>
        <w:rPr>
          <w:rFonts w:ascii="仿宋" w:eastAsia="仿宋"/>
          <w:color w:val="auto"/>
          <w:sz w:val="72"/>
          <w:szCs w:val="72"/>
          <w:highlight w:val="none"/>
        </w:rPr>
        <w:t>文</w:t>
      </w:r>
    </w:p>
    <w:p>
      <w:pPr>
        <w:spacing w:line="1200" w:lineRule="exact"/>
        <w:ind w:right="6"/>
        <w:jc w:val="center"/>
        <w:rPr>
          <w:rFonts w:ascii="仿宋" w:eastAsia="仿宋"/>
          <w:color w:val="auto"/>
          <w:sz w:val="72"/>
          <w:szCs w:val="72"/>
          <w:highlight w:val="none"/>
        </w:rPr>
      </w:pPr>
      <w:r>
        <w:rPr>
          <w:rFonts w:ascii="仿宋" w:eastAsia="仿宋"/>
          <w:color w:val="auto"/>
          <w:sz w:val="72"/>
          <w:szCs w:val="72"/>
          <w:highlight w:val="none"/>
        </w:rPr>
        <w:t>件</w:t>
      </w:r>
    </w:p>
    <w:p>
      <w:pPr>
        <w:spacing w:line="500" w:lineRule="exact"/>
        <w:ind w:right="7"/>
        <w:jc w:val="center"/>
        <w:rPr>
          <w:rFonts w:ascii="仿宋" w:eastAsia="仿宋"/>
          <w:color w:val="auto"/>
          <w:sz w:val="36"/>
          <w:szCs w:val="36"/>
          <w:highlight w:val="none"/>
        </w:rPr>
      </w:pP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供应商名称（盖</w:t>
      </w:r>
      <w:r>
        <w:rPr>
          <w:rFonts w:ascii="仿宋" w:eastAsia="仿宋"/>
          <w:color w:val="auto"/>
          <w:spacing w:val="40"/>
          <w:sz w:val="30"/>
          <w:szCs w:val="30"/>
          <w:highlight w:val="none"/>
        </w:rPr>
        <w:t>公</w:t>
      </w:r>
      <w:r>
        <w:rPr>
          <w:rFonts w:hint="eastAsia" w:ascii="仿宋" w:eastAsia="仿宋"/>
          <w:color w:val="auto"/>
          <w:spacing w:val="40"/>
          <w:sz w:val="30"/>
          <w:szCs w:val="30"/>
          <w:highlight w:val="none"/>
        </w:rPr>
        <w:t>章）：</w:t>
      </w: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地    址：</w:t>
      </w:r>
    </w:p>
    <w:p>
      <w:pPr>
        <w:spacing w:line="400" w:lineRule="exact"/>
        <w:ind w:right="-110"/>
        <w:rPr>
          <w:rFonts w:ascii="仿宋" w:eastAsia="仿宋"/>
          <w:color w:val="auto"/>
          <w:spacing w:val="40"/>
          <w:sz w:val="30"/>
          <w:szCs w:val="30"/>
          <w:highlight w:val="none"/>
        </w:rPr>
      </w:pPr>
      <w:r>
        <w:rPr>
          <w:rFonts w:ascii="仿宋" w:eastAsia="仿宋"/>
          <w:color w:val="auto"/>
          <w:spacing w:val="40"/>
          <w:sz w:val="30"/>
          <w:szCs w:val="30"/>
          <w:highlight w:val="none"/>
        </w:rPr>
        <w:t>日</w:t>
      </w:r>
      <w:r>
        <w:rPr>
          <w:rFonts w:hint="eastAsia" w:ascii="仿宋" w:eastAsia="仿宋"/>
          <w:color w:val="auto"/>
          <w:spacing w:val="40"/>
          <w:sz w:val="30"/>
          <w:szCs w:val="30"/>
          <w:highlight w:val="none"/>
        </w:rPr>
        <w:t xml:space="preserve">    </w:t>
      </w:r>
      <w:r>
        <w:rPr>
          <w:rFonts w:ascii="仿宋" w:eastAsia="仿宋"/>
          <w:color w:val="auto"/>
          <w:spacing w:val="40"/>
          <w:sz w:val="30"/>
          <w:szCs w:val="30"/>
          <w:highlight w:val="none"/>
        </w:rPr>
        <w:t>期</w:t>
      </w:r>
      <w:r>
        <w:rPr>
          <w:rFonts w:hint="eastAsia" w:ascii="仿宋" w:eastAsia="仿宋"/>
          <w:color w:val="auto"/>
          <w:spacing w:val="40"/>
          <w:sz w:val="30"/>
          <w:szCs w:val="30"/>
          <w:highlight w:val="none"/>
        </w:rPr>
        <w:t>：</w:t>
      </w:r>
    </w:p>
    <w:p>
      <w:pPr>
        <w:spacing w:line="400" w:lineRule="exact"/>
        <w:ind w:right="-110"/>
        <w:rPr>
          <w:rFonts w:ascii="仿宋" w:eastAsia="仿宋"/>
          <w:color w:val="auto"/>
          <w:spacing w:val="40"/>
          <w:sz w:val="30"/>
          <w:szCs w:val="30"/>
          <w:highlight w:val="none"/>
        </w:rPr>
      </w:pPr>
    </w:p>
    <w:p>
      <w:pPr>
        <w:snapToGrid w:val="0"/>
        <w:spacing w:before="156" w:beforeLines="50" w:after="50"/>
        <w:jc w:val="left"/>
        <w:rPr>
          <w:rFonts w:hint="eastAsia" w:ascii="仿宋" w:eastAsia="仿宋"/>
          <w:b/>
          <w:bCs/>
          <w:color w:val="auto"/>
          <w:sz w:val="30"/>
          <w:szCs w:val="30"/>
          <w:highlight w:val="none"/>
        </w:rPr>
      </w:pPr>
      <w:r>
        <w:rPr>
          <w:rFonts w:hint="eastAsia" w:ascii="仿宋" w:eastAsia="仿宋"/>
          <w:b/>
          <w:bCs/>
          <w:color w:val="auto"/>
          <w:sz w:val="30"/>
          <w:szCs w:val="30"/>
          <w:highlight w:val="none"/>
        </w:rPr>
        <w:t>附件</w:t>
      </w:r>
      <w:r>
        <w:rPr>
          <w:rFonts w:hint="default" w:ascii="仿宋" w:eastAsia="仿宋"/>
          <w:b/>
          <w:bCs/>
          <w:color w:val="auto"/>
          <w:sz w:val="30"/>
          <w:szCs w:val="30"/>
          <w:highlight w:val="none"/>
        </w:rPr>
        <w:t>8</w:t>
      </w:r>
      <w:r>
        <w:rPr>
          <w:rFonts w:hint="eastAsia" w:ascii="仿宋" w:eastAsia="仿宋"/>
          <w:b/>
          <w:bCs/>
          <w:color w:val="auto"/>
          <w:sz w:val="30"/>
          <w:szCs w:val="30"/>
          <w:highlight w:val="none"/>
        </w:rPr>
        <w:t>：</w:t>
      </w:r>
      <w:r>
        <w:rPr>
          <w:rFonts w:ascii="仿宋" w:eastAsia="仿宋"/>
          <w:b/>
          <w:bCs/>
          <w:color w:val="auto"/>
          <w:sz w:val="30"/>
          <w:szCs w:val="30"/>
          <w:highlight w:val="none"/>
        </w:rPr>
        <w:t>商务和技术文件目录</w:t>
      </w:r>
    </w:p>
    <w:p>
      <w:pPr>
        <w:snapToGrid w:val="0"/>
        <w:spacing w:before="156" w:beforeLines="50" w:after="50"/>
        <w:jc w:val="center"/>
        <w:rPr>
          <w:rFonts w:hint="eastAsia" w:ascii="仿宋" w:eastAsia="仿宋" w:cs="仿宋_GB2312"/>
          <w:color w:val="auto"/>
          <w:sz w:val="30"/>
          <w:szCs w:val="30"/>
          <w:highlight w:val="none"/>
        </w:rPr>
      </w:pPr>
      <w:r>
        <w:rPr>
          <w:rFonts w:hint="eastAsia" w:ascii="仿宋" w:eastAsia="仿宋" w:cs="仿宋_GB2312"/>
          <w:color w:val="auto"/>
          <w:sz w:val="30"/>
          <w:szCs w:val="30"/>
          <w:highlight w:val="none"/>
        </w:rPr>
        <w:t>目 录</w:t>
      </w:r>
    </w:p>
    <w:p>
      <w:pPr>
        <w:pStyle w:val="40"/>
        <w:spacing w:line="360" w:lineRule="auto"/>
        <w:ind w:firstLine="0" w:firstLineChars="0"/>
        <w:jc w:val="left"/>
        <w:rPr>
          <w:rFonts w:ascii="仿宋" w:eastAsia="仿宋" w:cs="仿宋_GB2312"/>
          <w:color w:val="auto"/>
          <w:highlight w:val="none"/>
        </w:rPr>
      </w:pPr>
      <w:bookmarkStart w:id="16" w:name="_Toc64369789"/>
      <w:r>
        <w:rPr>
          <w:rFonts w:hint="eastAsia" w:ascii="仿宋" w:eastAsia="仿宋" w:cs="仿宋_GB2312"/>
          <w:color w:val="auto"/>
          <w:highlight w:val="none"/>
        </w:rPr>
        <w:t>1.</w:t>
      </w:r>
      <w:r>
        <w:rPr>
          <w:rFonts w:ascii="仿宋" w:eastAsia="仿宋" w:cs="仿宋_GB2312"/>
          <w:color w:val="auto"/>
          <w:highlight w:val="none"/>
        </w:rPr>
        <w:t>评分对应表</w:t>
      </w:r>
      <w:r>
        <w:rPr>
          <w:rFonts w:hint="eastAsia" w:ascii="仿宋" w:eastAsia="仿宋" w:cs="仿宋_GB2312"/>
          <w:color w:val="auto"/>
          <w:highlight w:val="none"/>
        </w:rPr>
        <w:t>…………………………………………………………………（页码）</w:t>
      </w:r>
    </w:p>
    <w:p>
      <w:pPr>
        <w:pStyle w:val="40"/>
        <w:spacing w:line="360" w:lineRule="auto"/>
        <w:ind w:firstLine="0" w:firstLineChars="0"/>
        <w:jc w:val="left"/>
        <w:rPr>
          <w:rFonts w:hint="eastAsia" w:ascii="仿宋" w:eastAsia="仿宋" w:cs="仿宋_GB2312"/>
          <w:color w:val="auto"/>
          <w:highlight w:val="none"/>
        </w:rPr>
      </w:pPr>
      <w:r>
        <w:rPr>
          <w:rFonts w:ascii="仿宋" w:eastAsia="仿宋" w:cs="仿宋_GB2312"/>
          <w:color w:val="auto"/>
          <w:highlight w:val="none"/>
        </w:rPr>
        <w:t>2.</w:t>
      </w:r>
      <w:r>
        <w:rPr>
          <w:rFonts w:hint="eastAsia" w:ascii="仿宋" w:eastAsia="仿宋" w:cs="仿宋_GB2312"/>
          <w:color w:val="auto"/>
          <w:highlight w:val="none"/>
        </w:rPr>
        <w:t>项目明细清单………………………………………………………</w:t>
      </w:r>
      <w:r>
        <w:rPr>
          <w:rFonts w:hint="eastAsia" w:ascii="仿宋" w:eastAsia="仿宋" w:cs="仿宋_GB2312"/>
          <w:color w:val="auto"/>
          <w:highlight w:val="none"/>
          <w:lang w:val="zh-CN"/>
        </w:rPr>
        <w:t>…</w:t>
      </w:r>
      <w:r>
        <w:rPr>
          <w:rFonts w:hint="eastAsia" w:ascii="仿宋" w:eastAsia="仿宋" w:cs="仿宋_GB2312"/>
          <w:color w:val="auto"/>
          <w:highlight w:val="none"/>
        </w:rPr>
        <w:t>……（页码）</w:t>
      </w:r>
      <w:bookmarkEnd w:id="16"/>
    </w:p>
    <w:p>
      <w:pPr>
        <w:pStyle w:val="40"/>
        <w:spacing w:line="360" w:lineRule="auto"/>
        <w:ind w:firstLine="0" w:firstLineChars="0"/>
        <w:jc w:val="left"/>
        <w:rPr>
          <w:rFonts w:hint="eastAsia" w:ascii="仿宋" w:eastAsia="仿宋" w:cs="仿宋_GB2312"/>
          <w:color w:val="auto"/>
          <w:highlight w:val="none"/>
        </w:rPr>
      </w:pPr>
      <w:bookmarkStart w:id="17" w:name="_Toc64369790"/>
      <w:r>
        <w:rPr>
          <w:rFonts w:ascii="仿宋" w:eastAsia="仿宋" w:cs="仿宋_GB2312"/>
          <w:color w:val="auto"/>
          <w:highlight w:val="none"/>
        </w:rPr>
        <w:t>3</w:t>
      </w:r>
      <w:r>
        <w:rPr>
          <w:rFonts w:hint="eastAsia" w:ascii="仿宋" w:eastAsia="仿宋" w:cs="仿宋_GB2312"/>
          <w:color w:val="auto"/>
          <w:highlight w:val="none"/>
        </w:rPr>
        <w:t>.技术响应表…………………………………………………………………（页码）</w:t>
      </w:r>
      <w:bookmarkEnd w:id="17"/>
    </w:p>
    <w:p>
      <w:pPr>
        <w:pStyle w:val="40"/>
        <w:spacing w:line="360" w:lineRule="auto"/>
        <w:ind w:firstLine="0" w:firstLineChars="0"/>
        <w:jc w:val="left"/>
        <w:rPr>
          <w:rFonts w:hint="eastAsia" w:ascii="仿宋" w:eastAsia="仿宋" w:cs="仿宋_GB2312"/>
          <w:color w:val="auto"/>
          <w:highlight w:val="none"/>
        </w:rPr>
      </w:pPr>
      <w:bookmarkStart w:id="18" w:name="_Toc64369791"/>
      <w:r>
        <w:rPr>
          <w:rFonts w:ascii="仿宋" w:eastAsia="仿宋" w:cs="仿宋_GB2312"/>
          <w:color w:val="auto"/>
          <w:highlight w:val="none"/>
        </w:rPr>
        <w:t>4</w:t>
      </w:r>
      <w:r>
        <w:rPr>
          <w:rFonts w:hint="eastAsia" w:ascii="仿宋" w:eastAsia="仿宋" w:cs="仿宋_GB2312"/>
          <w:color w:val="auto"/>
          <w:highlight w:val="none"/>
        </w:rPr>
        <w:t>.商务响应表…………………………………………………………………（页码）</w:t>
      </w:r>
      <w:bookmarkEnd w:id="18"/>
    </w:p>
    <w:p>
      <w:pPr>
        <w:pStyle w:val="40"/>
        <w:spacing w:line="360" w:lineRule="auto"/>
        <w:ind w:firstLine="0" w:firstLineChars="0"/>
        <w:jc w:val="left"/>
        <w:rPr>
          <w:rFonts w:hint="eastAsia" w:ascii="仿宋" w:eastAsia="仿宋" w:cs="仿宋_GB2312"/>
          <w:color w:val="auto"/>
          <w:highlight w:val="none"/>
        </w:rPr>
      </w:pPr>
      <w:bookmarkStart w:id="19" w:name="_Toc64369792"/>
      <w:r>
        <w:rPr>
          <w:rFonts w:ascii="仿宋" w:eastAsia="仿宋" w:cs="仿宋_GB2312"/>
          <w:color w:val="auto"/>
          <w:highlight w:val="none"/>
        </w:rPr>
        <w:t>5</w:t>
      </w:r>
      <w:r>
        <w:rPr>
          <w:rFonts w:hint="eastAsia" w:ascii="仿宋" w:eastAsia="仿宋" w:cs="仿宋_GB2312"/>
          <w:color w:val="auto"/>
          <w:highlight w:val="none"/>
        </w:rPr>
        <w:t>.项目实施方案………………………………………………………………（页码）</w:t>
      </w:r>
      <w:bookmarkEnd w:id="19"/>
    </w:p>
    <w:p>
      <w:pPr>
        <w:pStyle w:val="40"/>
        <w:spacing w:line="360" w:lineRule="auto"/>
        <w:ind w:firstLine="0" w:firstLineChars="0"/>
        <w:jc w:val="left"/>
        <w:rPr>
          <w:rFonts w:hint="eastAsia" w:ascii="仿宋" w:eastAsia="仿宋" w:cs="仿宋_GB2312"/>
          <w:color w:val="auto"/>
          <w:highlight w:val="none"/>
        </w:rPr>
      </w:pPr>
      <w:bookmarkStart w:id="20" w:name="_Toc64369793"/>
      <w:r>
        <w:rPr>
          <w:rFonts w:ascii="仿宋" w:eastAsia="仿宋" w:cs="仿宋_GB2312"/>
          <w:color w:val="auto"/>
          <w:highlight w:val="none"/>
        </w:rPr>
        <w:t>6</w:t>
      </w:r>
      <w:r>
        <w:rPr>
          <w:rFonts w:hint="eastAsia" w:ascii="仿宋" w:eastAsia="仿宋" w:cs="仿宋_GB2312"/>
          <w:color w:val="auto"/>
          <w:highlight w:val="none"/>
        </w:rPr>
        <w:t>.项目实施人员清单…………………………………………………</w:t>
      </w:r>
      <w:r>
        <w:rPr>
          <w:rFonts w:hint="eastAsia" w:ascii="仿宋" w:eastAsia="仿宋" w:cs="仿宋_GB2312"/>
          <w:color w:val="auto"/>
          <w:highlight w:val="none"/>
          <w:lang w:val="zh-CN"/>
        </w:rPr>
        <w:t>…</w:t>
      </w:r>
      <w:r>
        <w:rPr>
          <w:rFonts w:hint="eastAsia" w:ascii="仿宋" w:eastAsia="仿宋" w:cs="仿宋_GB2312"/>
          <w:color w:val="auto"/>
          <w:highlight w:val="none"/>
        </w:rPr>
        <w:t>……（页码）</w:t>
      </w:r>
      <w:bookmarkEnd w:id="20"/>
    </w:p>
    <w:p>
      <w:pPr>
        <w:pStyle w:val="40"/>
        <w:spacing w:line="360" w:lineRule="auto"/>
        <w:ind w:firstLine="0" w:firstLineChars="0"/>
        <w:jc w:val="left"/>
        <w:rPr>
          <w:rFonts w:hint="eastAsia" w:ascii="仿宋" w:eastAsia="仿宋" w:cs="仿宋_GB2312"/>
          <w:color w:val="auto"/>
          <w:highlight w:val="none"/>
        </w:rPr>
      </w:pPr>
      <w:bookmarkStart w:id="21" w:name="_Toc64369794"/>
      <w:r>
        <w:rPr>
          <w:rFonts w:ascii="仿宋" w:eastAsia="仿宋" w:cs="仿宋_GB2312"/>
          <w:color w:val="auto"/>
          <w:highlight w:val="none"/>
          <w:lang w:val="zh-CN"/>
        </w:rPr>
        <w:t>7</w:t>
      </w:r>
      <w:r>
        <w:rPr>
          <w:rFonts w:hint="eastAsia" w:ascii="仿宋" w:eastAsia="仿宋" w:cs="仿宋_GB2312"/>
          <w:color w:val="auto"/>
          <w:highlight w:val="none"/>
          <w:lang w:val="zh-CN"/>
        </w:rPr>
        <w:t>.</w:t>
      </w:r>
      <w:bookmarkEnd w:id="21"/>
      <w:bookmarkStart w:id="22" w:name="_Toc64369795"/>
      <w:r>
        <w:rPr>
          <w:rFonts w:hint="eastAsia" w:ascii="仿宋" w:eastAsia="仿宋" w:cs="仿宋_GB2312"/>
          <w:color w:val="auto"/>
          <w:highlight w:val="none"/>
          <w:lang w:val="zh-CN"/>
        </w:rPr>
        <w:t>消耗品、维修零配件及其价格清单（如有）………………</w:t>
      </w:r>
      <w:r>
        <w:rPr>
          <w:rFonts w:hint="eastAsia" w:ascii="仿宋" w:eastAsia="仿宋" w:cs="仿宋_GB2312"/>
          <w:color w:val="auto"/>
          <w:highlight w:val="none"/>
        </w:rPr>
        <w:t>……</w:t>
      </w:r>
      <w:r>
        <w:rPr>
          <w:rFonts w:hint="eastAsia" w:ascii="仿宋" w:eastAsia="仿宋" w:cs="仿宋_GB2312"/>
          <w:color w:val="auto"/>
          <w:highlight w:val="none"/>
          <w:lang w:val="zh-CN"/>
        </w:rPr>
        <w:t>…</w:t>
      </w:r>
      <w:r>
        <w:rPr>
          <w:rFonts w:hint="eastAsia" w:ascii="仿宋" w:eastAsia="仿宋" w:cs="仿宋_GB2312"/>
          <w:color w:val="auto"/>
          <w:highlight w:val="none"/>
        </w:rPr>
        <w:t>…</w:t>
      </w:r>
      <w:r>
        <w:rPr>
          <w:rFonts w:hint="eastAsia" w:ascii="仿宋" w:eastAsia="仿宋" w:cs="仿宋_GB2312"/>
          <w:color w:val="auto"/>
          <w:highlight w:val="none"/>
          <w:lang w:val="zh-CN"/>
        </w:rPr>
        <w:t>…</w:t>
      </w:r>
      <w:r>
        <w:rPr>
          <w:rFonts w:hint="eastAsia" w:ascii="仿宋" w:eastAsia="仿宋" w:cs="仿宋_GB2312"/>
          <w:color w:val="auto"/>
          <w:highlight w:val="none"/>
        </w:rPr>
        <w:t>（页码）</w:t>
      </w:r>
      <w:bookmarkEnd w:id="22"/>
    </w:p>
    <w:p>
      <w:pPr>
        <w:pStyle w:val="40"/>
        <w:spacing w:line="360" w:lineRule="auto"/>
        <w:ind w:firstLine="0" w:firstLineChars="0"/>
        <w:jc w:val="left"/>
        <w:rPr>
          <w:rFonts w:hint="eastAsia" w:ascii="仿宋" w:eastAsia="仿宋" w:cs="仿宋_GB2312"/>
          <w:color w:val="auto"/>
          <w:highlight w:val="none"/>
        </w:rPr>
      </w:pPr>
      <w:bookmarkStart w:id="23" w:name="_Toc64369796"/>
      <w:r>
        <w:rPr>
          <w:rFonts w:hint="eastAsia" w:ascii="仿宋" w:eastAsia="仿宋" w:cs="仿宋_GB2312"/>
          <w:color w:val="auto"/>
          <w:highlight w:val="none"/>
          <w:lang w:val="en-US" w:eastAsia="zh-CN"/>
        </w:rPr>
        <w:t>8</w:t>
      </w:r>
      <w:r>
        <w:rPr>
          <w:rFonts w:hint="eastAsia" w:ascii="仿宋" w:eastAsia="仿宋" w:cs="仿宋_GB2312"/>
          <w:color w:val="auto"/>
          <w:highlight w:val="none"/>
        </w:rPr>
        <w:t>.类似业绩一览表（附业绩证明材料）</w:t>
      </w:r>
      <w:r>
        <w:rPr>
          <w:rFonts w:ascii="仿宋" w:eastAsia="仿宋" w:cs="仿宋_GB2312"/>
          <w:color w:val="auto"/>
          <w:szCs w:val="20"/>
          <w:highlight w:val="none"/>
        </w:rPr>
        <w:t>（如有）</w:t>
      </w:r>
      <w:r>
        <w:rPr>
          <w:rFonts w:hint="eastAsia" w:ascii="仿宋" w:eastAsia="仿宋" w:cs="仿宋_GB2312"/>
          <w:color w:val="auto"/>
          <w:highlight w:val="none"/>
        </w:rPr>
        <w:t>……………………</w:t>
      </w:r>
      <w:r>
        <w:rPr>
          <w:rFonts w:hint="eastAsia" w:ascii="仿宋" w:eastAsia="仿宋" w:cs="仿宋_GB2312"/>
          <w:color w:val="auto"/>
          <w:highlight w:val="none"/>
          <w:lang w:val="zh-CN"/>
        </w:rPr>
        <w:t>…</w:t>
      </w:r>
      <w:r>
        <w:rPr>
          <w:rFonts w:hint="eastAsia" w:ascii="仿宋" w:eastAsia="仿宋" w:cs="仿宋_GB2312"/>
          <w:color w:val="auto"/>
          <w:highlight w:val="none"/>
        </w:rPr>
        <w:t>……（页码）</w:t>
      </w:r>
      <w:bookmarkEnd w:id="23"/>
    </w:p>
    <w:p>
      <w:pPr>
        <w:pStyle w:val="40"/>
        <w:spacing w:line="360" w:lineRule="auto"/>
        <w:ind w:firstLine="0" w:firstLineChars="0"/>
        <w:jc w:val="left"/>
        <w:rPr>
          <w:rFonts w:hint="eastAsia" w:ascii="仿宋" w:eastAsia="仿宋" w:cs="仿宋_GB2312"/>
          <w:color w:val="auto"/>
          <w:highlight w:val="none"/>
        </w:rPr>
      </w:pPr>
      <w:bookmarkStart w:id="24" w:name="_Toc64369797"/>
      <w:r>
        <w:rPr>
          <w:rFonts w:hint="eastAsia" w:ascii="仿宋" w:eastAsia="仿宋" w:cs="仿宋_GB2312"/>
          <w:color w:val="auto"/>
          <w:highlight w:val="none"/>
          <w:lang w:val="en-US" w:eastAsia="zh-CN"/>
        </w:rPr>
        <w:t>9</w:t>
      </w:r>
      <w:r>
        <w:rPr>
          <w:rFonts w:hint="eastAsia" w:ascii="仿宋" w:eastAsia="仿宋" w:cs="仿宋_GB2312"/>
          <w:color w:val="auto"/>
          <w:highlight w:val="none"/>
          <w:lang w:val="zh-CN"/>
        </w:rPr>
        <w:t>.优惠条件及其他额外承诺………………………………</w:t>
      </w:r>
      <w:r>
        <w:rPr>
          <w:rFonts w:hint="eastAsia" w:ascii="仿宋" w:eastAsia="仿宋" w:cs="仿宋_GB2312"/>
          <w:color w:val="auto"/>
          <w:highlight w:val="none"/>
        </w:rPr>
        <w:t>…………</w:t>
      </w:r>
      <w:r>
        <w:rPr>
          <w:rFonts w:hint="eastAsia" w:ascii="仿宋" w:eastAsia="仿宋" w:cs="仿宋_GB2312"/>
          <w:color w:val="auto"/>
          <w:highlight w:val="none"/>
          <w:lang w:val="zh-CN"/>
        </w:rPr>
        <w:t>………</w:t>
      </w:r>
      <w:r>
        <w:rPr>
          <w:rFonts w:hint="eastAsia" w:ascii="仿宋" w:eastAsia="仿宋" w:cs="仿宋_GB2312"/>
          <w:color w:val="auto"/>
          <w:highlight w:val="none"/>
        </w:rPr>
        <w:t>（页码）</w:t>
      </w:r>
      <w:bookmarkEnd w:id="24"/>
    </w:p>
    <w:p>
      <w:pPr>
        <w:pStyle w:val="40"/>
        <w:spacing w:line="360" w:lineRule="auto"/>
        <w:ind w:firstLine="0" w:firstLineChars="0"/>
        <w:jc w:val="left"/>
        <w:rPr>
          <w:rFonts w:hint="eastAsia" w:ascii="仿宋" w:eastAsia="仿宋" w:cs="仿宋_GB2312"/>
          <w:color w:val="auto"/>
          <w:sz w:val="24"/>
          <w:szCs w:val="24"/>
          <w:highlight w:val="none"/>
          <w:lang w:val="zh-CN"/>
        </w:rPr>
      </w:pPr>
      <w:r>
        <w:rPr>
          <w:rFonts w:hint="eastAsia" w:ascii="仿宋" w:eastAsia="仿宋" w:cs="仿宋_GB2312"/>
          <w:color w:val="auto"/>
          <w:sz w:val="24"/>
          <w:szCs w:val="24"/>
          <w:highlight w:val="none"/>
          <w:lang w:val="zh-CN"/>
        </w:rPr>
        <w:t>1</w:t>
      </w:r>
      <w:r>
        <w:rPr>
          <w:rFonts w:hint="eastAsia" w:ascii="仿宋" w:eastAsia="仿宋" w:cs="仿宋_GB2312"/>
          <w:color w:val="auto"/>
          <w:sz w:val="24"/>
          <w:szCs w:val="24"/>
          <w:highlight w:val="none"/>
          <w:lang w:val="en-US" w:eastAsia="zh-CN"/>
        </w:rPr>
        <w:t>0</w:t>
      </w:r>
      <w:r>
        <w:rPr>
          <w:rFonts w:hint="eastAsia" w:ascii="仿宋" w:eastAsia="仿宋" w:cs="仿宋_GB2312"/>
          <w:color w:val="auto"/>
          <w:sz w:val="24"/>
          <w:szCs w:val="24"/>
          <w:highlight w:val="none"/>
          <w:lang w:val="zh-CN"/>
        </w:rPr>
        <w:t>.</w:t>
      </w:r>
      <w:r>
        <w:rPr>
          <w:rFonts w:hint="eastAsia" w:ascii="仿宋" w:eastAsia="仿宋" w:cs="仿宋_GB2312"/>
          <w:bCs/>
          <w:color w:val="auto"/>
          <w:sz w:val="24"/>
          <w:szCs w:val="24"/>
          <w:highlight w:val="none"/>
          <w:lang w:val="zh-CN"/>
        </w:rPr>
        <w:t>评分细则中要求提供的其他资料</w:t>
      </w:r>
      <w:r>
        <w:rPr>
          <w:rFonts w:hint="eastAsia" w:ascii="仿宋" w:eastAsia="仿宋" w:cs="仿宋_GB2312"/>
          <w:color w:val="auto"/>
          <w:highlight w:val="none"/>
          <w:lang w:val="zh-CN"/>
        </w:rPr>
        <w:t>…………………………………………</w:t>
      </w:r>
      <w:r>
        <w:rPr>
          <w:rFonts w:hint="eastAsia" w:ascii="仿宋" w:eastAsia="仿宋" w:cs="仿宋_GB2312"/>
          <w:color w:val="auto"/>
          <w:highlight w:val="none"/>
        </w:rPr>
        <w:t>（页码）</w:t>
      </w:r>
    </w:p>
    <w:p>
      <w:pPr>
        <w:pStyle w:val="40"/>
        <w:spacing w:line="360" w:lineRule="auto"/>
        <w:ind w:firstLine="0" w:firstLineChars="0"/>
        <w:jc w:val="left"/>
        <w:rPr>
          <w:rFonts w:hint="eastAsia" w:ascii="仿宋" w:eastAsia="仿宋" w:cs="仿宋_GB2312"/>
          <w:color w:val="auto"/>
          <w:highlight w:val="none"/>
        </w:rPr>
      </w:pPr>
      <w:bookmarkStart w:id="25" w:name="_Toc64369798"/>
      <w:r>
        <w:rPr>
          <w:rFonts w:hint="eastAsia" w:ascii="仿宋" w:eastAsia="仿宋" w:cs="仿宋_GB2312"/>
          <w:color w:val="auto"/>
          <w:highlight w:val="none"/>
          <w:lang w:val="zh-CN"/>
        </w:rPr>
        <w:t>1</w:t>
      </w:r>
      <w:r>
        <w:rPr>
          <w:rFonts w:hint="eastAsia" w:ascii="仿宋" w:eastAsia="仿宋" w:cs="仿宋_GB2312"/>
          <w:color w:val="auto"/>
          <w:highlight w:val="none"/>
          <w:lang w:val="en-US" w:eastAsia="zh-CN"/>
        </w:rPr>
        <w:t>1</w:t>
      </w:r>
      <w:r>
        <w:rPr>
          <w:rFonts w:hint="eastAsia" w:ascii="仿宋" w:eastAsia="仿宋" w:cs="仿宋_GB2312"/>
          <w:color w:val="auto"/>
          <w:highlight w:val="none"/>
          <w:lang w:val="zh-CN"/>
        </w:rPr>
        <w:t>.其他商务技术（资信）文件或说明……………………</w:t>
      </w:r>
      <w:r>
        <w:rPr>
          <w:rFonts w:hint="eastAsia" w:ascii="仿宋" w:eastAsia="仿宋" w:cs="仿宋_GB2312"/>
          <w:color w:val="auto"/>
          <w:highlight w:val="none"/>
        </w:rPr>
        <w:t>…</w:t>
      </w:r>
      <w:r>
        <w:rPr>
          <w:rFonts w:hint="eastAsia" w:ascii="仿宋" w:eastAsia="仿宋" w:cs="仿宋_GB2312"/>
          <w:color w:val="auto"/>
          <w:highlight w:val="none"/>
          <w:lang w:val="zh-CN"/>
        </w:rPr>
        <w:t>………………</w:t>
      </w:r>
      <w:r>
        <w:rPr>
          <w:rFonts w:hint="eastAsia" w:ascii="仿宋" w:eastAsia="仿宋" w:cs="仿宋_GB2312"/>
          <w:color w:val="auto"/>
          <w:highlight w:val="none"/>
        </w:rPr>
        <w:t>（页码）</w:t>
      </w:r>
      <w:bookmarkEnd w:id="25"/>
    </w:p>
    <w:p>
      <w:pPr>
        <w:pStyle w:val="38"/>
        <w:numPr>
          <w:ilvl w:val="0"/>
          <w:numId w:val="0"/>
        </w:numPr>
        <w:spacing w:line="240" w:lineRule="auto"/>
        <w:ind w:left="0" w:firstLine="0"/>
        <w:rPr>
          <w:rFonts w:hint="eastAsia" w:ascii="仿宋" w:eastAsia="仿宋"/>
          <w:color w:val="auto"/>
          <w:highlight w:val="none"/>
        </w:rPr>
      </w:pPr>
    </w:p>
    <w:p>
      <w:pPr>
        <w:rPr>
          <w:rFonts w:hint="eastAsia" w:ascii="仿宋" w:eastAsia="仿宋" w:cs="仿宋_GB2312"/>
          <w:color w:val="auto"/>
          <w:sz w:val="24"/>
          <w:szCs w:val="24"/>
          <w:highlight w:val="none"/>
          <w:lang w:val="zh-CN"/>
        </w:rPr>
      </w:pPr>
      <w:r>
        <w:rPr>
          <w:rFonts w:hint="eastAsia" w:ascii="仿宋" w:eastAsia="仿宋" w:cs="仿宋_GB2312"/>
          <w:color w:val="auto"/>
          <w:sz w:val="24"/>
          <w:szCs w:val="24"/>
          <w:highlight w:val="none"/>
          <w:lang w:val="zh-CN"/>
        </w:rPr>
        <w:t>注：以上文件投标供应商可以在本采购文件提供的范本基础上适当微调，使得内容更加完备。</w:t>
      </w: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pStyle w:val="35"/>
        <w:spacing w:after="50" w:afterLines="0" w:line="440" w:lineRule="exact"/>
        <w:ind w:left="0" w:firstLine="0" w:firstLineChars="0"/>
        <w:rPr>
          <w:rFonts w:hint="default" w:ascii="仿宋_GB2312" w:eastAsia="仿宋_GB2312"/>
          <w:b/>
          <w:bCs/>
          <w:color w:val="auto"/>
          <w:sz w:val="28"/>
          <w:szCs w:val="28"/>
          <w:highlight w:val="none"/>
        </w:rPr>
      </w:pPr>
      <w:r>
        <w:rPr>
          <w:rFonts w:ascii="仿宋_GB2312" w:eastAsia="仿宋_GB2312"/>
          <w:b/>
          <w:bCs/>
          <w:color w:val="auto"/>
          <w:sz w:val="28"/>
          <w:szCs w:val="28"/>
          <w:highlight w:val="none"/>
        </w:rPr>
        <w:t>附件9：</w:t>
      </w:r>
    </w:p>
    <w:p>
      <w:pPr>
        <w:snapToGrid w:val="0"/>
        <w:spacing w:before="50" w:after="50"/>
        <w:jc w:val="center"/>
        <w:rPr>
          <w:rFonts w:ascii="仿宋" w:eastAsia="仿宋"/>
          <w:b/>
          <w:color w:val="auto"/>
          <w:sz w:val="36"/>
          <w:szCs w:val="36"/>
          <w:highlight w:val="none"/>
        </w:rPr>
      </w:pPr>
      <w:r>
        <w:rPr>
          <w:rFonts w:hint="eastAsia" w:ascii="仿宋" w:eastAsia="仿宋"/>
          <w:b/>
          <w:color w:val="auto"/>
          <w:sz w:val="36"/>
          <w:szCs w:val="36"/>
          <w:highlight w:val="none"/>
        </w:rPr>
        <w:t>评分对应表</w:t>
      </w:r>
    </w:p>
    <w:p>
      <w:pPr>
        <w:snapToGrid w:val="0"/>
        <w:spacing w:before="50"/>
        <w:jc w:val="center"/>
        <w:rPr>
          <w:rFonts w:ascii="仿宋" w:eastAsia="仿宋"/>
          <w:b/>
          <w:color w:val="auto"/>
          <w:sz w:val="32"/>
          <w:szCs w:val="32"/>
          <w:highlight w:val="none"/>
        </w:rPr>
      </w:pPr>
    </w:p>
    <w:p>
      <w:pPr>
        <w:pStyle w:val="10"/>
        <w:snapToGrid w:val="0"/>
        <w:rPr>
          <w:rFonts w:ascii="仿宋" w:eastAsia="仿宋"/>
          <w:color w:val="auto"/>
          <w:sz w:val="28"/>
          <w:szCs w:val="28"/>
          <w:highlight w:val="none"/>
        </w:rPr>
      </w:pPr>
      <w:r>
        <w:rPr>
          <w:rFonts w:hint="eastAsia" w:ascii="仿宋" w:eastAsia="仿宋"/>
          <w:color w:val="auto"/>
          <w:sz w:val="28"/>
          <w:szCs w:val="28"/>
          <w:highlight w:val="none"/>
        </w:rPr>
        <w:t>供应商全称（</w:t>
      </w:r>
      <w:r>
        <w:rPr>
          <w:rFonts w:ascii="仿宋" w:eastAsia="仿宋"/>
          <w:color w:val="auto"/>
          <w:sz w:val="28"/>
          <w:szCs w:val="28"/>
          <w:highlight w:val="none"/>
        </w:rPr>
        <w:t>或</w:t>
      </w:r>
      <w:r>
        <w:rPr>
          <w:rFonts w:hint="eastAsia" w:ascii="仿宋" w:eastAsia="仿宋"/>
          <w:color w:val="auto"/>
          <w:sz w:val="28"/>
          <w:szCs w:val="28"/>
          <w:highlight w:val="none"/>
        </w:rPr>
        <w:t>公章）：</w:t>
      </w:r>
      <w:r>
        <w:rPr>
          <w:rFonts w:hint="eastAsia" w:ascii="仿宋" w:eastAsia="仿宋"/>
          <w:color w:val="auto"/>
          <w:sz w:val="28"/>
          <w:szCs w:val="28"/>
          <w:highlight w:val="none"/>
          <w:u w:val="single"/>
        </w:rPr>
        <w:t xml:space="preserve">           </w:t>
      </w:r>
      <w:r>
        <w:rPr>
          <w:rFonts w:ascii="仿宋" w:eastAsia="仿宋"/>
          <w:color w:val="auto"/>
          <w:sz w:val="28"/>
          <w:szCs w:val="28"/>
          <w:highlight w:val="none"/>
          <w:u w:val="single"/>
        </w:rPr>
        <w:t xml:space="preserve">            </w:t>
      </w:r>
    </w:p>
    <w:p>
      <w:pPr>
        <w:pStyle w:val="10"/>
        <w:snapToGrid w:val="0"/>
        <w:rPr>
          <w:rFonts w:ascii="仿宋" w:eastAsia="仿宋"/>
          <w:color w:val="auto"/>
          <w:sz w:val="28"/>
          <w:szCs w:val="28"/>
          <w:highlight w:val="none"/>
          <w:u w:val="single"/>
        </w:rPr>
      </w:pPr>
      <w:r>
        <w:rPr>
          <w:rFonts w:ascii="仿宋" w:eastAsia="仿宋"/>
          <w:color w:val="auto"/>
          <w:sz w:val="28"/>
          <w:szCs w:val="28"/>
          <w:highlight w:val="none"/>
        </w:rPr>
        <w:t>标段编号：</w:t>
      </w:r>
      <w:r>
        <w:rPr>
          <w:rFonts w:hint="eastAsia" w:ascii="仿宋" w:eastAsia="仿宋"/>
          <w:color w:val="auto"/>
          <w:sz w:val="28"/>
          <w:szCs w:val="28"/>
          <w:highlight w:val="none"/>
          <w:u w:val="single"/>
        </w:rPr>
        <w:t xml:space="preserve">  </w:t>
      </w:r>
      <w:r>
        <w:rPr>
          <w:rFonts w:ascii="仿宋" w:eastAsia="仿宋"/>
          <w:color w:val="auto"/>
          <w:sz w:val="28"/>
          <w:szCs w:val="28"/>
          <w:highlight w:val="none"/>
          <w:u w:val="single"/>
        </w:rPr>
        <w:t xml:space="preserve">                 </w:t>
      </w:r>
    </w:p>
    <w:tbl>
      <w:tblPr>
        <w:tblStyle w:val="28"/>
        <w:tblW w:w="84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62"/>
        <w:gridCol w:w="28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5662"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 w:eastAsia="仿宋"/>
                <w:color w:val="auto"/>
                <w:sz w:val="28"/>
                <w:szCs w:val="28"/>
                <w:highlight w:val="none"/>
              </w:rPr>
            </w:pPr>
            <w:r>
              <w:rPr>
                <w:rFonts w:hint="eastAsia" w:ascii="仿宋" w:eastAsia="仿宋"/>
                <w:color w:val="auto"/>
                <w:sz w:val="28"/>
                <w:szCs w:val="28"/>
                <w:highlight w:val="none"/>
              </w:rPr>
              <w:t>评分项目</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 w:eastAsia="仿宋"/>
                <w:color w:val="auto"/>
                <w:sz w:val="28"/>
                <w:szCs w:val="28"/>
                <w:highlight w:val="none"/>
              </w:rPr>
            </w:pPr>
            <w:r>
              <w:rPr>
                <w:rFonts w:hint="eastAsia" w:ascii="仿宋" w:eastAsia="仿宋"/>
                <w:color w:val="auto"/>
                <w:sz w:val="28"/>
                <w:szCs w:val="28"/>
                <w:highlight w:val="none"/>
              </w:rPr>
              <w:t>投标文件</w:t>
            </w:r>
            <w:r>
              <w:rPr>
                <w:rFonts w:ascii="仿宋" w:eastAsia="仿宋"/>
                <w:color w:val="auto"/>
                <w:sz w:val="28"/>
                <w:szCs w:val="28"/>
                <w:highlight w:val="none"/>
              </w:rPr>
              <w:t>起止</w:t>
            </w:r>
            <w:r>
              <w:rPr>
                <w:rFonts w:hint="eastAsia" w:ascii="仿宋" w:eastAsia="仿宋"/>
                <w:color w:val="auto"/>
                <w:sz w:val="28"/>
                <w:szCs w:val="28"/>
                <w:highlight w:val="none"/>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tcPr>
          <w:p>
            <w:pPr>
              <w:snapToGrid w:val="0"/>
              <w:rPr>
                <w:rFonts w:ascii="仿宋" w:eastAsia="仿宋"/>
                <w:color w:val="auto"/>
                <w:sz w:val="28"/>
                <w:szCs w:val="28"/>
                <w:highlight w:val="none"/>
              </w:rPr>
            </w:pPr>
            <w:r>
              <w:rPr>
                <w:rFonts w:hint="eastAsia" w:ascii="仿宋" w:eastAsia="仿宋"/>
                <w:color w:val="auto"/>
                <w:sz w:val="28"/>
                <w:szCs w:val="28"/>
                <w:highlight w:val="none"/>
              </w:rPr>
              <w:t>对应第</w:t>
            </w:r>
            <w:r>
              <w:rPr>
                <w:rFonts w:ascii="仿宋" w:eastAsia="仿宋"/>
                <w:color w:val="auto"/>
                <w:sz w:val="28"/>
                <w:szCs w:val="28"/>
                <w:highlight w:val="none"/>
              </w:rPr>
              <w:t>五</w:t>
            </w:r>
            <w:r>
              <w:rPr>
                <w:rFonts w:hint="eastAsia" w:ascii="仿宋" w:eastAsia="仿宋"/>
                <w:color w:val="auto"/>
                <w:sz w:val="28"/>
                <w:szCs w:val="28"/>
                <w:highlight w:val="none"/>
              </w:rPr>
              <w:t>章</w:t>
            </w:r>
            <w:r>
              <w:rPr>
                <w:rFonts w:ascii="仿宋" w:eastAsia="仿宋"/>
                <w:color w:val="auto"/>
                <w:sz w:val="28"/>
                <w:szCs w:val="28"/>
                <w:highlight w:val="none"/>
              </w:rPr>
              <w:t>评标办法及标准的商务技术分评分细则</w:t>
            </w:r>
          </w:p>
        </w:tc>
        <w:tc>
          <w:tcPr>
            <w:tcW w:w="2822"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tcPr>
          <w:p>
            <w:pPr>
              <w:snapToGrid w:val="0"/>
              <w:rPr>
                <w:rFonts w:ascii="仿宋" w:eastAsia="仿宋"/>
                <w:color w:val="auto"/>
                <w:sz w:val="28"/>
                <w:szCs w:val="28"/>
                <w:highlight w:val="none"/>
              </w:rPr>
            </w:pPr>
            <w:r>
              <w:rPr>
                <w:rFonts w:hint="eastAsia" w:ascii="仿宋" w:eastAsia="仿宋"/>
                <w:color w:val="auto"/>
                <w:sz w:val="28"/>
                <w:szCs w:val="28"/>
                <w:highlight w:val="none"/>
              </w:rPr>
              <w:t>……</w:t>
            </w:r>
          </w:p>
        </w:tc>
        <w:tc>
          <w:tcPr>
            <w:tcW w:w="2822"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tcPr>
          <w:p>
            <w:pPr>
              <w:snapToGrid w:val="0"/>
              <w:rPr>
                <w:rFonts w:ascii="仿宋" w:eastAsia="仿宋"/>
                <w:color w:val="auto"/>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tcPr>
          <w:p>
            <w:pPr>
              <w:snapToGrid w:val="0"/>
              <w:rPr>
                <w:rFonts w:ascii="仿宋" w:eastAsia="仿宋"/>
                <w:color w:val="auto"/>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tcPr>
          <w:p>
            <w:pPr>
              <w:snapToGrid w:val="0"/>
              <w:rPr>
                <w:rFonts w:ascii="仿宋" w:eastAsia="仿宋"/>
                <w:color w:val="auto"/>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tcPr>
          <w:p>
            <w:pPr>
              <w:snapToGrid w:val="0"/>
              <w:rPr>
                <w:rFonts w:ascii="仿宋" w:eastAsia="仿宋"/>
                <w:color w:val="auto"/>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tcPr>
          <w:p>
            <w:pPr>
              <w:snapToGrid w:val="0"/>
              <w:rPr>
                <w:rFonts w:ascii="仿宋" w:eastAsia="仿宋"/>
                <w:color w:val="auto"/>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tcPr>
          <w:p>
            <w:pPr>
              <w:snapToGrid w:val="0"/>
              <w:rPr>
                <w:rFonts w:ascii="仿宋" w:eastAsia="仿宋"/>
                <w:color w:val="auto"/>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tcPr>
          <w:p>
            <w:pPr>
              <w:snapToGrid w:val="0"/>
              <w:rPr>
                <w:rFonts w:ascii="仿宋" w:eastAsia="仿宋"/>
                <w:color w:val="auto"/>
                <w:sz w:val="28"/>
                <w:szCs w:val="28"/>
                <w:highlight w:val="none"/>
              </w:rPr>
            </w:pPr>
          </w:p>
        </w:tc>
        <w:tc>
          <w:tcPr>
            <w:tcW w:w="2822"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 w:eastAsia="仿宋"/>
                <w:color w:val="auto"/>
                <w:sz w:val="28"/>
                <w:szCs w:val="28"/>
                <w:highlight w:val="none"/>
              </w:rPr>
            </w:pPr>
          </w:p>
        </w:tc>
      </w:tr>
    </w:tbl>
    <w:p>
      <w:pPr>
        <w:snapToGrid w:val="0"/>
        <w:spacing w:before="156" w:beforeLines="50"/>
        <w:rPr>
          <w:rFonts w:ascii="仿宋" w:eastAsia="仿宋"/>
          <w:color w:val="auto"/>
          <w:sz w:val="30"/>
          <w:szCs w:val="30"/>
          <w:highlight w:val="none"/>
        </w:rPr>
      </w:pPr>
      <w:r>
        <w:rPr>
          <w:rFonts w:ascii="仿宋" w:eastAsia="仿宋"/>
          <w:color w:val="auto"/>
          <w:sz w:val="30"/>
          <w:szCs w:val="30"/>
          <w:highlight w:val="none"/>
        </w:rPr>
        <w:t>注：供应商可对该表格的内容和格式进行细化和调整，以更加利于评审。</w:t>
      </w:r>
    </w:p>
    <w:p>
      <w:pPr>
        <w:snapToGrid w:val="0"/>
        <w:spacing w:before="156" w:beforeLines="50"/>
        <w:ind w:firstLine="0"/>
        <w:rPr>
          <w:rFonts w:ascii="仿宋" w:eastAsia="仿宋"/>
          <w:color w:val="auto"/>
          <w:sz w:val="30"/>
          <w:szCs w:val="30"/>
          <w:highlight w:val="none"/>
        </w:rPr>
      </w:pPr>
    </w:p>
    <w:p>
      <w:pPr>
        <w:snapToGrid w:val="0"/>
        <w:spacing w:before="156" w:beforeLines="50"/>
        <w:ind w:firstLine="0"/>
        <w:rPr>
          <w:rFonts w:ascii="仿宋" w:eastAsia="仿宋"/>
          <w:color w:val="auto"/>
          <w:sz w:val="28"/>
          <w:szCs w:val="28"/>
          <w:highlight w:val="none"/>
          <w:u w:val="single"/>
        </w:rPr>
      </w:pPr>
      <w:r>
        <w:rPr>
          <w:rFonts w:hint="eastAsia" w:ascii="仿宋" w:eastAsia="仿宋"/>
          <w:color w:val="auto"/>
          <w:sz w:val="28"/>
          <w:szCs w:val="28"/>
          <w:highlight w:val="none"/>
        </w:rPr>
        <w:t>授权代表签名：</w:t>
      </w:r>
      <w:r>
        <w:rPr>
          <w:rFonts w:hint="eastAsia" w:ascii="仿宋" w:eastAsia="仿宋"/>
          <w:color w:val="auto"/>
          <w:sz w:val="28"/>
          <w:szCs w:val="28"/>
          <w:highlight w:val="none"/>
          <w:u w:val="single"/>
        </w:rPr>
        <w:t xml:space="preserve">           </w:t>
      </w:r>
      <w:r>
        <w:rPr>
          <w:rFonts w:hint="eastAsia" w:ascii="仿宋" w:eastAsia="仿宋"/>
          <w:color w:val="auto"/>
          <w:sz w:val="28"/>
          <w:szCs w:val="28"/>
          <w:highlight w:val="none"/>
        </w:rPr>
        <w:t xml:space="preserve">               日期：</w:t>
      </w:r>
      <w:r>
        <w:rPr>
          <w:rFonts w:hint="eastAsia" w:ascii="仿宋" w:eastAsia="仿宋"/>
          <w:color w:val="auto"/>
          <w:sz w:val="28"/>
          <w:szCs w:val="28"/>
          <w:highlight w:val="none"/>
          <w:u w:val="single"/>
        </w:rPr>
        <w:t xml:space="preserve">         </w:t>
      </w:r>
    </w:p>
    <w:p>
      <w:pPr>
        <w:snapToGrid w:val="0"/>
        <w:spacing w:before="50" w:after="156" w:afterLines="50"/>
        <w:jc w:val="left"/>
        <w:rPr>
          <w:rFonts w:ascii="仿宋" w:eastAsia="仿宋"/>
          <w:color w:val="auto"/>
          <w:sz w:val="30"/>
          <w:szCs w:val="30"/>
          <w:highlight w:val="none"/>
        </w:rPr>
      </w:pPr>
    </w:p>
    <w:p>
      <w:pPr>
        <w:snapToGrid w:val="0"/>
        <w:spacing w:before="50" w:after="156" w:afterLines="50"/>
        <w:jc w:val="left"/>
        <w:rPr>
          <w:rFonts w:ascii="仿宋" w:eastAsia="仿宋"/>
          <w:color w:val="auto"/>
          <w:sz w:val="30"/>
          <w:szCs w:val="30"/>
          <w:highlight w:val="none"/>
        </w:rPr>
      </w:pPr>
    </w:p>
    <w:p>
      <w:pPr>
        <w:pStyle w:val="35"/>
        <w:spacing w:after="50" w:afterLines="0" w:line="440" w:lineRule="exact"/>
        <w:ind w:left="0" w:firstLine="0" w:firstLineChars="0"/>
        <w:rPr>
          <w:rFonts w:ascii="仿宋_GB2312" w:eastAsia="仿宋_GB2312"/>
          <w:b/>
          <w:bCs/>
          <w:color w:val="auto"/>
          <w:sz w:val="28"/>
          <w:szCs w:val="28"/>
          <w:highlight w:val="none"/>
        </w:rPr>
      </w:pPr>
      <w:r>
        <w:rPr>
          <w:rFonts w:hint="eastAsia" w:ascii="仿宋" w:eastAsia="仿宋"/>
          <w:color w:val="auto"/>
          <w:sz w:val="30"/>
          <w:szCs w:val="30"/>
          <w:highlight w:val="none"/>
        </w:rPr>
        <w:br w:type="page"/>
      </w:r>
      <w:r>
        <w:rPr>
          <w:rFonts w:ascii="仿宋_GB2312" w:eastAsia="仿宋_GB2312"/>
          <w:b/>
          <w:bCs/>
          <w:color w:val="auto"/>
          <w:sz w:val="28"/>
          <w:szCs w:val="28"/>
          <w:highlight w:val="none"/>
        </w:rPr>
        <w:t>附件10：</w:t>
      </w:r>
    </w:p>
    <w:p>
      <w:pPr>
        <w:snapToGrid w:val="0"/>
        <w:spacing w:before="50" w:after="156" w:afterLines="50"/>
        <w:jc w:val="center"/>
        <w:rPr>
          <w:rFonts w:ascii="仿宋" w:eastAsia="仿宋"/>
          <w:b/>
          <w:color w:val="auto"/>
          <w:spacing w:val="40"/>
          <w:kern w:val="0"/>
          <w:sz w:val="36"/>
          <w:szCs w:val="36"/>
          <w:highlight w:val="none"/>
        </w:rPr>
      </w:pPr>
      <w:r>
        <w:rPr>
          <w:rFonts w:hint="eastAsia" w:ascii="仿宋" w:eastAsia="仿宋"/>
          <w:b/>
          <w:color w:val="auto"/>
          <w:spacing w:val="40"/>
          <w:kern w:val="0"/>
          <w:sz w:val="36"/>
          <w:szCs w:val="36"/>
          <w:highlight w:val="none"/>
        </w:rPr>
        <w:t>项目明细清单</w:t>
      </w:r>
    </w:p>
    <w:p>
      <w:pPr>
        <w:snapToGrid w:val="0"/>
        <w:spacing w:before="50" w:after="156" w:afterLines="50"/>
        <w:jc w:val="center"/>
        <w:rPr>
          <w:rFonts w:ascii="仿宋" w:eastAsia="仿宋"/>
          <w:b/>
          <w:color w:val="auto"/>
          <w:spacing w:val="40"/>
          <w:kern w:val="0"/>
          <w:sz w:val="36"/>
          <w:szCs w:val="36"/>
          <w:highlight w:val="none"/>
        </w:rPr>
      </w:pPr>
    </w:p>
    <w:p>
      <w:pPr>
        <w:pStyle w:val="10"/>
        <w:snapToGrid w:val="0"/>
        <w:rPr>
          <w:rFonts w:ascii="仿宋" w:eastAsia="仿宋"/>
          <w:color w:val="auto"/>
          <w:kern w:val="0"/>
          <w:sz w:val="30"/>
          <w:szCs w:val="30"/>
          <w:highlight w:val="none"/>
          <w:u w:val="single"/>
        </w:rPr>
      </w:pPr>
      <w:r>
        <w:rPr>
          <w:rFonts w:hint="eastAsia" w:ascii="仿宋" w:eastAsia="仿宋"/>
          <w:color w:val="auto"/>
          <w:sz w:val="30"/>
          <w:szCs w:val="30"/>
          <w:highlight w:val="none"/>
        </w:rPr>
        <w:t>供应商全称（公章）：</w:t>
      </w:r>
      <w:r>
        <w:rPr>
          <w:rFonts w:hint="eastAsia" w:ascii="仿宋" w:eastAsia="仿宋"/>
          <w:color w:val="auto"/>
          <w:sz w:val="30"/>
          <w:szCs w:val="30"/>
          <w:highlight w:val="none"/>
          <w:u w:val="single"/>
        </w:rPr>
        <w:t xml:space="preserve">          </w:t>
      </w:r>
      <w:r>
        <w:rPr>
          <w:rFonts w:hint="eastAsia" w:ascii="仿宋" w:eastAsia="仿宋"/>
          <w:color w:val="auto"/>
          <w:sz w:val="30"/>
          <w:szCs w:val="30"/>
          <w:highlight w:val="none"/>
        </w:rPr>
        <w:t xml:space="preserve">          </w:t>
      </w:r>
      <w:r>
        <w:rPr>
          <w:rFonts w:ascii="仿宋" w:eastAsia="仿宋"/>
          <w:color w:val="auto"/>
          <w:sz w:val="30"/>
          <w:szCs w:val="30"/>
          <w:highlight w:val="none"/>
        </w:rPr>
        <w:t>标段编号</w:t>
      </w:r>
      <w:r>
        <w:rPr>
          <w:rFonts w:hint="eastAsia" w:ascii="仿宋" w:eastAsia="仿宋"/>
          <w:color w:val="auto"/>
          <w:sz w:val="30"/>
          <w:szCs w:val="30"/>
          <w:highlight w:val="none"/>
        </w:rPr>
        <w:t>：</w:t>
      </w:r>
      <w:r>
        <w:rPr>
          <w:rFonts w:hint="eastAsia" w:ascii="仿宋" w:eastAsia="仿宋"/>
          <w:color w:val="auto"/>
          <w:sz w:val="30"/>
          <w:szCs w:val="30"/>
          <w:highlight w:val="none"/>
          <w:u w:val="single"/>
        </w:rPr>
        <w:t xml:space="preserve">    </w:t>
      </w:r>
    </w:p>
    <w:p>
      <w:pPr>
        <w:pStyle w:val="10"/>
        <w:snapToGrid w:val="0"/>
        <w:rPr>
          <w:rFonts w:ascii="仿宋" w:eastAsia="仿宋"/>
          <w:color w:val="auto"/>
          <w:sz w:val="30"/>
          <w:szCs w:val="30"/>
          <w:highlight w:val="none"/>
        </w:rPr>
      </w:pPr>
      <w:r>
        <w:rPr>
          <w:rFonts w:hint="eastAsia" w:ascii="仿宋" w:eastAsia="仿宋"/>
          <w:color w:val="auto"/>
          <w:sz w:val="30"/>
          <w:szCs w:val="30"/>
          <w:highlight w:val="none"/>
        </w:rPr>
        <w:t>货物</w:t>
      </w:r>
      <w:r>
        <w:rPr>
          <w:rFonts w:ascii="仿宋" w:eastAsia="仿宋"/>
          <w:color w:val="auto"/>
          <w:sz w:val="30"/>
          <w:szCs w:val="30"/>
          <w:highlight w:val="none"/>
        </w:rPr>
        <w:t>部分</w:t>
      </w:r>
    </w:p>
    <w:tbl>
      <w:tblPr>
        <w:tblStyle w:val="28"/>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品牌</w:t>
            </w: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规格</w:t>
            </w:r>
          </w:p>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型号</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单位及</w:t>
            </w:r>
          </w:p>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数量</w:t>
            </w: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ascii="仿宋" w:eastAsia="仿宋"/>
                <w:color w:val="auto"/>
                <w:sz w:val="30"/>
                <w:szCs w:val="30"/>
                <w:highlight w:val="none"/>
              </w:rPr>
              <w:t>1</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eastAsia="仿宋"/>
                <w:color w:val="auto"/>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ascii="仿宋" w:eastAsia="仿宋"/>
                <w:color w:val="auto"/>
                <w:sz w:val="30"/>
                <w:szCs w:val="30"/>
                <w:highlight w:val="none"/>
              </w:rPr>
              <w:t>2</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eastAsia="仿宋"/>
                <w:color w:val="auto"/>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28"/>
                <w:szCs w:val="28"/>
                <w:highlight w:val="none"/>
              </w:rPr>
              <w:t>…</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eastAsia="仿宋"/>
                <w:color w:val="auto"/>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r>
    </w:tbl>
    <w:p>
      <w:pPr>
        <w:snapToGrid w:val="0"/>
        <w:spacing w:before="156" w:beforeLines="50"/>
        <w:rPr>
          <w:rFonts w:ascii="仿宋" w:eastAsia="仿宋"/>
          <w:color w:val="auto"/>
          <w:sz w:val="30"/>
          <w:szCs w:val="30"/>
          <w:highlight w:val="none"/>
        </w:rPr>
      </w:pPr>
      <w:r>
        <w:rPr>
          <w:rFonts w:hint="eastAsia" w:ascii="仿宋" w:eastAsia="仿宋"/>
          <w:color w:val="auto"/>
          <w:sz w:val="30"/>
          <w:szCs w:val="30"/>
          <w:highlight w:val="none"/>
        </w:rPr>
        <w:t>服务</w:t>
      </w:r>
      <w:r>
        <w:rPr>
          <w:rFonts w:ascii="仿宋" w:eastAsia="仿宋"/>
          <w:color w:val="auto"/>
          <w:sz w:val="30"/>
          <w:szCs w:val="30"/>
          <w:highlight w:val="none"/>
        </w:rPr>
        <w:t>部分（如有）</w:t>
      </w:r>
    </w:p>
    <w:tbl>
      <w:tblPr>
        <w:tblStyle w:val="28"/>
        <w:tblW w:w="904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3278"/>
        <w:gridCol w:w="1890"/>
        <w:gridCol w:w="33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序号</w:t>
            </w:r>
          </w:p>
        </w:tc>
        <w:tc>
          <w:tcPr>
            <w:tcW w:w="327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服务内容</w:t>
            </w:r>
          </w:p>
        </w:tc>
        <w:tc>
          <w:tcPr>
            <w:tcW w:w="18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服务人员</w:t>
            </w:r>
          </w:p>
          <w:p>
            <w:pPr>
              <w:snapToGrid w:val="0"/>
              <w:spacing w:before="50" w:after="50"/>
              <w:jc w:val="center"/>
              <w:rPr>
                <w:rFonts w:ascii="仿宋" w:eastAsia="仿宋"/>
                <w:color w:val="auto"/>
                <w:sz w:val="30"/>
                <w:szCs w:val="30"/>
                <w:highlight w:val="none"/>
              </w:rPr>
            </w:pPr>
            <w:r>
              <w:rPr>
                <w:rFonts w:hint="eastAsia" w:ascii="仿宋" w:eastAsia="仿宋"/>
                <w:color w:val="auto"/>
                <w:sz w:val="30"/>
                <w:szCs w:val="30"/>
                <w:highlight w:val="none"/>
              </w:rPr>
              <w:t>数量</w:t>
            </w:r>
          </w:p>
        </w:tc>
        <w:tc>
          <w:tcPr>
            <w:tcW w:w="33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ascii="仿宋" w:eastAsia="仿宋"/>
                <w:color w:val="auto"/>
                <w:sz w:val="30"/>
                <w:szCs w:val="30"/>
                <w:highlight w:val="none"/>
              </w:rPr>
              <w:t>服务时间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ascii="仿宋" w:eastAsia="仿宋"/>
                <w:color w:val="auto"/>
                <w:sz w:val="30"/>
                <w:szCs w:val="30"/>
                <w:highlight w:val="none"/>
              </w:rPr>
              <w:t>1</w:t>
            </w:r>
          </w:p>
        </w:tc>
        <w:tc>
          <w:tcPr>
            <w:tcW w:w="327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eastAsia="仿宋"/>
                <w:color w:val="auto"/>
                <w:sz w:val="30"/>
                <w:szCs w:val="30"/>
                <w:highlight w:val="none"/>
              </w:rPr>
            </w:pPr>
          </w:p>
        </w:tc>
        <w:tc>
          <w:tcPr>
            <w:tcW w:w="33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ascii="仿宋" w:eastAsia="仿宋"/>
                <w:color w:val="auto"/>
                <w:sz w:val="30"/>
                <w:szCs w:val="30"/>
                <w:highlight w:val="none"/>
              </w:rPr>
              <w:t>2</w:t>
            </w:r>
          </w:p>
        </w:tc>
        <w:tc>
          <w:tcPr>
            <w:tcW w:w="327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eastAsia="仿宋"/>
                <w:color w:val="auto"/>
                <w:sz w:val="30"/>
                <w:szCs w:val="30"/>
                <w:highlight w:val="none"/>
              </w:rPr>
            </w:pPr>
          </w:p>
        </w:tc>
        <w:tc>
          <w:tcPr>
            <w:tcW w:w="33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r>
              <w:rPr>
                <w:rFonts w:hint="eastAsia" w:ascii="仿宋" w:eastAsia="仿宋"/>
                <w:color w:val="auto"/>
                <w:sz w:val="28"/>
                <w:szCs w:val="28"/>
                <w:highlight w:val="none"/>
              </w:rPr>
              <w:t>…</w:t>
            </w:r>
          </w:p>
        </w:tc>
        <w:tc>
          <w:tcPr>
            <w:tcW w:w="327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eastAsia="仿宋"/>
                <w:color w:val="auto"/>
                <w:sz w:val="30"/>
                <w:szCs w:val="30"/>
                <w:highlight w:val="none"/>
              </w:rPr>
            </w:pPr>
          </w:p>
        </w:tc>
        <w:tc>
          <w:tcPr>
            <w:tcW w:w="33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eastAsia="仿宋"/>
                <w:color w:val="auto"/>
                <w:sz w:val="30"/>
                <w:szCs w:val="30"/>
                <w:highlight w:val="none"/>
              </w:rPr>
            </w:pPr>
          </w:p>
        </w:tc>
      </w:tr>
    </w:tbl>
    <w:p>
      <w:pPr>
        <w:snapToGrid w:val="0"/>
        <w:spacing w:before="156" w:beforeLines="50"/>
        <w:rPr>
          <w:rFonts w:ascii="仿宋" w:eastAsia="仿宋"/>
          <w:color w:val="auto"/>
          <w:sz w:val="30"/>
          <w:szCs w:val="30"/>
          <w:highlight w:val="none"/>
        </w:rPr>
      </w:pPr>
      <w:r>
        <w:rPr>
          <w:rFonts w:hint="eastAsia" w:ascii="仿宋" w:eastAsia="仿宋"/>
          <w:color w:val="auto"/>
          <w:sz w:val="30"/>
          <w:szCs w:val="30"/>
          <w:highlight w:val="none"/>
        </w:rPr>
        <w:t>注：在填写时，如上表不适合本项目的实际情况，可在确保内容完整的情况下，</w:t>
      </w:r>
      <w:r>
        <w:rPr>
          <w:rFonts w:ascii="仿宋" w:eastAsia="仿宋"/>
          <w:color w:val="auto"/>
          <w:sz w:val="30"/>
          <w:szCs w:val="30"/>
          <w:highlight w:val="none"/>
        </w:rPr>
        <w:t>对上表进行细化</w:t>
      </w:r>
      <w:r>
        <w:rPr>
          <w:rFonts w:hint="eastAsia" w:ascii="仿宋" w:eastAsia="仿宋"/>
          <w:color w:val="auto"/>
          <w:sz w:val="30"/>
          <w:szCs w:val="30"/>
          <w:highlight w:val="none"/>
        </w:rPr>
        <w:t>。</w:t>
      </w:r>
    </w:p>
    <w:p>
      <w:pPr>
        <w:snapToGrid w:val="0"/>
        <w:spacing w:before="156" w:beforeLines="50"/>
        <w:rPr>
          <w:rFonts w:ascii="仿宋" w:eastAsia="仿宋"/>
          <w:color w:val="auto"/>
          <w:sz w:val="30"/>
          <w:szCs w:val="30"/>
          <w:highlight w:val="none"/>
        </w:rPr>
      </w:pPr>
    </w:p>
    <w:p>
      <w:pPr>
        <w:snapToGrid w:val="0"/>
        <w:spacing w:before="156" w:beforeLines="50"/>
        <w:rPr>
          <w:rFonts w:hint="eastAsia" w:ascii="仿宋" w:eastAsia="仿宋"/>
          <w:color w:val="auto"/>
          <w:sz w:val="30"/>
          <w:szCs w:val="30"/>
          <w:highlight w:val="none"/>
          <w:u w:val="single"/>
        </w:rPr>
      </w:pPr>
      <w:r>
        <w:rPr>
          <w:rFonts w:hint="eastAsia" w:ascii="仿宋" w:eastAsia="仿宋"/>
          <w:color w:val="auto"/>
          <w:sz w:val="30"/>
          <w:szCs w:val="30"/>
          <w:highlight w:val="none"/>
        </w:rPr>
        <w:t>法定代表人或其授权代表（签字或盖章）：</w:t>
      </w:r>
      <w:r>
        <w:rPr>
          <w:rFonts w:hint="eastAsia" w:ascii="仿宋" w:eastAsia="仿宋"/>
          <w:color w:val="auto"/>
          <w:sz w:val="30"/>
          <w:szCs w:val="30"/>
          <w:highlight w:val="none"/>
          <w:u w:val="single"/>
        </w:rPr>
        <w:t xml:space="preserve">          </w:t>
      </w:r>
    </w:p>
    <w:p>
      <w:pPr>
        <w:snapToGrid w:val="0"/>
        <w:spacing w:before="156" w:beforeLines="50"/>
        <w:rPr>
          <w:rFonts w:hint="eastAsia" w:ascii="仿宋" w:eastAsia="仿宋"/>
          <w:color w:val="auto"/>
          <w:sz w:val="30"/>
          <w:szCs w:val="30"/>
          <w:highlight w:val="none"/>
        </w:rPr>
      </w:pPr>
      <w:r>
        <w:rPr>
          <w:rFonts w:hint="eastAsia" w:ascii="仿宋" w:eastAsia="仿宋"/>
          <w:color w:val="auto"/>
          <w:sz w:val="30"/>
          <w:szCs w:val="30"/>
          <w:highlight w:val="none"/>
        </w:rPr>
        <w:t>日期：</w:t>
      </w:r>
      <w:r>
        <w:rPr>
          <w:rFonts w:hint="eastAsia" w:ascii="仿宋" w:eastAsia="仿宋"/>
          <w:color w:val="auto"/>
          <w:sz w:val="30"/>
          <w:szCs w:val="30"/>
          <w:highlight w:val="none"/>
          <w:u w:val="single"/>
        </w:rPr>
        <w:t xml:space="preserve"> </w:t>
      </w:r>
      <w:r>
        <w:rPr>
          <w:rFonts w:ascii="仿宋" w:eastAsia="仿宋"/>
          <w:color w:val="auto"/>
          <w:sz w:val="30"/>
          <w:szCs w:val="30"/>
          <w:highlight w:val="none"/>
          <w:u w:val="single"/>
        </w:rPr>
        <w:t xml:space="preserve">       </w:t>
      </w:r>
    </w:p>
    <w:p>
      <w:pPr>
        <w:snapToGrid w:val="0"/>
        <w:spacing w:before="50" w:after="50"/>
        <w:rPr>
          <w:rFonts w:ascii="仿宋" w:eastAsia="仿宋"/>
          <w:color w:val="auto"/>
          <w:spacing w:val="20"/>
          <w:sz w:val="30"/>
          <w:szCs w:val="30"/>
          <w:highlight w:val="none"/>
        </w:rPr>
      </w:pPr>
    </w:p>
    <w:p>
      <w:pPr>
        <w:snapToGrid w:val="0"/>
        <w:spacing w:before="50" w:after="50"/>
        <w:rPr>
          <w:rFonts w:hint="eastAsia" w:ascii="仿宋" w:eastAsia="仿宋"/>
          <w:b/>
          <w:bCs/>
          <w:color w:val="auto"/>
          <w:sz w:val="30"/>
          <w:szCs w:val="30"/>
          <w:highlight w:val="none"/>
        </w:rPr>
      </w:pPr>
      <w:bookmarkStart w:id="26" w:name="_Toc64369807"/>
      <w:bookmarkEnd w:id="26"/>
      <w:bookmarkStart w:id="27" w:name="_Toc64369805"/>
      <w:bookmarkEnd w:id="27"/>
      <w:bookmarkStart w:id="28" w:name="_Toc64369810"/>
      <w:bookmarkEnd w:id="28"/>
      <w:bookmarkStart w:id="29" w:name="_Toc64369812"/>
      <w:bookmarkEnd w:id="29"/>
      <w:bookmarkStart w:id="30" w:name="_Toc64369813"/>
      <w:bookmarkEnd w:id="30"/>
      <w:bookmarkStart w:id="31" w:name="_Toc64369809"/>
      <w:bookmarkEnd w:id="31"/>
      <w:bookmarkStart w:id="32" w:name="_Toc64369804"/>
      <w:bookmarkEnd w:id="32"/>
      <w:bookmarkStart w:id="33" w:name="_Toc64369806"/>
      <w:bookmarkEnd w:id="33"/>
      <w:bookmarkStart w:id="34" w:name="_Toc64369808"/>
      <w:bookmarkEnd w:id="34"/>
      <w:bookmarkStart w:id="35" w:name="_Toc64369814"/>
      <w:bookmarkEnd w:id="35"/>
      <w:bookmarkStart w:id="36" w:name="_Toc64369811"/>
      <w:bookmarkEnd w:id="36"/>
      <w:r>
        <w:rPr>
          <w:rFonts w:hint="eastAsia" w:ascii="仿宋" w:eastAsia="仿宋"/>
          <w:b/>
          <w:bCs/>
          <w:color w:val="auto"/>
          <w:sz w:val="30"/>
          <w:szCs w:val="30"/>
          <w:highlight w:val="none"/>
        </w:rPr>
        <w:t>附件1</w:t>
      </w:r>
      <w:r>
        <w:rPr>
          <w:rFonts w:hint="default" w:ascii="仿宋" w:eastAsia="仿宋"/>
          <w:b/>
          <w:bCs/>
          <w:color w:val="auto"/>
          <w:sz w:val="30"/>
          <w:szCs w:val="30"/>
          <w:highlight w:val="none"/>
        </w:rPr>
        <w:t>1</w:t>
      </w:r>
      <w:r>
        <w:rPr>
          <w:rFonts w:ascii="仿宋" w:eastAsia="仿宋"/>
          <w:b/>
          <w:bCs/>
          <w:color w:val="auto"/>
          <w:sz w:val="30"/>
          <w:szCs w:val="30"/>
          <w:highlight w:val="none"/>
        </w:rPr>
        <w:t>：</w:t>
      </w:r>
    </w:p>
    <w:p>
      <w:pPr>
        <w:snapToGrid w:val="0"/>
        <w:spacing w:before="50" w:after="156" w:afterLines="50"/>
        <w:jc w:val="center"/>
        <w:rPr>
          <w:rFonts w:hint="eastAsia" w:ascii="仿宋" w:eastAsia="仿宋"/>
          <w:b/>
          <w:color w:val="auto"/>
          <w:spacing w:val="40"/>
          <w:kern w:val="0"/>
          <w:sz w:val="36"/>
          <w:szCs w:val="36"/>
          <w:highlight w:val="none"/>
        </w:rPr>
      </w:pPr>
    </w:p>
    <w:p>
      <w:pPr>
        <w:snapToGrid w:val="0"/>
        <w:spacing w:before="50" w:after="156" w:afterLines="50"/>
        <w:jc w:val="center"/>
        <w:rPr>
          <w:rFonts w:hint="eastAsia" w:ascii="仿宋" w:eastAsia="仿宋"/>
          <w:b/>
          <w:color w:val="auto"/>
          <w:spacing w:val="40"/>
          <w:kern w:val="0"/>
          <w:sz w:val="36"/>
          <w:szCs w:val="36"/>
          <w:highlight w:val="none"/>
        </w:rPr>
      </w:pPr>
      <w:r>
        <w:rPr>
          <w:rFonts w:hint="eastAsia" w:ascii="仿宋" w:eastAsia="仿宋"/>
          <w:b/>
          <w:color w:val="auto"/>
          <w:spacing w:val="40"/>
          <w:kern w:val="0"/>
          <w:sz w:val="36"/>
          <w:szCs w:val="36"/>
          <w:highlight w:val="none"/>
        </w:rPr>
        <w:t>技 术 响 应 表</w:t>
      </w:r>
    </w:p>
    <w:p>
      <w:pPr>
        <w:snapToGrid w:val="0"/>
        <w:spacing w:before="50" w:after="156" w:afterLines="50"/>
        <w:jc w:val="center"/>
        <w:rPr>
          <w:rFonts w:hint="eastAsia" w:ascii="仿宋" w:eastAsia="仿宋"/>
          <w:b/>
          <w:color w:val="auto"/>
          <w:sz w:val="32"/>
          <w:szCs w:val="32"/>
          <w:highlight w:val="none"/>
        </w:rPr>
      </w:pPr>
    </w:p>
    <w:p>
      <w:pPr>
        <w:pStyle w:val="10"/>
        <w:snapToGrid w:val="0"/>
        <w:rPr>
          <w:rFonts w:hint="eastAsia" w:ascii="仿宋" w:eastAsia="仿宋"/>
          <w:color w:val="auto"/>
          <w:sz w:val="30"/>
          <w:szCs w:val="30"/>
          <w:highlight w:val="none"/>
        </w:rPr>
      </w:pPr>
      <w:r>
        <w:rPr>
          <w:rFonts w:ascii="仿宋" w:eastAsia="仿宋"/>
          <w:color w:val="auto"/>
          <w:sz w:val="30"/>
          <w:szCs w:val="30"/>
          <w:highlight w:val="none"/>
        </w:rPr>
        <w:t>供应商</w:t>
      </w:r>
      <w:r>
        <w:rPr>
          <w:rFonts w:hint="eastAsia" w:ascii="仿宋" w:eastAsia="仿宋"/>
          <w:color w:val="auto"/>
          <w:sz w:val="30"/>
          <w:szCs w:val="30"/>
          <w:highlight w:val="none"/>
        </w:rPr>
        <w:t>全称（公章）：</w:t>
      </w:r>
      <w:r>
        <w:rPr>
          <w:rFonts w:hint="eastAsia" w:ascii="仿宋" w:eastAsia="仿宋"/>
          <w:color w:val="auto"/>
          <w:sz w:val="30"/>
          <w:szCs w:val="30"/>
          <w:highlight w:val="none"/>
          <w:u w:val="single"/>
        </w:rPr>
        <w:t xml:space="preserve">            </w:t>
      </w:r>
    </w:p>
    <w:p>
      <w:pPr>
        <w:pStyle w:val="10"/>
        <w:snapToGrid w:val="0"/>
        <w:rPr>
          <w:rFonts w:hint="eastAsia" w:ascii="仿宋" w:eastAsia="仿宋"/>
          <w:color w:val="auto"/>
          <w:sz w:val="30"/>
          <w:szCs w:val="30"/>
          <w:highlight w:val="none"/>
          <w:u w:val="single"/>
        </w:rPr>
      </w:pPr>
      <w:r>
        <w:rPr>
          <w:rFonts w:hint="eastAsia" w:ascii="仿宋" w:eastAsia="仿宋"/>
          <w:color w:val="auto"/>
          <w:sz w:val="30"/>
          <w:szCs w:val="30"/>
          <w:highlight w:val="none"/>
        </w:rPr>
        <w:t>标段</w:t>
      </w:r>
      <w:r>
        <w:rPr>
          <w:rFonts w:ascii="仿宋" w:eastAsia="仿宋"/>
          <w:color w:val="auto"/>
          <w:sz w:val="30"/>
          <w:szCs w:val="30"/>
          <w:highlight w:val="none"/>
        </w:rPr>
        <w:t>编号</w:t>
      </w:r>
      <w:r>
        <w:rPr>
          <w:rFonts w:hint="eastAsia" w:ascii="仿宋" w:eastAsia="仿宋"/>
          <w:color w:val="auto"/>
          <w:sz w:val="30"/>
          <w:szCs w:val="30"/>
          <w:highlight w:val="none"/>
        </w:rPr>
        <w:t>：</w:t>
      </w:r>
      <w:r>
        <w:rPr>
          <w:rFonts w:hint="eastAsia" w:ascii="仿宋" w:eastAsia="仿宋"/>
          <w:color w:val="auto"/>
          <w:sz w:val="30"/>
          <w:szCs w:val="30"/>
          <w:highlight w:val="none"/>
          <w:u w:val="single"/>
        </w:rPr>
        <w:t xml:space="preserve">       </w:t>
      </w:r>
    </w:p>
    <w:tbl>
      <w:tblPr>
        <w:tblStyle w:val="28"/>
        <w:tblW w:w="85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5"/>
        <w:gridCol w:w="1711"/>
        <w:gridCol w:w="2241"/>
        <w:gridCol w:w="2330"/>
        <w:gridCol w:w="13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8593" w:type="dxa"/>
            <w:gridSpan w:val="5"/>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30"/>
                <w:szCs w:val="30"/>
                <w:highlight w:val="none"/>
              </w:rPr>
            </w:pPr>
            <w:bookmarkStart w:id="37" w:name="_Toc64369799"/>
            <w:r>
              <w:rPr>
                <w:rFonts w:hint="eastAsia" w:ascii="仿宋" w:eastAsia="仿宋"/>
                <w:color w:val="auto"/>
                <w:spacing w:val="20"/>
                <w:sz w:val="30"/>
                <w:szCs w:val="30"/>
                <w:highlight w:val="none"/>
              </w:rPr>
              <w:t>货物部分</w:t>
            </w:r>
            <w:bookmarkEnd w:id="37"/>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94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 w:eastAsia="仿宋"/>
                <w:color w:val="auto"/>
                <w:spacing w:val="20"/>
                <w:sz w:val="30"/>
                <w:szCs w:val="30"/>
                <w:highlight w:val="none"/>
              </w:rPr>
            </w:pPr>
            <w:bookmarkStart w:id="38" w:name="_Toc64369800"/>
            <w:r>
              <w:rPr>
                <w:rFonts w:hint="eastAsia" w:ascii="仿宋" w:eastAsia="仿宋"/>
                <w:color w:val="auto"/>
                <w:spacing w:val="20"/>
                <w:sz w:val="30"/>
                <w:szCs w:val="30"/>
                <w:highlight w:val="none"/>
              </w:rPr>
              <w:t>序号</w:t>
            </w:r>
            <w:bookmarkEnd w:id="38"/>
          </w:p>
        </w:tc>
        <w:tc>
          <w:tcPr>
            <w:tcW w:w="17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货物名称</w:t>
            </w:r>
          </w:p>
        </w:tc>
        <w:tc>
          <w:tcPr>
            <w:tcW w:w="224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 w:eastAsia="仿宋"/>
                <w:color w:val="auto"/>
                <w:spacing w:val="20"/>
                <w:sz w:val="30"/>
                <w:szCs w:val="30"/>
                <w:highlight w:val="none"/>
              </w:rPr>
            </w:pPr>
            <w:bookmarkStart w:id="39" w:name="_Toc64369801"/>
            <w:bookmarkStart w:id="40" w:name="_Toc64369802"/>
            <w:r>
              <w:rPr>
                <w:rFonts w:hint="eastAsia" w:ascii="仿宋" w:eastAsia="仿宋"/>
                <w:color w:val="auto"/>
                <w:spacing w:val="20"/>
                <w:sz w:val="30"/>
                <w:szCs w:val="30"/>
                <w:highlight w:val="none"/>
              </w:rPr>
              <w:t>采购文件</w:t>
            </w:r>
          </w:p>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要求</w:t>
            </w:r>
            <w:bookmarkEnd w:id="39"/>
          </w:p>
        </w:tc>
        <w:tc>
          <w:tcPr>
            <w:tcW w:w="23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投标文件</w:t>
            </w:r>
          </w:p>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响应</w:t>
            </w:r>
            <w:bookmarkEnd w:id="40"/>
          </w:p>
        </w:tc>
        <w:tc>
          <w:tcPr>
            <w:tcW w:w="136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 w:eastAsia="仿宋"/>
                <w:color w:val="auto"/>
                <w:spacing w:val="20"/>
                <w:sz w:val="30"/>
                <w:szCs w:val="30"/>
                <w:highlight w:val="none"/>
              </w:rPr>
            </w:pPr>
            <w:bookmarkStart w:id="41" w:name="_Toc64369803"/>
            <w:r>
              <w:rPr>
                <w:rFonts w:hint="eastAsia" w:ascii="仿宋" w:eastAsia="仿宋"/>
                <w:color w:val="auto"/>
                <w:spacing w:val="20"/>
                <w:sz w:val="30"/>
                <w:szCs w:val="30"/>
                <w:highlight w:val="none"/>
              </w:rPr>
              <w:t>偏离</w:t>
            </w:r>
          </w:p>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情况</w:t>
            </w:r>
            <w:bookmarkEnd w:id="41"/>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945"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1</w:t>
            </w:r>
          </w:p>
        </w:tc>
        <w:tc>
          <w:tcPr>
            <w:tcW w:w="171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仿宋" w:eastAsia="仿宋"/>
                <w:color w:val="auto"/>
                <w:spacing w:val="20"/>
                <w:sz w:val="30"/>
                <w:szCs w:val="30"/>
                <w:highlight w:val="none"/>
              </w:rPr>
            </w:pPr>
          </w:p>
        </w:tc>
        <w:tc>
          <w:tcPr>
            <w:tcW w:w="1366"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仿宋" w:eastAsia="仿宋"/>
                <w:color w:val="auto"/>
                <w:spacing w:val="20"/>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1" w:hRule="atLeast"/>
        </w:trPr>
        <w:tc>
          <w:tcPr>
            <w:tcW w:w="945"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2</w:t>
            </w:r>
          </w:p>
        </w:tc>
        <w:tc>
          <w:tcPr>
            <w:tcW w:w="171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仿宋" w:eastAsia="仿宋"/>
                <w:color w:val="auto"/>
                <w:spacing w:val="20"/>
                <w:sz w:val="30"/>
                <w:szCs w:val="30"/>
                <w:highlight w:val="none"/>
              </w:rPr>
            </w:pPr>
          </w:p>
        </w:tc>
        <w:tc>
          <w:tcPr>
            <w:tcW w:w="1366" w:type="dxa"/>
            <w:tcBorders>
              <w:top w:val="single" w:color="auto" w:sz="4" w:space="0"/>
              <w:left w:val="single" w:color="auto" w:sz="4" w:space="0"/>
              <w:bottom w:val="nil"/>
              <w:right w:val="single" w:color="auto" w:sz="4" w:space="0"/>
            </w:tcBorders>
          </w:tcPr>
          <w:p>
            <w:pPr>
              <w:snapToGrid w:val="0"/>
              <w:spacing w:before="50" w:after="50"/>
              <w:rPr>
                <w:rFonts w:hint="eastAsia" w:ascii="仿宋" w:eastAsia="仿宋"/>
                <w:color w:val="auto"/>
                <w:spacing w:val="20"/>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945"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w:t>
            </w:r>
          </w:p>
        </w:tc>
        <w:tc>
          <w:tcPr>
            <w:tcW w:w="171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仿宋" w:eastAsia="仿宋"/>
                <w:color w:val="auto"/>
                <w:spacing w:val="20"/>
                <w:sz w:val="30"/>
                <w:szCs w:val="30"/>
                <w:highlight w:val="none"/>
              </w:rPr>
            </w:pPr>
          </w:p>
        </w:tc>
        <w:tc>
          <w:tcPr>
            <w:tcW w:w="1366"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仿宋" w:eastAsia="仿宋"/>
                <w:color w:val="auto"/>
                <w:spacing w:val="20"/>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8593" w:type="dxa"/>
            <w:gridSpan w:val="5"/>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服务部分（如有）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4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序号</w:t>
            </w:r>
          </w:p>
        </w:tc>
        <w:tc>
          <w:tcPr>
            <w:tcW w:w="17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服务名称</w:t>
            </w:r>
          </w:p>
        </w:tc>
        <w:tc>
          <w:tcPr>
            <w:tcW w:w="224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采购文件</w:t>
            </w:r>
          </w:p>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要求</w:t>
            </w:r>
          </w:p>
        </w:tc>
        <w:tc>
          <w:tcPr>
            <w:tcW w:w="2330" w:type="dxa"/>
            <w:tcBorders>
              <w:top w:val="single" w:color="auto" w:sz="4" w:space="0"/>
              <w:left w:val="single" w:color="auto" w:sz="4" w:space="0"/>
              <w:bottom w:val="single" w:color="auto" w:sz="4" w:space="0"/>
              <w:right w:val="single" w:color="auto" w:sz="4" w:space="0"/>
            </w:tcBorders>
          </w:tcPr>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投标文件</w:t>
            </w:r>
          </w:p>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响应</w:t>
            </w:r>
          </w:p>
        </w:tc>
        <w:tc>
          <w:tcPr>
            <w:tcW w:w="1366" w:type="dxa"/>
            <w:tcBorders>
              <w:top w:val="single" w:color="auto" w:sz="4" w:space="0"/>
              <w:left w:val="single" w:color="auto" w:sz="4" w:space="0"/>
              <w:bottom w:val="single" w:color="auto" w:sz="4" w:space="0"/>
              <w:right w:val="single" w:color="auto" w:sz="4" w:space="0"/>
            </w:tcBorders>
          </w:tcPr>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偏离</w:t>
            </w:r>
          </w:p>
          <w:p>
            <w:pPr>
              <w:snapToGrid w:val="0"/>
              <w:spacing w:before="50" w:after="50"/>
              <w:jc w:val="center"/>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945"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1</w:t>
            </w:r>
          </w:p>
        </w:tc>
        <w:tc>
          <w:tcPr>
            <w:tcW w:w="171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仿宋" w:eastAsia="仿宋"/>
                <w:color w:val="auto"/>
                <w:spacing w:val="20"/>
                <w:sz w:val="30"/>
                <w:szCs w:val="30"/>
                <w:highlight w:val="none"/>
              </w:rPr>
            </w:pPr>
          </w:p>
        </w:tc>
        <w:tc>
          <w:tcPr>
            <w:tcW w:w="1366"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仿宋" w:eastAsia="仿宋"/>
                <w:color w:val="auto"/>
                <w:spacing w:val="20"/>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9" w:hRule="atLeast"/>
        </w:trPr>
        <w:tc>
          <w:tcPr>
            <w:tcW w:w="945"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2</w:t>
            </w:r>
          </w:p>
        </w:tc>
        <w:tc>
          <w:tcPr>
            <w:tcW w:w="171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仿宋" w:eastAsia="仿宋"/>
                <w:color w:val="auto"/>
                <w:spacing w:val="20"/>
                <w:sz w:val="30"/>
                <w:szCs w:val="30"/>
                <w:highlight w:val="none"/>
              </w:rPr>
            </w:pPr>
          </w:p>
        </w:tc>
        <w:tc>
          <w:tcPr>
            <w:tcW w:w="1366"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仿宋" w:eastAsia="仿宋"/>
                <w:color w:val="auto"/>
                <w:spacing w:val="20"/>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945"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30"/>
                <w:szCs w:val="30"/>
                <w:highlight w:val="none"/>
              </w:rPr>
            </w:pPr>
            <w:r>
              <w:rPr>
                <w:rFonts w:hint="eastAsia" w:ascii="仿宋" w:eastAsia="仿宋"/>
                <w:color w:val="auto"/>
                <w:spacing w:val="20"/>
                <w:sz w:val="30"/>
                <w:szCs w:val="30"/>
                <w:highlight w:val="none"/>
              </w:rPr>
              <w:t>…</w:t>
            </w:r>
          </w:p>
        </w:tc>
        <w:tc>
          <w:tcPr>
            <w:tcW w:w="171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241" w:type="dxa"/>
            <w:tcBorders>
              <w:top w:val="single" w:color="auto" w:sz="4" w:space="0"/>
              <w:left w:val="single" w:color="auto" w:sz="4" w:space="0"/>
              <w:bottom w:val="single" w:color="auto" w:sz="4" w:space="0"/>
              <w:right w:val="single" w:color="auto" w:sz="4" w:space="0"/>
              <w:tl2br w:val="nil"/>
              <w:tr2bl w:val="nil"/>
            </w:tcBorders>
            <w:vAlign w:val="center"/>
          </w:tcPr>
          <w:p>
            <w:pPr>
              <w:snapToGrid w:val="0"/>
              <w:spacing w:before="50" w:after="50"/>
              <w:rPr>
                <w:rFonts w:hint="eastAsia" w:ascii="仿宋" w:eastAsia="仿宋"/>
                <w:color w:val="auto"/>
                <w:spacing w:val="20"/>
                <w:sz w:val="30"/>
                <w:szCs w:val="30"/>
                <w:highlight w:val="none"/>
              </w:rPr>
            </w:pPr>
          </w:p>
        </w:tc>
        <w:tc>
          <w:tcPr>
            <w:tcW w:w="2330"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仿宋" w:eastAsia="仿宋"/>
                <w:color w:val="auto"/>
                <w:spacing w:val="20"/>
                <w:sz w:val="30"/>
                <w:szCs w:val="30"/>
                <w:highlight w:val="none"/>
              </w:rPr>
            </w:pPr>
          </w:p>
        </w:tc>
        <w:tc>
          <w:tcPr>
            <w:tcW w:w="1366"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仿宋" w:eastAsia="仿宋"/>
                <w:color w:val="auto"/>
                <w:spacing w:val="20"/>
                <w:sz w:val="30"/>
                <w:szCs w:val="30"/>
                <w:highlight w:val="none"/>
              </w:rPr>
            </w:pPr>
          </w:p>
        </w:tc>
      </w:tr>
    </w:tbl>
    <w:p>
      <w:pPr>
        <w:pStyle w:val="13"/>
        <w:rPr>
          <w:rFonts w:hint="eastAsia" w:ascii="仿宋" w:eastAsia="仿宋"/>
          <w:b w:val="0"/>
          <w:bCs w:val="0"/>
          <w:color w:val="auto"/>
          <w:spacing w:val="20"/>
          <w:kern w:val="0"/>
          <w:sz w:val="28"/>
          <w:szCs w:val="28"/>
          <w:highlight w:val="none"/>
        </w:rPr>
      </w:pPr>
      <w:r>
        <w:rPr>
          <w:rFonts w:hint="eastAsia" w:ascii="仿宋" w:eastAsia="仿宋"/>
          <w:b w:val="0"/>
          <w:bCs w:val="0"/>
          <w:color w:val="auto"/>
          <w:sz w:val="28"/>
          <w:szCs w:val="28"/>
          <w:highlight w:val="none"/>
        </w:rPr>
        <w:t>注：</w:t>
      </w:r>
      <w:r>
        <w:rPr>
          <w:rFonts w:ascii="仿宋" w:eastAsia="仿宋"/>
          <w:b w:val="0"/>
          <w:bCs w:val="0"/>
          <w:color w:val="auto"/>
          <w:sz w:val="28"/>
          <w:szCs w:val="28"/>
          <w:highlight w:val="none"/>
        </w:rPr>
        <w:t>供应商</w:t>
      </w:r>
      <w:r>
        <w:rPr>
          <w:rFonts w:hint="eastAsia" w:ascii="仿宋" w:eastAsia="仿宋"/>
          <w:b w:val="0"/>
          <w:bCs w:val="0"/>
          <w:color w:val="auto"/>
          <w:sz w:val="28"/>
          <w:szCs w:val="28"/>
          <w:highlight w:val="none"/>
        </w:rPr>
        <w:t>应对照采购文件要求和投标文件响应情况在“偏离情况”栏注明“正偏离”、“负偏离”或“无偏离”。若正偏离的，需详细说明或提供证明材料。</w:t>
      </w:r>
    </w:p>
    <w:p>
      <w:pPr>
        <w:pStyle w:val="13"/>
        <w:rPr>
          <w:rFonts w:ascii="仿宋" w:eastAsia="仿宋"/>
          <w:b w:val="0"/>
          <w:bCs w:val="0"/>
          <w:color w:val="auto"/>
          <w:spacing w:val="20"/>
          <w:kern w:val="0"/>
          <w:sz w:val="28"/>
          <w:szCs w:val="28"/>
          <w:highlight w:val="none"/>
        </w:rPr>
      </w:pPr>
    </w:p>
    <w:p>
      <w:pPr>
        <w:snapToGrid w:val="0"/>
        <w:spacing w:before="50" w:after="50"/>
        <w:rPr>
          <w:rFonts w:ascii="仿宋" w:eastAsia="仿宋"/>
          <w:color w:val="auto"/>
          <w:spacing w:val="20"/>
          <w:sz w:val="30"/>
          <w:szCs w:val="30"/>
          <w:highlight w:val="none"/>
        </w:rPr>
      </w:pPr>
    </w:p>
    <w:p>
      <w:pPr>
        <w:snapToGrid w:val="0"/>
        <w:spacing w:before="50" w:after="50"/>
        <w:rPr>
          <w:rFonts w:ascii="仿宋" w:eastAsia="仿宋"/>
          <w:color w:val="auto"/>
          <w:spacing w:val="20"/>
          <w:sz w:val="30"/>
          <w:szCs w:val="30"/>
          <w:highlight w:val="none"/>
        </w:rPr>
      </w:pPr>
    </w:p>
    <w:p>
      <w:pPr>
        <w:snapToGrid w:val="0"/>
        <w:spacing w:before="50" w:after="50"/>
        <w:rPr>
          <w:rFonts w:ascii="仿宋" w:eastAsia="仿宋"/>
          <w:color w:val="auto"/>
          <w:spacing w:val="20"/>
          <w:sz w:val="30"/>
          <w:szCs w:val="30"/>
          <w:highlight w:val="none"/>
        </w:rPr>
      </w:pPr>
    </w:p>
    <w:p>
      <w:pPr>
        <w:snapToGrid w:val="0"/>
        <w:spacing w:before="156" w:beforeLines="50"/>
        <w:rPr>
          <w:rFonts w:hint="eastAsia" w:ascii="仿宋" w:eastAsia="仿宋"/>
          <w:color w:val="auto"/>
          <w:sz w:val="30"/>
          <w:szCs w:val="30"/>
          <w:highlight w:val="none"/>
          <w:u w:val="single"/>
        </w:rPr>
      </w:pPr>
      <w:r>
        <w:rPr>
          <w:rFonts w:hint="eastAsia" w:ascii="仿宋" w:eastAsia="仿宋"/>
          <w:color w:val="auto"/>
          <w:sz w:val="30"/>
          <w:szCs w:val="30"/>
          <w:highlight w:val="none"/>
        </w:rPr>
        <w:t>法定代表人或其授权代表（签字或盖章）：</w:t>
      </w:r>
      <w:r>
        <w:rPr>
          <w:rFonts w:hint="eastAsia" w:ascii="仿宋" w:eastAsia="仿宋"/>
          <w:color w:val="auto"/>
          <w:sz w:val="30"/>
          <w:szCs w:val="30"/>
          <w:highlight w:val="none"/>
          <w:u w:val="single"/>
        </w:rPr>
        <w:t xml:space="preserve">          </w:t>
      </w:r>
    </w:p>
    <w:p>
      <w:pPr>
        <w:snapToGrid w:val="0"/>
        <w:spacing w:before="156" w:beforeLines="50"/>
        <w:rPr>
          <w:rFonts w:hint="eastAsia" w:ascii="仿宋" w:eastAsia="仿宋"/>
          <w:color w:val="auto"/>
          <w:sz w:val="30"/>
          <w:szCs w:val="30"/>
          <w:highlight w:val="none"/>
        </w:rPr>
      </w:pPr>
      <w:r>
        <w:rPr>
          <w:rFonts w:hint="eastAsia" w:ascii="仿宋" w:eastAsia="仿宋"/>
          <w:color w:val="auto"/>
          <w:sz w:val="30"/>
          <w:szCs w:val="30"/>
          <w:highlight w:val="none"/>
        </w:rPr>
        <w:t>日期：</w:t>
      </w:r>
      <w:r>
        <w:rPr>
          <w:rFonts w:hint="eastAsia" w:ascii="仿宋" w:eastAsia="仿宋"/>
          <w:color w:val="auto"/>
          <w:sz w:val="30"/>
          <w:szCs w:val="30"/>
          <w:highlight w:val="none"/>
          <w:u w:val="single"/>
        </w:rPr>
        <w:t xml:space="preserve"> </w:t>
      </w:r>
      <w:r>
        <w:rPr>
          <w:rFonts w:ascii="仿宋" w:eastAsia="仿宋"/>
          <w:color w:val="auto"/>
          <w:sz w:val="30"/>
          <w:szCs w:val="30"/>
          <w:highlight w:val="none"/>
          <w:u w:val="single"/>
        </w:rPr>
        <w:t xml:space="preserve">       </w:t>
      </w:r>
    </w:p>
    <w:p>
      <w:pPr>
        <w:snapToGrid w:val="0"/>
        <w:spacing w:before="50" w:after="50"/>
        <w:rPr>
          <w:rFonts w:ascii="仿宋" w:eastAsia="仿宋"/>
          <w:color w:val="auto"/>
          <w:spacing w:val="20"/>
          <w:sz w:val="30"/>
          <w:szCs w:val="30"/>
          <w:highlight w:val="none"/>
        </w:rPr>
      </w:pPr>
    </w:p>
    <w:p>
      <w:pPr>
        <w:snapToGrid w:val="0"/>
        <w:spacing w:before="50" w:after="50"/>
        <w:rPr>
          <w:rFonts w:ascii="仿宋" w:eastAsia="仿宋"/>
          <w:b/>
          <w:bCs/>
          <w:color w:val="auto"/>
          <w:sz w:val="30"/>
          <w:szCs w:val="30"/>
          <w:highlight w:val="none"/>
        </w:rPr>
      </w:pPr>
      <w:r>
        <w:rPr>
          <w:rFonts w:hint="eastAsia" w:ascii="仿宋" w:eastAsia="仿宋"/>
          <w:b/>
          <w:bCs/>
          <w:color w:val="auto"/>
          <w:sz w:val="30"/>
          <w:szCs w:val="30"/>
          <w:highlight w:val="none"/>
        </w:rPr>
        <w:t>附件</w:t>
      </w:r>
      <w:r>
        <w:rPr>
          <w:rFonts w:ascii="仿宋" w:eastAsia="仿宋"/>
          <w:b/>
          <w:bCs/>
          <w:color w:val="auto"/>
          <w:sz w:val="30"/>
          <w:szCs w:val="30"/>
          <w:highlight w:val="none"/>
        </w:rPr>
        <w:t>12</w:t>
      </w:r>
      <w:r>
        <w:rPr>
          <w:rFonts w:hint="eastAsia" w:ascii="仿宋" w:eastAsia="仿宋"/>
          <w:b/>
          <w:bCs/>
          <w:color w:val="auto"/>
          <w:sz w:val="30"/>
          <w:szCs w:val="30"/>
          <w:highlight w:val="none"/>
        </w:rPr>
        <w:t>：</w:t>
      </w:r>
    </w:p>
    <w:p>
      <w:pPr>
        <w:snapToGrid w:val="0"/>
        <w:spacing w:before="50" w:after="156" w:afterLines="50"/>
        <w:jc w:val="center"/>
        <w:rPr>
          <w:rFonts w:ascii="仿宋" w:eastAsia="仿宋"/>
          <w:b/>
          <w:color w:val="auto"/>
          <w:spacing w:val="40"/>
          <w:kern w:val="0"/>
          <w:sz w:val="36"/>
          <w:szCs w:val="36"/>
          <w:highlight w:val="none"/>
        </w:rPr>
      </w:pPr>
      <w:r>
        <w:rPr>
          <w:rFonts w:ascii="仿宋" w:eastAsia="仿宋"/>
          <w:b/>
          <w:color w:val="auto"/>
          <w:spacing w:val="40"/>
          <w:kern w:val="0"/>
          <w:sz w:val="36"/>
          <w:szCs w:val="36"/>
          <w:highlight w:val="none"/>
        </w:rPr>
        <w:t>商 务</w:t>
      </w:r>
      <w:r>
        <w:rPr>
          <w:rFonts w:hint="eastAsia" w:ascii="仿宋" w:eastAsia="仿宋"/>
          <w:b/>
          <w:color w:val="auto"/>
          <w:spacing w:val="40"/>
          <w:kern w:val="0"/>
          <w:sz w:val="36"/>
          <w:szCs w:val="36"/>
          <w:highlight w:val="none"/>
        </w:rPr>
        <w:t xml:space="preserve"> 响 应 表</w:t>
      </w:r>
    </w:p>
    <w:p>
      <w:pPr>
        <w:snapToGrid w:val="0"/>
        <w:spacing w:before="50" w:after="156" w:afterLines="50"/>
        <w:jc w:val="center"/>
        <w:rPr>
          <w:rFonts w:ascii="仿宋" w:eastAsia="仿宋"/>
          <w:b/>
          <w:color w:val="auto"/>
          <w:sz w:val="32"/>
          <w:szCs w:val="32"/>
          <w:highlight w:val="none"/>
        </w:rPr>
      </w:pPr>
    </w:p>
    <w:p>
      <w:pPr>
        <w:pStyle w:val="10"/>
        <w:snapToGrid w:val="0"/>
        <w:rPr>
          <w:rFonts w:ascii="仿宋" w:eastAsia="仿宋"/>
          <w:color w:val="auto"/>
          <w:sz w:val="28"/>
          <w:szCs w:val="28"/>
          <w:highlight w:val="none"/>
        </w:rPr>
      </w:pPr>
      <w:r>
        <w:rPr>
          <w:rFonts w:hint="eastAsia" w:ascii="仿宋" w:eastAsia="仿宋"/>
          <w:color w:val="auto"/>
          <w:sz w:val="28"/>
          <w:szCs w:val="28"/>
          <w:highlight w:val="none"/>
        </w:rPr>
        <w:t>供应商全称（公章）：</w:t>
      </w:r>
      <w:r>
        <w:rPr>
          <w:rFonts w:hint="eastAsia" w:ascii="仿宋" w:eastAsia="仿宋"/>
          <w:color w:val="auto"/>
          <w:sz w:val="28"/>
          <w:szCs w:val="28"/>
          <w:highlight w:val="none"/>
          <w:u w:val="single"/>
        </w:rPr>
        <w:t xml:space="preserve">            </w:t>
      </w:r>
    </w:p>
    <w:p>
      <w:pPr>
        <w:pStyle w:val="10"/>
        <w:snapToGrid w:val="0"/>
        <w:rPr>
          <w:rFonts w:ascii="仿宋" w:eastAsia="仿宋"/>
          <w:color w:val="auto"/>
          <w:sz w:val="28"/>
          <w:szCs w:val="28"/>
          <w:highlight w:val="none"/>
          <w:u w:val="single"/>
        </w:rPr>
      </w:pPr>
      <w:r>
        <w:rPr>
          <w:rFonts w:ascii="仿宋" w:eastAsia="仿宋"/>
          <w:color w:val="auto"/>
          <w:sz w:val="28"/>
          <w:szCs w:val="28"/>
          <w:highlight w:val="none"/>
        </w:rPr>
        <w:t>标段编号</w:t>
      </w:r>
      <w:r>
        <w:rPr>
          <w:rFonts w:hint="eastAsia" w:ascii="仿宋" w:eastAsia="仿宋"/>
          <w:color w:val="auto"/>
          <w:sz w:val="28"/>
          <w:szCs w:val="28"/>
          <w:highlight w:val="none"/>
        </w:rPr>
        <w:t>：</w:t>
      </w:r>
      <w:r>
        <w:rPr>
          <w:rFonts w:hint="eastAsia" w:ascii="仿宋" w:eastAsia="仿宋"/>
          <w:color w:val="auto"/>
          <w:sz w:val="28"/>
          <w:szCs w:val="28"/>
          <w:highlight w:val="none"/>
          <w:u w:val="single"/>
        </w:rPr>
        <w:t xml:space="preserve">       </w:t>
      </w:r>
    </w:p>
    <w:tbl>
      <w:tblPr>
        <w:tblStyle w:val="28"/>
        <w:tblW w:w="85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44"/>
        <w:gridCol w:w="2626"/>
        <w:gridCol w:w="2737"/>
        <w:gridCol w:w="18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s="仿宋_GB2312"/>
                <w:color w:val="auto"/>
                <w:spacing w:val="20"/>
                <w:sz w:val="28"/>
                <w:szCs w:val="28"/>
                <w:highlight w:val="none"/>
              </w:rPr>
            </w:pPr>
            <w:bookmarkStart w:id="42" w:name="_Toc64369815"/>
            <w:r>
              <w:rPr>
                <w:rFonts w:hint="eastAsia" w:ascii="仿宋" w:eastAsia="仿宋" w:cs="仿宋_GB2312"/>
                <w:color w:val="auto"/>
                <w:spacing w:val="20"/>
                <w:sz w:val="28"/>
                <w:szCs w:val="28"/>
                <w:highlight w:val="none"/>
              </w:rPr>
              <w:t>类别</w:t>
            </w:r>
            <w:bookmarkEnd w:id="42"/>
          </w:p>
        </w:tc>
        <w:tc>
          <w:tcPr>
            <w:tcW w:w="262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jc w:val="center"/>
              <w:rPr>
                <w:rFonts w:hint="eastAsia" w:ascii="仿宋" w:eastAsia="仿宋" w:cs="仿宋_GB2312"/>
                <w:color w:val="auto"/>
                <w:sz w:val="30"/>
                <w:szCs w:val="30"/>
                <w:highlight w:val="none"/>
              </w:rPr>
            </w:pPr>
            <w:bookmarkStart w:id="43" w:name="_Toc64369816"/>
            <w:r>
              <w:rPr>
                <w:rFonts w:hint="eastAsia" w:ascii="仿宋" w:eastAsia="仿宋" w:cs="仿宋_GB2312"/>
                <w:color w:val="auto"/>
                <w:sz w:val="30"/>
                <w:szCs w:val="30"/>
                <w:highlight w:val="none"/>
              </w:rPr>
              <w:t>采购文件要求</w:t>
            </w:r>
            <w:bookmarkEnd w:id="43"/>
          </w:p>
        </w:tc>
        <w:tc>
          <w:tcPr>
            <w:tcW w:w="273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jc w:val="center"/>
              <w:rPr>
                <w:rFonts w:hint="eastAsia" w:ascii="仿宋" w:eastAsia="仿宋" w:cs="仿宋_GB2312"/>
                <w:color w:val="auto"/>
                <w:sz w:val="30"/>
                <w:szCs w:val="30"/>
                <w:highlight w:val="none"/>
              </w:rPr>
            </w:pPr>
            <w:bookmarkStart w:id="44" w:name="_Toc64369817"/>
            <w:r>
              <w:rPr>
                <w:rFonts w:hint="eastAsia" w:ascii="仿宋" w:eastAsia="仿宋" w:cs="仿宋_GB2312"/>
                <w:color w:val="auto"/>
                <w:sz w:val="30"/>
                <w:szCs w:val="30"/>
                <w:highlight w:val="none"/>
              </w:rPr>
              <w:t>投标文件响应</w:t>
            </w:r>
            <w:bookmarkEnd w:id="44"/>
          </w:p>
        </w:tc>
        <w:tc>
          <w:tcPr>
            <w:tcW w:w="188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jc w:val="center"/>
              <w:rPr>
                <w:rFonts w:hint="eastAsia" w:ascii="仿宋" w:eastAsia="仿宋" w:cs="仿宋_GB2312"/>
                <w:color w:val="auto"/>
                <w:sz w:val="30"/>
                <w:szCs w:val="30"/>
                <w:highlight w:val="none"/>
              </w:rPr>
            </w:pPr>
            <w:bookmarkStart w:id="45" w:name="_Toc64369818"/>
            <w:r>
              <w:rPr>
                <w:rFonts w:hint="eastAsia" w:ascii="仿宋" w:eastAsia="仿宋" w:cs="仿宋_GB2312"/>
                <w:color w:val="auto"/>
                <w:sz w:val="30"/>
                <w:szCs w:val="30"/>
                <w:highlight w:val="none"/>
              </w:rPr>
              <w:t>偏离情况</w:t>
            </w:r>
            <w:bookmarkEnd w:id="45"/>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28"/>
                <w:szCs w:val="28"/>
                <w:highlight w:val="none"/>
              </w:rPr>
            </w:pPr>
            <w:bookmarkStart w:id="46" w:name="_Toc64369819"/>
            <w:r>
              <w:rPr>
                <w:rFonts w:hint="eastAsia" w:ascii="仿宋" w:eastAsia="仿宋"/>
                <w:color w:val="auto"/>
                <w:spacing w:val="20"/>
                <w:sz w:val="28"/>
                <w:szCs w:val="28"/>
                <w:highlight w:val="none"/>
              </w:rPr>
              <w:t>供货期及供货地点</w:t>
            </w:r>
            <w:bookmarkEnd w:id="46"/>
          </w:p>
        </w:tc>
        <w:tc>
          <w:tcPr>
            <w:tcW w:w="2626" w:type="dxa"/>
            <w:tcBorders>
              <w:top w:val="single" w:color="auto" w:sz="4" w:space="0"/>
              <w:left w:val="single" w:color="auto" w:sz="4" w:space="0"/>
              <w:bottom w:val="single" w:color="auto" w:sz="4" w:space="0"/>
              <w:right w:val="single" w:color="auto" w:sz="4" w:space="0"/>
            </w:tcBorders>
            <w:vAlign w:val="center"/>
          </w:tcPr>
          <w:p>
            <w:pPr>
              <w:pStyle w:val="20"/>
              <w:snapToGrid w:val="0"/>
              <w:spacing w:before="120" w:after="120"/>
              <w:outlineLvl w:val="0"/>
              <w:rPr>
                <w:rFonts w:ascii="仿宋" w:eastAsia="仿宋"/>
                <w:color w:val="auto"/>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tcPr>
          <w:p>
            <w:pPr>
              <w:pStyle w:val="20"/>
              <w:snapToGrid w:val="0"/>
              <w:spacing w:before="120" w:after="120"/>
              <w:outlineLvl w:val="0"/>
              <w:rPr>
                <w:rFonts w:ascii="仿宋" w:eastAsia="仿宋"/>
                <w:color w:val="auto"/>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tcPr>
          <w:p>
            <w:pPr>
              <w:pStyle w:val="20"/>
              <w:snapToGrid w:val="0"/>
              <w:spacing w:before="120" w:after="120"/>
              <w:outlineLvl w:val="0"/>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28"/>
                <w:szCs w:val="28"/>
                <w:highlight w:val="none"/>
              </w:rPr>
            </w:pPr>
            <w:bookmarkStart w:id="47" w:name="_Toc64369820"/>
            <w:r>
              <w:rPr>
                <w:rFonts w:hint="eastAsia" w:ascii="仿宋" w:eastAsia="仿宋"/>
                <w:color w:val="auto"/>
                <w:spacing w:val="20"/>
                <w:sz w:val="28"/>
                <w:szCs w:val="28"/>
                <w:highlight w:val="none"/>
              </w:rPr>
              <w:t>质保期</w:t>
            </w:r>
            <w:bookmarkEnd w:id="47"/>
          </w:p>
        </w:tc>
        <w:tc>
          <w:tcPr>
            <w:tcW w:w="2626" w:type="dxa"/>
            <w:tcBorders>
              <w:top w:val="single" w:color="auto" w:sz="4" w:space="0"/>
              <w:left w:val="single" w:color="auto" w:sz="4" w:space="0"/>
              <w:bottom w:val="single" w:color="auto" w:sz="4" w:space="0"/>
              <w:right w:val="single" w:color="auto" w:sz="4" w:space="0"/>
            </w:tcBorders>
            <w:vAlign w:val="center"/>
          </w:tcPr>
          <w:p>
            <w:pPr>
              <w:pStyle w:val="20"/>
              <w:snapToGrid w:val="0"/>
              <w:spacing w:before="120" w:after="120"/>
              <w:outlineLvl w:val="0"/>
              <w:rPr>
                <w:rFonts w:ascii="仿宋" w:eastAsia="仿宋"/>
                <w:color w:val="auto"/>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tcPr>
          <w:p>
            <w:pPr>
              <w:pStyle w:val="20"/>
              <w:snapToGrid w:val="0"/>
              <w:spacing w:before="120" w:after="120" w:line="240" w:lineRule="auto"/>
              <w:outlineLvl w:val="0"/>
              <w:rPr>
                <w:rFonts w:ascii="仿宋" w:eastAsia="仿宋"/>
                <w:color w:val="auto"/>
                <w:sz w:val="28"/>
                <w:szCs w:val="28"/>
                <w:highlight w:val="none"/>
              </w:rPr>
            </w:pPr>
          </w:p>
        </w:tc>
        <w:tc>
          <w:tcPr>
            <w:tcW w:w="1886" w:type="dxa"/>
            <w:tcBorders>
              <w:top w:val="single" w:color="auto" w:sz="4" w:space="0"/>
              <w:left w:val="single" w:color="auto" w:sz="4" w:space="0"/>
              <w:bottom w:val="nil"/>
              <w:right w:val="single" w:color="auto" w:sz="4" w:space="0"/>
            </w:tcBorders>
          </w:tcPr>
          <w:p>
            <w:pPr>
              <w:pStyle w:val="20"/>
              <w:snapToGrid w:val="0"/>
              <w:spacing w:before="120" w:after="120" w:line="240" w:lineRule="auto"/>
              <w:outlineLvl w:val="0"/>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28"/>
                <w:szCs w:val="28"/>
                <w:highlight w:val="none"/>
              </w:rPr>
            </w:pPr>
            <w:bookmarkStart w:id="48" w:name="_Toc64369821"/>
            <w:r>
              <w:rPr>
                <w:rFonts w:hint="eastAsia" w:ascii="仿宋" w:eastAsia="仿宋"/>
                <w:color w:val="auto"/>
                <w:spacing w:val="20"/>
                <w:sz w:val="28"/>
                <w:szCs w:val="28"/>
                <w:highlight w:val="none"/>
              </w:rPr>
              <w:t>技术培训</w:t>
            </w:r>
            <w:bookmarkEnd w:id="48"/>
          </w:p>
        </w:tc>
        <w:tc>
          <w:tcPr>
            <w:tcW w:w="2626" w:type="dxa"/>
            <w:tcBorders>
              <w:top w:val="single" w:color="auto" w:sz="4" w:space="0"/>
              <w:left w:val="single" w:color="auto" w:sz="4" w:space="0"/>
              <w:bottom w:val="single" w:color="auto" w:sz="4" w:space="0"/>
              <w:right w:val="single" w:color="auto" w:sz="4" w:space="0"/>
            </w:tcBorders>
            <w:vAlign w:val="center"/>
          </w:tcPr>
          <w:p>
            <w:pPr>
              <w:pStyle w:val="20"/>
              <w:snapToGrid w:val="0"/>
              <w:spacing w:before="120" w:after="120"/>
              <w:outlineLvl w:val="0"/>
              <w:rPr>
                <w:rFonts w:ascii="仿宋" w:eastAsia="仿宋"/>
                <w:color w:val="auto"/>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tcPr>
          <w:p>
            <w:pPr>
              <w:pStyle w:val="20"/>
              <w:snapToGrid w:val="0"/>
              <w:spacing w:before="120" w:after="120" w:line="240" w:lineRule="auto"/>
              <w:outlineLvl w:val="0"/>
              <w:rPr>
                <w:rFonts w:ascii="仿宋" w:eastAsia="仿宋"/>
                <w:color w:val="auto"/>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tcPr>
          <w:p>
            <w:pPr>
              <w:pStyle w:val="20"/>
              <w:snapToGrid w:val="0"/>
              <w:spacing w:before="120" w:after="120" w:line="240" w:lineRule="auto"/>
              <w:outlineLvl w:val="0"/>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28"/>
                <w:szCs w:val="28"/>
                <w:highlight w:val="none"/>
              </w:rPr>
            </w:pPr>
            <w:bookmarkStart w:id="49" w:name="_Toc64369822"/>
            <w:r>
              <w:rPr>
                <w:rFonts w:hint="eastAsia" w:ascii="仿宋" w:eastAsia="仿宋"/>
                <w:color w:val="auto"/>
                <w:spacing w:val="20"/>
                <w:sz w:val="28"/>
                <w:szCs w:val="28"/>
                <w:highlight w:val="none"/>
              </w:rPr>
              <w:t>售后服务</w:t>
            </w:r>
            <w:bookmarkEnd w:id="49"/>
          </w:p>
        </w:tc>
        <w:tc>
          <w:tcPr>
            <w:tcW w:w="2626" w:type="dxa"/>
            <w:tcBorders>
              <w:top w:val="single" w:color="auto" w:sz="4" w:space="0"/>
              <w:left w:val="single" w:color="auto" w:sz="4" w:space="0"/>
              <w:bottom w:val="single" w:color="auto" w:sz="4" w:space="0"/>
              <w:right w:val="single" w:color="auto" w:sz="4" w:space="0"/>
            </w:tcBorders>
            <w:vAlign w:val="center"/>
          </w:tcPr>
          <w:p>
            <w:pPr>
              <w:pStyle w:val="20"/>
              <w:snapToGrid w:val="0"/>
              <w:spacing w:before="120" w:after="120"/>
              <w:outlineLvl w:val="0"/>
              <w:rPr>
                <w:rFonts w:ascii="仿宋" w:eastAsia="仿宋"/>
                <w:color w:val="auto"/>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tcPr>
          <w:p>
            <w:pPr>
              <w:pStyle w:val="20"/>
              <w:snapToGrid w:val="0"/>
              <w:spacing w:before="120" w:after="120"/>
              <w:outlineLvl w:val="0"/>
              <w:rPr>
                <w:rFonts w:ascii="仿宋" w:eastAsia="仿宋"/>
                <w:color w:val="auto"/>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tcPr>
          <w:p>
            <w:pPr>
              <w:pStyle w:val="20"/>
              <w:snapToGrid w:val="0"/>
              <w:spacing w:before="120" w:after="120"/>
              <w:outlineLvl w:val="0"/>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28"/>
                <w:szCs w:val="28"/>
                <w:highlight w:val="none"/>
              </w:rPr>
            </w:pPr>
            <w:bookmarkStart w:id="50" w:name="_Toc64369823"/>
            <w:r>
              <w:rPr>
                <w:rFonts w:hint="eastAsia" w:ascii="仿宋" w:eastAsia="仿宋"/>
                <w:color w:val="auto"/>
                <w:spacing w:val="20"/>
                <w:sz w:val="28"/>
                <w:szCs w:val="28"/>
                <w:highlight w:val="none"/>
              </w:rPr>
              <w:t>付款方式</w:t>
            </w:r>
            <w:bookmarkEnd w:id="50"/>
          </w:p>
        </w:tc>
        <w:tc>
          <w:tcPr>
            <w:tcW w:w="2626" w:type="dxa"/>
            <w:tcBorders>
              <w:top w:val="single" w:color="auto" w:sz="4" w:space="0"/>
              <w:left w:val="single" w:color="auto" w:sz="4" w:space="0"/>
              <w:bottom w:val="single" w:color="auto" w:sz="4" w:space="0"/>
              <w:right w:val="single" w:color="auto" w:sz="4" w:space="0"/>
            </w:tcBorders>
            <w:vAlign w:val="center"/>
          </w:tcPr>
          <w:p>
            <w:pPr>
              <w:pStyle w:val="20"/>
              <w:snapToGrid w:val="0"/>
              <w:spacing w:before="120" w:after="120"/>
              <w:outlineLvl w:val="0"/>
              <w:rPr>
                <w:rFonts w:ascii="仿宋" w:eastAsia="仿宋"/>
                <w:color w:val="auto"/>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tcPr>
          <w:p>
            <w:pPr>
              <w:pStyle w:val="20"/>
              <w:snapToGrid w:val="0"/>
              <w:spacing w:before="120" w:after="120"/>
              <w:outlineLvl w:val="0"/>
              <w:rPr>
                <w:rFonts w:ascii="仿宋" w:eastAsia="仿宋"/>
                <w:color w:val="auto"/>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tcPr>
          <w:p>
            <w:pPr>
              <w:pStyle w:val="20"/>
              <w:snapToGrid w:val="0"/>
              <w:spacing w:before="120" w:after="120"/>
              <w:outlineLvl w:val="0"/>
              <w:rPr>
                <w:rFonts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仿宋" w:eastAsia="仿宋"/>
                <w:color w:val="auto"/>
                <w:spacing w:val="20"/>
                <w:sz w:val="28"/>
                <w:szCs w:val="28"/>
                <w:highlight w:val="none"/>
              </w:rPr>
            </w:pPr>
            <w:bookmarkStart w:id="51" w:name="_Toc64369824"/>
            <w:r>
              <w:rPr>
                <w:rFonts w:hint="eastAsia" w:ascii="仿宋" w:eastAsia="仿宋"/>
                <w:color w:val="auto"/>
                <w:spacing w:val="20"/>
                <w:sz w:val="28"/>
                <w:szCs w:val="28"/>
                <w:highlight w:val="none"/>
              </w:rPr>
              <w:t>…</w:t>
            </w:r>
            <w:bookmarkEnd w:id="51"/>
          </w:p>
        </w:tc>
        <w:tc>
          <w:tcPr>
            <w:tcW w:w="2626" w:type="dxa"/>
            <w:tcBorders>
              <w:top w:val="single" w:color="auto" w:sz="4" w:space="0"/>
              <w:left w:val="single" w:color="auto" w:sz="4" w:space="0"/>
              <w:bottom w:val="single" w:color="auto" w:sz="4" w:space="0"/>
              <w:right w:val="single" w:color="auto" w:sz="4" w:space="0"/>
            </w:tcBorders>
            <w:vAlign w:val="center"/>
          </w:tcPr>
          <w:p>
            <w:pPr>
              <w:pStyle w:val="20"/>
              <w:snapToGrid w:val="0"/>
              <w:spacing w:before="120" w:after="120"/>
              <w:outlineLvl w:val="0"/>
              <w:rPr>
                <w:rFonts w:ascii="仿宋" w:eastAsia="仿宋"/>
                <w:color w:val="auto"/>
                <w:sz w:val="28"/>
                <w:szCs w:val="28"/>
                <w:highlight w:val="none"/>
              </w:rPr>
            </w:pPr>
          </w:p>
        </w:tc>
        <w:tc>
          <w:tcPr>
            <w:tcW w:w="2737" w:type="dxa"/>
            <w:tcBorders>
              <w:top w:val="single" w:color="auto" w:sz="4" w:space="0"/>
              <w:left w:val="single" w:color="auto" w:sz="4" w:space="0"/>
              <w:bottom w:val="single" w:color="auto" w:sz="4" w:space="0"/>
              <w:right w:val="single" w:color="auto" w:sz="4" w:space="0"/>
            </w:tcBorders>
          </w:tcPr>
          <w:p>
            <w:pPr>
              <w:pStyle w:val="20"/>
              <w:snapToGrid w:val="0"/>
              <w:spacing w:before="120" w:after="120"/>
              <w:outlineLvl w:val="0"/>
              <w:rPr>
                <w:rFonts w:ascii="仿宋" w:eastAsia="仿宋"/>
                <w:color w:val="auto"/>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tcPr>
          <w:p>
            <w:pPr>
              <w:pStyle w:val="20"/>
              <w:snapToGrid w:val="0"/>
              <w:spacing w:before="120" w:after="120"/>
              <w:outlineLvl w:val="0"/>
              <w:rPr>
                <w:rFonts w:ascii="仿宋" w:eastAsia="仿宋"/>
                <w:color w:val="auto"/>
                <w:sz w:val="28"/>
                <w:szCs w:val="28"/>
                <w:highlight w:val="none"/>
              </w:rPr>
            </w:pPr>
          </w:p>
        </w:tc>
      </w:tr>
    </w:tbl>
    <w:p>
      <w:pPr>
        <w:pStyle w:val="13"/>
        <w:rPr>
          <w:rFonts w:hint="eastAsia" w:ascii="仿宋" w:eastAsia="仿宋"/>
          <w:b w:val="0"/>
          <w:bCs w:val="0"/>
          <w:color w:val="auto"/>
          <w:spacing w:val="20"/>
          <w:kern w:val="0"/>
          <w:sz w:val="28"/>
          <w:szCs w:val="28"/>
          <w:highlight w:val="none"/>
        </w:rPr>
      </w:pPr>
      <w:r>
        <w:rPr>
          <w:rFonts w:hint="eastAsia" w:ascii="仿宋" w:eastAsia="仿宋"/>
          <w:b w:val="0"/>
          <w:bCs w:val="0"/>
          <w:color w:val="auto"/>
          <w:sz w:val="28"/>
          <w:szCs w:val="28"/>
          <w:highlight w:val="none"/>
        </w:rPr>
        <w:t>注：</w:t>
      </w:r>
      <w:r>
        <w:rPr>
          <w:rFonts w:ascii="仿宋" w:eastAsia="仿宋"/>
          <w:b w:val="0"/>
          <w:bCs w:val="0"/>
          <w:color w:val="auto"/>
          <w:sz w:val="28"/>
          <w:szCs w:val="28"/>
          <w:highlight w:val="none"/>
        </w:rPr>
        <w:t>1、</w:t>
      </w:r>
      <w:r>
        <w:rPr>
          <w:rFonts w:hint="eastAsia" w:ascii="仿宋" w:eastAsia="仿宋"/>
          <w:b w:val="0"/>
          <w:bCs w:val="0"/>
          <w:color w:val="auto"/>
          <w:sz w:val="28"/>
          <w:szCs w:val="28"/>
          <w:highlight w:val="none"/>
        </w:rPr>
        <w:t>供应商应对照</w:t>
      </w:r>
      <w:r>
        <w:rPr>
          <w:rFonts w:ascii="仿宋" w:eastAsia="仿宋"/>
          <w:b w:val="0"/>
          <w:bCs w:val="0"/>
          <w:color w:val="auto"/>
          <w:sz w:val="28"/>
          <w:szCs w:val="28"/>
          <w:highlight w:val="none"/>
        </w:rPr>
        <w:t>采购</w:t>
      </w:r>
      <w:r>
        <w:rPr>
          <w:rFonts w:hint="eastAsia" w:ascii="仿宋" w:eastAsia="仿宋"/>
          <w:b w:val="0"/>
          <w:bCs w:val="0"/>
          <w:color w:val="auto"/>
          <w:sz w:val="28"/>
          <w:szCs w:val="28"/>
          <w:highlight w:val="none"/>
        </w:rPr>
        <w:t>文件要求</w:t>
      </w:r>
      <w:r>
        <w:rPr>
          <w:rFonts w:ascii="仿宋" w:eastAsia="仿宋"/>
          <w:b w:val="0"/>
          <w:bCs w:val="0"/>
          <w:color w:val="auto"/>
          <w:sz w:val="28"/>
          <w:szCs w:val="28"/>
          <w:highlight w:val="none"/>
        </w:rPr>
        <w:t>和投标文件响应情况</w:t>
      </w:r>
      <w:r>
        <w:rPr>
          <w:rFonts w:hint="eastAsia" w:ascii="仿宋" w:eastAsia="仿宋"/>
          <w:b w:val="0"/>
          <w:bCs w:val="0"/>
          <w:color w:val="auto"/>
          <w:sz w:val="28"/>
          <w:szCs w:val="28"/>
          <w:highlight w:val="none"/>
        </w:rPr>
        <w:t>在“偏离情况”栏注明“正偏离”、“负偏离”或“无偏离”</w:t>
      </w:r>
      <w:r>
        <w:rPr>
          <w:rFonts w:ascii="仿宋" w:eastAsia="仿宋"/>
          <w:b w:val="0"/>
          <w:bCs w:val="0"/>
          <w:color w:val="auto"/>
          <w:sz w:val="28"/>
          <w:szCs w:val="28"/>
          <w:highlight w:val="none"/>
        </w:rPr>
        <w:t>。若正偏离的，</w:t>
      </w:r>
      <w:r>
        <w:rPr>
          <w:rFonts w:hint="eastAsia" w:ascii="仿宋" w:eastAsia="仿宋"/>
          <w:b w:val="0"/>
          <w:bCs w:val="0"/>
          <w:color w:val="auto"/>
          <w:sz w:val="28"/>
          <w:szCs w:val="28"/>
          <w:highlight w:val="none"/>
        </w:rPr>
        <w:t>需详细说明或提供证明材料。</w:t>
      </w:r>
    </w:p>
    <w:p>
      <w:pPr>
        <w:snapToGrid w:val="0"/>
        <w:spacing w:before="50" w:after="50"/>
        <w:rPr>
          <w:rFonts w:ascii="仿宋" w:eastAsia="仿宋"/>
          <w:color w:val="auto"/>
          <w:spacing w:val="20"/>
          <w:sz w:val="28"/>
          <w:szCs w:val="28"/>
          <w:highlight w:val="none"/>
        </w:rPr>
      </w:pPr>
      <w:r>
        <w:rPr>
          <w:rFonts w:hint="eastAsia" w:ascii="仿宋" w:eastAsia="仿宋"/>
          <w:color w:val="auto"/>
          <w:spacing w:val="20"/>
          <w:sz w:val="28"/>
          <w:szCs w:val="28"/>
          <w:highlight w:val="none"/>
        </w:rPr>
        <w:t>2、“类别”一栏按采购文件第三章中商务要求的分类填写。</w:t>
      </w:r>
    </w:p>
    <w:p>
      <w:pPr>
        <w:snapToGrid w:val="0"/>
        <w:spacing w:before="50" w:after="50"/>
        <w:rPr>
          <w:rFonts w:ascii="仿宋" w:eastAsia="仿宋"/>
          <w:color w:val="auto"/>
          <w:spacing w:val="20"/>
          <w:sz w:val="28"/>
          <w:szCs w:val="28"/>
          <w:highlight w:val="none"/>
        </w:rPr>
      </w:pPr>
    </w:p>
    <w:p>
      <w:pPr>
        <w:snapToGrid w:val="0"/>
        <w:spacing w:before="50" w:after="50"/>
        <w:rPr>
          <w:rFonts w:ascii="仿宋" w:eastAsia="仿宋"/>
          <w:color w:val="auto"/>
          <w:spacing w:val="20"/>
          <w:sz w:val="28"/>
          <w:szCs w:val="28"/>
          <w:highlight w:val="none"/>
        </w:rPr>
      </w:pPr>
    </w:p>
    <w:p>
      <w:pPr>
        <w:snapToGrid w:val="0"/>
        <w:spacing w:before="156" w:beforeLines="50"/>
        <w:rPr>
          <w:rFonts w:hint="eastAsia" w:ascii="仿宋" w:eastAsia="仿宋"/>
          <w:color w:val="auto"/>
          <w:sz w:val="30"/>
          <w:szCs w:val="30"/>
          <w:highlight w:val="none"/>
          <w:u w:val="single"/>
        </w:rPr>
      </w:pPr>
      <w:r>
        <w:rPr>
          <w:rFonts w:hint="eastAsia" w:ascii="仿宋" w:eastAsia="仿宋"/>
          <w:color w:val="auto"/>
          <w:sz w:val="30"/>
          <w:szCs w:val="30"/>
          <w:highlight w:val="none"/>
        </w:rPr>
        <w:t>法定代表人或其授权代表（签字或盖章）：</w:t>
      </w:r>
      <w:r>
        <w:rPr>
          <w:rFonts w:hint="eastAsia" w:ascii="仿宋" w:eastAsia="仿宋"/>
          <w:color w:val="auto"/>
          <w:sz w:val="30"/>
          <w:szCs w:val="30"/>
          <w:highlight w:val="none"/>
          <w:u w:val="single"/>
        </w:rPr>
        <w:t xml:space="preserve">          </w:t>
      </w:r>
    </w:p>
    <w:p>
      <w:pPr>
        <w:snapToGrid w:val="0"/>
        <w:spacing w:before="156" w:beforeLines="50"/>
        <w:rPr>
          <w:rFonts w:hint="eastAsia" w:ascii="仿宋" w:eastAsia="仿宋"/>
          <w:color w:val="auto"/>
          <w:sz w:val="30"/>
          <w:szCs w:val="30"/>
          <w:highlight w:val="none"/>
        </w:rPr>
      </w:pPr>
      <w:r>
        <w:rPr>
          <w:rFonts w:hint="eastAsia" w:ascii="仿宋" w:eastAsia="仿宋"/>
          <w:color w:val="auto"/>
          <w:sz w:val="30"/>
          <w:szCs w:val="30"/>
          <w:highlight w:val="none"/>
        </w:rPr>
        <w:t>日期：</w:t>
      </w:r>
      <w:r>
        <w:rPr>
          <w:rFonts w:hint="eastAsia" w:ascii="仿宋" w:eastAsia="仿宋"/>
          <w:color w:val="auto"/>
          <w:sz w:val="30"/>
          <w:szCs w:val="30"/>
          <w:highlight w:val="none"/>
          <w:u w:val="single"/>
        </w:rPr>
        <w:t xml:space="preserve"> </w:t>
      </w:r>
      <w:r>
        <w:rPr>
          <w:rFonts w:ascii="仿宋" w:eastAsia="仿宋"/>
          <w:color w:val="auto"/>
          <w:sz w:val="30"/>
          <w:szCs w:val="30"/>
          <w:highlight w:val="none"/>
          <w:u w:val="single"/>
        </w:rPr>
        <w:t xml:space="preserve">       </w:t>
      </w:r>
    </w:p>
    <w:p>
      <w:pPr>
        <w:snapToGrid w:val="0"/>
        <w:spacing w:before="50" w:after="50"/>
        <w:jc w:val="left"/>
        <w:rPr>
          <w:rFonts w:ascii="仿宋" w:eastAsia="仿宋"/>
          <w:b/>
          <w:bCs/>
          <w:color w:val="auto"/>
          <w:sz w:val="30"/>
          <w:szCs w:val="30"/>
          <w:highlight w:val="none"/>
        </w:rPr>
      </w:pPr>
      <w:r>
        <w:rPr>
          <w:rFonts w:ascii="仿宋" w:eastAsia="仿宋"/>
          <w:b/>
          <w:bCs/>
          <w:color w:val="auto"/>
          <w:sz w:val="30"/>
          <w:szCs w:val="30"/>
          <w:highlight w:val="none"/>
        </w:rPr>
        <w:t>附件13：</w:t>
      </w:r>
    </w:p>
    <w:p>
      <w:pPr>
        <w:snapToGrid w:val="0"/>
        <w:spacing w:before="50" w:after="156" w:afterLines="50"/>
        <w:jc w:val="center"/>
        <w:rPr>
          <w:rFonts w:ascii="仿宋" w:eastAsia="仿宋"/>
          <w:b/>
          <w:color w:val="auto"/>
          <w:kern w:val="0"/>
          <w:sz w:val="36"/>
          <w:szCs w:val="36"/>
          <w:highlight w:val="none"/>
        </w:rPr>
      </w:pPr>
      <w:r>
        <w:rPr>
          <w:rFonts w:hint="eastAsia" w:ascii="仿宋" w:eastAsia="仿宋"/>
          <w:b/>
          <w:color w:val="auto"/>
          <w:kern w:val="0"/>
          <w:sz w:val="36"/>
          <w:szCs w:val="36"/>
          <w:highlight w:val="none"/>
        </w:rPr>
        <w:t>项目</w:t>
      </w:r>
      <w:r>
        <w:rPr>
          <w:rFonts w:ascii="仿宋" w:eastAsia="仿宋"/>
          <w:b/>
          <w:color w:val="auto"/>
          <w:kern w:val="0"/>
          <w:sz w:val="36"/>
          <w:szCs w:val="36"/>
          <w:highlight w:val="none"/>
        </w:rPr>
        <w:t>实施</w:t>
      </w:r>
      <w:r>
        <w:rPr>
          <w:rFonts w:hint="eastAsia" w:ascii="仿宋" w:eastAsia="仿宋"/>
          <w:b/>
          <w:color w:val="auto"/>
          <w:kern w:val="0"/>
          <w:sz w:val="36"/>
          <w:szCs w:val="36"/>
          <w:highlight w:val="none"/>
        </w:rPr>
        <w:t>人员清单</w:t>
      </w:r>
    </w:p>
    <w:p>
      <w:pPr>
        <w:pStyle w:val="10"/>
        <w:snapToGrid w:val="0"/>
        <w:rPr>
          <w:rFonts w:hint="eastAsia" w:ascii="仿宋" w:eastAsia="仿宋"/>
          <w:color w:val="auto"/>
          <w:sz w:val="28"/>
          <w:szCs w:val="28"/>
          <w:highlight w:val="none"/>
          <w:u w:val="single"/>
        </w:rPr>
      </w:pPr>
      <w:r>
        <w:rPr>
          <w:rFonts w:hint="eastAsia" w:ascii="仿宋" w:eastAsia="仿宋"/>
          <w:color w:val="auto"/>
          <w:sz w:val="28"/>
          <w:szCs w:val="28"/>
          <w:highlight w:val="none"/>
        </w:rPr>
        <w:t>供应商全称（公章）：</w:t>
      </w:r>
      <w:r>
        <w:rPr>
          <w:rFonts w:hint="eastAsia" w:ascii="仿宋" w:eastAsia="仿宋"/>
          <w:color w:val="auto"/>
          <w:sz w:val="28"/>
          <w:szCs w:val="28"/>
          <w:highlight w:val="none"/>
          <w:u w:val="single"/>
        </w:rPr>
        <w:t xml:space="preserve">                           </w:t>
      </w:r>
    </w:p>
    <w:p>
      <w:pPr>
        <w:pStyle w:val="10"/>
        <w:snapToGrid w:val="0"/>
        <w:rPr>
          <w:rFonts w:hint="eastAsia" w:ascii="仿宋" w:eastAsia="仿宋"/>
          <w:color w:val="auto"/>
          <w:sz w:val="28"/>
          <w:szCs w:val="28"/>
          <w:highlight w:val="none"/>
          <w:u w:val="single"/>
        </w:rPr>
      </w:pPr>
      <w:r>
        <w:rPr>
          <w:rFonts w:ascii="仿宋" w:eastAsia="仿宋"/>
          <w:color w:val="auto"/>
          <w:sz w:val="28"/>
          <w:szCs w:val="28"/>
          <w:highlight w:val="none"/>
        </w:rPr>
        <w:t>标段编号</w:t>
      </w:r>
      <w:r>
        <w:rPr>
          <w:rFonts w:hint="eastAsia" w:ascii="仿宋" w:eastAsia="仿宋"/>
          <w:color w:val="auto"/>
          <w:sz w:val="28"/>
          <w:szCs w:val="28"/>
          <w:highlight w:val="none"/>
        </w:rPr>
        <w:t>：</w:t>
      </w:r>
      <w:r>
        <w:rPr>
          <w:rFonts w:hint="eastAsia" w:ascii="仿宋" w:eastAsia="仿宋"/>
          <w:color w:val="auto"/>
          <w:sz w:val="28"/>
          <w:szCs w:val="28"/>
          <w:highlight w:val="none"/>
          <w:u w:val="single"/>
        </w:rPr>
        <w:t xml:space="preserve">                           </w:t>
      </w:r>
    </w:p>
    <w:tbl>
      <w:tblPr>
        <w:tblStyle w:val="28"/>
        <w:tblW w:w="8949" w:type="dxa"/>
        <w:tblInd w:w="-14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0"/>
        <w:gridCol w:w="1004"/>
        <w:gridCol w:w="1663"/>
        <w:gridCol w:w="48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vAlign w:val="center"/>
          </w:tcPr>
          <w:p>
            <w:pPr>
              <w:pStyle w:val="10"/>
              <w:snapToGrid w:val="0"/>
              <w:jc w:val="center"/>
              <w:rPr>
                <w:rFonts w:hint="eastAsia" w:ascii="仿宋" w:eastAsia="仿宋"/>
                <w:color w:val="auto"/>
                <w:sz w:val="28"/>
                <w:szCs w:val="28"/>
                <w:highlight w:val="none"/>
              </w:rPr>
            </w:pPr>
            <w:r>
              <w:rPr>
                <w:rFonts w:hint="eastAsia" w:ascii="仿宋" w:eastAsia="仿宋"/>
                <w:color w:val="auto"/>
                <w:sz w:val="28"/>
                <w:szCs w:val="28"/>
                <w:highlight w:val="none"/>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pStyle w:val="10"/>
              <w:snapToGrid w:val="0"/>
              <w:jc w:val="center"/>
              <w:rPr>
                <w:rFonts w:hint="eastAsia" w:ascii="仿宋" w:eastAsia="仿宋"/>
                <w:color w:val="auto"/>
                <w:sz w:val="28"/>
                <w:szCs w:val="28"/>
                <w:highlight w:val="none"/>
              </w:rPr>
            </w:pPr>
            <w:r>
              <w:rPr>
                <w:rFonts w:hint="eastAsia" w:ascii="仿宋" w:eastAsia="仿宋"/>
                <w:color w:val="auto"/>
                <w:sz w:val="28"/>
                <w:szCs w:val="28"/>
                <w:highlight w:val="none"/>
              </w:rPr>
              <w:t>职务</w:t>
            </w:r>
          </w:p>
        </w:tc>
        <w:tc>
          <w:tcPr>
            <w:tcW w:w="1663" w:type="dxa"/>
            <w:tcBorders>
              <w:top w:val="single" w:color="auto" w:sz="4" w:space="0"/>
              <w:left w:val="single" w:color="auto" w:sz="4" w:space="0"/>
              <w:bottom w:val="single" w:color="auto" w:sz="4" w:space="0"/>
              <w:right w:val="single" w:color="auto" w:sz="4" w:space="0"/>
            </w:tcBorders>
            <w:vAlign w:val="center"/>
          </w:tcPr>
          <w:p>
            <w:pPr>
              <w:pStyle w:val="10"/>
              <w:snapToGrid w:val="0"/>
              <w:jc w:val="center"/>
              <w:rPr>
                <w:rFonts w:ascii="仿宋" w:eastAsia="仿宋"/>
                <w:color w:val="auto"/>
                <w:sz w:val="28"/>
                <w:szCs w:val="28"/>
                <w:highlight w:val="none"/>
              </w:rPr>
            </w:pPr>
            <w:r>
              <w:rPr>
                <w:rFonts w:hint="eastAsia" w:ascii="仿宋" w:eastAsia="仿宋"/>
                <w:color w:val="auto"/>
                <w:sz w:val="28"/>
                <w:szCs w:val="28"/>
                <w:highlight w:val="none"/>
              </w:rPr>
              <w:t>专业技术</w:t>
            </w:r>
          </w:p>
          <w:p>
            <w:pPr>
              <w:pStyle w:val="10"/>
              <w:snapToGrid w:val="0"/>
              <w:jc w:val="center"/>
              <w:rPr>
                <w:rFonts w:hint="eastAsia" w:ascii="仿宋" w:eastAsia="仿宋"/>
                <w:color w:val="auto"/>
                <w:sz w:val="28"/>
                <w:szCs w:val="28"/>
                <w:highlight w:val="none"/>
              </w:rPr>
            </w:pPr>
            <w:r>
              <w:rPr>
                <w:rFonts w:hint="eastAsia" w:ascii="仿宋" w:eastAsia="仿宋"/>
                <w:color w:val="auto"/>
                <w:sz w:val="28"/>
                <w:szCs w:val="28"/>
                <w:highlight w:val="none"/>
              </w:rPr>
              <w:t>资格</w:t>
            </w:r>
          </w:p>
        </w:tc>
        <w:tc>
          <w:tcPr>
            <w:tcW w:w="4872" w:type="dxa"/>
            <w:tcBorders>
              <w:top w:val="single" w:color="auto" w:sz="4" w:space="0"/>
              <w:left w:val="single" w:color="auto" w:sz="4" w:space="0"/>
              <w:bottom w:val="single" w:color="auto" w:sz="4" w:space="0"/>
              <w:right w:val="single" w:color="auto" w:sz="4" w:space="0"/>
            </w:tcBorders>
            <w:vAlign w:val="center"/>
          </w:tcPr>
          <w:p>
            <w:pPr>
              <w:pStyle w:val="10"/>
              <w:snapToGrid w:val="0"/>
              <w:jc w:val="center"/>
              <w:rPr>
                <w:rFonts w:hint="eastAsia" w:ascii="仿宋" w:eastAsia="仿宋"/>
                <w:color w:val="auto"/>
                <w:sz w:val="28"/>
                <w:szCs w:val="28"/>
                <w:highlight w:val="none"/>
              </w:rPr>
            </w:pPr>
            <w:r>
              <w:rPr>
                <w:rFonts w:hint="eastAsia" w:ascii="仿宋" w:eastAsia="仿宋"/>
                <w:color w:val="auto"/>
                <w:sz w:val="28"/>
                <w:szCs w:val="28"/>
                <w:highlight w:val="none"/>
              </w:rPr>
              <w:t>本项目工作内容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pStyle w:val="21"/>
              <w:snapToGrid w:val="0"/>
              <w:spacing w:before="156" w:beforeLines="50" w:after="50" w:line="460" w:lineRule="exact"/>
              <w:rPr>
                <w:rFonts w:ascii="仿宋" w:eastAsia="仿宋"/>
                <w:color w:val="auto"/>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c>
          <w:tcPr>
            <w:tcW w:w="4872"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eastAsia="仿宋"/>
                <w:color w:val="auto"/>
                <w:sz w:val="24"/>
                <w:szCs w:val="24"/>
                <w:highlight w:val="none"/>
              </w:rPr>
            </w:pPr>
          </w:p>
        </w:tc>
      </w:tr>
    </w:tbl>
    <w:p>
      <w:pPr>
        <w:snapToGrid w:val="0"/>
        <w:spacing w:before="50" w:after="156" w:afterLines="50" w:line="460" w:lineRule="exact"/>
        <w:jc w:val="left"/>
        <w:rPr>
          <w:rFonts w:hint="eastAsia" w:ascii="仿宋" w:eastAsia="仿宋"/>
          <w:color w:val="auto"/>
          <w:sz w:val="28"/>
          <w:szCs w:val="28"/>
          <w:highlight w:val="none"/>
        </w:rPr>
      </w:pPr>
      <w:r>
        <w:rPr>
          <w:rFonts w:hint="eastAsia" w:ascii="仿宋" w:eastAsia="仿宋"/>
          <w:color w:val="auto"/>
          <w:sz w:val="28"/>
          <w:szCs w:val="28"/>
          <w:highlight w:val="none"/>
        </w:rPr>
        <w:t xml:space="preserve">注：在填写时，如本表格不适合投标单位的实际情况，可根据本表格式自行划表填写。 </w:t>
      </w:r>
    </w:p>
    <w:p>
      <w:pPr>
        <w:pStyle w:val="10"/>
        <w:snapToGrid w:val="0"/>
        <w:rPr>
          <w:rFonts w:hint="eastAsia" w:ascii="仿宋" w:eastAsia="仿宋"/>
          <w:color w:val="auto"/>
          <w:sz w:val="28"/>
          <w:szCs w:val="28"/>
          <w:highlight w:val="none"/>
        </w:rPr>
      </w:pPr>
    </w:p>
    <w:p>
      <w:pPr>
        <w:snapToGrid w:val="0"/>
        <w:spacing w:before="156" w:beforeLines="50"/>
        <w:rPr>
          <w:rFonts w:hint="eastAsia" w:ascii="仿宋" w:eastAsia="仿宋"/>
          <w:color w:val="auto"/>
          <w:sz w:val="30"/>
          <w:szCs w:val="30"/>
          <w:highlight w:val="none"/>
          <w:u w:val="single"/>
        </w:rPr>
      </w:pPr>
      <w:r>
        <w:rPr>
          <w:rFonts w:hint="eastAsia" w:ascii="仿宋" w:eastAsia="仿宋"/>
          <w:color w:val="auto"/>
          <w:sz w:val="30"/>
          <w:szCs w:val="30"/>
          <w:highlight w:val="none"/>
        </w:rPr>
        <w:t>法定代表人或其授权代表（签字或盖章）：</w:t>
      </w:r>
      <w:r>
        <w:rPr>
          <w:rFonts w:hint="eastAsia" w:ascii="仿宋" w:eastAsia="仿宋"/>
          <w:color w:val="auto"/>
          <w:sz w:val="30"/>
          <w:szCs w:val="30"/>
          <w:highlight w:val="none"/>
          <w:u w:val="single"/>
        </w:rPr>
        <w:t xml:space="preserve">          </w:t>
      </w:r>
    </w:p>
    <w:p>
      <w:pPr>
        <w:snapToGrid w:val="0"/>
        <w:spacing w:before="156" w:beforeLines="50"/>
        <w:rPr>
          <w:rFonts w:hint="eastAsia" w:ascii="仿宋" w:eastAsia="仿宋"/>
          <w:color w:val="auto"/>
          <w:sz w:val="30"/>
          <w:szCs w:val="30"/>
          <w:highlight w:val="none"/>
        </w:rPr>
      </w:pPr>
      <w:r>
        <w:rPr>
          <w:rFonts w:hint="eastAsia" w:ascii="仿宋" w:eastAsia="仿宋"/>
          <w:color w:val="auto"/>
          <w:sz w:val="30"/>
          <w:szCs w:val="30"/>
          <w:highlight w:val="none"/>
        </w:rPr>
        <w:t>日期：</w:t>
      </w:r>
      <w:r>
        <w:rPr>
          <w:rFonts w:hint="eastAsia" w:ascii="仿宋" w:eastAsia="仿宋"/>
          <w:color w:val="auto"/>
          <w:sz w:val="30"/>
          <w:szCs w:val="30"/>
          <w:highlight w:val="none"/>
          <w:u w:val="single"/>
        </w:rPr>
        <w:t xml:space="preserve"> </w:t>
      </w:r>
      <w:r>
        <w:rPr>
          <w:rFonts w:ascii="仿宋" w:eastAsia="仿宋"/>
          <w:color w:val="auto"/>
          <w:sz w:val="30"/>
          <w:szCs w:val="30"/>
          <w:highlight w:val="none"/>
          <w:u w:val="single"/>
        </w:rPr>
        <w:t xml:space="preserve">       </w:t>
      </w:r>
    </w:p>
    <w:p>
      <w:pPr>
        <w:pStyle w:val="10"/>
        <w:snapToGrid w:val="0"/>
        <w:rPr>
          <w:rFonts w:hint="eastAsia" w:ascii="仿宋" w:eastAsia="仿宋"/>
          <w:color w:val="auto"/>
          <w:sz w:val="28"/>
          <w:szCs w:val="28"/>
          <w:highlight w:val="none"/>
        </w:rPr>
      </w:pPr>
    </w:p>
    <w:p>
      <w:pPr>
        <w:pStyle w:val="10"/>
        <w:snapToGrid w:val="0"/>
        <w:rPr>
          <w:rFonts w:hint="eastAsia" w:ascii="仿宋" w:eastAsia="仿宋"/>
          <w:color w:val="auto"/>
          <w:sz w:val="28"/>
          <w:szCs w:val="28"/>
          <w:highlight w:val="none"/>
        </w:rPr>
      </w:pPr>
    </w:p>
    <w:p>
      <w:pPr>
        <w:pStyle w:val="10"/>
        <w:snapToGrid w:val="0"/>
        <w:rPr>
          <w:rFonts w:hint="eastAsia" w:ascii="仿宋" w:eastAsia="仿宋"/>
          <w:color w:val="auto"/>
          <w:sz w:val="28"/>
          <w:szCs w:val="28"/>
          <w:highlight w:val="none"/>
        </w:rPr>
      </w:pPr>
    </w:p>
    <w:p>
      <w:pPr>
        <w:snapToGrid w:val="0"/>
        <w:spacing w:before="50" w:after="50"/>
        <w:jc w:val="left"/>
        <w:rPr>
          <w:rFonts w:ascii="仿宋" w:eastAsia="仿宋"/>
          <w:b/>
          <w:bCs/>
          <w:color w:val="auto"/>
          <w:sz w:val="30"/>
          <w:szCs w:val="30"/>
          <w:highlight w:val="none"/>
        </w:rPr>
      </w:pPr>
      <w:r>
        <w:rPr>
          <w:rFonts w:ascii="仿宋" w:eastAsia="仿宋"/>
          <w:b/>
          <w:bCs/>
          <w:color w:val="auto"/>
          <w:sz w:val="30"/>
          <w:szCs w:val="30"/>
          <w:highlight w:val="none"/>
        </w:rPr>
        <w:t>附件14</w:t>
      </w:r>
      <w:r>
        <w:rPr>
          <w:rFonts w:hint="eastAsia" w:ascii="仿宋" w:eastAsia="仿宋"/>
          <w:b/>
          <w:bCs/>
          <w:color w:val="auto"/>
          <w:sz w:val="30"/>
          <w:szCs w:val="30"/>
          <w:highlight w:val="none"/>
          <w:lang w:eastAsia="zh-CN"/>
        </w:rPr>
        <w:t>（如有）</w:t>
      </w:r>
      <w:r>
        <w:rPr>
          <w:rFonts w:ascii="仿宋" w:eastAsia="仿宋"/>
          <w:b/>
          <w:bCs/>
          <w:color w:val="auto"/>
          <w:sz w:val="30"/>
          <w:szCs w:val="30"/>
          <w:highlight w:val="none"/>
        </w:rPr>
        <w:t>：</w:t>
      </w:r>
    </w:p>
    <w:p>
      <w:pPr>
        <w:snapToGrid w:val="0"/>
        <w:spacing w:before="50" w:after="156" w:afterLines="50"/>
        <w:jc w:val="center"/>
        <w:rPr>
          <w:rFonts w:hint="eastAsia" w:ascii="仿宋" w:eastAsia="仿宋"/>
          <w:b/>
          <w:color w:val="auto"/>
          <w:kern w:val="0"/>
          <w:sz w:val="36"/>
          <w:szCs w:val="36"/>
          <w:highlight w:val="none"/>
        </w:rPr>
      </w:pPr>
      <w:r>
        <w:rPr>
          <w:rFonts w:hint="eastAsia" w:ascii="仿宋" w:eastAsia="仿宋"/>
          <w:b/>
          <w:color w:val="auto"/>
          <w:kern w:val="0"/>
          <w:sz w:val="36"/>
          <w:szCs w:val="36"/>
          <w:highlight w:val="none"/>
        </w:rPr>
        <w:t>消耗品、维修零配件及其价格清单</w:t>
      </w:r>
    </w:p>
    <w:p>
      <w:pPr>
        <w:pStyle w:val="10"/>
        <w:snapToGrid w:val="0"/>
        <w:rPr>
          <w:rFonts w:hint="eastAsia" w:ascii="仿宋" w:eastAsia="仿宋"/>
          <w:color w:val="auto"/>
          <w:sz w:val="28"/>
          <w:szCs w:val="28"/>
          <w:highlight w:val="none"/>
        </w:rPr>
      </w:pPr>
      <w:r>
        <w:rPr>
          <w:rFonts w:ascii="仿宋" w:eastAsia="仿宋"/>
          <w:color w:val="auto"/>
          <w:sz w:val="28"/>
          <w:szCs w:val="28"/>
          <w:highlight w:val="none"/>
        </w:rPr>
        <w:t>供应商</w:t>
      </w:r>
      <w:r>
        <w:rPr>
          <w:rFonts w:hint="eastAsia" w:ascii="仿宋" w:eastAsia="仿宋"/>
          <w:color w:val="auto"/>
          <w:sz w:val="28"/>
          <w:szCs w:val="28"/>
          <w:highlight w:val="none"/>
        </w:rPr>
        <w:t>全称（公章）：</w:t>
      </w:r>
      <w:r>
        <w:rPr>
          <w:rFonts w:hint="eastAsia" w:ascii="仿宋" w:eastAsia="仿宋"/>
          <w:color w:val="auto"/>
          <w:sz w:val="28"/>
          <w:szCs w:val="28"/>
          <w:highlight w:val="none"/>
          <w:u w:val="single"/>
        </w:rPr>
        <w:t xml:space="preserve">                           </w:t>
      </w:r>
    </w:p>
    <w:p>
      <w:pPr>
        <w:pStyle w:val="10"/>
        <w:snapToGrid w:val="0"/>
        <w:rPr>
          <w:rFonts w:hint="eastAsia" w:ascii="仿宋" w:eastAsia="仿宋"/>
          <w:color w:val="auto"/>
          <w:sz w:val="28"/>
          <w:szCs w:val="28"/>
          <w:highlight w:val="none"/>
          <w:u w:val="single"/>
        </w:rPr>
      </w:pPr>
      <w:r>
        <w:rPr>
          <w:rFonts w:hint="eastAsia" w:ascii="仿宋" w:eastAsia="仿宋"/>
          <w:color w:val="auto"/>
          <w:sz w:val="28"/>
          <w:szCs w:val="28"/>
          <w:highlight w:val="none"/>
        </w:rPr>
        <w:t>标段</w:t>
      </w:r>
      <w:r>
        <w:rPr>
          <w:rFonts w:ascii="仿宋" w:eastAsia="仿宋"/>
          <w:color w:val="auto"/>
          <w:sz w:val="28"/>
          <w:szCs w:val="28"/>
          <w:highlight w:val="none"/>
        </w:rPr>
        <w:t>编号</w:t>
      </w:r>
      <w:r>
        <w:rPr>
          <w:rFonts w:hint="eastAsia" w:ascii="仿宋" w:eastAsia="仿宋"/>
          <w:color w:val="auto"/>
          <w:sz w:val="28"/>
          <w:szCs w:val="28"/>
          <w:highlight w:val="none"/>
        </w:rPr>
        <w:t>：</w:t>
      </w:r>
      <w:r>
        <w:rPr>
          <w:rFonts w:hint="eastAsia" w:ascii="仿宋" w:eastAsia="仿宋"/>
          <w:color w:val="auto"/>
          <w:sz w:val="28"/>
          <w:szCs w:val="28"/>
          <w:highlight w:val="none"/>
          <w:u w:val="single"/>
        </w:rPr>
        <w:t xml:space="preserve">                           </w:t>
      </w:r>
    </w:p>
    <w:p>
      <w:pPr>
        <w:rPr>
          <w:rFonts w:hint="eastAsia" w:ascii="仿宋" w:eastAsia="仿宋"/>
          <w:color w:val="auto"/>
          <w:sz w:val="28"/>
          <w:szCs w:val="28"/>
          <w:highlight w:val="none"/>
        </w:rPr>
      </w:pPr>
    </w:p>
    <w:tbl>
      <w:tblPr>
        <w:tblStyle w:val="28"/>
        <w:tblW w:w="86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1260"/>
        <w:gridCol w:w="1875"/>
        <w:gridCol w:w="1440"/>
        <w:gridCol w:w="1440"/>
        <w:gridCol w:w="1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eastAsia="仿宋"/>
                <w:color w:val="auto"/>
                <w:sz w:val="28"/>
                <w:szCs w:val="28"/>
                <w:highlight w:val="none"/>
              </w:rPr>
            </w:pPr>
            <w:r>
              <w:rPr>
                <w:rFonts w:hint="eastAsia" w:ascii="仿宋" w:eastAsia="仿宋"/>
                <w:color w:val="auto"/>
                <w:sz w:val="28"/>
                <w:szCs w:val="28"/>
                <w:highlight w:val="none"/>
              </w:rPr>
              <w:t>序号</w:t>
            </w:r>
          </w:p>
        </w:tc>
        <w:tc>
          <w:tcPr>
            <w:tcW w:w="126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eastAsia="仿宋"/>
                <w:color w:val="auto"/>
                <w:sz w:val="28"/>
                <w:szCs w:val="28"/>
                <w:highlight w:val="none"/>
              </w:rPr>
            </w:pPr>
            <w:r>
              <w:rPr>
                <w:rFonts w:hint="eastAsia" w:ascii="仿宋" w:eastAsia="仿宋"/>
                <w:color w:val="auto"/>
                <w:sz w:val="28"/>
                <w:szCs w:val="28"/>
                <w:highlight w:val="none"/>
              </w:rPr>
              <w:t>名称</w:t>
            </w:r>
          </w:p>
        </w:tc>
        <w:tc>
          <w:tcPr>
            <w:tcW w:w="18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eastAsia="仿宋"/>
                <w:color w:val="auto"/>
                <w:sz w:val="28"/>
                <w:szCs w:val="28"/>
                <w:highlight w:val="none"/>
              </w:rPr>
            </w:pPr>
            <w:r>
              <w:rPr>
                <w:rFonts w:hint="eastAsia" w:ascii="仿宋" w:eastAsia="仿宋"/>
                <w:color w:val="auto"/>
                <w:sz w:val="28"/>
                <w:szCs w:val="28"/>
                <w:highlight w:val="none"/>
              </w:rPr>
              <w:t>制造商</w:t>
            </w:r>
          </w:p>
          <w:p>
            <w:pPr>
              <w:jc w:val="center"/>
              <w:rPr>
                <w:rFonts w:hint="eastAsia" w:ascii="仿宋" w:eastAsia="仿宋"/>
                <w:color w:val="auto"/>
                <w:sz w:val="28"/>
                <w:szCs w:val="28"/>
                <w:highlight w:val="none"/>
              </w:rPr>
            </w:pPr>
            <w:r>
              <w:rPr>
                <w:rFonts w:hint="eastAsia" w:ascii="仿宋" w:eastAsia="仿宋"/>
                <w:color w:val="auto"/>
                <w:sz w:val="28"/>
                <w:szCs w:val="28"/>
                <w:highlight w:val="none"/>
              </w:rPr>
              <w:t>名称</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eastAsia="仿宋"/>
                <w:color w:val="auto"/>
                <w:sz w:val="28"/>
                <w:szCs w:val="28"/>
                <w:highlight w:val="none"/>
              </w:rPr>
            </w:pPr>
            <w:r>
              <w:rPr>
                <w:rFonts w:hint="eastAsia" w:ascii="仿宋" w:eastAsia="仿宋"/>
                <w:color w:val="auto"/>
                <w:sz w:val="28"/>
                <w:szCs w:val="28"/>
                <w:highlight w:val="none"/>
              </w:rPr>
              <w:t>单价</w:t>
            </w:r>
          </w:p>
          <w:p>
            <w:pPr>
              <w:jc w:val="center"/>
              <w:rPr>
                <w:rFonts w:hint="eastAsia" w:ascii="仿宋" w:eastAsia="仿宋"/>
                <w:color w:val="auto"/>
                <w:sz w:val="28"/>
                <w:szCs w:val="28"/>
                <w:highlight w:val="none"/>
              </w:rPr>
            </w:pPr>
            <w:r>
              <w:rPr>
                <w:rFonts w:hint="eastAsia" w:ascii="仿宋" w:eastAsia="仿宋"/>
                <w:color w:val="auto"/>
                <w:sz w:val="28"/>
                <w:szCs w:val="28"/>
                <w:highlight w:val="none"/>
              </w:rPr>
              <w:t>市场价</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eastAsia="仿宋"/>
                <w:color w:val="auto"/>
                <w:sz w:val="28"/>
                <w:szCs w:val="28"/>
                <w:highlight w:val="none"/>
              </w:rPr>
            </w:pPr>
            <w:r>
              <w:rPr>
                <w:rFonts w:hint="eastAsia" w:ascii="仿宋" w:eastAsia="仿宋"/>
                <w:color w:val="auto"/>
                <w:sz w:val="28"/>
                <w:szCs w:val="28"/>
                <w:highlight w:val="none"/>
              </w:rPr>
              <w:t>单价</w:t>
            </w:r>
          </w:p>
          <w:p>
            <w:pPr>
              <w:jc w:val="center"/>
              <w:rPr>
                <w:rFonts w:hint="eastAsia" w:ascii="仿宋" w:eastAsia="仿宋"/>
                <w:color w:val="auto"/>
                <w:sz w:val="28"/>
                <w:szCs w:val="28"/>
                <w:highlight w:val="none"/>
              </w:rPr>
            </w:pPr>
            <w:r>
              <w:rPr>
                <w:rFonts w:hint="eastAsia" w:ascii="仿宋" w:eastAsia="仿宋"/>
                <w:color w:val="auto"/>
                <w:sz w:val="28"/>
                <w:szCs w:val="28"/>
                <w:highlight w:val="none"/>
              </w:rPr>
              <w:t>报价</w:t>
            </w:r>
          </w:p>
        </w:tc>
        <w:tc>
          <w:tcPr>
            <w:tcW w:w="185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eastAsia="仿宋"/>
                <w:color w:val="auto"/>
                <w:sz w:val="28"/>
                <w:szCs w:val="28"/>
                <w:highlight w:val="none"/>
              </w:rPr>
            </w:pPr>
            <w:r>
              <w:rPr>
                <w:rFonts w:hint="eastAsia" w:ascii="仿宋" w:eastAsia="仿宋"/>
                <w:color w:val="auto"/>
                <w:sz w:val="28"/>
                <w:szCs w:val="28"/>
                <w:highlight w:val="none"/>
              </w:rPr>
              <w:t>对应的投标设备名称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r>
              <w:rPr>
                <w:rFonts w:hint="eastAsia" w:ascii="仿宋" w:eastAsia="仿宋"/>
                <w:color w:val="auto"/>
                <w:sz w:val="28"/>
                <w:szCs w:val="28"/>
                <w:highlight w:val="none"/>
              </w:rPr>
              <w:t>1.</w:t>
            </w:r>
          </w:p>
        </w:tc>
        <w:tc>
          <w:tcPr>
            <w:tcW w:w="126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r>
              <w:rPr>
                <w:rFonts w:hint="eastAsia" w:ascii="仿宋" w:eastAsia="仿宋"/>
                <w:color w:val="auto"/>
                <w:sz w:val="28"/>
                <w:szCs w:val="28"/>
                <w:highlight w:val="none"/>
              </w:rPr>
              <w:t>2.</w:t>
            </w:r>
          </w:p>
        </w:tc>
        <w:tc>
          <w:tcPr>
            <w:tcW w:w="126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r>
              <w:rPr>
                <w:rFonts w:hint="eastAsia" w:ascii="仿宋" w:eastAsia="仿宋"/>
                <w:color w:val="auto"/>
                <w:sz w:val="28"/>
                <w:szCs w:val="28"/>
                <w:highlight w:val="none"/>
              </w:rPr>
              <w:t>4.</w:t>
            </w:r>
          </w:p>
        </w:tc>
        <w:tc>
          <w:tcPr>
            <w:tcW w:w="126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r>
              <w:rPr>
                <w:rFonts w:hint="eastAsia" w:ascii="仿宋" w:eastAsia="仿宋"/>
                <w:color w:val="auto"/>
                <w:sz w:val="28"/>
                <w:szCs w:val="28"/>
                <w:highlight w:val="none"/>
              </w:rPr>
              <w:t>5.</w:t>
            </w:r>
          </w:p>
        </w:tc>
        <w:tc>
          <w:tcPr>
            <w:tcW w:w="126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r>
              <w:rPr>
                <w:rFonts w:hint="eastAsia" w:ascii="仿宋" w:eastAsia="仿宋"/>
                <w:color w:val="auto"/>
                <w:sz w:val="28"/>
                <w:szCs w:val="28"/>
                <w:highlight w:val="none"/>
              </w:rPr>
              <w:t>6.</w:t>
            </w:r>
          </w:p>
        </w:tc>
        <w:tc>
          <w:tcPr>
            <w:tcW w:w="126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73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r>
              <w:rPr>
                <w:rFonts w:hint="eastAsia" w:ascii="仿宋" w:eastAsia="仿宋"/>
                <w:color w:val="auto"/>
                <w:spacing w:val="20"/>
                <w:sz w:val="30"/>
                <w:szCs w:val="30"/>
                <w:highlight w:val="none"/>
              </w:rPr>
              <w:t>…</w:t>
            </w:r>
          </w:p>
        </w:tc>
        <w:tc>
          <w:tcPr>
            <w:tcW w:w="126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7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c>
          <w:tcPr>
            <w:tcW w:w="1855"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eastAsia="仿宋"/>
                <w:color w:val="auto"/>
                <w:sz w:val="28"/>
                <w:szCs w:val="28"/>
                <w:highlight w:val="none"/>
              </w:rPr>
            </w:pPr>
          </w:p>
        </w:tc>
      </w:tr>
    </w:tbl>
    <w:p>
      <w:pPr>
        <w:adjustRightInd w:val="0"/>
        <w:snapToGrid w:val="0"/>
        <w:ind w:right="172" w:rightChars="82"/>
        <w:rPr>
          <w:rFonts w:hint="eastAsia" w:ascii="仿宋" w:eastAsia="仿宋"/>
          <w:color w:val="auto"/>
          <w:sz w:val="28"/>
          <w:szCs w:val="28"/>
          <w:highlight w:val="none"/>
        </w:rPr>
      </w:pPr>
      <w:r>
        <w:rPr>
          <w:rFonts w:hint="eastAsia" w:ascii="仿宋" w:eastAsia="仿宋"/>
          <w:color w:val="auto"/>
          <w:sz w:val="28"/>
          <w:szCs w:val="28"/>
          <w:highlight w:val="none"/>
        </w:rPr>
        <w:t>注：以上为主要消耗品及易损配件的报价，采购人据此在采购合同中约定相关价格。</w:t>
      </w:r>
    </w:p>
    <w:p>
      <w:pPr>
        <w:adjustRightInd w:val="0"/>
        <w:snapToGrid w:val="0"/>
        <w:ind w:right="172" w:rightChars="82" w:firstLine="484" w:firstLineChars="202"/>
        <w:rPr>
          <w:rFonts w:hint="eastAsia" w:ascii="仿宋" w:eastAsia="仿宋"/>
          <w:color w:val="auto"/>
          <w:sz w:val="24"/>
          <w:szCs w:val="24"/>
          <w:highlight w:val="none"/>
        </w:rPr>
      </w:pPr>
    </w:p>
    <w:p>
      <w:pPr>
        <w:adjustRightInd w:val="0"/>
        <w:snapToGrid w:val="0"/>
        <w:ind w:right="172" w:rightChars="82" w:firstLine="484" w:firstLineChars="202"/>
        <w:rPr>
          <w:rFonts w:hint="eastAsia" w:ascii="仿宋" w:eastAsia="仿宋"/>
          <w:color w:val="auto"/>
          <w:sz w:val="24"/>
          <w:szCs w:val="24"/>
          <w:highlight w:val="none"/>
        </w:rPr>
      </w:pPr>
    </w:p>
    <w:p>
      <w:pPr>
        <w:spacing w:line="440" w:lineRule="exact"/>
        <w:jc w:val="left"/>
        <w:rPr>
          <w:rFonts w:hint="eastAsia" w:ascii="仿宋" w:eastAsia="仿宋"/>
          <w:color w:val="auto"/>
          <w:sz w:val="24"/>
          <w:highlight w:val="none"/>
        </w:rPr>
      </w:pPr>
    </w:p>
    <w:p>
      <w:pPr>
        <w:snapToGrid w:val="0"/>
        <w:spacing w:before="156" w:beforeLines="50"/>
        <w:rPr>
          <w:rFonts w:hint="eastAsia" w:ascii="仿宋" w:eastAsia="仿宋"/>
          <w:color w:val="auto"/>
          <w:sz w:val="28"/>
          <w:szCs w:val="28"/>
          <w:highlight w:val="none"/>
        </w:rPr>
      </w:pPr>
      <w:r>
        <w:rPr>
          <w:rFonts w:hint="eastAsia" w:ascii="仿宋" w:eastAsia="仿宋"/>
          <w:color w:val="auto"/>
          <w:sz w:val="28"/>
          <w:szCs w:val="28"/>
          <w:highlight w:val="none"/>
        </w:rPr>
        <w:t xml:space="preserve">法定代表人或其授权代表（签字或盖章）：          </w:t>
      </w:r>
    </w:p>
    <w:p>
      <w:pPr>
        <w:snapToGrid w:val="0"/>
        <w:spacing w:before="156" w:beforeLines="50"/>
        <w:rPr>
          <w:rFonts w:hint="eastAsia" w:ascii="仿宋" w:eastAsia="仿宋"/>
          <w:color w:val="auto"/>
          <w:sz w:val="28"/>
          <w:szCs w:val="28"/>
          <w:highlight w:val="none"/>
        </w:rPr>
      </w:pPr>
      <w:r>
        <w:rPr>
          <w:rFonts w:hint="eastAsia" w:ascii="仿宋" w:eastAsia="仿宋"/>
          <w:color w:val="auto"/>
          <w:sz w:val="28"/>
          <w:szCs w:val="28"/>
          <w:highlight w:val="none"/>
        </w:rPr>
        <w:t xml:space="preserve">日期： </w:t>
      </w:r>
    </w:p>
    <w:p>
      <w:pPr>
        <w:spacing w:line="440" w:lineRule="exact"/>
        <w:ind w:left="-210" w:leftChars="-100" w:firstLine="120" w:firstLineChars="50"/>
        <w:jc w:val="left"/>
        <w:rPr>
          <w:rFonts w:hint="eastAsia" w:ascii="仿宋" w:eastAsia="仿宋"/>
          <w:color w:val="auto"/>
          <w:sz w:val="24"/>
          <w:highlight w:val="none"/>
        </w:rPr>
      </w:pPr>
      <w:r>
        <w:rPr>
          <w:rFonts w:hint="eastAsia" w:ascii="仿宋" w:eastAsia="仿宋"/>
          <w:color w:val="auto"/>
          <w:sz w:val="24"/>
          <w:highlight w:val="none"/>
        </w:rPr>
        <w:tab/>
      </w:r>
      <w:r>
        <w:rPr>
          <w:rFonts w:hint="eastAsia" w:ascii="仿宋" w:eastAsia="仿宋"/>
          <w:color w:val="auto"/>
          <w:sz w:val="24"/>
          <w:highlight w:val="none"/>
        </w:rPr>
        <w:t xml:space="preserve"> </w:t>
      </w:r>
    </w:p>
    <w:p>
      <w:pPr>
        <w:spacing w:line="440" w:lineRule="exact"/>
        <w:rPr>
          <w:rFonts w:hint="eastAsia" w:ascii="仿宋" w:eastAsia="仿宋"/>
          <w:b/>
          <w:color w:val="auto"/>
          <w:sz w:val="24"/>
          <w:highlight w:val="none"/>
        </w:rPr>
      </w:pPr>
      <w:r>
        <w:rPr>
          <w:rFonts w:hint="eastAsia" w:ascii="仿宋" w:eastAsia="仿宋"/>
          <w:color w:val="auto"/>
          <w:sz w:val="24"/>
          <w:highlight w:val="none"/>
        </w:rPr>
        <w:t xml:space="preserve">                                             </w:t>
      </w: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snapToGrid w:val="0"/>
        <w:spacing w:before="50" w:after="50"/>
        <w:jc w:val="left"/>
        <w:rPr>
          <w:rFonts w:hint="eastAsia" w:ascii="仿宋" w:eastAsia="仿宋"/>
          <w:color w:val="auto"/>
          <w:sz w:val="30"/>
          <w:szCs w:val="30"/>
          <w:highlight w:val="none"/>
        </w:rPr>
      </w:pPr>
    </w:p>
    <w:p>
      <w:pPr>
        <w:rPr>
          <w:rFonts w:ascii="仿宋_GB2312" w:eastAsia="仿宋_GB2312"/>
          <w:color w:val="auto"/>
          <w:kern w:val="2"/>
          <w:sz w:val="24"/>
          <w:szCs w:val="20"/>
          <w:highlight w:val="none"/>
          <w:u w:val="none"/>
        </w:rPr>
      </w:pPr>
    </w:p>
    <w:p>
      <w:pPr>
        <w:snapToGrid w:val="0"/>
        <w:spacing w:before="50" w:after="50"/>
        <w:jc w:val="left"/>
        <w:rPr>
          <w:rFonts w:ascii="仿宋" w:eastAsia="仿宋"/>
          <w:b/>
          <w:bCs/>
          <w:color w:val="auto"/>
          <w:sz w:val="30"/>
          <w:szCs w:val="30"/>
          <w:highlight w:val="none"/>
        </w:rPr>
      </w:pPr>
      <w:r>
        <w:rPr>
          <w:rFonts w:ascii="仿宋" w:eastAsia="仿宋"/>
          <w:b/>
          <w:bCs/>
          <w:color w:val="auto"/>
          <w:sz w:val="30"/>
          <w:szCs w:val="30"/>
          <w:highlight w:val="none"/>
        </w:rPr>
        <w:t>附件15（如有）：</w:t>
      </w:r>
    </w:p>
    <w:p>
      <w:pPr>
        <w:snapToGrid w:val="0"/>
        <w:spacing w:before="50" w:after="156" w:afterLines="50"/>
        <w:jc w:val="center"/>
        <w:rPr>
          <w:rFonts w:ascii="仿宋" w:eastAsia="仿宋"/>
          <w:b/>
          <w:color w:val="auto"/>
          <w:kern w:val="0"/>
          <w:sz w:val="36"/>
          <w:szCs w:val="36"/>
          <w:highlight w:val="none"/>
        </w:rPr>
      </w:pPr>
      <w:r>
        <w:rPr>
          <w:rFonts w:ascii="仿宋" w:eastAsia="仿宋"/>
          <w:b/>
          <w:color w:val="auto"/>
          <w:kern w:val="0"/>
          <w:sz w:val="36"/>
          <w:szCs w:val="36"/>
          <w:highlight w:val="none"/>
        </w:rPr>
        <w:t>类似业绩一览表</w:t>
      </w:r>
    </w:p>
    <w:p>
      <w:pPr>
        <w:pStyle w:val="10"/>
        <w:snapToGrid w:val="0"/>
        <w:rPr>
          <w:rFonts w:ascii="仿宋" w:eastAsia="仿宋"/>
          <w:color w:val="auto"/>
          <w:sz w:val="28"/>
          <w:szCs w:val="28"/>
          <w:highlight w:val="none"/>
        </w:rPr>
      </w:pPr>
      <w:r>
        <w:rPr>
          <w:rFonts w:hint="eastAsia" w:ascii="仿宋" w:eastAsia="仿宋"/>
          <w:color w:val="auto"/>
          <w:sz w:val="28"/>
          <w:szCs w:val="28"/>
          <w:highlight w:val="none"/>
        </w:rPr>
        <w:t>供应商全称（公章）：</w:t>
      </w:r>
      <w:r>
        <w:rPr>
          <w:rFonts w:hint="eastAsia" w:ascii="仿宋" w:eastAsia="仿宋"/>
          <w:color w:val="auto"/>
          <w:sz w:val="28"/>
          <w:szCs w:val="28"/>
          <w:highlight w:val="none"/>
          <w:u w:val="single"/>
        </w:rPr>
        <w:t xml:space="preserve">         </w:t>
      </w:r>
      <w:r>
        <w:rPr>
          <w:rFonts w:ascii="仿宋" w:eastAsia="仿宋"/>
          <w:color w:val="auto"/>
          <w:sz w:val="28"/>
          <w:szCs w:val="28"/>
          <w:highlight w:val="none"/>
          <w:u w:val="single"/>
        </w:rPr>
        <w:t xml:space="preserve">                  </w:t>
      </w:r>
    </w:p>
    <w:p>
      <w:pPr>
        <w:pStyle w:val="10"/>
        <w:snapToGrid w:val="0"/>
        <w:rPr>
          <w:rFonts w:ascii="仿宋" w:eastAsia="仿宋"/>
          <w:color w:val="auto"/>
          <w:sz w:val="28"/>
          <w:szCs w:val="28"/>
          <w:highlight w:val="none"/>
          <w:u w:val="single"/>
        </w:rPr>
      </w:pPr>
      <w:r>
        <w:rPr>
          <w:rFonts w:ascii="仿宋" w:eastAsia="仿宋"/>
          <w:color w:val="auto"/>
          <w:sz w:val="28"/>
          <w:szCs w:val="28"/>
          <w:highlight w:val="none"/>
        </w:rPr>
        <w:t>标段编号</w:t>
      </w:r>
      <w:r>
        <w:rPr>
          <w:rFonts w:hint="eastAsia" w:ascii="仿宋" w:eastAsia="仿宋"/>
          <w:color w:val="auto"/>
          <w:sz w:val="28"/>
          <w:szCs w:val="28"/>
          <w:highlight w:val="none"/>
        </w:rPr>
        <w:t>：</w:t>
      </w:r>
      <w:r>
        <w:rPr>
          <w:rFonts w:hint="eastAsia" w:ascii="仿宋" w:eastAsia="仿宋"/>
          <w:color w:val="auto"/>
          <w:sz w:val="28"/>
          <w:szCs w:val="28"/>
          <w:highlight w:val="none"/>
          <w:u w:val="single"/>
        </w:rPr>
        <w:t xml:space="preserve">    </w:t>
      </w:r>
      <w:r>
        <w:rPr>
          <w:rFonts w:ascii="仿宋" w:eastAsia="仿宋"/>
          <w:color w:val="auto"/>
          <w:sz w:val="28"/>
          <w:szCs w:val="28"/>
          <w:highlight w:val="none"/>
          <w:u w:val="single"/>
        </w:rPr>
        <w:t xml:space="preserve">                    </w:t>
      </w:r>
      <w:r>
        <w:rPr>
          <w:rFonts w:hint="eastAsia" w:ascii="仿宋" w:eastAsia="仿宋"/>
          <w:color w:val="auto"/>
          <w:sz w:val="28"/>
          <w:szCs w:val="28"/>
          <w:highlight w:val="none"/>
          <w:u w:val="single"/>
        </w:rPr>
        <w:t xml:space="preserve">   </w:t>
      </w:r>
    </w:p>
    <w:p>
      <w:pPr>
        <w:rPr>
          <w:color w:val="auto"/>
          <w:sz w:val="28"/>
          <w:szCs w:val="28"/>
          <w:highlight w:val="none"/>
        </w:rPr>
      </w:pPr>
    </w:p>
    <w:tbl>
      <w:tblPr>
        <w:tblStyle w:val="28"/>
        <w:tblW w:w="8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455"/>
        <w:gridCol w:w="1751"/>
        <w:gridCol w:w="1185"/>
        <w:gridCol w:w="1733"/>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序号</w:t>
            </w:r>
          </w:p>
        </w:tc>
        <w:tc>
          <w:tcPr>
            <w:tcW w:w="1455"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采购人</w:t>
            </w:r>
          </w:p>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名称</w:t>
            </w:r>
          </w:p>
        </w:tc>
        <w:tc>
          <w:tcPr>
            <w:tcW w:w="1751"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项目名称</w:t>
            </w:r>
          </w:p>
        </w:tc>
        <w:tc>
          <w:tcPr>
            <w:tcW w:w="1185"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合同</w:t>
            </w:r>
          </w:p>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金额</w:t>
            </w:r>
          </w:p>
        </w:tc>
        <w:tc>
          <w:tcPr>
            <w:tcW w:w="1733"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采购单位联系人及电话</w:t>
            </w:r>
          </w:p>
        </w:tc>
        <w:tc>
          <w:tcPr>
            <w:tcW w:w="1453"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验收报告</w:t>
            </w:r>
          </w:p>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9"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1</w:t>
            </w:r>
          </w:p>
        </w:tc>
        <w:tc>
          <w:tcPr>
            <w:tcW w:w="1455"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51"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185"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33"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453"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9"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ascii="仿宋_GB2312" w:eastAsia="仿宋_GB2312"/>
                <w:color w:val="auto"/>
                <w:kern w:val="2"/>
                <w:sz w:val="28"/>
                <w:szCs w:val="28"/>
                <w:highlight w:val="none"/>
                <w:u w:val="none"/>
              </w:rPr>
              <w:t>2</w:t>
            </w:r>
          </w:p>
        </w:tc>
        <w:tc>
          <w:tcPr>
            <w:tcW w:w="1455"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51"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185"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33"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453"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9"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jc w:val="center"/>
              <w:rPr>
                <w:rFonts w:ascii="仿宋_GB2312" w:eastAsia="仿宋_GB2312"/>
                <w:color w:val="auto"/>
                <w:kern w:val="2"/>
                <w:sz w:val="28"/>
                <w:szCs w:val="28"/>
                <w:highlight w:val="none"/>
                <w:u w:val="none"/>
              </w:rPr>
            </w:pPr>
            <w:r>
              <w:rPr>
                <w:rFonts w:hint="eastAsia" w:ascii="仿宋_GB2312" w:eastAsia="仿宋_GB2312"/>
                <w:color w:val="auto"/>
                <w:kern w:val="2"/>
                <w:sz w:val="28"/>
                <w:szCs w:val="28"/>
                <w:highlight w:val="none"/>
                <w:u w:val="none"/>
              </w:rPr>
              <w:t>…</w:t>
            </w:r>
          </w:p>
        </w:tc>
        <w:tc>
          <w:tcPr>
            <w:tcW w:w="1455"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51"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185"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733"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c>
          <w:tcPr>
            <w:tcW w:w="1453"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rPr>
                <w:rFonts w:ascii="仿宋_GB2312" w:eastAsia="仿宋_GB2312"/>
                <w:color w:val="auto"/>
                <w:kern w:val="2"/>
                <w:sz w:val="28"/>
                <w:szCs w:val="28"/>
                <w:highlight w:val="none"/>
                <w:u w:val="none"/>
              </w:rPr>
            </w:pPr>
          </w:p>
        </w:tc>
      </w:tr>
    </w:tbl>
    <w:p>
      <w:pPr>
        <w:rPr>
          <w:rFonts w:ascii="仿宋" w:eastAsia="仿宋"/>
          <w:color w:val="auto"/>
          <w:sz w:val="24"/>
          <w:highlight w:val="none"/>
        </w:rPr>
      </w:pPr>
      <w:r>
        <w:rPr>
          <w:rFonts w:hint="eastAsia" w:ascii="仿宋" w:eastAsia="仿宋"/>
          <w:color w:val="auto"/>
          <w:sz w:val="24"/>
          <w:highlight w:val="none"/>
        </w:rPr>
        <w:t>备注：</w:t>
      </w:r>
    </w:p>
    <w:p>
      <w:pPr>
        <w:numPr>
          <w:ilvl w:val="0"/>
          <w:numId w:val="8"/>
        </w:numPr>
        <w:rPr>
          <w:rFonts w:ascii="仿宋" w:eastAsia="仿宋"/>
          <w:color w:val="auto"/>
          <w:sz w:val="24"/>
          <w:highlight w:val="none"/>
        </w:rPr>
      </w:pPr>
      <w:r>
        <w:rPr>
          <w:rFonts w:hint="eastAsia" w:ascii="仿宋" w:eastAsia="仿宋"/>
          <w:color w:val="auto"/>
          <w:sz w:val="24"/>
          <w:highlight w:val="none"/>
        </w:rPr>
        <w:t>请在此表后附类似业绩的合同复印件、验收报告复印件（如有）。</w:t>
      </w:r>
    </w:p>
    <w:p>
      <w:pPr>
        <w:rPr>
          <w:rFonts w:ascii="仿宋_GB2312" w:eastAsia="仿宋_GB2312"/>
          <w:color w:val="auto"/>
          <w:kern w:val="2"/>
          <w:sz w:val="28"/>
          <w:szCs w:val="28"/>
          <w:highlight w:val="none"/>
          <w:u w:val="none"/>
        </w:rPr>
      </w:pPr>
    </w:p>
    <w:p>
      <w:pPr>
        <w:rPr>
          <w:rFonts w:ascii="仿宋_GB2312" w:eastAsia="仿宋_GB2312"/>
          <w:color w:val="auto"/>
          <w:kern w:val="2"/>
          <w:sz w:val="28"/>
          <w:szCs w:val="28"/>
          <w:highlight w:val="none"/>
          <w:u w:val="none"/>
        </w:rPr>
      </w:pPr>
    </w:p>
    <w:p>
      <w:pPr>
        <w:rPr>
          <w:rFonts w:ascii="仿宋_GB2312" w:eastAsia="仿宋_GB2312"/>
          <w:color w:val="auto"/>
          <w:kern w:val="2"/>
          <w:sz w:val="28"/>
          <w:szCs w:val="28"/>
          <w:highlight w:val="none"/>
          <w:u w:val="none"/>
        </w:rPr>
      </w:pPr>
    </w:p>
    <w:p>
      <w:pPr>
        <w:rPr>
          <w:rFonts w:ascii="仿宋_GB2312" w:eastAsia="仿宋_GB2312"/>
          <w:color w:val="auto"/>
          <w:kern w:val="2"/>
          <w:sz w:val="28"/>
          <w:szCs w:val="28"/>
          <w:highlight w:val="none"/>
          <w:u w:val="none"/>
        </w:rPr>
      </w:pPr>
    </w:p>
    <w:p>
      <w:pPr>
        <w:rPr>
          <w:rFonts w:ascii="仿宋_GB2312" w:eastAsia="仿宋_GB2312"/>
          <w:color w:val="auto"/>
          <w:kern w:val="2"/>
          <w:sz w:val="28"/>
          <w:szCs w:val="28"/>
          <w:highlight w:val="none"/>
          <w:u w:val="none"/>
        </w:rPr>
      </w:pPr>
    </w:p>
    <w:p>
      <w:pPr>
        <w:snapToGrid w:val="0"/>
        <w:spacing w:before="156" w:beforeLines="50"/>
        <w:rPr>
          <w:rFonts w:hint="eastAsia" w:ascii="仿宋" w:eastAsia="仿宋"/>
          <w:color w:val="auto"/>
          <w:sz w:val="28"/>
          <w:szCs w:val="28"/>
          <w:highlight w:val="none"/>
        </w:rPr>
      </w:pPr>
      <w:r>
        <w:rPr>
          <w:rFonts w:hint="eastAsia" w:ascii="仿宋" w:eastAsia="仿宋"/>
          <w:color w:val="auto"/>
          <w:sz w:val="28"/>
          <w:szCs w:val="28"/>
          <w:highlight w:val="none"/>
        </w:rPr>
        <w:t xml:space="preserve">法定代表人或其授权代表（签字或盖章）：          </w:t>
      </w:r>
    </w:p>
    <w:p>
      <w:pPr>
        <w:snapToGrid w:val="0"/>
        <w:spacing w:before="156" w:beforeLines="50"/>
        <w:rPr>
          <w:rFonts w:hint="eastAsia" w:ascii="仿宋" w:eastAsia="仿宋"/>
          <w:color w:val="auto"/>
          <w:sz w:val="28"/>
          <w:szCs w:val="28"/>
          <w:highlight w:val="none"/>
        </w:rPr>
      </w:pPr>
      <w:r>
        <w:rPr>
          <w:rFonts w:hint="eastAsia" w:ascii="仿宋" w:eastAsia="仿宋"/>
          <w:color w:val="auto"/>
          <w:sz w:val="28"/>
          <w:szCs w:val="28"/>
          <w:highlight w:val="none"/>
        </w:rPr>
        <w:t xml:space="preserve">日期： </w:t>
      </w:r>
    </w:p>
    <w:p>
      <w:pPr>
        <w:rPr>
          <w:rFonts w:ascii="仿宋_GB2312" w:eastAsia="仿宋_GB2312"/>
          <w:color w:val="auto"/>
          <w:kern w:val="2"/>
          <w:sz w:val="24"/>
          <w:szCs w:val="20"/>
          <w:highlight w:val="none"/>
          <w:u w:val="none"/>
        </w:rPr>
      </w:pPr>
    </w:p>
    <w:p>
      <w:pPr>
        <w:rPr>
          <w:rFonts w:ascii="仿宋_GB2312" w:eastAsia="仿宋_GB2312"/>
          <w:color w:val="auto"/>
          <w:kern w:val="2"/>
          <w:sz w:val="24"/>
          <w:szCs w:val="20"/>
          <w:highlight w:val="none"/>
          <w:u w:val="none"/>
        </w:rPr>
      </w:pPr>
    </w:p>
    <w:p>
      <w:pPr>
        <w:rPr>
          <w:rFonts w:ascii="仿宋_GB2312" w:eastAsia="仿宋_GB2312"/>
          <w:color w:val="auto"/>
          <w:kern w:val="2"/>
          <w:sz w:val="24"/>
          <w:szCs w:val="20"/>
          <w:highlight w:val="none"/>
          <w:u w:val="none"/>
        </w:rPr>
      </w:pPr>
    </w:p>
    <w:p>
      <w:pPr>
        <w:snapToGrid w:val="0"/>
        <w:spacing w:before="156" w:beforeLines="50" w:after="50"/>
        <w:jc w:val="left"/>
        <w:rPr>
          <w:rFonts w:ascii="仿宋" w:eastAsia="仿宋"/>
          <w:b/>
          <w:bCs/>
          <w:color w:val="auto"/>
          <w:sz w:val="30"/>
          <w:szCs w:val="30"/>
          <w:highlight w:val="none"/>
        </w:rPr>
      </w:pPr>
      <w:r>
        <w:rPr>
          <w:rFonts w:hint="eastAsia" w:ascii="仿宋" w:eastAsia="仿宋"/>
          <w:b/>
          <w:bCs/>
          <w:color w:val="auto"/>
          <w:sz w:val="30"/>
          <w:szCs w:val="30"/>
          <w:highlight w:val="none"/>
        </w:rPr>
        <w:t>附件1</w:t>
      </w:r>
      <w:r>
        <w:rPr>
          <w:rFonts w:hint="default" w:ascii="仿宋" w:eastAsia="仿宋"/>
          <w:b/>
          <w:bCs/>
          <w:color w:val="auto"/>
          <w:sz w:val="30"/>
          <w:szCs w:val="30"/>
          <w:highlight w:val="none"/>
        </w:rPr>
        <w:t>6</w:t>
      </w:r>
      <w:r>
        <w:rPr>
          <w:rFonts w:hint="eastAsia" w:ascii="仿宋" w:eastAsia="仿宋"/>
          <w:b/>
          <w:bCs/>
          <w:color w:val="auto"/>
          <w:sz w:val="30"/>
          <w:szCs w:val="30"/>
          <w:highlight w:val="none"/>
        </w:rPr>
        <w:t>：</w:t>
      </w:r>
      <w:r>
        <w:rPr>
          <w:rFonts w:ascii="仿宋" w:eastAsia="仿宋"/>
          <w:b/>
          <w:bCs/>
          <w:color w:val="auto"/>
          <w:sz w:val="30"/>
          <w:szCs w:val="30"/>
          <w:highlight w:val="none"/>
        </w:rPr>
        <w:t>报价文件封面</w:t>
      </w:r>
    </w:p>
    <w:p>
      <w:pPr>
        <w:snapToGrid w:val="0"/>
        <w:spacing w:before="156" w:beforeLines="50" w:after="50"/>
        <w:jc w:val="right"/>
        <w:rPr>
          <w:rFonts w:ascii="仿宋" w:eastAsia="仿宋"/>
          <w:b/>
          <w:color w:val="auto"/>
          <w:sz w:val="30"/>
          <w:szCs w:val="30"/>
          <w:highlight w:val="none"/>
        </w:rPr>
      </w:pPr>
      <w:r>
        <w:rPr>
          <w:rFonts w:ascii="仿宋" w:eastAsia="仿宋"/>
          <w:bCs/>
          <w:color w:val="auto"/>
          <w:sz w:val="30"/>
          <w:szCs w:val="30"/>
          <w:highlight w:val="none"/>
          <w:u w:val="single"/>
        </w:rPr>
        <w:t>（填写</w:t>
      </w:r>
      <w:r>
        <w:rPr>
          <w:rFonts w:hint="eastAsia" w:ascii="仿宋" w:eastAsia="仿宋"/>
          <w:bCs/>
          <w:color w:val="auto"/>
          <w:sz w:val="30"/>
          <w:szCs w:val="30"/>
          <w:highlight w:val="none"/>
          <w:u w:val="single"/>
        </w:rPr>
        <w:t>正本或副本</w:t>
      </w:r>
      <w:r>
        <w:rPr>
          <w:rFonts w:ascii="仿宋" w:eastAsia="仿宋"/>
          <w:bCs/>
          <w:color w:val="auto"/>
          <w:sz w:val="30"/>
          <w:szCs w:val="30"/>
          <w:highlight w:val="none"/>
          <w:u w:val="single"/>
        </w:rPr>
        <w:t>）</w:t>
      </w:r>
    </w:p>
    <w:p>
      <w:pPr>
        <w:snapToGrid w:val="0"/>
        <w:spacing w:before="156" w:beforeLines="50" w:after="50"/>
        <w:jc w:val="right"/>
        <w:rPr>
          <w:rFonts w:ascii="仿宋" w:eastAsia="仿宋"/>
          <w:bCs/>
          <w:color w:val="auto"/>
          <w:sz w:val="30"/>
          <w:szCs w:val="30"/>
          <w:highlight w:val="none"/>
        </w:rPr>
      </w:pPr>
    </w:p>
    <w:p>
      <w:pPr>
        <w:spacing w:line="400" w:lineRule="exact"/>
        <w:ind w:right="-110"/>
        <w:rPr>
          <w:rFonts w:ascii="仿宋" w:eastAsia="仿宋"/>
          <w:color w:val="auto"/>
          <w:spacing w:val="40"/>
          <w:sz w:val="30"/>
          <w:szCs w:val="30"/>
          <w:highlight w:val="none"/>
        </w:rPr>
      </w:pPr>
      <w:r>
        <w:rPr>
          <w:rFonts w:hint="eastAsia" w:ascii="仿宋" w:eastAsia="仿宋"/>
          <w:color w:val="auto"/>
          <w:spacing w:val="40"/>
          <w:sz w:val="30"/>
          <w:szCs w:val="30"/>
          <w:highlight w:val="none"/>
        </w:rPr>
        <w:t>项目名称</w:t>
      </w:r>
      <w:r>
        <w:rPr>
          <w:rFonts w:ascii="仿宋" w:eastAsia="仿宋"/>
          <w:color w:val="auto"/>
          <w:spacing w:val="40"/>
          <w:sz w:val="30"/>
          <w:szCs w:val="30"/>
          <w:highlight w:val="none"/>
        </w:rPr>
        <w:t>：</w:t>
      </w:r>
      <w:r>
        <w:rPr>
          <w:rFonts w:ascii="仿宋" w:eastAsia="仿宋"/>
          <w:color w:val="auto"/>
          <w:spacing w:val="40"/>
          <w:sz w:val="30"/>
          <w:szCs w:val="30"/>
          <w:highlight w:val="none"/>
          <w:u w:val="single"/>
        </w:rPr>
        <w:t xml:space="preserve">           </w:t>
      </w:r>
    </w:p>
    <w:p>
      <w:pPr>
        <w:spacing w:before="312" w:beforeLines="100" w:line="400" w:lineRule="exact"/>
        <w:rPr>
          <w:rFonts w:ascii="仿宋" w:eastAsia="仿宋"/>
          <w:color w:val="auto"/>
          <w:sz w:val="30"/>
          <w:szCs w:val="30"/>
          <w:highlight w:val="none"/>
          <w:u w:val="single"/>
        </w:rPr>
      </w:pPr>
      <w:r>
        <w:rPr>
          <w:rFonts w:hint="eastAsia" w:ascii="仿宋" w:eastAsia="仿宋"/>
          <w:color w:val="auto"/>
          <w:sz w:val="30"/>
          <w:szCs w:val="30"/>
          <w:highlight w:val="none"/>
        </w:rPr>
        <w:t>项目编号：</w:t>
      </w:r>
      <w:r>
        <w:rPr>
          <w:rFonts w:ascii="仿宋" w:eastAsia="仿宋"/>
          <w:color w:val="auto"/>
          <w:sz w:val="30"/>
          <w:szCs w:val="30"/>
          <w:highlight w:val="none"/>
          <w:u w:val="single"/>
        </w:rPr>
        <w:t xml:space="preserve">                   </w:t>
      </w:r>
    </w:p>
    <w:p>
      <w:pPr>
        <w:spacing w:before="312" w:beforeLines="100" w:line="400" w:lineRule="exact"/>
        <w:rPr>
          <w:rFonts w:ascii="仿宋" w:eastAsia="仿宋"/>
          <w:color w:val="auto"/>
          <w:sz w:val="30"/>
          <w:szCs w:val="30"/>
          <w:highlight w:val="none"/>
        </w:rPr>
      </w:pPr>
      <w:r>
        <w:rPr>
          <w:rFonts w:ascii="仿宋" w:eastAsia="仿宋"/>
          <w:color w:val="auto"/>
          <w:sz w:val="30"/>
          <w:szCs w:val="30"/>
          <w:highlight w:val="none"/>
        </w:rPr>
        <w:t>标段编号：</w:t>
      </w:r>
      <w:r>
        <w:rPr>
          <w:rFonts w:ascii="仿宋" w:eastAsia="仿宋"/>
          <w:color w:val="auto"/>
          <w:sz w:val="30"/>
          <w:szCs w:val="30"/>
          <w:highlight w:val="none"/>
          <w:u w:val="single"/>
        </w:rPr>
        <w:t xml:space="preserve">                    </w:t>
      </w:r>
    </w:p>
    <w:p>
      <w:pPr>
        <w:spacing w:line="1200" w:lineRule="exact"/>
        <w:ind w:right="6"/>
        <w:jc w:val="center"/>
        <w:rPr>
          <w:rFonts w:ascii="仿宋" w:eastAsia="仿宋"/>
          <w:color w:val="auto"/>
          <w:sz w:val="72"/>
          <w:szCs w:val="72"/>
          <w:highlight w:val="none"/>
        </w:rPr>
      </w:pPr>
    </w:p>
    <w:p>
      <w:pPr>
        <w:spacing w:line="1200" w:lineRule="exact"/>
        <w:ind w:right="6"/>
        <w:jc w:val="center"/>
        <w:rPr>
          <w:rFonts w:ascii="仿宋" w:eastAsia="仿宋"/>
          <w:color w:val="auto"/>
          <w:sz w:val="72"/>
          <w:szCs w:val="72"/>
          <w:highlight w:val="none"/>
        </w:rPr>
      </w:pPr>
      <w:r>
        <w:rPr>
          <w:rFonts w:ascii="仿宋" w:eastAsia="仿宋"/>
          <w:color w:val="auto"/>
          <w:sz w:val="72"/>
          <w:szCs w:val="72"/>
          <w:highlight w:val="none"/>
        </w:rPr>
        <w:t>报</w:t>
      </w:r>
    </w:p>
    <w:p>
      <w:pPr>
        <w:spacing w:line="1200" w:lineRule="exact"/>
        <w:ind w:right="6"/>
        <w:jc w:val="center"/>
        <w:rPr>
          <w:rFonts w:ascii="仿宋" w:eastAsia="仿宋"/>
          <w:color w:val="auto"/>
          <w:sz w:val="72"/>
          <w:szCs w:val="72"/>
          <w:highlight w:val="none"/>
        </w:rPr>
      </w:pPr>
      <w:r>
        <w:rPr>
          <w:rFonts w:ascii="仿宋" w:eastAsia="仿宋"/>
          <w:color w:val="auto"/>
          <w:sz w:val="72"/>
          <w:szCs w:val="72"/>
          <w:highlight w:val="none"/>
        </w:rPr>
        <w:t>价</w:t>
      </w:r>
    </w:p>
    <w:p>
      <w:pPr>
        <w:spacing w:line="1200" w:lineRule="exact"/>
        <w:ind w:right="6"/>
        <w:jc w:val="center"/>
        <w:rPr>
          <w:rFonts w:ascii="仿宋" w:eastAsia="仿宋"/>
          <w:color w:val="auto"/>
          <w:sz w:val="72"/>
          <w:szCs w:val="72"/>
          <w:highlight w:val="none"/>
        </w:rPr>
      </w:pPr>
      <w:r>
        <w:rPr>
          <w:rFonts w:ascii="仿宋" w:eastAsia="仿宋"/>
          <w:color w:val="auto"/>
          <w:sz w:val="72"/>
          <w:szCs w:val="72"/>
          <w:highlight w:val="none"/>
        </w:rPr>
        <w:t>文</w:t>
      </w:r>
    </w:p>
    <w:p>
      <w:pPr>
        <w:spacing w:line="1200" w:lineRule="exact"/>
        <w:ind w:right="6"/>
        <w:jc w:val="center"/>
        <w:rPr>
          <w:rFonts w:ascii="仿宋" w:eastAsia="仿宋"/>
          <w:color w:val="auto"/>
          <w:sz w:val="72"/>
          <w:szCs w:val="72"/>
          <w:highlight w:val="none"/>
        </w:rPr>
      </w:pPr>
      <w:r>
        <w:rPr>
          <w:rFonts w:ascii="仿宋" w:eastAsia="仿宋"/>
          <w:color w:val="auto"/>
          <w:sz w:val="72"/>
          <w:szCs w:val="72"/>
          <w:highlight w:val="none"/>
        </w:rPr>
        <w:t>件</w:t>
      </w:r>
    </w:p>
    <w:p>
      <w:pPr>
        <w:spacing w:line="1200" w:lineRule="exact"/>
        <w:ind w:right="6"/>
        <w:jc w:val="center"/>
        <w:rPr>
          <w:rFonts w:ascii="仿宋" w:eastAsia="仿宋"/>
          <w:color w:val="auto"/>
          <w:sz w:val="72"/>
          <w:szCs w:val="72"/>
          <w:highlight w:val="none"/>
        </w:rPr>
      </w:pPr>
    </w:p>
    <w:p>
      <w:pPr>
        <w:spacing w:line="360" w:lineRule="auto"/>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供应商名称（盖</w:t>
      </w:r>
      <w:r>
        <w:rPr>
          <w:rFonts w:ascii="仿宋" w:eastAsia="仿宋"/>
          <w:color w:val="auto"/>
          <w:spacing w:val="40"/>
          <w:sz w:val="30"/>
          <w:szCs w:val="30"/>
          <w:highlight w:val="none"/>
        </w:rPr>
        <w:t>公</w:t>
      </w:r>
      <w:r>
        <w:rPr>
          <w:rFonts w:hint="eastAsia" w:ascii="仿宋" w:eastAsia="仿宋"/>
          <w:color w:val="auto"/>
          <w:spacing w:val="40"/>
          <w:sz w:val="30"/>
          <w:szCs w:val="30"/>
          <w:highlight w:val="none"/>
        </w:rPr>
        <w:t>章）：</w:t>
      </w:r>
    </w:p>
    <w:p>
      <w:pPr>
        <w:spacing w:line="360" w:lineRule="auto"/>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地    址：</w:t>
      </w:r>
    </w:p>
    <w:p>
      <w:pPr>
        <w:spacing w:line="360" w:lineRule="auto"/>
        <w:ind w:right="-110"/>
        <w:rPr>
          <w:rFonts w:ascii="仿宋" w:eastAsia="仿宋"/>
          <w:color w:val="auto"/>
          <w:spacing w:val="40"/>
          <w:sz w:val="30"/>
          <w:szCs w:val="30"/>
          <w:highlight w:val="none"/>
        </w:rPr>
      </w:pPr>
      <w:r>
        <w:rPr>
          <w:rFonts w:ascii="仿宋" w:eastAsia="仿宋"/>
          <w:color w:val="auto"/>
          <w:spacing w:val="40"/>
          <w:sz w:val="30"/>
          <w:szCs w:val="30"/>
          <w:highlight w:val="none"/>
        </w:rPr>
        <w:t>日</w:t>
      </w:r>
      <w:r>
        <w:rPr>
          <w:rFonts w:hint="eastAsia" w:ascii="仿宋" w:eastAsia="仿宋"/>
          <w:color w:val="auto"/>
          <w:spacing w:val="40"/>
          <w:sz w:val="30"/>
          <w:szCs w:val="30"/>
          <w:highlight w:val="none"/>
        </w:rPr>
        <w:t xml:space="preserve">    </w:t>
      </w:r>
      <w:r>
        <w:rPr>
          <w:rFonts w:ascii="仿宋" w:eastAsia="仿宋"/>
          <w:color w:val="auto"/>
          <w:spacing w:val="40"/>
          <w:sz w:val="30"/>
          <w:szCs w:val="30"/>
          <w:highlight w:val="none"/>
        </w:rPr>
        <w:t>期</w:t>
      </w:r>
      <w:r>
        <w:rPr>
          <w:rFonts w:hint="eastAsia" w:ascii="仿宋" w:eastAsia="仿宋"/>
          <w:color w:val="auto"/>
          <w:spacing w:val="40"/>
          <w:sz w:val="30"/>
          <w:szCs w:val="30"/>
          <w:highlight w:val="none"/>
        </w:rPr>
        <w:t>：</w:t>
      </w:r>
    </w:p>
    <w:p>
      <w:pPr>
        <w:spacing w:line="400" w:lineRule="exact"/>
        <w:ind w:right="-110"/>
        <w:rPr>
          <w:rFonts w:ascii="仿宋" w:eastAsia="仿宋"/>
          <w:color w:val="auto"/>
          <w:spacing w:val="40"/>
          <w:sz w:val="30"/>
          <w:szCs w:val="30"/>
          <w:highlight w:val="none"/>
        </w:rPr>
      </w:pPr>
    </w:p>
    <w:p>
      <w:pPr>
        <w:spacing w:line="400" w:lineRule="exact"/>
        <w:ind w:right="-110"/>
        <w:rPr>
          <w:rFonts w:ascii="仿宋" w:eastAsia="仿宋"/>
          <w:color w:val="auto"/>
          <w:spacing w:val="40"/>
          <w:sz w:val="30"/>
          <w:szCs w:val="30"/>
          <w:highlight w:val="none"/>
        </w:rPr>
      </w:pPr>
    </w:p>
    <w:p>
      <w:pPr>
        <w:spacing w:line="400" w:lineRule="exact"/>
        <w:ind w:right="-110"/>
        <w:rPr>
          <w:rFonts w:ascii="仿宋" w:eastAsia="仿宋"/>
          <w:color w:val="auto"/>
          <w:spacing w:val="40"/>
          <w:sz w:val="30"/>
          <w:szCs w:val="30"/>
          <w:highlight w:val="none"/>
        </w:rPr>
      </w:pPr>
    </w:p>
    <w:p>
      <w:pPr>
        <w:rPr>
          <w:rFonts w:hint="eastAsia" w:ascii="仿宋_GB2312" w:eastAsia="仿宋_GB2312"/>
          <w:color w:val="auto"/>
          <w:kern w:val="2"/>
          <w:sz w:val="24"/>
          <w:szCs w:val="20"/>
          <w:highlight w:val="none"/>
          <w:u w:val="none"/>
        </w:rPr>
      </w:pPr>
    </w:p>
    <w:p>
      <w:pPr>
        <w:snapToGrid w:val="0"/>
        <w:spacing w:before="156" w:beforeLines="50" w:after="50"/>
        <w:jc w:val="left"/>
        <w:rPr>
          <w:rFonts w:ascii="仿宋" w:eastAsia="仿宋"/>
          <w:b/>
          <w:bCs/>
          <w:color w:val="auto"/>
          <w:sz w:val="30"/>
          <w:szCs w:val="30"/>
          <w:highlight w:val="none"/>
        </w:rPr>
      </w:pPr>
      <w:r>
        <w:rPr>
          <w:rFonts w:hint="eastAsia" w:ascii="仿宋" w:eastAsia="仿宋"/>
          <w:b/>
          <w:bCs/>
          <w:color w:val="auto"/>
          <w:sz w:val="30"/>
          <w:szCs w:val="30"/>
          <w:highlight w:val="none"/>
        </w:rPr>
        <w:t>附件</w:t>
      </w:r>
      <w:r>
        <w:rPr>
          <w:rFonts w:ascii="仿宋" w:eastAsia="仿宋"/>
          <w:b/>
          <w:bCs/>
          <w:color w:val="auto"/>
          <w:sz w:val="30"/>
          <w:szCs w:val="30"/>
          <w:highlight w:val="none"/>
        </w:rPr>
        <w:t>17</w:t>
      </w:r>
      <w:r>
        <w:rPr>
          <w:rFonts w:hint="eastAsia" w:ascii="仿宋" w:eastAsia="仿宋"/>
          <w:b/>
          <w:bCs/>
          <w:color w:val="auto"/>
          <w:sz w:val="30"/>
          <w:szCs w:val="30"/>
          <w:highlight w:val="none"/>
        </w:rPr>
        <w:t>：</w:t>
      </w:r>
      <w:r>
        <w:rPr>
          <w:rFonts w:ascii="仿宋" w:eastAsia="仿宋"/>
          <w:b/>
          <w:bCs/>
          <w:color w:val="auto"/>
          <w:sz w:val="30"/>
          <w:szCs w:val="30"/>
          <w:highlight w:val="none"/>
        </w:rPr>
        <w:t>报价文件目录</w:t>
      </w:r>
    </w:p>
    <w:p>
      <w:pPr>
        <w:snapToGrid w:val="0"/>
        <w:spacing w:before="156" w:beforeLines="50" w:after="50"/>
        <w:jc w:val="left"/>
        <w:rPr>
          <w:rFonts w:hint="eastAsia" w:ascii="仿宋" w:eastAsia="仿宋"/>
          <w:color w:val="auto"/>
          <w:sz w:val="30"/>
          <w:szCs w:val="30"/>
          <w:highlight w:val="none"/>
        </w:rPr>
      </w:pPr>
    </w:p>
    <w:p>
      <w:pPr>
        <w:pStyle w:val="40"/>
        <w:spacing w:line="360" w:lineRule="auto"/>
        <w:ind w:firstLine="0" w:firstLineChars="0"/>
        <w:jc w:val="center"/>
        <w:rPr>
          <w:rFonts w:hint="eastAsia" w:ascii="仿宋" w:eastAsia="仿宋" w:cs="仿宋_GB2312"/>
          <w:color w:val="auto"/>
          <w:highlight w:val="none"/>
        </w:rPr>
      </w:pPr>
      <w:bookmarkStart w:id="52" w:name="_Toc64369825"/>
      <w:r>
        <w:rPr>
          <w:rFonts w:hint="eastAsia" w:ascii="仿宋" w:eastAsia="仿宋" w:cs="仿宋_GB2312"/>
          <w:color w:val="auto"/>
          <w:highlight w:val="none"/>
        </w:rPr>
        <w:t>目 录</w:t>
      </w:r>
      <w:bookmarkEnd w:id="52"/>
    </w:p>
    <w:p>
      <w:pPr>
        <w:pStyle w:val="40"/>
        <w:spacing w:line="360" w:lineRule="auto"/>
        <w:ind w:firstLine="0" w:firstLineChars="0"/>
        <w:jc w:val="left"/>
        <w:rPr>
          <w:rFonts w:hint="eastAsia" w:ascii="仿宋" w:eastAsia="仿宋" w:cs="仿宋_GB2312"/>
          <w:color w:val="auto"/>
          <w:highlight w:val="none"/>
        </w:rPr>
      </w:pPr>
      <w:r>
        <w:rPr>
          <w:rFonts w:hint="eastAsia" w:ascii="仿宋" w:eastAsia="仿宋" w:cs="仿宋_GB2312"/>
          <w:color w:val="auto"/>
          <w:highlight w:val="none"/>
        </w:rPr>
        <w:t>1.开标一览表 …………………………………………………………………（页码）</w:t>
      </w:r>
    </w:p>
    <w:p>
      <w:pPr>
        <w:pStyle w:val="40"/>
        <w:spacing w:line="360" w:lineRule="auto"/>
        <w:ind w:firstLine="0" w:firstLineChars="0"/>
        <w:jc w:val="left"/>
        <w:rPr>
          <w:rFonts w:hint="eastAsia" w:ascii="仿宋" w:eastAsia="仿宋" w:cs="仿宋_GB2312"/>
          <w:color w:val="auto"/>
          <w:highlight w:val="none"/>
        </w:rPr>
      </w:pPr>
      <w:r>
        <w:rPr>
          <w:rFonts w:ascii="仿宋" w:eastAsia="仿宋" w:cs="仿宋_GB2312"/>
          <w:color w:val="auto"/>
          <w:highlight w:val="none"/>
        </w:rPr>
        <w:t>2</w:t>
      </w:r>
      <w:r>
        <w:rPr>
          <w:rFonts w:hint="eastAsia" w:ascii="仿宋" w:eastAsia="仿宋" w:cs="仿宋_GB2312"/>
          <w:color w:val="auto"/>
          <w:highlight w:val="none"/>
        </w:rPr>
        <w:t>.中小企业声明函（如有）…………………………………………………（页码）</w:t>
      </w:r>
    </w:p>
    <w:p>
      <w:pPr>
        <w:pStyle w:val="40"/>
        <w:spacing w:line="360" w:lineRule="auto"/>
        <w:ind w:firstLine="0" w:firstLineChars="0"/>
        <w:jc w:val="left"/>
        <w:rPr>
          <w:rFonts w:hint="eastAsia" w:ascii="仿宋" w:eastAsia="仿宋" w:cs="仿宋_GB2312"/>
          <w:color w:val="auto"/>
          <w:highlight w:val="none"/>
        </w:rPr>
      </w:pPr>
      <w:r>
        <w:rPr>
          <w:rFonts w:ascii="仿宋" w:eastAsia="仿宋" w:cs="仿宋_GB2312"/>
          <w:color w:val="auto"/>
          <w:highlight w:val="none"/>
        </w:rPr>
        <w:t>3</w:t>
      </w:r>
      <w:r>
        <w:rPr>
          <w:rFonts w:hint="eastAsia" w:ascii="仿宋" w:eastAsia="仿宋" w:cs="仿宋_GB2312"/>
          <w:color w:val="auto"/>
          <w:highlight w:val="none"/>
        </w:rPr>
        <w:t>.残疾人福利性单位声明函（如有）………………………………………（页码）</w:t>
      </w:r>
    </w:p>
    <w:p>
      <w:pPr>
        <w:pStyle w:val="40"/>
        <w:spacing w:line="360" w:lineRule="auto"/>
        <w:ind w:firstLine="0" w:firstLineChars="0"/>
        <w:jc w:val="left"/>
        <w:rPr>
          <w:rFonts w:hint="eastAsia" w:ascii="仿宋" w:eastAsia="仿宋" w:cs="仿宋_GB2312"/>
          <w:color w:val="auto"/>
          <w:highlight w:val="none"/>
        </w:rPr>
      </w:pPr>
      <w:r>
        <w:rPr>
          <w:rFonts w:ascii="仿宋" w:eastAsia="仿宋" w:cs="仿宋_GB2312"/>
          <w:color w:val="auto"/>
          <w:highlight w:val="none"/>
        </w:rPr>
        <w:t>4</w:t>
      </w:r>
      <w:r>
        <w:rPr>
          <w:rFonts w:hint="eastAsia" w:ascii="仿宋" w:eastAsia="仿宋" w:cs="仿宋_GB2312"/>
          <w:color w:val="auto"/>
          <w:highlight w:val="none"/>
        </w:rPr>
        <w:t>.关于报价的其他说明（如有，自拟）……………………………………（页码）</w:t>
      </w:r>
    </w:p>
    <w:p>
      <w:pPr>
        <w:pStyle w:val="40"/>
        <w:spacing w:line="360" w:lineRule="auto"/>
        <w:ind w:firstLine="0" w:firstLineChars="0"/>
        <w:jc w:val="left"/>
        <w:rPr>
          <w:rFonts w:hint="eastAsia" w:cs="仿宋_GB2312"/>
          <w:color w:val="auto"/>
          <w:highlight w:val="none"/>
        </w:rPr>
      </w:pPr>
    </w:p>
    <w:p>
      <w:pPr>
        <w:snapToGrid w:val="0"/>
        <w:spacing w:before="50" w:after="50"/>
        <w:jc w:val="left"/>
        <w:rPr>
          <w:rFonts w:ascii="仿宋" w:eastAsia="仿宋"/>
          <w:b/>
          <w:color w:val="auto"/>
          <w:sz w:val="36"/>
          <w:szCs w:val="36"/>
          <w:highlight w:val="none"/>
        </w:rPr>
      </w:pPr>
    </w:p>
    <w:p>
      <w:pPr>
        <w:snapToGrid w:val="0"/>
        <w:spacing w:before="50" w:after="50"/>
        <w:jc w:val="left"/>
        <w:rPr>
          <w:rFonts w:ascii="仿宋" w:eastAsia="仿宋"/>
          <w:b/>
          <w:color w:val="auto"/>
          <w:sz w:val="36"/>
          <w:szCs w:val="36"/>
          <w:highlight w:val="none"/>
        </w:rPr>
      </w:pPr>
      <w:r>
        <w:rPr>
          <w:rFonts w:hint="eastAsia" w:ascii="仿宋" w:eastAsia="仿宋"/>
          <w:b/>
          <w:bCs/>
          <w:color w:val="auto"/>
          <w:sz w:val="32"/>
          <w:szCs w:val="32"/>
          <w:highlight w:val="none"/>
          <w:u w:val="single"/>
        </w:rPr>
        <w:t>注：“</w:t>
      </w:r>
      <w:r>
        <w:rPr>
          <w:rFonts w:hint="eastAsia" w:ascii="仿宋" w:eastAsia="仿宋"/>
          <w:b/>
          <w:bCs/>
          <w:color w:val="auto"/>
          <w:sz w:val="32"/>
          <w:szCs w:val="32"/>
          <w:highlight w:val="none"/>
          <w:u w:val="single"/>
          <w:lang w:val="en-US" w:eastAsia="zh-CN"/>
        </w:rPr>
        <w:t>开标一览表</w:t>
      </w:r>
      <w:r>
        <w:rPr>
          <w:rFonts w:hint="eastAsia" w:ascii="仿宋" w:eastAsia="仿宋"/>
          <w:b/>
          <w:bCs/>
          <w:color w:val="auto"/>
          <w:sz w:val="32"/>
          <w:szCs w:val="32"/>
          <w:highlight w:val="none"/>
          <w:u w:val="single"/>
        </w:rPr>
        <w:t>”按</w:t>
      </w:r>
      <w:r>
        <w:rPr>
          <w:rFonts w:ascii="仿宋" w:eastAsia="仿宋"/>
          <w:b/>
          <w:bCs/>
          <w:color w:val="auto"/>
          <w:sz w:val="32"/>
          <w:szCs w:val="32"/>
          <w:highlight w:val="none"/>
          <w:u w:val="single"/>
        </w:rPr>
        <w:t>采购</w:t>
      </w:r>
      <w:r>
        <w:rPr>
          <w:rFonts w:hint="eastAsia" w:ascii="仿宋" w:eastAsia="仿宋"/>
          <w:b/>
          <w:bCs/>
          <w:color w:val="auto"/>
          <w:sz w:val="32"/>
          <w:szCs w:val="32"/>
          <w:highlight w:val="none"/>
          <w:u w:val="single"/>
        </w:rPr>
        <w:t>文件规定</w:t>
      </w:r>
      <w:r>
        <w:rPr>
          <w:rFonts w:ascii="仿宋" w:eastAsia="仿宋"/>
          <w:b/>
          <w:bCs/>
          <w:color w:val="auto"/>
          <w:sz w:val="32"/>
          <w:szCs w:val="32"/>
          <w:highlight w:val="none"/>
          <w:u w:val="single"/>
        </w:rPr>
        <w:t>的内容</w:t>
      </w:r>
      <w:r>
        <w:rPr>
          <w:rFonts w:hint="eastAsia" w:ascii="仿宋" w:eastAsia="仿宋"/>
          <w:b/>
          <w:bCs/>
          <w:color w:val="auto"/>
          <w:sz w:val="32"/>
          <w:szCs w:val="32"/>
          <w:highlight w:val="none"/>
          <w:u w:val="single"/>
        </w:rPr>
        <w:t>填写，</w:t>
      </w:r>
      <w:r>
        <w:rPr>
          <w:rFonts w:ascii="仿宋" w:eastAsia="仿宋"/>
          <w:b/>
          <w:bCs/>
          <w:color w:val="auto"/>
          <w:sz w:val="32"/>
          <w:szCs w:val="32"/>
          <w:highlight w:val="none"/>
          <w:u w:val="single"/>
        </w:rPr>
        <w:t>内容有实质性偏离的作</w:t>
      </w:r>
      <w:r>
        <w:rPr>
          <w:rFonts w:hint="eastAsia" w:ascii="仿宋" w:eastAsia="仿宋"/>
          <w:b/>
          <w:bCs/>
          <w:color w:val="auto"/>
          <w:sz w:val="32"/>
          <w:szCs w:val="32"/>
          <w:highlight w:val="none"/>
          <w:u w:val="single"/>
        </w:rPr>
        <w:t>无效</w:t>
      </w:r>
      <w:r>
        <w:rPr>
          <w:rFonts w:ascii="仿宋" w:eastAsia="仿宋"/>
          <w:b/>
          <w:bCs/>
          <w:color w:val="auto"/>
          <w:sz w:val="32"/>
          <w:szCs w:val="32"/>
          <w:highlight w:val="none"/>
          <w:u w:val="single"/>
        </w:rPr>
        <w:t>投标处理。</w:t>
      </w:r>
    </w:p>
    <w:p>
      <w:pPr>
        <w:snapToGrid w:val="0"/>
        <w:spacing w:before="50" w:after="50"/>
        <w:jc w:val="left"/>
        <w:rPr>
          <w:rFonts w:ascii="仿宋" w:eastAsia="仿宋"/>
          <w:b/>
          <w:color w:val="auto"/>
          <w:sz w:val="36"/>
          <w:szCs w:val="36"/>
          <w:highlight w:val="none"/>
        </w:rPr>
      </w:pPr>
    </w:p>
    <w:p>
      <w:pPr>
        <w:snapToGrid w:val="0"/>
        <w:spacing w:before="50" w:after="50"/>
        <w:jc w:val="left"/>
        <w:rPr>
          <w:rFonts w:ascii="仿宋" w:eastAsia="仿宋"/>
          <w:b/>
          <w:color w:val="auto"/>
          <w:sz w:val="36"/>
          <w:szCs w:val="36"/>
          <w:highlight w:val="none"/>
        </w:rPr>
      </w:pPr>
    </w:p>
    <w:p>
      <w:pPr>
        <w:snapToGrid w:val="0"/>
        <w:spacing w:before="50" w:after="50"/>
        <w:jc w:val="left"/>
        <w:rPr>
          <w:rFonts w:ascii="仿宋" w:eastAsia="仿宋"/>
          <w:b/>
          <w:color w:val="auto"/>
          <w:sz w:val="36"/>
          <w:szCs w:val="36"/>
          <w:highlight w:val="none"/>
        </w:rPr>
      </w:pPr>
    </w:p>
    <w:p>
      <w:pPr>
        <w:snapToGrid w:val="0"/>
        <w:spacing w:before="50" w:after="50"/>
        <w:jc w:val="left"/>
        <w:rPr>
          <w:rFonts w:ascii="仿宋" w:eastAsia="仿宋"/>
          <w:b/>
          <w:color w:val="auto"/>
          <w:sz w:val="36"/>
          <w:szCs w:val="36"/>
          <w:highlight w:val="none"/>
        </w:rPr>
      </w:pPr>
    </w:p>
    <w:p>
      <w:pPr>
        <w:snapToGrid w:val="0"/>
        <w:spacing w:before="50" w:after="50"/>
        <w:jc w:val="left"/>
        <w:rPr>
          <w:rFonts w:ascii="仿宋" w:eastAsia="仿宋"/>
          <w:b/>
          <w:color w:val="auto"/>
          <w:sz w:val="36"/>
          <w:szCs w:val="36"/>
          <w:highlight w:val="none"/>
        </w:rPr>
      </w:pPr>
    </w:p>
    <w:p>
      <w:pPr>
        <w:snapToGrid w:val="0"/>
        <w:spacing w:before="50" w:after="50"/>
        <w:jc w:val="left"/>
        <w:rPr>
          <w:rFonts w:ascii="仿宋" w:eastAsia="仿宋"/>
          <w:b/>
          <w:color w:val="auto"/>
          <w:sz w:val="36"/>
          <w:szCs w:val="36"/>
          <w:highlight w:val="none"/>
        </w:rPr>
      </w:pPr>
    </w:p>
    <w:p>
      <w:pPr>
        <w:snapToGrid w:val="0"/>
        <w:spacing w:before="50" w:after="50"/>
        <w:jc w:val="left"/>
        <w:rPr>
          <w:rFonts w:ascii="仿宋" w:eastAsia="仿宋"/>
          <w:b/>
          <w:color w:val="auto"/>
          <w:sz w:val="36"/>
          <w:szCs w:val="36"/>
          <w:highlight w:val="none"/>
        </w:rPr>
      </w:pPr>
    </w:p>
    <w:p>
      <w:pPr>
        <w:snapToGrid w:val="0"/>
        <w:spacing w:before="50" w:after="50"/>
        <w:jc w:val="left"/>
        <w:rPr>
          <w:rFonts w:ascii="仿宋" w:eastAsia="仿宋"/>
          <w:b/>
          <w:color w:val="auto"/>
          <w:sz w:val="36"/>
          <w:szCs w:val="36"/>
          <w:highlight w:val="none"/>
        </w:rPr>
      </w:pPr>
    </w:p>
    <w:p>
      <w:pPr>
        <w:snapToGrid w:val="0"/>
        <w:spacing w:before="50" w:after="50"/>
        <w:jc w:val="left"/>
        <w:rPr>
          <w:rFonts w:ascii="仿宋" w:eastAsia="仿宋"/>
          <w:b/>
          <w:color w:val="auto"/>
          <w:sz w:val="36"/>
          <w:szCs w:val="36"/>
          <w:highlight w:val="none"/>
        </w:rPr>
      </w:pPr>
    </w:p>
    <w:p>
      <w:pPr>
        <w:snapToGrid w:val="0"/>
        <w:spacing w:before="50" w:after="50"/>
        <w:jc w:val="left"/>
        <w:rPr>
          <w:rFonts w:ascii="仿宋" w:eastAsia="仿宋"/>
          <w:b/>
          <w:color w:val="auto"/>
          <w:sz w:val="36"/>
          <w:szCs w:val="36"/>
          <w:highlight w:val="none"/>
        </w:rPr>
      </w:pPr>
    </w:p>
    <w:p>
      <w:pPr>
        <w:rPr>
          <w:rFonts w:ascii="仿宋" w:eastAsia="仿宋"/>
          <w:b/>
          <w:color w:val="auto"/>
          <w:sz w:val="36"/>
          <w:szCs w:val="36"/>
          <w:highlight w:val="none"/>
        </w:rPr>
      </w:pPr>
      <w:r>
        <w:rPr>
          <w:rFonts w:ascii="仿宋" w:eastAsia="仿宋"/>
          <w:b/>
          <w:color w:val="auto"/>
          <w:sz w:val="36"/>
          <w:szCs w:val="36"/>
          <w:highlight w:val="none"/>
        </w:rPr>
        <w:br w:type="page"/>
      </w:r>
    </w:p>
    <w:p>
      <w:pPr>
        <w:snapToGrid w:val="0"/>
        <w:spacing w:before="50" w:after="50"/>
        <w:jc w:val="left"/>
        <w:rPr>
          <w:rFonts w:ascii="仿宋" w:eastAsia="仿宋"/>
          <w:b/>
          <w:color w:val="auto"/>
          <w:sz w:val="36"/>
          <w:szCs w:val="36"/>
          <w:highlight w:val="none"/>
        </w:rPr>
        <w:sectPr>
          <w:footerReference r:id="rId10" w:type="default"/>
          <w:pgSz w:w="11907" w:h="16840"/>
          <w:pgMar w:top="1440" w:right="1236" w:bottom="1440" w:left="1803" w:header="851" w:footer="992" w:gutter="0"/>
          <w:pgBorders>
            <w:top w:val="none" w:sz="0" w:space="0"/>
            <w:left w:val="none" w:sz="0" w:space="0"/>
            <w:bottom w:val="none" w:sz="0" w:space="0"/>
            <w:right w:val="none" w:sz="0" w:space="0"/>
          </w:pgBorders>
          <w:cols w:space="0" w:num="1"/>
          <w:rtlGutter w:val="0"/>
          <w:docGrid w:type="lines" w:linePitch="316" w:charSpace="0"/>
        </w:sectPr>
      </w:pPr>
    </w:p>
    <w:p>
      <w:pPr>
        <w:snapToGrid w:val="0"/>
        <w:spacing w:before="156" w:beforeLines="50" w:after="50"/>
        <w:jc w:val="left"/>
        <w:rPr>
          <w:rFonts w:hint="eastAsia" w:ascii="仿宋" w:eastAsia="仿宋"/>
          <w:b/>
          <w:bCs/>
          <w:color w:val="auto"/>
          <w:sz w:val="30"/>
          <w:szCs w:val="30"/>
          <w:highlight w:val="none"/>
        </w:rPr>
      </w:pPr>
      <w:r>
        <w:rPr>
          <w:rFonts w:hint="eastAsia" w:ascii="仿宋" w:eastAsia="仿宋"/>
          <w:b/>
          <w:bCs/>
          <w:color w:val="auto"/>
          <w:sz w:val="30"/>
          <w:szCs w:val="30"/>
          <w:highlight w:val="none"/>
        </w:rPr>
        <w:t>附件1</w:t>
      </w:r>
      <w:r>
        <w:rPr>
          <w:rFonts w:hint="eastAsia" w:ascii="仿宋" w:eastAsia="仿宋"/>
          <w:b/>
          <w:bCs/>
          <w:color w:val="auto"/>
          <w:sz w:val="30"/>
          <w:szCs w:val="30"/>
          <w:highlight w:val="none"/>
          <w:lang w:val="en-US" w:eastAsia="zh-CN"/>
        </w:rPr>
        <w:t>8</w:t>
      </w:r>
      <w:r>
        <w:rPr>
          <w:rFonts w:hint="eastAsia" w:ascii="仿宋" w:eastAsia="仿宋"/>
          <w:b/>
          <w:bCs/>
          <w:color w:val="auto"/>
          <w:sz w:val="30"/>
          <w:szCs w:val="30"/>
          <w:highlight w:val="none"/>
        </w:rPr>
        <w:t>：</w:t>
      </w:r>
    </w:p>
    <w:p>
      <w:pPr>
        <w:snapToGrid w:val="0"/>
        <w:spacing w:before="50" w:after="50"/>
        <w:jc w:val="center"/>
        <w:rPr>
          <w:rFonts w:ascii="仿宋" w:eastAsia="仿宋"/>
          <w:b/>
          <w:color w:val="auto"/>
          <w:sz w:val="36"/>
          <w:szCs w:val="36"/>
          <w:highlight w:val="none"/>
        </w:rPr>
      </w:pPr>
      <w:r>
        <w:rPr>
          <w:rFonts w:ascii="仿宋" w:eastAsia="仿宋"/>
          <w:b/>
          <w:color w:val="auto"/>
          <w:sz w:val="36"/>
          <w:szCs w:val="36"/>
          <w:highlight w:val="none"/>
        </w:rPr>
        <w:t>开标一览表</w:t>
      </w:r>
    </w:p>
    <w:p>
      <w:pPr>
        <w:spacing w:line="400" w:lineRule="exact"/>
        <w:rPr>
          <w:rFonts w:ascii="仿宋_GB2312" w:eastAsia="仿宋_GB2312"/>
          <w:color w:val="auto"/>
          <w:sz w:val="24"/>
          <w:highlight w:val="none"/>
        </w:rPr>
      </w:pPr>
      <w:r>
        <w:rPr>
          <w:rFonts w:hint="eastAsia" w:ascii="仿宋_GB2312" w:eastAsia="仿宋_GB2312"/>
          <w:color w:val="auto"/>
          <w:sz w:val="24"/>
          <w:highlight w:val="none"/>
        </w:rPr>
        <w:t>供应商名称：</w:t>
      </w:r>
      <w:r>
        <w:rPr>
          <w:rFonts w:hint="eastAsia" w:ascii="仿宋_GB2312" w:eastAsia="仿宋_GB2312"/>
          <w:color w:val="auto"/>
          <w:sz w:val="24"/>
          <w:highlight w:val="none"/>
          <w:u w:val="single"/>
        </w:rPr>
        <w:t xml:space="preserve">                                    </w:t>
      </w:r>
      <w:r>
        <w:rPr>
          <w:rFonts w:ascii="仿宋_GB2312" w:eastAsia="仿宋_GB2312"/>
          <w:color w:val="auto"/>
          <w:sz w:val="24"/>
          <w:highlight w:val="none"/>
        </w:rPr>
        <w:t>供应商地址：</w:t>
      </w:r>
      <w:r>
        <w:rPr>
          <w:rFonts w:ascii="仿宋_GB2312" w:eastAsia="仿宋_GB2312"/>
          <w:color w:val="auto"/>
          <w:sz w:val="24"/>
          <w:highlight w:val="none"/>
          <w:u w:val="single"/>
        </w:rPr>
        <w:t xml:space="preserve">                                    </w:t>
      </w:r>
    </w:p>
    <w:p>
      <w:pPr>
        <w:snapToGrid w:val="0"/>
        <w:spacing w:line="400" w:lineRule="exact"/>
        <w:rPr>
          <w:rFonts w:ascii="仿宋_GB2312" w:eastAsia="仿宋_GB2312"/>
          <w:color w:val="auto"/>
          <w:sz w:val="24"/>
          <w:highlight w:val="none"/>
          <w:u w:val="single"/>
        </w:rPr>
      </w:pPr>
      <w:r>
        <w:rPr>
          <w:rFonts w:ascii="仿宋_GB2312" w:eastAsia="仿宋_GB2312"/>
          <w:color w:val="auto"/>
          <w:sz w:val="24"/>
          <w:highlight w:val="none"/>
        </w:rPr>
        <w:t>项目编号</w:t>
      </w:r>
      <w:r>
        <w:rPr>
          <w:rFonts w:hint="eastAsia" w:ascii="仿宋_GB2312" w:eastAsia="仿宋_GB2312"/>
          <w:color w:val="auto"/>
          <w:sz w:val="24"/>
          <w:highlight w:val="none"/>
        </w:rPr>
        <w:t>：</w:t>
      </w:r>
      <w:r>
        <w:rPr>
          <w:rFonts w:hint="eastAsia" w:ascii="仿宋_GB2312" w:eastAsia="仿宋_GB2312"/>
          <w:color w:val="auto"/>
          <w:sz w:val="24"/>
          <w:highlight w:val="none"/>
          <w:u w:val="single"/>
        </w:rPr>
        <w:t xml:space="preserve">                                      </w:t>
      </w:r>
      <w:r>
        <w:rPr>
          <w:rFonts w:ascii="仿宋_GB2312" w:eastAsia="仿宋_GB2312"/>
          <w:color w:val="auto"/>
          <w:sz w:val="24"/>
          <w:highlight w:val="none"/>
        </w:rPr>
        <w:t>标段</w:t>
      </w:r>
      <w:r>
        <w:rPr>
          <w:rFonts w:hint="eastAsia" w:ascii="仿宋_GB2312" w:eastAsia="仿宋_GB2312"/>
          <w:color w:val="auto"/>
          <w:sz w:val="24"/>
          <w:highlight w:val="none"/>
        </w:rPr>
        <w:t>编号：</w:t>
      </w:r>
      <w:r>
        <w:rPr>
          <w:rFonts w:hint="eastAsia" w:ascii="仿宋_GB2312" w:eastAsia="仿宋_GB2312"/>
          <w:color w:val="auto"/>
          <w:sz w:val="24"/>
          <w:highlight w:val="none"/>
          <w:u w:val="single"/>
        </w:rPr>
        <w:t xml:space="preserve">                                      </w:t>
      </w:r>
    </w:p>
    <w:tbl>
      <w:tblPr>
        <w:tblStyle w:val="28"/>
        <w:tblW w:w="137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63"/>
        <w:gridCol w:w="1587"/>
        <w:gridCol w:w="1626"/>
        <w:gridCol w:w="1266"/>
        <w:gridCol w:w="1222"/>
        <w:gridCol w:w="1448"/>
        <w:gridCol w:w="1368"/>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817"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序号</w:t>
            </w:r>
          </w:p>
        </w:tc>
        <w:tc>
          <w:tcPr>
            <w:tcW w:w="1763"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货物名称或其他服务报价项</w:t>
            </w:r>
          </w:p>
        </w:tc>
        <w:tc>
          <w:tcPr>
            <w:tcW w:w="1587"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品牌</w:t>
            </w:r>
          </w:p>
        </w:tc>
        <w:tc>
          <w:tcPr>
            <w:tcW w:w="1626"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制造商</w:t>
            </w:r>
          </w:p>
        </w:tc>
        <w:tc>
          <w:tcPr>
            <w:tcW w:w="1266"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型号</w:t>
            </w:r>
          </w:p>
        </w:tc>
        <w:tc>
          <w:tcPr>
            <w:tcW w:w="1222"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规格</w:t>
            </w:r>
          </w:p>
        </w:tc>
        <w:tc>
          <w:tcPr>
            <w:tcW w:w="1448"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单价</w:t>
            </w:r>
          </w:p>
        </w:tc>
        <w:tc>
          <w:tcPr>
            <w:tcW w:w="1368"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数量</w:t>
            </w:r>
          </w:p>
        </w:tc>
        <w:tc>
          <w:tcPr>
            <w:tcW w:w="2632"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金额</w:t>
            </w:r>
          </w:p>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17"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1</w:t>
            </w:r>
          </w:p>
        </w:tc>
        <w:tc>
          <w:tcPr>
            <w:tcW w:w="1763"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587"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626"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448"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368"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2632"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17"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2</w:t>
            </w:r>
          </w:p>
        </w:tc>
        <w:tc>
          <w:tcPr>
            <w:tcW w:w="1763"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587"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626"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448"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368"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2632"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17" w:type="dxa"/>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hint="eastAsia" w:ascii="仿宋" w:eastAsia="仿宋" w:cs="仿宋_GB2312"/>
                <w:color w:val="auto"/>
                <w:sz w:val="28"/>
                <w:szCs w:val="28"/>
                <w:highlight w:val="none"/>
              </w:rPr>
              <w:t>…</w:t>
            </w:r>
          </w:p>
        </w:tc>
        <w:tc>
          <w:tcPr>
            <w:tcW w:w="1763"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587"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626"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448"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1368"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c>
          <w:tcPr>
            <w:tcW w:w="2632" w:type="dxa"/>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580" w:type="dxa"/>
            <w:gridSpan w:val="2"/>
            <w:vMerge w:val="restart"/>
            <w:tcBorders>
              <w:top w:val="single" w:color="auto" w:sz="4" w:space="0"/>
              <w:left w:val="single" w:color="auto" w:sz="4" w:space="0"/>
              <w:bottom w:val="single" w:color="auto" w:sz="4" w:space="0"/>
              <w:right w:val="single" w:color="auto" w:sz="4" w:space="0"/>
            </w:tcBorders>
            <w:vAlign w:val="center"/>
          </w:tcPr>
          <w:p>
            <w:pPr>
              <w:pBdr>
                <w:top w:val="none" w:color="auto" w:sz="0" w:space="0"/>
                <w:left w:val="none" w:color="auto" w:sz="0" w:space="0"/>
                <w:bottom w:val="none" w:color="auto" w:sz="0" w:space="0"/>
                <w:right w:val="none" w:color="auto" w:sz="0" w:space="0"/>
              </w:pBdr>
              <w:snapToGrid w:val="0"/>
              <w:spacing w:before="50" w:after="50"/>
              <w:jc w:val="center"/>
              <w:rPr>
                <w:rFonts w:ascii="仿宋" w:eastAsia="仿宋"/>
                <w:b/>
                <w:color w:val="auto"/>
                <w:sz w:val="24"/>
                <w:szCs w:val="24"/>
                <w:highlight w:val="none"/>
              </w:rPr>
            </w:pPr>
            <w:r>
              <w:rPr>
                <w:rFonts w:ascii="仿宋" w:eastAsia="仿宋"/>
                <w:b/>
                <w:color w:val="auto"/>
                <w:sz w:val="24"/>
                <w:szCs w:val="24"/>
                <w:highlight w:val="none"/>
              </w:rPr>
              <w:t>投标报价</w:t>
            </w:r>
          </w:p>
        </w:tc>
        <w:tc>
          <w:tcPr>
            <w:tcW w:w="11149" w:type="dxa"/>
            <w:gridSpan w:val="7"/>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r>
              <w:rPr>
                <w:rFonts w:ascii="仿宋" w:eastAsia="仿宋"/>
                <w:b/>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580" w:type="dxa"/>
            <w:gridSpan w:val="2"/>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11149" w:type="dxa"/>
            <w:gridSpan w:val="7"/>
            <w:tcBorders>
              <w:top w:val="single" w:color="auto" w:sz="4" w:space="0"/>
              <w:left w:val="single" w:color="auto" w:sz="4" w:space="0"/>
              <w:bottom w:val="single" w:color="auto" w:sz="4" w:space="0"/>
              <w:right w:val="single" w:color="auto" w:sz="4" w:space="0"/>
            </w:tcBorders>
          </w:tcPr>
          <w:p>
            <w:pPr>
              <w:pBdr>
                <w:top w:val="none" w:color="auto" w:sz="0" w:space="0"/>
                <w:left w:val="none" w:color="auto" w:sz="0" w:space="0"/>
                <w:bottom w:val="none" w:color="auto" w:sz="0" w:space="0"/>
                <w:right w:val="none" w:color="auto" w:sz="0" w:space="0"/>
              </w:pBdr>
              <w:snapToGrid w:val="0"/>
              <w:spacing w:before="50" w:after="50"/>
              <w:jc w:val="left"/>
              <w:rPr>
                <w:rFonts w:ascii="仿宋" w:eastAsia="仿宋"/>
                <w:b/>
                <w:color w:val="auto"/>
                <w:sz w:val="24"/>
                <w:szCs w:val="24"/>
                <w:highlight w:val="none"/>
              </w:rPr>
            </w:pPr>
            <w:r>
              <w:rPr>
                <w:rFonts w:ascii="仿宋" w:eastAsia="仿宋"/>
                <w:b/>
                <w:color w:val="auto"/>
                <w:sz w:val="24"/>
                <w:szCs w:val="24"/>
                <w:highlight w:val="none"/>
              </w:rPr>
              <w:t>小写：</w:t>
            </w:r>
          </w:p>
        </w:tc>
      </w:tr>
    </w:tbl>
    <w:p>
      <w:pPr>
        <w:snapToGrid w:val="0"/>
        <w:jc w:val="left"/>
        <w:rPr>
          <w:rFonts w:ascii="仿宋_GB2312" w:eastAsia="仿宋_GB2312"/>
          <w:color w:val="auto"/>
          <w:sz w:val="24"/>
          <w:highlight w:val="none"/>
        </w:rPr>
      </w:pPr>
      <w:r>
        <w:rPr>
          <w:rFonts w:hint="eastAsia" w:ascii="仿宋_GB2312" w:eastAsia="仿宋_GB2312"/>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2.招标人不接受2个(含)以上的报价或方案，若供应商在此表中有2个（含）以上的报价或方案，其投标作无效投标处理。</w:t>
      </w:r>
    </w:p>
    <w:p>
      <w:pPr>
        <w:snapToGrid w:val="0"/>
        <w:ind w:left="480"/>
        <w:rPr>
          <w:rFonts w:ascii="仿宋_GB2312" w:eastAsia="仿宋_GB2312" w:cs="仿宋_GB2312"/>
          <w:color w:val="auto"/>
          <w:kern w:val="0"/>
          <w:sz w:val="24"/>
          <w:highlight w:val="none"/>
          <w:lang w:val="zh-CN"/>
        </w:rPr>
      </w:pPr>
      <w:r>
        <w:rPr>
          <w:rFonts w:ascii="仿宋_GB2312" w:eastAsia="仿宋_GB2312" w:cs="仿宋_GB2312"/>
          <w:color w:val="auto"/>
          <w:kern w:val="0"/>
          <w:sz w:val="24"/>
          <w:highlight w:val="none"/>
          <w:lang w:val="zh-CN"/>
        </w:rPr>
        <w:t>3</w:t>
      </w:r>
      <w:r>
        <w:rPr>
          <w:rFonts w:hint="eastAsia" w:ascii="仿宋_GB2312" w:eastAsia="仿宋_GB2312" w:cs="仿宋_GB2312"/>
          <w:color w:val="auto"/>
          <w:kern w:val="0"/>
          <w:sz w:val="24"/>
          <w:highlight w:val="none"/>
          <w:lang w:val="zh-CN"/>
        </w:rPr>
        <w:t>.有关本项目</w:t>
      </w:r>
      <w:r>
        <w:rPr>
          <w:rFonts w:ascii="仿宋_GB2312" w:eastAsia="仿宋_GB2312" w:cs="仿宋_GB2312"/>
          <w:color w:val="auto"/>
          <w:kern w:val="0"/>
          <w:sz w:val="24"/>
          <w:highlight w:val="none"/>
          <w:lang w:val="zh-CN"/>
        </w:rPr>
        <w:t>的招投标及项目</w:t>
      </w:r>
      <w:r>
        <w:rPr>
          <w:rFonts w:hint="eastAsia" w:ascii="仿宋_GB2312" w:eastAsia="仿宋_GB2312" w:cs="仿宋_GB2312"/>
          <w:color w:val="auto"/>
          <w:kern w:val="0"/>
          <w:sz w:val="24"/>
          <w:highlight w:val="none"/>
          <w:lang w:val="zh-CN"/>
        </w:rPr>
        <w:t>实施所涉及的一切费用均计入</w:t>
      </w:r>
      <w:r>
        <w:rPr>
          <w:rFonts w:ascii="仿宋_GB2312" w:eastAsia="仿宋_GB2312" w:cs="仿宋_GB2312"/>
          <w:color w:val="auto"/>
          <w:kern w:val="0"/>
          <w:sz w:val="24"/>
          <w:highlight w:val="none"/>
          <w:lang w:val="zh-CN"/>
        </w:rPr>
        <w:t>投标</w:t>
      </w:r>
      <w:r>
        <w:rPr>
          <w:rFonts w:hint="eastAsia" w:ascii="仿宋_GB2312" w:eastAsia="仿宋_GB2312" w:cs="仿宋_GB2312"/>
          <w:color w:val="auto"/>
          <w:kern w:val="0"/>
          <w:sz w:val="24"/>
          <w:highlight w:val="none"/>
          <w:lang w:val="zh-CN"/>
        </w:rPr>
        <w:t>报价</w:t>
      </w:r>
      <w:r>
        <w:rPr>
          <w:rFonts w:ascii="仿宋_GB2312" w:eastAsia="仿宋_GB2312" w:cs="仿宋_GB2312"/>
          <w:color w:val="auto"/>
          <w:kern w:val="0"/>
          <w:sz w:val="24"/>
          <w:highlight w:val="none"/>
          <w:lang w:val="zh-CN"/>
        </w:rPr>
        <w:t>。</w:t>
      </w:r>
    </w:p>
    <w:p>
      <w:pPr>
        <w:ind w:firstLine="482" w:firstLineChars="200"/>
        <w:rPr>
          <w:rFonts w:hint="eastAsia" w:ascii="仿宋" w:eastAsia="仿宋"/>
          <w:b/>
          <w:color w:val="auto"/>
          <w:kern w:val="0"/>
          <w:sz w:val="24"/>
          <w:highlight w:val="none"/>
          <w:u w:val="single"/>
          <w:lang w:val="zh-CN"/>
        </w:rPr>
      </w:pPr>
      <w:r>
        <w:rPr>
          <w:rFonts w:hint="eastAsia" w:ascii="仿宋" w:eastAsia="仿宋"/>
          <w:b/>
          <w:color w:val="auto"/>
          <w:sz w:val="24"/>
          <w:highlight w:val="none"/>
          <w:u w:val="single"/>
        </w:rPr>
        <w:t>4、</w:t>
      </w:r>
      <w:r>
        <w:rPr>
          <w:rFonts w:hint="eastAsia" w:ascii="仿宋" w:eastAsia="仿宋"/>
          <w:b/>
          <w:color w:val="auto"/>
          <w:kern w:val="0"/>
          <w:sz w:val="24"/>
          <w:highlight w:val="none"/>
          <w:u w:val="single"/>
          <w:lang w:val="zh-CN"/>
        </w:rPr>
        <w:t>特别提示：采购机构将在中标公告中公布中标人的《开标一览表》，接受社会监督。</w:t>
      </w:r>
    </w:p>
    <w:p>
      <w:pPr>
        <w:ind w:firstLine="482" w:firstLineChars="200"/>
        <w:rPr>
          <w:rFonts w:ascii="仿宋_GB2312" w:eastAsia="仿宋_GB2312"/>
          <w:b/>
          <w:color w:val="auto"/>
          <w:kern w:val="0"/>
          <w:sz w:val="24"/>
          <w:highlight w:val="none"/>
          <w:u w:val="single"/>
          <w:lang w:val="zh-CN"/>
        </w:rPr>
      </w:pPr>
    </w:p>
    <w:p>
      <w:pPr>
        <w:snapToGrid w:val="0"/>
        <w:ind w:firstLine="480" w:firstLineChars="200"/>
        <w:jc w:val="left"/>
        <w:rPr>
          <w:rFonts w:hint="eastAsia" w:ascii="仿宋_GB2312" w:eastAsia="仿宋_GB2312"/>
          <w:color w:val="auto"/>
          <w:sz w:val="24"/>
          <w:highlight w:val="none"/>
        </w:rPr>
      </w:pPr>
      <w:bookmarkStart w:id="53" w:name="_Toc64369826"/>
      <w:r>
        <w:rPr>
          <w:rFonts w:hint="eastAsia" w:ascii="仿宋_GB2312" w:eastAsia="仿宋_GB2312"/>
          <w:color w:val="auto"/>
          <w:sz w:val="24"/>
          <w:highlight w:val="none"/>
        </w:rPr>
        <w:t xml:space="preserve">法定代表人或其授权代表签字（或盖章）：            </w:t>
      </w:r>
      <w:bookmarkEnd w:id="53"/>
    </w:p>
    <w:p>
      <w:pPr>
        <w:spacing w:line="360" w:lineRule="auto"/>
        <w:jc w:val="left"/>
        <w:outlineLvl w:val="0"/>
        <w:rPr>
          <w:rFonts w:ascii="仿宋_GB2312" w:eastAsia="仿宋_GB2312"/>
          <w:color w:val="auto"/>
          <w:sz w:val="24"/>
          <w:highlight w:val="none"/>
        </w:rPr>
      </w:pPr>
    </w:p>
    <w:p>
      <w:pPr>
        <w:snapToGrid w:val="0"/>
        <w:ind w:firstLine="480" w:firstLineChars="200"/>
        <w:jc w:val="left"/>
        <w:rPr>
          <w:rFonts w:hint="eastAsia" w:ascii="仿宋_GB2312" w:eastAsia="仿宋_GB2312"/>
          <w:color w:val="auto"/>
          <w:sz w:val="24"/>
          <w:highlight w:val="none"/>
        </w:rPr>
      </w:pPr>
      <w:bookmarkStart w:id="54" w:name="_Toc64369827"/>
      <w:r>
        <w:rPr>
          <w:rFonts w:hint="eastAsia" w:ascii="仿宋_GB2312" w:eastAsia="仿宋_GB2312"/>
          <w:color w:val="auto"/>
          <w:sz w:val="24"/>
          <w:highlight w:val="none"/>
        </w:rPr>
        <w:t>日期：    年   月   日</w:t>
      </w:r>
      <w:bookmarkEnd w:id="54"/>
    </w:p>
    <w:p>
      <w:pPr>
        <w:snapToGrid w:val="0"/>
        <w:ind w:firstLine="480" w:firstLineChars="200"/>
        <w:jc w:val="left"/>
        <w:rPr>
          <w:rFonts w:hint="eastAsia" w:ascii="仿宋_GB2312" w:eastAsia="仿宋_GB2312"/>
          <w:color w:val="auto"/>
          <w:sz w:val="24"/>
          <w:highlight w:val="none"/>
        </w:rPr>
        <w:sectPr>
          <w:pgSz w:w="11907" w:h="16840"/>
          <w:pgMar w:top="1440" w:right="1236" w:bottom="1440" w:left="1803" w:header="851" w:footer="992" w:gutter="0"/>
          <w:pgBorders>
            <w:top w:val="none" w:sz="0" w:space="0"/>
            <w:left w:val="none" w:sz="0" w:space="0"/>
            <w:bottom w:val="none" w:sz="0" w:space="0"/>
            <w:right w:val="none" w:sz="0" w:space="0"/>
          </w:pgBorders>
          <w:cols w:space="0" w:num="1"/>
          <w:rtlGutter w:val="0"/>
          <w:docGrid w:type="lines" w:linePitch="316" w:charSpace="0"/>
        </w:sectPr>
      </w:pPr>
    </w:p>
    <w:p>
      <w:pPr>
        <w:snapToGrid w:val="0"/>
        <w:spacing w:before="50" w:after="50"/>
        <w:jc w:val="left"/>
        <w:rPr>
          <w:rFonts w:hint="eastAsia" w:ascii="仿宋" w:eastAsia="仿宋"/>
          <w:b/>
          <w:bCs/>
          <w:color w:val="auto"/>
          <w:sz w:val="30"/>
          <w:szCs w:val="30"/>
          <w:highlight w:val="none"/>
        </w:rPr>
      </w:pPr>
      <w:r>
        <w:rPr>
          <w:rFonts w:ascii="仿宋" w:eastAsia="仿宋"/>
          <w:b/>
          <w:bCs/>
          <w:color w:val="auto"/>
          <w:sz w:val="30"/>
          <w:szCs w:val="30"/>
          <w:highlight w:val="none"/>
        </w:rPr>
        <w:t>附件</w:t>
      </w:r>
      <w:r>
        <w:rPr>
          <w:rFonts w:hint="eastAsia" w:ascii="仿宋" w:eastAsia="仿宋"/>
          <w:b/>
          <w:bCs/>
          <w:color w:val="auto"/>
          <w:sz w:val="30"/>
          <w:szCs w:val="30"/>
          <w:highlight w:val="none"/>
          <w:lang w:val="en-US" w:eastAsia="zh-CN"/>
        </w:rPr>
        <w:t>19</w:t>
      </w:r>
      <w:r>
        <w:rPr>
          <w:rFonts w:hint="eastAsia" w:ascii="仿宋" w:eastAsia="仿宋"/>
          <w:b/>
          <w:bCs/>
          <w:color w:val="auto"/>
          <w:sz w:val="30"/>
          <w:szCs w:val="30"/>
          <w:highlight w:val="none"/>
        </w:rPr>
        <w:t>（如有）</w:t>
      </w:r>
      <w:r>
        <w:rPr>
          <w:rFonts w:ascii="仿宋" w:eastAsia="仿宋"/>
          <w:b/>
          <w:bCs/>
          <w:color w:val="auto"/>
          <w:sz w:val="30"/>
          <w:szCs w:val="30"/>
          <w:highlight w:val="none"/>
        </w:rPr>
        <w:t>：</w:t>
      </w:r>
    </w:p>
    <w:p>
      <w:pPr>
        <w:snapToGrid w:val="0"/>
        <w:spacing w:before="50" w:after="50" w:line="480" w:lineRule="auto"/>
        <w:jc w:val="center"/>
        <w:rPr>
          <w:rFonts w:ascii="仿宋" w:eastAsia="仿宋"/>
          <w:b/>
          <w:color w:val="auto"/>
          <w:sz w:val="32"/>
          <w:szCs w:val="32"/>
          <w:highlight w:val="none"/>
        </w:rPr>
      </w:pPr>
      <w:r>
        <w:rPr>
          <w:rFonts w:hint="eastAsia" w:ascii="仿宋" w:eastAsia="仿宋"/>
          <w:b/>
          <w:color w:val="auto"/>
          <w:sz w:val="32"/>
          <w:szCs w:val="32"/>
          <w:highlight w:val="none"/>
        </w:rPr>
        <w:t>中小企业声明函</w:t>
      </w:r>
    </w:p>
    <w:p>
      <w:pPr>
        <w:snapToGrid w:val="0"/>
        <w:spacing w:before="50" w:after="50" w:line="360" w:lineRule="auto"/>
        <w:ind w:firstLine="480" w:firstLineChars="200"/>
        <w:jc w:val="left"/>
        <w:rPr>
          <w:rFonts w:ascii="仿宋" w:eastAsia="仿宋"/>
          <w:color w:val="auto"/>
          <w:sz w:val="24"/>
          <w:szCs w:val="24"/>
          <w:highlight w:val="none"/>
        </w:rPr>
      </w:pPr>
      <w:r>
        <w:rPr>
          <w:rFonts w:hint="eastAsia" w:ascii="仿宋" w:eastAsia="仿宋"/>
          <w:color w:val="auto"/>
          <w:sz w:val="24"/>
          <w:szCs w:val="24"/>
          <w:highlight w:val="none"/>
        </w:rPr>
        <w:t>本公司（联合体）郑重声明，根据《政府采购促进中小企业发展管理办法》 （财库﹝2020﹞46 号）的规定，本公司（联合体）参加</w:t>
      </w:r>
      <w:r>
        <w:rPr>
          <w:rFonts w:hint="eastAsia" w:ascii="仿宋" w:eastAsia="仿宋"/>
          <w:color w:val="auto"/>
          <w:sz w:val="24"/>
          <w:szCs w:val="24"/>
          <w:highlight w:val="none"/>
          <w:u w:val="single"/>
        </w:rPr>
        <w:t xml:space="preserve"> </w:t>
      </w:r>
      <w:r>
        <w:rPr>
          <w:rFonts w:ascii="仿宋" w:eastAsia="仿宋"/>
          <w:color w:val="auto"/>
          <w:sz w:val="24"/>
          <w:szCs w:val="24"/>
          <w:highlight w:val="none"/>
          <w:u w:val="single"/>
        </w:rPr>
        <w:t>（采购人名称）</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的</w:t>
      </w:r>
      <w:r>
        <w:rPr>
          <w:rFonts w:ascii="仿宋" w:eastAsia="仿宋"/>
          <w:color w:val="auto"/>
          <w:sz w:val="24"/>
          <w:szCs w:val="24"/>
          <w:highlight w:val="none"/>
          <w:u w:val="single"/>
        </w:rPr>
        <w:t xml:space="preserve"> （项目名称） </w:t>
      </w:r>
      <w:r>
        <w:rPr>
          <w:rFonts w:hint="eastAsia" w:ascii="仿宋" w:eastAsia="仿宋"/>
          <w:color w:val="auto"/>
          <w:sz w:val="24"/>
          <w:szCs w:val="24"/>
          <w:highlight w:val="none"/>
        </w:rPr>
        <w:t>采购活动，提供的货物全部由符合政策要求的中小企业制造。相关企业（含联合体中的中小企业、签订分包意向协议的中小企业）的具体情况如下：</w:t>
      </w:r>
    </w:p>
    <w:p>
      <w:pPr>
        <w:snapToGrid w:val="0"/>
        <w:spacing w:before="50" w:after="50" w:line="360" w:lineRule="auto"/>
        <w:jc w:val="left"/>
        <w:rPr>
          <w:rFonts w:ascii="仿宋" w:eastAsia="仿宋"/>
          <w:color w:val="auto"/>
          <w:sz w:val="24"/>
          <w:szCs w:val="24"/>
          <w:highlight w:val="none"/>
        </w:rPr>
      </w:pPr>
      <w:r>
        <w:rPr>
          <w:rFonts w:hint="eastAsia" w:ascii="仿宋" w:eastAsia="仿宋"/>
          <w:color w:val="auto"/>
          <w:sz w:val="24"/>
          <w:szCs w:val="24"/>
          <w:highlight w:val="none"/>
        </w:rPr>
        <w:t>1.</w:t>
      </w:r>
      <w:r>
        <w:rPr>
          <w:rFonts w:hint="eastAsia" w:ascii="仿宋" w:eastAsia="仿宋"/>
          <w:color w:val="auto"/>
          <w:sz w:val="24"/>
          <w:szCs w:val="24"/>
          <w:highlight w:val="none"/>
          <w:u w:val="single"/>
        </w:rPr>
        <w:t xml:space="preserve">    （标的名称）</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，属于</w:t>
      </w:r>
      <w:r>
        <w:rPr>
          <w:rFonts w:hint="eastAsia" w:ascii="仿宋" w:eastAsia="仿宋"/>
          <w:color w:val="auto"/>
          <w:sz w:val="24"/>
          <w:szCs w:val="24"/>
          <w:highlight w:val="none"/>
          <w:u w:val="single"/>
        </w:rPr>
        <w:t xml:space="preserve">    </w:t>
      </w:r>
      <w:r>
        <w:rPr>
          <w:rFonts w:ascii="仿宋" w:eastAsia="仿宋"/>
          <w:color w:val="auto"/>
          <w:sz w:val="24"/>
          <w:szCs w:val="24"/>
          <w:highlight w:val="none"/>
          <w:u w:val="single"/>
        </w:rPr>
        <w:t xml:space="preserve"> （采购文件中明确的行业名称）    </w:t>
      </w:r>
      <w:r>
        <w:rPr>
          <w:rFonts w:hint="eastAsia" w:ascii="仿宋" w:eastAsia="仿宋"/>
          <w:color w:val="auto"/>
          <w:sz w:val="24"/>
          <w:szCs w:val="24"/>
          <w:highlight w:val="none"/>
        </w:rPr>
        <w:t>行业 ；制造商为</w:t>
      </w:r>
      <w:r>
        <w:rPr>
          <w:rFonts w:hint="eastAsia" w:ascii="仿宋" w:eastAsia="仿宋"/>
          <w:color w:val="auto"/>
          <w:sz w:val="24"/>
          <w:szCs w:val="24"/>
          <w:highlight w:val="none"/>
          <w:u w:val="single"/>
        </w:rPr>
        <w:t xml:space="preserve">   （企业名称） </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，从业人员</w:t>
      </w:r>
      <w:r>
        <w:rPr>
          <w:rFonts w:hint="eastAsia" w:ascii="仿宋" w:eastAsia="仿宋"/>
          <w:color w:val="auto"/>
          <w:sz w:val="24"/>
          <w:szCs w:val="24"/>
          <w:highlight w:val="none"/>
          <w:u w:val="single"/>
        </w:rPr>
        <w:t xml:space="preserve">   </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人，营业收入为</w:t>
      </w:r>
      <w:r>
        <w:rPr>
          <w:rFonts w:hint="eastAsia" w:ascii="仿宋" w:eastAsia="仿宋"/>
          <w:color w:val="auto"/>
          <w:sz w:val="24"/>
          <w:szCs w:val="24"/>
          <w:highlight w:val="none"/>
          <w:u w:val="single"/>
        </w:rPr>
        <w:t xml:space="preserve">  </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万元，资产总额为</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万元 ，属于</w:t>
      </w:r>
      <w:r>
        <w:rPr>
          <w:rFonts w:hint="eastAsia" w:ascii="仿宋" w:eastAsia="仿宋"/>
          <w:color w:val="auto"/>
          <w:sz w:val="24"/>
          <w:szCs w:val="24"/>
          <w:highlight w:val="none"/>
          <w:u w:val="single"/>
        </w:rPr>
        <w:t xml:space="preserve">     （中型企业、小型企业、微型企业）</w:t>
      </w:r>
      <w:r>
        <w:rPr>
          <w:rFonts w:hint="eastAsia" w:ascii="仿宋" w:eastAsia="仿宋"/>
          <w:color w:val="auto"/>
          <w:sz w:val="24"/>
          <w:szCs w:val="24"/>
          <w:highlight w:val="none"/>
        </w:rPr>
        <w:t xml:space="preserve"> ；</w:t>
      </w:r>
    </w:p>
    <w:p>
      <w:pPr>
        <w:snapToGrid w:val="0"/>
        <w:spacing w:before="50" w:after="50" w:line="360" w:lineRule="auto"/>
        <w:jc w:val="left"/>
        <w:rPr>
          <w:rFonts w:ascii="仿宋" w:eastAsia="仿宋"/>
          <w:color w:val="auto"/>
          <w:sz w:val="24"/>
          <w:szCs w:val="24"/>
          <w:highlight w:val="none"/>
        </w:rPr>
      </w:pPr>
      <w:r>
        <w:rPr>
          <w:rFonts w:hint="eastAsia" w:ascii="仿宋" w:eastAsia="仿宋"/>
          <w:color w:val="auto"/>
          <w:sz w:val="24"/>
          <w:szCs w:val="24"/>
          <w:highlight w:val="none"/>
        </w:rPr>
        <w:t>2.</w:t>
      </w:r>
      <w:r>
        <w:rPr>
          <w:rFonts w:hint="eastAsia" w:ascii="仿宋" w:eastAsia="仿宋"/>
          <w:color w:val="auto"/>
          <w:sz w:val="24"/>
          <w:szCs w:val="24"/>
          <w:highlight w:val="none"/>
          <w:u w:val="single"/>
        </w:rPr>
        <w:t xml:space="preserve">    （标的名称）</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，属于</w:t>
      </w:r>
      <w:r>
        <w:rPr>
          <w:rFonts w:hint="eastAsia" w:ascii="仿宋" w:eastAsia="仿宋"/>
          <w:color w:val="auto"/>
          <w:sz w:val="24"/>
          <w:szCs w:val="24"/>
          <w:highlight w:val="none"/>
          <w:u w:val="single"/>
        </w:rPr>
        <w:t xml:space="preserve">    </w:t>
      </w:r>
      <w:r>
        <w:rPr>
          <w:rFonts w:ascii="仿宋" w:eastAsia="仿宋"/>
          <w:color w:val="auto"/>
          <w:sz w:val="24"/>
          <w:szCs w:val="24"/>
          <w:highlight w:val="none"/>
          <w:u w:val="single"/>
        </w:rPr>
        <w:t xml:space="preserve"> （采购文件中明确的行业名称）    </w:t>
      </w:r>
      <w:r>
        <w:rPr>
          <w:rFonts w:hint="eastAsia" w:ascii="仿宋" w:eastAsia="仿宋"/>
          <w:color w:val="auto"/>
          <w:sz w:val="24"/>
          <w:szCs w:val="24"/>
          <w:highlight w:val="none"/>
        </w:rPr>
        <w:t>行业 ；制造商为</w:t>
      </w:r>
      <w:r>
        <w:rPr>
          <w:rFonts w:hint="eastAsia" w:ascii="仿宋" w:eastAsia="仿宋"/>
          <w:color w:val="auto"/>
          <w:sz w:val="24"/>
          <w:szCs w:val="24"/>
          <w:highlight w:val="none"/>
          <w:u w:val="single"/>
        </w:rPr>
        <w:t xml:space="preserve">   （企业名称） </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，从业人员</w:t>
      </w:r>
      <w:r>
        <w:rPr>
          <w:rFonts w:hint="eastAsia" w:ascii="仿宋" w:eastAsia="仿宋"/>
          <w:color w:val="auto"/>
          <w:sz w:val="24"/>
          <w:szCs w:val="24"/>
          <w:highlight w:val="none"/>
          <w:u w:val="single"/>
        </w:rPr>
        <w:t xml:space="preserve">   </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人，营业收入为</w:t>
      </w:r>
      <w:r>
        <w:rPr>
          <w:rFonts w:hint="eastAsia" w:ascii="仿宋" w:eastAsia="仿宋"/>
          <w:color w:val="auto"/>
          <w:sz w:val="24"/>
          <w:szCs w:val="24"/>
          <w:highlight w:val="none"/>
          <w:u w:val="single"/>
        </w:rPr>
        <w:t xml:space="preserve">  </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万元，资产总额为</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万元 ，属于</w:t>
      </w:r>
      <w:r>
        <w:rPr>
          <w:rFonts w:hint="eastAsia" w:ascii="仿宋" w:eastAsia="仿宋"/>
          <w:color w:val="auto"/>
          <w:sz w:val="24"/>
          <w:szCs w:val="24"/>
          <w:highlight w:val="none"/>
          <w:u w:val="single"/>
        </w:rPr>
        <w:t xml:space="preserve">     （中型企业、小型企业、微型企业）</w:t>
      </w:r>
      <w:r>
        <w:rPr>
          <w:rFonts w:hint="eastAsia" w:ascii="仿宋" w:eastAsia="仿宋"/>
          <w:color w:val="auto"/>
          <w:sz w:val="24"/>
          <w:szCs w:val="24"/>
          <w:highlight w:val="none"/>
        </w:rPr>
        <w:t xml:space="preserve"> ；</w:t>
      </w:r>
    </w:p>
    <w:p>
      <w:pPr>
        <w:snapToGrid w:val="0"/>
        <w:spacing w:before="50" w:after="50" w:line="360" w:lineRule="auto"/>
        <w:jc w:val="left"/>
        <w:rPr>
          <w:rFonts w:ascii="仿宋" w:eastAsia="仿宋"/>
          <w:color w:val="auto"/>
          <w:sz w:val="24"/>
          <w:szCs w:val="24"/>
          <w:highlight w:val="none"/>
        </w:rPr>
      </w:pPr>
      <w:r>
        <w:rPr>
          <w:rFonts w:hint="eastAsia" w:ascii="仿宋" w:eastAsia="仿宋"/>
          <w:color w:val="auto"/>
          <w:sz w:val="24"/>
          <w:szCs w:val="24"/>
          <w:highlight w:val="none"/>
        </w:rPr>
        <w:t>……</w:t>
      </w:r>
    </w:p>
    <w:p>
      <w:pPr>
        <w:snapToGrid w:val="0"/>
        <w:spacing w:before="50" w:after="50" w:line="360" w:lineRule="auto"/>
        <w:jc w:val="left"/>
        <w:rPr>
          <w:rFonts w:ascii="仿宋" w:eastAsia="仿宋"/>
          <w:color w:val="auto"/>
          <w:sz w:val="24"/>
          <w:szCs w:val="24"/>
          <w:highlight w:val="none"/>
        </w:rPr>
      </w:pPr>
      <w:r>
        <w:rPr>
          <w:rFonts w:hint="eastAsia" w:ascii="仿宋" w:eastAsia="仿宋"/>
          <w:color w:val="auto"/>
          <w:sz w:val="24"/>
          <w:szCs w:val="24"/>
          <w:highlight w:val="none"/>
        </w:rPr>
        <w:t>以上企业，不属于大企业的分支机构，不存在控股股东为大企业的情形，也不存在与大企业的负责人为同一人的情形。</w:t>
      </w:r>
    </w:p>
    <w:p>
      <w:pPr>
        <w:snapToGrid w:val="0"/>
        <w:spacing w:before="50" w:after="50" w:line="360" w:lineRule="auto"/>
        <w:jc w:val="left"/>
        <w:rPr>
          <w:rFonts w:ascii="仿宋" w:eastAsia="仿宋"/>
          <w:color w:val="auto"/>
          <w:sz w:val="24"/>
          <w:szCs w:val="24"/>
          <w:highlight w:val="none"/>
        </w:rPr>
      </w:pPr>
      <w:r>
        <w:rPr>
          <w:rFonts w:hint="eastAsia" w:ascii="仿宋" w:eastAsia="仿宋"/>
          <w:color w:val="auto"/>
          <w:sz w:val="24"/>
          <w:szCs w:val="24"/>
          <w:highlight w:val="none"/>
        </w:rPr>
        <w:t>本企业对上述声明内容的真实性负责。如有虚假，将依法承担相应责任。</w:t>
      </w:r>
    </w:p>
    <w:p>
      <w:pPr>
        <w:snapToGrid w:val="0"/>
        <w:spacing w:before="50" w:after="50" w:line="360" w:lineRule="auto"/>
        <w:ind w:firstLine="480" w:firstLineChars="200"/>
        <w:jc w:val="left"/>
        <w:rPr>
          <w:rFonts w:ascii="仿宋" w:eastAsia="仿宋"/>
          <w:color w:val="auto"/>
          <w:sz w:val="24"/>
          <w:szCs w:val="24"/>
          <w:highlight w:val="none"/>
        </w:rPr>
      </w:pPr>
    </w:p>
    <w:p>
      <w:pPr>
        <w:snapToGrid w:val="0"/>
        <w:spacing w:before="50" w:after="50" w:line="360" w:lineRule="auto"/>
        <w:ind w:firstLine="480" w:firstLineChars="200"/>
        <w:jc w:val="left"/>
        <w:rPr>
          <w:rFonts w:ascii="仿宋" w:eastAsia="仿宋"/>
          <w:color w:val="auto"/>
          <w:sz w:val="24"/>
          <w:szCs w:val="24"/>
          <w:highlight w:val="none"/>
        </w:rPr>
      </w:pPr>
    </w:p>
    <w:p>
      <w:pPr>
        <w:snapToGrid w:val="0"/>
        <w:spacing w:before="50" w:after="50" w:line="360" w:lineRule="auto"/>
        <w:ind w:firstLine="4680" w:firstLineChars="1950"/>
        <w:jc w:val="left"/>
        <w:rPr>
          <w:rFonts w:ascii="仿宋" w:eastAsia="仿宋"/>
          <w:color w:val="auto"/>
          <w:sz w:val="24"/>
          <w:szCs w:val="24"/>
          <w:highlight w:val="none"/>
        </w:rPr>
      </w:pPr>
      <w:r>
        <w:rPr>
          <w:rFonts w:hint="eastAsia" w:ascii="仿宋" w:eastAsia="仿宋"/>
          <w:color w:val="auto"/>
          <w:sz w:val="24"/>
          <w:szCs w:val="24"/>
          <w:highlight w:val="none"/>
        </w:rPr>
        <w:t>企业名称（盖</w:t>
      </w:r>
      <w:r>
        <w:rPr>
          <w:rFonts w:ascii="仿宋" w:eastAsia="仿宋"/>
          <w:color w:val="auto"/>
          <w:sz w:val="24"/>
          <w:szCs w:val="24"/>
          <w:highlight w:val="none"/>
        </w:rPr>
        <w:t>公</w:t>
      </w:r>
      <w:r>
        <w:rPr>
          <w:rFonts w:hint="eastAsia" w:ascii="仿宋" w:eastAsia="仿宋"/>
          <w:color w:val="auto"/>
          <w:sz w:val="24"/>
          <w:szCs w:val="24"/>
          <w:highlight w:val="none"/>
        </w:rPr>
        <w:t xml:space="preserve">章）： </w:t>
      </w:r>
    </w:p>
    <w:p>
      <w:pPr>
        <w:snapToGrid w:val="0"/>
        <w:spacing w:before="50" w:after="50" w:line="360" w:lineRule="auto"/>
        <w:ind w:firstLine="4680" w:firstLineChars="1950"/>
        <w:jc w:val="left"/>
        <w:rPr>
          <w:rFonts w:ascii="仿宋" w:eastAsia="仿宋"/>
          <w:color w:val="auto"/>
          <w:sz w:val="24"/>
          <w:szCs w:val="24"/>
          <w:highlight w:val="none"/>
        </w:rPr>
      </w:pPr>
      <w:r>
        <w:rPr>
          <w:rFonts w:hint="eastAsia" w:ascii="仿宋" w:eastAsia="仿宋"/>
          <w:color w:val="auto"/>
          <w:sz w:val="24"/>
          <w:szCs w:val="24"/>
          <w:highlight w:val="none"/>
        </w:rPr>
        <w:t>日期：   年     月     日</w:t>
      </w:r>
    </w:p>
    <w:p>
      <w:pPr>
        <w:snapToGrid w:val="0"/>
        <w:spacing w:before="50" w:after="50" w:line="360" w:lineRule="auto"/>
        <w:ind w:firstLine="4680" w:firstLineChars="1950"/>
        <w:jc w:val="left"/>
        <w:rPr>
          <w:rFonts w:ascii="仿宋" w:eastAsia="仿宋"/>
          <w:color w:val="auto"/>
          <w:sz w:val="24"/>
          <w:szCs w:val="24"/>
          <w:highlight w:val="none"/>
        </w:rPr>
      </w:pPr>
    </w:p>
    <w:p>
      <w:pPr>
        <w:spacing w:line="588" w:lineRule="exact"/>
        <w:rPr>
          <w:rFonts w:hint="eastAsia" w:ascii="仿宋" w:eastAsia="仿宋" w:cs="仿宋_GB2312"/>
          <w:color w:val="auto"/>
          <w:sz w:val="24"/>
          <w:highlight w:val="none"/>
        </w:rPr>
      </w:pPr>
    </w:p>
    <w:p>
      <w:pPr>
        <w:snapToGrid w:val="0"/>
        <w:spacing w:before="50" w:after="50" w:line="240" w:lineRule="auto"/>
        <w:jc w:val="left"/>
        <w:rPr>
          <w:rFonts w:ascii="仿宋" w:eastAsia="仿宋"/>
          <w:b/>
          <w:bCs/>
          <w:color w:val="auto"/>
          <w:sz w:val="24"/>
          <w:szCs w:val="24"/>
          <w:highlight w:val="none"/>
        </w:rPr>
      </w:pPr>
      <w:r>
        <w:rPr>
          <w:rFonts w:ascii="仿宋" w:eastAsia="仿宋"/>
          <w:b/>
          <w:bCs/>
          <w:color w:val="auto"/>
          <w:sz w:val="24"/>
          <w:szCs w:val="24"/>
          <w:highlight w:val="none"/>
        </w:rPr>
        <w:t>备注：</w:t>
      </w:r>
    </w:p>
    <w:p>
      <w:pPr>
        <w:numPr>
          <w:ilvl w:val="0"/>
          <w:numId w:val="9"/>
        </w:numPr>
        <w:snapToGrid w:val="0"/>
        <w:spacing w:before="50" w:after="50" w:line="240" w:lineRule="auto"/>
        <w:jc w:val="left"/>
        <w:rPr>
          <w:rFonts w:ascii="仿宋" w:eastAsia="仿宋"/>
          <w:b/>
          <w:bCs/>
          <w:color w:val="auto"/>
          <w:sz w:val="24"/>
          <w:szCs w:val="24"/>
          <w:highlight w:val="none"/>
        </w:rPr>
      </w:pPr>
      <w:r>
        <w:rPr>
          <w:rFonts w:ascii="仿宋" w:eastAsia="仿宋"/>
          <w:b/>
          <w:bCs/>
          <w:color w:val="auto"/>
          <w:sz w:val="24"/>
          <w:szCs w:val="24"/>
          <w:highlight w:val="none"/>
        </w:rPr>
        <w:t>规模划分按《工信部关于印发中小企业划型标准规定的通知（工信部联企业〔2011〕300号）》执行。从业人员、营业收入、资产总额填报上一年度数据，无上一年度数据的新成立企业可不填报。</w:t>
      </w:r>
    </w:p>
    <w:p>
      <w:pPr>
        <w:numPr>
          <w:ilvl w:val="0"/>
          <w:numId w:val="9"/>
        </w:numPr>
        <w:snapToGrid w:val="0"/>
        <w:spacing w:before="50" w:after="50" w:line="240" w:lineRule="auto"/>
        <w:jc w:val="left"/>
        <w:rPr>
          <w:rFonts w:ascii="仿宋" w:eastAsia="仿宋"/>
          <w:b/>
          <w:bCs/>
          <w:color w:val="auto"/>
          <w:sz w:val="24"/>
          <w:szCs w:val="24"/>
          <w:highlight w:val="none"/>
        </w:rPr>
      </w:pPr>
      <w:r>
        <w:rPr>
          <w:rFonts w:ascii="仿宋" w:eastAsia="仿宋" w:cs="仿宋_GB2312"/>
          <w:b/>
          <w:bCs/>
          <w:color w:val="auto"/>
          <w:sz w:val="24"/>
          <w:highlight w:val="none"/>
        </w:rPr>
        <w:t>本函</w:t>
      </w:r>
      <w:r>
        <w:rPr>
          <w:rFonts w:hint="eastAsia" w:ascii="仿宋" w:eastAsia="仿宋" w:cs="仿宋_GB2312"/>
          <w:b/>
          <w:bCs/>
          <w:color w:val="auto"/>
          <w:sz w:val="24"/>
          <w:highlight w:val="none"/>
        </w:rPr>
        <w:t>与中标</w:t>
      </w:r>
      <w:r>
        <w:rPr>
          <w:rFonts w:ascii="仿宋" w:eastAsia="仿宋" w:cs="仿宋_GB2312"/>
          <w:b/>
          <w:bCs/>
          <w:color w:val="auto"/>
          <w:sz w:val="24"/>
          <w:highlight w:val="none"/>
        </w:rPr>
        <w:t>（成交）</w:t>
      </w:r>
      <w:r>
        <w:rPr>
          <w:rFonts w:hint="eastAsia" w:ascii="仿宋" w:eastAsia="仿宋" w:cs="仿宋_GB2312"/>
          <w:b/>
          <w:bCs/>
          <w:color w:val="auto"/>
          <w:sz w:val="24"/>
          <w:highlight w:val="none"/>
        </w:rPr>
        <w:t>公告同时发布，接受社会监督</w:t>
      </w:r>
      <w:r>
        <w:rPr>
          <w:rFonts w:ascii="仿宋" w:eastAsia="仿宋" w:cs="仿宋_GB2312"/>
          <w:b/>
          <w:bCs/>
          <w:color w:val="auto"/>
          <w:sz w:val="24"/>
          <w:highlight w:val="none"/>
        </w:rPr>
        <w:t>。</w:t>
      </w:r>
    </w:p>
    <w:p>
      <w:pPr>
        <w:numPr>
          <w:ilvl w:val="0"/>
          <w:numId w:val="9"/>
        </w:numPr>
        <w:snapToGrid w:val="0"/>
        <w:spacing w:before="50" w:after="50" w:line="240" w:lineRule="auto"/>
        <w:jc w:val="left"/>
        <w:rPr>
          <w:rFonts w:ascii="仿宋" w:eastAsia="仿宋"/>
          <w:b/>
          <w:bCs/>
          <w:color w:val="auto"/>
          <w:sz w:val="24"/>
          <w:szCs w:val="24"/>
          <w:highlight w:val="none"/>
        </w:rPr>
      </w:pPr>
      <w:r>
        <w:rPr>
          <w:rFonts w:hint="eastAsia" w:ascii="仿宋" w:eastAsia="仿宋" w:cs="仿宋_GB2312"/>
          <w:b/>
          <w:bCs/>
          <w:color w:val="auto"/>
          <w:sz w:val="24"/>
          <w:highlight w:val="none"/>
          <w:u w:val="single"/>
          <w:lang w:eastAsia="zh-CN"/>
        </w:rPr>
        <w:t>“标的名称”、“所属行业”按前附表所列填写，否则不予享受价格扣除。</w:t>
      </w:r>
    </w:p>
    <w:p>
      <w:pPr>
        <w:spacing w:line="588" w:lineRule="exact"/>
        <w:rPr>
          <w:rFonts w:ascii="仿宋" w:eastAsia="仿宋"/>
          <w:b/>
          <w:color w:val="auto"/>
          <w:spacing w:val="6"/>
          <w:sz w:val="30"/>
          <w:szCs w:val="30"/>
          <w:highlight w:val="none"/>
        </w:rPr>
      </w:pPr>
      <w:bookmarkStart w:id="55" w:name="_Hlk523382353"/>
      <w:r>
        <w:rPr>
          <w:rFonts w:ascii="仿宋" w:eastAsia="仿宋"/>
          <w:b/>
          <w:color w:val="auto"/>
          <w:spacing w:val="6"/>
          <w:sz w:val="30"/>
          <w:szCs w:val="30"/>
          <w:highlight w:val="none"/>
        </w:rPr>
        <w:t>附件2</w:t>
      </w:r>
      <w:r>
        <w:rPr>
          <w:rFonts w:hint="eastAsia" w:ascii="仿宋" w:eastAsia="仿宋"/>
          <w:b/>
          <w:color w:val="auto"/>
          <w:spacing w:val="6"/>
          <w:sz w:val="30"/>
          <w:szCs w:val="30"/>
          <w:highlight w:val="none"/>
          <w:lang w:val="en-US" w:eastAsia="zh-CN"/>
        </w:rPr>
        <w:t>0</w:t>
      </w:r>
      <w:r>
        <w:rPr>
          <w:rFonts w:ascii="仿宋" w:eastAsia="仿宋"/>
          <w:b/>
          <w:color w:val="auto"/>
          <w:spacing w:val="6"/>
          <w:sz w:val="30"/>
          <w:szCs w:val="30"/>
          <w:highlight w:val="none"/>
        </w:rPr>
        <w:t>（如有）：</w:t>
      </w:r>
    </w:p>
    <w:bookmarkEnd w:id="55"/>
    <w:p>
      <w:pPr>
        <w:spacing w:line="588" w:lineRule="exact"/>
        <w:ind w:firstLine="667"/>
        <w:jc w:val="center"/>
        <w:rPr>
          <w:rFonts w:hint="eastAsia" w:ascii="仿宋" w:eastAsia="仿宋"/>
          <w:b/>
          <w:color w:val="auto"/>
          <w:spacing w:val="6"/>
          <w:sz w:val="32"/>
          <w:szCs w:val="32"/>
          <w:highlight w:val="none"/>
        </w:rPr>
      </w:pPr>
    </w:p>
    <w:p>
      <w:pPr>
        <w:spacing w:line="588" w:lineRule="exact"/>
        <w:ind w:firstLine="667"/>
        <w:jc w:val="center"/>
        <w:rPr>
          <w:rFonts w:ascii="仿宋" w:eastAsia="仿宋"/>
          <w:b/>
          <w:color w:val="auto"/>
          <w:spacing w:val="6"/>
          <w:sz w:val="36"/>
          <w:szCs w:val="36"/>
          <w:highlight w:val="none"/>
        </w:rPr>
      </w:pPr>
      <w:r>
        <w:rPr>
          <w:rFonts w:hint="eastAsia" w:ascii="仿宋" w:eastAsia="仿宋"/>
          <w:b/>
          <w:color w:val="auto"/>
          <w:spacing w:val="6"/>
          <w:sz w:val="36"/>
          <w:szCs w:val="36"/>
          <w:highlight w:val="none"/>
        </w:rPr>
        <w:t>残疾人福利性单位声明函</w:t>
      </w:r>
    </w:p>
    <w:p>
      <w:pPr>
        <w:spacing w:line="588" w:lineRule="exact"/>
        <w:ind w:firstLine="626"/>
        <w:rPr>
          <w:rFonts w:ascii="仿宋" w:eastAsia="仿宋"/>
          <w:b/>
          <w:color w:val="auto"/>
          <w:spacing w:val="6"/>
          <w:sz w:val="30"/>
          <w:szCs w:val="30"/>
          <w:highlight w:val="none"/>
        </w:rPr>
      </w:pPr>
    </w:p>
    <w:p>
      <w:pPr>
        <w:spacing w:line="588" w:lineRule="exact"/>
        <w:ind w:firstLine="480"/>
        <w:rPr>
          <w:rFonts w:ascii="仿宋" w:eastAsia="仿宋" w:cs="仿宋_GB2312"/>
          <w:color w:val="auto"/>
          <w:sz w:val="24"/>
          <w:highlight w:val="none"/>
        </w:rPr>
      </w:pPr>
      <w:r>
        <w:rPr>
          <w:rFonts w:hint="eastAsia" w:ascii="仿宋" w:eastAsia="仿宋"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ascii="仿宋" w:eastAsia="仿宋" w:cs="仿宋_GB2312"/>
          <w:color w:val="auto"/>
          <w:sz w:val="24"/>
          <w:highlight w:val="none"/>
          <w:u w:val="single"/>
        </w:rPr>
        <w:t xml:space="preserve">  （请填写采购人名称）  </w:t>
      </w:r>
      <w:r>
        <w:rPr>
          <w:rFonts w:hint="eastAsia" w:ascii="仿宋" w:eastAsia="仿宋" w:cs="仿宋_GB2312"/>
          <w:color w:val="auto"/>
          <w:sz w:val="24"/>
          <w:highlight w:val="none"/>
        </w:rPr>
        <w:t>的</w:t>
      </w:r>
      <w:r>
        <w:rPr>
          <w:rFonts w:ascii="仿宋" w:eastAsia="仿宋" w:cs="仿宋_GB2312"/>
          <w:color w:val="auto"/>
          <w:sz w:val="24"/>
          <w:highlight w:val="none"/>
          <w:u w:val="single"/>
        </w:rPr>
        <w:t xml:space="preserve">  （请填写项目名称）  </w:t>
      </w:r>
      <w:r>
        <w:rPr>
          <w:rFonts w:hint="eastAsia" w:ascii="仿宋" w:eastAsia="仿宋"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rPr>
          <w:rFonts w:ascii="仿宋" w:eastAsia="仿宋" w:cs="仿宋_GB2312"/>
          <w:color w:val="auto"/>
          <w:sz w:val="24"/>
          <w:highlight w:val="none"/>
        </w:rPr>
      </w:pPr>
      <w:r>
        <w:rPr>
          <w:rFonts w:hint="eastAsia" w:ascii="仿宋" w:eastAsia="仿宋" w:cs="仿宋_GB2312"/>
          <w:color w:val="auto"/>
          <w:sz w:val="24"/>
          <w:highlight w:val="none"/>
        </w:rPr>
        <w:t>本单位对上述声明的真实性负责。如有虚假，将依法承担相应责任。</w:t>
      </w:r>
    </w:p>
    <w:p>
      <w:pPr>
        <w:spacing w:line="588" w:lineRule="exact"/>
        <w:ind w:firstLine="480"/>
        <w:rPr>
          <w:rFonts w:ascii="仿宋" w:eastAsia="仿宋" w:cs="仿宋_GB2312"/>
          <w:color w:val="auto"/>
          <w:sz w:val="24"/>
          <w:highlight w:val="none"/>
        </w:rPr>
      </w:pPr>
    </w:p>
    <w:p>
      <w:pPr>
        <w:spacing w:line="588" w:lineRule="exact"/>
        <w:ind w:firstLine="480"/>
        <w:rPr>
          <w:rFonts w:hint="eastAsia" w:ascii="仿宋" w:eastAsia="仿宋" w:cs="仿宋_GB2312"/>
          <w:color w:val="auto"/>
          <w:sz w:val="24"/>
          <w:highlight w:val="none"/>
        </w:rPr>
      </w:pPr>
    </w:p>
    <w:p>
      <w:pPr>
        <w:spacing w:line="588" w:lineRule="exact"/>
        <w:ind w:firstLine="480"/>
        <w:rPr>
          <w:rFonts w:ascii="仿宋" w:eastAsia="仿宋" w:cs="仿宋_GB2312"/>
          <w:color w:val="auto"/>
          <w:sz w:val="24"/>
          <w:highlight w:val="none"/>
        </w:rPr>
      </w:pPr>
    </w:p>
    <w:p>
      <w:pPr>
        <w:spacing w:line="588" w:lineRule="exact"/>
        <w:ind w:firstLine="480"/>
        <w:rPr>
          <w:rFonts w:hint="eastAsia" w:ascii="仿宋" w:eastAsia="仿宋" w:cs="仿宋_GB2312"/>
          <w:color w:val="auto"/>
          <w:sz w:val="24"/>
          <w:highlight w:val="none"/>
        </w:rPr>
      </w:pPr>
    </w:p>
    <w:p>
      <w:pPr>
        <w:spacing w:line="588" w:lineRule="exact"/>
        <w:ind w:firstLine="480"/>
        <w:rPr>
          <w:rFonts w:ascii="仿宋" w:eastAsia="仿宋" w:cs="仿宋_GB2312"/>
          <w:color w:val="auto"/>
          <w:sz w:val="24"/>
          <w:highlight w:val="none"/>
        </w:rPr>
      </w:pPr>
    </w:p>
    <w:p>
      <w:pPr>
        <w:tabs>
          <w:tab w:val="left" w:pos="4860"/>
        </w:tabs>
        <w:spacing w:line="588" w:lineRule="exact"/>
        <w:ind w:right="1560" w:firstLine="480"/>
        <w:jc w:val="center"/>
        <w:rPr>
          <w:rFonts w:ascii="仿宋" w:eastAsia="仿宋" w:cs="仿宋_GB2312"/>
          <w:color w:val="auto"/>
          <w:sz w:val="24"/>
          <w:highlight w:val="none"/>
        </w:rPr>
      </w:pPr>
      <w:r>
        <w:rPr>
          <w:rFonts w:hint="eastAsia" w:ascii="仿宋" w:eastAsia="仿宋" w:cs="仿宋_GB2312"/>
          <w:color w:val="auto"/>
          <w:sz w:val="24"/>
          <w:highlight w:val="none"/>
        </w:rPr>
        <w:t xml:space="preserve">                              单位名称（盖</w:t>
      </w:r>
      <w:r>
        <w:rPr>
          <w:rFonts w:ascii="仿宋" w:eastAsia="仿宋" w:cs="仿宋_GB2312"/>
          <w:color w:val="auto"/>
          <w:sz w:val="24"/>
          <w:highlight w:val="none"/>
        </w:rPr>
        <w:t>公</w:t>
      </w:r>
      <w:r>
        <w:rPr>
          <w:rFonts w:hint="eastAsia" w:ascii="仿宋" w:eastAsia="仿宋" w:cs="仿宋_GB2312"/>
          <w:color w:val="auto"/>
          <w:sz w:val="24"/>
          <w:highlight w:val="none"/>
        </w:rPr>
        <w:t>章）：</w:t>
      </w:r>
    </w:p>
    <w:p>
      <w:pPr>
        <w:spacing w:line="480" w:lineRule="exact"/>
        <w:ind w:firstLine="480" w:firstLineChars="200"/>
        <w:jc w:val="right"/>
        <w:rPr>
          <w:rFonts w:ascii="仿宋" w:eastAsia="仿宋"/>
          <w:color w:val="auto"/>
          <w:sz w:val="24"/>
          <w:highlight w:val="none"/>
        </w:rPr>
      </w:pPr>
      <w:r>
        <w:rPr>
          <w:rFonts w:hint="eastAsia" w:ascii="仿宋" w:eastAsia="仿宋"/>
          <w:color w:val="auto"/>
          <w:sz w:val="24"/>
          <w:highlight w:val="none"/>
        </w:rPr>
        <w:t>日期：    年    月    日</w:t>
      </w:r>
    </w:p>
    <w:p>
      <w:pPr>
        <w:ind w:firstLine="480"/>
        <w:rPr>
          <w:rFonts w:ascii="仿宋" w:eastAsia="仿宋" w:cs="仿宋_GB2312"/>
          <w:color w:val="auto"/>
          <w:sz w:val="24"/>
          <w:highlight w:val="none"/>
        </w:rPr>
      </w:pPr>
    </w:p>
    <w:p>
      <w:pPr>
        <w:ind w:firstLine="420"/>
        <w:rPr>
          <w:rFonts w:ascii="仿宋" w:eastAsia="仿宋"/>
          <w:color w:val="auto"/>
          <w:highlight w:val="none"/>
        </w:rPr>
      </w:pPr>
    </w:p>
    <w:p>
      <w:pPr>
        <w:ind w:firstLine="420"/>
        <w:rPr>
          <w:rFonts w:ascii="仿宋" w:eastAsia="仿宋"/>
          <w:color w:val="auto"/>
          <w:highlight w:val="none"/>
        </w:rPr>
      </w:pPr>
    </w:p>
    <w:p>
      <w:pPr>
        <w:ind w:firstLine="420"/>
        <w:rPr>
          <w:rFonts w:ascii="仿宋" w:eastAsia="仿宋"/>
          <w:color w:val="auto"/>
          <w:highlight w:val="none"/>
        </w:rPr>
      </w:pPr>
    </w:p>
    <w:p>
      <w:pPr>
        <w:ind w:firstLine="420"/>
        <w:rPr>
          <w:rFonts w:ascii="仿宋" w:eastAsia="仿宋"/>
          <w:color w:val="auto"/>
          <w:highlight w:val="none"/>
        </w:rPr>
      </w:pPr>
    </w:p>
    <w:p>
      <w:pPr>
        <w:ind w:firstLine="420"/>
        <w:rPr>
          <w:rFonts w:ascii="仿宋" w:eastAsia="仿宋"/>
          <w:color w:val="auto"/>
          <w:highlight w:val="none"/>
        </w:rPr>
      </w:pPr>
    </w:p>
    <w:p>
      <w:pPr>
        <w:ind w:firstLine="420"/>
        <w:rPr>
          <w:rFonts w:ascii="仿宋" w:eastAsia="仿宋"/>
          <w:color w:val="auto"/>
          <w:highlight w:val="none"/>
        </w:rPr>
      </w:pPr>
    </w:p>
    <w:p>
      <w:pPr>
        <w:ind w:firstLine="420"/>
        <w:rPr>
          <w:rFonts w:ascii="仿宋" w:eastAsia="仿宋"/>
          <w:color w:val="auto"/>
          <w:highlight w:val="none"/>
        </w:rPr>
      </w:pPr>
    </w:p>
    <w:p>
      <w:pPr>
        <w:ind w:firstLine="420"/>
        <w:rPr>
          <w:rFonts w:ascii="仿宋" w:eastAsia="仿宋"/>
          <w:color w:val="auto"/>
          <w:highlight w:val="none"/>
        </w:rPr>
      </w:pPr>
    </w:p>
    <w:p>
      <w:pPr>
        <w:ind w:firstLine="482" w:firstLineChars="200"/>
        <w:rPr>
          <w:rFonts w:hint="eastAsia" w:ascii="仿宋" w:eastAsia="仿宋"/>
          <w:b/>
          <w:color w:val="auto"/>
          <w:kern w:val="0"/>
          <w:sz w:val="24"/>
          <w:highlight w:val="none"/>
          <w:u w:val="single"/>
          <w:lang w:val="zh-CN"/>
        </w:rPr>
      </w:pPr>
      <w:r>
        <w:rPr>
          <w:rFonts w:hint="eastAsia" w:ascii="仿宋" w:eastAsia="仿宋"/>
          <w:b/>
          <w:color w:val="auto"/>
          <w:kern w:val="0"/>
          <w:sz w:val="24"/>
          <w:highlight w:val="none"/>
          <w:u w:val="single"/>
          <w:lang w:val="zh-CN"/>
        </w:rPr>
        <w:t>特别提示：采购机构将在成交公告中公布成交供应商的《残疾人福利性单位声明函》，接受社会监督。</w:t>
      </w:r>
    </w:p>
    <w:p>
      <w:pPr>
        <w:ind w:firstLine="420"/>
        <w:rPr>
          <w:rFonts w:ascii="仿宋" w:eastAsia="仿宋"/>
          <w:color w:val="auto"/>
          <w:highlight w:val="none"/>
        </w:rPr>
      </w:pPr>
    </w:p>
    <w:p>
      <w:pPr>
        <w:pStyle w:val="3"/>
        <w:keepNext/>
        <w:keepLines/>
        <w:pageBreakBefore w:val="0"/>
        <w:widowControl w:val="0"/>
        <w:suppressLineNumbers w:val="0"/>
        <w:suppressAutoHyphens w:val="0"/>
        <w:spacing w:line="578" w:lineRule="auto"/>
        <w:jc w:val="center"/>
        <w:rPr>
          <w:color w:val="auto"/>
          <w:highlight w:val="none"/>
        </w:rPr>
      </w:pPr>
      <w:bookmarkStart w:id="56" w:name="_Toc643610538"/>
      <w:r>
        <w:rPr>
          <w:color w:val="auto"/>
          <w:highlight w:val="none"/>
        </w:rPr>
        <w:t>第七章  询问、质疑及投诉</w:t>
      </w:r>
      <w:bookmarkEnd w:id="56"/>
    </w:p>
    <w:p>
      <w:pPr>
        <w:pStyle w:val="20"/>
        <w:spacing w:line="360" w:lineRule="auto"/>
        <w:ind w:firstLine="480" w:firstLineChars="200"/>
        <w:rPr>
          <w:rFonts w:ascii="仿宋_GB2312" w:eastAsia="仿宋_GB2312"/>
          <w:color w:val="auto"/>
          <w:sz w:val="24"/>
          <w:highlight w:val="none"/>
        </w:rPr>
      </w:pPr>
      <w:r>
        <w:rPr>
          <w:rFonts w:ascii="仿宋_GB2312" w:eastAsia="仿宋_GB2312"/>
          <w:color w:val="auto"/>
          <w:sz w:val="24"/>
          <w:highlight w:val="none"/>
        </w:rPr>
        <w:t>参照</w:t>
      </w:r>
      <w:r>
        <w:rPr>
          <w:rFonts w:hint="eastAsia" w:ascii="仿宋_GB2312" w:eastAsia="仿宋_GB2312"/>
          <w:color w:val="auto"/>
          <w:sz w:val="24"/>
          <w:highlight w:val="none"/>
        </w:rPr>
        <w:t>《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w:t>
      </w:r>
      <w:r>
        <w:rPr>
          <w:rFonts w:ascii="仿宋_GB2312" w:eastAsia="仿宋_GB2312"/>
          <w:color w:val="auto"/>
          <w:sz w:val="24"/>
          <w:highlight w:val="none"/>
        </w:rPr>
        <w:t>等法律法规</w:t>
      </w:r>
      <w:r>
        <w:rPr>
          <w:rFonts w:hint="eastAsia" w:ascii="仿宋_GB2312" w:eastAsia="仿宋_GB2312"/>
          <w:color w:val="auto"/>
          <w:sz w:val="24"/>
          <w:highlight w:val="none"/>
        </w:rPr>
        <w:t>的规定，供应商可以依法</w:t>
      </w:r>
      <w:r>
        <w:rPr>
          <w:rFonts w:ascii="仿宋_GB2312" w:eastAsia="仿宋_GB2312"/>
          <w:color w:val="auto"/>
          <w:sz w:val="24"/>
          <w:highlight w:val="none"/>
        </w:rPr>
        <w:t>提出询问、</w:t>
      </w:r>
      <w:r>
        <w:rPr>
          <w:rFonts w:hint="eastAsia" w:ascii="仿宋_GB2312" w:eastAsia="仿宋_GB2312"/>
          <w:color w:val="auto"/>
          <w:sz w:val="24"/>
          <w:highlight w:val="none"/>
        </w:rPr>
        <w:t>质疑和投诉。</w:t>
      </w:r>
    </w:p>
    <w:p>
      <w:pPr>
        <w:pStyle w:val="4"/>
        <w:spacing w:line="415" w:lineRule="auto"/>
        <w:jc w:val="center"/>
        <w:rPr>
          <w:color w:val="auto"/>
          <w:highlight w:val="none"/>
        </w:rPr>
      </w:pPr>
      <w:bookmarkStart w:id="57" w:name="_Toc643610539"/>
      <w:r>
        <w:rPr>
          <w:color w:val="auto"/>
          <w:highlight w:val="none"/>
        </w:rPr>
        <w:t>一、供应商询问</w:t>
      </w:r>
      <w:bookmarkEnd w:id="57"/>
    </w:p>
    <w:p>
      <w:pPr>
        <w:pStyle w:val="20"/>
        <w:spacing w:line="360" w:lineRule="auto"/>
        <w:ind w:left="0"/>
        <w:rPr>
          <w:rFonts w:ascii="仿宋_GB2312" w:eastAsia="仿宋_GB2312"/>
          <w:color w:val="auto"/>
          <w:sz w:val="24"/>
          <w:highlight w:val="none"/>
        </w:rPr>
      </w:pPr>
      <w:r>
        <w:rPr>
          <w:rFonts w:ascii="仿宋_GB2312" w:eastAsia="仿宋_GB2312"/>
          <w:color w:val="auto"/>
          <w:sz w:val="24"/>
          <w:highlight w:val="none"/>
        </w:rPr>
        <w:t>1.1</w:t>
      </w:r>
      <w:r>
        <w:rPr>
          <w:rFonts w:hint="eastAsia" w:ascii="仿宋_GB2312" w:eastAsia="仿宋_GB2312"/>
          <w:color w:val="auto"/>
          <w:sz w:val="24"/>
          <w:highlight w:val="none"/>
        </w:rPr>
        <w:t>供应商对</w:t>
      </w:r>
      <w:r>
        <w:rPr>
          <w:rFonts w:ascii="仿宋_GB2312" w:eastAsia="仿宋_GB2312"/>
          <w:color w:val="auto"/>
          <w:sz w:val="24"/>
          <w:highlight w:val="none"/>
        </w:rPr>
        <w:t>本项目</w:t>
      </w:r>
      <w:r>
        <w:rPr>
          <w:rFonts w:hint="eastAsia" w:ascii="仿宋_GB2312" w:eastAsia="仿宋_GB2312"/>
          <w:color w:val="auto"/>
          <w:sz w:val="24"/>
          <w:highlight w:val="none"/>
        </w:rPr>
        <w:t>有疑问的，可以向采购机构提出询问，采购机构将对供应商依法提出的询问作出答复，但答复的内容不得涉及商业秘密。</w:t>
      </w:r>
    </w:p>
    <w:p>
      <w:pPr>
        <w:pStyle w:val="20"/>
        <w:spacing w:line="360" w:lineRule="auto"/>
        <w:ind w:left="0"/>
        <w:rPr>
          <w:rFonts w:ascii="仿宋_GB2312" w:eastAsia="仿宋_GB2312"/>
          <w:color w:val="auto"/>
          <w:sz w:val="24"/>
          <w:highlight w:val="none"/>
        </w:rPr>
      </w:pPr>
      <w:r>
        <w:rPr>
          <w:rFonts w:ascii="仿宋_GB2312" w:eastAsia="仿宋_GB2312"/>
          <w:color w:val="auto"/>
          <w:sz w:val="24"/>
          <w:highlight w:val="none"/>
        </w:rPr>
        <w:t>1.2采购机构将在3个工作日内对供应商依法提出的询问作出答复。</w:t>
      </w:r>
    </w:p>
    <w:p>
      <w:pPr>
        <w:pStyle w:val="20"/>
        <w:spacing w:line="360" w:lineRule="auto"/>
        <w:ind w:left="0"/>
        <w:rPr>
          <w:rFonts w:hint="eastAsia" w:ascii="仿宋_GB2312" w:eastAsia="仿宋_GB2312"/>
          <w:color w:val="auto"/>
          <w:sz w:val="24"/>
          <w:highlight w:val="none"/>
        </w:rPr>
      </w:pPr>
      <w:r>
        <w:rPr>
          <w:rFonts w:ascii="仿宋_GB2312" w:eastAsia="仿宋_GB2312"/>
          <w:color w:val="auto"/>
          <w:sz w:val="24"/>
          <w:highlight w:val="none"/>
        </w:rPr>
        <w:t>1.3采购机构的一般通过电话形式答复。</w:t>
      </w:r>
    </w:p>
    <w:p>
      <w:pPr>
        <w:pStyle w:val="4"/>
        <w:spacing w:line="415" w:lineRule="auto"/>
        <w:jc w:val="center"/>
        <w:rPr>
          <w:color w:val="auto"/>
          <w:highlight w:val="none"/>
        </w:rPr>
      </w:pPr>
      <w:bookmarkStart w:id="58" w:name="_Toc643610540"/>
      <w:r>
        <w:rPr>
          <w:color w:val="auto"/>
          <w:highlight w:val="none"/>
        </w:rPr>
        <w:t>二、供应商质疑</w:t>
      </w:r>
      <w:bookmarkEnd w:id="58"/>
    </w:p>
    <w:p>
      <w:pPr>
        <w:pStyle w:val="20"/>
        <w:spacing w:line="360" w:lineRule="auto"/>
        <w:ind w:left="0"/>
        <w:rPr>
          <w:rFonts w:ascii="仿宋_GB2312" w:eastAsia="仿宋_GB2312"/>
          <w:b/>
          <w:bCs/>
          <w:color w:val="auto"/>
          <w:sz w:val="24"/>
          <w:highlight w:val="none"/>
        </w:rPr>
      </w:pPr>
      <w:r>
        <w:rPr>
          <w:rFonts w:hint="eastAsia" w:ascii="仿宋_GB2312" w:eastAsia="仿宋_GB2312"/>
          <w:b/>
          <w:bCs/>
          <w:color w:val="auto"/>
          <w:sz w:val="24"/>
          <w:highlight w:val="none"/>
        </w:rPr>
        <w:t>2.1</w:t>
      </w:r>
      <w:r>
        <w:rPr>
          <w:rFonts w:ascii="仿宋_GB2312" w:eastAsia="仿宋_GB2312"/>
          <w:b/>
          <w:bCs/>
          <w:color w:val="auto"/>
          <w:sz w:val="24"/>
          <w:highlight w:val="none"/>
        </w:rPr>
        <w:t>质疑有效期：</w:t>
      </w:r>
    </w:p>
    <w:p>
      <w:pPr>
        <w:pStyle w:val="20"/>
        <w:spacing w:line="360" w:lineRule="auto"/>
        <w:ind w:left="0" w:firstLine="480" w:firstLineChars="200"/>
        <w:rPr>
          <w:rFonts w:ascii="仿宋_GB2312" w:eastAsia="仿宋_GB2312"/>
          <w:color w:val="auto"/>
          <w:sz w:val="24"/>
          <w:highlight w:val="none"/>
        </w:rPr>
      </w:pPr>
      <w:r>
        <w:rPr>
          <w:rFonts w:hint="eastAsia" w:ascii="仿宋_GB2312" w:eastAsia="仿宋_GB2312"/>
          <w:color w:val="auto"/>
          <w:sz w:val="24"/>
          <w:highlight w:val="none"/>
        </w:rPr>
        <w:t>供应商认为采购文件、采购过程和成交结果使自己的权益受到损害的，可以在知道或者应知其权益受到损害之日起</w:t>
      </w:r>
      <w:r>
        <w:rPr>
          <w:rFonts w:hint="eastAsia" w:ascii="仿宋_GB2312" w:eastAsia="仿宋_GB2312"/>
          <w:b/>
          <w:bCs/>
          <w:color w:val="auto"/>
          <w:sz w:val="24"/>
          <w:highlight w:val="none"/>
        </w:rPr>
        <w:t>七个工作日内</w:t>
      </w:r>
      <w:r>
        <w:rPr>
          <w:rFonts w:hint="eastAsia" w:ascii="仿宋_GB2312" w:eastAsia="仿宋_GB2312"/>
          <w:color w:val="auto"/>
          <w:sz w:val="24"/>
          <w:highlight w:val="none"/>
        </w:rPr>
        <w:t>，以书面形式</w:t>
      </w:r>
      <w:r>
        <w:rPr>
          <w:rFonts w:hint="eastAsia" w:ascii="仿宋" w:eastAsia="仿宋"/>
          <w:b/>
          <w:bCs/>
          <w:color w:val="auto"/>
          <w:sz w:val="24"/>
          <w:highlight w:val="none"/>
        </w:rPr>
        <w:t>（或授权代表签字（盖章）并加盖投标供应商电子公章的数据电文）</w:t>
      </w:r>
      <w:r>
        <w:rPr>
          <w:rFonts w:hint="eastAsia" w:ascii="仿宋_GB2312" w:eastAsia="仿宋_GB2312"/>
          <w:color w:val="auto"/>
          <w:sz w:val="24"/>
          <w:highlight w:val="none"/>
        </w:rPr>
        <w:t>向</w:t>
      </w:r>
      <w:r>
        <w:rPr>
          <w:rFonts w:hint="eastAsia" w:ascii="仿宋_GB2312" w:eastAsia="仿宋_GB2312"/>
          <w:b/>
          <w:bCs/>
          <w:color w:val="auto"/>
          <w:sz w:val="24"/>
          <w:highlight w:val="none"/>
        </w:rPr>
        <w:t>采购机构</w:t>
      </w:r>
      <w:r>
        <w:rPr>
          <w:rFonts w:hint="eastAsia" w:ascii="仿宋_GB2312" w:eastAsia="仿宋_GB2312"/>
          <w:color w:val="auto"/>
          <w:sz w:val="24"/>
          <w:highlight w:val="none"/>
        </w:rPr>
        <w:t>提出质疑，否则，采购机构不予受理：</w:t>
      </w:r>
    </w:p>
    <w:p>
      <w:pPr>
        <w:pStyle w:val="20"/>
        <w:spacing w:line="360"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0"/>
        <w:spacing w:line="360" w:lineRule="auto"/>
        <w:ind w:firstLine="480" w:firstLineChars="200"/>
        <w:rPr>
          <w:rFonts w:ascii="仿宋_GB2312" w:eastAsia="仿宋_GB2312"/>
          <w:b/>
          <w:bCs/>
          <w:color w:val="auto"/>
          <w:sz w:val="24"/>
          <w:highlight w:val="none"/>
        </w:rPr>
      </w:pPr>
      <w:r>
        <w:rPr>
          <w:rFonts w:hint="eastAsia" w:ascii="仿宋_GB2312" w:eastAsia="仿宋_GB2312"/>
          <w:color w:val="auto"/>
          <w:sz w:val="24"/>
          <w:highlight w:val="none"/>
        </w:rPr>
        <w:t>（2）对采购过程提出质疑的，质疑期限为各采购程序环节结束之日起计算。</w:t>
      </w:r>
      <w:r>
        <w:rPr>
          <w:rFonts w:hint="eastAsia" w:ascii="仿宋_GB2312" w:eastAsia="仿宋_GB2312"/>
          <w:b/>
          <w:bCs/>
          <w:color w:val="auto"/>
          <w:sz w:val="24"/>
          <w:highlight w:val="none"/>
        </w:rPr>
        <w:t>供应商的法定代表人</w:t>
      </w:r>
      <w:r>
        <w:rPr>
          <w:rFonts w:ascii="仿宋_GB2312" w:eastAsia="仿宋_GB2312"/>
          <w:b/>
          <w:bCs/>
          <w:color w:val="auto"/>
          <w:sz w:val="24"/>
          <w:highlight w:val="none"/>
        </w:rPr>
        <w:t>（</w:t>
      </w:r>
      <w:r>
        <w:rPr>
          <w:rFonts w:hint="eastAsia" w:ascii="仿宋_GB2312" w:eastAsia="仿宋_GB2312"/>
          <w:b/>
          <w:bCs/>
          <w:color w:val="auto"/>
          <w:sz w:val="24"/>
          <w:highlight w:val="none"/>
        </w:rPr>
        <w:t>或其授权代表</w:t>
      </w:r>
      <w:r>
        <w:rPr>
          <w:rFonts w:ascii="仿宋_GB2312" w:eastAsia="仿宋_GB2312"/>
          <w:b/>
          <w:bCs/>
          <w:color w:val="auto"/>
          <w:sz w:val="24"/>
          <w:highlight w:val="none"/>
        </w:rPr>
        <w:t>）</w:t>
      </w:r>
      <w:r>
        <w:rPr>
          <w:rFonts w:hint="eastAsia" w:ascii="仿宋" w:eastAsia="仿宋"/>
          <w:b/>
          <w:bCs/>
          <w:color w:val="auto"/>
          <w:sz w:val="24"/>
          <w:highlight w:val="none"/>
        </w:rPr>
        <w:t>或个体工商户经营者</w:t>
      </w:r>
      <w:r>
        <w:rPr>
          <w:rFonts w:hint="eastAsia" w:ascii="仿宋_GB2312" w:eastAsia="仿宋_GB2312"/>
          <w:b/>
          <w:bCs/>
          <w:color w:val="auto"/>
          <w:sz w:val="24"/>
          <w:highlight w:val="none"/>
        </w:rPr>
        <w:t>未参加开标会议的，事后不得对采购相关人员、开标过程和开标结果提出</w:t>
      </w:r>
      <w:r>
        <w:rPr>
          <w:rFonts w:ascii="仿宋_GB2312" w:eastAsia="仿宋_GB2312"/>
          <w:b/>
          <w:bCs/>
          <w:color w:val="auto"/>
          <w:sz w:val="24"/>
          <w:highlight w:val="none"/>
        </w:rPr>
        <w:t>质疑</w:t>
      </w:r>
      <w:r>
        <w:rPr>
          <w:rFonts w:hint="eastAsia" w:ascii="仿宋_GB2312" w:eastAsia="仿宋_GB2312"/>
          <w:b/>
          <w:bCs/>
          <w:color w:val="auto"/>
          <w:sz w:val="24"/>
          <w:highlight w:val="none"/>
        </w:rPr>
        <w:t>。</w:t>
      </w:r>
    </w:p>
    <w:p>
      <w:pPr>
        <w:pStyle w:val="20"/>
        <w:spacing w:line="360"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（3）对采购结果提出质疑的，质疑期限自采购结果公告（包括公示、预公告、结果更正公告等）期限届满之日起计算。</w:t>
      </w:r>
    </w:p>
    <w:p>
      <w:pPr>
        <w:pStyle w:val="20"/>
        <w:spacing w:line="360"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（4）供应商应在法定质疑期内一次性提出针对同一采购程序环节的质疑。</w:t>
      </w:r>
      <w:r>
        <w:rPr>
          <w:rFonts w:ascii="仿宋_GB2312" w:eastAsia="仿宋_GB2312"/>
          <w:color w:val="auto"/>
          <w:sz w:val="24"/>
          <w:highlight w:val="none"/>
        </w:rPr>
        <w:t>提供新的事实或证据的除外。</w:t>
      </w:r>
    </w:p>
    <w:p>
      <w:pPr>
        <w:pStyle w:val="20"/>
        <w:spacing w:line="360" w:lineRule="auto"/>
        <w:ind w:left="0"/>
        <w:rPr>
          <w:rFonts w:ascii="仿宋_GB2312" w:eastAsia="仿宋_GB2312"/>
          <w:b/>
          <w:bCs/>
          <w:color w:val="auto"/>
          <w:sz w:val="24"/>
          <w:highlight w:val="none"/>
        </w:rPr>
      </w:pPr>
      <w:r>
        <w:rPr>
          <w:rFonts w:hint="eastAsia" w:ascii="仿宋_GB2312" w:eastAsia="仿宋_GB2312"/>
          <w:b/>
          <w:bCs/>
          <w:color w:val="auto"/>
          <w:sz w:val="24"/>
          <w:highlight w:val="none"/>
        </w:rPr>
        <w:t>2.</w:t>
      </w:r>
      <w:r>
        <w:rPr>
          <w:rFonts w:ascii="仿宋_GB2312" w:eastAsia="仿宋_GB2312"/>
          <w:b/>
          <w:bCs/>
          <w:color w:val="auto"/>
          <w:sz w:val="24"/>
          <w:highlight w:val="none"/>
        </w:rPr>
        <w:t>2质疑主体的有效性：</w:t>
      </w:r>
    </w:p>
    <w:p>
      <w:pPr>
        <w:pStyle w:val="20"/>
        <w:spacing w:line="360" w:lineRule="auto"/>
        <w:ind w:left="0"/>
        <w:rPr>
          <w:rFonts w:ascii="仿宋_GB2312" w:eastAsia="仿宋_GB2312"/>
          <w:color w:val="auto"/>
          <w:sz w:val="24"/>
          <w:highlight w:val="none"/>
        </w:rPr>
      </w:pPr>
      <w:r>
        <w:rPr>
          <w:rFonts w:ascii="仿宋_GB2312" w:eastAsia="仿宋_GB2312"/>
          <w:color w:val="auto"/>
          <w:sz w:val="24"/>
          <w:highlight w:val="none"/>
        </w:rPr>
        <w:t>2.2.1提出质疑的供应商应当是参与所质疑项目采购活动的供应商。</w:t>
      </w:r>
    </w:p>
    <w:p>
      <w:pPr>
        <w:pStyle w:val="20"/>
        <w:spacing w:line="360" w:lineRule="auto"/>
        <w:ind w:left="0"/>
        <w:rPr>
          <w:rFonts w:ascii="仿宋_GB2312" w:eastAsia="仿宋_GB2312"/>
          <w:color w:val="auto"/>
          <w:sz w:val="24"/>
          <w:highlight w:val="none"/>
        </w:rPr>
      </w:pPr>
      <w:r>
        <w:rPr>
          <w:rFonts w:ascii="仿宋_GB2312" w:eastAsia="仿宋_GB2312"/>
          <w:color w:val="auto"/>
          <w:sz w:val="24"/>
          <w:highlight w:val="none"/>
        </w:rPr>
        <w:t>2.2.2质疑人与质疑事项须存在利害关系,不得提出</w:t>
      </w:r>
      <w:r>
        <w:rPr>
          <w:rFonts w:hint="eastAsia" w:ascii="仿宋_GB2312" w:eastAsia="仿宋_GB2312"/>
          <w:color w:val="auto"/>
          <w:sz w:val="24"/>
          <w:highlight w:val="none"/>
        </w:rPr>
        <w:t>“</w:t>
      </w:r>
      <w:r>
        <w:rPr>
          <w:rFonts w:ascii="仿宋_GB2312" w:eastAsia="仿宋_GB2312"/>
          <w:color w:val="auto"/>
          <w:sz w:val="24"/>
          <w:highlight w:val="none"/>
        </w:rPr>
        <w:t>自杀式质疑</w:t>
      </w:r>
      <w:r>
        <w:rPr>
          <w:rFonts w:hint="eastAsia" w:ascii="仿宋_GB2312" w:eastAsia="仿宋_GB2312"/>
          <w:color w:val="auto"/>
          <w:sz w:val="24"/>
          <w:highlight w:val="none"/>
        </w:rPr>
        <w:t>”。</w:t>
      </w:r>
    </w:p>
    <w:p>
      <w:pPr>
        <w:pStyle w:val="20"/>
        <w:spacing w:line="360" w:lineRule="auto"/>
        <w:ind w:left="0"/>
        <w:rPr>
          <w:rFonts w:ascii="仿宋_GB2312" w:eastAsia="仿宋_GB2312"/>
          <w:b/>
          <w:bCs/>
          <w:color w:val="auto"/>
          <w:sz w:val="24"/>
          <w:highlight w:val="none"/>
        </w:rPr>
      </w:pPr>
      <w:r>
        <w:rPr>
          <w:rFonts w:ascii="仿宋_GB2312" w:eastAsia="仿宋_GB2312"/>
          <w:b/>
          <w:bCs/>
          <w:color w:val="auto"/>
          <w:sz w:val="24"/>
          <w:highlight w:val="none"/>
        </w:rPr>
        <w:t>2.3质疑的答复</w:t>
      </w:r>
    </w:p>
    <w:p>
      <w:pPr>
        <w:pStyle w:val="20"/>
        <w:spacing w:line="360"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采购机构</w:t>
      </w:r>
      <w:r>
        <w:rPr>
          <w:rFonts w:ascii="仿宋_GB2312" w:eastAsia="仿宋_GB2312"/>
          <w:color w:val="auto"/>
          <w:sz w:val="24"/>
          <w:highlight w:val="none"/>
        </w:rPr>
        <w:t>将</w:t>
      </w:r>
      <w:r>
        <w:rPr>
          <w:rFonts w:hint="eastAsia" w:ascii="仿宋_GB2312" w:eastAsia="仿宋_GB2312"/>
          <w:color w:val="auto"/>
          <w:sz w:val="24"/>
          <w:highlight w:val="none"/>
        </w:rPr>
        <w:t>在收到供应商的质疑后七个工作日内作出答复，并以</w:t>
      </w:r>
      <w:r>
        <w:rPr>
          <w:rFonts w:ascii="仿宋_GB2312" w:eastAsia="仿宋_GB2312"/>
          <w:color w:val="auto"/>
          <w:sz w:val="24"/>
          <w:highlight w:val="none"/>
        </w:rPr>
        <w:t>书面形式或数据电文形式</w:t>
      </w:r>
      <w:r>
        <w:rPr>
          <w:rFonts w:hint="eastAsia" w:ascii="仿宋_GB2312" w:eastAsia="仿宋_GB2312"/>
          <w:color w:val="auto"/>
          <w:sz w:val="24"/>
          <w:highlight w:val="none"/>
        </w:rPr>
        <w:t>通知质疑供应商和其他与质疑处理结果有利害关系的采购当事人，但答复的内容不得涉及商业秘密。</w:t>
      </w:r>
    </w:p>
    <w:p>
      <w:pPr>
        <w:pStyle w:val="20"/>
        <w:spacing w:line="360" w:lineRule="auto"/>
        <w:ind w:left="0" w:firstLine="480" w:firstLineChars="200"/>
        <w:rPr>
          <w:rFonts w:ascii="仿宋_GB2312" w:eastAsia="仿宋_GB2312"/>
          <w:color w:val="auto"/>
          <w:sz w:val="24"/>
          <w:highlight w:val="none"/>
        </w:rPr>
      </w:pPr>
      <w:r>
        <w:rPr>
          <w:rFonts w:hint="eastAsia" w:ascii="仿宋_GB2312" w:eastAsia="仿宋_GB2312"/>
          <w:color w:val="auto"/>
          <w:sz w:val="24"/>
          <w:highlight w:val="none"/>
        </w:rPr>
        <w:t>询问或者质疑事项可能影响采购结果的，采购人应当暂停签订合同，已经签订合同的，应当中止履行合同。</w:t>
      </w:r>
    </w:p>
    <w:p>
      <w:pPr>
        <w:pStyle w:val="20"/>
        <w:spacing w:line="360" w:lineRule="auto"/>
        <w:ind w:left="0"/>
        <w:rPr>
          <w:rFonts w:ascii="仿宋_GB2312" w:eastAsia="仿宋_GB2312"/>
          <w:b/>
          <w:bCs/>
          <w:color w:val="auto"/>
          <w:sz w:val="24"/>
          <w:highlight w:val="none"/>
        </w:rPr>
      </w:pPr>
      <w:r>
        <w:rPr>
          <w:rFonts w:ascii="仿宋_GB2312" w:eastAsia="仿宋_GB2312"/>
          <w:b/>
          <w:bCs/>
          <w:color w:val="auto"/>
          <w:sz w:val="24"/>
          <w:highlight w:val="none"/>
        </w:rPr>
        <w:t>2.4质疑的撤回</w:t>
      </w:r>
    </w:p>
    <w:p>
      <w:pPr>
        <w:widowControl/>
        <w:snapToGrid w:val="0"/>
        <w:spacing w:line="480" w:lineRule="exact"/>
        <w:ind w:firstLine="480" w:firstLineChars="200"/>
        <w:rPr>
          <w:rFonts w:ascii="仿宋" w:eastAsia="仿宋"/>
          <w:color w:val="auto"/>
          <w:kern w:val="0"/>
          <w:sz w:val="24"/>
          <w:highlight w:val="none"/>
        </w:rPr>
      </w:pPr>
      <w:r>
        <w:rPr>
          <w:rFonts w:ascii="仿宋" w:eastAsia="仿宋"/>
          <w:color w:val="auto"/>
          <w:kern w:val="0"/>
          <w:sz w:val="24"/>
          <w:highlight w:val="none"/>
        </w:rPr>
        <w:t>供应商可以通过书面形式（或加盖电子公章的数据电文）撤回已经被受理的质疑书。</w:t>
      </w:r>
    </w:p>
    <w:p>
      <w:pPr>
        <w:pStyle w:val="4"/>
        <w:keepNext/>
        <w:keepLines/>
        <w:pageBreakBefore w:val="0"/>
        <w:widowControl w:val="0"/>
        <w:suppressLineNumbers w:val="0"/>
        <w:suppressAutoHyphens w:val="0"/>
        <w:spacing w:line="415" w:lineRule="auto"/>
        <w:rPr>
          <w:color w:val="auto"/>
          <w:highlight w:val="none"/>
        </w:rPr>
      </w:pPr>
      <w:bookmarkStart w:id="59" w:name="_Toc643610541"/>
      <w:r>
        <w:rPr>
          <w:color w:val="auto"/>
          <w:highlight w:val="none"/>
        </w:rPr>
        <w:t>三、供应商投诉</w:t>
      </w:r>
      <w:bookmarkEnd w:id="59"/>
    </w:p>
    <w:p>
      <w:pPr>
        <w:widowControl/>
        <w:snapToGrid w:val="0"/>
        <w:spacing w:line="480" w:lineRule="exact"/>
        <w:rPr>
          <w:rFonts w:ascii="仿宋" w:eastAsia="仿宋"/>
          <w:b/>
          <w:bCs/>
          <w:color w:val="auto"/>
          <w:kern w:val="0"/>
          <w:sz w:val="24"/>
          <w:highlight w:val="none"/>
        </w:rPr>
      </w:pPr>
      <w:r>
        <w:rPr>
          <w:rFonts w:ascii="仿宋" w:eastAsia="仿宋"/>
          <w:b/>
          <w:bCs/>
          <w:color w:val="auto"/>
          <w:kern w:val="0"/>
          <w:sz w:val="24"/>
          <w:highlight w:val="none"/>
        </w:rPr>
        <w:t>3.1投诉有效期</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质疑供应商对采购人、采购代理机构的答复不满意，或者采购人、采购代理机构未在规定时间内作出答复的，可以在答复期满后 15 个工作日内向采购监督部门提起投诉。</w:t>
      </w:r>
    </w:p>
    <w:p>
      <w:pPr>
        <w:widowControl/>
        <w:snapToGrid w:val="0"/>
        <w:spacing w:line="480" w:lineRule="exact"/>
        <w:rPr>
          <w:rFonts w:ascii="仿宋" w:eastAsia="仿宋"/>
          <w:b/>
          <w:bCs/>
          <w:color w:val="auto"/>
          <w:kern w:val="0"/>
          <w:sz w:val="24"/>
          <w:highlight w:val="none"/>
          <w:u w:val="single"/>
        </w:rPr>
      </w:pPr>
      <w:r>
        <w:rPr>
          <w:rFonts w:ascii="仿宋" w:eastAsia="仿宋"/>
          <w:b/>
          <w:bCs/>
          <w:color w:val="auto"/>
          <w:kern w:val="0"/>
          <w:sz w:val="24"/>
          <w:highlight w:val="none"/>
          <w:u w:val="single"/>
        </w:rPr>
        <w:t>特别提醒：质疑是投诉的前置程序，供应商必须先质疑后投诉。</w:t>
      </w:r>
    </w:p>
    <w:p>
      <w:pPr>
        <w:widowControl/>
        <w:snapToGrid w:val="0"/>
        <w:spacing w:line="480" w:lineRule="exact"/>
        <w:rPr>
          <w:rFonts w:ascii="仿宋" w:eastAsia="仿宋"/>
          <w:b/>
          <w:bCs/>
          <w:color w:val="auto"/>
          <w:kern w:val="0"/>
          <w:sz w:val="24"/>
          <w:highlight w:val="none"/>
        </w:rPr>
      </w:pPr>
      <w:r>
        <w:rPr>
          <w:rFonts w:ascii="仿宋" w:eastAsia="仿宋"/>
          <w:b/>
          <w:bCs/>
          <w:color w:val="auto"/>
          <w:kern w:val="0"/>
          <w:sz w:val="24"/>
          <w:highlight w:val="none"/>
        </w:rPr>
        <w:t>3.2投诉内容</w:t>
      </w:r>
    </w:p>
    <w:p>
      <w:pPr>
        <w:widowControl/>
        <w:snapToGrid w:val="0"/>
        <w:spacing w:line="480" w:lineRule="exact"/>
        <w:ind w:firstLine="480" w:firstLineChars="200"/>
        <w:rPr>
          <w:rFonts w:ascii="仿宋" w:eastAsia="仿宋"/>
          <w:color w:val="auto"/>
          <w:kern w:val="0"/>
          <w:sz w:val="24"/>
          <w:highlight w:val="none"/>
        </w:rPr>
      </w:pPr>
      <w:r>
        <w:rPr>
          <w:rFonts w:ascii="仿宋" w:eastAsia="仿宋"/>
          <w:color w:val="auto"/>
          <w:kern w:val="0"/>
          <w:sz w:val="24"/>
          <w:highlight w:val="none"/>
        </w:rPr>
        <w:t>供应商投诉的事项不得超出已质疑事项的范围，但基于质疑答复内容提出的投诉事项除外。</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 xml:space="preserve">    投诉书需包括以下内容：</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（一）投诉人和被投诉人的姓名或者名称、通讯地址、邮编、联系人及联系电话；</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（二）质疑和质疑答复情况说明及相关证明材料；</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（三）具体、明确的投诉事项和与投诉事项相关的投诉请求；</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（四）事实依据；</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（五）法律依据；</w:t>
      </w:r>
    </w:p>
    <w:p>
      <w:pPr>
        <w:widowControl/>
        <w:snapToGrid w:val="0"/>
        <w:spacing w:line="480" w:lineRule="exact"/>
        <w:rPr>
          <w:rFonts w:ascii="仿宋" w:eastAsia="仿宋"/>
          <w:color w:val="auto"/>
          <w:kern w:val="0"/>
          <w:sz w:val="24"/>
          <w:highlight w:val="none"/>
        </w:rPr>
      </w:pPr>
      <w:r>
        <w:rPr>
          <w:rFonts w:ascii="仿宋" w:eastAsia="仿宋"/>
          <w:color w:val="auto"/>
          <w:kern w:val="0"/>
          <w:sz w:val="24"/>
          <w:highlight w:val="none"/>
        </w:rPr>
        <w:t>（六）提起投诉的日期。</w:t>
      </w:r>
    </w:p>
    <w:p>
      <w:pPr>
        <w:widowControl/>
        <w:snapToGrid w:val="0"/>
        <w:spacing w:line="480" w:lineRule="exact"/>
        <w:ind w:firstLine="480" w:firstLineChars="200"/>
        <w:rPr>
          <w:rFonts w:ascii="仿宋" w:eastAsia="仿宋"/>
          <w:color w:val="auto"/>
          <w:kern w:val="0"/>
          <w:sz w:val="24"/>
          <w:highlight w:val="none"/>
        </w:rPr>
      </w:pPr>
      <w:r>
        <w:rPr>
          <w:rFonts w:ascii="仿宋" w:eastAsia="仿宋"/>
          <w:color w:val="auto"/>
          <w:kern w:val="0"/>
          <w:sz w:val="24"/>
          <w:highlight w:val="none"/>
        </w:rPr>
        <w:t>投诉人为自然人的，应当由本人签字；投诉人为法人或者其他组织的，应当由法定代表人、主要负责人，或者其授权代表签字或者盖章，并加盖公章。</w:t>
      </w:r>
    </w:p>
    <w:p>
      <w:pPr>
        <w:widowControl/>
        <w:snapToGrid w:val="0"/>
        <w:spacing w:line="480" w:lineRule="exact"/>
        <w:rPr>
          <w:rFonts w:ascii="仿宋" w:eastAsia="仿宋"/>
          <w:color w:val="auto"/>
          <w:kern w:val="0"/>
          <w:sz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p>
      <w:pPr>
        <w:widowControl/>
        <w:snapToGrid w:val="0"/>
        <w:spacing w:line="480" w:lineRule="exact"/>
        <w:rPr>
          <w:rFonts w:hint="eastAsia" w:ascii="仿宋" w:eastAsia="仿宋" w:cs="宋体"/>
          <w:b/>
          <w:bCs/>
          <w:color w:val="auto"/>
          <w:kern w:val="0"/>
          <w:sz w:val="24"/>
          <w:szCs w:val="24"/>
          <w:highlight w:val="none"/>
        </w:rPr>
      </w:pPr>
      <w:r>
        <w:rPr>
          <w:rFonts w:hint="eastAsia" w:ascii="仿宋" w:eastAsia="仿宋" w:cs="宋体"/>
          <w:b/>
          <w:bCs/>
          <w:color w:val="auto"/>
          <w:kern w:val="0"/>
          <w:sz w:val="24"/>
          <w:szCs w:val="24"/>
          <w:highlight w:val="none"/>
        </w:rPr>
        <w:t>附件：质疑函范本</w:t>
      </w:r>
    </w:p>
    <w:p>
      <w:pPr>
        <w:jc w:val="center"/>
        <w:rPr>
          <w:rFonts w:hint="eastAsia" w:ascii="仿宋" w:eastAsia="仿宋" w:cs="仿宋"/>
          <w:b/>
          <w:bCs/>
          <w:color w:val="auto"/>
          <w:sz w:val="24"/>
          <w:szCs w:val="24"/>
          <w:highlight w:val="none"/>
        </w:rPr>
      </w:pPr>
      <w:r>
        <w:rPr>
          <w:rFonts w:hint="eastAsia" w:ascii="仿宋" w:eastAsia="仿宋" w:cs="仿宋"/>
          <w:b/>
          <w:bCs/>
          <w:color w:val="auto"/>
          <w:sz w:val="24"/>
          <w:szCs w:val="24"/>
          <w:highlight w:val="none"/>
        </w:rPr>
        <w:t>质疑函</w:t>
      </w:r>
    </w:p>
    <w:p>
      <w:pPr>
        <w:adjustRightInd w:val="0"/>
        <w:snapToGrid w:val="0"/>
        <w:spacing w:before="312" w:beforeLines="100" w:line="360" w:lineRule="auto"/>
        <w:rPr>
          <w:rFonts w:hint="eastAsia" w:ascii="仿宋" w:eastAsia="仿宋" w:cs="仿宋"/>
          <w:bCs/>
          <w:color w:val="auto"/>
          <w:sz w:val="24"/>
          <w:szCs w:val="24"/>
          <w:highlight w:val="none"/>
        </w:rPr>
      </w:pPr>
      <w:r>
        <w:rPr>
          <w:rFonts w:hint="eastAsia" w:ascii="仿宋" w:eastAsia="仿宋" w:cs="仿宋"/>
          <w:bCs/>
          <w:color w:val="auto"/>
          <w:sz w:val="24"/>
          <w:szCs w:val="24"/>
          <w:highlight w:val="none"/>
        </w:rPr>
        <w:t>一、质疑供应商基本信息</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质疑供应商：</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地址：</w:t>
      </w:r>
      <w:r>
        <w:rPr>
          <w:rFonts w:hint="eastAsia" w:ascii="仿宋" w:eastAsia="仿宋" w:cs="仿宋"/>
          <w:color w:val="auto"/>
          <w:sz w:val="24"/>
          <w:szCs w:val="24"/>
          <w:highlight w:val="none"/>
          <w:u w:val="single"/>
        </w:rPr>
        <w:t xml:space="preserve">                                </w:t>
      </w:r>
      <w:r>
        <w:rPr>
          <w:rFonts w:hint="eastAsia" w:ascii="仿宋" w:eastAsia="仿宋" w:cs="仿宋"/>
          <w:color w:val="auto"/>
          <w:sz w:val="24"/>
          <w:szCs w:val="24"/>
          <w:highlight w:val="none"/>
        </w:rPr>
        <w:t>邮编：</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授权代表：</w:t>
      </w:r>
      <w:r>
        <w:rPr>
          <w:rFonts w:hint="eastAsia" w:ascii="仿宋" w:eastAsia="仿宋" w:cs="仿宋"/>
          <w:color w:val="auto"/>
          <w:sz w:val="24"/>
          <w:szCs w:val="24"/>
          <w:highlight w:val="none"/>
          <w:u w:val="single"/>
        </w:rPr>
        <w:t xml:space="preserve">                   </w:t>
      </w:r>
      <w:r>
        <w:rPr>
          <w:rFonts w:hint="eastAsia" w:ascii="仿宋" w:eastAsia="仿宋" w:cs="仿宋"/>
          <w:color w:val="auto"/>
          <w:sz w:val="24"/>
          <w:szCs w:val="24"/>
          <w:highlight w:val="none"/>
        </w:rPr>
        <w:t>联系电话：</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邮箱：</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bCs/>
          <w:color w:val="auto"/>
          <w:sz w:val="24"/>
          <w:szCs w:val="24"/>
          <w:highlight w:val="none"/>
        </w:rPr>
      </w:pPr>
      <w:r>
        <w:rPr>
          <w:rFonts w:hint="eastAsia" w:ascii="仿宋" w:eastAsia="仿宋" w:cs="仿宋"/>
          <w:bCs/>
          <w:color w:val="auto"/>
          <w:sz w:val="24"/>
          <w:szCs w:val="24"/>
          <w:highlight w:val="none"/>
        </w:rPr>
        <w:t>二、质疑项目基本情况</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质疑项目的名称：</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质疑项目的编号：</w:t>
      </w:r>
      <w:r>
        <w:rPr>
          <w:rFonts w:hint="eastAsia" w:ascii="仿宋" w:eastAsia="仿宋" w:cs="仿宋"/>
          <w:color w:val="auto"/>
          <w:sz w:val="24"/>
          <w:szCs w:val="24"/>
          <w:highlight w:val="none"/>
          <w:u w:val="single"/>
        </w:rPr>
        <w:t xml:space="preserve">               </w:t>
      </w:r>
      <w:r>
        <w:rPr>
          <w:rFonts w:hint="eastAsia" w:ascii="仿宋" w:eastAsia="仿宋" w:cs="仿宋"/>
          <w:color w:val="auto"/>
          <w:sz w:val="24"/>
          <w:szCs w:val="24"/>
          <w:highlight w:val="none"/>
        </w:rPr>
        <w:t>标项：</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采购人名称：</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ascii="仿宋" w:eastAsia="仿宋" w:cs="仿宋"/>
          <w:color w:val="auto"/>
          <w:sz w:val="24"/>
          <w:szCs w:val="24"/>
          <w:highlight w:val="none"/>
        </w:rPr>
        <w:t>采购</w:t>
      </w:r>
      <w:r>
        <w:rPr>
          <w:rFonts w:hint="eastAsia" w:ascii="仿宋" w:eastAsia="仿宋" w:cs="仿宋"/>
          <w:color w:val="auto"/>
          <w:sz w:val="24"/>
          <w:szCs w:val="24"/>
          <w:highlight w:val="none"/>
        </w:rPr>
        <w:t>文件获取日期：</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bCs/>
          <w:color w:val="auto"/>
          <w:sz w:val="24"/>
          <w:szCs w:val="24"/>
          <w:highlight w:val="none"/>
        </w:rPr>
      </w:pPr>
      <w:r>
        <w:rPr>
          <w:rFonts w:hint="eastAsia" w:ascii="仿宋" w:eastAsia="仿宋" w:cs="仿宋"/>
          <w:bCs/>
          <w:color w:val="auto"/>
          <w:sz w:val="24"/>
          <w:szCs w:val="24"/>
          <w:highlight w:val="none"/>
        </w:rPr>
        <w:t>三、质疑事项具体内容</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质疑事项1：</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事实依据：</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法律依据：</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质疑事项2</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w:t>
      </w:r>
    </w:p>
    <w:p>
      <w:pPr>
        <w:adjustRightInd w:val="0"/>
        <w:snapToGrid w:val="0"/>
        <w:spacing w:line="360" w:lineRule="auto"/>
        <w:rPr>
          <w:rFonts w:hint="eastAsia" w:ascii="仿宋" w:eastAsia="仿宋" w:cs="仿宋"/>
          <w:bCs/>
          <w:color w:val="auto"/>
          <w:sz w:val="24"/>
          <w:szCs w:val="24"/>
          <w:highlight w:val="none"/>
        </w:rPr>
      </w:pPr>
      <w:r>
        <w:rPr>
          <w:rFonts w:hint="eastAsia" w:ascii="仿宋" w:eastAsia="仿宋" w:cs="仿宋"/>
          <w:bCs/>
          <w:color w:val="auto"/>
          <w:sz w:val="24"/>
          <w:szCs w:val="24"/>
          <w:highlight w:val="none"/>
        </w:rPr>
        <w:t>四、与质疑事项相关的请求</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请求1：</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请求2：</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w:t>
      </w:r>
    </w:p>
    <w:p>
      <w:pPr>
        <w:adjustRightInd w:val="0"/>
        <w:snapToGrid w:val="0"/>
        <w:spacing w:line="360" w:lineRule="auto"/>
        <w:rPr>
          <w:rFonts w:hint="eastAsia" w:ascii="仿宋" w:eastAsia="仿宋" w:cs="仿宋"/>
          <w:b/>
          <w:bCs/>
          <w:color w:val="auto"/>
          <w:sz w:val="24"/>
          <w:szCs w:val="24"/>
          <w:highlight w:val="none"/>
        </w:rPr>
      </w:pPr>
      <w:r>
        <w:rPr>
          <w:rFonts w:hint="eastAsia" w:ascii="仿宋" w:eastAsia="仿宋" w:cs="仿宋"/>
          <w:b/>
          <w:bCs/>
          <w:color w:val="auto"/>
          <w:sz w:val="24"/>
          <w:szCs w:val="24"/>
          <w:highlight w:val="none"/>
        </w:rPr>
        <w:t>本公司承诺接受数据电文形式</w:t>
      </w:r>
      <w:r>
        <w:rPr>
          <w:rFonts w:ascii="仿宋" w:eastAsia="仿宋" w:cs="仿宋"/>
          <w:b/>
          <w:bCs/>
          <w:color w:val="auto"/>
          <w:sz w:val="24"/>
          <w:szCs w:val="24"/>
          <w:highlight w:val="none"/>
        </w:rPr>
        <w:t>（加盖电子签章）</w:t>
      </w:r>
      <w:r>
        <w:rPr>
          <w:rFonts w:hint="eastAsia" w:ascii="仿宋" w:eastAsia="仿宋" w:cs="仿宋"/>
          <w:b/>
          <w:bCs/>
          <w:color w:val="auto"/>
          <w:sz w:val="24"/>
          <w:szCs w:val="24"/>
          <w:highlight w:val="none"/>
        </w:rPr>
        <w:t>的质疑答复，视为书面答复。</w:t>
      </w:r>
    </w:p>
    <w:p>
      <w:pPr>
        <w:adjustRightInd w:val="0"/>
        <w:snapToGrid w:val="0"/>
        <w:spacing w:line="360" w:lineRule="auto"/>
        <w:rPr>
          <w:rFonts w:hint="eastAsia" w:ascii="仿宋" w:eastAsia="仿宋" w:cs="仿宋"/>
          <w:b/>
          <w:bCs/>
          <w:color w:val="auto"/>
          <w:sz w:val="24"/>
          <w:szCs w:val="24"/>
          <w:highlight w:val="none"/>
          <w:u w:val="double"/>
          <w:lang w:eastAsia="zh-CN"/>
        </w:rPr>
      </w:pPr>
      <w:r>
        <w:rPr>
          <w:rFonts w:hint="eastAsia" w:ascii="仿宋" w:eastAsia="仿宋" w:cs="仿宋"/>
          <w:b/>
          <w:bCs/>
          <w:color w:val="auto"/>
          <w:sz w:val="24"/>
          <w:szCs w:val="24"/>
          <w:highlight w:val="none"/>
          <w:u w:val="double"/>
          <w:lang w:eastAsia="zh-CN"/>
        </w:rPr>
        <w:t>（需附供应商法定代表人的授权委托书，以委托授权代表提出质疑，格式自拟）</w:t>
      </w:r>
    </w:p>
    <w:p>
      <w:pPr>
        <w:rPr>
          <w:rFonts w:hint="eastAsia" w:ascii="仿宋" w:eastAsia="仿宋"/>
          <w:color w:val="auto"/>
          <w:sz w:val="24"/>
          <w:szCs w:val="24"/>
          <w:highlight w:val="none"/>
        </w:rPr>
      </w:pPr>
      <w:r>
        <w:rPr>
          <w:rFonts w:hint="eastAsia" w:ascii="仿宋" w:eastAsia="仿宋"/>
          <w:color w:val="auto"/>
          <w:sz w:val="24"/>
          <w:szCs w:val="24"/>
          <w:highlight w:val="none"/>
        </w:rPr>
        <w:t xml:space="preserve">授权代表签字(签章)：                 供应商签章：                      </w:t>
      </w:r>
    </w:p>
    <w:p>
      <w:pPr>
        <w:rPr>
          <w:rFonts w:hint="eastAsia" w:ascii="仿宋" w:eastAsia="仿宋"/>
          <w:color w:val="auto"/>
          <w:sz w:val="24"/>
          <w:szCs w:val="24"/>
          <w:highlight w:val="none"/>
        </w:rPr>
      </w:pPr>
      <w:r>
        <w:rPr>
          <w:rFonts w:hint="eastAsia" w:ascii="仿宋" w:eastAsia="仿宋"/>
          <w:color w:val="auto"/>
          <w:sz w:val="24"/>
          <w:szCs w:val="24"/>
          <w:highlight w:val="none"/>
        </w:rPr>
        <w:t xml:space="preserve">日期：    </w:t>
      </w:r>
    </w:p>
    <w:p>
      <w:pPr>
        <w:adjustRightInd w:val="0"/>
        <w:snapToGrid w:val="0"/>
        <w:spacing w:line="360" w:lineRule="auto"/>
        <w:rPr>
          <w:rFonts w:hint="eastAsia" w:ascii="仿宋" w:eastAsia="仿宋" w:cs="仿宋"/>
          <w:color w:val="auto"/>
          <w:sz w:val="24"/>
          <w:szCs w:val="24"/>
          <w:highlight w:val="none"/>
        </w:rPr>
      </w:pPr>
    </w:p>
    <w:p>
      <w:pPr>
        <w:adjustRightInd w:val="0"/>
        <w:snapToGrid w:val="0"/>
        <w:spacing w:line="360" w:lineRule="auto"/>
        <w:rPr>
          <w:rFonts w:hint="eastAsia" w:ascii="仿宋" w:eastAsia="仿宋" w:cs="宋体"/>
          <w:color w:val="auto"/>
          <w:kern w:val="0"/>
          <w:sz w:val="24"/>
          <w:szCs w:val="24"/>
          <w:highlight w:val="none"/>
        </w:rPr>
      </w:pPr>
    </w:p>
    <w:p>
      <w:pPr>
        <w:widowControl/>
        <w:snapToGrid w:val="0"/>
        <w:spacing w:line="480" w:lineRule="exact"/>
        <w:rPr>
          <w:rFonts w:ascii="仿宋" w:eastAsia="仿宋" w:cs="宋体"/>
          <w:color w:val="auto"/>
          <w:kern w:val="0"/>
          <w:sz w:val="24"/>
          <w:szCs w:val="24"/>
          <w:highlight w:val="none"/>
        </w:rPr>
      </w:pPr>
    </w:p>
    <w:sectPr>
      <w:pgSz w:w="11907" w:h="16840"/>
      <w:pgMar w:top="1440" w:right="1236" w:bottom="1440" w:left="1803" w:header="851" w:footer="992" w:gutter="0"/>
      <w:pgBorders>
        <w:top w:val="none" w:sz="0" w:space="0"/>
        <w:left w:val="none" w:sz="0" w:space="0"/>
        <w:bottom w:val="none" w:sz="0" w:space="0"/>
        <w:right w:val="none" w:sz="0" w:space="0"/>
      </w:pgBorders>
      <w:cols w:space="0" w:num="1"/>
      <w:rtlGutter w:val="0"/>
      <w:docGrid w:type="lines" w:linePitch="31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pBdr>
        <w:top w:val="none" w:color="auto" w:sz="0" w:space="0"/>
        <w:left w:val="none" w:color="auto" w:sz="0" w:space="0"/>
        <w:bottom w:val="none" w:color="auto" w:sz="0" w:space="0"/>
        <w:right w:val="none" w:color="auto" w:sz="0" w:space="0"/>
      </w:pBdr>
    </w:pPr>
    <w:r>
      <w:rPr>
        <w:rStyle w:val="32"/>
      </w:rPr>
      <w:fldChar w:fldCharType="begin"/>
    </w:r>
    <w:r>
      <w:rPr>
        <w:rStyle w:val="32"/>
      </w:rPr>
      <w:instrText xml:space="preserve">Page</w:instrText>
    </w:r>
    <w:r>
      <w:rPr>
        <w:rStyle w:val="32"/>
      </w:rPr>
      <w:fldChar w:fldCharType="separate"/>
    </w:r>
    <w:r>
      <w:rPr>
        <w:rStyle w:val="32"/>
      </w:rPr>
      <w:t>1</w:t>
    </w:r>
    <w:r>
      <w:rPr>
        <w:rStyle w:val="32"/>
      </w:rPr>
      <w:fldChar w:fldCharType="end"/>
    </w:r>
  </w:p>
  <w:p>
    <w:pPr>
      <w:pStyle w:val="22"/>
      <w:framePr w:wrap="around" w:vAnchor="text" w:hAnchor="margin" w:xAlign="center" w:y="1"/>
      <w:pBdr>
        <w:top w:val="none" w:color="auto" w:sz="0" w:space="0"/>
        <w:left w:val="none" w:color="auto" w:sz="0" w:space="0"/>
        <w:bottom w:val="none" w:color="auto" w:sz="0" w:space="0"/>
        <w:right w:val="none" w:color="auto" w:sz="0" w:space="0"/>
      </w:pBdr>
    </w:pPr>
    <w:r>
      <w:rPr>
        <w:rStyle w:val="32"/>
      </w:rPr>
      <w:fldChar w:fldCharType="begin"/>
    </w:r>
    <w:r>
      <w:rPr>
        <w:rStyle w:val="32"/>
      </w:rPr>
      <w:instrText xml:space="preserve">Page</w:instrText>
    </w:r>
    <w:r>
      <w:rPr>
        <w:rStyle w:val="32"/>
      </w:rPr>
      <w:fldChar w:fldCharType="separate"/>
    </w:r>
    <w:r>
      <w:rPr>
        <w:rStyle w:val="32"/>
      </w:rPr>
      <w:t>1</w:t>
    </w:r>
    <w:r>
      <w:rPr>
        <w:rStyle w:val="32"/>
      </w:rPr>
      <w:fldChar w:fldCharType="end"/>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pPr>
    <w:r>
      <w:rPr>
        <w:rStyle w:val="32"/>
      </w:rPr>
      <w:fldChar w:fldCharType="begin"/>
    </w:r>
    <w:r>
      <w:rPr>
        <w:rStyle w:val="32"/>
      </w:rPr>
      <w:instrText xml:space="preserve">Page</w:instrText>
    </w:r>
    <w:r>
      <w:rPr>
        <w:rStyle w:val="32"/>
      </w:rPr>
      <w:fldChar w:fldCharType="separate"/>
    </w:r>
    <w:r>
      <w:rPr>
        <w:rStyle w:val="32"/>
      </w:rPr>
      <w:t>160</w:t>
    </w:r>
    <w:r>
      <w:rPr>
        <w:rStyle w:val="32"/>
      </w:rPr>
      <w:fldChar w:fldCharType="end"/>
    </w: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Bdr>
                              <w:top w:val="none" w:color="auto" w:sz="0" w:space="0"/>
                              <w:left w:val="none" w:color="auto" w:sz="0" w:space="0"/>
                              <w:bottom w:val="none" w:color="auto" w:sz="0" w:space="0"/>
                              <w:right w:val="none" w:color="auto" w:sz="0" w:space="0"/>
                            </w:pBdr>
                          </w:pPr>
                          <w:r>
                            <w:rPr>
                              <w:rStyle w:val="32"/>
                            </w:rPr>
                            <w:fldChar w:fldCharType="begin"/>
                          </w:r>
                          <w:r>
                            <w:rPr>
                              <w:rStyle w:val="32"/>
                            </w:rPr>
                            <w:instrText xml:space="preserve">Page</w:instrText>
                          </w:r>
                          <w:r>
                            <w:rPr>
                              <w:rStyle w:val="32"/>
                            </w:rPr>
                            <w:fldChar w:fldCharType="separate"/>
                          </w:r>
                          <w:r>
                            <w:rPr>
                              <w:rStyle w:val="32"/>
                            </w:rPr>
                            <w:t>1</w:t>
                          </w:r>
                          <w:r>
                            <w:rPr>
                              <w:rStyle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2"/>
                      <w:pBdr>
                        <w:top w:val="none" w:color="auto" w:sz="0" w:space="0"/>
                        <w:left w:val="none" w:color="auto" w:sz="0" w:space="0"/>
                        <w:bottom w:val="none" w:color="auto" w:sz="0" w:space="0"/>
                        <w:right w:val="none" w:color="auto" w:sz="0" w:space="0"/>
                      </w:pBdr>
                    </w:pPr>
                    <w:r>
                      <w:rPr>
                        <w:rStyle w:val="32"/>
                      </w:rPr>
                      <w:fldChar w:fldCharType="begin"/>
                    </w:r>
                    <w:r>
                      <w:rPr>
                        <w:rStyle w:val="32"/>
                      </w:rPr>
                      <w:instrText xml:space="preserve">Page</w:instrText>
                    </w:r>
                    <w:r>
                      <w:rPr>
                        <w:rStyle w:val="32"/>
                      </w:rPr>
                      <w:fldChar w:fldCharType="separate"/>
                    </w:r>
                    <w:r>
                      <w:rPr>
                        <w:rStyle w:val="32"/>
                      </w:rPr>
                      <w:t>1</w:t>
                    </w:r>
                    <w:r>
                      <w:rPr>
                        <w:rStyle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306"/>
        <w:tab w:val="clear" w:pos="8307"/>
      </w:tabs>
      <w:jc w:val="both"/>
    </w:pPr>
    <w:r>
      <w:rPr>
        <w:rFonts w:hint="eastAsia"/>
      </w:rPr>
      <w:t xml:space="preserve"> 招标编号：YCDL2022-02-0004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9E8E01"/>
    <w:multiLevelType w:val="multilevel"/>
    <w:tmpl w:val="A89E8E01"/>
    <w:lvl w:ilvl="0" w:tentative="0">
      <w:start w:val="1"/>
      <w:numFmt w:val="chineseCountingThousand"/>
      <w:lvlText w:val="%1、"/>
      <w:legacy w:legacy="1" w:legacySpace="0" w:legacyIndent="480"/>
      <w:lvlJc w:val="left"/>
      <w:pPr>
        <w:ind w:left="960" w:hanging="48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1">
    <w:nsid w:val="B46DDD72"/>
    <w:multiLevelType w:val="multilevel"/>
    <w:tmpl w:val="B46DDD72"/>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2">
    <w:nsid w:val="E8E7227D"/>
    <w:multiLevelType w:val="multilevel"/>
    <w:tmpl w:val="E8E7227D"/>
    <w:lvl w:ilvl="0" w:tentative="0">
      <w:start w:val="1"/>
      <w:numFmt w:val="chineseCountingThousand"/>
      <w:lvlText w:val="%1、"/>
      <w:legacy w:legacy="1" w:legacySpace="0" w:legacyIndent="532"/>
      <w:lvlJc w:val="left"/>
      <w:pPr>
        <w:ind w:left="1174" w:hanging="532"/>
      </w:pPr>
    </w:lvl>
    <w:lvl w:ilvl="1" w:tentative="0">
      <w:start w:val="1"/>
      <w:numFmt w:val="lowerLetter"/>
      <w:lvlText w:val="%2)"/>
      <w:legacy w:legacy="1" w:legacySpace="0" w:legacyIndent="420"/>
      <w:lvlJc w:val="left"/>
      <w:pPr>
        <w:ind w:left="1482" w:hanging="420"/>
      </w:pPr>
    </w:lvl>
    <w:lvl w:ilvl="2" w:tentative="0">
      <w:start w:val="1"/>
      <w:numFmt w:val="lowerRoman"/>
      <w:lvlText w:val="%3."/>
      <w:legacy w:legacy="1" w:legacySpace="0" w:legacyIndent="420"/>
      <w:lvlJc w:val="right"/>
      <w:pPr>
        <w:ind w:left="1902" w:hanging="420"/>
      </w:pPr>
    </w:lvl>
    <w:lvl w:ilvl="3" w:tentative="0">
      <w:start w:val="1"/>
      <w:numFmt w:val="decimal"/>
      <w:lvlText w:val="%4."/>
      <w:legacy w:legacy="1" w:legacySpace="0" w:legacyIndent="420"/>
      <w:lvlJc w:val="left"/>
      <w:pPr>
        <w:ind w:left="2322" w:hanging="420"/>
      </w:pPr>
    </w:lvl>
    <w:lvl w:ilvl="4" w:tentative="0">
      <w:start w:val="1"/>
      <w:numFmt w:val="lowerLetter"/>
      <w:lvlText w:val="%5)"/>
      <w:legacy w:legacy="1" w:legacySpace="0" w:legacyIndent="420"/>
      <w:lvlJc w:val="left"/>
      <w:pPr>
        <w:ind w:left="2742" w:hanging="420"/>
      </w:pPr>
    </w:lvl>
    <w:lvl w:ilvl="5" w:tentative="0">
      <w:start w:val="1"/>
      <w:numFmt w:val="lowerRoman"/>
      <w:lvlText w:val="%6."/>
      <w:legacy w:legacy="1" w:legacySpace="0" w:legacyIndent="420"/>
      <w:lvlJc w:val="right"/>
      <w:pPr>
        <w:ind w:left="3162" w:hanging="420"/>
      </w:pPr>
    </w:lvl>
    <w:lvl w:ilvl="6" w:tentative="0">
      <w:start w:val="1"/>
      <w:numFmt w:val="decimal"/>
      <w:lvlText w:val="%7."/>
      <w:legacy w:legacy="1" w:legacySpace="0" w:legacyIndent="420"/>
      <w:lvlJc w:val="left"/>
      <w:pPr>
        <w:ind w:left="3582" w:hanging="420"/>
      </w:pPr>
    </w:lvl>
    <w:lvl w:ilvl="7" w:tentative="0">
      <w:start w:val="1"/>
      <w:numFmt w:val="lowerLetter"/>
      <w:lvlText w:val="%8)"/>
      <w:legacy w:legacy="1" w:legacySpace="0" w:legacyIndent="420"/>
      <w:lvlJc w:val="left"/>
      <w:pPr>
        <w:ind w:left="4002" w:hanging="420"/>
      </w:pPr>
    </w:lvl>
    <w:lvl w:ilvl="8" w:tentative="0">
      <w:start w:val="1"/>
      <w:numFmt w:val="lowerRoman"/>
      <w:lvlText w:val="%9."/>
      <w:legacy w:legacy="1" w:legacySpace="0" w:legacyIndent="420"/>
      <w:lvlJc w:val="right"/>
      <w:pPr>
        <w:ind w:left="4422" w:hanging="420"/>
      </w:pPr>
    </w:lvl>
  </w:abstractNum>
  <w:abstractNum w:abstractNumId="3">
    <w:nsid w:val="060BEC42"/>
    <w:multiLevelType w:val="singleLevel"/>
    <w:tmpl w:val="060BEC42"/>
    <w:lvl w:ilvl="0" w:tentative="0">
      <w:start w:val="3"/>
      <w:numFmt w:val="decimal"/>
      <w:suff w:val="nothing"/>
      <w:lvlText w:val="%1、"/>
      <w:lvlJc w:val="left"/>
      <w:pPr>
        <w:tabs>
          <w:tab w:val="left" w:pos="0"/>
        </w:tabs>
        <w:ind w:left="0" w:firstLine="0"/>
      </w:pPr>
    </w:lvl>
  </w:abstractNum>
  <w:abstractNum w:abstractNumId="4">
    <w:nsid w:val="44A34A14"/>
    <w:multiLevelType w:val="multilevel"/>
    <w:tmpl w:val="44A34A14"/>
    <w:lvl w:ilvl="0" w:tentative="0">
      <w:start w:val="1"/>
      <w:numFmt w:val="decimal"/>
      <w:lvlText w:val="%1、"/>
      <w:legacy w:legacy="1" w:legacySpace="0" w:legacyIndent="432"/>
      <w:lvlJc w:val="left"/>
      <w:pPr>
        <w:ind w:left="432" w:hanging="432"/>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5">
    <w:nsid w:val="49B75228"/>
    <w:multiLevelType w:val="singleLevel"/>
    <w:tmpl w:val="49B75228"/>
    <w:lvl w:ilvl="0" w:tentative="0">
      <w:start w:val="1"/>
      <w:numFmt w:val="decimal"/>
      <w:pStyle w:val="8"/>
      <w:lvlText w:val="%1、"/>
      <w:lvlJc w:val="left"/>
      <w:pPr>
        <w:tabs>
          <w:tab w:val="left" w:pos="0"/>
        </w:tabs>
        <w:ind w:left="840" w:hanging="420"/>
      </w:pPr>
      <w:rPr>
        <w:rFonts w:ascii="Cambria" w:hAnsi="Cambria" w:eastAsia="微软雅黑" w:cs="Times New Roman"/>
      </w:rPr>
    </w:lvl>
  </w:abstractNum>
  <w:abstractNum w:abstractNumId="6">
    <w:nsid w:val="72696FE3"/>
    <w:multiLevelType w:val="multilevel"/>
    <w:tmpl w:val="72696FE3"/>
    <w:lvl w:ilvl="0" w:tentative="0">
      <w:start w:val="1"/>
      <w:numFmt w:val="decimal"/>
      <w:lvlText w:val="%1."/>
      <w:lvlJc w:val="left"/>
      <w:pPr>
        <w:tabs>
          <w:tab w:val="left" w:pos="0"/>
        </w:tabs>
        <w:ind w:left="360" w:hanging="36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7">
    <w:nsid w:val="7372D99F"/>
    <w:multiLevelType w:val="multilevel"/>
    <w:tmpl w:val="7372D99F"/>
    <w:lvl w:ilvl="0" w:tentative="0">
      <w:start w:val="1"/>
      <w:numFmt w:val="decimal"/>
      <w:lvlText w:val="%1."/>
      <w:legacy w:legacy="1" w:legacySpace="0" w:legacyIndent="425"/>
      <w:lvlJc w:val="left"/>
      <w:pPr>
        <w:ind w:left="425" w:hanging="425"/>
      </w:pPr>
    </w:lvl>
    <w:lvl w:ilvl="1" w:tentative="0">
      <w:start w:val="1"/>
      <w:numFmt w:val="decimal"/>
      <w:pStyle w:val="38"/>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753FD89E"/>
    <w:multiLevelType w:val="multilevel"/>
    <w:tmpl w:val="753FD89E"/>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num w:numId="1">
    <w:abstractNumId w:val="5"/>
  </w:num>
  <w:num w:numId="2">
    <w:abstractNumId w:val="7"/>
  </w:num>
  <w:num w:numId="3">
    <w:abstractNumId w:val="0"/>
  </w:num>
  <w:num w:numId="4">
    <w:abstractNumId w:val="3"/>
  </w:num>
  <w:num w:numId="5">
    <w:abstractNumId w:val="6"/>
  </w:num>
  <w:num w:numId="6">
    <w:abstractNumId w:val="2"/>
  </w:num>
  <w:num w:numId="7">
    <w:abstractNumId w:val="4"/>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enforcement="0"/>
  <w:defaultTabStop w:val="420"/>
  <w:drawingGridHorizontalSpacing w:val="105"/>
  <w:drawingGridVerticalSpacing w:val="15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
  <w:docVars>
    <w:docVar w:name="commondata" w:val="eyJoZGlkIjoiN2YzMTc2OGYxMDY3YjE4N2Y4M2ZkMTUwYjVjZWE4NzkifQ=="/>
  </w:docVars>
  <w:rsids>
    <w:rsidRoot w:val="00000000"/>
    <w:rsid w:val="00C621A8"/>
    <w:rsid w:val="028D019E"/>
    <w:rsid w:val="03632543"/>
    <w:rsid w:val="0384761A"/>
    <w:rsid w:val="04001E75"/>
    <w:rsid w:val="043D2180"/>
    <w:rsid w:val="04F14900"/>
    <w:rsid w:val="05AA179D"/>
    <w:rsid w:val="065D5161"/>
    <w:rsid w:val="074303CF"/>
    <w:rsid w:val="08695758"/>
    <w:rsid w:val="09F976F6"/>
    <w:rsid w:val="0A346857"/>
    <w:rsid w:val="0A831432"/>
    <w:rsid w:val="0A911A78"/>
    <w:rsid w:val="0BF26AED"/>
    <w:rsid w:val="0D896A37"/>
    <w:rsid w:val="0DB46A3D"/>
    <w:rsid w:val="0F5A5835"/>
    <w:rsid w:val="0FD42FC1"/>
    <w:rsid w:val="10285F85"/>
    <w:rsid w:val="10D95939"/>
    <w:rsid w:val="122E03FA"/>
    <w:rsid w:val="1289071D"/>
    <w:rsid w:val="130F6871"/>
    <w:rsid w:val="142C3B55"/>
    <w:rsid w:val="14E848BF"/>
    <w:rsid w:val="150D1EA9"/>
    <w:rsid w:val="1616701B"/>
    <w:rsid w:val="16D04299"/>
    <w:rsid w:val="177612A9"/>
    <w:rsid w:val="17D428DA"/>
    <w:rsid w:val="18193D46"/>
    <w:rsid w:val="19B46840"/>
    <w:rsid w:val="1C6A22EF"/>
    <w:rsid w:val="1D0A51B3"/>
    <w:rsid w:val="1E0A510A"/>
    <w:rsid w:val="21B31C30"/>
    <w:rsid w:val="22412276"/>
    <w:rsid w:val="23FE3883"/>
    <w:rsid w:val="246C2AAA"/>
    <w:rsid w:val="25936472"/>
    <w:rsid w:val="260C423F"/>
    <w:rsid w:val="271464B0"/>
    <w:rsid w:val="28122BE5"/>
    <w:rsid w:val="29AD76E1"/>
    <w:rsid w:val="29DA4F76"/>
    <w:rsid w:val="2A96499A"/>
    <w:rsid w:val="2B7E19CE"/>
    <w:rsid w:val="2C0C356B"/>
    <w:rsid w:val="2C492DA9"/>
    <w:rsid w:val="2C605F3A"/>
    <w:rsid w:val="2D0F6D59"/>
    <w:rsid w:val="2D2D3A37"/>
    <w:rsid w:val="2DCB3685"/>
    <w:rsid w:val="2E5D3029"/>
    <w:rsid w:val="2E756153"/>
    <w:rsid w:val="2ED15ABA"/>
    <w:rsid w:val="30A512C8"/>
    <w:rsid w:val="30AC0FB2"/>
    <w:rsid w:val="3166515D"/>
    <w:rsid w:val="33095598"/>
    <w:rsid w:val="342F7A89"/>
    <w:rsid w:val="34A81BBA"/>
    <w:rsid w:val="35FD6389"/>
    <w:rsid w:val="36A30E1E"/>
    <w:rsid w:val="37317C9C"/>
    <w:rsid w:val="37975C12"/>
    <w:rsid w:val="382E5CE5"/>
    <w:rsid w:val="398D430B"/>
    <w:rsid w:val="399E6145"/>
    <w:rsid w:val="39CA5411"/>
    <w:rsid w:val="3A18450B"/>
    <w:rsid w:val="3A363B32"/>
    <w:rsid w:val="3E177435"/>
    <w:rsid w:val="3E2100D1"/>
    <w:rsid w:val="3E626D38"/>
    <w:rsid w:val="3E7A2248"/>
    <w:rsid w:val="3F262E35"/>
    <w:rsid w:val="3F4A58EA"/>
    <w:rsid w:val="4025203B"/>
    <w:rsid w:val="40577274"/>
    <w:rsid w:val="40962DFC"/>
    <w:rsid w:val="41A91B37"/>
    <w:rsid w:val="41CF2149"/>
    <w:rsid w:val="44FA19ED"/>
    <w:rsid w:val="45BD3146"/>
    <w:rsid w:val="466D4392"/>
    <w:rsid w:val="477B2066"/>
    <w:rsid w:val="47B95AE4"/>
    <w:rsid w:val="47DB78D7"/>
    <w:rsid w:val="47F910C5"/>
    <w:rsid w:val="48286EAD"/>
    <w:rsid w:val="48ED492F"/>
    <w:rsid w:val="490B0DCE"/>
    <w:rsid w:val="4AA976E1"/>
    <w:rsid w:val="4B62209A"/>
    <w:rsid w:val="4D185106"/>
    <w:rsid w:val="4E277412"/>
    <w:rsid w:val="4EC826C2"/>
    <w:rsid w:val="4F8744DC"/>
    <w:rsid w:val="4FB009A1"/>
    <w:rsid w:val="514341F4"/>
    <w:rsid w:val="52466141"/>
    <w:rsid w:val="52C40E46"/>
    <w:rsid w:val="5377255A"/>
    <w:rsid w:val="56AA6DC0"/>
    <w:rsid w:val="56DF6C95"/>
    <w:rsid w:val="57F329F7"/>
    <w:rsid w:val="58142346"/>
    <w:rsid w:val="592A795F"/>
    <w:rsid w:val="59356E10"/>
    <w:rsid w:val="5A90452E"/>
    <w:rsid w:val="5AA97E96"/>
    <w:rsid w:val="5B3A4803"/>
    <w:rsid w:val="5B5673B9"/>
    <w:rsid w:val="5B875883"/>
    <w:rsid w:val="5C8005D2"/>
    <w:rsid w:val="5D3F66DF"/>
    <w:rsid w:val="5D9F53BC"/>
    <w:rsid w:val="5E843D1D"/>
    <w:rsid w:val="5F453528"/>
    <w:rsid w:val="5F481CA4"/>
    <w:rsid w:val="5FC559F5"/>
    <w:rsid w:val="60160FC9"/>
    <w:rsid w:val="61390939"/>
    <w:rsid w:val="6173718F"/>
    <w:rsid w:val="638265D8"/>
    <w:rsid w:val="64727A97"/>
    <w:rsid w:val="652F470F"/>
    <w:rsid w:val="67AE3793"/>
    <w:rsid w:val="67ED3625"/>
    <w:rsid w:val="695042F9"/>
    <w:rsid w:val="697F0213"/>
    <w:rsid w:val="69E706C0"/>
    <w:rsid w:val="6A6B4662"/>
    <w:rsid w:val="6AB40B6E"/>
    <w:rsid w:val="6AEE7222"/>
    <w:rsid w:val="6B4440CC"/>
    <w:rsid w:val="6BC42873"/>
    <w:rsid w:val="6C435C5D"/>
    <w:rsid w:val="6CF37666"/>
    <w:rsid w:val="6D102C7E"/>
    <w:rsid w:val="6DF7775D"/>
    <w:rsid w:val="6DF8337A"/>
    <w:rsid w:val="6F060138"/>
    <w:rsid w:val="6F216A9E"/>
    <w:rsid w:val="71A32F9D"/>
    <w:rsid w:val="72B5268B"/>
    <w:rsid w:val="734022CE"/>
    <w:rsid w:val="73C95D04"/>
    <w:rsid w:val="748C2CF5"/>
    <w:rsid w:val="74C80C1C"/>
    <w:rsid w:val="75201B39"/>
    <w:rsid w:val="75A90FD9"/>
    <w:rsid w:val="760A449C"/>
    <w:rsid w:val="76362499"/>
    <w:rsid w:val="76493E19"/>
    <w:rsid w:val="76FD328D"/>
    <w:rsid w:val="77FE6B23"/>
    <w:rsid w:val="78B418D7"/>
    <w:rsid w:val="78BB0EB8"/>
    <w:rsid w:val="7B1971C3"/>
    <w:rsid w:val="7B7B616C"/>
    <w:rsid w:val="7C036CE1"/>
    <w:rsid w:val="7DE06C63"/>
    <w:rsid w:val="7EDF1193"/>
    <w:rsid w:val="D75C7995"/>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240" w:lineRule="auto"/>
      <w:jc w:val="both"/>
    </w:pPr>
    <w:rPr>
      <w:rFonts w:ascii="Times New Roman" w:hAnsi="Times New Roman" w:eastAsia="宋体" w:cs="Times New Roman"/>
      <w:kern w:val="2"/>
      <w:sz w:val="21"/>
      <w:szCs w:val="20"/>
      <w:lang w:val="en-US" w:eastAsia="zh-CN" w:bidi="ar-SA"/>
    </w:rPr>
  </w:style>
  <w:style w:type="paragraph" w:styleId="3">
    <w:name w:val="heading 1"/>
    <w:basedOn w:val="1"/>
    <w:next w:val="1"/>
    <w:autoRedefine/>
    <w:qFormat/>
    <w:uiPriority w:val="0"/>
    <w:pPr>
      <w:keepNext/>
      <w:keepLines/>
      <w:widowControl w:val="0"/>
      <w:spacing w:before="340" w:after="330" w:line="578" w:lineRule="auto"/>
      <w:jc w:val="center"/>
      <w:outlineLvl w:val="0"/>
    </w:pPr>
    <w:rPr>
      <w:rFonts w:eastAsia="仿宋"/>
      <w:b/>
      <w:kern w:val="44"/>
      <w:sz w:val="44"/>
    </w:rPr>
  </w:style>
  <w:style w:type="paragraph" w:styleId="4">
    <w:name w:val="heading 2"/>
    <w:basedOn w:val="1"/>
    <w:next w:val="1"/>
    <w:autoRedefine/>
    <w:qFormat/>
    <w:uiPriority w:val="0"/>
    <w:pPr>
      <w:keepNext/>
      <w:keepLines/>
      <w:widowControl w:val="0"/>
      <w:spacing w:before="260" w:after="260" w:line="415" w:lineRule="auto"/>
      <w:jc w:val="center"/>
      <w:outlineLvl w:val="1"/>
    </w:pPr>
    <w:rPr>
      <w:rFonts w:ascii="Arial" w:hAnsi="Arial" w:eastAsia="仿宋"/>
      <w:b/>
      <w:sz w:val="32"/>
    </w:rPr>
  </w:style>
  <w:style w:type="paragraph" w:styleId="5">
    <w:name w:val="heading 3"/>
    <w:basedOn w:val="1"/>
    <w:next w:val="1"/>
    <w:autoRedefine/>
    <w:qFormat/>
    <w:uiPriority w:val="0"/>
    <w:pPr>
      <w:keepNext/>
      <w:keepLines/>
      <w:widowControl w:val="0"/>
      <w:spacing w:before="260" w:after="260" w:line="415" w:lineRule="auto"/>
      <w:outlineLvl w:val="2"/>
    </w:pPr>
    <w:rPr>
      <w:b/>
      <w:sz w:val="32"/>
    </w:rPr>
  </w:style>
  <w:style w:type="paragraph" w:styleId="6">
    <w:name w:val="heading 4"/>
    <w:basedOn w:val="1"/>
    <w:next w:val="1"/>
    <w:autoRedefine/>
    <w:qFormat/>
    <w:uiPriority w:val="0"/>
    <w:pPr>
      <w:keepNext/>
      <w:keepLines/>
      <w:widowControl w:val="0"/>
      <w:spacing w:before="280" w:after="290" w:line="377" w:lineRule="auto"/>
      <w:outlineLvl w:val="3"/>
    </w:pPr>
    <w:rPr>
      <w:rFonts w:ascii="Arial" w:hAnsi="Arial" w:eastAsia="黑体"/>
      <w:b/>
      <w:sz w:val="28"/>
    </w:rPr>
  </w:style>
  <w:style w:type="character" w:default="1" w:styleId="30">
    <w:name w:val="Default Paragraph Font"/>
    <w:autoRedefine/>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2">
    <w:name w:val="List Paragraph"/>
    <w:basedOn w:val="1"/>
    <w:autoRedefine/>
    <w:qFormat/>
    <w:uiPriority w:val="34"/>
    <w:pPr>
      <w:ind w:firstLine="420" w:firstLineChars="200"/>
    </w:pPr>
  </w:style>
  <w:style w:type="paragraph" w:styleId="7">
    <w:name w:val="List Number 2"/>
    <w:basedOn w:val="1"/>
    <w:autoRedefine/>
    <w:qFormat/>
    <w:uiPriority w:val="0"/>
    <w:pPr>
      <w:widowControl/>
      <w:tabs>
        <w:tab w:val="left" w:pos="1697"/>
      </w:tabs>
      <w:spacing w:after="50" w:afterLines="50"/>
      <w:ind w:left="1697" w:hanging="420"/>
      <w:jc w:val="left"/>
    </w:pPr>
    <w:rPr>
      <w:rFonts w:ascii="Times New Roman" w:hAnsi="Times New Roman" w:eastAsia="宋体" w:cs="Times New Roman"/>
      <w:kern w:val="0"/>
      <w:sz w:val="24"/>
      <w:szCs w:val="20"/>
      <w:lang w:val="en-US" w:eastAsia="zh-CN" w:bidi="ar-SA"/>
    </w:rPr>
  </w:style>
  <w:style w:type="paragraph" w:styleId="8">
    <w:name w:val="List Number"/>
    <w:autoRedefine/>
    <w:qFormat/>
    <w:uiPriority w:val="0"/>
    <w:pPr>
      <w:widowControl/>
      <w:numPr>
        <w:ilvl w:val="0"/>
        <w:numId w:val="1"/>
      </w:numPr>
      <w:tabs>
        <w:tab w:val="left" w:pos="454"/>
      </w:tabs>
      <w:spacing w:after="50" w:afterLines="50"/>
      <w:ind w:left="454" w:hanging="284"/>
      <w:jc w:val="left"/>
    </w:pPr>
    <w:rPr>
      <w:rFonts w:ascii="Times New Roman" w:hAnsi="Times New Roman" w:eastAsia="宋体" w:cs="Times New Roman"/>
      <w:kern w:val="0"/>
      <w:sz w:val="24"/>
      <w:szCs w:val="20"/>
      <w:lang w:val="en-US" w:eastAsia="zh-CN" w:bidi="ar-SA"/>
    </w:rPr>
  </w:style>
  <w:style w:type="paragraph" w:styleId="9">
    <w:name w:val="Normal Indent"/>
    <w:autoRedefine/>
    <w:qFormat/>
    <w:uiPriority w:val="0"/>
    <w:pPr>
      <w:widowControl w:val="0"/>
      <w:ind w:firstLine="420"/>
      <w:jc w:val="both"/>
    </w:pPr>
    <w:rPr>
      <w:rFonts w:ascii="Calibri" w:hAnsi="Calibri" w:eastAsia="宋体" w:cs="Times New Roman"/>
      <w:kern w:val="2"/>
      <w:sz w:val="21"/>
      <w:szCs w:val="20"/>
      <w:lang w:val="en-US" w:eastAsia="zh-CN" w:bidi="ar-SA"/>
    </w:rPr>
  </w:style>
  <w:style w:type="paragraph" w:styleId="10">
    <w:name w:val="caption"/>
    <w:next w:val="1"/>
    <w:autoRedefine/>
    <w:qFormat/>
    <w:uiPriority w:val="0"/>
    <w:pPr>
      <w:widowControl w:val="0"/>
      <w:spacing w:before="152" w:after="160"/>
      <w:jc w:val="both"/>
    </w:pPr>
    <w:rPr>
      <w:rFonts w:ascii="Arial" w:hAnsi="Arial" w:eastAsia="黑体" w:cs="Times New Roman"/>
      <w:kern w:val="2"/>
      <w:sz w:val="20"/>
      <w:szCs w:val="20"/>
      <w:lang w:val="en-US" w:eastAsia="zh-CN" w:bidi="ar-SA"/>
    </w:rPr>
  </w:style>
  <w:style w:type="paragraph" w:styleId="11">
    <w:name w:val="toa heading"/>
    <w:basedOn w:val="1"/>
    <w:next w:val="1"/>
    <w:autoRedefine/>
    <w:qFormat/>
    <w:uiPriority w:val="99"/>
    <w:pPr>
      <w:spacing w:before="120"/>
    </w:pPr>
    <w:rPr>
      <w:rFonts w:ascii="Arial" w:hAnsi="Arial"/>
      <w:sz w:val="24"/>
      <w:szCs w:val="20"/>
    </w:rPr>
  </w:style>
  <w:style w:type="paragraph" w:styleId="12">
    <w:name w:val="annotation text"/>
    <w:basedOn w:val="1"/>
    <w:autoRedefine/>
    <w:qFormat/>
    <w:uiPriority w:val="0"/>
    <w:pPr>
      <w:jc w:val="left"/>
    </w:pPr>
  </w:style>
  <w:style w:type="paragraph" w:styleId="13">
    <w:name w:val="Body Text 3"/>
    <w:autoRedefine/>
    <w:qFormat/>
    <w:uiPriority w:val="0"/>
    <w:pPr>
      <w:widowControl w:val="0"/>
      <w:snapToGrid w:val="0"/>
      <w:spacing w:before="50" w:after="50"/>
      <w:jc w:val="both"/>
    </w:pPr>
    <w:rPr>
      <w:rFonts w:ascii="Times New Roman" w:hAnsi="Times New Roman" w:eastAsia="仿宋_GB2312" w:cs="Times New Roman"/>
      <w:b/>
      <w:bCs/>
      <w:kern w:val="2"/>
      <w:sz w:val="24"/>
      <w:szCs w:val="20"/>
      <w:lang w:val="en-US" w:eastAsia="zh-CN" w:bidi="ar-SA"/>
    </w:rPr>
  </w:style>
  <w:style w:type="paragraph" w:styleId="14">
    <w:name w:val="Body Text"/>
    <w:basedOn w:val="1"/>
    <w:next w:val="15"/>
    <w:autoRedefine/>
    <w:qFormat/>
    <w:uiPriority w:val="0"/>
    <w:pPr>
      <w:spacing w:line="360" w:lineRule="auto"/>
    </w:pPr>
  </w:style>
  <w:style w:type="paragraph" w:styleId="15">
    <w:name w:val="Body Text First Indent"/>
    <w:basedOn w:val="14"/>
    <w:next w:val="1"/>
    <w:autoRedefine/>
    <w:qFormat/>
    <w:uiPriority w:val="0"/>
    <w:pPr>
      <w:ind w:firstLine="100" w:firstLineChars="100"/>
    </w:pPr>
    <w:rPr>
      <w:szCs w:val="24"/>
    </w:rPr>
  </w:style>
  <w:style w:type="paragraph" w:styleId="16">
    <w:name w:val="Body Text Indent"/>
    <w:basedOn w:val="1"/>
    <w:next w:val="17"/>
    <w:autoRedefine/>
    <w:qFormat/>
    <w:uiPriority w:val="0"/>
    <w:pPr>
      <w:widowControl w:val="0"/>
      <w:spacing w:after="120"/>
      <w:ind w:left="200" w:leftChars="200"/>
      <w:jc w:val="both"/>
    </w:pPr>
    <w:rPr>
      <w:rFonts w:ascii="Times New Roman" w:hAnsi="Times New Roman" w:eastAsia="宋体" w:cs="Times New Roman"/>
      <w:kern w:val="2"/>
      <w:sz w:val="21"/>
      <w:szCs w:val="24"/>
      <w:lang w:val="en-US" w:eastAsia="zh-CN" w:bidi="ar-SA"/>
    </w:rPr>
  </w:style>
  <w:style w:type="paragraph" w:styleId="17">
    <w:name w:val="Body Text First Indent 2"/>
    <w:basedOn w:val="16"/>
    <w:next w:val="1"/>
    <w:autoRedefine/>
    <w:qFormat/>
    <w:uiPriority w:val="0"/>
    <w:pPr>
      <w:adjustRightInd/>
      <w:spacing w:after="120" w:afterLines="0" w:line="240" w:lineRule="auto"/>
      <w:ind w:left="420" w:leftChars="200" w:firstLine="210"/>
    </w:pPr>
    <w:rPr>
      <w:sz w:val="21"/>
    </w:rPr>
  </w:style>
  <w:style w:type="paragraph" w:styleId="18">
    <w:name w:val="toc 5"/>
    <w:basedOn w:val="1"/>
    <w:next w:val="1"/>
    <w:autoRedefine/>
    <w:qFormat/>
    <w:uiPriority w:val="0"/>
    <w:pPr>
      <w:ind w:left="1680"/>
    </w:pPr>
  </w:style>
  <w:style w:type="paragraph" w:styleId="19">
    <w:name w:val="toc 3"/>
    <w:basedOn w:val="1"/>
    <w:next w:val="1"/>
    <w:autoRedefine/>
    <w:qFormat/>
    <w:uiPriority w:val="0"/>
    <w:pPr>
      <w:ind w:left="840"/>
    </w:pPr>
  </w:style>
  <w:style w:type="paragraph" w:styleId="20">
    <w:name w:val="Plain Text"/>
    <w:autoRedefine/>
    <w:qFormat/>
    <w:uiPriority w:val="0"/>
    <w:pPr>
      <w:widowControl w:val="0"/>
      <w:jc w:val="both"/>
    </w:pPr>
    <w:rPr>
      <w:rFonts w:ascii="宋体" w:hAnsi="Times New Roman" w:eastAsia="宋体" w:cs="Times New Roman"/>
      <w:kern w:val="2"/>
      <w:sz w:val="21"/>
      <w:szCs w:val="20"/>
      <w:lang w:val="en-US" w:eastAsia="zh-CN" w:bidi="ar-SA"/>
    </w:rPr>
  </w:style>
  <w:style w:type="paragraph" w:styleId="21">
    <w:name w:val="Date"/>
    <w:basedOn w:val="1"/>
    <w:next w:val="1"/>
    <w:autoRedefine/>
    <w:qFormat/>
    <w:uiPriority w:val="0"/>
    <w:pPr>
      <w:ind w:left="2500" w:leftChars="2500"/>
    </w:pPr>
  </w:style>
  <w:style w:type="paragraph" w:styleId="22">
    <w:name w:val="footer"/>
    <w:basedOn w:val="1"/>
    <w:autoRedefine/>
    <w:qFormat/>
    <w:uiPriority w:val="0"/>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23">
    <w:name w:val="header"/>
    <w:basedOn w:val="1"/>
    <w:autoRedefine/>
    <w:qFormat/>
    <w:uiPriority w:val="0"/>
    <w:pPr>
      <w:pBdr>
        <w:bottom w:val="single" w:color="auto" w:sz="6" w:space="1"/>
      </w:pBdr>
      <w:tabs>
        <w:tab w:val="center" w:pos="4153"/>
        <w:tab w:val="right" w:pos="8307"/>
      </w:tabs>
      <w:snapToGrid w:val="0"/>
      <w:jc w:val="center"/>
    </w:pPr>
    <w:rPr>
      <w:sz w:val="18"/>
    </w:rPr>
  </w:style>
  <w:style w:type="paragraph" w:styleId="24">
    <w:name w:val="toc 1"/>
    <w:basedOn w:val="1"/>
    <w:next w:val="1"/>
    <w:autoRedefine/>
    <w:qFormat/>
    <w:uiPriority w:val="0"/>
  </w:style>
  <w:style w:type="paragraph" w:styleId="25">
    <w:name w:val="toc 4"/>
    <w:basedOn w:val="1"/>
    <w:next w:val="1"/>
    <w:autoRedefine/>
    <w:qFormat/>
    <w:uiPriority w:val="0"/>
    <w:pPr>
      <w:ind w:left="1260"/>
    </w:pPr>
  </w:style>
  <w:style w:type="paragraph" w:styleId="26">
    <w:name w:val="toc 2"/>
    <w:basedOn w:val="1"/>
    <w:next w:val="1"/>
    <w:autoRedefine/>
    <w:qFormat/>
    <w:uiPriority w:val="0"/>
    <w:pPr>
      <w:ind w:left="420"/>
    </w:pPr>
  </w:style>
  <w:style w:type="paragraph" w:styleId="27">
    <w:name w:val="annotation subject"/>
    <w:basedOn w:val="12"/>
    <w:next w:val="12"/>
    <w:autoRedefine/>
    <w:qFormat/>
    <w:uiPriority w:val="0"/>
    <w:rPr>
      <w:b/>
    </w:r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0"/>
    <w:rPr>
      <w:b/>
    </w:rPr>
  </w:style>
  <w:style w:type="character" w:styleId="32">
    <w:name w:val="page number"/>
    <w:basedOn w:val="30"/>
    <w:autoRedefine/>
    <w:qFormat/>
    <w:uiPriority w:val="0"/>
  </w:style>
  <w:style w:type="character" w:styleId="33">
    <w:name w:val="Hyperlink"/>
    <w:autoRedefine/>
    <w:qFormat/>
    <w:uiPriority w:val="0"/>
    <w:rPr>
      <w:color w:val="0000FF"/>
      <w:u w:val="single"/>
    </w:rPr>
  </w:style>
  <w:style w:type="paragraph" w:customStyle="1" w:styleId="34">
    <w:name w:val="Heading1"/>
    <w:basedOn w:val="1"/>
    <w:next w:val="1"/>
    <w:autoRedefine/>
    <w:qFormat/>
    <w:uiPriority w:val="0"/>
    <w:pPr>
      <w:keepNext/>
      <w:keepLines/>
      <w:spacing w:before="340" w:after="330" w:line="576" w:lineRule="auto"/>
      <w:textAlignment w:val="baseline"/>
    </w:pPr>
    <w:rPr>
      <w:b/>
      <w:bCs/>
      <w:kern w:val="44"/>
      <w:sz w:val="44"/>
      <w:szCs w:val="44"/>
    </w:rPr>
  </w:style>
  <w:style w:type="paragraph" w:customStyle="1" w:styleId="35">
    <w:name w:val="正文段"/>
    <w:autoRedefine/>
    <w:qFormat/>
    <w:uiPriority w:val="0"/>
    <w:pPr>
      <w:widowControl/>
      <w:snapToGrid w:val="0"/>
      <w:spacing w:after="50" w:afterLines="50"/>
      <w:ind w:firstLine="200" w:firstLineChars="200"/>
      <w:jc w:val="both"/>
    </w:pPr>
    <w:rPr>
      <w:rFonts w:ascii="Calibri" w:hAnsi="Calibri" w:eastAsia="宋体" w:cs="Times New Roman"/>
      <w:kern w:val="0"/>
      <w:sz w:val="24"/>
      <w:szCs w:val="20"/>
      <w:lang w:val="en-US" w:eastAsia="zh-CN" w:bidi="ar-SA"/>
    </w:rPr>
  </w:style>
  <w:style w:type="paragraph" w:customStyle="1" w:styleId="36">
    <w:name w:val="Proposals body"/>
    <w:next w:val="1"/>
    <w:autoRedefine/>
    <w:qFormat/>
    <w:uiPriority w:val="0"/>
    <w:pPr>
      <w:widowControl/>
      <w:spacing w:line="360" w:lineRule="auto"/>
      <w:jc w:val="left"/>
    </w:pPr>
    <w:rPr>
      <w:rFonts w:ascii="宋体" w:hAnsi="Times New Roman" w:eastAsia="宋体" w:cs="Times New Roman"/>
      <w:snapToGrid w:val="0"/>
      <w:color w:val="000000"/>
      <w:kern w:val="0"/>
      <w:sz w:val="24"/>
      <w:szCs w:val="20"/>
      <w:lang w:val="en-US" w:eastAsia="zh-CN" w:bidi="ar-SA"/>
    </w:rPr>
  </w:style>
  <w:style w:type="paragraph" w:customStyle="1" w:styleId="37">
    <w:name w:val="正文文字 7"/>
    <w:basedOn w:val="1"/>
    <w:next w:val="1"/>
    <w:autoRedefine/>
    <w:qFormat/>
    <w:uiPriority w:val="0"/>
    <w:pPr>
      <w:ind w:left="240"/>
    </w:pPr>
    <w:rPr>
      <w:sz w:val="20"/>
    </w:rPr>
  </w:style>
  <w:style w:type="paragraph" w:customStyle="1" w:styleId="38">
    <w:name w:val="正文文字 8"/>
    <w:next w:val="1"/>
    <w:autoRedefine/>
    <w:qFormat/>
    <w:uiPriority w:val="0"/>
    <w:pPr>
      <w:widowControl w:val="0"/>
      <w:numPr>
        <w:ilvl w:val="1"/>
        <w:numId w:val="2"/>
      </w:numPr>
      <w:spacing w:line="240" w:lineRule="auto"/>
      <w:ind w:left="805"/>
      <w:jc w:val="both"/>
    </w:pPr>
    <w:rPr>
      <w:rFonts w:ascii="Times New Roman" w:hAnsi="Times New Roman" w:eastAsia="宋体" w:cs="Times New Roman"/>
      <w:kern w:val="2"/>
      <w:sz w:val="16"/>
      <w:szCs w:val="20"/>
      <w:lang w:val="en-US" w:eastAsia="zh-CN" w:bidi="ar-SA"/>
    </w:rPr>
  </w:style>
  <w:style w:type="paragraph" w:customStyle="1" w:styleId="39">
    <w:name w:val="列出段落1"/>
    <w:next w:val="37"/>
    <w:autoRedefine/>
    <w:qFormat/>
    <w:uiPriority w:val="0"/>
    <w:pPr>
      <w:widowControl w:val="0"/>
      <w:adjustRightInd w:val="0"/>
      <w:spacing w:line="360" w:lineRule="auto"/>
      <w:ind w:firstLine="200" w:firstLineChars="200"/>
      <w:jc w:val="both"/>
    </w:pPr>
    <w:rPr>
      <w:rFonts w:ascii="Times New Roman" w:hAnsi="Times New Roman" w:eastAsia="楷体_GB2312" w:cs="Lucida Sans"/>
      <w:kern w:val="2"/>
      <w:sz w:val="24"/>
      <w:szCs w:val="24"/>
      <w:lang w:val="en-US" w:eastAsia="zh-CN" w:bidi="ar-SA"/>
    </w:rPr>
  </w:style>
  <w:style w:type="paragraph" w:customStyle="1" w:styleId="40">
    <w:name w:val="样式5"/>
    <w:next w:val="38"/>
    <w:autoRedefine/>
    <w:qFormat/>
    <w:uiPriority w:val="0"/>
    <w:pPr>
      <w:widowControl w:val="0"/>
      <w:adjustRightInd w:val="0"/>
      <w:spacing w:line="440" w:lineRule="exact"/>
      <w:ind w:left="2"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41">
    <w:name w:val="正文_1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Table Paragraph"/>
    <w:basedOn w:val="1"/>
    <w:autoRedefine/>
    <w:qFormat/>
    <w:uiPriority w:val="1"/>
    <w:rPr>
      <w:rFonts w:ascii="宋体" w:hAnsi="宋体" w:cs="宋体"/>
    </w:rPr>
  </w:style>
  <w:style w:type="character" w:customStyle="1" w:styleId="43">
    <w:name w:val="font71"/>
    <w:basedOn w:val="30"/>
    <w:autoRedefine/>
    <w:qFormat/>
    <w:uiPriority w:val="0"/>
    <w:rPr>
      <w:rFonts w:hint="eastAsia" w:ascii="仿宋" w:hAnsi="仿宋" w:eastAsia="仿宋" w:cs="仿宋"/>
      <w:color w:val="000000"/>
      <w:sz w:val="22"/>
      <w:szCs w:val="22"/>
      <w:u w:val="none"/>
    </w:rPr>
  </w:style>
  <w:style w:type="character" w:customStyle="1" w:styleId="44">
    <w:name w:val="font81"/>
    <w:basedOn w:val="30"/>
    <w:autoRedefine/>
    <w:qFormat/>
    <w:uiPriority w:val="0"/>
    <w:rPr>
      <w:rFonts w:ascii="Calibri" w:hAnsi="Calibri" w:cs="Calibri"/>
      <w:color w:val="000000"/>
      <w:sz w:val="22"/>
      <w:szCs w:val="22"/>
      <w:u w:val="none"/>
    </w:rPr>
  </w:style>
  <w:style w:type="character" w:customStyle="1" w:styleId="45">
    <w:name w:val="font91"/>
    <w:basedOn w:val="30"/>
    <w:autoRedefine/>
    <w:qFormat/>
    <w:uiPriority w:val="0"/>
    <w:rPr>
      <w:rFonts w:hint="eastAsia" w:ascii="宋体" w:hAnsi="宋体" w:eastAsia="宋体" w:cs="宋体"/>
      <w:color w:val="000000"/>
      <w:sz w:val="20"/>
      <w:szCs w:val="20"/>
      <w:u w:val="none"/>
    </w:rPr>
  </w:style>
  <w:style w:type="character" w:customStyle="1" w:styleId="46">
    <w:name w:val="font61"/>
    <w:basedOn w:val="30"/>
    <w:autoRedefine/>
    <w:qFormat/>
    <w:uiPriority w:val="0"/>
    <w:rPr>
      <w:rFonts w:hint="eastAsia" w:ascii="宋体" w:hAnsi="宋体" w:eastAsia="宋体" w:cs="宋体"/>
      <w:color w:val="000000"/>
      <w:sz w:val="20"/>
      <w:szCs w:val="20"/>
      <w:u w:val="none"/>
    </w:rPr>
  </w:style>
  <w:style w:type="character" w:customStyle="1" w:styleId="47">
    <w:name w:val="font41"/>
    <w:basedOn w:val="30"/>
    <w:autoRedefine/>
    <w:qFormat/>
    <w:uiPriority w:val="0"/>
    <w:rPr>
      <w:rFonts w:hint="eastAsia" w:ascii="微软雅黑" w:hAnsi="微软雅黑" w:eastAsia="微软雅黑" w:cs="微软雅黑"/>
      <w:color w:val="000000"/>
      <w:sz w:val="20"/>
      <w:szCs w:val="20"/>
      <w:u w:val="none"/>
    </w:rPr>
  </w:style>
  <w:style w:type="character" w:customStyle="1" w:styleId="48">
    <w:name w:val="font11"/>
    <w:basedOn w:val="30"/>
    <w:autoRedefine/>
    <w:qFormat/>
    <w:uiPriority w:val="0"/>
    <w:rPr>
      <w:rFonts w:hint="eastAsia" w:ascii="微软雅黑" w:hAnsi="微软雅黑" w:eastAsia="微软雅黑" w:cs="微软雅黑"/>
      <w:color w:val="000000"/>
      <w:sz w:val="20"/>
      <w:szCs w:val="20"/>
      <w:u w:val="none"/>
    </w:rPr>
  </w:style>
  <w:style w:type="character" w:customStyle="1" w:styleId="49">
    <w:name w:val="font21"/>
    <w:basedOn w:val="30"/>
    <w:autoRedefine/>
    <w:qFormat/>
    <w:uiPriority w:val="0"/>
    <w:rPr>
      <w:rFonts w:hint="eastAsia" w:ascii="微软雅黑" w:hAnsi="微软雅黑" w:eastAsia="微软雅黑" w:cs="微软雅黑"/>
      <w:b/>
      <w:bCs/>
      <w:color w:val="000000"/>
      <w:sz w:val="20"/>
      <w:szCs w:val="20"/>
      <w:u w:val="none"/>
    </w:rPr>
  </w:style>
  <w:style w:type="paragraph" w:customStyle="1" w:styleId="50">
    <w:name w:val="_Style 9"/>
    <w:basedOn w:val="1"/>
    <w:next w:val="2"/>
    <w:autoRedefine/>
    <w:qFormat/>
    <w:uiPriority w:val="34"/>
    <w:pPr>
      <w:widowControl/>
      <w:spacing w:after="200" w:line="276" w:lineRule="auto"/>
      <w:ind w:left="720"/>
      <w:contextualSpacing/>
      <w:jc w:val="left"/>
    </w:pPr>
    <w:rPr>
      <w:kern w:val="0"/>
      <w:sz w:val="22"/>
      <w:szCs w:val="22"/>
    </w:rPr>
  </w:style>
  <w:style w:type="paragraph" w:customStyle="1" w:styleId="51">
    <w:name w:val="纯文本1"/>
    <w:basedOn w:val="1"/>
    <w:autoRedefine/>
    <w:qFormat/>
    <w:uiPriority w:val="0"/>
    <w:rPr>
      <w:rFonts w:ascii="宋体" w:hAnsi="宋体" w:cs="宋体"/>
    </w:rPr>
  </w:style>
  <w:style w:type="character" w:customStyle="1" w:styleId="52">
    <w:name w:val="font111"/>
    <w:basedOn w:val="30"/>
    <w:autoRedefine/>
    <w:qFormat/>
    <w:uiPriority w:val="0"/>
    <w:rPr>
      <w:rFonts w:hint="eastAsia" w:ascii="宋体" w:hAnsi="宋体" w:eastAsia="宋体" w:cs="宋体"/>
      <w:b/>
      <w:bCs/>
      <w:color w:val="000000"/>
      <w:sz w:val="18"/>
      <w:szCs w:val="18"/>
      <w:u w:val="none"/>
    </w:rPr>
  </w:style>
  <w:style w:type="character" w:customStyle="1" w:styleId="53">
    <w:name w:val="font121"/>
    <w:basedOn w:val="30"/>
    <w:autoRedefine/>
    <w:qFormat/>
    <w:uiPriority w:val="0"/>
    <w:rPr>
      <w:rFonts w:ascii="微软雅黑" w:hAnsi="微软雅黑" w:eastAsia="微软雅黑" w:cs="微软雅黑"/>
      <w:color w:val="000000"/>
      <w:sz w:val="18"/>
      <w:szCs w:val="18"/>
      <w:u w:val="none"/>
    </w:rPr>
  </w:style>
  <w:style w:type="character" w:customStyle="1" w:styleId="54">
    <w:name w:val="font132"/>
    <w:basedOn w:val="30"/>
    <w:autoRedefine/>
    <w:qFormat/>
    <w:uiPriority w:val="0"/>
    <w:rPr>
      <w:rFonts w:ascii="Calibri" w:hAnsi="Calibri" w:cs="Calibri"/>
      <w:color w:val="000000"/>
      <w:sz w:val="18"/>
      <w:szCs w:val="18"/>
      <w:u w:val="none"/>
    </w:rPr>
  </w:style>
  <w:style w:type="character" w:customStyle="1" w:styleId="55">
    <w:name w:val="font141"/>
    <w:basedOn w:val="30"/>
    <w:autoRedefine/>
    <w:qFormat/>
    <w:uiPriority w:val="0"/>
    <w:rPr>
      <w:rFonts w:hint="default" w:ascii="Calibri" w:hAnsi="Calibri" w:cs="Calibri"/>
      <w:color w:val="000000"/>
      <w:sz w:val="18"/>
      <w:szCs w:val="18"/>
      <w:u w:val="none"/>
    </w:rPr>
  </w:style>
  <w:style w:type="character" w:customStyle="1" w:styleId="56">
    <w:name w:val="font101"/>
    <w:basedOn w:val="30"/>
    <w:autoRedefine/>
    <w:qFormat/>
    <w:uiPriority w:val="0"/>
    <w:rPr>
      <w:rFonts w:ascii="微软雅黑" w:hAnsi="微软雅黑" w:eastAsia="微软雅黑" w:cs="微软雅黑"/>
      <w:color w:val="000000"/>
      <w:sz w:val="18"/>
      <w:szCs w:val="18"/>
      <w:u w:val="none"/>
    </w:rPr>
  </w:style>
  <w:style w:type="character" w:customStyle="1" w:styleId="57">
    <w:name w:val="font112"/>
    <w:basedOn w:val="30"/>
    <w:autoRedefine/>
    <w:qFormat/>
    <w:uiPriority w:val="0"/>
    <w:rPr>
      <w:rFonts w:ascii="Calibri" w:hAnsi="Calibri" w:cs="Calibri"/>
      <w:color w:val="000000"/>
      <w:sz w:val="18"/>
      <w:szCs w:val="18"/>
      <w:u w:val="none"/>
    </w:rPr>
  </w:style>
  <w:style w:type="character" w:customStyle="1" w:styleId="58">
    <w:name w:val="font181"/>
    <w:basedOn w:val="30"/>
    <w:autoRedefine/>
    <w:qFormat/>
    <w:uiPriority w:val="0"/>
    <w:rPr>
      <w:rFonts w:hint="eastAsia" w:ascii="宋体" w:hAnsi="宋体" w:eastAsia="宋体" w:cs="宋体"/>
      <w:color w:val="00B050"/>
      <w:sz w:val="18"/>
      <w:szCs w:val="18"/>
      <w:u w:val="none"/>
    </w:rPr>
  </w:style>
  <w:style w:type="character" w:customStyle="1" w:styleId="59">
    <w:name w:val="font191"/>
    <w:basedOn w:val="30"/>
    <w:autoRedefine/>
    <w:qFormat/>
    <w:uiPriority w:val="0"/>
    <w:rPr>
      <w:rFonts w:hint="eastAsia" w:ascii="宋体" w:hAnsi="宋体" w:eastAsia="宋体" w:cs="宋体"/>
      <w:b/>
      <w:bCs/>
      <w:color w:val="000000"/>
      <w:sz w:val="20"/>
      <w:szCs w:val="20"/>
      <w:u w:val="none"/>
    </w:rPr>
  </w:style>
  <w:style w:type="character" w:customStyle="1" w:styleId="60">
    <w:name w:val="font201"/>
    <w:basedOn w:val="30"/>
    <w:autoRedefine/>
    <w:qFormat/>
    <w:uiPriority w:val="0"/>
    <w:rPr>
      <w:rFonts w:hint="eastAsia" w:ascii="宋体" w:hAnsi="宋体" w:eastAsia="宋体" w:cs="宋体"/>
      <w:b/>
      <w:bCs/>
      <w:color w:val="000000"/>
      <w:sz w:val="20"/>
      <w:szCs w:val="20"/>
      <w:u w:val="none"/>
    </w:rPr>
  </w:style>
  <w:style w:type="character" w:customStyle="1" w:styleId="61">
    <w:name w:val="font131"/>
    <w:basedOn w:val="30"/>
    <w:autoRedefine/>
    <w:qFormat/>
    <w:uiPriority w:val="0"/>
    <w:rPr>
      <w:rFonts w:hint="eastAsia" w:ascii="宋体" w:hAnsi="宋体" w:eastAsia="宋体" w:cs="宋体"/>
      <w:color w:val="000000"/>
      <w:sz w:val="20"/>
      <w:szCs w:val="20"/>
      <w:u w:val="none"/>
    </w:rPr>
  </w:style>
  <w:style w:type="character" w:customStyle="1" w:styleId="62">
    <w:name w:val="font161"/>
    <w:basedOn w:val="30"/>
    <w:autoRedefine/>
    <w:qFormat/>
    <w:uiPriority w:val="0"/>
    <w:rPr>
      <w:rFonts w:hint="eastAsia" w:ascii="宋体" w:hAnsi="宋体" w:eastAsia="宋体" w:cs="宋体"/>
      <w:color w:val="000000"/>
      <w:sz w:val="18"/>
      <w:szCs w:val="18"/>
      <w:u w:val="none"/>
      <w:vertAlign w:val="superscript"/>
    </w:rPr>
  </w:style>
  <w:style w:type="character" w:customStyle="1" w:styleId="63">
    <w:name w:val="font51"/>
    <w:basedOn w:val="30"/>
    <w:autoRedefine/>
    <w:qFormat/>
    <w:uiPriority w:val="0"/>
    <w:rPr>
      <w:rFonts w:hint="eastAsia" w:ascii="等线" w:hAnsi="等线" w:eastAsia="等线" w:cs="等线"/>
      <w:color w:val="FF0000"/>
      <w:sz w:val="22"/>
      <w:szCs w:val="22"/>
      <w:u w:val="none"/>
    </w:rPr>
  </w:style>
  <w:style w:type="character" w:customStyle="1" w:styleId="64">
    <w:name w:val="font01"/>
    <w:basedOn w:val="30"/>
    <w:autoRedefine/>
    <w:qFormat/>
    <w:uiPriority w:val="0"/>
    <w:rPr>
      <w:rFonts w:hint="eastAsia" w:ascii="等线" w:hAnsi="等线" w:eastAsia="等线" w:cs="等线"/>
      <w:color w:val="000000"/>
      <w:sz w:val="22"/>
      <w:szCs w:val="22"/>
      <w:u w:val="none"/>
    </w:rPr>
  </w:style>
  <w:style w:type="character" w:customStyle="1" w:styleId="65">
    <w:name w:val="font171"/>
    <w:basedOn w:val="30"/>
    <w:autoRedefine/>
    <w:qFormat/>
    <w:uiPriority w:val="0"/>
    <w:rPr>
      <w:rFonts w:hint="eastAsia" w:ascii="宋体" w:hAnsi="宋体" w:eastAsia="宋体" w:cs="宋体"/>
      <w:color w:val="404040"/>
      <w:sz w:val="21"/>
      <w:szCs w:val="21"/>
      <w:u w:val="none"/>
    </w:rPr>
  </w:style>
  <w:style w:type="character" w:customStyle="1" w:styleId="66">
    <w:name w:val="font31"/>
    <w:basedOn w:val="30"/>
    <w:autoRedefine/>
    <w:qFormat/>
    <w:uiPriority w:val="0"/>
    <w:rPr>
      <w:rFonts w:hint="eastAsia" w:ascii="微软雅黑" w:hAnsi="微软雅黑" w:eastAsia="微软雅黑" w:cs="微软雅黑"/>
      <w:color w:val="000000"/>
      <w:sz w:val="24"/>
      <w:szCs w:val="24"/>
      <w:u w:val="none"/>
    </w:rPr>
  </w:style>
  <w:style w:type="character" w:customStyle="1" w:styleId="67">
    <w:name w:val="font122"/>
    <w:basedOn w:val="30"/>
    <w:autoRedefine/>
    <w:qFormat/>
    <w:uiPriority w:val="0"/>
    <w:rPr>
      <w:rFonts w:ascii="宋体" w:hAnsi="宋体" w:eastAsia="宋体" w:cs="宋体"/>
      <w:color w:val="000000"/>
      <w:sz w:val="18"/>
      <w:szCs w:val="18"/>
      <w:u w:val="none"/>
    </w:rPr>
  </w:style>
  <w:style w:type="character" w:customStyle="1" w:styleId="68">
    <w:name w:val="font151"/>
    <w:basedOn w:val="30"/>
    <w:autoRedefine/>
    <w:qFormat/>
    <w:uiPriority w:val="0"/>
    <w:rPr>
      <w:rFonts w:hint="eastAsia" w:ascii="宋体" w:hAnsi="宋体" w:eastAsia="宋体" w:cs="宋体"/>
      <w:b/>
      <w:bCs/>
      <w:color w:val="000000"/>
      <w:sz w:val="20"/>
      <w:szCs w:val="20"/>
      <w:u w:val="none"/>
    </w:rPr>
  </w:style>
  <w:style w:type="character" w:customStyle="1" w:styleId="69">
    <w:name w:val="font212"/>
    <w:basedOn w:val="30"/>
    <w:autoRedefine/>
    <w:qFormat/>
    <w:uiPriority w:val="0"/>
    <w:rPr>
      <w:rFonts w:ascii="Tahoma" w:hAnsi="Tahoma" w:eastAsia="Tahoma" w:cs="Tahoma"/>
      <w:color w:val="000000"/>
      <w:sz w:val="20"/>
      <w:szCs w:val="20"/>
      <w:u w:val="none"/>
    </w:rPr>
  </w:style>
  <w:style w:type="character" w:customStyle="1" w:styleId="70">
    <w:name w:val="font221"/>
    <w:basedOn w:val="30"/>
    <w:autoRedefine/>
    <w:qFormat/>
    <w:uiPriority w:val="0"/>
    <w:rPr>
      <w:rFonts w:hint="eastAsia" w:ascii="宋体" w:hAnsi="宋体" w:eastAsia="宋体" w:cs="宋体"/>
      <w:b/>
      <w:bCs/>
      <w:color w:val="000000"/>
      <w:sz w:val="20"/>
      <w:szCs w:val="20"/>
      <w:u w:val="none"/>
    </w:rPr>
  </w:style>
  <w:style w:type="character" w:customStyle="1" w:styleId="71">
    <w:name w:val="font261"/>
    <w:basedOn w:val="30"/>
    <w:autoRedefine/>
    <w:qFormat/>
    <w:uiPriority w:val="0"/>
    <w:rPr>
      <w:rFonts w:ascii="Tahoma" w:hAnsi="Tahoma" w:eastAsia="Tahoma" w:cs="Tahoma"/>
      <w:b/>
      <w:bCs/>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4.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1.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0" Type="http://schemas.openxmlformats.org/officeDocument/2006/relationships/fontTable" Target="fontTable.xml"/><Relationship Id="rId41" Type="http://schemas.openxmlformats.org/officeDocument/2006/relationships/image" Target="media/image30.png"/><Relationship Id="rId409" Type="http://schemas.openxmlformats.org/officeDocument/2006/relationships/numbering" Target="numbering.xml"/><Relationship Id="rId408" Type="http://schemas.openxmlformats.org/officeDocument/2006/relationships/customXml" Target="../customXml/item1.xml"/><Relationship Id="rId407" Type="http://schemas.openxmlformats.org/officeDocument/2006/relationships/image" Target="media/image396.png"/><Relationship Id="rId406" Type="http://schemas.openxmlformats.org/officeDocument/2006/relationships/image" Target="media/image395.png"/><Relationship Id="rId405" Type="http://schemas.openxmlformats.org/officeDocument/2006/relationships/image" Target="media/image394.png"/><Relationship Id="rId404" Type="http://schemas.openxmlformats.org/officeDocument/2006/relationships/image" Target="media/image393.png"/><Relationship Id="rId403" Type="http://schemas.openxmlformats.org/officeDocument/2006/relationships/image" Target="media/image392.png"/><Relationship Id="rId402" Type="http://schemas.openxmlformats.org/officeDocument/2006/relationships/image" Target="media/image391.png"/><Relationship Id="rId401" Type="http://schemas.openxmlformats.org/officeDocument/2006/relationships/image" Target="media/image390.png"/><Relationship Id="rId400" Type="http://schemas.openxmlformats.org/officeDocument/2006/relationships/image" Target="media/image389.png"/><Relationship Id="rId40" Type="http://schemas.openxmlformats.org/officeDocument/2006/relationships/image" Target="media/image29.png"/><Relationship Id="rId4" Type="http://schemas.openxmlformats.org/officeDocument/2006/relationships/endnotes" Target="endnotes.xml"/><Relationship Id="rId399" Type="http://schemas.openxmlformats.org/officeDocument/2006/relationships/image" Target="media/image388.png"/><Relationship Id="rId398" Type="http://schemas.openxmlformats.org/officeDocument/2006/relationships/image" Target="media/image387.png"/><Relationship Id="rId397" Type="http://schemas.openxmlformats.org/officeDocument/2006/relationships/image" Target="media/image386.png"/><Relationship Id="rId396" Type="http://schemas.openxmlformats.org/officeDocument/2006/relationships/image" Target="media/image385.png"/><Relationship Id="rId395" Type="http://schemas.openxmlformats.org/officeDocument/2006/relationships/image" Target="media/image384.png"/><Relationship Id="rId394" Type="http://schemas.openxmlformats.org/officeDocument/2006/relationships/image" Target="media/image383.png"/><Relationship Id="rId393" Type="http://schemas.openxmlformats.org/officeDocument/2006/relationships/image" Target="media/image382.png"/><Relationship Id="rId392" Type="http://schemas.openxmlformats.org/officeDocument/2006/relationships/image" Target="media/image381.png"/><Relationship Id="rId391" Type="http://schemas.openxmlformats.org/officeDocument/2006/relationships/image" Target="media/image380.png"/><Relationship Id="rId390" Type="http://schemas.openxmlformats.org/officeDocument/2006/relationships/image" Target="media/image379.png"/><Relationship Id="rId39" Type="http://schemas.openxmlformats.org/officeDocument/2006/relationships/image" Target="media/image28.png"/><Relationship Id="rId389" Type="http://schemas.openxmlformats.org/officeDocument/2006/relationships/image" Target="media/image378.png"/><Relationship Id="rId388" Type="http://schemas.openxmlformats.org/officeDocument/2006/relationships/image" Target="media/image377.png"/><Relationship Id="rId387" Type="http://schemas.openxmlformats.org/officeDocument/2006/relationships/image" Target="media/image376.png"/><Relationship Id="rId386" Type="http://schemas.openxmlformats.org/officeDocument/2006/relationships/image" Target="media/image375.png"/><Relationship Id="rId385" Type="http://schemas.openxmlformats.org/officeDocument/2006/relationships/image" Target="media/image374.png"/><Relationship Id="rId384" Type="http://schemas.openxmlformats.org/officeDocument/2006/relationships/image" Target="media/image373.png"/><Relationship Id="rId383" Type="http://schemas.openxmlformats.org/officeDocument/2006/relationships/image" Target="media/image372.png"/><Relationship Id="rId382" Type="http://schemas.openxmlformats.org/officeDocument/2006/relationships/image" Target="media/image371.png"/><Relationship Id="rId381" Type="http://schemas.openxmlformats.org/officeDocument/2006/relationships/image" Target="media/image370.png"/><Relationship Id="rId380" Type="http://schemas.openxmlformats.org/officeDocument/2006/relationships/image" Target="media/image369.png"/><Relationship Id="rId38" Type="http://schemas.openxmlformats.org/officeDocument/2006/relationships/image" Target="media/image27.png"/><Relationship Id="rId379" Type="http://schemas.openxmlformats.org/officeDocument/2006/relationships/image" Target="media/image368.png"/><Relationship Id="rId378" Type="http://schemas.openxmlformats.org/officeDocument/2006/relationships/image" Target="media/image367.png"/><Relationship Id="rId377" Type="http://schemas.openxmlformats.org/officeDocument/2006/relationships/image" Target="media/image366.png"/><Relationship Id="rId376" Type="http://schemas.openxmlformats.org/officeDocument/2006/relationships/image" Target="media/image365.png"/><Relationship Id="rId375" Type="http://schemas.openxmlformats.org/officeDocument/2006/relationships/image" Target="media/image364.png"/><Relationship Id="rId374" Type="http://schemas.openxmlformats.org/officeDocument/2006/relationships/image" Target="media/image363.png"/><Relationship Id="rId373" Type="http://schemas.openxmlformats.org/officeDocument/2006/relationships/image" Target="media/image362.png"/><Relationship Id="rId372" Type="http://schemas.openxmlformats.org/officeDocument/2006/relationships/image" Target="media/image361.png"/><Relationship Id="rId371" Type="http://schemas.openxmlformats.org/officeDocument/2006/relationships/image" Target="media/image360.png"/><Relationship Id="rId370" Type="http://schemas.openxmlformats.org/officeDocument/2006/relationships/image" Target="media/image359.png"/><Relationship Id="rId37" Type="http://schemas.openxmlformats.org/officeDocument/2006/relationships/image" Target="media/image26.png"/><Relationship Id="rId369" Type="http://schemas.openxmlformats.org/officeDocument/2006/relationships/image" Target="media/image358.png"/><Relationship Id="rId368" Type="http://schemas.openxmlformats.org/officeDocument/2006/relationships/image" Target="media/image357.png"/><Relationship Id="rId367" Type="http://schemas.openxmlformats.org/officeDocument/2006/relationships/image" Target="media/image356.png"/><Relationship Id="rId366" Type="http://schemas.openxmlformats.org/officeDocument/2006/relationships/image" Target="media/image355.png"/><Relationship Id="rId365" Type="http://schemas.openxmlformats.org/officeDocument/2006/relationships/image" Target="media/image354.png"/><Relationship Id="rId364" Type="http://schemas.openxmlformats.org/officeDocument/2006/relationships/image" Target="media/image353.png"/><Relationship Id="rId363" Type="http://schemas.openxmlformats.org/officeDocument/2006/relationships/image" Target="media/image352.png"/><Relationship Id="rId362" Type="http://schemas.openxmlformats.org/officeDocument/2006/relationships/image" Target="media/image351.png"/><Relationship Id="rId361" Type="http://schemas.openxmlformats.org/officeDocument/2006/relationships/image" Target="media/image350.png"/><Relationship Id="rId360" Type="http://schemas.openxmlformats.org/officeDocument/2006/relationships/image" Target="media/image349.png"/><Relationship Id="rId36" Type="http://schemas.openxmlformats.org/officeDocument/2006/relationships/image" Target="media/image25.png"/><Relationship Id="rId359" Type="http://schemas.openxmlformats.org/officeDocument/2006/relationships/image" Target="media/image348.png"/><Relationship Id="rId358" Type="http://schemas.openxmlformats.org/officeDocument/2006/relationships/image" Target="media/image347.png"/><Relationship Id="rId357" Type="http://schemas.openxmlformats.org/officeDocument/2006/relationships/image" Target="media/image346.png"/><Relationship Id="rId356" Type="http://schemas.openxmlformats.org/officeDocument/2006/relationships/image" Target="media/image345.png"/><Relationship Id="rId355" Type="http://schemas.openxmlformats.org/officeDocument/2006/relationships/image" Target="media/image344.png"/><Relationship Id="rId354" Type="http://schemas.openxmlformats.org/officeDocument/2006/relationships/image" Target="media/image343.png"/><Relationship Id="rId353" Type="http://schemas.openxmlformats.org/officeDocument/2006/relationships/image" Target="media/image342.png"/><Relationship Id="rId352" Type="http://schemas.openxmlformats.org/officeDocument/2006/relationships/image" Target="media/image341.png"/><Relationship Id="rId351" Type="http://schemas.openxmlformats.org/officeDocument/2006/relationships/image" Target="media/image340.png"/><Relationship Id="rId350" Type="http://schemas.openxmlformats.org/officeDocument/2006/relationships/image" Target="media/image339.png"/><Relationship Id="rId35" Type="http://schemas.openxmlformats.org/officeDocument/2006/relationships/image" Target="media/image24.png"/><Relationship Id="rId349" Type="http://schemas.openxmlformats.org/officeDocument/2006/relationships/image" Target="media/image338.png"/><Relationship Id="rId348" Type="http://schemas.openxmlformats.org/officeDocument/2006/relationships/image" Target="media/image337.png"/><Relationship Id="rId347" Type="http://schemas.openxmlformats.org/officeDocument/2006/relationships/image" Target="media/image336.png"/><Relationship Id="rId346" Type="http://schemas.openxmlformats.org/officeDocument/2006/relationships/image" Target="media/image335.png"/><Relationship Id="rId345" Type="http://schemas.openxmlformats.org/officeDocument/2006/relationships/image" Target="media/image334.png"/><Relationship Id="rId344" Type="http://schemas.openxmlformats.org/officeDocument/2006/relationships/image" Target="media/image333.png"/><Relationship Id="rId343" Type="http://schemas.openxmlformats.org/officeDocument/2006/relationships/image" Target="media/image332.png"/><Relationship Id="rId342" Type="http://schemas.openxmlformats.org/officeDocument/2006/relationships/image" Target="media/image331.png"/><Relationship Id="rId341" Type="http://schemas.openxmlformats.org/officeDocument/2006/relationships/image" Target="media/image330.png"/><Relationship Id="rId340" Type="http://schemas.openxmlformats.org/officeDocument/2006/relationships/image" Target="media/image329.png"/><Relationship Id="rId34" Type="http://schemas.openxmlformats.org/officeDocument/2006/relationships/image" Target="media/image23.png"/><Relationship Id="rId339" Type="http://schemas.openxmlformats.org/officeDocument/2006/relationships/image" Target="media/image328.png"/><Relationship Id="rId338" Type="http://schemas.openxmlformats.org/officeDocument/2006/relationships/image" Target="media/image327.png"/><Relationship Id="rId337" Type="http://schemas.openxmlformats.org/officeDocument/2006/relationships/image" Target="media/image326.png"/><Relationship Id="rId336" Type="http://schemas.openxmlformats.org/officeDocument/2006/relationships/image" Target="media/image325.png"/><Relationship Id="rId335" Type="http://schemas.openxmlformats.org/officeDocument/2006/relationships/image" Target="media/image324.png"/><Relationship Id="rId334" Type="http://schemas.openxmlformats.org/officeDocument/2006/relationships/image" Target="media/image323.png"/><Relationship Id="rId333" Type="http://schemas.openxmlformats.org/officeDocument/2006/relationships/image" Target="media/image322.png"/><Relationship Id="rId332" Type="http://schemas.openxmlformats.org/officeDocument/2006/relationships/image" Target="media/image321.png"/><Relationship Id="rId331" Type="http://schemas.openxmlformats.org/officeDocument/2006/relationships/image" Target="media/image320.png"/><Relationship Id="rId330" Type="http://schemas.openxmlformats.org/officeDocument/2006/relationships/image" Target="media/image319.png"/><Relationship Id="rId33" Type="http://schemas.openxmlformats.org/officeDocument/2006/relationships/image" Target="media/image22.png"/><Relationship Id="rId329" Type="http://schemas.openxmlformats.org/officeDocument/2006/relationships/image" Target="media/image318.png"/><Relationship Id="rId328" Type="http://schemas.openxmlformats.org/officeDocument/2006/relationships/image" Target="media/image317.png"/><Relationship Id="rId327" Type="http://schemas.openxmlformats.org/officeDocument/2006/relationships/image" Target="media/image316.png"/><Relationship Id="rId326" Type="http://schemas.openxmlformats.org/officeDocument/2006/relationships/image" Target="media/image315.png"/><Relationship Id="rId325" Type="http://schemas.openxmlformats.org/officeDocument/2006/relationships/image" Target="media/image314.png"/><Relationship Id="rId324" Type="http://schemas.openxmlformats.org/officeDocument/2006/relationships/image" Target="media/image313.png"/><Relationship Id="rId323" Type="http://schemas.openxmlformats.org/officeDocument/2006/relationships/image" Target="media/image312.png"/><Relationship Id="rId322" Type="http://schemas.openxmlformats.org/officeDocument/2006/relationships/image" Target="media/image311.png"/><Relationship Id="rId321" Type="http://schemas.openxmlformats.org/officeDocument/2006/relationships/image" Target="media/image310.png"/><Relationship Id="rId320" Type="http://schemas.openxmlformats.org/officeDocument/2006/relationships/image" Target="media/image309.png"/><Relationship Id="rId32" Type="http://schemas.openxmlformats.org/officeDocument/2006/relationships/image" Target="media/image21.png"/><Relationship Id="rId319" Type="http://schemas.openxmlformats.org/officeDocument/2006/relationships/image" Target="media/image308.png"/><Relationship Id="rId318" Type="http://schemas.openxmlformats.org/officeDocument/2006/relationships/image" Target="media/image307.png"/><Relationship Id="rId317" Type="http://schemas.openxmlformats.org/officeDocument/2006/relationships/image" Target="media/image306.png"/><Relationship Id="rId316" Type="http://schemas.openxmlformats.org/officeDocument/2006/relationships/image" Target="media/image305.png"/><Relationship Id="rId315" Type="http://schemas.openxmlformats.org/officeDocument/2006/relationships/image" Target="media/image304.png"/><Relationship Id="rId314" Type="http://schemas.openxmlformats.org/officeDocument/2006/relationships/image" Target="media/image303.png"/><Relationship Id="rId313" Type="http://schemas.openxmlformats.org/officeDocument/2006/relationships/image" Target="media/image302.png"/><Relationship Id="rId312" Type="http://schemas.openxmlformats.org/officeDocument/2006/relationships/image" Target="media/image301.png"/><Relationship Id="rId311" Type="http://schemas.openxmlformats.org/officeDocument/2006/relationships/image" Target="media/image300.png"/><Relationship Id="rId310" Type="http://schemas.openxmlformats.org/officeDocument/2006/relationships/image" Target="media/image299.png"/><Relationship Id="rId31" Type="http://schemas.openxmlformats.org/officeDocument/2006/relationships/image" Target="media/image20.png"/><Relationship Id="rId309" Type="http://schemas.openxmlformats.org/officeDocument/2006/relationships/image" Target="media/image298.png"/><Relationship Id="rId308" Type="http://schemas.openxmlformats.org/officeDocument/2006/relationships/image" Target="media/image297.png"/><Relationship Id="rId307" Type="http://schemas.openxmlformats.org/officeDocument/2006/relationships/image" Target="media/image296.png"/><Relationship Id="rId306" Type="http://schemas.openxmlformats.org/officeDocument/2006/relationships/image" Target="media/image295.png"/><Relationship Id="rId305" Type="http://schemas.openxmlformats.org/officeDocument/2006/relationships/image" Target="media/image294.png"/><Relationship Id="rId304" Type="http://schemas.openxmlformats.org/officeDocument/2006/relationships/image" Target="media/image293.png"/><Relationship Id="rId303" Type="http://schemas.openxmlformats.org/officeDocument/2006/relationships/image" Target="media/image292.png"/><Relationship Id="rId302" Type="http://schemas.openxmlformats.org/officeDocument/2006/relationships/image" Target="media/image291.png"/><Relationship Id="rId301" Type="http://schemas.openxmlformats.org/officeDocument/2006/relationships/image" Target="media/image290.png"/><Relationship Id="rId300" Type="http://schemas.openxmlformats.org/officeDocument/2006/relationships/image" Target="media/image289.png"/><Relationship Id="rId30" Type="http://schemas.openxmlformats.org/officeDocument/2006/relationships/image" Target="media/image19.png"/><Relationship Id="rId3" Type="http://schemas.openxmlformats.org/officeDocument/2006/relationships/footnotes" Target="footnotes.xml"/><Relationship Id="rId299" Type="http://schemas.openxmlformats.org/officeDocument/2006/relationships/image" Target="media/image288.png"/><Relationship Id="rId298" Type="http://schemas.openxmlformats.org/officeDocument/2006/relationships/image" Target="media/image287.png"/><Relationship Id="rId297" Type="http://schemas.openxmlformats.org/officeDocument/2006/relationships/image" Target="media/image286.png"/><Relationship Id="rId296" Type="http://schemas.openxmlformats.org/officeDocument/2006/relationships/image" Target="media/image285.png"/><Relationship Id="rId295" Type="http://schemas.openxmlformats.org/officeDocument/2006/relationships/image" Target="media/image284.png"/><Relationship Id="rId294" Type="http://schemas.openxmlformats.org/officeDocument/2006/relationships/image" Target="media/image283.png"/><Relationship Id="rId293" Type="http://schemas.openxmlformats.org/officeDocument/2006/relationships/image" Target="media/image282.png"/><Relationship Id="rId292" Type="http://schemas.openxmlformats.org/officeDocument/2006/relationships/image" Target="media/image281.png"/><Relationship Id="rId291" Type="http://schemas.openxmlformats.org/officeDocument/2006/relationships/image" Target="media/image280.png"/><Relationship Id="rId290" Type="http://schemas.openxmlformats.org/officeDocument/2006/relationships/image" Target="media/image279.png"/><Relationship Id="rId29" Type="http://schemas.openxmlformats.org/officeDocument/2006/relationships/image" Target="media/image18.png"/><Relationship Id="rId289" Type="http://schemas.openxmlformats.org/officeDocument/2006/relationships/image" Target="media/image278.png"/><Relationship Id="rId288" Type="http://schemas.openxmlformats.org/officeDocument/2006/relationships/image" Target="media/image277.png"/><Relationship Id="rId287" Type="http://schemas.openxmlformats.org/officeDocument/2006/relationships/image" Target="media/image276.png"/><Relationship Id="rId286" Type="http://schemas.openxmlformats.org/officeDocument/2006/relationships/image" Target="media/image275.png"/><Relationship Id="rId285" Type="http://schemas.openxmlformats.org/officeDocument/2006/relationships/image" Target="media/image274.png"/><Relationship Id="rId284" Type="http://schemas.openxmlformats.org/officeDocument/2006/relationships/image" Target="media/image273.png"/><Relationship Id="rId283" Type="http://schemas.openxmlformats.org/officeDocument/2006/relationships/image" Target="media/image272.png"/><Relationship Id="rId282" Type="http://schemas.openxmlformats.org/officeDocument/2006/relationships/image" Target="media/image271.png"/><Relationship Id="rId281" Type="http://schemas.openxmlformats.org/officeDocument/2006/relationships/image" Target="media/image270.png"/><Relationship Id="rId280" Type="http://schemas.openxmlformats.org/officeDocument/2006/relationships/image" Target="media/image269.png"/><Relationship Id="rId28" Type="http://schemas.openxmlformats.org/officeDocument/2006/relationships/image" Target="media/image17.png"/><Relationship Id="rId279" Type="http://schemas.openxmlformats.org/officeDocument/2006/relationships/image" Target="media/image268.png"/><Relationship Id="rId278" Type="http://schemas.openxmlformats.org/officeDocument/2006/relationships/image" Target="media/image267.png"/><Relationship Id="rId277" Type="http://schemas.openxmlformats.org/officeDocument/2006/relationships/image" Target="media/image266.png"/><Relationship Id="rId276" Type="http://schemas.openxmlformats.org/officeDocument/2006/relationships/image" Target="media/image265.png"/><Relationship Id="rId275" Type="http://schemas.openxmlformats.org/officeDocument/2006/relationships/image" Target="media/image264.png"/><Relationship Id="rId274" Type="http://schemas.openxmlformats.org/officeDocument/2006/relationships/image" Target="media/image263.png"/><Relationship Id="rId273" Type="http://schemas.openxmlformats.org/officeDocument/2006/relationships/image" Target="media/image262.png"/><Relationship Id="rId272" Type="http://schemas.openxmlformats.org/officeDocument/2006/relationships/image" Target="media/image261.png"/><Relationship Id="rId271" Type="http://schemas.openxmlformats.org/officeDocument/2006/relationships/image" Target="media/image260.png"/><Relationship Id="rId270" Type="http://schemas.openxmlformats.org/officeDocument/2006/relationships/image" Target="media/image259.png"/><Relationship Id="rId27" Type="http://schemas.openxmlformats.org/officeDocument/2006/relationships/image" Target="media/image16.png"/><Relationship Id="rId269" Type="http://schemas.openxmlformats.org/officeDocument/2006/relationships/image" Target="media/image258.png"/><Relationship Id="rId268" Type="http://schemas.openxmlformats.org/officeDocument/2006/relationships/image" Target="media/image257.png"/><Relationship Id="rId267" Type="http://schemas.openxmlformats.org/officeDocument/2006/relationships/image" Target="media/image256.png"/><Relationship Id="rId266" Type="http://schemas.openxmlformats.org/officeDocument/2006/relationships/image" Target="media/image255.png"/><Relationship Id="rId265" Type="http://schemas.openxmlformats.org/officeDocument/2006/relationships/image" Target="media/image254.png"/><Relationship Id="rId264" Type="http://schemas.openxmlformats.org/officeDocument/2006/relationships/image" Target="media/image253.png"/><Relationship Id="rId263" Type="http://schemas.openxmlformats.org/officeDocument/2006/relationships/image" Target="media/image252.png"/><Relationship Id="rId262" Type="http://schemas.openxmlformats.org/officeDocument/2006/relationships/image" Target="media/image251.png"/><Relationship Id="rId261" Type="http://schemas.openxmlformats.org/officeDocument/2006/relationships/image" Target="media/image250.png"/><Relationship Id="rId260" Type="http://schemas.openxmlformats.org/officeDocument/2006/relationships/image" Target="media/image249.png"/><Relationship Id="rId26" Type="http://schemas.openxmlformats.org/officeDocument/2006/relationships/image" Target="media/image15.png"/><Relationship Id="rId259" Type="http://schemas.openxmlformats.org/officeDocument/2006/relationships/image" Target="media/image248.png"/><Relationship Id="rId258" Type="http://schemas.openxmlformats.org/officeDocument/2006/relationships/image" Target="media/image247.png"/><Relationship Id="rId257" Type="http://schemas.openxmlformats.org/officeDocument/2006/relationships/image" Target="media/image246.png"/><Relationship Id="rId256" Type="http://schemas.openxmlformats.org/officeDocument/2006/relationships/image" Target="media/image245.png"/><Relationship Id="rId255" Type="http://schemas.openxmlformats.org/officeDocument/2006/relationships/image" Target="media/image244.png"/><Relationship Id="rId254" Type="http://schemas.openxmlformats.org/officeDocument/2006/relationships/image" Target="media/image243.png"/><Relationship Id="rId253" Type="http://schemas.openxmlformats.org/officeDocument/2006/relationships/image" Target="media/image242.png"/><Relationship Id="rId252" Type="http://schemas.openxmlformats.org/officeDocument/2006/relationships/image" Target="media/image241.png"/><Relationship Id="rId251" Type="http://schemas.openxmlformats.org/officeDocument/2006/relationships/image" Target="media/image240.png"/><Relationship Id="rId250" Type="http://schemas.openxmlformats.org/officeDocument/2006/relationships/image" Target="media/image239.png"/><Relationship Id="rId25" Type="http://schemas.openxmlformats.org/officeDocument/2006/relationships/image" Target="media/image14.png"/><Relationship Id="rId249" Type="http://schemas.openxmlformats.org/officeDocument/2006/relationships/image" Target="media/image238.png"/><Relationship Id="rId248" Type="http://schemas.openxmlformats.org/officeDocument/2006/relationships/image" Target="media/image237.png"/><Relationship Id="rId247" Type="http://schemas.openxmlformats.org/officeDocument/2006/relationships/image" Target="media/image236.png"/><Relationship Id="rId246" Type="http://schemas.openxmlformats.org/officeDocument/2006/relationships/image" Target="media/image235.png"/><Relationship Id="rId245" Type="http://schemas.openxmlformats.org/officeDocument/2006/relationships/image" Target="media/image234.png"/><Relationship Id="rId244" Type="http://schemas.openxmlformats.org/officeDocument/2006/relationships/image" Target="media/image233.png"/><Relationship Id="rId243" Type="http://schemas.openxmlformats.org/officeDocument/2006/relationships/image" Target="media/image232.png"/><Relationship Id="rId242" Type="http://schemas.openxmlformats.org/officeDocument/2006/relationships/image" Target="media/image231.png"/><Relationship Id="rId241" Type="http://schemas.openxmlformats.org/officeDocument/2006/relationships/image" Target="media/image230.png"/><Relationship Id="rId240" Type="http://schemas.openxmlformats.org/officeDocument/2006/relationships/image" Target="media/image229.png"/><Relationship Id="rId24" Type="http://schemas.openxmlformats.org/officeDocument/2006/relationships/image" Target="media/image13.png"/><Relationship Id="rId239" Type="http://schemas.openxmlformats.org/officeDocument/2006/relationships/image" Target="media/image228.png"/><Relationship Id="rId238" Type="http://schemas.openxmlformats.org/officeDocument/2006/relationships/image" Target="media/image227.png"/><Relationship Id="rId237" Type="http://schemas.openxmlformats.org/officeDocument/2006/relationships/image" Target="media/image226.png"/><Relationship Id="rId236" Type="http://schemas.openxmlformats.org/officeDocument/2006/relationships/image" Target="media/image225.png"/><Relationship Id="rId235" Type="http://schemas.openxmlformats.org/officeDocument/2006/relationships/image" Target="media/image224.png"/><Relationship Id="rId234" Type="http://schemas.openxmlformats.org/officeDocument/2006/relationships/image" Target="media/image223.png"/><Relationship Id="rId233" Type="http://schemas.openxmlformats.org/officeDocument/2006/relationships/image" Target="media/image222.png"/><Relationship Id="rId232" Type="http://schemas.openxmlformats.org/officeDocument/2006/relationships/image" Target="media/image221.png"/><Relationship Id="rId231" Type="http://schemas.openxmlformats.org/officeDocument/2006/relationships/image" Target="media/image220.png"/><Relationship Id="rId230" Type="http://schemas.openxmlformats.org/officeDocument/2006/relationships/image" Target="media/image219.png"/><Relationship Id="rId23" Type="http://schemas.openxmlformats.org/officeDocument/2006/relationships/image" Target="media/image12.png"/><Relationship Id="rId229" Type="http://schemas.openxmlformats.org/officeDocument/2006/relationships/image" Target="media/image218.png"/><Relationship Id="rId228" Type="http://schemas.openxmlformats.org/officeDocument/2006/relationships/image" Target="media/image217.png"/><Relationship Id="rId227" Type="http://schemas.openxmlformats.org/officeDocument/2006/relationships/image" Target="media/image216.png"/><Relationship Id="rId226" Type="http://schemas.openxmlformats.org/officeDocument/2006/relationships/image" Target="media/image215.png"/><Relationship Id="rId225" Type="http://schemas.openxmlformats.org/officeDocument/2006/relationships/image" Target="media/image214.png"/><Relationship Id="rId224" Type="http://schemas.openxmlformats.org/officeDocument/2006/relationships/image" Target="media/image213.png"/><Relationship Id="rId223" Type="http://schemas.openxmlformats.org/officeDocument/2006/relationships/image" Target="media/image212.png"/><Relationship Id="rId222" Type="http://schemas.openxmlformats.org/officeDocument/2006/relationships/image" Target="media/image211.png"/><Relationship Id="rId221" Type="http://schemas.openxmlformats.org/officeDocument/2006/relationships/image" Target="media/image210.png"/><Relationship Id="rId220" Type="http://schemas.openxmlformats.org/officeDocument/2006/relationships/image" Target="media/image209.png"/><Relationship Id="rId22" Type="http://schemas.openxmlformats.org/officeDocument/2006/relationships/image" Target="media/image11.png"/><Relationship Id="rId219" Type="http://schemas.openxmlformats.org/officeDocument/2006/relationships/image" Target="media/image208.png"/><Relationship Id="rId218" Type="http://schemas.openxmlformats.org/officeDocument/2006/relationships/image" Target="media/image207.png"/><Relationship Id="rId217" Type="http://schemas.openxmlformats.org/officeDocument/2006/relationships/image" Target="media/image206.png"/><Relationship Id="rId216" Type="http://schemas.openxmlformats.org/officeDocument/2006/relationships/image" Target="media/image205.png"/><Relationship Id="rId215" Type="http://schemas.openxmlformats.org/officeDocument/2006/relationships/image" Target="media/image204.png"/><Relationship Id="rId214" Type="http://schemas.openxmlformats.org/officeDocument/2006/relationships/image" Target="media/image203.png"/><Relationship Id="rId213" Type="http://schemas.openxmlformats.org/officeDocument/2006/relationships/image" Target="media/image202.png"/><Relationship Id="rId212" Type="http://schemas.openxmlformats.org/officeDocument/2006/relationships/image" Target="media/image201.png"/><Relationship Id="rId211" Type="http://schemas.openxmlformats.org/officeDocument/2006/relationships/image" Target="media/image200.png"/><Relationship Id="rId210" Type="http://schemas.openxmlformats.org/officeDocument/2006/relationships/image" Target="media/image199.png"/><Relationship Id="rId21" Type="http://schemas.openxmlformats.org/officeDocument/2006/relationships/image" Target="media/image10.png"/><Relationship Id="rId209" Type="http://schemas.openxmlformats.org/officeDocument/2006/relationships/image" Target="media/image198.png"/><Relationship Id="rId208" Type="http://schemas.openxmlformats.org/officeDocument/2006/relationships/image" Target="media/image197.png"/><Relationship Id="rId207" Type="http://schemas.openxmlformats.org/officeDocument/2006/relationships/image" Target="media/image196.png"/><Relationship Id="rId206" Type="http://schemas.openxmlformats.org/officeDocument/2006/relationships/image" Target="media/image195.png"/><Relationship Id="rId205" Type="http://schemas.openxmlformats.org/officeDocument/2006/relationships/image" Target="media/image194.png"/><Relationship Id="rId204" Type="http://schemas.openxmlformats.org/officeDocument/2006/relationships/image" Target="media/image193.png"/><Relationship Id="rId203" Type="http://schemas.openxmlformats.org/officeDocument/2006/relationships/image" Target="media/image192.png"/><Relationship Id="rId202" Type="http://schemas.openxmlformats.org/officeDocument/2006/relationships/image" Target="media/image191.png"/><Relationship Id="rId201" Type="http://schemas.openxmlformats.org/officeDocument/2006/relationships/image" Target="media/image190.png"/><Relationship Id="rId200" Type="http://schemas.openxmlformats.org/officeDocument/2006/relationships/image" Target="media/image189.png"/><Relationship Id="rId20" Type="http://schemas.openxmlformats.org/officeDocument/2006/relationships/image" Target="media/image9.png"/><Relationship Id="rId2" Type="http://schemas.openxmlformats.org/officeDocument/2006/relationships/settings" Target="settings.xml"/><Relationship Id="rId199" Type="http://schemas.openxmlformats.org/officeDocument/2006/relationships/image" Target="media/image188.png"/><Relationship Id="rId198" Type="http://schemas.openxmlformats.org/officeDocument/2006/relationships/image" Target="media/image187.png"/><Relationship Id="rId197" Type="http://schemas.openxmlformats.org/officeDocument/2006/relationships/image" Target="media/image186.png"/><Relationship Id="rId196" Type="http://schemas.openxmlformats.org/officeDocument/2006/relationships/image" Target="media/image185.png"/><Relationship Id="rId195" Type="http://schemas.openxmlformats.org/officeDocument/2006/relationships/image" Target="media/image184.png"/><Relationship Id="rId194" Type="http://schemas.openxmlformats.org/officeDocument/2006/relationships/image" Target="media/image183.png"/><Relationship Id="rId193" Type="http://schemas.openxmlformats.org/officeDocument/2006/relationships/image" Target="media/image182.png"/><Relationship Id="rId192" Type="http://schemas.openxmlformats.org/officeDocument/2006/relationships/image" Target="media/image181.png"/><Relationship Id="rId191" Type="http://schemas.openxmlformats.org/officeDocument/2006/relationships/image" Target="media/image180.png"/><Relationship Id="rId190" Type="http://schemas.openxmlformats.org/officeDocument/2006/relationships/image" Target="media/image179.png"/><Relationship Id="rId19" Type="http://schemas.openxmlformats.org/officeDocument/2006/relationships/image" Target="media/image8.png"/><Relationship Id="rId189" Type="http://schemas.openxmlformats.org/officeDocument/2006/relationships/image" Target="media/image178.png"/><Relationship Id="rId188" Type="http://schemas.openxmlformats.org/officeDocument/2006/relationships/image" Target="media/image177.png"/><Relationship Id="rId187" Type="http://schemas.openxmlformats.org/officeDocument/2006/relationships/image" Target="media/image176.png"/><Relationship Id="rId186" Type="http://schemas.openxmlformats.org/officeDocument/2006/relationships/image" Target="media/image175.png"/><Relationship Id="rId185" Type="http://schemas.openxmlformats.org/officeDocument/2006/relationships/image" Target="media/image174.png"/><Relationship Id="rId184" Type="http://schemas.openxmlformats.org/officeDocument/2006/relationships/image" Target="media/image173.png"/><Relationship Id="rId183" Type="http://schemas.openxmlformats.org/officeDocument/2006/relationships/image" Target="media/image172.png"/><Relationship Id="rId182" Type="http://schemas.openxmlformats.org/officeDocument/2006/relationships/image" Target="media/image171.png"/><Relationship Id="rId181" Type="http://schemas.openxmlformats.org/officeDocument/2006/relationships/image" Target="media/image170.png"/><Relationship Id="rId180" Type="http://schemas.openxmlformats.org/officeDocument/2006/relationships/image" Target="media/image169.png"/><Relationship Id="rId18" Type="http://schemas.openxmlformats.org/officeDocument/2006/relationships/image" Target="media/image7.png"/><Relationship Id="rId179" Type="http://schemas.openxmlformats.org/officeDocument/2006/relationships/image" Target="media/image168.png"/><Relationship Id="rId178" Type="http://schemas.openxmlformats.org/officeDocument/2006/relationships/image" Target="media/image167.png"/><Relationship Id="rId177" Type="http://schemas.openxmlformats.org/officeDocument/2006/relationships/image" Target="media/image166.png"/><Relationship Id="rId176" Type="http://schemas.openxmlformats.org/officeDocument/2006/relationships/image" Target="media/image165.png"/><Relationship Id="rId175" Type="http://schemas.openxmlformats.org/officeDocument/2006/relationships/image" Target="media/image164.png"/><Relationship Id="rId174" Type="http://schemas.openxmlformats.org/officeDocument/2006/relationships/image" Target="media/image163.png"/><Relationship Id="rId173" Type="http://schemas.openxmlformats.org/officeDocument/2006/relationships/image" Target="media/image162.png"/><Relationship Id="rId172" Type="http://schemas.openxmlformats.org/officeDocument/2006/relationships/image" Target="media/image161.png"/><Relationship Id="rId171" Type="http://schemas.openxmlformats.org/officeDocument/2006/relationships/image" Target="media/image160.png"/><Relationship Id="rId170" Type="http://schemas.openxmlformats.org/officeDocument/2006/relationships/image" Target="media/image159.png"/><Relationship Id="rId17" Type="http://schemas.openxmlformats.org/officeDocument/2006/relationships/image" Target="media/image6.png"/><Relationship Id="rId169" Type="http://schemas.openxmlformats.org/officeDocument/2006/relationships/image" Target="media/image158.png"/><Relationship Id="rId168" Type="http://schemas.openxmlformats.org/officeDocument/2006/relationships/image" Target="media/image157.png"/><Relationship Id="rId167" Type="http://schemas.openxmlformats.org/officeDocument/2006/relationships/image" Target="media/image156.png"/><Relationship Id="rId166" Type="http://schemas.openxmlformats.org/officeDocument/2006/relationships/image" Target="media/image155.png"/><Relationship Id="rId165" Type="http://schemas.openxmlformats.org/officeDocument/2006/relationships/image" Target="media/image154.png"/><Relationship Id="rId164" Type="http://schemas.openxmlformats.org/officeDocument/2006/relationships/image" Target="media/image153.png"/><Relationship Id="rId163" Type="http://schemas.openxmlformats.org/officeDocument/2006/relationships/image" Target="media/image152.png"/><Relationship Id="rId162" Type="http://schemas.openxmlformats.org/officeDocument/2006/relationships/image" Target="media/image151.png"/><Relationship Id="rId161" Type="http://schemas.openxmlformats.org/officeDocument/2006/relationships/image" Target="media/image150.png"/><Relationship Id="rId160" Type="http://schemas.openxmlformats.org/officeDocument/2006/relationships/image" Target="media/image149.png"/><Relationship Id="rId16" Type="http://schemas.openxmlformats.org/officeDocument/2006/relationships/image" Target="media/image5.jpeg"/><Relationship Id="rId159" Type="http://schemas.openxmlformats.org/officeDocument/2006/relationships/image" Target="media/image148.png"/><Relationship Id="rId158" Type="http://schemas.openxmlformats.org/officeDocument/2006/relationships/image" Target="media/image147.png"/><Relationship Id="rId157" Type="http://schemas.openxmlformats.org/officeDocument/2006/relationships/image" Target="media/image146.png"/><Relationship Id="rId156" Type="http://schemas.openxmlformats.org/officeDocument/2006/relationships/image" Target="media/image145.png"/><Relationship Id="rId155" Type="http://schemas.openxmlformats.org/officeDocument/2006/relationships/image" Target="media/image144.png"/><Relationship Id="rId154" Type="http://schemas.openxmlformats.org/officeDocument/2006/relationships/image" Target="media/image143.png"/><Relationship Id="rId153" Type="http://schemas.openxmlformats.org/officeDocument/2006/relationships/image" Target="media/image142.png"/><Relationship Id="rId152" Type="http://schemas.openxmlformats.org/officeDocument/2006/relationships/image" Target="media/image141.png"/><Relationship Id="rId151" Type="http://schemas.openxmlformats.org/officeDocument/2006/relationships/image" Target="media/image140.png"/><Relationship Id="rId150" Type="http://schemas.openxmlformats.org/officeDocument/2006/relationships/image" Target="media/image139.png"/><Relationship Id="rId15" Type="http://schemas.openxmlformats.org/officeDocument/2006/relationships/image" Target="media/image4.png"/><Relationship Id="rId149" Type="http://schemas.openxmlformats.org/officeDocument/2006/relationships/image" Target="media/image138.png"/><Relationship Id="rId148" Type="http://schemas.openxmlformats.org/officeDocument/2006/relationships/image" Target="media/image137.png"/><Relationship Id="rId147" Type="http://schemas.openxmlformats.org/officeDocument/2006/relationships/image" Target="media/image136.png"/><Relationship Id="rId146" Type="http://schemas.openxmlformats.org/officeDocument/2006/relationships/image" Target="media/image135.png"/><Relationship Id="rId145" Type="http://schemas.openxmlformats.org/officeDocument/2006/relationships/image" Target="media/image134.png"/><Relationship Id="rId144" Type="http://schemas.openxmlformats.org/officeDocument/2006/relationships/image" Target="media/image133.png"/><Relationship Id="rId143" Type="http://schemas.openxmlformats.org/officeDocument/2006/relationships/image" Target="media/image132.png"/><Relationship Id="rId142" Type="http://schemas.openxmlformats.org/officeDocument/2006/relationships/image" Target="media/image131.png"/><Relationship Id="rId141" Type="http://schemas.openxmlformats.org/officeDocument/2006/relationships/image" Target="media/image130.png"/><Relationship Id="rId140" Type="http://schemas.openxmlformats.org/officeDocument/2006/relationships/image" Target="media/image129.png"/><Relationship Id="rId14" Type="http://schemas.openxmlformats.org/officeDocument/2006/relationships/image" Target="media/image3.png"/><Relationship Id="rId139" Type="http://schemas.openxmlformats.org/officeDocument/2006/relationships/image" Target="media/image128.png"/><Relationship Id="rId138" Type="http://schemas.openxmlformats.org/officeDocument/2006/relationships/image" Target="media/image127.png"/><Relationship Id="rId137" Type="http://schemas.openxmlformats.org/officeDocument/2006/relationships/image" Target="media/image126.png"/><Relationship Id="rId136" Type="http://schemas.openxmlformats.org/officeDocument/2006/relationships/image" Target="media/image125.png"/><Relationship Id="rId135" Type="http://schemas.openxmlformats.org/officeDocument/2006/relationships/image" Target="media/image124.png"/><Relationship Id="rId134" Type="http://schemas.openxmlformats.org/officeDocument/2006/relationships/image" Target="media/image123.png"/><Relationship Id="rId133" Type="http://schemas.openxmlformats.org/officeDocument/2006/relationships/image" Target="media/image122.png"/><Relationship Id="rId132" Type="http://schemas.openxmlformats.org/officeDocument/2006/relationships/image" Target="media/image121.png"/><Relationship Id="rId131" Type="http://schemas.openxmlformats.org/officeDocument/2006/relationships/image" Target="media/image120.png"/><Relationship Id="rId130" Type="http://schemas.openxmlformats.org/officeDocument/2006/relationships/image" Target="media/image119.png"/><Relationship Id="rId13" Type="http://schemas.openxmlformats.org/officeDocument/2006/relationships/image" Target="media/image2.jpeg"/><Relationship Id="rId129" Type="http://schemas.openxmlformats.org/officeDocument/2006/relationships/image" Target="media/image118.png"/><Relationship Id="rId128" Type="http://schemas.openxmlformats.org/officeDocument/2006/relationships/image" Target="media/image117.png"/><Relationship Id="rId127" Type="http://schemas.openxmlformats.org/officeDocument/2006/relationships/image" Target="media/image116.png"/><Relationship Id="rId126" Type="http://schemas.openxmlformats.org/officeDocument/2006/relationships/image" Target="media/image115.png"/><Relationship Id="rId125" Type="http://schemas.openxmlformats.org/officeDocument/2006/relationships/image" Target="media/image114.png"/><Relationship Id="rId124" Type="http://schemas.openxmlformats.org/officeDocument/2006/relationships/image" Target="media/image113.png"/><Relationship Id="rId123" Type="http://schemas.openxmlformats.org/officeDocument/2006/relationships/image" Target="media/image112.png"/><Relationship Id="rId122" Type="http://schemas.openxmlformats.org/officeDocument/2006/relationships/image" Target="media/image111.png"/><Relationship Id="rId121" Type="http://schemas.openxmlformats.org/officeDocument/2006/relationships/image" Target="media/image110.png"/><Relationship Id="rId120" Type="http://schemas.openxmlformats.org/officeDocument/2006/relationships/image" Target="media/image109.png"/><Relationship Id="rId12" Type="http://schemas.openxmlformats.org/officeDocument/2006/relationships/image" Target="media/image1.png"/><Relationship Id="rId119" Type="http://schemas.openxmlformats.org/officeDocument/2006/relationships/image" Target="media/image108.png"/><Relationship Id="rId118" Type="http://schemas.openxmlformats.org/officeDocument/2006/relationships/image" Target="media/image107.png"/><Relationship Id="rId117" Type="http://schemas.openxmlformats.org/officeDocument/2006/relationships/image" Target="media/image106.png"/><Relationship Id="rId116" Type="http://schemas.openxmlformats.org/officeDocument/2006/relationships/image" Target="media/image105.png"/><Relationship Id="rId115" Type="http://schemas.openxmlformats.org/officeDocument/2006/relationships/image" Target="media/image104.png"/><Relationship Id="rId114" Type="http://schemas.openxmlformats.org/officeDocument/2006/relationships/image" Target="media/image103.png"/><Relationship Id="rId113" Type="http://schemas.openxmlformats.org/officeDocument/2006/relationships/image" Target="media/image102.png"/><Relationship Id="rId112" Type="http://schemas.openxmlformats.org/officeDocument/2006/relationships/image" Target="media/image101.png"/><Relationship Id="rId111" Type="http://schemas.openxmlformats.org/officeDocument/2006/relationships/image" Target="media/image100.png"/><Relationship Id="rId110" Type="http://schemas.openxmlformats.org/officeDocument/2006/relationships/image" Target="media/image99.png"/><Relationship Id="rId11" Type="http://schemas.openxmlformats.org/officeDocument/2006/relationships/theme" Target="theme/theme1.xml"/><Relationship Id="rId109" Type="http://schemas.openxmlformats.org/officeDocument/2006/relationships/image" Target="media/image98.png"/><Relationship Id="rId108" Type="http://schemas.openxmlformats.org/officeDocument/2006/relationships/image" Target="media/image97.png"/><Relationship Id="rId107" Type="http://schemas.openxmlformats.org/officeDocument/2006/relationships/image" Target="media/image96.png"/><Relationship Id="rId106" Type="http://schemas.openxmlformats.org/officeDocument/2006/relationships/image" Target="media/image95.png"/><Relationship Id="rId105" Type="http://schemas.openxmlformats.org/officeDocument/2006/relationships/image" Target="media/image94.png"/><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254</Pages>
  <Words>69928</Words>
  <Characters>87106</Characters>
  <Lines>0</Lines>
  <Paragraphs>879</Paragraphs>
  <TotalTime>3</TotalTime>
  <ScaleCrop>false</ScaleCrop>
  <LinksUpToDate>false</LinksUpToDate>
  <CharactersWithSpaces>92240</CharactersWithSpaces>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2020-01-02T23:28:00Z</dcterms:created>
  <dc:creator>admin8</dc:creator>
  <cp:lastModifiedBy>admin</cp:lastModifiedBy>
  <cp:lastPrinted>2023-09-05T01:34:00Z</cp:lastPrinted>
  <dcterms:modified xsi:type="dcterms:W3CDTF">2024-04-12T06:14:24Z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66ABFBE602A545A9B30CBE5D89E40C55_13</vt:lpwstr>
  </property>
</Properties>
</file>