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outlineLvl w:val="0"/>
        <w:rPr>
          <w:rFonts w:hint="eastAsia" w:ascii="宋体" w:hAnsi="宋体" w:cs="宋体"/>
          <w:b/>
          <w:bCs/>
          <w:sz w:val="32"/>
          <w:szCs w:val="32"/>
          <w:highlight w:val="none"/>
        </w:rPr>
      </w:pPr>
      <w:r>
        <w:rPr>
          <w:rFonts w:hint="eastAsia" w:ascii="宋体" w:hAnsi="宋体" w:cs="宋体"/>
          <w:b/>
          <w:bCs/>
          <w:sz w:val="32"/>
          <w:szCs w:val="32"/>
          <w:highlight w:val="none"/>
        </w:rPr>
        <w:t>采购需求</w:t>
      </w:r>
    </w:p>
    <w:p>
      <w:pPr>
        <w:snapToGrid w:val="0"/>
        <w:spacing w:line="400" w:lineRule="exact"/>
        <w:outlineLvl w:val="1"/>
        <w:rPr>
          <w:rFonts w:hint="eastAsia" w:ascii="宋体" w:hAnsi="宋体" w:cs="宋体"/>
          <w:b/>
          <w:bCs/>
          <w:spacing w:val="-6"/>
          <w:sz w:val="22"/>
          <w:szCs w:val="22"/>
          <w:highlight w:val="none"/>
        </w:rPr>
      </w:pPr>
      <w:bookmarkStart w:id="0" w:name="_Toc21629"/>
      <w:bookmarkStart w:id="1" w:name="_Toc401"/>
      <w:bookmarkStart w:id="2" w:name="_Toc479839540"/>
      <w:r>
        <w:rPr>
          <w:rFonts w:hint="eastAsia" w:ascii="宋体" w:hAnsi="宋体" w:cs="宋体"/>
          <w:b/>
          <w:bCs/>
          <w:spacing w:val="-6"/>
          <w:sz w:val="22"/>
          <w:szCs w:val="22"/>
          <w:highlight w:val="none"/>
        </w:rPr>
        <w:t>一、采购内容及数量</w:t>
      </w:r>
      <w:bookmarkEnd w:id="0"/>
      <w:bookmarkEnd w:id="1"/>
    </w:p>
    <w:tbl>
      <w:tblPr>
        <w:tblStyle w:val="4"/>
        <w:tblW w:w="8964" w:type="dxa"/>
        <w:jc w:val="center"/>
        <w:tblLayout w:type="fixed"/>
        <w:tblCellMar>
          <w:top w:w="0" w:type="dxa"/>
          <w:left w:w="108" w:type="dxa"/>
          <w:bottom w:w="0" w:type="dxa"/>
          <w:right w:w="108" w:type="dxa"/>
        </w:tblCellMar>
      </w:tblPr>
      <w:tblGrid>
        <w:gridCol w:w="950"/>
        <w:gridCol w:w="5985"/>
        <w:gridCol w:w="1216"/>
        <w:gridCol w:w="813"/>
      </w:tblGrid>
      <w:tr>
        <w:tblPrEx>
          <w:tblCellMar>
            <w:top w:w="0" w:type="dxa"/>
            <w:left w:w="108" w:type="dxa"/>
            <w:bottom w:w="0" w:type="dxa"/>
            <w:right w:w="108" w:type="dxa"/>
          </w:tblCellMar>
        </w:tblPrEx>
        <w:trPr>
          <w:trHeight w:val="567" w:hRule="atLeast"/>
          <w:jc w:val="center"/>
        </w:trPr>
        <w:tc>
          <w:tcPr>
            <w:tcW w:w="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59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项目内容</w:t>
            </w:r>
          </w:p>
        </w:tc>
        <w:tc>
          <w:tcPr>
            <w:tcW w:w="1216"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数量</w:t>
            </w:r>
          </w:p>
        </w:tc>
        <w:tc>
          <w:tcPr>
            <w:tcW w:w="81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备注</w:t>
            </w:r>
          </w:p>
        </w:tc>
      </w:tr>
      <w:tr>
        <w:tblPrEx>
          <w:tblCellMar>
            <w:top w:w="0" w:type="dxa"/>
            <w:left w:w="108" w:type="dxa"/>
            <w:bottom w:w="0" w:type="dxa"/>
            <w:right w:w="108" w:type="dxa"/>
          </w:tblCellMar>
        </w:tblPrEx>
        <w:trPr>
          <w:trHeight w:val="567" w:hRule="atLeast"/>
          <w:jc w:val="center"/>
        </w:trPr>
        <w:tc>
          <w:tcPr>
            <w:tcW w:w="95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w:t>
            </w:r>
          </w:p>
        </w:tc>
        <w:tc>
          <w:tcPr>
            <w:tcW w:w="5985"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隧道智能安全绿色运维关键技术综合研究与示范应用—隧道结构及交通流抗火韧性测试服务</w:t>
            </w:r>
          </w:p>
        </w:tc>
        <w:tc>
          <w:tcPr>
            <w:tcW w:w="12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1项</w:t>
            </w:r>
          </w:p>
        </w:tc>
        <w:tc>
          <w:tcPr>
            <w:tcW w:w="81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rPr>
                <w:rFonts w:hint="eastAsia" w:ascii="宋体" w:hAnsi="宋体" w:cs="宋体"/>
                <w:sz w:val="22"/>
                <w:szCs w:val="22"/>
                <w:highlight w:val="none"/>
              </w:rPr>
            </w:pPr>
          </w:p>
        </w:tc>
      </w:tr>
    </w:tbl>
    <w:p>
      <w:pPr>
        <w:snapToGrid w:val="0"/>
        <w:spacing w:line="400" w:lineRule="exact"/>
        <w:outlineLvl w:val="1"/>
        <w:rPr>
          <w:rFonts w:hint="eastAsia" w:ascii="宋体" w:hAnsi="宋体" w:cs="宋体"/>
          <w:b/>
          <w:spacing w:val="-6"/>
          <w:sz w:val="22"/>
          <w:szCs w:val="22"/>
          <w:highlight w:val="none"/>
        </w:rPr>
      </w:pPr>
      <w:bookmarkStart w:id="3" w:name="_Toc25622"/>
      <w:bookmarkStart w:id="4" w:name="_Toc23750"/>
      <w:r>
        <w:rPr>
          <w:rFonts w:hint="eastAsia" w:ascii="宋体" w:hAnsi="宋体" w:cs="宋体"/>
          <w:b/>
          <w:bCs/>
          <w:kern w:val="0"/>
          <w:sz w:val="22"/>
          <w:szCs w:val="22"/>
          <w:highlight w:val="none"/>
        </w:rPr>
        <w:t>二、</w:t>
      </w:r>
      <w:r>
        <w:rPr>
          <w:rFonts w:hint="eastAsia" w:ascii="宋体" w:hAnsi="宋体" w:cs="宋体"/>
          <w:b/>
          <w:spacing w:val="-6"/>
          <w:sz w:val="22"/>
          <w:szCs w:val="22"/>
          <w:highlight w:val="none"/>
        </w:rPr>
        <w:t>商务要求（技术要求里另有注明的以技术要求为准）</w:t>
      </w:r>
      <w:bookmarkEnd w:id="3"/>
      <w:bookmarkEnd w:id="4"/>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6"/>
        <w:gridCol w:w="8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2"/>
                <w:szCs w:val="22"/>
                <w:highlight w:val="none"/>
                <w:u w:val="single"/>
              </w:rPr>
            </w:pPr>
            <w:bookmarkStart w:id="5" w:name="_Toc26570"/>
            <w:r>
              <w:rPr>
                <w:rFonts w:hint="eastAsia" w:ascii="宋体" w:hAnsi="宋体" w:cs="宋体"/>
                <w:b/>
                <w:bCs/>
                <w:sz w:val="22"/>
                <w:szCs w:val="22"/>
                <w:highlight w:val="none"/>
              </w:rPr>
              <w:t>付款方式</w:t>
            </w:r>
          </w:p>
        </w:tc>
        <w:tc>
          <w:tcPr>
            <w:tcW w:w="81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 w:val="22"/>
                <w:szCs w:val="22"/>
                <w:highlight w:val="none"/>
                <w:u w:val="single"/>
              </w:rPr>
            </w:pPr>
            <w:r>
              <w:rPr>
                <w:rFonts w:hint="eastAsia" w:ascii="宋体" w:hAnsi="宋体" w:cs="宋体"/>
                <w:sz w:val="22"/>
                <w:szCs w:val="22"/>
                <w:highlight w:val="none"/>
                <w:u w:val="single"/>
              </w:rPr>
              <w:t>▲服务内容全部完成且项目验收合格后采购人向成交供应商支付合同全款，采购人对于满足合同约定支付条件的，自收到发票后</w:t>
            </w:r>
            <w:r>
              <w:rPr>
                <w:rFonts w:ascii="宋体" w:hAnsi="宋体" w:cs="宋体"/>
                <w:sz w:val="22"/>
                <w:szCs w:val="22"/>
                <w:highlight w:val="none"/>
                <w:u w:val="single"/>
              </w:rPr>
              <w:t>15</w:t>
            </w:r>
            <w:r>
              <w:rPr>
                <w:rFonts w:hint="eastAsia" w:ascii="宋体" w:hAnsi="宋体" w:cs="宋体"/>
                <w:sz w:val="22"/>
                <w:szCs w:val="22"/>
                <w:highlight w:val="none"/>
                <w:u w:val="single"/>
              </w:rPr>
              <w:t>个工作日内将资金支付到合同约定的成交供应商账户。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2"/>
                <w:szCs w:val="22"/>
                <w:highlight w:val="none"/>
                <w:u w:val="single"/>
              </w:rPr>
            </w:pPr>
            <w:r>
              <w:rPr>
                <w:rFonts w:hint="eastAsia" w:ascii="宋体" w:hAnsi="宋体" w:cs="宋体"/>
                <w:b/>
                <w:bCs/>
                <w:sz w:val="22"/>
                <w:szCs w:val="22"/>
                <w:highlight w:val="none"/>
              </w:rPr>
              <w:t>履约保证金</w:t>
            </w:r>
          </w:p>
        </w:tc>
        <w:tc>
          <w:tcPr>
            <w:tcW w:w="81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2"/>
                <w:szCs w:val="22"/>
                <w:highlight w:val="none"/>
              </w:rPr>
            </w:pPr>
            <w:r>
              <w:rPr>
                <w:rFonts w:hint="eastAsia" w:ascii="宋体" w:hAnsi="宋体" w:cs="宋体"/>
                <w:sz w:val="22"/>
                <w:szCs w:val="22"/>
                <w:highlight w:val="none"/>
              </w:rPr>
              <w:t>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服务期</w:t>
            </w:r>
          </w:p>
        </w:tc>
        <w:tc>
          <w:tcPr>
            <w:tcW w:w="8187" w:type="dxa"/>
            <w:tcBorders>
              <w:top w:val="single" w:color="auto" w:sz="4" w:space="0"/>
              <w:left w:val="single" w:color="auto" w:sz="4" w:space="0"/>
              <w:bottom w:val="single" w:color="auto" w:sz="4" w:space="0"/>
              <w:right w:val="single" w:color="auto" w:sz="4" w:space="0"/>
            </w:tcBorders>
            <w:noWrap w:val="0"/>
            <w:vAlign w:val="center"/>
          </w:tcPr>
          <w:p>
            <w:pPr>
              <w:pStyle w:val="6"/>
              <w:spacing w:line="400" w:lineRule="exact"/>
              <w:ind w:firstLine="0" w:firstLineChars="0"/>
              <w:rPr>
                <w:rFonts w:hint="eastAsia" w:ascii="宋体" w:hAnsi="宋体" w:cs="宋体"/>
                <w:sz w:val="22"/>
                <w:szCs w:val="22"/>
                <w:highlight w:val="none"/>
              </w:rPr>
            </w:pPr>
            <w:r>
              <w:rPr>
                <w:rFonts w:hint="eastAsia" w:ascii="宋体" w:hAnsi="宋体" w:cs="宋体"/>
                <w:sz w:val="22"/>
                <w:szCs w:val="22"/>
                <w:highlight w:val="none"/>
              </w:rPr>
              <w:t>合同签约时间至2</w:t>
            </w:r>
            <w:r>
              <w:rPr>
                <w:rFonts w:ascii="宋体" w:hAnsi="宋体" w:cs="宋体"/>
                <w:sz w:val="22"/>
                <w:szCs w:val="22"/>
                <w:highlight w:val="none"/>
              </w:rPr>
              <w:t>024</w:t>
            </w:r>
            <w:r>
              <w:rPr>
                <w:rFonts w:hint="eastAsia" w:ascii="宋体" w:hAnsi="宋体" w:cs="宋体"/>
                <w:sz w:val="22"/>
                <w:szCs w:val="22"/>
                <w:highlight w:val="none"/>
              </w:rPr>
              <w:t>年1</w:t>
            </w:r>
            <w:r>
              <w:rPr>
                <w:rFonts w:ascii="宋体" w:hAnsi="宋体" w:cs="宋体"/>
                <w:sz w:val="22"/>
                <w:szCs w:val="22"/>
                <w:highlight w:val="none"/>
              </w:rPr>
              <w:t>2</w:t>
            </w:r>
            <w:r>
              <w:rPr>
                <w:rFonts w:hint="eastAsia" w:ascii="宋体" w:hAnsi="宋体" w:cs="宋体"/>
                <w:sz w:val="22"/>
                <w:szCs w:val="22"/>
                <w:highlight w:val="none"/>
              </w:rPr>
              <w:t>月3</w:t>
            </w:r>
            <w:r>
              <w:rPr>
                <w:rFonts w:ascii="宋体" w:hAnsi="宋体" w:cs="宋体"/>
                <w:sz w:val="22"/>
                <w:szCs w:val="22"/>
                <w:highlight w:val="none"/>
              </w:rPr>
              <w:t>1</w:t>
            </w:r>
            <w:r>
              <w:rPr>
                <w:rFonts w:hint="eastAsia" w:ascii="宋体" w:hAnsi="宋体" w:cs="宋体"/>
                <w:sz w:val="22"/>
                <w:szCs w:val="22"/>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服务地点</w:t>
            </w:r>
          </w:p>
        </w:tc>
        <w:tc>
          <w:tcPr>
            <w:tcW w:w="81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2"/>
                <w:szCs w:val="22"/>
                <w:highlight w:val="none"/>
              </w:rPr>
            </w:pPr>
            <w:r>
              <w:rPr>
                <w:rFonts w:hint="eastAsia" w:ascii="宋体" w:hAnsi="宋体" w:cs="宋体"/>
                <w:sz w:val="22"/>
                <w:szCs w:val="22"/>
                <w:highlight w:val="none"/>
              </w:rPr>
              <w:t>浙江省交通运输科学研究院指定地点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2"/>
                <w:szCs w:val="22"/>
                <w:highlight w:val="none"/>
              </w:rPr>
            </w:pPr>
            <w:r>
              <w:rPr>
                <w:rFonts w:hint="eastAsia" w:ascii="宋体" w:hAnsi="宋体" w:cs="宋体"/>
                <w:b/>
                <w:sz w:val="22"/>
                <w:szCs w:val="22"/>
                <w:highlight w:val="none"/>
              </w:rPr>
              <w:t>报价要求</w:t>
            </w:r>
          </w:p>
        </w:tc>
        <w:tc>
          <w:tcPr>
            <w:tcW w:w="81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sz w:val="22"/>
                <w:szCs w:val="22"/>
                <w:highlight w:val="none"/>
              </w:rPr>
            </w:pPr>
            <w:r>
              <w:rPr>
                <w:rFonts w:hint="eastAsia" w:ascii="宋体" w:hAnsi="宋体" w:cs="宋体"/>
                <w:sz w:val="22"/>
                <w:szCs w:val="22"/>
                <w:highlight w:val="none"/>
              </w:rPr>
              <w:t>采用人民币报价。</w:t>
            </w:r>
          </w:p>
          <w:p>
            <w:pPr>
              <w:spacing w:line="400" w:lineRule="exact"/>
              <w:jc w:val="left"/>
              <w:rPr>
                <w:rFonts w:hint="eastAsia" w:ascii="宋体" w:hAnsi="宋体" w:cs="宋体"/>
                <w:sz w:val="22"/>
                <w:szCs w:val="22"/>
                <w:highlight w:val="none"/>
              </w:rPr>
            </w:pPr>
            <w:r>
              <w:rPr>
                <w:rFonts w:hint="eastAsia" w:ascii="宋体" w:hAnsi="宋体" w:cs="宋体"/>
                <w:sz w:val="22"/>
                <w:szCs w:val="22"/>
                <w:highlight w:val="none"/>
              </w:rPr>
              <w:t>本项目报价为全费用总价包干价，报价是包含完成本项目工作任务所发生的一切费用及不可预见费等所需的全部费用，全部费用已包含在报价一览表的总报价中。</w:t>
            </w:r>
          </w:p>
          <w:p>
            <w:pPr>
              <w:spacing w:line="400" w:lineRule="exact"/>
              <w:jc w:val="left"/>
              <w:rPr>
                <w:rFonts w:hint="eastAsia" w:ascii="宋体" w:hAnsi="宋体" w:cs="宋体"/>
                <w:sz w:val="22"/>
                <w:szCs w:val="22"/>
                <w:highlight w:val="none"/>
              </w:rPr>
            </w:pPr>
            <w:r>
              <w:rPr>
                <w:rFonts w:hint="eastAsia" w:ascii="宋体" w:hAnsi="宋体" w:cs="宋体"/>
                <w:sz w:val="22"/>
                <w:szCs w:val="22"/>
                <w:highlight w:val="none"/>
              </w:rPr>
              <w:t>全部费用包括（但不限于）：为实施和完成合同工程所需人工费、设备费、场地费、测试费、报告费、企业管理费、规费、税金、利润、运输、保险、验收费等全部费用，以及合同明示或隐含的所有责任、义务和一般风险。</w:t>
            </w:r>
          </w:p>
          <w:p>
            <w:pPr>
              <w:spacing w:line="400" w:lineRule="exact"/>
              <w:jc w:val="left"/>
              <w:rPr>
                <w:rFonts w:hint="eastAsia" w:ascii="宋体" w:hAnsi="宋体" w:cs="宋体"/>
                <w:sz w:val="22"/>
                <w:szCs w:val="22"/>
                <w:highlight w:val="none"/>
              </w:rPr>
            </w:pPr>
            <w:r>
              <w:rPr>
                <w:rFonts w:hint="eastAsia" w:ascii="宋体" w:hAnsi="宋体" w:cs="宋体"/>
                <w:sz w:val="22"/>
                <w:szCs w:val="22"/>
                <w:highlight w:val="none"/>
              </w:rPr>
              <w:t xml:space="preserve">供应商应综合考虑本项目的特殊性和不确定性，根据项目总体进度计划和阶段性计划以及采购人的要求合理安排好检测设备、人员进场，必要时应切实加大设备、人力的投入，由此增加的费用视为已包含在投标报价中，采购人不再另行支付，供应商应综合考虑各种相关因素进行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bCs/>
                <w:sz w:val="22"/>
                <w:szCs w:val="22"/>
                <w:highlight w:val="none"/>
              </w:rPr>
            </w:pPr>
            <w:r>
              <w:rPr>
                <w:rFonts w:hint="eastAsia" w:ascii="宋体" w:hAnsi="宋体" w:cs="宋体"/>
                <w:b/>
                <w:bCs/>
                <w:sz w:val="22"/>
                <w:szCs w:val="22"/>
                <w:highlight w:val="none"/>
              </w:rPr>
              <w:t>验收标准</w:t>
            </w:r>
          </w:p>
        </w:tc>
        <w:tc>
          <w:tcPr>
            <w:tcW w:w="8187" w:type="dxa"/>
            <w:tcBorders>
              <w:top w:val="single" w:color="auto" w:sz="4" w:space="0"/>
              <w:left w:val="single" w:color="auto" w:sz="4" w:space="0"/>
              <w:bottom w:val="single" w:color="auto" w:sz="4" w:space="0"/>
              <w:right w:val="single" w:color="auto" w:sz="4" w:space="0"/>
            </w:tcBorders>
            <w:noWrap w:val="0"/>
            <w:vAlign w:val="center"/>
          </w:tcPr>
          <w:p>
            <w:pPr>
              <w:pStyle w:val="3"/>
              <w:widowControl/>
              <w:adjustRightInd w:val="0"/>
              <w:snapToGrid w:val="0"/>
              <w:spacing w:line="400" w:lineRule="exact"/>
              <w:rPr>
                <w:rFonts w:hint="eastAsia" w:ascii="宋体" w:hAnsi="宋体" w:cs="宋体"/>
                <w:sz w:val="22"/>
                <w:szCs w:val="22"/>
                <w:highlight w:val="none"/>
              </w:rPr>
            </w:pPr>
            <w:r>
              <w:rPr>
                <w:rFonts w:hint="eastAsia" w:ascii="宋体" w:hAnsi="宋体" w:cs="宋体"/>
                <w:sz w:val="22"/>
                <w:szCs w:val="22"/>
                <w:highlight w:val="none"/>
              </w:rPr>
              <w:t>合同履约达到验收条件时，按照采购合同、响应文件、磋商文件等约定的质量、数量、技术指标或者服务要求设验收指标及其标准。未约定的，应当符合国家强制性规定、政策要求、安全标准、行业或企业有关标准等。</w:t>
            </w:r>
          </w:p>
          <w:p>
            <w:pPr>
              <w:pStyle w:val="3"/>
              <w:widowControl/>
              <w:adjustRightInd w:val="0"/>
              <w:snapToGrid w:val="0"/>
              <w:spacing w:line="400" w:lineRule="exact"/>
              <w:rPr>
                <w:rFonts w:hint="eastAsia" w:ascii="宋体" w:hAnsi="宋体" w:cs="宋体"/>
                <w:sz w:val="22"/>
                <w:szCs w:val="22"/>
                <w:highlight w:val="none"/>
              </w:rPr>
            </w:pPr>
            <w:r>
              <w:rPr>
                <w:rFonts w:hint="eastAsia" w:ascii="宋体" w:hAnsi="宋体" w:cs="宋体"/>
                <w:sz w:val="22"/>
                <w:szCs w:val="22"/>
                <w:highlight w:val="none"/>
              </w:rPr>
              <w:t>以上产生的所有费用由成交供应商承担。</w:t>
            </w:r>
          </w:p>
          <w:p>
            <w:pPr>
              <w:spacing w:line="400" w:lineRule="exact"/>
              <w:jc w:val="left"/>
              <w:rPr>
                <w:rFonts w:hint="eastAsia" w:ascii="宋体" w:hAnsi="宋体" w:cs="宋体"/>
                <w:sz w:val="22"/>
                <w:szCs w:val="22"/>
                <w:highlight w:val="none"/>
              </w:rPr>
            </w:pPr>
            <w:r>
              <w:rPr>
                <w:rFonts w:hint="eastAsia" w:ascii="宋体" w:hAnsi="宋体" w:cs="宋体"/>
                <w:sz w:val="22"/>
                <w:szCs w:val="22"/>
                <w:highlight w:val="none"/>
              </w:rPr>
              <w:t>注：供应商应于响应文件中提供合同内容的验收标准和检测办法，并在验收中提供采购人认可的相应检测手段，验收标准应符合中国有关的国家、地方、行业的标准，如若中标，经采购人确认后作为验收的依据。</w:t>
            </w:r>
          </w:p>
        </w:tc>
      </w:tr>
    </w:tbl>
    <w:p>
      <w:pPr>
        <w:snapToGrid w:val="0"/>
        <w:spacing w:line="400" w:lineRule="exact"/>
        <w:outlineLvl w:val="1"/>
        <w:rPr>
          <w:rFonts w:hint="eastAsia" w:ascii="宋体" w:hAnsi="宋体" w:cs="宋体"/>
          <w:b/>
          <w:bCs/>
          <w:spacing w:val="-6"/>
          <w:sz w:val="22"/>
          <w:szCs w:val="22"/>
          <w:highlight w:val="none"/>
        </w:rPr>
      </w:pPr>
      <w:bookmarkStart w:id="6" w:name="_Toc22396"/>
      <w:r>
        <w:rPr>
          <w:rFonts w:hint="eastAsia" w:ascii="宋体" w:hAnsi="宋体" w:cs="宋体"/>
          <w:b/>
          <w:bCs/>
          <w:spacing w:val="-6"/>
          <w:sz w:val="22"/>
          <w:szCs w:val="22"/>
          <w:highlight w:val="none"/>
        </w:rPr>
        <w:t>三、技术要求</w:t>
      </w:r>
      <w:bookmarkEnd w:id="2"/>
      <w:bookmarkEnd w:id="5"/>
      <w:bookmarkEnd w:id="6"/>
    </w:p>
    <w:p>
      <w:pPr>
        <w:snapToGrid w:val="0"/>
        <w:spacing w:line="400" w:lineRule="exact"/>
        <w:outlineLvl w:val="1"/>
        <w:rPr>
          <w:rFonts w:hint="eastAsia" w:ascii="宋体" w:hAnsi="宋体" w:cs="宋体"/>
          <w:b/>
          <w:sz w:val="22"/>
          <w:szCs w:val="22"/>
          <w:highlight w:val="none"/>
        </w:rPr>
      </w:pPr>
      <w:bookmarkStart w:id="7" w:name="_Toc8410"/>
      <w:r>
        <w:rPr>
          <w:rFonts w:hint="eastAsia" w:ascii="宋体" w:hAnsi="宋体" w:cs="宋体"/>
          <w:b/>
          <w:bCs/>
          <w:sz w:val="22"/>
          <w:szCs w:val="22"/>
          <w:highlight w:val="none"/>
        </w:rPr>
        <w:t>（一）</w:t>
      </w:r>
      <w:r>
        <w:rPr>
          <w:rFonts w:hint="eastAsia" w:ascii="宋体" w:hAnsi="宋体" w:cs="宋体"/>
          <w:b/>
          <w:sz w:val="22"/>
          <w:szCs w:val="22"/>
          <w:highlight w:val="none"/>
        </w:rPr>
        <w:t>项目背景</w:t>
      </w:r>
      <w:bookmarkEnd w:id="7"/>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浙江省交通运输厅2022年重大专项《隧道智能安全绿色运维关键技术综合研究与示范应用》子课题一“公路隧道韧性评估方法研究”面向公路隧道长期服役性能和隧道韧性开展研究。在隧道韧性方面，前期课题组已开展大量调研工作，并选取公路隧道抗爆破施工扰动和抗火韧性作为研究切入点。针对抗火韧性，课题组已通过问卷调查收集大量数据，基本建立隧道抗火韧性评估模型。为完善该模型，需进行精细化研究，开展火灾影响下隧道结构衬砌韧性评估以及隧道交通流韧性评估研究。其中，前者需调研获取不同火灾特征参数，通过特定的火灾试验和数值模拟研究不同火灾下隧道的升温特性与衬砌结构性能变化响应情况，并由此评估隧道衬砌结构韧性水平；后者需测试获取公路隧道日常的运营环境与交通流概况，利用特定交通流数值模拟软件，研究不同交通流状态下的火灾风险，以及不同程度交通中断情况下采取不同应急处置措施对于隧道交通运营韧性的影响。</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由于该部分研究内容所需进行的隧道火灾试验风险较高，隧道火灾现场布置与实验测试需要委托具有相关经验的消防技术服务单位进行，并负责试验安全的保障。此外，交通流模拟需要提前构建测试系统，并进行现场测试以获取相关隧道的运营环境和交流特征参数。因此，需采购隧道结构及交通流抗火韧性测试服务。</w:t>
      </w:r>
    </w:p>
    <w:p>
      <w:pPr>
        <w:snapToGrid w:val="0"/>
        <w:spacing w:line="400" w:lineRule="exact"/>
        <w:outlineLvl w:val="1"/>
        <w:rPr>
          <w:rFonts w:hint="eastAsia" w:ascii="宋体" w:hAnsi="宋体" w:cs="宋体"/>
          <w:b/>
          <w:sz w:val="22"/>
          <w:szCs w:val="22"/>
          <w:highlight w:val="none"/>
        </w:rPr>
      </w:pPr>
      <w:bookmarkStart w:id="8" w:name="_Toc31659"/>
      <w:r>
        <w:rPr>
          <w:rFonts w:hint="eastAsia" w:ascii="宋体" w:hAnsi="宋体" w:cs="宋体"/>
          <w:b/>
          <w:sz w:val="22"/>
          <w:szCs w:val="22"/>
          <w:highlight w:val="none"/>
        </w:rPr>
        <w:t>(二)服务内容</w:t>
      </w:r>
      <w:bookmarkEnd w:id="8"/>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根据课题开展要求，采购隧道结构及交通流抗火韧性测试服务。对公路隧道进行不同火灾影响下的衬砌结构韧性及交通流韧性进行测试。具体测试内容如下：</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1.完成10次全尺寸隧道火灾试验的现场布置与实验测试；</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2.完成隧道运营环境和交流特征参数测试系统搭建，并进行500h的现场测试。</w:t>
      </w:r>
    </w:p>
    <w:p>
      <w:pPr>
        <w:snapToGrid w:val="0"/>
        <w:spacing w:line="400" w:lineRule="exact"/>
        <w:rPr>
          <w:rFonts w:hint="eastAsia" w:ascii="宋体" w:hAnsi="宋体" w:cs="宋体"/>
          <w:b/>
          <w:bCs/>
          <w:sz w:val="22"/>
          <w:szCs w:val="22"/>
          <w:highlight w:val="none"/>
        </w:rPr>
      </w:pPr>
      <w:r>
        <w:rPr>
          <w:rFonts w:hint="eastAsia" w:ascii="宋体" w:hAnsi="宋体" w:cs="宋体"/>
          <w:b/>
          <w:bCs/>
          <w:sz w:val="22"/>
          <w:szCs w:val="22"/>
          <w:highlight w:val="none"/>
        </w:rPr>
        <w:t>（三）相关法规、管理条例与技术标准、行业规范</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1.国家规定的标准和规范，有新标准按新标准执行；</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2.行业标准及规范，有新标准按新标准执行；</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3.其他相关标准。</w:t>
      </w:r>
    </w:p>
    <w:p>
      <w:pPr>
        <w:snapToGrid w:val="0"/>
        <w:spacing w:line="400" w:lineRule="exact"/>
        <w:outlineLvl w:val="1"/>
        <w:rPr>
          <w:rFonts w:hint="eastAsia" w:ascii="宋体" w:hAnsi="宋体" w:cs="宋体"/>
          <w:b/>
          <w:sz w:val="22"/>
          <w:szCs w:val="22"/>
          <w:highlight w:val="none"/>
        </w:rPr>
      </w:pPr>
      <w:bookmarkStart w:id="9" w:name="_Toc23594"/>
      <w:r>
        <w:rPr>
          <w:rFonts w:hint="eastAsia" w:ascii="宋体" w:hAnsi="宋体" w:cs="宋体"/>
          <w:b/>
          <w:sz w:val="22"/>
          <w:szCs w:val="22"/>
          <w:highlight w:val="none"/>
        </w:rPr>
        <w:t>（四）成果要求：</w:t>
      </w:r>
      <w:bookmarkEnd w:id="9"/>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1.完成火灾现场布置和试验测试；</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2.完成交通流测试系统的构建及现场测试；</w:t>
      </w:r>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3.完成测试报告1份。</w:t>
      </w:r>
    </w:p>
    <w:p>
      <w:pPr>
        <w:snapToGrid w:val="0"/>
        <w:spacing w:line="400" w:lineRule="exact"/>
        <w:outlineLvl w:val="1"/>
        <w:rPr>
          <w:rFonts w:hint="eastAsia" w:ascii="宋体" w:hAnsi="宋体" w:cs="宋体"/>
          <w:b/>
          <w:sz w:val="22"/>
          <w:szCs w:val="22"/>
          <w:highlight w:val="none"/>
        </w:rPr>
      </w:pPr>
      <w:bookmarkStart w:id="10" w:name="_Toc26308"/>
      <w:r>
        <w:rPr>
          <w:rFonts w:hint="eastAsia" w:ascii="宋体" w:hAnsi="宋体" w:cs="宋体"/>
          <w:b/>
          <w:sz w:val="22"/>
          <w:szCs w:val="22"/>
          <w:highlight w:val="none"/>
        </w:rPr>
        <w:t>（五）团队要求：（主要包括项目负责人、项目组成员）</w:t>
      </w:r>
      <w:bookmarkEnd w:id="10"/>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项目负责人及项目组成员需具备相关隧道火灾试验及隧道交通流测试经验。</w:t>
      </w:r>
    </w:p>
    <w:p>
      <w:pPr>
        <w:snapToGrid w:val="0"/>
        <w:spacing w:line="400" w:lineRule="exact"/>
        <w:outlineLvl w:val="1"/>
        <w:rPr>
          <w:rFonts w:hint="eastAsia" w:ascii="宋体" w:hAnsi="宋体" w:cs="宋体"/>
          <w:b/>
          <w:sz w:val="22"/>
          <w:szCs w:val="22"/>
          <w:highlight w:val="none"/>
        </w:rPr>
      </w:pPr>
      <w:bookmarkStart w:id="11" w:name="_Toc1506"/>
      <w:r>
        <w:rPr>
          <w:rFonts w:hint="eastAsia" w:ascii="宋体" w:hAnsi="宋体" w:cs="宋体"/>
          <w:b/>
          <w:sz w:val="22"/>
          <w:szCs w:val="22"/>
          <w:highlight w:val="none"/>
        </w:rPr>
        <w:t>四、其他</w:t>
      </w:r>
      <w:bookmarkEnd w:id="11"/>
    </w:p>
    <w:p>
      <w:pPr>
        <w:spacing w:line="400" w:lineRule="exact"/>
        <w:ind w:firstLine="416" w:firstLineChars="200"/>
        <w:rPr>
          <w:rFonts w:hint="eastAsia" w:ascii="宋体" w:hAnsi="宋体" w:cs="宋体"/>
          <w:bCs/>
          <w:spacing w:val="-6"/>
          <w:sz w:val="22"/>
          <w:szCs w:val="22"/>
          <w:highlight w:val="none"/>
        </w:rPr>
      </w:pPr>
      <w:r>
        <w:rPr>
          <w:rFonts w:hint="eastAsia" w:ascii="宋体" w:hAnsi="宋体" w:cs="宋体"/>
          <w:bCs/>
          <w:spacing w:val="-6"/>
          <w:sz w:val="22"/>
          <w:szCs w:val="22"/>
          <w:highlight w:val="none"/>
        </w:rPr>
        <w:t>1.标“▲且加下划线”的有关技术和商务要求为实质性条款，供应商必须做出实质性响应，否则视为无效响应文件。</w:t>
      </w:r>
    </w:p>
    <w:p>
      <w:pPr>
        <w:spacing w:line="400" w:lineRule="exact"/>
        <w:ind w:firstLine="416" w:firstLineChars="200"/>
        <w:rPr>
          <w:rFonts w:hint="eastAsia" w:ascii="宋体" w:hAnsi="宋体" w:cs="宋体"/>
          <w:bCs/>
          <w:kern w:val="0"/>
          <w:sz w:val="22"/>
          <w:szCs w:val="22"/>
          <w:highlight w:val="none"/>
        </w:rPr>
      </w:pPr>
      <w:r>
        <w:rPr>
          <w:rFonts w:hint="eastAsia" w:ascii="宋体" w:hAnsi="宋体" w:cs="宋体"/>
          <w:bCs/>
          <w:spacing w:val="-6"/>
          <w:sz w:val="22"/>
          <w:szCs w:val="22"/>
          <w:highlight w:val="none"/>
        </w:rPr>
        <w:t>2.除磋商文件中所明确的采购需求规格外，欢迎其他能满足本项目采购需求且性能相当于或高于所明确的服务参加磋商报价。同时在采购需求偏离表中作出详细对比说明</w:t>
      </w:r>
      <w:r>
        <w:rPr>
          <w:rFonts w:hint="eastAsia" w:ascii="宋体" w:hAnsi="宋体" w:cs="宋体"/>
          <w:bCs/>
          <w:kern w:val="0"/>
          <w:sz w:val="22"/>
          <w:szCs w:val="22"/>
          <w:highlight w:val="none"/>
        </w:rPr>
        <w:t>。</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wNTQyMDU4ZjViYTgyY2JhMWRhOWMxODQ1Zjg1MTIifQ=="/>
  </w:docVars>
  <w:rsids>
    <w:rsidRoot w:val="00000000"/>
    <w:rsid w:val="23B6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08" w:lineRule="auto"/>
      <w:outlineLvl w:val="1"/>
    </w:pPr>
    <w:rPr>
      <w:rFonts w:ascii="Arial" w:hAnsi="Arial" w:eastAsia="黑体"/>
      <w:sz w:val="28"/>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customStyle="1" w:styleId="6">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cp:lastModifiedBy>
  <dcterms:modified xsi:type="dcterms:W3CDTF">2024-05-22T10:07:04Z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5DE8D8CF9FCE453C910AA088313446CD_12</vt:lpwstr>
  </property>
</Properties>
</file>