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00" w:lineRule="exact"/>
        <w:jc w:val="center"/>
        <w:outlineLvl w:val="0"/>
        <w:rPr>
          <w:rFonts w:hint="eastAsia" w:ascii="宋体" w:hAnsi="宋体" w:cs="宋体"/>
          <w:b/>
          <w:color w:val="auto"/>
          <w:sz w:val="32"/>
          <w:highlight w:val="none"/>
        </w:rPr>
      </w:pPr>
      <w:r>
        <w:rPr>
          <w:rFonts w:hint="eastAsia" w:ascii="宋体" w:hAnsi="宋体" w:cs="宋体"/>
          <w:b/>
          <w:color w:val="auto"/>
          <w:sz w:val="32"/>
          <w:highlight w:val="none"/>
        </w:rPr>
        <w:t>采购需求</w:t>
      </w:r>
    </w:p>
    <w:p>
      <w:pPr>
        <w:pStyle w:val="4"/>
        <w:snapToGrid w:val="0"/>
        <w:spacing w:line="360" w:lineRule="exact"/>
        <w:rPr>
          <w:rFonts w:hint="eastAsia" w:hAnsi="宋体" w:cs="宋体"/>
          <w:b/>
          <w:bCs/>
          <w:color w:val="auto"/>
          <w:sz w:val="22"/>
          <w:highlight w:val="none"/>
        </w:rPr>
      </w:pPr>
      <w:r>
        <w:rPr>
          <w:rFonts w:hint="eastAsia" w:hAnsi="宋体" w:cs="宋体"/>
          <w:b/>
          <w:bCs/>
          <w:color w:val="auto"/>
          <w:sz w:val="22"/>
          <w:highlight w:val="none"/>
        </w:rPr>
        <w:t>一.采购清单</w:t>
      </w:r>
    </w:p>
    <w:tbl>
      <w:tblPr>
        <w:tblStyle w:val="7"/>
        <w:tblW w:w="12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7266"/>
        <w:gridCol w:w="733"/>
        <w:gridCol w:w="2483"/>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9" w:type="dxa"/>
            <w:noWrap w:val="0"/>
            <w:vAlign w:val="center"/>
          </w:tcPr>
          <w:p>
            <w:pPr>
              <w:widowControl/>
              <w:spacing w:line="360" w:lineRule="exact"/>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序号</w:t>
            </w:r>
          </w:p>
        </w:tc>
        <w:tc>
          <w:tcPr>
            <w:tcW w:w="7266" w:type="dxa"/>
            <w:noWrap w:val="0"/>
            <w:vAlign w:val="center"/>
          </w:tcPr>
          <w:p>
            <w:pPr>
              <w:spacing w:line="360" w:lineRule="exact"/>
              <w:jc w:val="center"/>
              <w:rPr>
                <w:rFonts w:hint="eastAsia" w:ascii="宋体" w:hAnsi="宋体" w:cs="宋体"/>
                <w:color w:val="auto"/>
                <w:kern w:val="0"/>
                <w:sz w:val="22"/>
                <w:highlight w:val="none"/>
                <w:lang w:val="zh-CN"/>
              </w:rPr>
            </w:pPr>
            <w:r>
              <w:rPr>
                <w:rFonts w:hint="eastAsia" w:ascii="宋体" w:hAnsi="宋体" w:cs="宋体"/>
                <w:color w:val="auto"/>
                <w:sz w:val="22"/>
                <w:highlight w:val="none"/>
              </w:rPr>
              <w:t>项目内容</w:t>
            </w:r>
          </w:p>
        </w:tc>
        <w:tc>
          <w:tcPr>
            <w:tcW w:w="733" w:type="dxa"/>
            <w:noWrap w:val="0"/>
            <w:vAlign w:val="center"/>
          </w:tcPr>
          <w:p>
            <w:pPr>
              <w:spacing w:line="370" w:lineRule="exact"/>
              <w:jc w:val="center"/>
              <w:rPr>
                <w:rFonts w:hint="eastAsia" w:ascii="宋体" w:hAnsi="宋体" w:cs="宋体"/>
                <w:color w:val="auto"/>
                <w:kern w:val="0"/>
                <w:sz w:val="22"/>
                <w:highlight w:val="none"/>
                <w:lang w:val="zh-CN"/>
              </w:rPr>
            </w:pPr>
            <w:r>
              <w:rPr>
                <w:rFonts w:hint="eastAsia" w:ascii="宋体" w:hAnsi="宋体" w:cs="宋体"/>
                <w:color w:val="auto"/>
                <w:sz w:val="22"/>
                <w:highlight w:val="none"/>
              </w:rPr>
              <w:t>数量</w:t>
            </w:r>
          </w:p>
        </w:tc>
        <w:tc>
          <w:tcPr>
            <w:tcW w:w="2483" w:type="dxa"/>
            <w:noWrap w:val="0"/>
            <w:vAlign w:val="center"/>
          </w:tcPr>
          <w:p>
            <w:pPr>
              <w:spacing w:line="370" w:lineRule="exact"/>
              <w:jc w:val="center"/>
              <w:rPr>
                <w:rFonts w:hint="eastAsia" w:ascii="宋体" w:hAnsi="宋体" w:cs="宋体"/>
                <w:color w:val="auto"/>
                <w:kern w:val="0"/>
                <w:sz w:val="22"/>
                <w:highlight w:val="none"/>
                <w:lang w:val="zh-CN"/>
              </w:rPr>
            </w:pPr>
            <w:r>
              <w:rPr>
                <w:rFonts w:hint="eastAsia" w:ascii="宋体" w:hAnsi="宋体" w:cs="宋体"/>
                <w:color w:val="auto"/>
                <w:sz w:val="22"/>
                <w:highlight w:val="none"/>
              </w:rPr>
              <w:t>预算金额（元）</w:t>
            </w:r>
          </w:p>
        </w:tc>
        <w:tc>
          <w:tcPr>
            <w:tcW w:w="823" w:type="dxa"/>
            <w:noWrap w:val="0"/>
            <w:vAlign w:val="center"/>
          </w:tcPr>
          <w:p>
            <w:pPr>
              <w:spacing w:line="370" w:lineRule="exact"/>
              <w:jc w:val="center"/>
              <w:rPr>
                <w:rFonts w:hint="eastAsia" w:ascii="宋体" w:hAnsi="宋体" w:cs="宋体"/>
                <w:color w:val="auto"/>
                <w:sz w:val="22"/>
                <w:highlight w:val="none"/>
                <w:u w:val="none" w:color="000000"/>
                <w:lang w:val="zh-CN"/>
              </w:rPr>
            </w:pPr>
            <w:r>
              <w:rPr>
                <w:rFonts w:hint="eastAsia" w:ascii="宋体" w:hAnsi="宋体" w:cs="宋体"/>
                <w:color w:val="auto"/>
                <w:sz w:val="22"/>
                <w:highlight w:val="none"/>
                <w:u w:val="none" w:color="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9" w:type="dxa"/>
            <w:noWrap w:val="0"/>
            <w:vAlign w:val="center"/>
          </w:tcPr>
          <w:p>
            <w:pPr>
              <w:widowControl/>
              <w:spacing w:line="360" w:lineRule="exact"/>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7266" w:type="dxa"/>
            <w:noWrap w:val="0"/>
            <w:vAlign w:val="center"/>
          </w:tcPr>
          <w:p>
            <w:pPr>
              <w:pStyle w:val="9"/>
              <w:widowControl w:val="0"/>
              <w:snapToGrid w:val="0"/>
              <w:spacing w:line="360" w:lineRule="exact"/>
              <w:ind w:firstLine="0"/>
              <w:jc w:val="center"/>
              <w:rPr>
                <w:rFonts w:hint="eastAsia" w:ascii="宋体" w:hAnsi="宋体" w:cs="宋体"/>
                <w:b w:val="0"/>
                <w:color w:val="auto"/>
                <w:sz w:val="22"/>
                <w:highlight w:val="none"/>
              </w:rPr>
            </w:pPr>
            <w:r>
              <w:rPr>
                <w:rFonts w:hint="eastAsia" w:ascii="宋体" w:hAnsi="宋体" w:cs="宋体"/>
                <w:b w:val="0"/>
                <w:color w:val="auto"/>
                <w:sz w:val="22"/>
                <w:highlight w:val="none"/>
              </w:rPr>
              <w:t>《大型港口结构安全智能监测预警及性能提升关键技术研究与示范应用》——码头监测配套材料购置</w:t>
            </w:r>
          </w:p>
        </w:tc>
        <w:tc>
          <w:tcPr>
            <w:tcW w:w="733" w:type="dxa"/>
            <w:noWrap w:val="0"/>
            <w:vAlign w:val="center"/>
          </w:tcPr>
          <w:p>
            <w:pPr>
              <w:widowControl/>
              <w:jc w:val="center"/>
              <w:textAlignment w:val="center"/>
              <w:rPr>
                <w:rFonts w:hint="eastAsia" w:ascii="宋体" w:hAnsi="宋体" w:cs="宋体"/>
                <w:color w:val="auto"/>
                <w:sz w:val="22"/>
                <w:highlight w:val="none"/>
              </w:rPr>
            </w:pPr>
            <w:r>
              <w:rPr>
                <w:rFonts w:hint="eastAsia" w:ascii="宋体" w:hAnsi="宋体" w:cs="宋体"/>
                <w:color w:val="auto"/>
                <w:sz w:val="22"/>
                <w:highlight w:val="none"/>
              </w:rPr>
              <w:t>1批</w:t>
            </w:r>
          </w:p>
        </w:tc>
        <w:tc>
          <w:tcPr>
            <w:tcW w:w="2483" w:type="dxa"/>
            <w:noWrap w:val="0"/>
            <w:vAlign w:val="center"/>
          </w:tcPr>
          <w:p>
            <w:pPr>
              <w:widowControl/>
              <w:jc w:val="center"/>
              <w:textAlignment w:val="center"/>
              <w:rPr>
                <w:rFonts w:hint="eastAsia" w:ascii="宋体" w:hAnsi="宋体" w:cs="宋体"/>
                <w:color w:val="auto"/>
                <w:sz w:val="22"/>
                <w:highlight w:val="none"/>
              </w:rPr>
            </w:pPr>
            <w:r>
              <w:rPr>
                <w:rFonts w:hint="eastAsia" w:ascii="宋体" w:hAnsi="宋体" w:cs="宋体"/>
                <w:color w:val="auto"/>
                <w:sz w:val="22"/>
                <w:highlight w:val="none"/>
              </w:rPr>
              <w:t>650000</w:t>
            </w:r>
          </w:p>
        </w:tc>
        <w:tc>
          <w:tcPr>
            <w:tcW w:w="823" w:type="dxa"/>
            <w:noWrap w:val="0"/>
            <w:vAlign w:val="center"/>
          </w:tcPr>
          <w:p>
            <w:pPr>
              <w:widowControl/>
              <w:jc w:val="center"/>
              <w:textAlignment w:val="center"/>
              <w:rPr>
                <w:rFonts w:hint="eastAsia" w:ascii="宋体" w:hAnsi="宋体" w:cs="宋体"/>
                <w:color w:val="auto"/>
                <w:sz w:val="22"/>
                <w:highlight w:val="none"/>
                <w:u w:val="none" w:color="000000"/>
              </w:rPr>
            </w:pPr>
          </w:p>
        </w:tc>
      </w:tr>
    </w:tbl>
    <w:p>
      <w:pPr>
        <w:snapToGrid w:val="0"/>
        <w:spacing w:line="360" w:lineRule="exact"/>
        <w:rPr>
          <w:rFonts w:hint="eastAsia" w:ascii="宋体" w:hAnsi="宋体" w:cs="宋体"/>
          <w:b/>
          <w:bCs/>
          <w:color w:val="auto"/>
          <w:spacing w:val="-6"/>
          <w:sz w:val="22"/>
          <w:highlight w:val="none"/>
        </w:rPr>
      </w:pPr>
      <w:r>
        <w:rPr>
          <w:rFonts w:hint="eastAsia" w:ascii="宋体" w:hAnsi="宋体" w:cs="宋体"/>
          <w:b/>
          <w:bCs/>
          <w:color w:val="auto"/>
          <w:sz w:val="22"/>
          <w:highlight w:val="none"/>
        </w:rPr>
        <w:t>二.</w:t>
      </w:r>
      <w:r>
        <w:rPr>
          <w:rFonts w:hint="eastAsia" w:ascii="宋体" w:hAnsi="宋体" w:cs="宋体"/>
          <w:b/>
          <w:bCs/>
          <w:color w:val="auto"/>
          <w:spacing w:val="-6"/>
          <w:sz w:val="22"/>
          <w:highlight w:val="none"/>
        </w:rPr>
        <w:t>商务要求（技术要求里另有注明的以技术要求为准）</w:t>
      </w:r>
    </w:p>
    <w:tbl>
      <w:tblPr>
        <w:tblStyle w:val="7"/>
        <w:tblW w:w="139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91"/>
        <w:gridCol w:w="124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履约保证金</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免收履约保证金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b/>
                <w:bCs/>
                <w:color w:val="auto"/>
                <w:kern w:val="2"/>
                <w:sz w:val="22"/>
                <w:szCs w:val="22"/>
                <w:highlight w:val="none"/>
                <w:lang w:val="en-US" w:eastAsia="zh-CN" w:bidi="ar-SA"/>
              </w:rPr>
            </w:pPr>
            <w:r>
              <w:rPr>
                <w:rFonts w:hint="eastAsia" w:ascii="宋体" w:hAnsi="宋体" w:cs="宋体"/>
                <w:b/>
                <w:bCs/>
                <w:color w:val="auto"/>
                <w:sz w:val="22"/>
                <w:szCs w:val="22"/>
                <w:highlight w:val="none"/>
              </w:rPr>
              <w:t>支付方式</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合同生效以及具备实施条件后，采购人收到中标人提交的银行、保险公司等金融机构出具的与预付款同等金额的预付款保函及有效增值税发票后7个工作日内，支付合同金额的40%预付款，中标人将设备交至采购人指定地点，完成安装调试、验收合格，采购人在收到中标人开具的有效增值税发票后7个工作日内支付合同金额的60%。</w:t>
            </w:r>
          </w:p>
          <w:p>
            <w:pPr>
              <w:pStyle w:val="3"/>
              <w:widowControl/>
              <w:snapToGrid w:val="0"/>
              <w:spacing w:line="360" w:lineRule="exact"/>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注：在合同签订时，中标人明确表示无需预付款或者主动要求降低预付款比例的，按实际比例计（预付款保函同步调整）。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交付时间</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按批次交货，收到采购人订单后5个工作日内交付，直至全部货物交付完成。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交付地点</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浙江省交通运输科学研究院指定地点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质保期</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▲带“★”的货物质保期为</w:t>
            </w:r>
            <w:r>
              <w:rPr>
                <w:rFonts w:hint="eastAsia" w:ascii="宋体" w:hAnsi="宋体" w:cs="宋体"/>
                <w:color w:val="auto"/>
                <w:sz w:val="22"/>
                <w:szCs w:val="22"/>
                <w:highlight w:val="none"/>
                <w:u w:val="single"/>
                <w:lang w:val="en-US" w:eastAsia="zh-CN"/>
              </w:rPr>
              <w:t>3</w:t>
            </w:r>
            <w:r>
              <w:rPr>
                <w:rFonts w:hint="eastAsia" w:ascii="宋体" w:hAnsi="宋体" w:cs="宋体"/>
                <w:color w:val="auto"/>
                <w:sz w:val="22"/>
                <w:szCs w:val="22"/>
                <w:highlight w:val="none"/>
                <w:u w:val="single"/>
              </w:rPr>
              <w:t>年，其他货物质保期为</w:t>
            </w:r>
            <w:r>
              <w:rPr>
                <w:rFonts w:hint="eastAsia" w:ascii="宋体" w:hAnsi="宋体" w:cs="宋体"/>
                <w:color w:val="auto"/>
                <w:sz w:val="22"/>
                <w:szCs w:val="22"/>
                <w:highlight w:val="none"/>
                <w:u w:val="single"/>
                <w:lang w:val="en-US" w:eastAsia="zh-CN"/>
              </w:rPr>
              <w:t>1</w:t>
            </w:r>
            <w:r>
              <w:rPr>
                <w:rFonts w:hint="eastAsia" w:ascii="宋体" w:hAnsi="宋体" w:cs="宋体"/>
                <w:color w:val="auto"/>
                <w:sz w:val="22"/>
                <w:szCs w:val="22"/>
                <w:highlight w:val="none"/>
                <w:u w:val="single"/>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pStyle w:val="3"/>
              <w:widowControl/>
              <w:adjustRightInd w:val="0"/>
              <w:snapToGrid w:val="0"/>
              <w:spacing w:line="360" w:lineRule="exact"/>
              <w:jc w:val="center"/>
              <w:rPr>
                <w:rFonts w:hint="eastAsia" w:ascii="宋体" w:hAnsi="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服务标准、期限、效率</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1.质量保证：最新生产的符合国家相关技术标准和质量要求的出厂原装合格产品；</w:t>
            </w:r>
          </w:p>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2.售后服务</w:t>
            </w:r>
          </w:p>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2.1 质保期内若设备出现故障（非人为因素），免收任何费用。接到用户故障反馈，投标人必须在3小时内响应用户问题；在6小时内给予明确的解决措施；如需派员，则应在24小时内（中国境内）派出专门技术人员到现场维修处理。质保期内设备出现故障且在48小时内无法修复而影响生产时，投标人须免费提供备用设备，并配合采购人时间进行安装。</w:t>
            </w:r>
          </w:p>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2.2 质保期外：实行有偿服务，仅收取成本费（按一定折扣的优惠价格），免人工费、差旅费，所涉及软件终身免费升级。</w:t>
            </w:r>
          </w:p>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2.3中标人应确保设备正常使用，涉及到零配件的设备在该设备停产后仍需保证至少5年的供应。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color w:val="auto"/>
                <w:kern w:val="2"/>
                <w:sz w:val="22"/>
                <w:szCs w:val="22"/>
                <w:highlight w:val="none"/>
                <w:lang w:val="en-US" w:eastAsia="zh-CN" w:bidi="ar-SA"/>
              </w:rPr>
            </w:pPr>
            <w:r>
              <w:rPr>
                <w:rFonts w:hint="eastAsia" w:ascii="宋体" w:hAnsi="宋体" w:cs="宋体"/>
                <w:b/>
                <w:color w:val="auto"/>
                <w:sz w:val="22"/>
                <w:szCs w:val="22"/>
                <w:highlight w:val="none"/>
              </w:rPr>
              <w:t>验收要求</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1.采购人对中标人提交的货物依据招标文件上的技术规格及验收要求和国家有关质量标准进行现场初步验收，全部符合招标文件技术要求的，给予签收。初步验收不合格的不予签收。</w:t>
            </w:r>
          </w:p>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2.中标人交货数量与约定数量不一致的，采购人有权拒绝收货。</w:t>
            </w:r>
          </w:p>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3.中标人交货前应对产品作出全面检查和对验收文件进行整理，并列出清单，作为采购方收货验收和使用的技术条件依据，检验的结果应随货物交付采购人。</w:t>
            </w:r>
          </w:p>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4.采购人对中标人提供的货物在使用前进行调试时，中标人需负责安装并协助采购人一起调试，直到符合技术要求，采购人才作最终验收。</w:t>
            </w:r>
          </w:p>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5.验收时中标人必须在现场，验收完毕后作出验收结果报告，检测及验收费用全部由中标人负责；首次验收不合格，重新验收过程中产生的验收费用由中标人负责。</w:t>
            </w:r>
          </w:p>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6.采购人的验收不作为中标人货物内在质量合格的依据，中标人在质保期内仍需对货物的内在质量承担责任。</w:t>
            </w:r>
          </w:p>
          <w:p>
            <w:pPr>
              <w:pStyle w:val="3"/>
              <w:widowControl/>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7.设备验收由采购人组织进行，中标人应做好配合工作。</w:t>
            </w:r>
          </w:p>
          <w:p>
            <w:pPr>
              <w:pStyle w:val="3"/>
              <w:widowControl/>
              <w:snapToGrid w:val="0"/>
              <w:spacing w:line="360" w:lineRule="exact"/>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8.以上验收产生的费用由中标人承担。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其他技术、服务要求</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投标人保证所供产品符合国家有关规定。并保证所供产品具有合法的版权或使用权，本项目采购的产品，如在本项目范围内使用过程中出现版权或使用权纠纷，由中标人负责，采购人及采购代理机构不承担任何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报价要求</w:t>
            </w:r>
          </w:p>
        </w:tc>
        <w:tc>
          <w:tcPr>
            <w:tcW w:w="12416" w:type="dxa"/>
            <w:tcBorders>
              <w:top w:val="single" w:color="auto" w:sz="4" w:space="0"/>
              <w:left w:val="single" w:color="auto" w:sz="4" w:space="0"/>
              <w:bottom w:val="single" w:color="auto" w:sz="4" w:space="0"/>
              <w:right w:val="single" w:color="auto" w:sz="4" w:space="0"/>
            </w:tcBorders>
            <w:noWrap w:val="0"/>
            <w:vAlign w:val="center"/>
          </w:tcPr>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包含设备（包括主机、标准附件、备品备件、专用工具）价、设备运杂费、装卸费、维护费、保险费、培训费、利润、税金等。投标人根据招标文件的要求，将产品供货、包装、检验、检测、验收（通过验收直至交付采购人使用，达到使用要求及质量标准），质保期服务所需的全部费用、政策性文件规定及合同包含的所有风险、责任等各项全部费用均包含在总价之中。</w:t>
            </w:r>
          </w:p>
          <w:p>
            <w:pPr>
              <w:pStyle w:val="3"/>
              <w:widowControl/>
              <w:adjustRightInd w:val="0"/>
              <w:snapToGrid w:val="0"/>
              <w:spacing w:line="360" w:lineRule="exact"/>
              <w:rPr>
                <w:rFonts w:hint="eastAsia" w:ascii="宋体" w:hAnsi="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特别提醒：采购清单为预估数量，投标人在报价时充分考虑实际供货数量可能超过合同金额5%以内的费用承担情况（实际供货数量超过合同金额5%以内的部分，投标人需要自行承担相关费用，采购人不再额外支付。），并结合自身实力和市场情况制定合理的报价策略。</w:t>
            </w:r>
          </w:p>
        </w:tc>
      </w:tr>
    </w:tbl>
    <w:p>
      <w:pPr>
        <w:numPr>
          <w:ilvl w:val="0"/>
          <w:numId w:val="1"/>
        </w:numPr>
        <w:snapToGrid w:val="0"/>
        <w:spacing w:line="360" w:lineRule="exact"/>
        <w:rPr>
          <w:rFonts w:hint="eastAsia" w:ascii="宋体" w:hAnsi="宋体" w:cs="宋体"/>
          <w:b/>
          <w:bCs/>
          <w:color w:val="auto"/>
          <w:spacing w:val="-6"/>
          <w:sz w:val="22"/>
          <w:highlight w:val="none"/>
        </w:rPr>
      </w:pPr>
      <w:r>
        <w:rPr>
          <w:rFonts w:hint="eastAsia" w:ascii="宋体" w:hAnsi="宋体" w:cs="宋体"/>
          <w:b/>
          <w:bCs/>
          <w:color w:val="auto"/>
          <w:spacing w:val="-6"/>
          <w:sz w:val="22"/>
          <w:highlight w:val="none"/>
        </w:rPr>
        <w:t>技术要求</w:t>
      </w:r>
    </w:p>
    <w:p>
      <w:pPr>
        <w:rPr>
          <w:rFonts w:ascii="宋体" w:hAnsi="宋体" w:cs="宋体"/>
          <w:b/>
          <w:bCs/>
          <w:color w:val="auto"/>
          <w:sz w:val="22"/>
          <w:highlight w:val="none"/>
        </w:rPr>
      </w:pPr>
      <w:r>
        <w:rPr>
          <w:rFonts w:hint="eastAsia" w:ascii="宋体" w:hAnsi="宋体" w:cs="宋体"/>
          <w:b/>
          <w:bCs/>
          <w:color w:val="auto"/>
          <w:sz w:val="22"/>
          <w:highlight w:val="none"/>
        </w:rPr>
        <w:t>1.采购清单及技术参数</w:t>
      </w:r>
    </w:p>
    <w:tbl>
      <w:tblPr>
        <w:tblStyle w:val="7"/>
        <w:tblW w:w="4916" w:type="pct"/>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532"/>
        <w:gridCol w:w="1044"/>
        <w:gridCol w:w="3937"/>
        <w:gridCol w:w="4734"/>
        <w:gridCol w:w="532"/>
        <w:gridCol w:w="461"/>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类目</w:t>
            </w:r>
          </w:p>
        </w:tc>
        <w:tc>
          <w:tcPr>
            <w:tcW w:w="191" w:type="pct"/>
            <w:noWrap w:val="0"/>
            <w:vAlign w:val="center"/>
          </w:tcPr>
          <w:p>
            <w:pPr>
              <w:pStyle w:val="10"/>
              <w:keepNext/>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序号</w:t>
            </w:r>
          </w:p>
        </w:tc>
        <w:tc>
          <w:tcPr>
            <w:tcW w:w="374"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产品名称</w:t>
            </w:r>
          </w:p>
        </w:tc>
        <w:tc>
          <w:tcPr>
            <w:tcW w:w="1412"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技术参数</w:t>
            </w:r>
          </w:p>
        </w:tc>
        <w:tc>
          <w:tcPr>
            <w:tcW w:w="1698"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参考图片</w:t>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数量</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单位</w:t>
            </w:r>
          </w:p>
        </w:tc>
        <w:tc>
          <w:tcPr>
            <w:tcW w:w="71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restar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艇体辅助材料</w:t>
            </w:r>
          </w:p>
        </w:tc>
        <w:tc>
          <w:tcPr>
            <w:tcW w:w="191" w:type="pct"/>
            <w:noWrap w:val="0"/>
            <w:vAlign w:val="center"/>
          </w:tcPr>
          <w:p>
            <w:pPr>
              <w:pStyle w:val="10"/>
              <w:keepNext/>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374"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铝板</w:t>
            </w:r>
          </w:p>
        </w:tc>
        <w:tc>
          <w:tcPr>
            <w:tcW w:w="1412" w:type="pct"/>
            <w:noWrap w:val="0"/>
            <w:vAlign w:val="center"/>
          </w:tcPr>
          <w:p>
            <w:pPr>
              <w:pStyle w:val="10"/>
              <w:ind w:firstLine="0"/>
              <w:jc w:val="left"/>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厚度4mm，尺寸2*8m，密度2.72g/cm</w:t>
            </w:r>
            <w:r>
              <w:rPr>
                <w:rFonts w:hint="eastAsia" w:ascii="宋体" w:hAnsi="宋体" w:eastAsia="宋体" w:cs="宋体"/>
                <w:color w:val="auto"/>
                <w:sz w:val="22"/>
                <w:szCs w:val="22"/>
                <w:highlight w:val="none"/>
                <w:vertAlign w:val="superscript"/>
              </w:rPr>
              <w:t>3</w:t>
            </w:r>
            <w:r>
              <w:rPr>
                <w:rFonts w:hint="eastAsia" w:ascii="宋体" w:hAnsi="宋体" w:eastAsia="宋体" w:cs="宋体"/>
                <w:color w:val="auto"/>
                <w:sz w:val="22"/>
                <w:szCs w:val="22"/>
                <w:highlight w:val="none"/>
              </w:rPr>
              <w:t>，合金状态5083-H116，抗拉强度</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340Mpa</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按采购人要求做好防锈处理。</w:t>
            </w:r>
          </w:p>
        </w:tc>
        <w:tc>
          <w:tcPr>
            <w:tcW w:w="1698" w:type="pct"/>
            <w:noWrap w:val="0"/>
            <w:vAlign w:val="center"/>
          </w:tcPr>
          <w:p>
            <w:pPr>
              <w:pStyle w:val="10"/>
              <w:ind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569720" cy="1276985"/>
                  <wp:effectExtent l="0" t="0" r="11430" b="184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
                          <a:stretch>
                            <a:fillRect/>
                          </a:stretch>
                        </pic:blipFill>
                        <pic:spPr>
                          <a:xfrm>
                            <a:off x="0" y="0"/>
                            <a:ext cx="1569720" cy="1276985"/>
                          </a:xfrm>
                          <a:prstGeom prst="rect">
                            <a:avLst/>
                          </a:prstGeom>
                          <a:noFill/>
                          <a:ln>
                            <a:noFill/>
                          </a:ln>
                        </pic:spPr>
                      </pic:pic>
                    </a:graphicData>
                  </a:graphic>
                </wp:inline>
              </w:drawing>
            </w:r>
          </w:p>
        </w:tc>
        <w:tc>
          <w:tcPr>
            <w:tcW w:w="191" w:type="pct"/>
            <w:noWrap w:val="0"/>
            <w:vAlign w:val="center"/>
          </w:tcPr>
          <w:p>
            <w:pPr>
              <w:pStyle w:val="10"/>
              <w:ind w:firstLine="0"/>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7</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张</w:t>
            </w:r>
          </w:p>
        </w:tc>
        <w:tc>
          <w:tcPr>
            <w:tcW w:w="715" w:type="pct"/>
            <w:vMerge w:val="restart"/>
            <w:noWrap w:val="0"/>
            <w:vAlign w:val="center"/>
          </w:tcPr>
          <w:p>
            <w:pPr>
              <w:pStyle w:val="10"/>
              <w:ind w:firstLine="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用于改装设备搭载平台的配套辅助模块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pStyle w:val="10"/>
              <w:ind w:firstLine="0"/>
              <w:rPr>
                <w:rFonts w:hint="eastAsia" w:ascii="宋体" w:hAnsi="宋体" w:eastAsia="宋体" w:cs="宋体"/>
                <w:bCs/>
                <w:color w:val="auto"/>
                <w:sz w:val="22"/>
                <w:szCs w:val="22"/>
                <w:highlight w:val="none"/>
              </w:rPr>
            </w:pPr>
          </w:p>
        </w:tc>
        <w:tc>
          <w:tcPr>
            <w:tcW w:w="191" w:type="pct"/>
            <w:noWrap w:val="0"/>
            <w:vAlign w:val="center"/>
          </w:tcPr>
          <w:p>
            <w:pPr>
              <w:pStyle w:val="10"/>
              <w:keepNext/>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374"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铝合金槽型</w:t>
            </w:r>
          </w:p>
        </w:tc>
        <w:tc>
          <w:tcPr>
            <w:tcW w:w="1412" w:type="pct"/>
            <w:noWrap w:val="0"/>
            <w:vAlign w:val="center"/>
          </w:tcPr>
          <w:p>
            <w:pPr>
              <w:pStyle w:val="10"/>
              <w:ind w:firstLine="0"/>
              <w:jc w:val="left"/>
              <w:rPr>
                <w:rFonts w:hint="eastAsia" w:ascii="宋体" w:hAnsi="宋体" w:eastAsia="宋体" w:cs="宋体"/>
                <w:bCs/>
                <w:color w:val="auto"/>
                <w:kern w:val="0"/>
                <w:sz w:val="22"/>
                <w:szCs w:val="22"/>
                <w:highlight w:val="none"/>
                <w:lang w:eastAsia="zh-CN" w:bidi="ar"/>
              </w:rPr>
            </w:pPr>
            <w:r>
              <w:rPr>
                <w:rFonts w:hint="eastAsia" w:ascii="宋体" w:hAnsi="宋体" w:eastAsia="宋体" w:cs="宋体"/>
                <w:color w:val="auto"/>
                <w:sz w:val="22"/>
                <w:szCs w:val="22"/>
                <w:highlight w:val="none"/>
              </w:rPr>
              <w:t>100*50*2.5mm线槽</w:t>
            </w:r>
          </w:p>
        </w:tc>
        <w:tc>
          <w:tcPr>
            <w:tcW w:w="1698" w:type="pct"/>
            <w:noWrap w:val="0"/>
            <w:vAlign w:val="center"/>
          </w:tcPr>
          <w:p>
            <w:pPr>
              <w:pStyle w:val="10"/>
              <w:ind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600835" cy="1200150"/>
                  <wp:effectExtent l="0" t="0" r="18415" b="0"/>
                  <wp:docPr id="26" name="图片 2" descr="微信图片_2023090411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微信图片_20230904115650"/>
                          <pic:cNvPicPr>
                            <a:picLocks noChangeAspect="1"/>
                          </pic:cNvPicPr>
                        </pic:nvPicPr>
                        <pic:blipFill>
                          <a:blip r:embed="rId6"/>
                          <a:stretch>
                            <a:fillRect/>
                          </a:stretch>
                        </pic:blipFill>
                        <pic:spPr>
                          <a:xfrm>
                            <a:off x="0" y="0"/>
                            <a:ext cx="1600835" cy="1200150"/>
                          </a:xfrm>
                          <a:prstGeom prst="rect">
                            <a:avLst/>
                          </a:prstGeom>
                          <a:noFill/>
                          <a:ln>
                            <a:noFill/>
                          </a:ln>
                        </pic:spPr>
                      </pic:pic>
                    </a:graphicData>
                  </a:graphic>
                </wp:inline>
              </w:drawing>
            </w:r>
            <w:r>
              <w:rPr>
                <w:rFonts w:hint="eastAsia" w:ascii="宋体" w:hAnsi="宋体" w:eastAsia="宋体" w:cs="宋体"/>
                <w:color w:val="auto"/>
                <w:sz w:val="22"/>
                <w:szCs w:val="22"/>
                <w:highlight w:val="none"/>
              </w:rPr>
              <w:drawing>
                <wp:inline distT="0" distB="0" distL="114300" distR="114300">
                  <wp:extent cx="687705" cy="1200150"/>
                  <wp:effectExtent l="0" t="0" r="17145" b="0"/>
                  <wp:docPr id="23" name="图片 3" descr="46e6dea391f05f54404428c4efe7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46e6dea391f05f54404428c4efe76e9"/>
                          <pic:cNvPicPr>
                            <a:picLocks noChangeAspect="1"/>
                          </pic:cNvPicPr>
                        </pic:nvPicPr>
                        <pic:blipFill>
                          <a:blip r:embed="rId7"/>
                          <a:stretch>
                            <a:fillRect/>
                          </a:stretch>
                        </pic:blipFill>
                        <pic:spPr>
                          <a:xfrm>
                            <a:off x="0" y="0"/>
                            <a:ext cx="687705" cy="1200150"/>
                          </a:xfrm>
                          <a:prstGeom prst="rect">
                            <a:avLst/>
                          </a:prstGeom>
                          <a:noFill/>
                          <a:ln>
                            <a:noFill/>
                          </a:ln>
                        </pic:spPr>
                      </pic:pic>
                    </a:graphicData>
                  </a:graphic>
                </wp:inline>
              </w:drawing>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251" w:type="pct"/>
            <w:vMerge w:val="continue"/>
            <w:noWrap w:val="0"/>
            <w:vAlign w:val="center"/>
          </w:tcPr>
          <w:p>
            <w:pPr>
              <w:pStyle w:val="10"/>
              <w:ind w:firstLine="0"/>
              <w:rPr>
                <w:rFonts w:hint="eastAsia" w:ascii="宋体" w:hAnsi="宋体" w:eastAsia="宋体" w:cs="宋体"/>
                <w:bCs/>
                <w:color w:val="auto"/>
                <w:sz w:val="22"/>
                <w:szCs w:val="22"/>
                <w:highlight w:val="none"/>
              </w:rPr>
            </w:pPr>
          </w:p>
        </w:tc>
        <w:tc>
          <w:tcPr>
            <w:tcW w:w="191" w:type="pct"/>
            <w:noWrap w:val="0"/>
            <w:vAlign w:val="center"/>
          </w:tcPr>
          <w:p>
            <w:pPr>
              <w:pStyle w:val="10"/>
              <w:keepNext/>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p>
        </w:tc>
        <w:tc>
          <w:tcPr>
            <w:tcW w:w="374" w:type="pct"/>
            <w:noWrap w:val="0"/>
            <w:vAlign w:val="center"/>
          </w:tcPr>
          <w:p>
            <w:pPr>
              <w:pStyle w:val="10"/>
              <w:ind w:firstLine="0"/>
              <w:rPr>
                <w:rFonts w:hint="eastAsia" w:ascii="宋体" w:hAnsi="宋体" w:eastAsia="宋体" w:cs="宋体"/>
                <w:bCs/>
                <w:color w:val="auto"/>
                <w:kern w:val="0"/>
                <w:sz w:val="22"/>
                <w:szCs w:val="22"/>
                <w:highlight w:val="none"/>
                <w:lang w:val="en-US" w:eastAsia="zh-CN" w:bidi="ar"/>
              </w:rPr>
            </w:pPr>
            <w:r>
              <w:rPr>
                <w:rFonts w:hint="eastAsia" w:ascii="宋体" w:hAnsi="宋体" w:eastAsia="宋体" w:cs="宋体"/>
                <w:bCs/>
                <w:color w:val="auto"/>
                <w:kern w:val="0"/>
                <w:sz w:val="22"/>
                <w:szCs w:val="22"/>
                <w:highlight w:val="none"/>
                <w:lang w:val="en-US" w:eastAsia="zh-CN" w:bidi="ar"/>
              </w:rPr>
              <w:t>角铝</w:t>
            </w:r>
          </w:p>
        </w:tc>
        <w:tc>
          <w:tcPr>
            <w:tcW w:w="1412" w:type="pct"/>
            <w:noWrap w:val="0"/>
            <w:vAlign w:val="center"/>
          </w:tcPr>
          <w:p>
            <w:pPr>
              <w:pStyle w:val="10"/>
              <w:ind w:firstLine="0"/>
              <w:jc w:val="left"/>
              <w:rPr>
                <w:rFonts w:hint="default" w:ascii="宋体" w:hAnsi="宋体" w:eastAsia="宋体" w:cs="宋体"/>
                <w:bCs/>
                <w:color w:val="auto"/>
                <w:kern w:val="0"/>
                <w:sz w:val="22"/>
                <w:szCs w:val="22"/>
                <w:highlight w:val="none"/>
                <w:lang w:val="en-US" w:eastAsia="zh-CN" w:bidi="ar"/>
              </w:rPr>
            </w:pPr>
            <w:r>
              <w:rPr>
                <w:rFonts w:hint="eastAsia" w:ascii="宋体" w:hAnsi="宋体" w:eastAsia="宋体" w:cs="宋体"/>
                <w:bCs/>
                <w:color w:val="auto"/>
                <w:kern w:val="0"/>
                <w:sz w:val="22"/>
                <w:szCs w:val="22"/>
                <w:highlight w:val="none"/>
                <w:lang w:val="en-US" w:eastAsia="zh-CN" w:bidi="ar"/>
              </w:rPr>
              <w:t>厚度4mm，尺寸40*40mm；一根长度6m</w:t>
            </w:r>
          </w:p>
        </w:tc>
        <w:tc>
          <w:tcPr>
            <w:tcW w:w="1698" w:type="pct"/>
            <w:noWrap w:val="0"/>
            <w:vAlign w:val="center"/>
          </w:tcPr>
          <w:p>
            <w:pPr>
              <w:pStyle w:val="10"/>
              <w:ind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401445" cy="1420495"/>
                  <wp:effectExtent l="0" t="0" r="8255" b="825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8"/>
                          <a:stretch>
                            <a:fillRect/>
                          </a:stretch>
                        </pic:blipFill>
                        <pic:spPr>
                          <a:xfrm>
                            <a:off x="0" y="0"/>
                            <a:ext cx="1401445" cy="1420495"/>
                          </a:xfrm>
                          <a:prstGeom prst="rect">
                            <a:avLst/>
                          </a:prstGeom>
                          <a:noFill/>
                          <a:ln>
                            <a:noFill/>
                          </a:ln>
                        </pic:spPr>
                      </pic:pic>
                    </a:graphicData>
                  </a:graphic>
                </wp:inline>
              </w:drawing>
            </w:r>
          </w:p>
        </w:tc>
        <w:tc>
          <w:tcPr>
            <w:tcW w:w="191" w:type="pct"/>
            <w:noWrap w:val="0"/>
            <w:vAlign w:val="center"/>
          </w:tcPr>
          <w:p>
            <w:pPr>
              <w:pStyle w:val="10"/>
              <w:ind w:firstLine="0"/>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2</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51" w:type="pct"/>
            <w:vMerge w:val="continue"/>
            <w:noWrap w:val="0"/>
            <w:vAlign w:val="center"/>
          </w:tcPr>
          <w:p>
            <w:pPr>
              <w:pStyle w:val="10"/>
              <w:ind w:firstLine="0"/>
              <w:rPr>
                <w:rFonts w:hint="eastAsia" w:ascii="宋体" w:hAnsi="宋体" w:eastAsia="宋体" w:cs="宋体"/>
                <w:bCs/>
                <w:color w:val="auto"/>
                <w:sz w:val="22"/>
                <w:szCs w:val="22"/>
                <w:highlight w:val="none"/>
              </w:rPr>
            </w:pPr>
          </w:p>
        </w:tc>
        <w:tc>
          <w:tcPr>
            <w:tcW w:w="191" w:type="pct"/>
            <w:vMerge w:val="restart"/>
            <w:noWrap w:val="0"/>
            <w:vAlign w:val="center"/>
          </w:tcPr>
          <w:p>
            <w:pPr>
              <w:pStyle w:val="10"/>
              <w:keepNext/>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w:t>
            </w:r>
          </w:p>
        </w:tc>
        <w:tc>
          <w:tcPr>
            <w:tcW w:w="374" w:type="pct"/>
            <w:vMerge w:val="restart"/>
            <w:noWrap w:val="0"/>
            <w:vAlign w:val="center"/>
          </w:tcPr>
          <w:p>
            <w:pPr>
              <w:pStyle w:val="10"/>
              <w:ind w:firstLine="0"/>
              <w:rPr>
                <w:rFonts w:hint="eastAsia" w:ascii="宋体" w:hAnsi="宋体" w:eastAsia="宋体" w:cs="宋体"/>
                <w:color w:val="auto"/>
                <w:sz w:val="22"/>
                <w:szCs w:val="22"/>
                <w:highlight w:val="none"/>
              </w:rPr>
            </w:pPr>
            <w:r>
              <w:rPr>
                <w:rFonts w:hint="eastAsia" w:ascii="宋体" w:hAnsi="宋体" w:eastAsia="宋体" w:cs="宋体"/>
                <w:bCs/>
                <w:color w:val="auto"/>
                <w:kern w:val="0"/>
                <w:sz w:val="22"/>
                <w:szCs w:val="22"/>
                <w:highlight w:val="none"/>
                <w:lang w:bidi="ar"/>
              </w:rPr>
              <w:t>聚氨酯面漆</w:t>
            </w:r>
          </w:p>
        </w:tc>
        <w:tc>
          <w:tcPr>
            <w:tcW w:w="1412" w:type="pct"/>
            <w:noWrap w:val="0"/>
            <w:vAlign w:val="center"/>
          </w:tcPr>
          <w:p>
            <w:pPr>
              <w:pStyle w:val="10"/>
              <w:ind w:firstLine="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A组份17.14公升装于20公升的容器中</w:t>
            </w:r>
            <w:r>
              <w:rPr>
                <w:rFonts w:hint="eastAsia" w:ascii="宋体" w:hAnsi="宋体" w:eastAsia="宋体" w:cs="宋体"/>
                <w:color w:val="auto"/>
                <w:sz w:val="22"/>
                <w:szCs w:val="22"/>
                <w:highlight w:val="none"/>
                <w:lang w:eastAsia="zh-CN"/>
              </w:rPr>
              <w:t>。</w:t>
            </w:r>
          </w:p>
        </w:tc>
        <w:tc>
          <w:tcPr>
            <w:tcW w:w="1698" w:type="pct"/>
            <w:vMerge w:val="restart"/>
            <w:noWrap w:val="0"/>
            <w:vAlign w:val="center"/>
          </w:tcPr>
          <w:p>
            <w:pPr>
              <w:pStyle w:val="10"/>
              <w:ind w:firstLine="0"/>
              <w:jc w:val="left"/>
              <w:rPr>
                <w:rFonts w:hint="eastAsia" w:ascii="宋体" w:hAnsi="宋体" w:eastAsia="宋体" w:cs="宋体"/>
                <w:color w:val="auto"/>
                <w:sz w:val="22"/>
                <w:szCs w:val="22"/>
                <w:highlight w:val="none"/>
              </w:rPr>
            </w:pPr>
          </w:p>
        </w:tc>
        <w:tc>
          <w:tcPr>
            <w:tcW w:w="191" w:type="pct"/>
            <w:noWrap w:val="0"/>
            <w:vAlign w:val="center"/>
          </w:tcPr>
          <w:p>
            <w:pPr>
              <w:pStyle w:val="10"/>
              <w:ind w:firstLine="0" w:firstLineChars="0"/>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lang w:val="en-US" w:eastAsia="zh-CN" w:bidi="ar"/>
              </w:rPr>
              <w:t>1</w:t>
            </w:r>
          </w:p>
        </w:tc>
        <w:tc>
          <w:tcPr>
            <w:tcW w:w="165" w:type="pct"/>
            <w:noWrap w:val="0"/>
            <w:vAlign w:val="center"/>
          </w:tcPr>
          <w:p>
            <w:pPr>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lang w:bidi="ar"/>
              </w:rPr>
              <w:t>组</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1" w:type="pct"/>
            <w:vMerge w:val="continue"/>
            <w:noWrap w:val="0"/>
            <w:vAlign w:val="center"/>
          </w:tcPr>
          <w:p>
            <w:pPr>
              <w:pStyle w:val="10"/>
              <w:ind w:firstLine="0"/>
              <w:rPr>
                <w:rFonts w:hint="eastAsia" w:ascii="宋体" w:hAnsi="宋体" w:eastAsia="宋体" w:cs="宋体"/>
                <w:bCs/>
                <w:color w:val="auto"/>
                <w:sz w:val="22"/>
                <w:szCs w:val="22"/>
                <w:highlight w:val="none"/>
              </w:rPr>
            </w:pPr>
          </w:p>
        </w:tc>
        <w:tc>
          <w:tcPr>
            <w:tcW w:w="191" w:type="pct"/>
            <w:vMerge w:val="continue"/>
            <w:noWrap w:val="0"/>
            <w:vAlign w:val="center"/>
          </w:tcPr>
          <w:p>
            <w:pPr>
              <w:pStyle w:val="10"/>
              <w:keepNext/>
              <w:ind w:firstLine="0"/>
              <w:rPr>
                <w:rFonts w:hint="eastAsia" w:ascii="宋体" w:hAnsi="宋体" w:eastAsia="宋体" w:cs="宋体"/>
                <w:bCs/>
                <w:color w:val="auto"/>
                <w:sz w:val="22"/>
                <w:szCs w:val="22"/>
                <w:highlight w:val="none"/>
              </w:rPr>
            </w:pPr>
          </w:p>
        </w:tc>
        <w:tc>
          <w:tcPr>
            <w:tcW w:w="374" w:type="pct"/>
            <w:vMerge w:val="continue"/>
            <w:noWrap w:val="0"/>
            <w:vAlign w:val="center"/>
          </w:tcPr>
          <w:p>
            <w:pPr>
              <w:pStyle w:val="10"/>
              <w:ind w:firstLine="0"/>
              <w:rPr>
                <w:rFonts w:hint="eastAsia" w:ascii="宋体" w:hAnsi="宋体" w:eastAsia="宋体" w:cs="宋体"/>
                <w:color w:val="auto"/>
                <w:sz w:val="22"/>
                <w:szCs w:val="22"/>
                <w:highlight w:val="none"/>
              </w:rPr>
            </w:pPr>
          </w:p>
        </w:tc>
        <w:tc>
          <w:tcPr>
            <w:tcW w:w="1412" w:type="pct"/>
            <w:noWrap w:val="0"/>
            <w:vAlign w:val="center"/>
          </w:tcPr>
          <w:p>
            <w:pPr>
              <w:pStyle w:val="10"/>
              <w:ind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shd w:val="clear" w:color="auto" w:fill="FFFFFF"/>
              </w:rPr>
              <w:t>B组份2.86公升装于3.7公升的容器中。</w:t>
            </w:r>
          </w:p>
        </w:tc>
        <w:tc>
          <w:tcPr>
            <w:tcW w:w="1698" w:type="pct"/>
            <w:vMerge w:val="continue"/>
            <w:noWrap w:val="0"/>
            <w:vAlign w:val="center"/>
          </w:tcPr>
          <w:p>
            <w:pPr>
              <w:pStyle w:val="10"/>
              <w:ind w:firstLine="0"/>
              <w:jc w:val="left"/>
              <w:rPr>
                <w:rFonts w:hint="eastAsia" w:ascii="宋体" w:hAnsi="宋体" w:eastAsia="宋体" w:cs="宋体"/>
                <w:color w:val="auto"/>
                <w:sz w:val="22"/>
                <w:szCs w:val="22"/>
                <w:highlight w:val="none"/>
              </w:rPr>
            </w:pPr>
          </w:p>
        </w:tc>
        <w:tc>
          <w:tcPr>
            <w:tcW w:w="191" w:type="pct"/>
            <w:noWrap w:val="0"/>
            <w:vAlign w:val="center"/>
          </w:tcPr>
          <w:p>
            <w:pPr>
              <w:pStyle w:val="10"/>
              <w:ind w:firstLine="0"/>
              <w:rPr>
                <w:rFonts w:hint="eastAsia" w:ascii="宋体" w:hAnsi="宋体" w:eastAsia="宋体" w:cs="宋体"/>
                <w:bCs/>
                <w:color w:val="auto"/>
                <w:sz w:val="22"/>
                <w:szCs w:val="22"/>
                <w:highlight w:val="none"/>
                <w:lang w:eastAsia="zh-CN"/>
              </w:rPr>
            </w:pPr>
            <w:r>
              <w:rPr>
                <w:rFonts w:hint="eastAsia" w:ascii="宋体" w:hAnsi="宋体" w:eastAsia="宋体" w:cs="宋体"/>
                <w:bCs/>
                <w:color w:val="auto"/>
                <w:kern w:val="0"/>
                <w:sz w:val="22"/>
                <w:szCs w:val="22"/>
                <w:highlight w:val="none"/>
                <w:lang w:val="en-US" w:eastAsia="zh-CN" w:bidi="ar"/>
              </w:rPr>
              <w:t>1</w:t>
            </w:r>
          </w:p>
        </w:tc>
        <w:tc>
          <w:tcPr>
            <w:tcW w:w="165" w:type="pct"/>
            <w:noWrap w:val="0"/>
            <w:vAlign w:val="center"/>
          </w:tcPr>
          <w:p>
            <w:pPr>
              <w:jc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组</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restar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舾装材料</w:t>
            </w:r>
          </w:p>
        </w:tc>
        <w:tc>
          <w:tcPr>
            <w:tcW w:w="191" w:type="pct"/>
            <w:noWrap w:val="0"/>
            <w:vAlign w:val="center"/>
          </w:tcPr>
          <w:p>
            <w:pPr>
              <w:pStyle w:val="10"/>
              <w:keepNext/>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374" w:type="pct"/>
            <w:noWrap w:val="0"/>
            <w:vAlign w:val="center"/>
          </w:tcPr>
          <w:p>
            <w:pPr>
              <w:pStyle w:val="10"/>
              <w:ind w:firstLine="0"/>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护舷材</w:t>
            </w:r>
          </w:p>
        </w:tc>
        <w:tc>
          <w:tcPr>
            <w:tcW w:w="1412" w:type="pct"/>
            <w:noWrap w:val="0"/>
            <w:vAlign w:val="center"/>
          </w:tcPr>
          <w:p>
            <w:pPr>
              <w:pStyle w:val="10"/>
              <w:ind w:firstLine="0"/>
              <w:jc w:val="left"/>
              <w:rPr>
                <w:rFonts w:hint="eastAsia" w:ascii="宋体" w:hAnsi="宋体" w:eastAsia="宋体" w:cs="宋体"/>
                <w:bCs/>
                <w:color w:val="auto"/>
                <w:kern w:val="0"/>
                <w:sz w:val="22"/>
                <w:szCs w:val="22"/>
                <w:highlight w:val="none"/>
                <w:lang w:eastAsia="zh-CN" w:bidi="ar"/>
              </w:rPr>
            </w:pPr>
            <w:r>
              <w:rPr>
                <w:rFonts w:hint="eastAsia" w:ascii="宋体" w:hAnsi="宋体" w:eastAsia="宋体" w:cs="宋体"/>
                <w:color w:val="auto"/>
                <w:sz w:val="22"/>
                <w:szCs w:val="22"/>
                <w:highlight w:val="none"/>
              </w:rPr>
              <w:t>铝质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按采购人要求做好防锈处理。</w:t>
            </w:r>
          </w:p>
        </w:tc>
        <w:tc>
          <w:tcPr>
            <w:tcW w:w="1698" w:type="pct"/>
            <w:noWrap w:val="0"/>
            <w:vAlign w:val="center"/>
          </w:tcPr>
          <w:p>
            <w:pPr>
              <w:pStyle w:val="10"/>
              <w:ind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675130" cy="1330325"/>
                  <wp:effectExtent l="0" t="0" r="1270" b="31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9"/>
                          <a:stretch>
                            <a:fillRect/>
                          </a:stretch>
                        </pic:blipFill>
                        <pic:spPr>
                          <a:xfrm>
                            <a:off x="0" y="0"/>
                            <a:ext cx="1675130" cy="1330325"/>
                          </a:xfrm>
                          <a:prstGeom prst="rect">
                            <a:avLst/>
                          </a:prstGeom>
                          <a:noFill/>
                          <a:ln>
                            <a:noFill/>
                          </a:ln>
                        </pic:spPr>
                      </pic:pic>
                    </a:graphicData>
                  </a:graphic>
                </wp:inline>
              </w:drawing>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套</w:t>
            </w:r>
          </w:p>
        </w:tc>
        <w:tc>
          <w:tcPr>
            <w:tcW w:w="715" w:type="pct"/>
            <w:vMerge w:val="restart"/>
            <w:noWrap w:val="0"/>
            <w:vAlign w:val="center"/>
          </w:tcPr>
          <w:p>
            <w:pPr>
              <w:pStyle w:val="10"/>
              <w:ind w:firstLine="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用于各类仪器的辅助搭载材料，辅助维护仪器各项功能指标。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pStyle w:val="10"/>
              <w:ind w:firstLine="0"/>
              <w:rPr>
                <w:rFonts w:hint="eastAsia" w:ascii="宋体" w:hAnsi="宋体" w:eastAsia="宋体" w:cs="宋体"/>
                <w:bCs/>
                <w:color w:val="auto"/>
                <w:sz w:val="22"/>
                <w:szCs w:val="22"/>
                <w:highlight w:val="none"/>
              </w:rPr>
            </w:pPr>
          </w:p>
        </w:tc>
        <w:tc>
          <w:tcPr>
            <w:tcW w:w="191" w:type="pct"/>
            <w:noWrap w:val="0"/>
            <w:vAlign w:val="center"/>
          </w:tcPr>
          <w:p>
            <w:pPr>
              <w:pStyle w:val="10"/>
              <w:keepNext/>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374" w:type="pct"/>
            <w:noWrap w:val="0"/>
            <w:vAlign w:val="center"/>
          </w:tcPr>
          <w:p>
            <w:pPr>
              <w:pStyle w:val="10"/>
              <w:ind w:firstLine="0"/>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不锈钢螺栓</w:t>
            </w:r>
          </w:p>
        </w:tc>
        <w:tc>
          <w:tcPr>
            <w:tcW w:w="1412" w:type="pct"/>
            <w:noWrap w:val="0"/>
            <w:vAlign w:val="center"/>
          </w:tcPr>
          <w:p>
            <w:pPr>
              <w:pStyle w:val="10"/>
              <w:ind w:firstLine="0"/>
              <w:jc w:val="left"/>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310螺栓直径5.5*25mm</w:t>
            </w:r>
            <w:r>
              <w:rPr>
                <w:rFonts w:hint="eastAsia" w:ascii="宋体" w:hAnsi="宋体" w:eastAsia="宋体" w:cs="宋体"/>
                <w:bCs/>
                <w:color w:val="auto"/>
                <w:kern w:val="0"/>
                <w:sz w:val="22"/>
                <w:szCs w:val="22"/>
                <w:highlight w:val="none"/>
                <w:lang w:bidi="ar"/>
              </w:rPr>
              <w:t xml:space="preserve"> </w:t>
            </w:r>
          </w:p>
        </w:tc>
        <w:tc>
          <w:tcPr>
            <w:tcW w:w="1698" w:type="pct"/>
            <w:noWrap w:val="0"/>
            <w:vAlign w:val="center"/>
          </w:tcPr>
          <w:p>
            <w:pPr>
              <w:pStyle w:val="10"/>
              <w:ind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846580" cy="1292225"/>
                  <wp:effectExtent l="0" t="0" r="1270" b="31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0"/>
                          <a:stretch>
                            <a:fillRect/>
                          </a:stretch>
                        </pic:blipFill>
                        <pic:spPr>
                          <a:xfrm>
                            <a:off x="0" y="0"/>
                            <a:ext cx="1846580" cy="1292225"/>
                          </a:xfrm>
                          <a:prstGeom prst="rect">
                            <a:avLst/>
                          </a:prstGeom>
                          <a:noFill/>
                          <a:ln>
                            <a:noFill/>
                          </a:ln>
                        </pic:spPr>
                      </pic:pic>
                    </a:graphicData>
                  </a:graphic>
                </wp:inline>
              </w:drawing>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组</w:t>
            </w:r>
          </w:p>
        </w:tc>
        <w:tc>
          <w:tcPr>
            <w:tcW w:w="715" w:type="pct"/>
            <w:vMerge w:val="continue"/>
            <w:noWrap w:val="0"/>
            <w:vAlign w:val="center"/>
          </w:tcPr>
          <w:p>
            <w:pPr>
              <w:pStyle w:val="10"/>
              <w:ind w:firstLine="0"/>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pStyle w:val="10"/>
              <w:ind w:firstLine="0"/>
              <w:rPr>
                <w:rFonts w:hint="eastAsia" w:ascii="宋体" w:hAnsi="宋体" w:eastAsia="宋体" w:cs="宋体"/>
                <w:bCs/>
                <w:color w:val="auto"/>
                <w:sz w:val="22"/>
                <w:szCs w:val="22"/>
                <w:highlight w:val="none"/>
              </w:rPr>
            </w:pPr>
          </w:p>
        </w:tc>
        <w:tc>
          <w:tcPr>
            <w:tcW w:w="191" w:type="pct"/>
            <w:noWrap w:val="0"/>
            <w:vAlign w:val="center"/>
          </w:tcPr>
          <w:p>
            <w:pPr>
              <w:pStyle w:val="10"/>
              <w:keepNext/>
              <w:ind w:firstLine="0"/>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3</w:t>
            </w:r>
          </w:p>
        </w:tc>
        <w:tc>
          <w:tcPr>
            <w:tcW w:w="374" w:type="pct"/>
            <w:noWrap w:val="0"/>
            <w:vAlign w:val="center"/>
          </w:tcPr>
          <w:p>
            <w:pPr>
              <w:pStyle w:val="10"/>
              <w:ind w:firstLine="0"/>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胶装材料</w:t>
            </w:r>
          </w:p>
        </w:tc>
        <w:tc>
          <w:tcPr>
            <w:tcW w:w="1412" w:type="pct"/>
            <w:noWrap w:val="0"/>
            <w:vAlign w:val="center"/>
          </w:tcPr>
          <w:p>
            <w:pPr>
              <w:pStyle w:val="10"/>
              <w:ind w:firstLine="0"/>
              <w:jc w:val="left"/>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灰色/白色，</w:t>
            </w:r>
            <w:r>
              <w:rPr>
                <w:rFonts w:hint="eastAsia" w:ascii="宋体" w:hAnsi="宋体" w:eastAsia="宋体" w:cs="宋体"/>
                <w:color w:val="auto"/>
                <w:sz w:val="22"/>
                <w:szCs w:val="22"/>
                <w:highlight w:val="none"/>
                <w:lang w:val="en-US" w:eastAsia="zh-CN"/>
              </w:rPr>
              <w:t>600ml</w:t>
            </w:r>
            <w:r>
              <w:rPr>
                <w:rFonts w:hint="eastAsia" w:ascii="宋体" w:hAnsi="宋体" w:eastAsia="宋体" w:cs="宋体"/>
                <w:color w:val="auto"/>
                <w:sz w:val="22"/>
                <w:szCs w:val="22"/>
                <w:highlight w:val="none"/>
              </w:rPr>
              <w:t>单组份聚氯脂胶</w:t>
            </w:r>
            <w:r>
              <w:rPr>
                <w:rFonts w:hint="eastAsia"/>
                <w:color w:val="auto"/>
                <w:highlight w:val="none"/>
                <w:lang w:eastAsia="zh-CN"/>
              </w:rPr>
              <w:t>。</w:t>
            </w:r>
            <w:r>
              <w:rPr>
                <w:rFonts w:hint="eastAsia" w:ascii="宋体" w:hAnsi="宋体" w:eastAsia="宋体" w:cs="宋体"/>
                <w:bCs/>
                <w:color w:val="auto"/>
                <w:kern w:val="0"/>
                <w:sz w:val="22"/>
                <w:szCs w:val="22"/>
                <w:highlight w:val="none"/>
                <w:lang w:val="en-US" w:eastAsia="zh-CN" w:bidi="ar"/>
              </w:rPr>
              <w:t>颜色根据采购人要求提供。</w:t>
            </w:r>
          </w:p>
        </w:tc>
        <w:tc>
          <w:tcPr>
            <w:tcW w:w="1698" w:type="pct"/>
            <w:noWrap w:val="0"/>
            <w:vAlign w:val="center"/>
          </w:tcPr>
          <w:p>
            <w:pPr>
              <w:pStyle w:val="10"/>
              <w:ind w:firstLine="0"/>
              <w:jc w:val="left"/>
              <w:rPr>
                <w:rFonts w:hint="eastAsia" w:ascii="宋体" w:hAnsi="宋体" w:eastAsia="宋体" w:cs="宋体"/>
                <w:color w:val="auto"/>
                <w:sz w:val="22"/>
                <w:szCs w:val="22"/>
                <w:highlight w:val="none"/>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只</w:t>
            </w:r>
          </w:p>
        </w:tc>
        <w:tc>
          <w:tcPr>
            <w:tcW w:w="715" w:type="pct"/>
            <w:noWrap w:val="0"/>
            <w:vAlign w:val="center"/>
          </w:tcPr>
          <w:p>
            <w:pPr>
              <w:pStyle w:val="10"/>
              <w:ind w:firstLine="0"/>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restar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轮机材料</w:t>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★电机</w:t>
            </w:r>
          </w:p>
        </w:tc>
        <w:tc>
          <w:tcPr>
            <w:tcW w:w="1412"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全回转3kw吊舱机</w:t>
            </w:r>
          </w:p>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主机：</w:t>
            </w:r>
          </w:p>
          <w:p>
            <w:pPr>
              <w:widowControl/>
              <w:jc w:val="left"/>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额定电压</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72V</w:t>
            </w:r>
          </w:p>
          <w:p>
            <w:pPr>
              <w:widowControl/>
              <w:jc w:val="left"/>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rPr>
              <w:t>额定电流</w:t>
            </w:r>
            <w:r>
              <w:rPr>
                <w:rFonts w:hint="eastAsia" w:ascii="宋体" w:hAnsi="宋体" w:eastAsia="宋体" w:cs="宋体"/>
                <w:color w:val="auto"/>
                <w:sz w:val="22"/>
                <w:szCs w:val="22"/>
                <w:highlight w:val="none"/>
                <w:lang w:val="en-US" w:eastAsia="zh-CN"/>
              </w:rPr>
              <w:t>≥40</w:t>
            </w:r>
            <w:r>
              <w:rPr>
                <w:rFonts w:hint="eastAsia" w:ascii="宋体" w:hAnsi="宋体" w:eastAsia="宋体" w:cs="宋体"/>
                <w:color w:val="auto"/>
                <w:sz w:val="22"/>
                <w:szCs w:val="22"/>
                <w:highlight w:val="none"/>
              </w:rPr>
              <w:t>A</w:t>
            </w:r>
          </w:p>
          <w:p>
            <w:pPr>
              <w:widowControl/>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整机最大效率</w:t>
            </w:r>
            <w:r>
              <w:rPr>
                <w:rFonts w:hint="eastAsia" w:ascii="宋体" w:hAnsi="宋体" w:eastAsia="宋体" w:cs="宋体"/>
                <w:color w:val="auto"/>
                <w:sz w:val="22"/>
                <w:szCs w:val="22"/>
                <w:highlight w:val="none"/>
                <w:lang w:val="en-US" w:eastAsia="zh-CN"/>
              </w:rPr>
              <w:t>≥</w:t>
            </w:r>
            <w:r>
              <w:rPr>
                <w:rStyle w:val="11"/>
                <w:rFonts w:hint="eastAsia" w:ascii="宋体" w:hAnsi="宋体" w:eastAsia="宋体" w:cs="宋体"/>
                <w:color w:val="auto"/>
                <w:sz w:val="22"/>
                <w:szCs w:val="22"/>
                <w:highlight w:val="none"/>
              </w:rPr>
              <w:t>5</w:t>
            </w:r>
            <w:r>
              <w:rPr>
                <w:rStyle w:val="11"/>
                <w:rFonts w:hint="eastAsia" w:ascii="宋体" w:hAnsi="宋体" w:eastAsia="宋体" w:cs="宋体"/>
                <w:color w:val="auto"/>
                <w:sz w:val="22"/>
                <w:szCs w:val="22"/>
                <w:highlight w:val="none"/>
                <w:lang w:val="en-US" w:eastAsia="zh-CN"/>
              </w:rPr>
              <w:t>0</w:t>
            </w:r>
            <w:r>
              <w:rPr>
                <w:rStyle w:val="11"/>
                <w:rFonts w:hint="eastAsia" w:ascii="宋体" w:hAnsi="宋体" w:eastAsia="宋体" w:cs="宋体"/>
                <w:color w:val="auto"/>
                <w:sz w:val="22"/>
                <w:szCs w:val="22"/>
                <w:highlight w:val="none"/>
              </w:rPr>
              <w:t>%</w:t>
            </w:r>
          </w:p>
          <w:p>
            <w:pPr>
              <w:widowControl/>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输入电压范围55V ~90V</w:t>
            </w:r>
            <w:r>
              <w:rPr>
                <w:rStyle w:val="11"/>
                <w:rFonts w:hint="eastAsia" w:ascii="宋体" w:hAnsi="宋体" w:eastAsia="宋体" w:cs="宋体"/>
                <w:color w:val="auto"/>
                <w:sz w:val="22"/>
                <w:szCs w:val="22"/>
                <w:highlight w:val="none"/>
                <w:lang w:val="en-US" w:eastAsia="zh-CN"/>
              </w:rPr>
              <w:t xml:space="preserve"> </w:t>
            </w:r>
            <w:r>
              <w:rPr>
                <w:rStyle w:val="11"/>
                <w:rFonts w:hint="eastAsia" w:ascii="宋体" w:hAnsi="宋体" w:eastAsia="宋体" w:cs="宋体"/>
                <w:color w:val="auto"/>
                <w:sz w:val="22"/>
                <w:szCs w:val="22"/>
                <w:highlight w:val="none"/>
              </w:rPr>
              <w:t>DC</w:t>
            </w:r>
          </w:p>
          <w:p>
            <w:pPr>
              <w:widowControl/>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额定转速(正向)</w:t>
            </w:r>
            <w:r>
              <w:rPr>
                <w:rFonts w:hint="eastAsia" w:ascii="宋体" w:hAnsi="宋体" w:eastAsia="宋体" w:cs="宋体"/>
                <w:color w:val="auto"/>
                <w:sz w:val="22"/>
                <w:szCs w:val="22"/>
                <w:highlight w:val="none"/>
              </w:rPr>
              <w:t xml:space="preserve"> </w:t>
            </w:r>
            <w:r>
              <w:rPr>
                <w:rStyle w:val="11"/>
                <w:rFonts w:hint="eastAsia" w:ascii="宋体" w:hAnsi="宋体" w:eastAsia="宋体" w:cs="宋体"/>
                <w:color w:val="auto"/>
                <w:sz w:val="22"/>
                <w:szCs w:val="22"/>
                <w:highlight w:val="none"/>
              </w:rPr>
              <w:t>1444 rpm</w:t>
            </w:r>
          </w:p>
          <w:p>
            <w:pPr>
              <w:widowControl/>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整套重</w:t>
            </w:r>
            <w:r>
              <w:rPr>
                <w:rStyle w:val="11"/>
                <w:rFonts w:hint="eastAsia" w:ascii="宋体" w:hAnsi="宋体" w:eastAsia="宋体" w:cs="宋体"/>
                <w:color w:val="auto"/>
                <w:sz w:val="22"/>
                <w:szCs w:val="22"/>
                <w:highlight w:val="none"/>
                <w:lang w:eastAsia="zh-CN"/>
              </w:rPr>
              <w:t>：</w:t>
            </w:r>
            <w:r>
              <w:rPr>
                <w:rStyle w:val="11"/>
                <w:rFonts w:hint="eastAsia" w:ascii="宋体" w:hAnsi="宋体" w:eastAsia="宋体" w:cs="宋体"/>
                <w:color w:val="auto"/>
                <w:sz w:val="22"/>
                <w:szCs w:val="22"/>
                <w:highlight w:val="none"/>
                <w:lang w:val="en-US" w:eastAsia="zh-CN"/>
              </w:rPr>
              <w:t>20~25</w:t>
            </w:r>
            <w:r>
              <w:rPr>
                <w:rStyle w:val="11"/>
                <w:rFonts w:hint="eastAsia" w:ascii="宋体" w:hAnsi="宋体" w:eastAsia="宋体" w:cs="宋体"/>
                <w:color w:val="auto"/>
                <w:sz w:val="22"/>
                <w:szCs w:val="22"/>
                <w:highlight w:val="none"/>
              </w:rPr>
              <w:t>kg</w:t>
            </w:r>
            <w:r>
              <w:rPr>
                <w:rStyle w:val="11"/>
                <w:rFonts w:hint="eastAsia" w:ascii="宋体" w:hAnsi="宋体" w:eastAsia="宋体" w:cs="宋体"/>
                <w:color w:val="auto"/>
                <w:sz w:val="22"/>
                <w:szCs w:val="22"/>
                <w:highlight w:val="none"/>
                <w:lang w:val="en-US" w:eastAsia="zh-CN"/>
              </w:rPr>
              <w:t>间</w:t>
            </w:r>
          </w:p>
          <w:p>
            <w:pPr>
              <w:widowControl/>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有线通讯</w:t>
            </w:r>
          </w:p>
          <w:p>
            <w:pPr>
              <w:widowControl/>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螺旋桨(直径)</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250~</w:t>
            </w:r>
            <w:r>
              <w:rPr>
                <w:rStyle w:val="11"/>
                <w:rFonts w:hint="eastAsia" w:ascii="宋体" w:hAnsi="宋体" w:eastAsia="宋体" w:cs="宋体"/>
                <w:color w:val="auto"/>
                <w:sz w:val="22"/>
                <w:szCs w:val="22"/>
                <w:highlight w:val="none"/>
              </w:rPr>
              <w:t xml:space="preserve">300 mm </w:t>
            </w:r>
            <w:r>
              <w:rPr>
                <w:rStyle w:val="11"/>
                <w:rFonts w:hint="eastAsia" w:ascii="宋体" w:hAnsi="宋体" w:eastAsia="宋体" w:cs="宋体"/>
                <w:color w:val="auto"/>
                <w:sz w:val="22"/>
                <w:szCs w:val="22"/>
                <w:highlight w:val="none"/>
                <w:lang w:val="en-US" w:eastAsia="zh-CN"/>
              </w:rPr>
              <w:t>之间</w:t>
            </w:r>
          </w:p>
          <w:p>
            <w:pPr>
              <w:widowControl/>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工作环境/存储温度-25℃~50℃(-13℉ ~122℉)。</w:t>
            </w:r>
          </w:p>
          <w:p>
            <w:pPr>
              <w:widowControl/>
              <w:jc w:val="left"/>
              <w:textAlignment w:val="center"/>
              <w:rPr>
                <w:rStyle w:val="11"/>
                <w:rFonts w:hint="eastAsia" w:ascii="宋体" w:hAnsi="宋体" w:eastAsia="宋体" w:cs="宋体"/>
                <w:color w:val="auto"/>
                <w:sz w:val="22"/>
                <w:szCs w:val="22"/>
                <w:highlight w:val="none"/>
                <w:lang w:val="en-US" w:eastAsia="zh-CN"/>
              </w:rPr>
            </w:pPr>
          </w:p>
          <w:p>
            <w:pPr>
              <w:widowControl/>
              <w:numPr>
                <w:ilvl w:val="0"/>
                <w:numId w:val="0"/>
              </w:numPr>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lang w:val="en-US" w:eastAsia="zh-CN"/>
              </w:rPr>
              <w:t>2.</w:t>
            </w:r>
            <w:r>
              <w:rPr>
                <w:rStyle w:val="11"/>
                <w:rFonts w:hint="eastAsia" w:ascii="宋体" w:hAnsi="宋体" w:eastAsia="宋体" w:cs="宋体"/>
                <w:color w:val="auto"/>
                <w:sz w:val="22"/>
                <w:szCs w:val="22"/>
                <w:highlight w:val="none"/>
              </w:rPr>
              <w:t>旋转机构：</w:t>
            </w:r>
          </w:p>
          <w:p>
            <w:pPr>
              <w:widowControl/>
              <w:numPr>
                <w:ilvl w:val="0"/>
                <w:numId w:val="0"/>
              </w:numPr>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接入电压范围24V~70V</w:t>
            </w:r>
          </w:p>
          <w:p>
            <w:pPr>
              <w:widowControl/>
              <w:numPr>
                <w:ilvl w:val="0"/>
                <w:numId w:val="0"/>
              </w:numPr>
              <w:jc w:val="left"/>
              <w:textAlignment w:val="center"/>
              <w:rPr>
                <w:rStyle w:val="11"/>
                <w:rFonts w:hint="eastAsia" w:ascii="宋体" w:hAnsi="宋体" w:eastAsia="宋体" w:cs="宋体"/>
                <w:color w:val="auto"/>
                <w:sz w:val="22"/>
                <w:szCs w:val="22"/>
                <w:highlight w:val="none"/>
              </w:rPr>
            </w:pPr>
            <w:r>
              <w:rPr>
                <w:rStyle w:val="11"/>
                <w:rFonts w:hint="eastAsia" w:ascii="宋体" w:hAnsi="宋体" w:eastAsia="宋体" w:cs="宋体"/>
                <w:color w:val="auto"/>
                <w:sz w:val="22"/>
                <w:szCs w:val="22"/>
                <w:highlight w:val="none"/>
              </w:rPr>
              <w:t>额定功率(正向/反向)，旋转速度</w:t>
            </w:r>
            <w:r>
              <w:rPr>
                <w:rStyle w:val="11"/>
                <w:rFonts w:hint="eastAsia" w:ascii="宋体" w:hAnsi="宋体" w:eastAsia="宋体" w:cs="宋体"/>
                <w:color w:val="auto"/>
                <w:sz w:val="22"/>
                <w:szCs w:val="22"/>
                <w:highlight w:val="none"/>
                <w:lang w:val="en-US" w:eastAsia="zh-CN"/>
              </w:rPr>
              <w:t>18~25</w:t>
            </w:r>
            <w:r>
              <w:rPr>
                <w:rStyle w:val="11"/>
                <w:rFonts w:hint="eastAsia" w:ascii="宋体" w:hAnsi="宋体" w:eastAsia="宋体" w:cs="宋体"/>
                <w:color w:val="auto"/>
                <w:sz w:val="22"/>
                <w:szCs w:val="22"/>
                <w:highlight w:val="none"/>
              </w:rPr>
              <w:t>转/min</w:t>
            </w:r>
            <w:r>
              <w:rPr>
                <w:rStyle w:val="11"/>
                <w:rFonts w:hint="eastAsia" w:ascii="宋体" w:hAnsi="宋体" w:eastAsia="宋体" w:cs="宋体"/>
                <w:color w:val="auto"/>
                <w:sz w:val="22"/>
                <w:szCs w:val="22"/>
                <w:highlight w:val="none"/>
                <w:lang w:val="en-US" w:eastAsia="zh-CN"/>
              </w:rPr>
              <w:t>之间</w:t>
            </w:r>
          </w:p>
          <w:p>
            <w:pPr>
              <w:widowControl/>
              <w:jc w:val="left"/>
              <w:textAlignment w:val="center"/>
              <w:rPr>
                <w:rStyle w:val="11"/>
                <w:rFonts w:hint="eastAsia" w:ascii="宋体" w:hAnsi="宋体" w:eastAsia="宋体" w:cs="宋体"/>
                <w:color w:val="auto"/>
                <w:sz w:val="22"/>
                <w:szCs w:val="22"/>
                <w:highlight w:val="none"/>
                <w:lang w:eastAsia="zh-CN"/>
              </w:rPr>
            </w:pPr>
            <w:r>
              <w:rPr>
                <w:rStyle w:val="11"/>
                <w:rFonts w:hint="eastAsia" w:ascii="宋体" w:hAnsi="宋体" w:eastAsia="宋体" w:cs="宋体"/>
                <w:color w:val="auto"/>
                <w:sz w:val="22"/>
                <w:szCs w:val="22"/>
                <w:highlight w:val="none"/>
              </w:rPr>
              <w:t>直径</w:t>
            </w:r>
            <w:r>
              <w:rPr>
                <w:rStyle w:val="11"/>
                <w:rFonts w:hint="eastAsia" w:ascii="宋体" w:hAnsi="宋体" w:eastAsia="宋体" w:cs="宋体"/>
                <w:color w:val="auto"/>
                <w:sz w:val="22"/>
                <w:szCs w:val="22"/>
                <w:highlight w:val="none"/>
                <w:lang w:eastAsia="zh-CN"/>
              </w:rPr>
              <w:t>：</w:t>
            </w:r>
            <w:r>
              <w:rPr>
                <w:rStyle w:val="11"/>
                <w:rFonts w:hint="eastAsia" w:ascii="宋体" w:hAnsi="宋体" w:eastAsia="宋体" w:cs="宋体"/>
                <w:color w:val="auto"/>
                <w:sz w:val="22"/>
                <w:szCs w:val="22"/>
                <w:highlight w:val="none"/>
                <w:lang w:val="en-US" w:eastAsia="zh-CN"/>
              </w:rPr>
              <w:t>350~400</w:t>
            </w:r>
            <w:r>
              <w:rPr>
                <w:rStyle w:val="11"/>
                <w:rFonts w:hint="eastAsia" w:ascii="宋体" w:hAnsi="宋体" w:eastAsia="宋体" w:cs="宋体"/>
                <w:color w:val="auto"/>
                <w:sz w:val="22"/>
                <w:szCs w:val="22"/>
                <w:highlight w:val="none"/>
              </w:rPr>
              <w:t>mm</w:t>
            </w:r>
            <w:r>
              <w:rPr>
                <w:rStyle w:val="11"/>
                <w:rFonts w:hint="eastAsia" w:ascii="宋体" w:hAnsi="宋体" w:eastAsia="宋体" w:cs="宋体"/>
                <w:color w:val="auto"/>
                <w:sz w:val="22"/>
                <w:szCs w:val="22"/>
                <w:highlight w:val="none"/>
                <w:lang w:val="en-US" w:eastAsia="zh-CN"/>
              </w:rPr>
              <w:t>之间</w:t>
            </w:r>
          </w:p>
          <w:p>
            <w:pPr>
              <w:widowControl/>
              <w:jc w:val="left"/>
              <w:textAlignment w:val="center"/>
              <w:rPr>
                <w:rStyle w:val="11"/>
                <w:rFonts w:hint="eastAsia" w:ascii="宋体" w:hAnsi="宋体" w:eastAsia="宋体" w:cs="宋体"/>
                <w:color w:val="auto"/>
                <w:sz w:val="22"/>
                <w:szCs w:val="22"/>
                <w:highlight w:val="none"/>
                <w:lang w:eastAsia="zh-CN"/>
              </w:rPr>
            </w:pPr>
            <w:r>
              <w:rPr>
                <w:rStyle w:val="11"/>
                <w:rFonts w:hint="eastAsia" w:ascii="宋体" w:hAnsi="宋体" w:eastAsia="宋体" w:cs="宋体"/>
                <w:color w:val="auto"/>
                <w:sz w:val="22"/>
                <w:szCs w:val="22"/>
                <w:highlight w:val="none"/>
              </w:rPr>
              <w:t>高度</w:t>
            </w:r>
            <w:r>
              <w:rPr>
                <w:rStyle w:val="11"/>
                <w:rFonts w:hint="eastAsia" w:ascii="宋体" w:hAnsi="宋体" w:eastAsia="宋体" w:cs="宋体"/>
                <w:color w:val="auto"/>
                <w:sz w:val="22"/>
                <w:szCs w:val="22"/>
                <w:highlight w:val="none"/>
                <w:lang w:eastAsia="zh-CN"/>
              </w:rPr>
              <w:t>：</w:t>
            </w:r>
            <w:r>
              <w:rPr>
                <w:rStyle w:val="11"/>
                <w:rFonts w:hint="eastAsia" w:ascii="宋体" w:hAnsi="宋体" w:eastAsia="宋体" w:cs="宋体"/>
                <w:color w:val="auto"/>
                <w:sz w:val="22"/>
                <w:szCs w:val="22"/>
                <w:highlight w:val="none"/>
                <w:lang w:val="en-US" w:eastAsia="zh-CN"/>
              </w:rPr>
              <w:t>400~500</w:t>
            </w:r>
            <w:r>
              <w:rPr>
                <w:rStyle w:val="11"/>
                <w:rFonts w:hint="eastAsia" w:ascii="宋体" w:hAnsi="宋体" w:eastAsia="宋体" w:cs="宋体"/>
                <w:color w:val="auto"/>
                <w:sz w:val="22"/>
                <w:szCs w:val="22"/>
                <w:highlight w:val="none"/>
              </w:rPr>
              <w:t>mm</w:t>
            </w:r>
            <w:r>
              <w:rPr>
                <w:rStyle w:val="11"/>
                <w:rFonts w:hint="eastAsia" w:ascii="宋体" w:hAnsi="宋体" w:eastAsia="宋体" w:cs="宋体"/>
                <w:color w:val="auto"/>
                <w:sz w:val="22"/>
                <w:szCs w:val="22"/>
                <w:highlight w:val="none"/>
                <w:lang w:val="en-US" w:eastAsia="zh-CN"/>
              </w:rPr>
              <w:t>之间</w:t>
            </w:r>
          </w:p>
          <w:p>
            <w:pPr>
              <w:widowControl/>
              <w:jc w:val="left"/>
              <w:textAlignment w:val="center"/>
              <w:rPr>
                <w:rStyle w:val="11"/>
                <w:rFonts w:hint="eastAsia" w:ascii="宋体" w:hAnsi="宋体" w:eastAsia="宋体" w:cs="宋体"/>
                <w:color w:val="auto"/>
                <w:sz w:val="22"/>
                <w:szCs w:val="22"/>
                <w:highlight w:val="none"/>
                <w:lang w:eastAsia="zh-CN"/>
              </w:rPr>
            </w:pPr>
            <w:r>
              <w:rPr>
                <w:rStyle w:val="11"/>
                <w:rFonts w:hint="eastAsia" w:ascii="宋体" w:hAnsi="宋体" w:eastAsia="宋体" w:cs="宋体"/>
                <w:color w:val="auto"/>
                <w:sz w:val="22"/>
                <w:szCs w:val="22"/>
                <w:highlight w:val="none"/>
              </w:rPr>
              <w:t>净重</w:t>
            </w:r>
            <w:r>
              <w:rPr>
                <w:rStyle w:val="11"/>
                <w:rFonts w:hint="eastAsia" w:ascii="宋体" w:hAnsi="宋体" w:eastAsia="宋体" w:cs="宋体"/>
                <w:color w:val="auto"/>
                <w:sz w:val="22"/>
                <w:szCs w:val="22"/>
                <w:highlight w:val="none"/>
                <w:lang w:eastAsia="zh-CN"/>
              </w:rPr>
              <w:t>：</w:t>
            </w:r>
            <w:r>
              <w:rPr>
                <w:rStyle w:val="11"/>
                <w:rFonts w:hint="eastAsia" w:ascii="宋体" w:hAnsi="宋体" w:eastAsia="宋体" w:cs="宋体"/>
                <w:color w:val="auto"/>
                <w:sz w:val="22"/>
                <w:szCs w:val="22"/>
                <w:highlight w:val="none"/>
                <w:lang w:val="en-US" w:eastAsia="zh-CN"/>
              </w:rPr>
              <w:t>35~45</w:t>
            </w:r>
            <w:r>
              <w:rPr>
                <w:rStyle w:val="11"/>
                <w:rFonts w:hint="eastAsia" w:ascii="宋体" w:hAnsi="宋体" w:eastAsia="宋体" w:cs="宋体"/>
                <w:color w:val="auto"/>
                <w:sz w:val="22"/>
                <w:szCs w:val="22"/>
                <w:highlight w:val="none"/>
              </w:rPr>
              <w:t>kg</w:t>
            </w:r>
            <w:r>
              <w:rPr>
                <w:rStyle w:val="11"/>
                <w:rFonts w:hint="eastAsia" w:ascii="宋体" w:hAnsi="宋体" w:eastAsia="宋体" w:cs="宋体"/>
                <w:color w:val="auto"/>
                <w:sz w:val="22"/>
                <w:szCs w:val="22"/>
                <w:highlight w:val="none"/>
                <w:lang w:val="en-US" w:eastAsia="zh-CN"/>
              </w:rPr>
              <w:t>之间</w:t>
            </w:r>
          </w:p>
          <w:p>
            <w:pPr>
              <w:widowControl/>
              <w:jc w:val="left"/>
              <w:textAlignment w:val="center"/>
              <w:rPr>
                <w:rFonts w:hint="eastAsia" w:ascii="宋体" w:hAnsi="宋体" w:eastAsia="宋体" w:cs="宋体"/>
                <w:bCs/>
                <w:color w:val="auto"/>
                <w:kern w:val="0"/>
                <w:sz w:val="22"/>
                <w:szCs w:val="22"/>
                <w:highlight w:val="none"/>
                <w:lang w:bidi="ar"/>
              </w:rPr>
            </w:pPr>
            <w:r>
              <w:rPr>
                <w:rStyle w:val="11"/>
                <w:rFonts w:hint="eastAsia" w:ascii="宋体" w:hAnsi="宋体" w:eastAsia="宋体" w:cs="宋体"/>
                <w:color w:val="auto"/>
                <w:sz w:val="22"/>
                <w:szCs w:val="22"/>
                <w:highlight w:val="none"/>
              </w:rPr>
              <w:t>工作环境/存储温度-25℃~50℃(-13℉ ~122℉)</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673225" cy="2371725"/>
                  <wp:effectExtent l="0" t="0" r="3175" b="952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1"/>
                          <a:stretch>
                            <a:fillRect/>
                          </a:stretch>
                        </pic:blipFill>
                        <pic:spPr>
                          <a:xfrm>
                            <a:off x="0" y="0"/>
                            <a:ext cx="1673225" cy="2371725"/>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4</w:t>
            </w:r>
          </w:p>
        </w:tc>
        <w:tc>
          <w:tcPr>
            <w:tcW w:w="165"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套</w:t>
            </w:r>
          </w:p>
        </w:tc>
        <w:tc>
          <w:tcPr>
            <w:tcW w:w="715" w:type="pct"/>
            <w:vMerge w:val="restart"/>
            <w:noWrap w:val="0"/>
            <w:vAlign w:val="center"/>
          </w:tcPr>
          <w:p>
            <w:pPr>
              <w:pStyle w:val="10"/>
              <w:ind w:firstLine="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用于平台能源动力性能的提升完善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★锂电池</w:t>
            </w:r>
          </w:p>
        </w:tc>
        <w:tc>
          <w:tcPr>
            <w:tcW w:w="1412"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1.回转电机动力电源</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①规格为76.8V</w:t>
            </w:r>
            <w:r>
              <w:rPr>
                <w:rFonts w:hint="eastAsia" w:ascii="宋体" w:hAnsi="宋体" w:eastAsia="宋体" w:cs="宋体"/>
                <w:bCs/>
                <w:color w:val="auto"/>
                <w:kern w:val="0"/>
                <w:sz w:val="22"/>
                <w:szCs w:val="22"/>
                <w:highlight w:val="none"/>
                <w:lang w:val="en-US" w:eastAsia="zh-CN" w:bidi="ar"/>
              </w:rPr>
              <w:t xml:space="preserve"> </w:t>
            </w:r>
            <w:r>
              <w:rPr>
                <w:rFonts w:hint="eastAsia" w:ascii="宋体" w:hAnsi="宋体" w:eastAsia="宋体" w:cs="宋体"/>
                <w:bCs/>
                <w:color w:val="auto"/>
                <w:kern w:val="0"/>
                <w:sz w:val="22"/>
                <w:szCs w:val="22"/>
                <w:highlight w:val="none"/>
                <w:lang w:bidi="ar"/>
              </w:rPr>
              <w:t>320AH磷酸铁锂液态或半固态</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②电源负载为两台3KW全回转永磁电机，额定电压76.8V，续航里程满功率</w:t>
            </w:r>
            <w:r>
              <w:rPr>
                <w:rFonts w:hint="eastAsia" w:ascii="宋体" w:hAnsi="宋体" w:eastAsia="宋体" w:cs="宋体"/>
                <w:bCs/>
                <w:color w:val="auto"/>
                <w:kern w:val="0"/>
                <w:sz w:val="22"/>
                <w:szCs w:val="22"/>
                <w:highlight w:val="none"/>
                <w:lang w:val="en-US" w:eastAsia="zh-CN" w:bidi="ar"/>
              </w:rPr>
              <w:t>≥</w:t>
            </w:r>
            <w:r>
              <w:rPr>
                <w:rFonts w:hint="eastAsia" w:ascii="宋体" w:hAnsi="宋体" w:eastAsia="宋体" w:cs="宋体"/>
                <w:bCs/>
                <w:color w:val="auto"/>
                <w:kern w:val="0"/>
                <w:sz w:val="22"/>
                <w:szCs w:val="22"/>
                <w:highlight w:val="none"/>
                <w:lang w:bidi="ar"/>
              </w:rPr>
              <w:t>4个小时，经济续航里程6-7个小时</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③整体质量能量密度不低于110wh/kg</w:t>
            </w:r>
            <w:r>
              <w:rPr>
                <w:rFonts w:hint="eastAsia" w:ascii="宋体" w:hAnsi="宋体" w:eastAsia="宋体" w:cs="宋体"/>
                <w:bCs/>
                <w:color w:val="auto"/>
                <w:kern w:val="0"/>
                <w:sz w:val="22"/>
                <w:szCs w:val="22"/>
                <w:highlight w:val="none"/>
                <w:lang w:eastAsia="zh-CN" w:bidi="ar"/>
              </w:rPr>
              <w:t>，</w:t>
            </w:r>
            <w:r>
              <w:rPr>
                <w:rFonts w:hint="eastAsia" w:ascii="宋体" w:hAnsi="宋体" w:eastAsia="宋体" w:cs="宋体"/>
                <w:bCs/>
                <w:color w:val="auto"/>
                <w:kern w:val="0"/>
                <w:sz w:val="22"/>
                <w:szCs w:val="22"/>
                <w:highlight w:val="none"/>
                <w:lang w:bidi="ar"/>
              </w:rPr>
              <w:t>持续充放电倍率不低于0.5C</w:t>
            </w:r>
            <w:r>
              <w:rPr>
                <w:rFonts w:hint="eastAsia" w:ascii="宋体" w:hAnsi="宋体" w:eastAsia="宋体" w:cs="宋体"/>
                <w:bCs/>
                <w:color w:val="auto"/>
                <w:kern w:val="0"/>
                <w:sz w:val="22"/>
                <w:szCs w:val="22"/>
                <w:highlight w:val="none"/>
                <w:lang w:eastAsia="zh-CN" w:bidi="ar"/>
              </w:rPr>
              <w:t>，</w:t>
            </w:r>
            <w:r>
              <w:rPr>
                <w:rFonts w:hint="eastAsia" w:ascii="宋体" w:hAnsi="宋体" w:eastAsia="宋体" w:cs="宋体"/>
                <w:bCs/>
                <w:color w:val="auto"/>
                <w:kern w:val="0"/>
                <w:sz w:val="22"/>
                <w:szCs w:val="22"/>
                <w:highlight w:val="none"/>
                <w:lang w:bidi="ar"/>
              </w:rPr>
              <w:t>放电峰值不低于1C，-10℃可持续放电，整体防护等级IP67</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④锂电池包整体循环次数不低于5000次（80%SOC）</w:t>
            </w:r>
            <w:r>
              <w:rPr>
                <w:rFonts w:hint="eastAsia" w:ascii="宋体" w:hAnsi="宋体" w:eastAsia="宋体" w:cs="宋体"/>
                <w:bCs/>
                <w:color w:val="auto"/>
                <w:kern w:val="0"/>
                <w:sz w:val="22"/>
                <w:szCs w:val="22"/>
                <w:highlight w:val="none"/>
                <w:lang w:eastAsia="zh-CN" w:bidi="ar"/>
              </w:rPr>
              <w:t>，</w:t>
            </w:r>
            <w:r>
              <w:rPr>
                <w:rFonts w:hint="eastAsia" w:ascii="宋体" w:hAnsi="宋体" w:eastAsia="宋体" w:cs="宋体"/>
                <w:bCs/>
                <w:color w:val="auto"/>
                <w:kern w:val="0"/>
                <w:sz w:val="22"/>
                <w:szCs w:val="22"/>
                <w:highlight w:val="none"/>
                <w:lang w:bidi="ar"/>
              </w:rPr>
              <w:t>自放电不高于3%</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⑤锂电池包支持软开关，外置，带485或CAN通讯</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⑥提供配套快充装置，支持四个小时快充，带通讯管理</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2.控制系统电源</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①规格为24V375AH，磷酸铁锂液态或半固态</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②负载为12V、24V各类船内搭载设备，总功率约900W，可支持所有设备连续工作</w:t>
            </w:r>
            <w:r>
              <w:rPr>
                <w:rFonts w:hint="eastAsia" w:ascii="宋体" w:hAnsi="宋体" w:eastAsia="宋体" w:cs="宋体"/>
                <w:bCs/>
                <w:color w:val="auto"/>
                <w:kern w:val="0"/>
                <w:sz w:val="22"/>
                <w:szCs w:val="22"/>
                <w:highlight w:val="none"/>
                <w:lang w:val="en-US" w:eastAsia="zh-CN" w:bidi="ar"/>
              </w:rPr>
              <w:t>≥</w:t>
            </w:r>
            <w:r>
              <w:rPr>
                <w:rFonts w:hint="eastAsia" w:ascii="宋体" w:hAnsi="宋体" w:eastAsia="宋体" w:cs="宋体"/>
                <w:bCs/>
                <w:color w:val="auto"/>
                <w:kern w:val="0"/>
                <w:sz w:val="22"/>
                <w:szCs w:val="22"/>
                <w:highlight w:val="none"/>
                <w:lang w:bidi="ar"/>
              </w:rPr>
              <w:t>10个小时</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③能量密度不低于110wh/kg</w:t>
            </w:r>
            <w:r>
              <w:rPr>
                <w:rFonts w:hint="eastAsia" w:ascii="宋体" w:hAnsi="宋体" w:eastAsia="宋体" w:cs="宋体"/>
                <w:bCs/>
                <w:color w:val="auto"/>
                <w:kern w:val="0"/>
                <w:sz w:val="22"/>
                <w:szCs w:val="22"/>
                <w:highlight w:val="none"/>
                <w:lang w:eastAsia="zh-CN" w:bidi="ar"/>
              </w:rPr>
              <w:t>，</w:t>
            </w:r>
            <w:r>
              <w:rPr>
                <w:rFonts w:hint="eastAsia" w:ascii="宋体" w:hAnsi="宋体" w:eastAsia="宋体" w:cs="宋体"/>
                <w:bCs/>
                <w:color w:val="auto"/>
                <w:kern w:val="0"/>
                <w:sz w:val="22"/>
                <w:szCs w:val="22"/>
                <w:highlight w:val="none"/>
                <w:lang w:bidi="ar"/>
              </w:rPr>
              <w:t>持续充放电倍率不低于0.5C</w:t>
            </w:r>
            <w:r>
              <w:rPr>
                <w:rFonts w:hint="eastAsia" w:ascii="宋体" w:hAnsi="宋体" w:eastAsia="宋体" w:cs="宋体"/>
                <w:bCs/>
                <w:color w:val="auto"/>
                <w:kern w:val="0"/>
                <w:sz w:val="22"/>
                <w:szCs w:val="22"/>
                <w:highlight w:val="none"/>
                <w:lang w:eastAsia="zh-CN" w:bidi="ar"/>
              </w:rPr>
              <w:t>，</w:t>
            </w:r>
            <w:r>
              <w:rPr>
                <w:rFonts w:hint="eastAsia" w:ascii="宋体" w:hAnsi="宋体" w:eastAsia="宋体" w:cs="宋体"/>
                <w:bCs/>
                <w:color w:val="auto"/>
                <w:kern w:val="0"/>
                <w:sz w:val="22"/>
                <w:szCs w:val="22"/>
                <w:highlight w:val="none"/>
                <w:lang w:bidi="ar"/>
              </w:rPr>
              <w:t>放电峰值不低于1C，-10℃可持续放电，整体防护等级IP67</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④整体循环次数不低于5000次 （80%SOC）</w:t>
            </w:r>
            <w:r>
              <w:rPr>
                <w:rFonts w:hint="eastAsia" w:ascii="宋体" w:hAnsi="宋体" w:eastAsia="宋体" w:cs="宋体"/>
                <w:bCs/>
                <w:color w:val="auto"/>
                <w:kern w:val="0"/>
                <w:sz w:val="22"/>
                <w:szCs w:val="22"/>
                <w:highlight w:val="none"/>
                <w:lang w:eastAsia="zh-CN" w:bidi="ar"/>
              </w:rPr>
              <w:t>，</w:t>
            </w:r>
            <w:r>
              <w:rPr>
                <w:rFonts w:hint="eastAsia" w:ascii="宋体" w:hAnsi="宋体" w:eastAsia="宋体" w:cs="宋体"/>
                <w:bCs/>
                <w:color w:val="auto"/>
                <w:kern w:val="0"/>
                <w:sz w:val="22"/>
                <w:szCs w:val="22"/>
                <w:highlight w:val="none"/>
                <w:lang w:bidi="ar"/>
              </w:rPr>
              <w:t>自放电不高于3%</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⑤能效不低于95%</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⑥锂电池包支持软开关，外置，带485或CAN通讯</w:t>
            </w:r>
            <w:r>
              <w:rPr>
                <w:rFonts w:hint="eastAsia" w:ascii="宋体" w:hAnsi="宋体" w:eastAsia="宋体" w:cs="宋体"/>
                <w:bCs/>
                <w:color w:val="auto"/>
                <w:kern w:val="0"/>
                <w:sz w:val="22"/>
                <w:szCs w:val="22"/>
                <w:highlight w:val="none"/>
                <w:lang w:eastAsia="zh-CN" w:bidi="ar"/>
              </w:rPr>
              <w:t>。</w:t>
            </w:r>
          </w:p>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⑦提供配套快充装置，支持四个小时快充，带通讯管理</w:t>
            </w:r>
            <w:r>
              <w:rPr>
                <w:rFonts w:hint="eastAsia" w:ascii="宋体" w:hAnsi="宋体" w:eastAsia="宋体" w:cs="宋体"/>
                <w:bCs/>
                <w:color w:val="auto"/>
                <w:kern w:val="0"/>
                <w:sz w:val="22"/>
                <w:szCs w:val="22"/>
                <w:highlight w:val="none"/>
                <w:lang w:eastAsia="zh-CN" w:bidi="ar"/>
              </w:rPr>
              <w:t>。</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449070" cy="1339850"/>
                  <wp:effectExtent l="0" t="0" r="17780" b="1270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2"/>
                          <a:stretch>
                            <a:fillRect/>
                          </a:stretch>
                        </pic:blipFill>
                        <pic:spPr>
                          <a:xfrm>
                            <a:off x="0" y="0"/>
                            <a:ext cx="1449070" cy="1339850"/>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165"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块</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电池降压模块</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岸电插座220v32A----带通讯充电器---72v电池</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591945" cy="1435735"/>
                  <wp:effectExtent l="0" t="0" r="8255" b="1206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3"/>
                          <a:stretch>
                            <a:fillRect/>
                          </a:stretch>
                        </pic:blipFill>
                        <pic:spPr>
                          <a:xfrm>
                            <a:off x="0" y="0"/>
                            <a:ext cx="1591945" cy="1435735"/>
                          </a:xfrm>
                          <a:prstGeom prst="rect">
                            <a:avLst/>
                          </a:prstGeom>
                          <a:noFill/>
                          <a:ln>
                            <a:noFill/>
                          </a:ln>
                        </pic:spPr>
                      </pic:pic>
                    </a:graphicData>
                  </a:graphic>
                </wp:inline>
              </w:drawing>
            </w:r>
          </w:p>
        </w:tc>
        <w:tc>
          <w:tcPr>
            <w:tcW w:w="191" w:type="pct"/>
            <w:noWrap w:val="0"/>
            <w:vAlign w:val="center"/>
          </w:tcPr>
          <w:p>
            <w:pPr>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165" w:type="pct"/>
            <w:noWrap w:val="0"/>
            <w:vAlign w:val="center"/>
          </w:tcPr>
          <w:p>
            <w:pPr>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套</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★可通讯充电器</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带通讯485设备锂电池 36v及带通讯充电器，合计9kwh，安装12v/24v的降压模块。</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2</w:t>
            </w:r>
          </w:p>
        </w:tc>
        <w:tc>
          <w:tcPr>
            <w:tcW w:w="165"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套</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锂电架</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电池底座采用304不锈钢，根据电池外形进行定制固定</w:t>
            </w:r>
            <w:r>
              <w:rPr>
                <w:rFonts w:hint="eastAsia" w:ascii="宋体" w:hAnsi="宋体" w:eastAsia="宋体" w:cs="宋体"/>
                <w:bCs/>
                <w:color w:val="auto"/>
                <w:kern w:val="0"/>
                <w:sz w:val="22"/>
                <w:szCs w:val="22"/>
                <w:highlight w:val="none"/>
                <w:lang w:eastAsia="zh-CN" w:bidi="ar"/>
              </w:rPr>
              <w:t>。</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2041525" cy="158242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4">
                            <a:clrChange>
                              <a:clrFrom>
                                <a:srgbClr val="9DA3AA"/>
                              </a:clrFrom>
                              <a:clrTo>
                                <a:srgbClr val="9DA3AA">
                                  <a:alpha val="0"/>
                                </a:srgbClr>
                              </a:clrTo>
                            </a:clrChange>
                          </a:blip>
                          <a:stretch>
                            <a:fillRect/>
                          </a:stretch>
                        </pic:blipFill>
                        <pic:spPr>
                          <a:xfrm>
                            <a:off x="0" y="0"/>
                            <a:ext cx="2041525" cy="1582420"/>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1</w:t>
            </w:r>
          </w:p>
        </w:tc>
        <w:tc>
          <w:tcPr>
            <w:tcW w:w="165" w:type="pct"/>
            <w:noWrap w:val="0"/>
            <w:vAlign w:val="center"/>
          </w:tcPr>
          <w:p>
            <w:pPr>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台</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w:t>
            </w:r>
          </w:p>
        </w:tc>
        <w:tc>
          <w:tcPr>
            <w:tcW w:w="374" w:type="pc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减震材料</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锂电池底部采用EVA阻燃密封胶条，阻燃等级：HBF</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953895" cy="1323975"/>
                  <wp:effectExtent l="0" t="0" r="8255" b="952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5"/>
                          <a:stretch>
                            <a:fillRect/>
                          </a:stretch>
                        </pic:blipFill>
                        <pic:spPr>
                          <a:xfrm>
                            <a:off x="0" y="0"/>
                            <a:ext cx="1953895" cy="1323975"/>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1</w:t>
            </w:r>
          </w:p>
        </w:tc>
        <w:tc>
          <w:tcPr>
            <w:tcW w:w="165" w:type="pct"/>
            <w:noWrap w:val="0"/>
            <w:vAlign w:val="center"/>
          </w:tcPr>
          <w:p>
            <w:pPr>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套</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restar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电气材料</w:t>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374" w:type="pc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电气安装材料</w:t>
            </w:r>
          </w:p>
        </w:tc>
        <w:tc>
          <w:tcPr>
            <w:tcW w:w="1412" w:type="pct"/>
            <w:noWrap w:val="0"/>
            <w:vAlign w:val="center"/>
          </w:tcPr>
          <w:p>
            <w:pPr>
              <w:spacing w:line="580" w:lineRule="exact"/>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载具套/线槽/接头</w:t>
            </w:r>
          </w:p>
        </w:tc>
        <w:tc>
          <w:tcPr>
            <w:tcW w:w="1698" w:type="pct"/>
            <w:noWrap w:val="0"/>
            <w:vAlign w:val="center"/>
          </w:tcPr>
          <w:p>
            <w:pPr>
              <w:spacing w:line="580" w:lineRule="exact"/>
              <w:rPr>
                <w:rFonts w:hint="eastAsia" w:ascii="宋体" w:hAnsi="宋体" w:eastAsia="宋体" w:cs="宋体"/>
                <w:color w:val="auto"/>
                <w:sz w:val="22"/>
                <w:szCs w:val="22"/>
                <w:highlight w:val="none"/>
              </w:rPr>
            </w:pPr>
          </w:p>
        </w:tc>
        <w:tc>
          <w:tcPr>
            <w:tcW w:w="191" w:type="pc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1</w:t>
            </w:r>
          </w:p>
        </w:tc>
        <w:tc>
          <w:tcPr>
            <w:tcW w:w="165" w:type="pct"/>
            <w:noWrap w:val="0"/>
            <w:vAlign w:val="center"/>
          </w:tcPr>
          <w:p>
            <w:pPr>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组</w:t>
            </w:r>
          </w:p>
        </w:tc>
        <w:tc>
          <w:tcPr>
            <w:tcW w:w="715" w:type="pct"/>
            <w:vMerge w:val="restart"/>
            <w:noWrap w:val="0"/>
            <w:vAlign w:val="center"/>
          </w:tcPr>
          <w:p>
            <w:pPr>
              <w:pStyle w:val="10"/>
              <w:ind w:firstLine="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用于载具配电及设备、电路和系统的维护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374" w:type="pc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电池底座固定材料</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color w:val="auto"/>
                <w:highlight w:val="none"/>
                <w:lang w:val="en-US" w:eastAsia="zh-CN"/>
              </w:rPr>
              <w:t>304</w:t>
            </w:r>
            <w:r>
              <w:rPr>
                <w:rFonts w:hint="eastAsia" w:ascii="宋体" w:hAnsi="宋体" w:eastAsia="宋体" w:cs="宋体"/>
                <w:color w:val="auto"/>
                <w:sz w:val="22"/>
                <w:szCs w:val="22"/>
                <w:highlight w:val="none"/>
              </w:rPr>
              <w:t>不锈钢基座，可拆卸</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p>
        </w:tc>
        <w:tc>
          <w:tcPr>
            <w:tcW w:w="191" w:type="pc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kern w:val="0"/>
                <w:sz w:val="22"/>
                <w:szCs w:val="22"/>
                <w:highlight w:val="none"/>
                <w:lang w:bidi="ar"/>
              </w:rPr>
              <w:t>1</w:t>
            </w:r>
          </w:p>
        </w:tc>
        <w:tc>
          <w:tcPr>
            <w:tcW w:w="165" w:type="pct"/>
            <w:noWrap w:val="0"/>
            <w:vAlign w:val="center"/>
          </w:tcPr>
          <w:p>
            <w:pPr>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组</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restart"/>
            <w:noWrap w:val="0"/>
            <w:vAlign w:val="center"/>
          </w:tcPr>
          <w:p>
            <w:pPr>
              <w:widowControl/>
              <w:jc w:val="center"/>
              <w:textAlignment w:val="bottom"/>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sz w:val="22"/>
                <w:szCs w:val="22"/>
                <w:highlight w:val="none"/>
              </w:rPr>
              <w:t>消防材料</w:t>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374" w:type="pct"/>
            <w:noWrap w:val="0"/>
            <w:vAlign w:val="center"/>
          </w:tcPr>
          <w:p>
            <w:pPr>
              <w:widowControl/>
              <w:jc w:val="center"/>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嵌入壁挂火灾报警器控制材料</w:t>
            </w:r>
          </w:p>
        </w:tc>
        <w:tc>
          <w:tcPr>
            <w:tcW w:w="1412" w:type="pct"/>
            <w:noWrap w:val="0"/>
            <w:vAlign w:val="center"/>
          </w:tcPr>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电源：</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220V/DC24V（DC24V/DC24V）</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操作温度-15℃-55℃</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内部功耗5W </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相对湿度5%至95%间，非冷凝状态</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外壳材料塑料 </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外壳颜色黑色 </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开孔尺寸：160mm*111mm</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外型尺寸：</w:t>
            </w:r>
            <w:r>
              <w:rPr>
                <w:rFonts w:hint="eastAsia" w:ascii="宋体" w:hAnsi="宋体" w:eastAsia="宋体" w:cs="宋体"/>
                <w:color w:val="auto"/>
                <w:sz w:val="22"/>
                <w:szCs w:val="22"/>
                <w:highlight w:val="none"/>
                <w:lang w:val="en-US" w:eastAsia="zh-CN"/>
              </w:rPr>
              <w:t>长（180~200mm）*宽（120~150mm）*高（50~80mm）</w:t>
            </w:r>
          </w:p>
        </w:tc>
        <w:tc>
          <w:tcPr>
            <w:tcW w:w="1698" w:type="pct"/>
            <w:noWrap w:val="0"/>
            <w:vAlign w:val="center"/>
          </w:tcPr>
          <w:p>
            <w:pPr>
              <w:widowControl/>
              <w:jc w:val="left"/>
              <w:textAlignment w:val="bottom"/>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drawing>
                <wp:inline distT="0" distB="0" distL="114300" distR="114300">
                  <wp:extent cx="3071495" cy="1187450"/>
                  <wp:effectExtent l="0" t="0" r="14605" b="1270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6"/>
                          <a:stretch>
                            <a:fillRect/>
                          </a:stretch>
                        </pic:blipFill>
                        <pic:spPr>
                          <a:xfrm>
                            <a:off x="0" y="0"/>
                            <a:ext cx="3071495" cy="1187450"/>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1</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套</w:t>
            </w:r>
          </w:p>
        </w:tc>
        <w:tc>
          <w:tcPr>
            <w:tcW w:w="715" w:type="pct"/>
            <w:vMerge w:val="restart"/>
            <w:noWrap w:val="0"/>
            <w:vAlign w:val="center"/>
          </w:tcPr>
          <w:p>
            <w:pPr>
              <w:pStyle w:val="10"/>
              <w:ind w:firstLine="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用于消防安全作业的材料补充提升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trPr>
        <w:tc>
          <w:tcPr>
            <w:tcW w:w="251" w:type="pct"/>
            <w:vMerge w:val="continue"/>
            <w:noWrap w:val="0"/>
            <w:vAlign w:val="center"/>
          </w:tcPr>
          <w:p>
            <w:pPr>
              <w:widowControl/>
              <w:jc w:val="center"/>
              <w:textAlignment w:val="bottom"/>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374" w:type="pct"/>
            <w:noWrap w:val="0"/>
            <w:vAlign w:val="center"/>
          </w:tcPr>
          <w:p>
            <w:pPr>
              <w:widowControl/>
              <w:jc w:val="center"/>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★温感探测器</w:t>
            </w:r>
          </w:p>
        </w:tc>
        <w:tc>
          <w:tcPr>
            <w:tcW w:w="1412" w:type="pct"/>
            <w:noWrap w:val="0"/>
            <w:vAlign w:val="center"/>
          </w:tcPr>
          <w:p>
            <w:pPr>
              <w:widowControl/>
              <w:jc w:val="left"/>
              <w:textAlignment w:val="bottom"/>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数量3600Pcs，工作电压DC8.5~35V,静态电流≤90µA，报警电流10~130mA,外壳防护等级IP44</w:t>
            </w:r>
            <w:r>
              <w:rPr>
                <w:rFonts w:hint="eastAsia" w:ascii="宋体" w:hAnsi="宋体" w:eastAsia="宋体" w:cs="宋体"/>
                <w:bCs/>
                <w:color w:val="auto"/>
                <w:kern w:val="0"/>
                <w:sz w:val="22"/>
                <w:szCs w:val="22"/>
                <w:highlight w:val="none"/>
                <w:lang w:eastAsia="zh-CN" w:bidi="ar"/>
              </w:rPr>
              <w:t>。</w:t>
            </w:r>
          </w:p>
        </w:tc>
        <w:tc>
          <w:tcPr>
            <w:tcW w:w="1698" w:type="pct"/>
            <w:noWrap w:val="0"/>
            <w:vAlign w:val="center"/>
          </w:tcPr>
          <w:p>
            <w:pPr>
              <w:widowControl/>
              <w:jc w:val="left"/>
              <w:textAlignment w:val="bottom"/>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drawing>
                <wp:inline distT="0" distB="0" distL="114300" distR="114300">
                  <wp:extent cx="1721485" cy="1180465"/>
                  <wp:effectExtent l="0" t="0" r="12065" b="63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7"/>
                          <a:stretch>
                            <a:fillRect/>
                          </a:stretch>
                        </pic:blipFill>
                        <pic:spPr>
                          <a:xfrm>
                            <a:off x="0" y="0"/>
                            <a:ext cx="1721485" cy="1180465"/>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2</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个</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★烟感探测器</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eastAsia="zh-CN" w:bidi="ar"/>
              </w:rPr>
            </w:pPr>
            <w:r>
              <w:rPr>
                <w:rFonts w:hint="eastAsia" w:ascii="宋体" w:hAnsi="宋体" w:eastAsia="宋体" w:cs="宋体"/>
                <w:bCs/>
                <w:color w:val="auto"/>
                <w:kern w:val="0"/>
                <w:sz w:val="22"/>
                <w:szCs w:val="22"/>
                <w:highlight w:val="none"/>
                <w:lang w:bidi="ar"/>
              </w:rPr>
              <w:t>工作电压15-32VDC，最大电流6.5mA（LED常亮），工作温度：-10℃~50℃，报警温度57.2℃，工作湿度不超过95%，高</w:t>
            </w:r>
            <w:r>
              <w:rPr>
                <w:rFonts w:hint="eastAsia" w:ascii="宋体" w:hAnsi="宋体" w:eastAsia="宋体" w:cs="宋体"/>
                <w:bCs/>
                <w:color w:val="auto"/>
                <w:kern w:val="0"/>
                <w:sz w:val="22"/>
                <w:szCs w:val="22"/>
                <w:highlight w:val="none"/>
                <w:lang w:val="en-US" w:eastAsia="zh-CN" w:bidi="ar"/>
              </w:rPr>
              <w:t>50~60</w:t>
            </w:r>
            <w:r>
              <w:rPr>
                <w:rFonts w:hint="eastAsia" w:ascii="宋体" w:hAnsi="宋体" w:eastAsia="宋体" w:cs="宋体"/>
                <w:bCs/>
                <w:color w:val="auto"/>
                <w:kern w:val="0"/>
                <w:sz w:val="22"/>
                <w:szCs w:val="22"/>
                <w:highlight w:val="none"/>
                <w:lang w:bidi="ar"/>
              </w:rPr>
              <w:t>mm</w:t>
            </w:r>
            <w:r>
              <w:rPr>
                <w:rFonts w:hint="eastAsia" w:ascii="宋体" w:hAnsi="宋体" w:eastAsia="宋体" w:cs="宋体"/>
                <w:bCs/>
                <w:color w:val="auto"/>
                <w:kern w:val="0"/>
                <w:sz w:val="22"/>
                <w:szCs w:val="22"/>
                <w:highlight w:val="none"/>
                <w:lang w:val="en-US" w:eastAsia="zh-CN" w:bidi="ar"/>
              </w:rPr>
              <w:t>之间</w:t>
            </w:r>
            <w:r>
              <w:rPr>
                <w:rFonts w:hint="eastAsia" w:ascii="宋体" w:hAnsi="宋体" w:eastAsia="宋体" w:cs="宋体"/>
                <w:bCs/>
                <w:color w:val="auto"/>
                <w:kern w:val="0"/>
                <w:sz w:val="22"/>
                <w:szCs w:val="22"/>
                <w:highlight w:val="none"/>
                <w:lang w:eastAsia="zh-CN" w:bidi="ar"/>
              </w:rPr>
              <w:t>，</w:t>
            </w:r>
            <w:r>
              <w:rPr>
                <w:rFonts w:hint="eastAsia" w:ascii="宋体" w:hAnsi="宋体" w:eastAsia="宋体" w:cs="宋体"/>
                <w:bCs/>
                <w:color w:val="auto"/>
                <w:kern w:val="0"/>
                <w:sz w:val="22"/>
                <w:szCs w:val="22"/>
                <w:highlight w:val="none"/>
                <w:lang w:bidi="ar"/>
              </w:rPr>
              <w:t>直径</w:t>
            </w:r>
            <w:r>
              <w:rPr>
                <w:rFonts w:hint="eastAsia" w:ascii="宋体" w:hAnsi="宋体" w:eastAsia="宋体" w:cs="宋体"/>
                <w:bCs/>
                <w:color w:val="auto"/>
                <w:kern w:val="0"/>
                <w:sz w:val="22"/>
                <w:szCs w:val="22"/>
                <w:highlight w:val="none"/>
                <w:lang w:val="en-US" w:eastAsia="zh-CN" w:bidi="ar"/>
              </w:rPr>
              <w:t>100~110</w:t>
            </w:r>
            <w:r>
              <w:rPr>
                <w:rFonts w:hint="eastAsia" w:ascii="宋体" w:hAnsi="宋体" w:eastAsia="宋体" w:cs="宋体"/>
                <w:bCs/>
                <w:color w:val="auto"/>
                <w:kern w:val="0"/>
                <w:sz w:val="22"/>
                <w:szCs w:val="22"/>
                <w:highlight w:val="none"/>
                <w:lang w:bidi="ar"/>
              </w:rPr>
              <w:t>mm</w:t>
            </w:r>
            <w:r>
              <w:rPr>
                <w:rFonts w:hint="eastAsia" w:ascii="宋体" w:hAnsi="宋体" w:eastAsia="宋体" w:cs="宋体"/>
                <w:bCs/>
                <w:color w:val="auto"/>
                <w:kern w:val="0"/>
                <w:sz w:val="22"/>
                <w:szCs w:val="22"/>
                <w:highlight w:val="none"/>
                <w:lang w:val="en-US" w:eastAsia="zh-CN" w:bidi="ar"/>
              </w:rPr>
              <w:t>之间</w:t>
            </w:r>
            <w:r>
              <w:rPr>
                <w:rFonts w:hint="eastAsia" w:ascii="宋体" w:hAnsi="宋体" w:eastAsia="宋体" w:cs="宋体"/>
                <w:bCs/>
                <w:color w:val="auto"/>
                <w:kern w:val="0"/>
                <w:sz w:val="22"/>
                <w:szCs w:val="22"/>
                <w:highlight w:val="none"/>
                <w:lang w:eastAsia="zh-CN" w:bidi="ar"/>
              </w:rPr>
              <w:t>。</w:t>
            </w:r>
          </w:p>
        </w:tc>
        <w:tc>
          <w:tcPr>
            <w:tcW w:w="1698"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2</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个</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vMerge w:val="restart"/>
            <w:noWrap w:val="0"/>
            <w:vAlign w:val="center"/>
          </w:tcPr>
          <w:p>
            <w:pPr>
              <w:pStyle w:val="10"/>
              <w:ind w:firstLine="0"/>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4</w:t>
            </w:r>
          </w:p>
        </w:tc>
        <w:tc>
          <w:tcPr>
            <w:tcW w:w="374" w:type="pct"/>
            <w:vMerge w:val="restar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气凝胶</w:t>
            </w:r>
            <w:r>
              <w:rPr>
                <w:rFonts w:hint="eastAsia" w:ascii="宋体" w:hAnsi="宋体" w:eastAsia="宋体" w:cs="宋体"/>
                <w:bCs/>
                <w:color w:val="auto"/>
                <w:kern w:val="0"/>
                <w:sz w:val="22"/>
                <w:szCs w:val="22"/>
                <w:highlight w:val="none"/>
                <w:lang w:bidi="ar"/>
              </w:rPr>
              <w:t>灭火器</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QRR0.15GW/S-HPD</w:t>
            </w:r>
          </w:p>
        </w:tc>
        <w:tc>
          <w:tcPr>
            <w:tcW w:w="1698" w:type="pct"/>
            <w:vMerge w:val="restar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drawing>
                <wp:inline distT="0" distB="0" distL="114300" distR="114300">
                  <wp:extent cx="2876550" cy="1205865"/>
                  <wp:effectExtent l="0" t="0" r="0" b="1333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8"/>
                          <a:stretch>
                            <a:fillRect/>
                          </a:stretch>
                        </pic:blipFill>
                        <pic:spPr>
                          <a:xfrm>
                            <a:off x="0" y="0"/>
                            <a:ext cx="2876550" cy="1205865"/>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kern w:val="0"/>
                <w:sz w:val="22"/>
                <w:szCs w:val="22"/>
                <w:highlight w:val="none"/>
                <w:lang w:val="en-US" w:eastAsia="zh-CN" w:bidi="ar"/>
              </w:rPr>
            </w:pPr>
            <w:r>
              <w:rPr>
                <w:rFonts w:hint="eastAsia" w:ascii="宋体" w:hAnsi="宋体" w:eastAsia="宋体" w:cs="宋体"/>
                <w:bCs/>
                <w:color w:val="auto"/>
                <w:kern w:val="0"/>
                <w:sz w:val="22"/>
                <w:szCs w:val="22"/>
                <w:highlight w:val="none"/>
                <w:lang w:val="en-US" w:eastAsia="zh-CN" w:bidi="ar"/>
              </w:rPr>
              <w:t>2</w:t>
            </w:r>
          </w:p>
        </w:tc>
        <w:tc>
          <w:tcPr>
            <w:tcW w:w="165" w:type="pct"/>
            <w:noWrap w:val="0"/>
            <w:vAlign w:val="center"/>
          </w:tcPr>
          <w:p>
            <w:pPr>
              <w:pStyle w:val="10"/>
              <w:ind w:firstLine="0"/>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套</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vMerge w:val="continue"/>
            <w:noWrap w:val="0"/>
            <w:vAlign w:val="center"/>
          </w:tcPr>
          <w:p>
            <w:pPr>
              <w:pStyle w:val="10"/>
              <w:ind w:firstLine="0"/>
              <w:rPr>
                <w:rFonts w:hint="eastAsia" w:ascii="宋体" w:hAnsi="宋体" w:eastAsia="宋体" w:cs="宋体"/>
                <w:bCs/>
                <w:color w:val="auto"/>
                <w:sz w:val="22"/>
                <w:szCs w:val="22"/>
                <w:highlight w:val="none"/>
              </w:rPr>
            </w:pPr>
          </w:p>
        </w:tc>
        <w:tc>
          <w:tcPr>
            <w:tcW w:w="374"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QRR0.1GW/S-HPD</w:t>
            </w:r>
          </w:p>
        </w:tc>
        <w:tc>
          <w:tcPr>
            <w:tcW w:w="1698" w:type="pct"/>
            <w:vMerge w:val="continue"/>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widowControl/>
              <w:jc w:val="center"/>
              <w:textAlignment w:val="center"/>
              <w:rPr>
                <w:rFonts w:hint="eastAsia" w:ascii="宋体" w:hAnsi="宋体" w:eastAsia="宋体" w:cs="宋体"/>
                <w:bCs/>
                <w:color w:val="auto"/>
                <w:kern w:val="0"/>
                <w:sz w:val="22"/>
                <w:szCs w:val="22"/>
                <w:highlight w:val="none"/>
                <w:lang w:val="en-US" w:eastAsia="zh-CN" w:bidi="ar"/>
              </w:rPr>
            </w:pPr>
            <w:r>
              <w:rPr>
                <w:rFonts w:hint="eastAsia" w:ascii="宋体" w:hAnsi="宋体" w:eastAsia="宋体" w:cs="宋体"/>
                <w:bCs/>
                <w:color w:val="auto"/>
                <w:kern w:val="0"/>
                <w:sz w:val="22"/>
                <w:szCs w:val="22"/>
                <w:highlight w:val="none"/>
                <w:lang w:val="en-US" w:eastAsia="zh-CN" w:bidi="ar"/>
              </w:rPr>
              <w:t>3</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套</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restart"/>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bCs/>
                <w:color w:val="auto"/>
                <w:sz w:val="22"/>
                <w:szCs w:val="22"/>
                <w:highlight w:val="none"/>
              </w:rPr>
              <w:t>吊装运输材料</w:t>
            </w: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吊带</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3吨3米高强度柔性吊带</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543560" cy="2010410"/>
                  <wp:effectExtent l="0" t="0" r="8890" b="889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9"/>
                          <a:stretch>
                            <a:fillRect/>
                          </a:stretch>
                        </pic:blipFill>
                        <pic:spPr>
                          <a:xfrm>
                            <a:off x="0" y="0"/>
                            <a:ext cx="543560" cy="2010410"/>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4</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w:t>
            </w:r>
          </w:p>
        </w:tc>
        <w:tc>
          <w:tcPr>
            <w:tcW w:w="715" w:type="pct"/>
            <w:vMerge w:val="restart"/>
            <w:noWrap w:val="0"/>
            <w:vAlign w:val="center"/>
          </w:tcPr>
          <w:p>
            <w:pPr>
              <w:pStyle w:val="10"/>
              <w:ind w:firstLine="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用于加强起放、搬运及各项吊装作业的功能效率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卸扣</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采用5吨弓形卸扣</w:t>
            </w:r>
          </w:p>
        </w:tc>
        <w:tc>
          <w:tcPr>
            <w:tcW w:w="1698" w:type="pct"/>
            <w:noWrap w:val="0"/>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2315845" cy="1386840"/>
                  <wp:effectExtent l="0" t="0" r="8255" b="381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0"/>
                          <a:stretch>
                            <a:fillRect/>
                          </a:stretch>
                        </pic:blipFill>
                        <pic:spPr>
                          <a:xfrm>
                            <a:off x="0" y="0"/>
                            <a:ext cx="2315845" cy="1386840"/>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4</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个</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托架</w:t>
            </w:r>
          </w:p>
        </w:tc>
        <w:tc>
          <w:tcPr>
            <w:tcW w:w="1412"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t>长宽高3m*2m*0.5m，材质：q235黑铁方矩管，外表喷漆，载重：5吨。可以安装4个轮子（2定向2万向）</w:t>
            </w:r>
          </w:p>
        </w:tc>
        <w:tc>
          <w:tcPr>
            <w:tcW w:w="1698" w:type="pct"/>
            <w:noWrap w:val="0"/>
            <w:vAlign w:val="center"/>
          </w:tcPr>
          <w:p>
            <w:pPr>
              <w:widowControl/>
              <w:jc w:val="center"/>
              <w:textAlignment w:val="center"/>
              <w:rPr>
                <w:rFonts w:hint="eastAsia" w:ascii="宋体" w:hAnsi="宋体" w:eastAsia="宋体" w:cs="宋体"/>
                <w:color w:val="auto"/>
                <w:sz w:val="22"/>
                <w:szCs w:val="22"/>
                <w:highlight w:val="none"/>
              </w:rPr>
            </w:pP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1</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个</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Merge w:val="continue"/>
            <w:noWrap w:val="0"/>
            <w:vAlign w:val="center"/>
          </w:tcPr>
          <w:p>
            <w:pPr>
              <w:widowControl/>
              <w:jc w:val="center"/>
              <w:textAlignment w:val="center"/>
              <w:rPr>
                <w:rFonts w:hint="eastAsia" w:ascii="宋体" w:hAnsi="宋体" w:eastAsia="宋体" w:cs="宋体"/>
                <w:bCs/>
                <w:color w:val="auto"/>
                <w:kern w:val="0"/>
                <w:sz w:val="22"/>
                <w:szCs w:val="22"/>
                <w:highlight w:val="none"/>
                <w:lang w:bidi="ar"/>
              </w:rPr>
            </w:pPr>
          </w:p>
        </w:tc>
        <w:tc>
          <w:tcPr>
            <w:tcW w:w="191"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w:t>
            </w:r>
          </w:p>
        </w:tc>
        <w:tc>
          <w:tcPr>
            <w:tcW w:w="374"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捆绑轧带</w:t>
            </w:r>
          </w:p>
        </w:tc>
        <w:tc>
          <w:tcPr>
            <w:tcW w:w="1412" w:type="pct"/>
            <w:noWrap w:val="0"/>
            <w:vAlign w:val="center"/>
          </w:tcPr>
          <w:p>
            <w:pPr>
              <w:widowControl/>
              <w:jc w:val="left"/>
              <w:textAlignment w:val="center"/>
              <w:rPr>
                <w:rFonts w:hint="default" w:ascii="宋体" w:hAnsi="宋体" w:eastAsia="宋体" w:cs="宋体"/>
                <w:bCs/>
                <w:color w:val="auto"/>
                <w:kern w:val="0"/>
                <w:sz w:val="22"/>
                <w:szCs w:val="22"/>
                <w:highlight w:val="none"/>
                <w:lang w:val="en-US" w:eastAsia="zh-CN" w:bidi="ar"/>
              </w:rPr>
            </w:pPr>
            <w:r>
              <w:rPr>
                <w:rFonts w:hint="eastAsia" w:ascii="宋体" w:hAnsi="宋体" w:eastAsia="宋体" w:cs="宋体"/>
                <w:bCs/>
                <w:color w:val="auto"/>
                <w:kern w:val="0"/>
                <w:sz w:val="22"/>
                <w:szCs w:val="22"/>
                <w:highlight w:val="none"/>
                <w:lang w:bidi="ar"/>
              </w:rPr>
              <w:t>可以松绑式扎带</w:t>
            </w:r>
            <w:r>
              <w:rPr>
                <w:rFonts w:hint="eastAsia"/>
                <w:color w:val="auto"/>
                <w:highlight w:val="none"/>
                <w:lang w:eastAsia="zh-CN"/>
              </w:rPr>
              <w:t>。</w:t>
            </w:r>
            <w:r>
              <w:rPr>
                <w:rFonts w:hint="eastAsia"/>
                <w:color w:val="auto"/>
                <w:highlight w:val="none"/>
                <w:lang w:val="en-US" w:eastAsia="zh-CN"/>
              </w:rPr>
              <w:t>长500mm*宽7.2mm</w:t>
            </w:r>
          </w:p>
        </w:tc>
        <w:tc>
          <w:tcPr>
            <w:tcW w:w="1698" w:type="pct"/>
            <w:noWrap w:val="0"/>
            <w:vAlign w:val="center"/>
          </w:tcPr>
          <w:p>
            <w:pPr>
              <w:widowControl/>
              <w:jc w:val="left"/>
              <w:textAlignment w:val="center"/>
              <w:rPr>
                <w:rFonts w:hint="eastAsia" w:ascii="宋体" w:hAnsi="宋体" w:eastAsia="宋体" w:cs="宋体"/>
                <w:bCs/>
                <w:color w:val="auto"/>
                <w:kern w:val="0"/>
                <w:sz w:val="22"/>
                <w:szCs w:val="22"/>
                <w:highlight w:val="none"/>
                <w:lang w:bidi="ar"/>
              </w:rPr>
            </w:pPr>
            <w:r>
              <w:rPr>
                <w:rFonts w:hint="eastAsia" w:ascii="宋体" w:hAnsi="宋体" w:eastAsia="宋体" w:cs="宋体"/>
                <w:color w:val="auto"/>
                <w:sz w:val="22"/>
                <w:szCs w:val="22"/>
                <w:highlight w:val="none"/>
              </w:rPr>
              <w:drawing>
                <wp:inline distT="0" distB="0" distL="114300" distR="114300">
                  <wp:extent cx="1701800" cy="1398905"/>
                  <wp:effectExtent l="0" t="0" r="12700" b="1079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1"/>
                          <a:stretch>
                            <a:fillRect/>
                          </a:stretch>
                        </pic:blipFill>
                        <pic:spPr>
                          <a:xfrm>
                            <a:off x="0" y="0"/>
                            <a:ext cx="1701800" cy="1398905"/>
                          </a:xfrm>
                          <a:prstGeom prst="rect">
                            <a:avLst/>
                          </a:prstGeom>
                          <a:noFill/>
                          <a:ln>
                            <a:noFill/>
                          </a:ln>
                        </pic:spPr>
                      </pic:pic>
                    </a:graphicData>
                  </a:graphic>
                </wp:inline>
              </w:drawing>
            </w:r>
          </w:p>
        </w:tc>
        <w:tc>
          <w:tcPr>
            <w:tcW w:w="191" w:type="pct"/>
            <w:noWrap w:val="0"/>
            <w:vAlign w:val="center"/>
          </w:tcPr>
          <w:p>
            <w:pPr>
              <w:widowControl/>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bidi="ar"/>
              </w:rPr>
              <w:t>4</w:t>
            </w:r>
          </w:p>
        </w:tc>
        <w:tc>
          <w:tcPr>
            <w:tcW w:w="165" w:type="pct"/>
            <w:noWrap w:val="0"/>
            <w:vAlign w:val="center"/>
          </w:tcPr>
          <w:p>
            <w:pPr>
              <w:pStyle w:val="10"/>
              <w:ind w:firstLine="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w:t>
            </w:r>
          </w:p>
        </w:tc>
        <w:tc>
          <w:tcPr>
            <w:tcW w:w="715" w:type="pct"/>
            <w:vMerge w:val="continue"/>
            <w:noWrap w:val="0"/>
            <w:vAlign w:val="center"/>
          </w:tcPr>
          <w:p>
            <w:pPr>
              <w:pStyle w:val="10"/>
              <w:ind w:firstLine="0"/>
              <w:jc w:val="both"/>
              <w:rPr>
                <w:rFonts w:hint="eastAsia" w:ascii="宋体" w:hAnsi="宋体" w:eastAsia="宋体" w:cs="宋体"/>
                <w:bCs/>
                <w:color w:val="auto"/>
                <w:sz w:val="22"/>
                <w:szCs w:val="22"/>
                <w:highlight w:val="none"/>
              </w:rPr>
            </w:pPr>
          </w:p>
        </w:tc>
      </w:tr>
    </w:tbl>
    <w:p>
      <w:pPr>
        <w:snapToGrid w:val="0"/>
        <w:spacing w:line="360" w:lineRule="exact"/>
        <w:rPr>
          <w:rFonts w:hint="eastAsia" w:ascii="宋体" w:hAnsi="宋体" w:cs="宋体"/>
          <w:b/>
          <w:bCs/>
          <w:color w:val="auto"/>
          <w:spacing w:val="-6"/>
          <w:sz w:val="22"/>
          <w:highlight w:val="none"/>
        </w:rPr>
      </w:pPr>
      <w:r>
        <w:rPr>
          <w:rFonts w:hint="eastAsia" w:ascii="宋体" w:hAnsi="宋体" w:cs="宋体"/>
          <w:b/>
          <w:bCs/>
          <w:color w:val="auto"/>
          <w:spacing w:val="-6"/>
          <w:sz w:val="22"/>
          <w:highlight w:val="none"/>
        </w:rPr>
        <w:t>注：本项目核心产品为“</w:t>
      </w:r>
      <w:r>
        <w:rPr>
          <w:rFonts w:hint="eastAsia" w:ascii="宋体" w:hAnsi="宋体" w:eastAsia="宋体" w:cs="宋体"/>
          <w:b/>
          <w:bCs/>
          <w:color w:val="auto"/>
          <w:spacing w:val="-6"/>
          <w:sz w:val="22"/>
          <w:highlight w:val="none"/>
          <w:u w:val="single"/>
        </w:rPr>
        <w:t xml:space="preserve"> 电机 </w:t>
      </w:r>
      <w:r>
        <w:rPr>
          <w:rFonts w:hint="eastAsia" w:ascii="宋体" w:hAnsi="宋体" w:cs="宋体"/>
          <w:b/>
          <w:bCs/>
          <w:color w:val="auto"/>
          <w:spacing w:val="-6"/>
          <w:sz w:val="22"/>
          <w:highlight w:val="none"/>
          <w:u w:val="single"/>
        </w:rPr>
        <w:t xml:space="preserve"> </w:t>
      </w:r>
      <w:r>
        <w:rPr>
          <w:rFonts w:hint="eastAsia" w:ascii="宋体" w:hAnsi="宋体" w:cs="宋体"/>
          <w:b/>
          <w:bCs/>
          <w:color w:val="auto"/>
          <w:spacing w:val="-6"/>
          <w:sz w:val="22"/>
          <w:highlight w:val="none"/>
        </w:rPr>
        <w:t>”。</w:t>
      </w:r>
    </w:p>
    <w:p>
      <w:pPr>
        <w:snapToGrid w:val="0"/>
        <w:spacing w:line="360" w:lineRule="exact"/>
        <w:rPr>
          <w:rFonts w:hint="eastAsia" w:ascii="宋体" w:hAnsi="宋体" w:cs="宋体"/>
          <w:b/>
          <w:bCs/>
          <w:color w:val="auto"/>
          <w:spacing w:val="-6"/>
          <w:sz w:val="22"/>
          <w:highlight w:val="none"/>
        </w:rPr>
      </w:pPr>
      <w:r>
        <w:rPr>
          <w:rFonts w:hint="eastAsia" w:ascii="宋体" w:hAnsi="宋体" w:cs="宋体"/>
          <w:b/>
          <w:bCs/>
          <w:color w:val="auto"/>
          <w:spacing w:val="-6"/>
          <w:sz w:val="22"/>
          <w:highlight w:val="none"/>
        </w:rPr>
        <w:t>四、其他</w:t>
      </w:r>
    </w:p>
    <w:p>
      <w:pPr>
        <w:snapToGrid w:val="0"/>
        <w:spacing w:line="360" w:lineRule="exact"/>
        <w:ind w:firstLine="418" w:firstLineChars="200"/>
        <w:jc w:val="left"/>
        <w:rPr>
          <w:rFonts w:hint="eastAsia" w:ascii="宋体" w:hAnsi="宋体" w:cs="宋体"/>
          <w:b/>
          <w:bCs/>
          <w:color w:val="auto"/>
          <w:spacing w:val="-6"/>
          <w:sz w:val="22"/>
          <w:highlight w:val="none"/>
        </w:rPr>
      </w:pPr>
      <w:r>
        <w:rPr>
          <w:rFonts w:hint="eastAsia" w:ascii="宋体" w:hAnsi="宋体" w:cs="宋体"/>
          <w:b/>
          <w:bCs/>
          <w:color w:val="auto"/>
          <w:spacing w:val="-6"/>
          <w:sz w:val="22"/>
          <w:highlight w:val="none"/>
        </w:rPr>
        <w:t>1.除招标文件中所明确的采购需求外，欢迎其他能满足本项目采购需求且性所明确采购需求的产品参加投标报价。同时在采购需求偏离表中作出详细对比说明。</w:t>
      </w:r>
    </w:p>
    <w:p>
      <w:pPr>
        <w:snapToGrid w:val="0"/>
        <w:spacing w:line="360" w:lineRule="exact"/>
        <w:ind w:firstLine="418" w:firstLineChars="200"/>
        <w:jc w:val="left"/>
        <w:rPr>
          <w:rFonts w:hint="eastAsia" w:ascii="宋体" w:hAnsi="宋体" w:cs="宋体"/>
          <w:b/>
          <w:bCs/>
          <w:color w:val="auto"/>
          <w:spacing w:val="-6"/>
          <w:sz w:val="22"/>
          <w:highlight w:val="none"/>
        </w:rPr>
      </w:pPr>
      <w:r>
        <w:rPr>
          <w:rFonts w:hint="eastAsia" w:ascii="宋体" w:hAnsi="宋体" w:cs="宋体"/>
          <w:b/>
          <w:bCs/>
          <w:color w:val="auto"/>
          <w:spacing w:val="-6"/>
          <w:sz w:val="22"/>
          <w:highlight w:val="none"/>
        </w:rPr>
        <w:t>2.带“▲且加下划线”的有关技术和商务条款为实质性条款，投标人必须做出实质性响应，否则视为投标无效。</w:t>
      </w:r>
    </w:p>
    <w:p>
      <w:pPr>
        <w:snapToGrid w:val="0"/>
        <w:spacing w:line="360" w:lineRule="exact"/>
        <w:ind w:firstLine="418" w:firstLineChars="200"/>
        <w:jc w:val="left"/>
        <w:rPr>
          <w:rFonts w:hint="eastAsia" w:ascii="宋体" w:hAnsi="宋体" w:cs="宋体"/>
          <w:b/>
          <w:bCs/>
          <w:color w:val="auto"/>
          <w:spacing w:val="-6"/>
          <w:sz w:val="22"/>
          <w:highlight w:val="none"/>
        </w:rPr>
      </w:pPr>
      <w:r>
        <w:rPr>
          <w:rFonts w:hint="eastAsia" w:ascii="宋体" w:hAnsi="宋体" w:cs="宋体"/>
          <w:b/>
          <w:bCs/>
          <w:color w:val="auto"/>
          <w:spacing w:val="-6"/>
          <w:sz w:val="22"/>
          <w:highlight w:val="none"/>
        </w:rPr>
        <w:t>3.如技术要求中未特别注明需执行的国家相关标准、行业标准、地方标准或者其他标准、规范，则统一执行最新标准、规范。</w:t>
      </w:r>
    </w:p>
    <w:p>
      <w:pPr>
        <w:snapToGrid w:val="0"/>
        <w:spacing w:line="360" w:lineRule="exact"/>
        <w:ind w:firstLine="418" w:firstLineChars="200"/>
        <w:jc w:val="left"/>
        <w:rPr>
          <w:rFonts w:hint="eastAsia" w:ascii="宋体" w:hAnsi="宋体" w:cs="宋体"/>
          <w:b/>
          <w:color w:val="auto"/>
          <w:sz w:val="22"/>
          <w:highlight w:val="none"/>
        </w:rPr>
      </w:pPr>
      <w:r>
        <w:rPr>
          <w:rFonts w:hint="eastAsia" w:ascii="宋体" w:hAnsi="宋体" w:cs="宋体"/>
          <w:b/>
          <w:bCs/>
          <w:color w:val="auto"/>
          <w:spacing w:val="-6"/>
          <w:sz w:val="22"/>
          <w:highlight w:val="none"/>
        </w:rPr>
        <w:t>4.技术部分中需要提供的证明材料有有效期的必须在有效期内，否则视为未提供。</w:t>
      </w:r>
    </w:p>
    <w:p>
      <w:bookmarkStart w:id="0" w:name="_GoBack"/>
      <w:bookmarkEnd w:id="0"/>
    </w:p>
    <w:sectPr>
      <w:footerReference r:id="rId3" w:type="default"/>
      <w:pgSz w:w="16838" w:h="11906" w:orient="landscape"/>
      <w:pgMar w:top="1080" w:right="1440" w:bottom="108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AC1384"/>
    <w:multiLevelType w:val="singleLevel"/>
    <w:tmpl w:val="6AAC138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4YzYzZTBmMDJmY2IyMTkxMWJmYzMwZTMwMTgwOTcifQ=="/>
  </w:docVars>
  <w:rsids>
    <w:rsidRoot w:val="00000000"/>
    <w:rsid w:val="4FCB7540"/>
    <w:rsid w:val="72EE6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semiHidden/>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after="120"/>
    </w:pPr>
  </w:style>
  <w:style w:type="paragraph" w:styleId="3">
    <w:name w:val="annotation text"/>
    <w:basedOn w:val="1"/>
    <w:autoRedefine/>
    <w:qFormat/>
    <w:uiPriority w:val="0"/>
    <w:pPr>
      <w:jc w:val="left"/>
    </w:pPr>
  </w:style>
  <w:style w:type="paragraph" w:styleId="4">
    <w:name w:val="Plain Text"/>
    <w:basedOn w:val="1"/>
    <w:autoRedefine/>
    <w:qFormat/>
    <w:uiPriority w:val="0"/>
    <w:pPr>
      <w:widowControl/>
      <w:overflowPunct w:val="0"/>
      <w:autoSpaceDE w:val="0"/>
      <w:autoSpaceDN w:val="0"/>
      <w:adjustRightInd w:val="0"/>
      <w:jc w:val="left"/>
      <w:textAlignment w:val="baseline"/>
    </w:pPr>
    <w:rPr>
      <w:rFonts w:ascii="宋体" w:hAnsi="Courier New"/>
      <w:sz w:val="24"/>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customStyle="1" w:styleId="9">
    <w:name w:val="正文文字"/>
    <w:basedOn w:val="1"/>
    <w:autoRedefine/>
    <w:qFormat/>
    <w:uiPriority w:val="0"/>
    <w:pPr>
      <w:widowControl/>
      <w:spacing w:line="952" w:lineRule="atLeast"/>
      <w:ind w:firstLine="419"/>
    </w:pPr>
    <w:rPr>
      <w:b/>
      <w:color w:val="000000"/>
      <w:sz w:val="44"/>
      <w:u w:val="none" w:color="000000"/>
    </w:rPr>
  </w:style>
  <w:style w:type="paragraph" w:customStyle="1" w:styleId="10">
    <w:name w:val="表格"/>
    <w:basedOn w:val="1"/>
    <w:autoRedefine/>
    <w:qFormat/>
    <w:uiPriority w:val="0"/>
    <w:pPr>
      <w:ind w:firstLine="640"/>
      <w:jc w:val="center"/>
    </w:pPr>
    <w:rPr>
      <w:rFonts w:ascii="仿宋" w:hAnsi="仿宋"/>
      <w:sz w:val="28"/>
      <w:szCs w:val="28"/>
    </w:rPr>
  </w:style>
  <w:style w:type="character" w:customStyle="1" w:styleId="11">
    <w:name w:val="A1"/>
    <w:autoRedefine/>
    <w:unhideWhenUsed/>
    <w:qFormat/>
    <w:uiPriority w:val="99"/>
    <w:rPr>
      <w:rFonts w:hint="eastAsia"/>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檭埖箶渫</cp:lastModifiedBy>
  <dcterms:modified xsi:type="dcterms:W3CDTF">2024-04-28T07:02:33Z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13CE9F1A300E4F3885610BE64C7E61CE_12</vt:lpwstr>
  </property>
</Properties>
</file>