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textAlignment w:val="bottom"/>
        <w:rPr>
          <w:rFonts w:ascii="宋体" w:hAnsi="宋体" w:cs="楷体"/>
          <w:b/>
          <w:bCs/>
          <w:color w:val="auto"/>
          <w:spacing w:val="120"/>
          <w:sz w:val="72"/>
          <w:szCs w:val="72"/>
          <w:highlight w:val="none"/>
        </w:rPr>
      </w:pPr>
    </w:p>
    <w:p>
      <w:pPr>
        <w:autoSpaceDE w:val="0"/>
        <w:autoSpaceDN w:val="0"/>
        <w:spacing w:line="500" w:lineRule="atLeast"/>
        <w:jc w:val="center"/>
        <w:textAlignment w:val="bottom"/>
        <w:rPr>
          <w:rFonts w:ascii="宋体" w:hAnsi="宋体" w:cs="楷体"/>
          <w:bCs/>
          <w:color w:val="auto"/>
          <w:sz w:val="84"/>
          <w:szCs w:val="84"/>
          <w:highlight w:val="none"/>
        </w:rPr>
      </w:pPr>
      <w:r>
        <w:rPr>
          <w:rFonts w:hint="eastAsia" w:ascii="宋体" w:hAnsi="宋体" w:cs="楷体"/>
          <w:b/>
          <w:bCs/>
          <w:color w:val="auto"/>
          <w:spacing w:val="120"/>
          <w:sz w:val="84"/>
          <w:szCs w:val="84"/>
          <w:highlight w:val="none"/>
        </w:rPr>
        <w:t>温州市国有企业</w:t>
      </w:r>
    </w:p>
    <w:p>
      <w:pPr>
        <w:spacing w:line="400" w:lineRule="atLeast"/>
        <w:jc w:val="center"/>
        <w:rPr>
          <w:rFonts w:ascii="宋体" w:hAnsi="宋体" w:cs="楷体"/>
          <w:b/>
          <w:color w:val="auto"/>
          <w:sz w:val="52"/>
          <w:highlight w:val="none"/>
        </w:rPr>
      </w:pPr>
    </w:p>
    <w:p>
      <w:pPr>
        <w:tabs>
          <w:tab w:val="left" w:pos="6660"/>
        </w:tabs>
        <w:spacing w:line="400" w:lineRule="atLeast"/>
        <w:jc w:val="center"/>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autoSpaceDE w:val="0"/>
        <w:autoSpaceDN w:val="0"/>
        <w:spacing w:line="500" w:lineRule="atLeast"/>
        <w:jc w:val="center"/>
        <w:textAlignment w:val="bottom"/>
        <w:rPr>
          <w:rFonts w:ascii="宋体" w:hAnsi="宋体" w:cs="楷体"/>
          <w:b/>
          <w:color w:val="auto"/>
          <w:sz w:val="72"/>
          <w:szCs w:val="72"/>
          <w:highlight w:val="none"/>
        </w:rPr>
      </w:pPr>
      <w:r>
        <w:rPr>
          <w:rFonts w:hint="eastAsia" w:ascii="宋体" w:hAnsi="宋体" w:cs="楷体"/>
          <w:b/>
          <w:bCs/>
          <w:color w:val="auto"/>
          <w:sz w:val="72"/>
          <w:szCs w:val="72"/>
          <w:highlight w:val="none"/>
        </w:rPr>
        <w:t>采 购 文 件</w:t>
      </w:r>
    </w:p>
    <w:p>
      <w:pPr>
        <w:spacing w:line="400" w:lineRule="atLeast"/>
        <w:jc w:val="center"/>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tabs>
          <w:tab w:val="left" w:pos="4860"/>
        </w:tabs>
        <w:spacing w:line="600" w:lineRule="exact"/>
        <w:ind w:right="1143" w:firstLine="2224" w:firstLineChars="616"/>
        <w:jc w:val="left"/>
        <w:rPr>
          <w:rFonts w:hint="default" w:ascii="宋体" w:hAnsi="宋体" w:eastAsia="宋体" w:cs="楷体"/>
          <w:b/>
          <w:color w:val="auto"/>
          <w:sz w:val="28"/>
          <w:szCs w:val="28"/>
          <w:highlight w:val="none"/>
          <w:lang w:val="en-US" w:eastAsia="zh-CN"/>
        </w:rPr>
      </w:pPr>
      <w:r>
        <w:rPr>
          <w:rFonts w:hint="eastAsia" w:ascii="宋体" w:hAnsi="宋体" w:cs="楷体"/>
          <w:b/>
          <w:color w:val="auto"/>
          <w:spacing w:val="40"/>
          <w:sz w:val="28"/>
          <w:szCs w:val="28"/>
          <w:highlight w:val="none"/>
        </w:rPr>
        <w:t>项目编号：</w:t>
      </w:r>
      <w:r>
        <w:rPr>
          <w:rFonts w:hint="eastAsia" w:ascii="宋体" w:hAnsi="宋体" w:cs="楷体"/>
          <w:b/>
          <w:color w:val="auto"/>
          <w:spacing w:val="40"/>
          <w:sz w:val="28"/>
          <w:szCs w:val="28"/>
          <w:highlight w:val="none"/>
          <w:lang w:val="en-US" w:eastAsia="zh-CN"/>
        </w:rPr>
        <w:t>GCJSFGSCG-2023037</w:t>
      </w:r>
    </w:p>
    <w:p>
      <w:pPr>
        <w:tabs>
          <w:tab w:val="left" w:pos="2100"/>
          <w:tab w:val="left" w:pos="4860"/>
        </w:tabs>
        <w:spacing w:line="600" w:lineRule="exact"/>
        <w:ind w:left="4509" w:leftChars="1050" w:right="1143" w:hanging="2304" w:hangingChars="638"/>
        <w:jc w:val="left"/>
        <w:rPr>
          <w:rFonts w:hint="eastAsia" w:ascii="宋体" w:hAnsi="宋体" w:eastAsia="宋体" w:cs="楷体"/>
          <w:b/>
          <w:color w:val="auto"/>
          <w:sz w:val="28"/>
          <w:szCs w:val="28"/>
          <w:highlight w:val="none"/>
          <w:lang w:val="en-US" w:eastAsia="zh-CN"/>
        </w:rPr>
      </w:pPr>
      <w:r>
        <w:rPr>
          <w:rFonts w:hint="eastAsia" w:ascii="宋体" w:hAnsi="宋体" w:cs="楷体"/>
          <w:b/>
          <w:color w:val="auto"/>
          <w:spacing w:val="40"/>
          <w:sz w:val="28"/>
          <w:szCs w:val="28"/>
          <w:highlight w:val="none"/>
        </w:rPr>
        <w:t>项目名称：</w:t>
      </w:r>
      <w:r>
        <w:rPr>
          <w:rFonts w:hint="eastAsia" w:ascii="宋体" w:hAnsi="宋体" w:cs="楷体"/>
          <w:b/>
          <w:color w:val="auto"/>
          <w:sz w:val="28"/>
          <w:szCs w:val="28"/>
          <w:highlight w:val="none"/>
          <w:lang w:eastAsia="zh-CN"/>
        </w:rPr>
        <w:t>钢纤维混凝土井盖系列年度供应商</w:t>
      </w:r>
    </w:p>
    <w:p>
      <w:pPr>
        <w:tabs>
          <w:tab w:val="left" w:pos="4860"/>
        </w:tabs>
        <w:spacing w:line="600" w:lineRule="exact"/>
        <w:ind w:right="1143" w:firstLine="2224" w:firstLineChars="616"/>
        <w:jc w:val="left"/>
        <w:rPr>
          <w:rFonts w:ascii="宋体" w:hAnsi="宋体" w:cs="楷体"/>
          <w:b/>
          <w:color w:val="auto"/>
          <w:spacing w:val="40"/>
          <w:sz w:val="28"/>
          <w:szCs w:val="28"/>
          <w:highlight w:val="none"/>
        </w:rPr>
      </w:pPr>
      <w:r>
        <w:rPr>
          <w:rFonts w:hint="eastAsia" w:ascii="宋体" w:hAnsi="宋体" w:cs="楷体"/>
          <w:b/>
          <w:color w:val="auto"/>
          <w:spacing w:val="40"/>
          <w:sz w:val="28"/>
          <w:szCs w:val="28"/>
          <w:highlight w:val="none"/>
        </w:rPr>
        <w:t>采购方式：公 开 招 标</w:t>
      </w:r>
    </w:p>
    <w:p>
      <w:pPr>
        <w:spacing w:line="400" w:lineRule="atLeast"/>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spacing w:line="400" w:lineRule="atLeast"/>
        <w:jc w:val="center"/>
        <w:rPr>
          <w:rFonts w:ascii="宋体" w:hAnsi="宋体" w:cs="楷体"/>
          <w:b/>
          <w:color w:val="auto"/>
          <w:sz w:val="52"/>
          <w:highlight w:val="none"/>
        </w:rPr>
      </w:pPr>
    </w:p>
    <w:p>
      <w:pPr>
        <w:spacing w:line="600" w:lineRule="exact"/>
        <w:ind w:firstLine="2159" w:firstLineChars="717"/>
        <w:rPr>
          <w:rFonts w:ascii="宋体" w:hAnsi="宋体" w:cs="楷体"/>
          <w:b/>
          <w:color w:val="auto"/>
          <w:sz w:val="30"/>
          <w:szCs w:val="30"/>
          <w:highlight w:val="none"/>
        </w:rPr>
      </w:pPr>
    </w:p>
    <w:p>
      <w:pPr>
        <w:pStyle w:val="2"/>
        <w:ind w:firstLine="200"/>
        <w:rPr>
          <w:rFonts w:ascii="宋体" w:hAnsi="宋体" w:eastAsia="宋体"/>
          <w:color w:val="auto"/>
          <w:highlight w:val="none"/>
        </w:rPr>
      </w:pPr>
    </w:p>
    <w:p>
      <w:pPr>
        <w:spacing w:line="600" w:lineRule="exact"/>
        <w:ind w:firstLine="2159" w:firstLineChars="717"/>
        <w:rPr>
          <w:rFonts w:hint="eastAsia" w:ascii="宋体" w:hAnsi="宋体" w:eastAsia="宋体" w:cs="楷体"/>
          <w:b/>
          <w:color w:val="auto"/>
          <w:sz w:val="30"/>
          <w:szCs w:val="30"/>
          <w:highlight w:val="none"/>
          <w:lang w:eastAsia="zh-CN"/>
        </w:rPr>
      </w:pPr>
      <w:r>
        <w:rPr>
          <w:rFonts w:hint="eastAsia" w:ascii="宋体" w:hAnsi="宋体" w:cs="楷体"/>
          <w:b/>
          <w:color w:val="auto"/>
          <w:sz w:val="30"/>
          <w:szCs w:val="30"/>
          <w:highlight w:val="none"/>
        </w:rPr>
        <w:t>采 购 人：</w:t>
      </w:r>
      <w:r>
        <w:rPr>
          <w:rFonts w:hint="eastAsia" w:ascii="宋体" w:hAnsi="宋体" w:cs="楷体"/>
          <w:b/>
          <w:color w:val="auto"/>
          <w:sz w:val="30"/>
          <w:szCs w:val="30"/>
          <w:highlight w:val="none"/>
          <w:lang w:eastAsia="zh-CN"/>
        </w:rPr>
        <w:t>温州市水务集团有限公司工程建设分公司</w:t>
      </w:r>
    </w:p>
    <w:p>
      <w:pPr>
        <w:spacing w:line="600" w:lineRule="exact"/>
        <w:ind w:firstLine="2159" w:firstLineChars="717"/>
        <w:rPr>
          <w:rFonts w:ascii="宋体" w:hAnsi="宋体" w:cs="楷体"/>
          <w:b/>
          <w:color w:val="auto"/>
          <w:spacing w:val="40"/>
          <w:sz w:val="30"/>
          <w:szCs w:val="30"/>
          <w:highlight w:val="none"/>
        </w:rPr>
      </w:pPr>
      <w:r>
        <w:rPr>
          <w:rFonts w:hint="eastAsia" w:ascii="宋体" w:hAnsi="宋体" w:cs="楷体"/>
          <w:b/>
          <w:color w:val="auto"/>
          <w:sz w:val="30"/>
          <w:szCs w:val="30"/>
          <w:highlight w:val="none"/>
        </w:rPr>
        <w:t>采购代理：温州市智信招标代理有限公司</w:t>
      </w:r>
    </w:p>
    <w:p>
      <w:pPr>
        <w:spacing w:line="600" w:lineRule="exact"/>
        <w:jc w:val="center"/>
        <w:rPr>
          <w:rFonts w:ascii="宋体" w:hAnsi="宋体" w:cs="楷体"/>
          <w:b/>
          <w:color w:val="auto"/>
          <w:spacing w:val="40"/>
          <w:sz w:val="30"/>
          <w:szCs w:val="30"/>
          <w:highlight w:val="none"/>
        </w:rPr>
      </w:pPr>
      <w:r>
        <w:rPr>
          <w:rFonts w:hint="eastAsia" w:ascii="宋体" w:hAnsi="宋体" w:cs="楷体"/>
          <w:b/>
          <w:color w:val="auto"/>
          <w:spacing w:val="40"/>
          <w:sz w:val="30"/>
          <w:szCs w:val="30"/>
          <w:highlight w:val="none"/>
        </w:rPr>
        <w:t>二〇二三年</w:t>
      </w:r>
      <w:r>
        <w:rPr>
          <w:rFonts w:hint="eastAsia" w:ascii="宋体" w:hAnsi="宋体" w:cs="楷体"/>
          <w:b/>
          <w:color w:val="auto"/>
          <w:spacing w:val="40"/>
          <w:sz w:val="30"/>
          <w:szCs w:val="30"/>
          <w:highlight w:val="none"/>
          <w:lang w:val="en-US" w:eastAsia="zh-CN"/>
        </w:rPr>
        <w:t>十二</w:t>
      </w:r>
      <w:r>
        <w:rPr>
          <w:rFonts w:hint="eastAsia" w:ascii="宋体" w:hAnsi="宋体" w:cs="楷体"/>
          <w:b/>
          <w:color w:val="auto"/>
          <w:spacing w:val="40"/>
          <w:sz w:val="30"/>
          <w:szCs w:val="30"/>
          <w:highlight w:val="none"/>
        </w:rPr>
        <w:t>月</w:t>
      </w:r>
    </w:p>
    <w:p>
      <w:pPr>
        <w:spacing w:line="600" w:lineRule="exact"/>
        <w:jc w:val="center"/>
        <w:rPr>
          <w:rFonts w:ascii="宋体" w:hAnsi="宋体" w:cs="楷体"/>
          <w:b/>
          <w:bCs/>
          <w:color w:val="auto"/>
          <w:sz w:val="32"/>
          <w:szCs w:val="32"/>
          <w:highlight w:val="none"/>
        </w:rPr>
        <w:sectPr>
          <w:headerReference r:id="rId4" w:type="first"/>
          <w:headerReference r:id="rId3" w:type="default"/>
          <w:footerReference r:id="rId5" w:type="default"/>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pPr>
        <w:spacing w:line="600" w:lineRule="exact"/>
        <w:jc w:val="center"/>
        <w:rPr>
          <w:rFonts w:ascii="宋体" w:hAnsi="宋体" w:cs="楷体"/>
          <w:b/>
          <w:bCs/>
          <w:color w:val="auto"/>
          <w:sz w:val="32"/>
          <w:szCs w:val="32"/>
          <w:highlight w:val="none"/>
        </w:rPr>
      </w:pPr>
      <w:r>
        <w:rPr>
          <w:rFonts w:hint="eastAsia" w:ascii="宋体" w:hAnsi="宋体" w:cs="楷体"/>
          <w:b/>
          <w:bCs/>
          <w:color w:val="auto"/>
          <w:sz w:val="32"/>
          <w:szCs w:val="32"/>
          <w:highlight w:val="none"/>
        </w:rPr>
        <w:t>目    录</w:t>
      </w:r>
    </w:p>
    <w:p>
      <w:pPr>
        <w:spacing w:line="600" w:lineRule="exact"/>
        <w:jc w:val="center"/>
        <w:rPr>
          <w:rFonts w:ascii="宋体" w:hAnsi="宋体" w:cs="楷体"/>
          <w:b/>
          <w:bCs/>
          <w:color w:val="auto"/>
          <w:sz w:val="32"/>
          <w:szCs w:val="32"/>
          <w:highlight w:val="none"/>
        </w:rPr>
      </w:pP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TOC \o "1-3" \h \z \u </w:instrText>
      </w:r>
      <w:r>
        <w:rPr>
          <w:rFonts w:hint="eastAsia" w:ascii="宋体" w:hAnsi="宋体" w:eastAsia="宋体"/>
          <w:color w:val="auto"/>
          <w:highlight w:val="none"/>
        </w:rPr>
        <w:fldChar w:fldCharType="separate"/>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_Toc8244 </w:instrText>
      </w:r>
      <w:r>
        <w:rPr>
          <w:rFonts w:hint="eastAsia" w:ascii="宋体" w:hAnsi="宋体" w:eastAsia="宋体"/>
          <w:color w:val="auto"/>
          <w:highlight w:val="none"/>
        </w:rPr>
        <w:fldChar w:fldCharType="separate"/>
      </w:r>
      <w:r>
        <w:rPr>
          <w:rFonts w:hint="eastAsia" w:ascii="宋体" w:hAnsi="宋体" w:eastAsia="宋体" w:cs="楷体"/>
          <w:color w:val="auto"/>
          <w:szCs w:val="32"/>
          <w:highlight w:val="none"/>
          <w:lang w:eastAsia="zh-CN"/>
        </w:rPr>
        <w:t>温州市公用集团</w:t>
      </w:r>
      <w:r>
        <w:rPr>
          <w:rFonts w:hint="eastAsia" w:ascii="宋体" w:hAnsi="宋体" w:eastAsia="宋体" w:cs="楷体"/>
          <w:color w:val="auto"/>
          <w:szCs w:val="32"/>
          <w:highlight w:val="none"/>
        </w:rPr>
        <w:t>所属</w:t>
      </w:r>
      <w:r>
        <w:rPr>
          <w:rFonts w:hint="eastAsia" w:ascii="宋体" w:hAnsi="宋体" w:eastAsia="宋体" w:cs="楷体"/>
          <w:color w:val="auto"/>
          <w:szCs w:val="32"/>
          <w:highlight w:val="none"/>
          <w:lang w:eastAsia="zh-CN"/>
        </w:rPr>
        <w:t>温州市水务集团有限公司工程建设分公司</w:t>
      </w:r>
      <w:r>
        <w:rPr>
          <w:rFonts w:hint="eastAsia" w:ascii="宋体" w:hAnsi="宋体" w:eastAsia="宋体" w:cs="楷体"/>
          <w:color w:val="auto"/>
          <w:szCs w:val="32"/>
          <w:highlight w:val="none"/>
        </w:rPr>
        <w:t>关于</w:t>
      </w:r>
      <w:r>
        <w:rPr>
          <w:rFonts w:hint="eastAsia" w:ascii="宋体" w:hAnsi="宋体" w:eastAsia="宋体" w:cs="楷体"/>
          <w:color w:val="auto"/>
          <w:szCs w:val="32"/>
          <w:highlight w:val="none"/>
          <w:lang w:eastAsia="zh-CN"/>
        </w:rPr>
        <w:t>钢纤维混凝土井盖系列年度供应商</w:t>
      </w:r>
      <w:r>
        <w:rPr>
          <w:rFonts w:hint="eastAsia" w:ascii="宋体" w:hAnsi="宋体" w:eastAsia="宋体" w:cs="楷体"/>
          <w:color w:val="auto"/>
          <w:szCs w:val="32"/>
          <w:highlight w:val="none"/>
        </w:rPr>
        <w:t>项目（其他类）的采购公告</w:t>
      </w:r>
      <w:r>
        <w:rPr>
          <w:color w:val="auto"/>
          <w:highlight w:val="none"/>
        </w:rPr>
        <w:tab/>
      </w:r>
      <w:r>
        <w:rPr>
          <w:color w:val="auto"/>
          <w:highlight w:val="none"/>
        </w:rPr>
        <w:fldChar w:fldCharType="begin"/>
      </w:r>
      <w:r>
        <w:rPr>
          <w:color w:val="auto"/>
          <w:highlight w:val="none"/>
        </w:rPr>
        <w:instrText xml:space="preserve"> PAGEREF _Toc8244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_Toc27247 </w:instrText>
      </w:r>
      <w:r>
        <w:rPr>
          <w:rFonts w:hint="eastAsia" w:ascii="宋体" w:hAnsi="宋体" w:eastAsia="宋体"/>
          <w:color w:val="auto"/>
          <w:highlight w:val="none"/>
        </w:rPr>
        <w:fldChar w:fldCharType="separate"/>
      </w:r>
      <w:r>
        <w:rPr>
          <w:rFonts w:hint="eastAsia" w:ascii="宋体" w:hAnsi="宋体" w:eastAsia="宋体" w:cs="楷体"/>
          <w:color w:val="auto"/>
          <w:szCs w:val="32"/>
          <w:highlight w:val="none"/>
          <w:lang w:eastAsia="zh-CN"/>
        </w:rPr>
        <w:t>温州市公用集团</w:t>
      </w:r>
      <w:r>
        <w:rPr>
          <w:rFonts w:hint="eastAsia" w:ascii="宋体" w:hAnsi="宋体" w:eastAsia="宋体" w:cs="楷体"/>
          <w:color w:val="auto"/>
          <w:szCs w:val="32"/>
          <w:highlight w:val="none"/>
        </w:rPr>
        <w:t>所属</w:t>
      </w:r>
      <w:r>
        <w:rPr>
          <w:rFonts w:hint="eastAsia" w:ascii="宋体" w:hAnsi="宋体" w:eastAsia="宋体" w:cs="楷体"/>
          <w:color w:val="auto"/>
          <w:szCs w:val="32"/>
          <w:highlight w:val="none"/>
          <w:lang w:eastAsia="zh-CN"/>
        </w:rPr>
        <w:t>温州市水务集团有限公司工程建设分公司</w:t>
      </w:r>
      <w:r>
        <w:rPr>
          <w:rFonts w:hint="eastAsia" w:ascii="宋体" w:hAnsi="宋体" w:eastAsia="宋体" w:cs="楷体"/>
          <w:color w:val="auto"/>
          <w:szCs w:val="32"/>
          <w:highlight w:val="none"/>
        </w:rPr>
        <w:t>关于</w:t>
      </w:r>
      <w:r>
        <w:rPr>
          <w:rFonts w:hint="eastAsia" w:ascii="宋体" w:hAnsi="宋体" w:eastAsia="宋体" w:cs="楷体"/>
          <w:color w:val="auto"/>
          <w:szCs w:val="32"/>
          <w:highlight w:val="none"/>
          <w:lang w:eastAsia="zh-CN"/>
        </w:rPr>
        <w:t>钢纤维混凝土井盖系列年度供应商</w:t>
      </w:r>
      <w:r>
        <w:rPr>
          <w:rFonts w:hint="eastAsia" w:ascii="宋体" w:hAnsi="宋体" w:eastAsia="宋体" w:cs="楷体"/>
          <w:color w:val="auto"/>
          <w:szCs w:val="32"/>
          <w:highlight w:val="none"/>
        </w:rPr>
        <w:t>项目（其他类）的征求意见公示</w:t>
      </w:r>
      <w:r>
        <w:rPr>
          <w:color w:val="auto"/>
          <w:highlight w:val="none"/>
        </w:rPr>
        <w:tab/>
      </w:r>
      <w:r>
        <w:rPr>
          <w:color w:val="auto"/>
          <w:highlight w:val="none"/>
        </w:rPr>
        <w:fldChar w:fldCharType="begin"/>
      </w:r>
      <w:r>
        <w:rPr>
          <w:color w:val="auto"/>
          <w:highlight w:val="none"/>
        </w:rPr>
        <w:instrText xml:space="preserve"> PAGEREF _Toc27247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_Toc1139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_Toc7928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_Toc7928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_Toc23974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一、  说明</w:t>
      </w:r>
      <w:r>
        <w:rPr>
          <w:color w:val="auto"/>
          <w:highlight w:val="none"/>
        </w:rPr>
        <w:tab/>
      </w:r>
      <w:r>
        <w:rPr>
          <w:color w:val="auto"/>
          <w:highlight w:val="none"/>
        </w:rPr>
        <w:fldChar w:fldCharType="begin"/>
      </w:r>
      <w:r>
        <w:rPr>
          <w:color w:val="auto"/>
          <w:highlight w:val="none"/>
        </w:rPr>
        <w:instrText xml:space="preserve"> PAGEREF _Toc23974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_Toc24344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二、 采购文件</w:t>
      </w:r>
      <w:r>
        <w:rPr>
          <w:color w:val="auto"/>
          <w:highlight w:val="none"/>
        </w:rPr>
        <w:tab/>
      </w:r>
      <w:r>
        <w:rPr>
          <w:color w:val="auto"/>
          <w:highlight w:val="none"/>
        </w:rPr>
        <w:fldChar w:fldCharType="begin"/>
      </w:r>
      <w:r>
        <w:rPr>
          <w:color w:val="auto"/>
          <w:highlight w:val="none"/>
        </w:rPr>
        <w:instrText xml:space="preserve"> PAGEREF _Toc24344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_Toc10688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_Toc10688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_Toc1662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_Toc1662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_Toc32023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五、 开标和评标</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_Toc27135 </w:instrText>
      </w:r>
      <w:r>
        <w:rPr>
          <w:rFonts w:hint="eastAsia" w:ascii="宋体" w:hAnsi="宋体" w:eastAsia="宋体"/>
          <w:color w:val="auto"/>
          <w:highlight w:val="none"/>
        </w:rPr>
        <w:fldChar w:fldCharType="separate"/>
      </w:r>
      <w:r>
        <w:rPr>
          <w:rFonts w:hint="eastAsia" w:ascii="宋体" w:hAnsi="宋体" w:eastAsia="宋体" w:cs="楷体"/>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_Toc27135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_Toc2973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第二部分   合同格式及合同主要条款</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_Toc11462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第三部分   投标文件格式</w:t>
      </w:r>
      <w:r>
        <w:rPr>
          <w:color w:val="auto"/>
          <w:highlight w:val="none"/>
        </w:rPr>
        <w:tab/>
      </w:r>
      <w:r>
        <w:rPr>
          <w:color w:val="auto"/>
          <w:highlight w:val="none"/>
        </w:rPr>
        <w:fldChar w:fldCharType="begin"/>
      </w:r>
      <w:r>
        <w:rPr>
          <w:color w:val="auto"/>
          <w:highlight w:val="none"/>
        </w:rPr>
        <w:instrText xml:space="preserve"> PAGEREF _Toc11462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_Toc14294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第四部分   采购内容及要求</w:t>
      </w:r>
      <w:r>
        <w:rPr>
          <w:color w:val="auto"/>
          <w:highlight w:val="none"/>
        </w:rPr>
        <w:tab/>
      </w:r>
      <w:r>
        <w:rPr>
          <w:color w:val="auto"/>
          <w:highlight w:val="none"/>
        </w:rPr>
        <w:fldChar w:fldCharType="begin"/>
      </w:r>
      <w:r>
        <w:rPr>
          <w:color w:val="auto"/>
          <w:highlight w:val="none"/>
        </w:rPr>
        <w:instrText xml:space="preserve"> PAGEREF _Toc14294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638"/>
          <w:tab w:val="clear" w:pos="9628"/>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_Toc17257 </w:instrText>
      </w:r>
      <w:r>
        <w:rPr>
          <w:rFonts w:hint="eastAsia" w:ascii="宋体" w:hAnsi="宋体" w:eastAsia="宋体"/>
          <w:color w:val="auto"/>
          <w:highlight w:val="none"/>
        </w:rPr>
        <w:fldChar w:fldCharType="separate"/>
      </w:r>
      <w:r>
        <w:rPr>
          <w:rFonts w:hint="eastAsia" w:ascii="宋体" w:hAnsi="宋体" w:eastAsia="宋体" w:cs="楷体"/>
          <w:color w:val="auto"/>
          <w:szCs w:val="36"/>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_Toc17257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olor w:val="auto"/>
          <w:highlight w:val="none"/>
        </w:rPr>
        <w:fldChar w:fldCharType="end"/>
      </w:r>
    </w:p>
    <w:p>
      <w:pPr>
        <w:pStyle w:val="40"/>
        <w:tabs>
          <w:tab w:val="right" w:leader="dot" w:pos="9972"/>
          <w:tab w:val="clear" w:pos="9628"/>
        </w:tabs>
        <w:rPr>
          <w:rFonts w:ascii="宋体" w:hAnsi="宋体" w:eastAsia="宋体" w:cs="楷体"/>
          <w:b/>
          <w:bCs w:val="0"/>
          <w:color w:val="auto"/>
          <w:sz w:val="22"/>
          <w:szCs w:val="22"/>
          <w:highlight w:val="none"/>
        </w:rPr>
      </w:pPr>
      <w:r>
        <w:rPr>
          <w:rFonts w:hint="eastAsia" w:ascii="宋体" w:hAnsi="宋体" w:eastAsia="宋体"/>
          <w:color w:val="auto"/>
          <w:highlight w:val="none"/>
        </w:rPr>
        <w:fldChar w:fldCharType="end"/>
      </w:r>
    </w:p>
    <w:p>
      <w:pPr>
        <w:spacing w:line="560" w:lineRule="exact"/>
        <w:rPr>
          <w:rFonts w:ascii="宋体" w:hAnsi="宋体" w:cs="楷体"/>
          <w:b/>
          <w:bCs/>
          <w:color w:val="auto"/>
          <w:sz w:val="22"/>
          <w:szCs w:val="22"/>
          <w:highlight w:val="none"/>
        </w:rPr>
      </w:pPr>
      <w:r>
        <w:rPr>
          <w:rFonts w:hint="eastAsia" w:ascii="宋体" w:hAnsi="宋体" w:cs="楷体"/>
          <w:b/>
          <w:bCs/>
          <w:color w:val="auto"/>
          <w:sz w:val="22"/>
          <w:szCs w:val="22"/>
          <w:highlight w:val="none"/>
        </w:rPr>
        <w:t>注：采购文件中加“▲”且加下划线的条款，为采购的实质性要求和条件，着重提醒各投标人注意，并认真查看采购文件中的每一个条款及要求，因误读采购文件而造成的后果，采购人概不负责。</w:t>
      </w:r>
    </w:p>
    <w:p>
      <w:pPr>
        <w:spacing w:line="560" w:lineRule="exact"/>
        <w:rPr>
          <w:rFonts w:ascii="宋体" w:hAnsi="宋体" w:cs="楷体"/>
          <w:b/>
          <w:bCs/>
          <w:color w:val="auto"/>
          <w:sz w:val="22"/>
          <w:szCs w:val="22"/>
          <w:highlight w:val="none"/>
        </w:rPr>
      </w:pPr>
    </w:p>
    <w:p>
      <w:pPr>
        <w:spacing w:line="480" w:lineRule="auto"/>
        <w:jc w:val="right"/>
        <w:rPr>
          <w:rFonts w:ascii="宋体" w:hAnsi="宋体" w:cs="楷体"/>
          <w:color w:val="auto"/>
          <w:sz w:val="22"/>
          <w:szCs w:val="22"/>
          <w:highlight w:val="none"/>
        </w:rPr>
      </w:pPr>
    </w:p>
    <w:p>
      <w:pPr>
        <w:pStyle w:val="2"/>
        <w:ind w:firstLine="200"/>
        <w:rPr>
          <w:rFonts w:hint="eastAsia" w:ascii="宋体" w:hAnsi="宋体" w:eastAsia="宋体"/>
          <w:color w:val="auto"/>
          <w:highlight w:val="none"/>
        </w:rPr>
      </w:pPr>
    </w:p>
    <w:p>
      <w:pPr>
        <w:pStyle w:val="6"/>
        <w:spacing w:line="360" w:lineRule="auto"/>
        <w:rPr>
          <w:rFonts w:ascii="宋体" w:hAnsi="宋体" w:eastAsia="宋体" w:cs="楷体"/>
          <w:color w:val="auto"/>
          <w:sz w:val="32"/>
          <w:szCs w:val="32"/>
          <w:highlight w:val="none"/>
        </w:rPr>
      </w:pPr>
      <w:bookmarkStart w:id="0" w:name="_Toc434310670"/>
      <w:bookmarkStart w:id="1" w:name="_Toc8244"/>
      <w:bookmarkStart w:id="2" w:name="_Toc462130148"/>
      <w:bookmarkStart w:id="3" w:name="_Toc15028"/>
      <w:r>
        <w:rPr>
          <w:rFonts w:hint="eastAsia" w:ascii="宋体" w:hAnsi="宋体" w:eastAsia="宋体" w:cs="楷体"/>
          <w:color w:val="auto"/>
          <w:sz w:val="32"/>
          <w:szCs w:val="32"/>
          <w:highlight w:val="none"/>
          <w:lang w:eastAsia="zh-CN"/>
        </w:rPr>
        <w:t>温州市公用集团</w:t>
      </w:r>
      <w:r>
        <w:rPr>
          <w:rFonts w:hint="eastAsia" w:ascii="宋体" w:hAnsi="宋体" w:eastAsia="宋体" w:cs="楷体"/>
          <w:color w:val="auto"/>
          <w:sz w:val="32"/>
          <w:szCs w:val="32"/>
          <w:highlight w:val="none"/>
        </w:rPr>
        <w:t>所属</w:t>
      </w:r>
      <w:r>
        <w:rPr>
          <w:rFonts w:hint="eastAsia" w:ascii="宋体" w:hAnsi="宋体" w:eastAsia="宋体" w:cs="楷体"/>
          <w:color w:val="auto"/>
          <w:sz w:val="32"/>
          <w:szCs w:val="32"/>
          <w:highlight w:val="none"/>
          <w:lang w:eastAsia="zh-CN"/>
        </w:rPr>
        <w:t>温州市水务集团有限公司工程建设分公司</w:t>
      </w:r>
      <w:r>
        <w:rPr>
          <w:rFonts w:hint="eastAsia" w:ascii="宋体" w:hAnsi="宋体" w:eastAsia="宋体" w:cs="楷体"/>
          <w:color w:val="auto"/>
          <w:sz w:val="32"/>
          <w:szCs w:val="32"/>
          <w:highlight w:val="none"/>
        </w:rPr>
        <w:t>关于</w:t>
      </w:r>
      <w:r>
        <w:rPr>
          <w:rFonts w:hint="eastAsia" w:ascii="宋体" w:hAnsi="宋体" w:eastAsia="宋体" w:cs="楷体"/>
          <w:color w:val="auto"/>
          <w:sz w:val="32"/>
          <w:szCs w:val="32"/>
          <w:highlight w:val="none"/>
          <w:lang w:eastAsia="zh-CN"/>
        </w:rPr>
        <w:t>钢纤维混凝土井盖系列年度供应商</w:t>
      </w:r>
      <w:r>
        <w:rPr>
          <w:rFonts w:hint="eastAsia" w:ascii="宋体" w:hAnsi="宋体" w:eastAsia="宋体" w:cs="楷体"/>
          <w:color w:val="auto"/>
          <w:sz w:val="32"/>
          <w:szCs w:val="32"/>
          <w:highlight w:val="none"/>
        </w:rPr>
        <w:t>项目（其他类）的采购公告</w:t>
      </w:r>
      <w:bookmarkEnd w:id="0"/>
      <w:bookmarkEnd w:id="1"/>
      <w:bookmarkEnd w:id="2"/>
      <w:bookmarkEnd w:id="3"/>
    </w:p>
    <w:p>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lang w:val="en-US" w:eastAsia="zh-CN"/>
        </w:rPr>
        <w:t>参照</w:t>
      </w:r>
      <w:r>
        <w:rPr>
          <w:rFonts w:hint="eastAsia" w:ascii="宋体" w:hAnsi="宋体"/>
          <w:color w:val="auto"/>
          <w:highlight w:val="none"/>
        </w:rPr>
        <w:t>《温州市市属国有企业采购管理办法（试行）》等有关规定，温州市智信招标代理有限公司受</w:t>
      </w:r>
      <w:r>
        <w:rPr>
          <w:rFonts w:hint="eastAsia" w:ascii="宋体" w:hAnsi="宋体"/>
          <w:color w:val="auto"/>
          <w:highlight w:val="none"/>
          <w:lang w:eastAsia="zh-CN"/>
        </w:rPr>
        <w:t>温州市水务集团有限公司工程建设分公司</w:t>
      </w:r>
      <w:r>
        <w:rPr>
          <w:rFonts w:hint="eastAsia" w:ascii="宋体" w:hAnsi="宋体"/>
          <w:color w:val="auto"/>
          <w:highlight w:val="none"/>
        </w:rPr>
        <w:t>委托，就所需的</w:t>
      </w:r>
      <w:r>
        <w:rPr>
          <w:rFonts w:hint="eastAsia" w:ascii="宋体" w:hAnsi="宋体"/>
          <w:color w:val="auto"/>
          <w:highlight w:val="none"/>
          <w:lang w:eastAsia="zh-CN"/>
        </w:rPr>
        <w:t>钢纤维混凝土井盖系列年度供应商</w:t>
      </w:r>
      <w:r>
        <w:rPr>
          <w:rFonts w:hint="eastAsia" w:ascii="宋体" w:hAnsi="宋体"/>
          <w:color w:val="auto"/>
          <w:highlight w:val="none"/>
        </w:rPr>
        <w:t>项目以</w:t>
      </w:r>
      <w:r>
        <w:rPr>
          <w:rFonts w:hint="eastAsia" w:ascii="宋体" w:hAnsi="宋体" w:cs="ˎ̥"/>
          <w:bCs/>
          <w:color w:val="auto"/>
          <w:kern w:val="0"/>
          <w:sz w:val="22"/>
          <w:szCs w:val="22"/>
          <w:highlight w:val="none"/>
        </w:rPr>
        <w:t>公开招标方式进行采购，欢迎国内合格的投标人前来投标</w:t>
      </w:r>
      <w:r>
        <w:rPr>
          <w:rFonts w:hint="eastAsia" w:ascii="宋体" w:hAnsi="宋体"/>
          <w:color w:val="auto"/>
          <w:szCs w:val="21"/>
          <w:highlight w:val="none"/>
        </w:rPr>
        <w:t>。</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一、公告类型：</w:t>
      </w:r>
      <w:r>
        <w:rPr>
          <w:rFonts w:hint="eastAsia" w:ascii="宋体" w:hAnsi="宋体" w:cs="楷体"/>
          <w:bCs/>
          <w:color w:val="auto"/>
          <w:kern w:val="0"/>
          <w:sz w:val="22"/>
          <w:szCs w:val="22"/>
          <w:highlight w:val="none"/>
        </w:rPr>
        <w:t>采购公告</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二、采购方式：</w:t>
      </w:r>
      <w:r>
        <w:rPr>
          <w:rFonts w:hint="eastAsia" w:ascii="宋体" w:hAnsi="宋体" w:cs="楷体"/>
          <w:bCs/>
          <w:color w:val="auto"/>
          <w:kern w:val="0"/>
          <w:sz w:val="22"/>
          <w:szCs w:val="22"/>
          <w:highlight w:val="none"/>
        </w:rPr>
        <w:t>公开招标</w:t>
      </w:r>
    </w:p>
    <w:p>
      <w:pPr>
        <w:widowControl/>
        <w:spacing w:line="360" w:lineRule="auto"/>
        <w:jc w:val="left"/>
        <w:rPr>
          <w:rFonts w:hint="eastAsia" w:ascii="宋体" w:hAnsi="宋体" w:eastAsia="宋体" w:cs="楷体"/>
          <w:bCs/>
          <w:color w:val="auto"/>
          <w:kern w:val="0"/>
          <w:sz w:val="22"/>
          <w:szCs w:val="22"/>
          <w:highlight w:val="none"/>
          <w:lang w:eastAsia="zh-CN"/>
        </w:rPr>
      </w:pPr>
      <w:r>
        <w:rPr>
          <w:rFonts w:hint="eastAsia" w:ascii="宋体" w:hAnsi="宋体" w:cs="楷体"/>
          <w:b/>
          <w:bCs/>
          <w:color w:val="auto"/>
          <w:kern w:val="0"/>
          <w:sz w:val="22"/>
          <w:szCs w:val="22"/>
          <w:highlight w:val="none"/>
        </w:rPr>
        <w:t>三、项目编号：</w:t>
      </w:r>
      <w:r>
        <w:rPr>
          <w:rFonts w:hint="eastAsia" w:ascii="宋体" w:hAnsi="宋体" w:cs="楷体"/>
          <w:color w:val="auto"/>
          <w:kern w:val="0"/>
          <w:sz w:val="22"/>
          <w:szCs w:val="22"/>
          <w:highlight w:val="none"/>
          <w:lang w:val="en-US" w:eastAsia="zh-CN"/>
        </w:rPr>
        <w:t>GCJSFGSCG-2023037</w:t>
      </w:r>
    </w:p>
    <w:p>
      <w:pPr>
        <w:pStyle w:val="2"/>
        <w:spacing w:after="0" w:line="360" w:lineRule="auto"/>
        <w:ind w:firstLine="0" w:firstLineChars="0"/>
        <w:rPr>
          <w:rFonts w:hint="eastAsia" w:ascii="宋体" w:hAnsi="宋体" w:eastAsia="宋体" w:cs="楷体"/>
          <w:color w:val="auto"/>
          <w:sz w:val="22"/>
          <w:szCs w:val="22"/>
          <w:highlight w:val="none"/>
        </w:rPr>
      </w:pPr>
      <w:r>
        <w:rPr>
          <w:rFonts w:hint="eastAsia" w:ascii="宋体" w:hAnsi="宋体" w:eastAsia="宋体" w:cs="楷体"/>
          <w:b/>
          <w:bCs/>
          <w:color w:val="auto"/>
          <w:sz w:val="22"/>
          <w:szCs w:val="22"/>
          <w:highlight w:val="none"/>
        </w:rPr>
        <w:t>四、项目性质：</w:t>
      </w:r>
      <w:r>
        <w:rPr>
          <w:rFonts w:hint="eastAsia" w:ascii="宋体" w:hAnsi="宋体" w:eastAsia="宋体" w:cs="宋体"/>
          <w:color w:val="auto"/>
          <w:sz w:val="22"/>
          <w:szCs w:val="22"/>
          <w:highlight w:val="none"/>
        </w:rPr>
        <w:t>其他类国企采购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非政府采购项目）</w:t>
      </w:r>
    </w:p>
    <w:p>
      <w:pPr>
        <w:widowControl/>
        <w:spacing w:line="360" w:lineRule="auto"/>
        <w:jc w:val="left"/>
        <w:rPr>
          <w:rFonts w:hint="eastAsia" w:ascii="宋体" w:hAnsi="宋体" w:eastAsia="宋体" w:cs="楷体"/>
          <w:b/>
          <w:bCs/>
          <w:color w:val="auto"/>
          <w:kern w:val="0"/>
          <w:sz w:val="22"/>
          <w:szCs w:val="22"/>
          <w:highlight w:val="none"/>
          <w:lang w:eastAsia="zh-CN"/>
        </w:rPr>
      </w:pPr>
      <w:r>
        <w:rPr>
          <w:rFonts w:hint="eastAsia" w:ascii="宋体" w:hAnsi="宋体" w:cs="楷体"/>
          <w:b/>
          <w:bCs/>
          <w:color w:val="auto"/>
          <w:kern w:val="0"/>
          <w:sz w:val="22"/>
          <w:szCs w:val="22"/>
          <w:highlight w:val="none"/>
        </w:rPr>
        <w:t>五、项目名称：</w:t>
      </w:r>
      <w:r>
        <w:rPr>
          <w:rFonts w:hint="eastAsia" w:ascii="宋体" w:hAnsi="宋体" w:cs="楷体"/>
          <w:bCs/>
          <w:color w:val="auto"/>
          <w:kern w:val="0"/>
          <w:sz w:val="22"/>
          <w:szCs w:val="22"/>
          <w:highlight w:val="none"/>
          <w:lang w:eastAsia="zh-CN"/>
        </w:rPr>
        <w:t>钢纤维混凝土井盖系列年度供应商</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六、预算金额：</w:t>
      </w:r>
      <w:r>
        <w:rPr>
          <w:rFonts w:hint="eastAsia" w:ascii="宋体" w:hAnsi="宋体" w:cs="楷体"/>
          <w:b w:val="0"/>
          <w:bCs w:val="0"/>
          <w:color w:val="auto"/>
          <w:kern w:val="0"/>
          <w:sz w:val="22"/>
          <w:szCs w:val="22"/>
          <w:highlight w:val="none"/>
          <w:lang w:val="en-US" w:eastAsia="zh-CN"/>
        </w:rPr>
        <w:t>约</w:t>
      </w:r>
      <w:r>
        <w:rPr>
          <w:rFonts w:hint="eastAsia" w:ascii="宋体" w:hAnsi="宋体" w:cs="楷体"/>
          <w:bCs/>
          <w:color w:val="auto"/>
          <w:kern w:val="0"/>
          <w:sz w:val="22"/>
          <w:szCs w:val="22"/>
          <w:highlight w:val="none"/>
          <w:lang w:val="en-US" w:eastAsia="zh-CN"/>
        </w:rPr>
        <w:t>1000万</w:t>
      </w:r>
      <w:r>
        <w:rPr>
          <w:rFonts w:hint="eastAsia" w:ascii="宋体" w:hAnsi="宋体" w:cs="楷体"/>
          <w:bCs/>
          <w:color w:val="auto"/>
          <w:kern w:val="0"/>
          <w:sz w:val="22"/>
          <w:szCs w:val="22"/>
          <w:highlight w:val="none"/>
        </w:rPr>
        <w:t>元（年估算金额）</w:t>
      </w:r>
      <w:bookmarkStart w:id="110" w:name="_GoBack"/>
      <w:bookmarkEnd w:id="110"/>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七、采购内容（具体采购内容及详细技术要求见采购文件相关部分）：</w:t>
      </w:r>
    </w:p>
    <w:tbl>
      <w:tblPr>
        <w:tblStyle w:val="51"/>
        <w:tblW w:w="9858" w:type="dxa"/>
        <w:jc w:val="center"/>
        <w:tblLayout w:type="fixed"/>
        <w:tblCellMar>
          <w:top w:w="0" w:type="dxa"/>
          <w:left w:w="108" w:type="dxa"/>
          <w:bottom w:w="0" w:type="dxa"/>
          <w:right w:w="108" w:type="dxa"/>
        </w:tblCellMar>
      </w:tblPr>
      <w:tblGrid>
        <w:gridCol w:w="1221"/>
        <w:gridCol w:w="2830"/>
        <w:gridCol w:w="1968"/>
        <w:gridCol w:w="3839"/>
      </w:tblGrid>
      <w:tr>
        <w:tblPrEx>
          <w:tblCellMar>
            <w:top w:w="0" w:type="dxa"/>
            <w:left w:w="108" w:type="dxa"/>
            <w:bottom w:w="0" w:type="dxa"/>
            <w:right w:w="108" w:type="dxa"/>
          </w:tblCellMar>
        </w:tblPrEx>
        <w:trPr>
          <w:trHeight w:val="683" w:hRule="atLeast"/>
          <w:jc w:val="center"/>
        </w:trPr>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ind w:left="60" w:right="60"/>
              <w:jc w:val="center"/>
              <w:textAlignment w:val="auto"/>
              <w:rPr>
                <w:rFonts w:hint="eastAsia" w:ascii="宋体" w:hAnsi="宋体" w:eastAsia="宋体" w:cs="宋体"/>
                <w:b/>
                <w:strike w:val="0"/>
                <w:dstrike w:val="0"/>
                <w:color w:val="auto"/>
                <w:kern w:val="0"/>
                <w:sz w:val="22"/>
                <w:szCs w:val="22"/>
                <w:highlight w:val="none"/>
              </w:rPr>
            </w:pPr>
            <w:r>
              <w:rPr>
                <w:rFonts w:hint="eastAsia" w:ascii="宋体" w:hAnsi="宋体" w:eastAsia="宋体" w:cs="宋体"/>
                <w:b/>
                <w:strike w:val="0"/>
                <w:dstrike w:val="0"/>
                <w:color w:val="auto"/>
                <w:kern w:val="0"/>
                <w:sz w:val="22"/>
                <w:szCs w:val="22"/>
                <w:highlight w:val="none"/>
              </w:rPr>
              <w:t>标项</w:t>
            </w:r>
          </w:p>
        </w:tc>
        <w:tc>
          <w:tcPr>
            <w:tcW w:w="2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ind w:left="60" w:right="60"/>
              <w:jc w:val="center"/>
              <w:textAlignment w:val="auto"/>
              <w:rPr>
                <w:rFonts w:hint="eastAsia" w:ascii="宋体" w:hAnsi="宋体" w:eastAsia="宋体" w:cs="宋体"/>
                <w:b/>
                <w:strike w:val="0"/>
                <w:dstrike w:val="0"/>
                <w:color w:val="auto"/>
                <w:kern w:val="0"/>
                <w:sz w:val="22"/>
                <w:szCs w:val="22"/>
                <w:highlight w:val="none"/>
                <w:lang w:eastAsia="zh-CN"/>
              </w:rPr>
            </w:pPr>
            <w:r>
              <w:rPr>
                <w:rFonts w:hint="eastAsia" w:ascii="宋体" w:hAnsi="宋体" w:eastAsia="宋体" w:cs="宋体"/>
                <w:b/>
                <w:strike w:val="0"/>
                <w:dstrike w:val="0"/>
                <w:color w:val="auto"/>
                <w:kern w:val="0"/>
                <w:sz w:val="22"/>
                <w:szCs w:val="22"/>
                <w:highlight w:val="none"/>
              </w:rPr>
              <w:t>标项内容</w:t>
            </w:r>
          </w:p>
        </w:tc>
        <w:tc>
          <w:tcPr>
            <w:tcW w:w="1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ind w:left="60" w:right="60"/>
              <w:jc w:val="center"/>
              <w:textAlignment w:val="auto"/>
              <w:rPr>
                <w:rFonts w:hint="eastAsia" w:ascii="宋体" w:hAnsi="宋体" w:eastAsia="宋体" w:cs="宋体"/>
                <w:b/>
                <w:strike w:val="0"/>
                <w:dstrike w:val="0"/>
                <w:color w:val="auto"/>
                <w:kern w:val="0"/>
                <w:sz w:val="22"/>
                <w:szCs w:val="22"/>
                <w:highlight w:val="none"/>
              </w:rPr>
            </w:pPr>
            <w:r>
              <w:rPr>
                <w:rFonts w:hint="eastAsia" w:ascii="宋体" w:hAnsi="宋体" w:cs="宋体"/>
                <w:b/>
                <w:strike w:val="0"/>
                <w:dstrike w:val="0"/>
                <w:color w:val="auto"/>
                <w:kern w:val="0"/>
                <w:sz w:val="22"/>
                <w:szCs w:val="22"/>
                <w:highlight w:val="none"/>
                <w:lang w:val="en-US" w:eastAsia="zh-CN"/>
              </w:rPr>
              <w:t>年度</w:t>
            </w:r>
            <w:r>
              <w:rPr>
                <w:rFonts w:hint="eastAsia" w:ascii="宋体" w:hAnsi="宋体" w:eastAsia="宋体" w:cs="宋体"/>
                <w:b/>
                <w:strike w:val="0"/>
                <w:dstrike w:val="0"/>
                <w:color w:val="auto"/>
                <w:kern w:val="0"/>
                <w:sz w:val="22"/>
                <w:szCs w:val="22"/>
                <w:highlight w:val="none"/>
                <w:lang w:val="en-US" w:eastAsia="zh-CN"/>
              </w:rPr>
              <w:t>预算（万元）</w:t>
            </w:r>
          </w:p>
        </w:tc>
        <w:tc>
          <w:tcPr>
            <w:tcW w:w="38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ind w:left="60" w:right="60"/>
              <w:jc w:val="center"/>
              <w:textAlignment w:val="auto"/>
              <w:rPr>
                <w:rFonts w:hint="eastAsia" w:ascii="宋体" w:hAnsi="宋体" w:eastAsia="宋体" w:cs="宋体"/>
                <w:b/>
                <w:strike w:val="0"/>
                <w:dstrike w:val="0"/>
                <w:color w:val="auto"/>
                <w:kern w:val="0"/>
                <w:sz w:val="22"/>
                <w:szCs w:val="22"/>
                <w:highlight w:val="none"/>
              </w:rPr>
            </w:pPr>
            <w:r>
              <w:rPr>
                <w:rFonts w:hint="eastAsia" w:ascii="宋体" w:hAnsi="宋体" w:eastAsia="宋体" w:cs="宋体"/>
                <w:b/>
                <w:strike w:val="0"/>
                <w:dstrike w:val="0"/>
                <w:color w:val="auto"/>
                <w:kern w:val="0"/>
                <w:sz w:val="22"/>
                <w:szCs w:val="22"/>
                <w:highlight w:val="none"/>
              </w:rPr>
              <w:t>简要技术要求、用途</w:t>
            </w:r>
          </w:p>
        </w:tc>
      </w:tr>
      <w:tr>
        <w:tblPrEx>
          <w:tblCellMar>
            <w:top w:w="0" w:type="dxa"/>
            <w:left w:w="108" w:type="dxa"/>
            <w:bottom w:w="0" w:type="dxa"/>
            <w:right w:w="108" w:type="dxa"/>
          </w:tblCellMar>
        </w:tblPrEx>
        <w:trPr>
          <w:trHeight w:val="821" w:hRule="atLeast"/>
          <w:jc w:val="center"/>
        </w:trPr>
        <w:tc>
          <w:tcPr>
            <w:tcW w:w="12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jc w:val="center"/>
              <w:textAlignment w:val="auto"/>
              <w:rPr>
                <w:rFonts w:hint="default" w:ascii="宋体" w:hAnsi="宋体" w:eastAsia="宋体" w:cs="宋体"/>
                <w:bCs/>
                <w:strike w:val="0"/>
                <w:dstrike w:val="0"/>
                <w:color w:val="auto"/>
                <w:kern w:val="0"/>
                <w:sz w:val="22"/>
                <w:szCs w:val="22"/>
                <w:highlight w:val="none"/>
                <w:lang w:val="en-US" w:eastAsia="zh-CN"/>
              </w:rPr>
            </w:pPr>
            <w:r>
              <w:rPr>
                <w:rFonts w:hint="eastAsia" w:ascii="宋体" w:hAnsi="宋体" w:eastAsia="宋体" w:cs="宋体"/>
                <w:bCs/>
                <w:strike w:val="0"/>
                <w:dstrike w:val="0"/>
                <w:color w:val="auto"/>
                <w:kern w:val="0"/>
                <w:sz w:val="22"/>
                <w:szCs w:val="22"/>
                <w:highlight w:val="none"/>
                <w:lang w:val="en-US" w:eastAsia="zh-CN"/>
              </w:rPr>
              <w:t>1</w:t>
            </w:r>
          </w:p>
        </w:tc>
        <w:tc>
          <w:tcPr>
            <w:tcW w:w="2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before="60" w:after="60" w:line="240" w:lineRule="auto"/>
              <w:jc w:val="center"/>
              <w:textAlignment w:val="auto"/>
              <w:rPr>
                <w:rFonts w:hint="default" w:ascii="宋体" w:hAnsi="宋体" w:eastAsia="宋体" w:cs="宋体"/>
                <w:bCs/>
                <w:strike w:val="0"/>
                <w:dstrike w:val="0"/>
                <w:color w:val="auto"/>
                <w:kern w:val="0"/>
                <w:sz w:val="22"/>
                <w:szCs w:val="22"/>
                <w:highlight w:val="none"/>
                <w:lang w:val="en-US" w:eastAsia="zh-CN"/>
              </w:rPr>
            </w:pPr>
            <w:r>
              <w:rPr>
                <w:rFonts w:hint="default" w:ascii="宋体" w:hAnsi="宋体" w:eastAsia="宋体" w:cs="宋体"/>
                <w:bCs/>
                <w:strike w:val="0"/>
                <w:dstrike w:val="0"/>
                <w:color w:val="auto"/>
                <w:kern w:val="0"/>
                <w:sz w:val="22"/>
                <w:szCs w:val="22"/>
                <w:highlight w:val="none"/>
                <w:lang w:val="en-US" w:eastAsia="zh-CN"/>
              </w:rPr>
              <w:t>钢纤维混凝土井盖系列年度供应商</w:t>
            </w:r>
          </w:p>
        </w:tc>
        <w:tc>
          <w:tcPr>
            <w:tcW w:w="1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Cs/>
                <w:strike w:val="0"/>
                <w:dstrike w:val="0"/>
                <w:color w:val="auto"/>
                <w:kern w:val="0"/>
                <w:sz w:val="22"/>
                <w:szCs w:val="22"/>
                <w:highlight w:val="none"/>
                <w:lang w:val="en-US" w:eastAsia="zh-CN"/>
              </w:rPr>
            </w:pPr>
            <w:r>
              <w:rPr>
                <w:rFonts w:hint="eastAsia" w:ascii="宋体" w:hAnsi="宋体" w:cs="宋体"/>
                <w:bCs/>
                <w:strike w:val="0"/>
                <w:dstrike w:val="0"/>
                <w:color w:val="auto"/>
                <w:kern w:val="0"/>
                <w:sz w:val="22"/>
                <w:szCs w:val="22"/>
                <w:highlight w:val="none"/>
                <w:lang w:val="en-US" w:eastAsia="zh-CN"/>
              </w:rPr>
              <w:t>约100</w:t>
            </w:r>
            <w:r>
              <w:rPr>
                <w:rFonts w:hint="eastAsia" w:ascii="宋体" w:hAnsi="宋体" w:eastAsia="宋体" w:cs="宋体"/>
                <w:bCs/>
                <w:strike w:val="0"/>
                <w:dstrike w:val="0"/>
                <w:color w:val="auto"/>
                <w:kern w:val="0"/>
                <w:sz w:val="22"/>
                <w:szCs w:val="22"/>
                <w:highlight w:val="none"/>
                <w:lang w:val="en-US" w:eastAsia="zh-CN"/>
              </w:rPr>
              <w:t>0</w:t>
            </w:r>
          </w:p>
        </w:tc>
        <w:tc>
          <w:tcPr>
            <w:tcW w:w="38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jc w:val="left"/>
              <w:textAlignment w:val="auto"/>
              <w:rPr>
                <w:rFonts w:hint="default" w:ascii="宋体" w:hAnsi="宋体" w:eastAsia="宋体" w:cs="宋体"/>
                <w:bCs/>
                <w:strike w:val="0"/>
                <w:dstrike w:val="0"/>
                <w:color w:val="auto"/>
                <w:kern w:val="0"/>
                <w:sz w:val="22"/>
                <w:szCs w:val="22"/>
                <w:highlight w:val="none"/>
                <w:lang w:val="en-US" w:eastAsia="zh-CN"/>
              </w:rPr>
            </w:pPr>
            <w:r>
              <w:rPr>
                <w:rFonts w:hint="eastAsia" w:ascii="宋体" w:hAnsi="宋体" w:cs="楷体"/>
                <w:bCs/>
                <w:color w:val="auto"/>
                <w:kern w:val="0"/>
                <w:sz w:val="22"/>
                <w:szCs w:val="22"/>
                <w:highlight w:val="none"/>
                <w:lang w:eastAsia="zh-CN"/>
              </w:rPr>
              <w:t>钢纤维混凝土井盖系列年度供应商</w:t>
            </w:r>
            <w:r>
              <w:rPr>
                <w:rFonts w:hint="eastAsia" w:ascii="宋体" w:hAnsi="宋体" w:cs="楷体"/>
                <w:bCs/>
                <w:color w:val="auto"/>
                <w:kern w:val="0"/>
                <w:sz w:val="22"/>
                <w:szCs w:val="22"/>
                <w:highlight w:val="none"/>
                <w:lang w:val="en-US" w:eastAsia="zh-CN"/>
              </w:rPr>
              <w:t>入围</w:t>
            </w:r>
            <w:r>
              <w:rPr>
                <w:rFonts w:hint="eastAsia" w:ascii="宋体" w:hAnsi="宋体" w:eastAsia="宋体" w:cs="宋体"/>
                <w:bCs/>
                <w:strike w:val="0"/>
                <w:dstrike w:val="0"/>
                <w:color w:val="auto"/>
                <w:kern w:val="0"/>
                <w:sz w:val="22"/>
                <w:szCs w:val="22"/>
                <w:highlight w:val="none"/>
                <w:lang w:val="en-US" w:eastAsia="zh-CN"/>
              </w:rPr>
              <w:t>，具体内容详见采购文件第四部分。</w:t>
            </w:r>
          </w:p>
        </w:tc>
      </w:tr>
    </w:tbl>
    <w:p>
      <w:pPr>
        <w:widowControl/>
        <w:spacing w:line="360" w:lineRule="auto"/>
        <w:jc w:val="left"/>
        <w:rPr>
          <w:rFonts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注：以上预算金额为预估年采购金额，具体按实际采购数量进行结算。</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八、投标人资格要求</w:t>
      </w:r>
    </w:p>
    <w:p>
      <w:pPr>
        <w:widowControl/>
        <w:numPr>
          <w:ilvl w:val="0"/>
          <w:numId w:val="2"/>
        </w:numPr>
        <w:spacing w:before="0" w:after="0" w:line="360" w:lineRule="auto"/>
        <w:ind w:right="62"/>
        <w:jc w:val="left"/>
        <w:rPr>
          <w:rFonts w:hint="eastAsia" w:ascii="宋体" w:hAnsi="宋体" w:cs="楷体"/>
          <w:bCs/>
          <w:color w:val="auto"/>
          <w:kern w:val="0"/>
          <w:sz w:val="22"/>
          <w:szCs w:val="22"/>
          <w:highlight w:val="none"/>
        </w:rPr>
      </w:pPr>
      <w:r>
        <w:rPr>
          <w:rFonts w:hint="eastAsia" w:ascii="宋体" w:hAnsi="宋体" w:cs="楷体"/>
          <w:color w:val="auto"/>
          <w:sz w:val="22"/>
          <w:szCs w:val="22"/>
          <w:highlight w:val="none"/>
        </w:rPr>
        <w:t>符合《温州市市属国有企业采购管理办法（试行）》第十五条对投标供应商参加温州市国有企业采购活动应当具备的条件的要求</w:t>
      </w:r>
      <w:r>
        <w:rPr>
          <w:rFonts w:hint="eastAsia" w:ascii="宋体" w:hAnsi="宋体" w:cs="楷体"/>
          <w:bCs/>
          <w:color w:val="auto"/>
          <w:kern w:val="0"/>
          <w:sz w:val="22"/>
          <w:szCs w:val="22"/>
          <w:highlight w:val="none"/>
        </w:rPr>
        <w:t>；</w:t>
      </w:r>
    </w:p>
    <w:p>
      <w:pPr>
        <w:widowControl/>
        <w:numPr>
          <w:ilvl w:val="0"/>
          <w:numId w:val="2"/>
        </w:numPr>
        <w:spacing w:before="0" w:after="0" w:line="360" w:lineRule="auto"/>
        <w:ind w:right="62"/>
        <w:jc w:val="left"/>
        <w:rPr>
          <w:rFonts w:hint="eastAsia" w:ascii="宋体" w:hAnsi="宋体" w:cs="楷体"/>
          <w:bCs/>
          <w:color w:val="auto"/>
          <w:kern w:val="0"/>
          <w:sz w:val="22"/>
          <w:szCs w:val="22"/>
          <w:highlight w:val="none"/>
        </w:rPr>
      </w:pPr>
      <w:r>
        <w:rPr>
          <w:rFonts w:hint="eastAsia" w:ascii="宋体" w:hAnsi="宋体" w:cs="楷体"/>
          <w:bCs/>
          <w:color w:val="auto"/>
          <w:kern w:val="0"/>
          <w:sz w:val="22"/>
          <w:szCs w:val="22"/>
          <w:highlight w:val="none"/>
        </w:rPr>
        <w:t>投标人未被“信用中国”（www.creditchina.gov.cn）、中国政府采购网（www.ccgp.gov.cn）列入失信被执行人、重大税收违法案件当事人名单、政府采购严重违法失信行为记录名单；</w:t>
      </w:r>
    </w:p>
    <w:p>
      <w:pPr>
        <w:widowControl/>
        <w:numPr>
          <w:ilvl w:val="0"/>
          <w:numId w:val="2"/>
        </w:numPr>
        <w:spacing w:before="0" w:after="0" w:line="360" w:lineRule="auto"/>
        <w:ind w:right="62"/>
        <w:jc w:val="left"/>
        <w:rPr>
          <w:rFonts w:hint="eastAsia" w:ascii="宋体" w:hAnsi="宋体" w:cs="楷体"/>
          <w:bCs/>
          <w:color w:val="auto"/>
          <w:kern w:val="0"/>
          <w:sz w:val="22"/>
          <w:szCs w:val="22"/>
          <w:highlight w:val="none"/>
        </w:rPr>
      </w:pPr>
      <w:r>
        <w:rPr>
          <w:rFonts w:hint="eastAsia" w:ascii="宋体" w:hAnsi="宋体" w:cs="楷体"/>
          <w:bCs/>
          <w:color w:val="auto"/>
          <w:kern w:val="0"/>
          <w:sz w:val="22"/>
          <w:szCs w:val="22"/>
          <w:highlight w:val="none"/>
        </w:rPr>
        <w:t>特殊资格要求：</w:t>
      </w:r>
      <w:r>
        <w:rPr>
          <w:rFonts w:hint="eastAsia" w:ascii="宋体" w:hAnsi="宋体" w:cs="楷体"/>
          <w:bCs/>
          <w:color w:val="auto"/>
          <w:kern w:val="0"/>
          <w:sz w:val="22"/>
          <w:szCs w:val="22"/>
          <w:highlight w:val="none"/>
          <w:lang w:val="en-US" w:eastAsia="zh-CN"/>
        </w:rPr>
        <w:t>无</w:t>
      </w:r>
      <w:r>
        <w:rPr>
          <w:rFonts w:hint="eastAsia" w:ascii="宋体" w:hAnsi="宋体" w:cs="宋体"/>
          <w:b w:val="0"/>
          <w:bCs/>
          <w:color w:val="auto"/>
          <w:kern w:val="0"/>
          <w:szCs w:val="21"/>
          <w:highlight w:val="none"/>
        </w:rPr>
        <w:t>；</w:t>
      </w:r>
    </w:p>
    <w:p>
      <w:pPr>
        <w:widowControl/>
        <w:numPr>
          <w:ilvl w:val="0"/>
          <w:numId w:val="2"/>
        </w:numPr>
        <w:spacing w:before="0" w:after="0" w:line="360" w:lineRule="auto"/>
        <w:ind w:right="62"/>
        <w:jc w:val="left"/>
        <w:rPr>
          <w:rFonts w:hint="eastAsia" w:ascii="宋体" w:hAnsi="宋体" w:cs="楷体"/>
          <w:bCs/>
          <w:color w:val="auto"/>
          <w:kern w:val="0"/>
          <w:sz w:val="22"/>
          <w:szCs w:val="22"/>
          <w:highlight w:val="none"/>
        </w:rPr>
      </w:pPr>
      <w:r>
        <w:rPr>
          <w:rFonts w:hint="eastAsia" w:ascii="宋体" w:hAnsi="宋体" w:cs="楷体"/>
          <w:bCs/>
          <w:color w:val="auto"/>
          <w:kern w:val="0"/>
          <w:sz w:val="22"/>
          <w:szCs w:val="22"/>
          <w:highlight w:val="none"/>
        </w:rPr>
        <w:t>本项目不接受联合体投标。</w:t>
      </w:r>
    </w:p>
    <w:p>
      <w:pPr>
        <w:widowControl/>
        <w:spacing w:line="360" w:lineRule="auto"/>
        <w:ind w:right="60"/>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九、</w:t>
      </w:r>
      <w:r>
        <w:rPr>
          <w:rFonts w:hint="eastAsia" w:ascii="宋体" w:hAnsi="宋体" w:cs="楷体"/>
          <w:b/>
          <w:color w:val="auto"/>
          <w:kern w:val="0"/>
          <w:sz w:val="22"/>
          <w:szCs w:val="22"/>
          <w:highlight w:val="none"/>
        </w:rPr>
        <w:t>获取采购文件时间、地点及方式:</w:t>
      </w:r>
    </w:p>
    <w:p>
      <w:pPr>
        <w:widowControl/>
        <w:spacing w:line="360" w:lineRule="auto"/>
        <w:ind w:right="60" w:firstLine="440" w:firstLineChars="200"/>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1．申请获取采购文件方式：供应商可在</w:t>
      </w:r>
      <w:r>
        <w:rPr>
          <w:rFonts w:hint="eastAsia" w:ascii="宋体" w:hAnsi="宋体" w:cs="楷体"/>
          <w:snapToGrid w:val="0"/>
          <w:color w:val="auto"/>
          <w:sz w:val="22"/>
          <w:szCs w:val="22"/>
          <w:highlight w:val="none"/>
          <w:lang w:val="en-US" w:eastAsia="zh-CN"/>
        </w:rPr>
        <w:t>浙江政府采购网、</w:t>
      </w:r>
      <w:r>
        <w:rPr>
          <w:rFonts w:hint="eastAsia" w:ascii="宋体" w:hAnsi="宋体" w:cs="楷体"/>
          <w:snapToGrid w:val="0"/>
          <w:color w:val="auto"/>
          <w:sz w:val="22"/>
          <w:szCs w:val="22"/>
          <w:highlight w:val="none"/>
        </w:rPr>
        <w:t>温州国企采购平台或</w:t>
      </w:r>
      <w:r>
        <w:rPr>
          <w:rFonts w:hint="eastAsia" w:ascii="宋体" w:hAnsi="宋体" w:cs="楷体"/>
          <w:snapToGrid w:val="0"/>
          <w:color w:val="auto"/>
          <w:sz w:val="22"/>
          <w:szCs w:val="22"/>
          <w:highlight w:val="none"/>
          <w:lang w:eastAsia="zh-CN"/>
        </w:rPr>
        <w:t>温州市公用集团</w:t>
      </w:r>
      <w:r>
        <w:rPr>
          <w:rFonts w:hint="eastAsia" w:ascii="宋体" w:hAnsi="宋体" w:cs="楷体"/>
          <w:snapToGrid w:val="0"/>
          <w:color w:val="auto"/>
          <w:sz w:val="22"/>
          <w:szCs w:val="22"/>
          <w:highlight w:val="none"/>
        </w:rPr>
        <w:t>官网直接获取本项目采购文件，将以下书面资料提交至采购代理机构并办理购买采购文件事宜，采购代理机构将对书面资料进行审核：</w:t>
      </w:r>
    </w:p>
    <w:p>
      <w:pPr>
        <w:widowControl/>
        <w:spacing w:line="360" w:lineRule="auto"/>
        <w:ind w:right="60" w:firstLine="424" w:firstLineChars="193"/>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①　法定代表人（单位负责人）授权委托书/公司介绍信；</w:t>
      </w:r>
    </w:p>
    <w:p>
      <w:pPr>
        <w:widowControl/>
        <w:spacing w:line="360" w:lineRule="auto"/>
        <w:ind w:right="60" w:firstLine="424" w:firstLineChars="193"/>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②　被授权人身份证复印件；</w:t>
      </w:r>
    </w:p>
    <w:p>
      <w:pPr>
        <w:widowControl/>
        <w:spacing w:line="360" w:lineRule="auto"/>
        <w:ind w:right="60" w:firstLine="424" w:firstLineChars="193"/>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③　加盖有效公章的营业执照副本复印件。</w:t>
      </w:r>
    </w:p>
    <w:p>
      <w:pPr>
        <w:widowControl/>
        <w:spacing w:line="360" w:lineRule="auto"/>
        <w:ind w:right="60" w:firstLine="440" w:firstLineChars="200"/>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2．申请获取采购文件时间：公告发布之日起至投标响应文件递交截止时间前（节假日除外），上午：08:30－11:30，下午：14:00－16:30。</w:t>
      </w:r>
    </w:p>
    <w:p>
      <w:pPr>
        <w:widowControl/>
        <w:spacing w:line="360" w:lineRule="auto"/>
        <w:ind w:right="60" w:firstLine="550" w:firstLineChars="250"/>
        <w:jc w:val="left"/>
        <w:rPr>
          <w:rFonts w:hint="eastAsia" w:ascii="宋体" w:hAnsi="宋体" w:cs="楷体"/>
          <w:snapToGrid w:val="0"/>
          <w:color w:val="auto"/>
          <w:sz w:val="22"/>
          <w:szCs w:val="22"/>
          <w:highlight w:val="none"/>
        </w:rPr>
      </w:pPr>
      <w:r>
        <w:rPr>
          <w:rFonts w:hint="eastAsia" w:ascii="宋体" w:hAnsi="宋体" w:cs="楷体"/>
          <w:snapToGrid w:val="0"/>
          <w:color w:val="auto"/>
          <w:sz w:val="22"/>
          <w:szCs w:val="22"/>
          <w:highlight w:val="none"/>
        </w:rPr>
        <w:t>3.购领采购文件时间和地点：温州市智信招标代理有限公司（温州市瓯海区新桥街道高昂路1号牛山广场2号楼1409室）。采购代理机构将拒收未购领采购文件的潜在供应商递交的投标响应文件，采购文件费用500元整，售后不退。</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十、投标文件递交截止时间、开标时间及地点</w:t>
      </w:r>
    </w:p>
    <w:p>
      <w:pPr>
        <w:widowControl/>
        <w:spacing w:line="360" w:lineRule="auto"/>
        <w:ind w:firstLine="440" w:firstLineChars="200"/>
        <w:jc w:val="lef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1.投标文件递交截止时间：</w:t>
      </w:r>
      <w:r>
        <w:rPr>
          <w:rFonts w:hint="eastAsia" w:ascii="宋体" w:hAnsi="宋体" w:cs="楷体"/>
          <w:color w:val="auto"/>
          <w:kern w:val="0"/>
          <w:sz w:val="22"/>
          <w:szCs w:val="22"/>
          <w:highlight w:val="none"/>
          <w:lang w:eastAsia="zh-CN"/>
        </w:rPr>
        <w:t>2023年12月</w:t>
      </w:r>
      <w:r>
        <w:rPr>
          <w:rFonts w:hint="eastAsia" w:ascii="宋体" w:hAnsi="宋体" w:cs="楷体"/>
          <w:color w:val="auto"/>
          <w:kern w:val="0"/>
          <w:sz w:val="22"/>
          <w:szCs w:val="22"/>
          <w:highlight w:val="none"/>
          <w:lang w:val="en-US" w:eastAsia="zh-CN"/>
        </w:rPr>
        <w:t>22</w:t>
      </w:r>
      <w:r>
        <w:rPr>
          <w:rFonts w:hint="eastAsia" w:ascii="宋体" w:hAnsi="宋体" w:cs="楷体"/>
          <w:color w:val="auto"/>
          <w:kern w:val="0"/>
          <w:sz w:val="22"/>
          <w:szCs w:val="22"/>
          <w:highlight w:val="none"/>
          <w:lang w:eastAsia="zh-CN"/>
        </w:rPr>
        <w:t>日</w:t>
      </w:r>
      <w:r>
        <w:rPr>
          <w:rFonts w:hint="eastAsia" w:ascii="宋体" w:hAnsi="宋体" w:cs="楷体"/>
          <w:color w:val="auto"/>
          <w:kern w:val="0"/>
          <w:sz w:val="22"/>
          <w:szCs w:val="22"/>
          <w:highlight w:val="none"/>
          <w:lang w:val="en-US" w:eastAsia="zh-CN"/>
        </w:rPr>
        <w:t>09</w:t>
      </w:r>
      <w:r>
        <w:rPr>
          <w:rFonts w:hint="eastAsia" w:ascii="宋体" w:hAnsi="宋体" w:cs="楷体"/>
          <w:color w:val="auto"/>
          <w:kern w:val="0"/>
          <w:sz w:val="22"/>
          <w:szCs w:val="22"/>
          <w:highlight w:val="none"/>
          <w:lang w:eastAsia="zh-CN"/>
        </w:rPr>
        <w:t>：</w:t>
      </w: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lang w:eastAsia="zh-CN"/>
        </w:rPr>
        <w:t>0</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2.递交地点：温州市瓯海区新桥街道高昂路1号牛山广场2号楼140</w:t>
      </w: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rPr>
        <w:t>室</w:t>
      </w:r>
    </w:p>
    <w:p>
      <w:pPr>
        <w:widowControl/>
        <w:spacing w:line="360" w:lineRule="auto"/>
        <w:ind w:firstLine="440" w:firstLineChars="200"/>
        <w:jc w:val="lef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3.开标时间：</w:t>
      </w:r>
      <w:r>
        <w:rPr>
          <w:rFonts w:hint="eastAsia" w:ascii="宋体" w:hAnsi="宋体" w:cs="楷体"/>
          <w:color w:val="auto"/>
          <w:kern w:val="0"/>
          <w:sz w:val="22"/>
          <w:szCs w:val="22"/>
          <w:highlight w:val="none"/>
          <w:lang w:eastAsia="zh-CN"/>
        </w:rPr>
        <w:t>2023年12月</w:t>
      </w:r>
      <w:r>
        <w:rPr>
          <w:rFonts w:hint="eastAsia" w:ascii="宋体" w:hAnsi="宋体" w:cs="楷体"/>
          <w:color w:val="auto"/>
          <w:kern w:val="0"/>
          <w:sz w:val="22"/>
          <w:szCs w:val="22"/>
          <w:highlight w:val="none"/>
          <w:lang w:val="en-US" w:eastAsia="zh-CN"/>
        </w:rPr>
        <w:t>22</w:t>
      </w:r>
      <w:r>
        <w:rPr>
          <w:rFonts w:hint="eastAsia" w:ascii="宋体" w:hAnsi="宋体" w:cs="楷体"/>
          <w:color w:val="auto"/>
          <w:kern w:val="0"/>
          <w:sz w:val="22"/>
          <w:szCs w:val="22"/>
          <w:highlight w:val="none"/>
          <w:lang w:eastAsia="zh-CN"/>
        </w:rPr>
        <w:t>日</w:t>
      </w:r>
      <w:r>
        <w:rPr>
          <w:rFonts w:hint="eastAsia" w:ascii="宋体" w:hAnsi="宋体" w:cs="楷体"/>
          <w:color w:val="auto"/>
          <w:kern w:val="0"/>
          <w:sz w:val="22"/>
          <w:szCs w:val="22"/>
          <w:highlight w:val="none"/>
          <w:lang w:val="en-US" w:eastAsia="zh-CN"/>
        </w:rPr>
        <w:t>09</w:t>
      </w:r>
      <w:r>
        <w:rPr>
          <w:rFonts w:hint="eastAsia" w:ascii="宋体" w:hAnsi="宋体" w:cs="楷体"/>
          <w:color w:val="auto"/>
          <w:kern w:val="0"/>
          <w:sz w:val="22"/>
          <w:szCs w:val="22"/>
          <w:highlight w:val="none"/>
          <w:lang w:eastAsia="zh-CN"/>
        </w:rPr>
        <w:t>：</w:t>
      </w: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lang w:eastAsia="zh-CN"/>
        </w:rPr>
        <w:t>0</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4.开标地点：温州市瓯海区新桥街道高昂路1号牛山广场2号楼140</w:t>
      </w: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rPr>
        <w:t>室</w:t>
      </w:r>
    </w:p>
    <w:p>
      <w:pPr>
        <w:widowControl/>
        <w:spacing w:line="360" w:lineRule="auto"/>
        <w:jc w:val="left"/>
        <w:rPr>
          <w:rFonts w:hint="eastAsia" w:ascii="宋体" w:hAnsi="宋体" w:cs="楷体"/>
          <w:color w:val="auto"/>
          <w:kern w:val="0"/>
          <w:sz w:val="22"/>
          <w:szCs w:val="22"/>
          <w:highlight w:val="none"/>
        </w:rPr>
      </w:pPr>
      <w:r>
        <w:rPr>
          <w:rFonts w:hint="eastAsia" w:ascii="宋体" w:hAnsi="宋体" w:cs="楷体"/>
          <w:b/>
          <w:bCs/>
          <w:color w:val="auto"/>
          <w:kern w:val="0"/>
          <w:sz w:val="22"/>
          <w:szCs w:val="22"/>
          <w:highlight w:val="none"/>
        </w:rPr>
        <w:t>十一、投标保证金</w:t>
      </w:r>
    </w:p>
    <w:p>
      <w:pPr>
        <w:widowControl/>
        <w:spacing w:line="360" w:lineRule="auto"/>
        <w:ind w:firstLine="440" w:firstLineChars="200"/>
        <w:jc w:val="left"/>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投标保证金</w:t>
      </w:r>
      <w:r>
        <w:rPr>
          <w:rFonts w:hint="eastAsia" w:ascii="宋体" w:hAnsi="宋体" w:cs="楷体"/>
          <w:color w:val="auto"/>
          <w:kern w:val="0"/>
          <w:sz w:val="22"/>
          <w:szCs w:val="22"/>
          <w:highlight w:val="none"/>
          <w:lang w:val="en-US" w:eastAsia="zh-CN"/>
        </w:rPr>
        <w:t>伍万</w:t>
      </w:r>
      <w:r>
        <w:rPr>
          <w:rFonts w:hint="eastAsia" w:ascii="宋体" w:hAnsi="宋体" w:cs="楷体"/>
          <w:color w:val="auto"/>
          <w:kern w:val="0"/>
          <w:sz w:val="22"/>
          <w:szCs w:val="22"/>
          <w:highlight w:val="none"/>
        </w:rPr>
        <w:t>元整（¥</w:t>
      </w:r>
      <w:r>
        <w:rPr>
          <w:rFonts w:hint="eastAsia" w:ascii="宋体" w:hAnsi="宋体" w:cs="楷体"/>
          <w:color w:val="auto"/>
          <w:kern w:val="0"/>
          <w:sz w:val="22"/>
          <w:szCs w:val="22"/>
          <w:highlight w:val="none"/>
          <w:lang w:val="en-US" w:eastAsia="zh-CN"/>
        </w:rPr>
        <w:t>50</w:t>
      </w:r>
      <w:r>
        <w:rPr>
          <w:rFonts w:hint="eastAsia" w:ascii="宋体" w:hAnsi="宋体" w:cs="楷体"/>
          <w:color w:val="auto"/>
          <w:kern w:val="0"/>
          <w:sz w:val="22"/>
          <w:szCs w:val="22"/>
          <w:highlight w:val="none"/>
        </w:rPr>
        <w:t>00</w:t>
      </w:r>
      <w:r>
        <w:rPr>
          <w:rFonts w:hint="eastAsia" w:ascii="宋体" w:hAnsi="宋体" w:cs="楷体"/>
          <w:color w:val="auto"/>
          <w:kern w:val="0"/>
          <w:sz w:val="22"/>
          <w:szCs w:val="22"/>
          <w:highlight w:val="none"/>
          <w:lang w:val="en-US" w:eastAsia="zh-CN"/>
        </w:rPr>
        <w:t>0</w:t>
      </w:r>
      <w:r>
        <w:rPr>
          <w:rFonts w:hint="eastAsia" w:ascii="宋体" w:hAnsi="宋体" w:cs="楷体"/>
          <w:color w:val="auto"/>
          <w:kern w:val="0"/>
          <w:sz w:val="22"/>
          <w:szCs w:val="22"/>
          <w:highlight w:val="none"/>
        </w:rPr>
        <w:t>元）</w:t>
      </w:r>
    </w:p>
    <w:p>
      <w:pPr>
        <w:widowControl/>
        <w:spacing w:line="360" w:lineRule="auto"/>
        <w:ind w:firstLine="440" w:firstLineChars="200"/>
        <w:jc w:val="lef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投标保证金缴纳截止时间：</w:t>
      </w:r>
      <w:r>
        <w:rPr>
          <w:rFonts w:hint="eastAsia" w:ascii="宋体" w:hAnsi="宋体" w:cs="楷体"/>
          <w:color w:val="auto"/>
          <w:kern w:val="0"/>
          <w:sz w:val="22"/>
          <w:szCs w:val="22"/>
          <w:highlight w:val="none"/>
          <w:lang w:eastAsia="zh-CN"/>
        </w:rPr>
        <w:t>2023年12月</w:t>
      </w:r>
      <w:r>
        <w:rPr>
          <w:rFonts w:hint="eastAsia" w:ascii="宋体" w:hAnsi="宋体" w:cs="楷体"/>
          <w:color w:val="auto"/>
          <w:kern w:val="0"/>
          <w:sz w:val="22"/>
          <w:szCs w:val="22"/>
          <w:highlight w:val="none"/>
          <w:lang w:val="en-US" w:eastAsia="zh-CN"/>
        </w:rPr>
        <w:t>22</w:t>
      </w:r>
      <w:r>
        <w:rPr>
          <w:rFonts w:hint="eastAsia" w:ascii="宋体" w:hAnsi="宋体" w:cs="楷体"/>
          <w:color w:val="auto"/>
          <w:kern w:val="0"/>
          <w:sz w:val="22"/>
          <w:szCs w:val="22"/>
          <w:highlight w:val="none"/>
          <w:lang w:eastAsia="zh-CN"/>
        </w:rPr>
        <w:t>日</w:t>
      </w:r>
      <w:r>
        <w:rPr>
          <w:rFonts w:hint="eastAsia" w:ascii="宋体" w:hAnsi="宋体" w:cs="楷体"/>
          <w:color w:val="auto"/>
          <w:kern w:val="0"/>
          <w:sz w:val="22"/>
          <w:szCs w:val="22"/>
          <w:highlight w:val="none"/>
          <w:lang w:val="en-US" w:eastAsia="zh-CN"/>
        </w:rPr>
        <w:t>09</w:t>
      </w:r>
      <w:r>
        <w:rPr>
          <w:rFonts w:hint="eastAsia" w:ascii="宋体" w:hAnsi="宋体" w:cs="楷体"/>
          <w:color w:val="auto"/>
          <w:kern w:val="0"/>
          <w:sz w:val="22"/>
          <w:szCs w:val="22"/>
          <w:highlight w:val="none"/>
          <w:lang w:eastAsia="zh-CN"/>
        </w:rPr>
        <w:t>：</w:t>
      </w: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lang w:eastAsia="zh-CN"/>
        </w:rPr>
        <w:t>0</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户名：温州市智信招标代理有限公司</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账号： 333504140018800009390</w:t>
      </w:r>
    </w:p>
    <w:p>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开户行：交通银行温州分行瓯海支行</w:t>
      </w:r>
    </w:p>
    <w:p>
      <w:pPr>
        <w:widowControl/>
        <w:spacing w:line="360" w:lineRule="auto"/>
        <w:jc w:val="left"/>
        <w:rPr>
          <w:rFonts w:hint="eastAsia" w:ascii="宋体" w:hAnsi="宋体" w:cs="楷体"/>
          <w:color w:val="auto"/>
          <w:kern w:val="0"/>
          <w:sz w:val="22"/>
          <w:szCs w:val="22"/>
          <w:highlight w:val="none"/>
        </w:rPr>
      </w:pPr>
      <w:r>
        <w:rPr>
          <w:rFonts w:hint="eastAsia" w:ascii="宋体" w:hAnsi="宋体" w:cs="楷体"/>
          <w:b/>
          <w:bCs/>
          <w:color w:val="auto"/>
          <w:kern w:val="0"/>
          <w:sz w:val="22"/>
          <w:szCs w:val="22"/>
          <w:highlight w:val="none"/>
        </w:rPr>
        <w:t>十二、联系人及联系电话</w:t>
      </w:r>
    </w:p>
    <w:p>
      <w:pPr>
        <w:widowControl/>
        <w:spacing w:line="360" w:lineRule="auto"/>
        <w:ind w:firstLine="440" w:firstLineChars="200"/>
        <w:jc w:val="lef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采购人：</w:t>
      </w:r>
      <w:r>
        <w:rPr>
          <w:rFonts w:hint="eastAsia" w:ascii="宋体" w:hAnsi="宋体" w:cs="楷体"/>
          <w:color w:val="auto"/>
          <w:kern w:val="0"/>
          <w:sz w:val="22"/>
          <w:szCs w:val="22"/>
          <w:highlight w:val="none"/>
          <w:lang w:eastAsia="zh-CN"/>
        </w:rPr>
        <w:t>温州市水务集团有限公司工程建设分公司</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地  址：温州市鹿城区东港路118号</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联系人：应先生</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联系方式：0577-88258373</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采购代理机构名称：温州市智信招标代理有限公司</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地址：温州市瓯海区新桥街道高昂路1号牛山广场2号楼1409室</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联系人：苏先生/叶先生</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联系电话： 13626506308/13958779970  传真: 0577-88270122</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采购监督管理部门：温州市公用事业发展集团有限公司纪检监察室    </w:t>
      </w:r>
    </w:p>
    <w:p>
      <w:pPr>
        <w:widowControl/>
        <w:spacing w:line="360" w:lineRule="auto"/>
        <w:ind w:firstLine="440" w:firstLineChars="200"/>
        <w:jc w:val="left"/>
        <w:rPr>
          <w:rFonts w:hint="eastAsia" w:ascii="宋体" w:hAnsi="宋体" w:cs="楷体"/>
          <w:b w:val="0"/>
          <w:bCs w:val="0"/>
          <w:color w:val="auto"/>
          <w:kern w:val="0"/>
          <w:sz w:val="22"/>
          <w:szCs w:val="22"/>
          <w:highlight w:val="none"/>
        </w:rPr>
      </w:pPr>
      <w:r>
        <w:rPr>
          <w:rFonts w:hint="eastAsia" w:ascii="宋体" w:hAnsi="宋体" w:cs="楷体"/>
          <w:b w:val="0"/>
          <w:bCs w:val="0"/>
          <w:color w:val="auto"/>
          <w:kern w:val="0"/>
          <w:sz w:val="22"/>
          <w:szCs w:val="22"/>
          <w:highlight w:val="none"/>
        </w:rPr>
        <w:t>联系人：金女士</w:t>
      </w:r>
    </w:p>
    <w:p>
      <w:pPr>
        <w:widowControl/>
        <w:spacing w:line="360" w:lineRule="auto"/>
        <w:ind w:firstLine="440" w:firstLineChars="200"/>
        <w:jc w:val="left"/>
        <w:rPr>
          <w:rFonts w:hint="eastAsia" w:ascii="宋体" w:hAnsi="宋体" w:cs="楷体"/>
          <w:b w:val="0"/>
          <w:bCs w:val="0"/>
          <w:color w:val="auto"/>
          <w:kern w:val="0"/>
          <w:sz w:val="22"/>
          <w:szCs w:val="22"/>
          <w:highlight w:val="none"/>
        </w:rPr>
      </w:pPr>
      <w:r>
        <w:rPr>
          <w:rFonts w:hint="eastAsia" w:ascii="宋体" w:hAnsi="宋体" w:cs="楷体"/>
          <w:b w:val="0"/>
          <w:bCs w:val="0"/>
          <w:color w:val="auto"/>
          <w:kern w:val="0"/>
          <w:sz w:val="22"/>
          <w:szCs w:val="22"/>
          <w:highlight w:val="none"/>
        </w:rPr>
        <w:t>联系电话：0577-88100892，0577-88100267</w:t>
      </w:r>
    </w:p>
    <w:p>
      <w:pPr>
        <w:widowControl/>
        <w:spacing w:line="360" w:lineRule="auto"/>
        <w:jc w:val="left"/>
        <w:rPr>
          <w:rFonts w:hint="eastAsia" w:ascii="宋体" w:hAnsi="宋体" w:cs="楷体"/>
          <w:b/>
          <w:bCs/>
          <w:color w:val="auto"/>
          <w:kern w:val="0"/>
          <w:sz w:val="22"/>
          <w:szCs w:val="22"/>
          <w:highlight w:val="none"/>
        </w:rPr>
      </w:pPr>
      <w:r>
        <w:rPr>
          <w:rFonts w:hint="eastAsia" w:ascii="宋体" w:hAnsi="宋体" w:cs="楷体"/>
          <w:b/>
          <w:bCs/>
          <w:color w:val="auto"/>
          <w:kern w:val="0"/>
          <w:sz w:val="22"/>
          <w:szCs w:val="22"/>
          <w:highlight w:val="none"/>
        </w:rPr>
        <w:t>十三、其他事项</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1. 采购公告期限：5个工作日。</w:t>
      </w:r>
    </w:p>
    <w:p>
      <w:pPr>
        <w:widowControl/>
        <w:spacing w:line="360" w:lineRule="auto"/>
        <w:ind w:firstLine="440" w:firstLineChars="200"/>
        <w:jc w:val="left"/>
        <w:rPr>
          <w:rFonts w:hint="eastAsia" w:ascii="宋体" w:hAnsi="宋体" w:cs="楷体"/>
          <w:color w:val="auto"/>
          <w:kern w:val="0"/>
          <w:sz w:val="22"/>
          <w:szCs w:val="22"/>
          <w:highlight w:val="none"/>
          <w:u w:val="single"/>
        </w:rPr>
      </w:pPr>
      <w:r>
        <w:rPr>
          <w:rFonts w:hint="eastAsia" w:ascii="宋体" w:hAnsi="宋体" w:cs="楷体"/>
          <w:color w:val="auto"/>
          <w:kern w:val="0"/>
          <w:sz w:val="22"/>
          <w:szCs w:val="22"/>
          <w:highlight w:val="none"/>
        </w:rPr>
        <w:t>2.</w:t>
      </w:r>
      <w:r>
        <w:rPr>
          <w:rFonts w:hint="eastAsia" w:ascii="宋体" w:hAnsi="宋体"/>
          <w:color w:val="auto"/>
          <w:highlight w:val="none"/>
        </w:rPr>
        <w:t xml:space="preserve"> </w:t>
      </w:r>
      <w:r>
        <w:rPr>
          <w:rFonts w:hint="eastAsia" w:ascii="宋体" w:hAnsi="宋体" w:cs="楷体"/>
          <w:color w:val="auto"/>
          <w:kern w:val="0"/>
          <w:sz w:val="22"/>
          <w:szCs w:val="22"/>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公用事业发展集团有限公司的内设监管职能部门投诉。</w:t>
      </w:r>
    </w:p>
    <w:p>
      <w:pPr>
        <w:pStyle w:val="2"/>
        <w:spacing w:line="360" w:lineRule="auto"/>
        <w:ind w:firstLine="440" w:firstLineChars="200"/>
        <w:rPr>
          <w:rFonts w:hint="eastAsia" w:ascii="宋体" w:hAnsi="宋体" w:eastAsia="宋体" w:cs="楷体"/>
          <w:color w:val="auto"/>
          <w:sz w:val="22"/>
          <w:szCs w:val="22"/>
          <w:highlight w:val="none"/>
          <w:u w:val="single"/>
        </w:rPr>
      </w:pPr>
      <w:r>
        <w:rPr>
          <w:rFonts w:hint="eastAsia" w:ascii="宋体" w:hAnsi="宋体" w:eastAsia="宋体" w:cs="楷体"/>
          <w:color w:val="auto"/>
          <w:sz w:val="22"/>
          <w:szCs w:val="22"/>
          <w:highlight w:val="none"/>
          <w:u w:val="single"/>
        </w:rPr>
        <w:t>3.温州市公用事业发展集团有限公司负责对投标供应商反映的企业本部及所属企业在采购活动中出现的违法违规问题进行答疑回复。投标供应商认为</w:t>
      </w:r>
      <w:r>
        <w:rPr>
          <w:rFonts w:hint="eastAsia" w:ascii="宋体" w:hAnsi="宋体" w:cs="楷体"/>
          <w:color w:val="auto"/>
          <w:kern w:val="0"/>
          <w:sz w:val="22"/>
          <w:szCs w:val="22"/>
          <w:highlight w:val="none"/>
          <w:u w:val="single"/>
        </w:rPr>
        <w:t>温州市公用事业发展集团有限公司</w:t>
      </w:r>
      <w:r>
        <w:rPr>
          <w:rFonts w:hint="eastAsia" w:ascii="宋体" w:hAnsi="宋体" w:eastAsia="宋体" w:cs="楷体"/>
          <w:color w:val="auto"/>
          <w:sz w:val="22"/>
          <w:szCs w:val="22"/>
          <w:highlight w:val="none"/>
          <w:u w:val="single"/>
        </w:rPr>
        <w:t>答疑回复处理结果不合法的，可以采购人或代理机构为对象依法向</w:t>
      </w:r>
      <w:r>
        <w:rPr>
          <w:rFonts w:hint="eastAsia" w:ascii="宋体" w:hAnsi="宋体" w:eastAsia="宋体" w:cs="楷体"/>
          <w:color w:val="auto"/>
          <w:sz w:val="22"/>
          <w:szCs w:val="22"/>
          <w:highlight w:val="none"/>
          <w:u w:val="single"/>
          <w:lang w:eastAsia="zh-CN"/>
        </w:rPr>
        <w:t>采购人所在地</w:t>
      </w:r>
      <w:r>
        <w:rPr>
          <w:rFonts w:hint="eastAsia" w:ascii="宋体" w:hAnsi="宋体" w:eastAsia="宋体" w:cs="楷体"/>
          <w:color w:val="auto"/>
          <w:sz w:val="22"/>
          <w:szCs w:val="22"/>
          <w:highlight w:val="none"/>
          <w:u w:val="single"/>
        </w:rPr>
        <w:t>人民法院提起诉讼。</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4.采购公告附件的采购文件仅供阅览使用，未按照本公告规定的方式获取采购文件的潜在供应商提起的质疑采购组织机构将不予受理、答复。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5.采购文件发售截止时间之后潜在投标人仍然可以购买采购文件，但该投标人如对采购文件有疑问应按采购文件规定的询疑截止时间前提出，逾期提出的，采购代理机构可以不予受理、答复。</w:t>
      </w:r>
    </w:p>
    <w:p>
      <w:pPr>
        <w:widowControl/>
        <w:spacing w:line="360" w:lineRule="auto"/>
        <w:ind w:firstLine="440" w:firstLineChars="200"/>
        <w:jc w:val="lef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6.书面质疑受理地点：温州市瓯海区新桥街道高昂路1号牛山广场2号楼1409室，联系人：熊先生 ，联系电话：13676780329</w:t>
      </w:r>
    </w:p>
    <w:p>
      <w:pPr>
        <w:widowControl/>
        <w:spacing w:line="360" w:lineRule="auto"/>
        <w:ind w:firstLine="440" w:firstLineChars="200"/>
        <w:jc w:val="left"/>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7.本项目为入围供货类项目，项目采购预算仅为年度采购量的大致估算，如有效投标供应商不少于4家，则</w:t>
      </w:r>
      <w:r>
        <w:rPr>
          <w:rFonts w:hint="eastAsia" w:ascii="宋体" w:hAnsi="宋体" w:eastAsia="宋体" w:cs="宋体"/>
          <w:color w:val="auto"/>
          <w:kern w:val="0"/>
          <w:sz w:val="22"/>
          <w:szCs w:val="22"/>
          <w:highlight w:val="none"/>
          <w:lang w:val="en-US" w:eastAsia="zh-CN"/>
        </w:rPr>
        <w:t>选取综合评分第一、第二名为中标入围单位，项目合同期内第一名、第二名按照</w:t>
      </w:r>
      <w:r>
        <w:rPr>
          <w:rFonts w:hint="eastAsia" w:ascii="宋体" w:hAnsi="宋体" w:cs="宋体"/>
          <w:color w:val="auto"/>
          <w:kern w:val="0"/>
          <w:sz w:val="22"/>
          <w:szCs w:val="22"/>
          <w:highlight w:val="none"/>
          <w:lang w:val="en-US" w:eastAsia="zh-CN"/>
        </w:rPr>
        <w:t>约55</w:t>
      </w:r>
      <w:r>
        <w:rPr>
          <w:rFonts w:hint="eastAsia" w:ascii="宋体" w:hAnsi="宋体" w:eastAsia="宋体" w:cs="宋体"/>
          <w:color w:val="auto"/>
          <w:kern w:val="0"/>
          <w:sz w:val="22"/>
          <w:szCs w:val="22"/>
          <w:highlight w:val="none"/>
          <w:lang w:val="en-US" w:eastAsia="zh-CN"/>
        </w:rPr>
        <w:t>%、4</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%的分配比例落实采购计划，</w:t>
      </w:r>
      <w:r>
        <w:rPr>
          <w:rFonts w:hint="eastAsia" w:ascii="宋体" w:hAnsi="宋体" w:cs="宋体"/>
          <w:color w:val="auto"/>
          <w:kern w:val="0"/>
          <w:sz w:val="22"/>
          <w:szCs w:val="22"/>
          <w:highlight w:val="none"/>
          <w:lang w:val="en-US" w:eastAsia="zh-CN"/>
        </w:rPr>
        <w:t>如出现有效投标供应商不足4家的，则项目采购按流（废）标处理。</w:t>
      </w:r>
    </w:p>
    <w:p>
      <w:pPr>
        <w:widowControl/>
        <w:spacing w:line="360" w:lineRule="auto"/>
        <w:jc w:val="left"/>
        <w:rPr>
          <w:rFonts w:hint="eastAsia" w:ascii="宋体" w:hAnsi="宋体" w:cs="楷体"/>
          <w:color w:val="auto"/>
          <w:kern w:val="0"/>
          <w:sz w:val="22"/>
          <w:szCs w:val="22"/>
          <w:highlight w:val="none"/>
        </w:rPr>
      </w:pPr>
      <w:r>
        <w:rPr>
          <w:rFonts w:hint="eastAsia" w:ascii="宋体" w:hAnsi="宋体" w:cs="楷体"/>
          <w:b/>
          <w:bCs/>
          <w:color w:val="auto"/>
          <w:kern w:val="0"/>
          <w:sz w:val="22"/>
          <w:szCs w:val="22"/>
          <w:highlight w:val="none"/>
        </w:rPr>
        <w:t>十四、相关附件：</w:t>
      </w:r>
    </w:p>
    <w:p>
      <w:pPr>
        <w:widowControl/>
        <w:spacing w:line="360" w:lineRule="auto"/>
        <w:ind w:firstLine="442" w:firstLineChars="200"/>
        <w:jc w:val="left"/>
        <w:rPr>
          <w:rFonts w:hint="eastAsia" w:ascii="宋体" w:hAnsi="宋体" w:cs="楷体"/>
          <w:color w:val="auto"/>
          <w:kern w:val="0"/>
          <w:sz w:val="22"/>
          <w:szCs w:val="22"/>
          <w:highlight w:val="none"/>
        </w:rPr>
      </w:pPr>
      <w:r>
        <w:rPr>
          <w:rFonts w:hint="eastAsia" w:ascii="宋体" w:hAnsi="宋体" w:cs="楷体"/>
          <w:b/>
          <w:bCs/>
          <w:color w:val="auto"/>
          <w:kern w:val="0"/>
          <w:sz w:val="22"/>
          <w:szCs w:val="22"/>
          <w:highlight w:val="none"/>
        </w:rPr>
        <w:t>采购文件</w:t>
      </w:r>
    </w:p>
    <w:p>
      <w:pPr>
        <w:widowControl/>
        <w:spacing w:line="360" w:lineRule="auto"/>
        <w:jc w:val="right"/>
        <w:rPr>
          <w:rFonts w:hint="eastAsia" w:ascii="宋体" w:hAnsi="宋体" w:cs="楷体"/>
          <w:color w:val="auto"/>
          <w:kern w:val="0"/>
          <w:sz w:val="22"/>
          <w:szCs w:val="22"/>
          <w:highlight w:val="none"/>
        </w:rPr>
      </w:pPr>
    </w:p>
    <w:p>
      <w:pPr>
        <w:widowControl/>
        <w:spacing w:line="360" w:lineRule="auto"/>
        <w:jc w:val="righ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温州市水务集团有限公司工程建设分公司</w:t>
      </w:r>
    </w:p>
    <w:p>
      <w:pPr>
        <w:widowControl/>
        <w:spacing w:line="360" w:lineRule="auto"/>
        <w:jc w:val="right"/>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温州市智信招标代理有限公司</w:t>
      </w:r>
    </w:p>
    <w:p>
      <w:pPr>
        <w:widowControl/>
        <w:spacing w:line="360" w:lineRule="auto"/>
        <w:jc w:val="righ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2023年</w:t>
      </w:r>
      <w:r>
        <w:rPr>
          <w:rFonts w:hint="eastAsia" w:ascii="宋体" w:hAnsi="宋体" w:cs="楷体"/>
          <w:color w:val="auto"/>
          <w:kern w:val="0"/>
          <w:sz w:val="22"/>
          <w:szCs w:val="22"/>
          <w:highlight w:val="none"/>
          <w:lang w:val="en-US" w:eastAsia="zh-CN"/>
        </w:rPr>
        <w:t>12</w:t>
      </w:r>
      <w:r>
        <w:rPr>
          <w:rFonts w:hint="eastAsia" w:ascii="宋体" w:hAnsi="宋体" w:cs="楷体"/>
          <w:color w:val="auto"/>
          <w:kern w:val="0"/>
          <w:sz w:val="22"/>
          <w:szCs w:val="22"/>
          <w:highlight w:val="none"/>
          <w:lang w:eastAsia="zh-CN"/>
        </w:rPr>
        <w:t>月</w:t>
      </w:r>
      <w:r>
        <w:rPr>
          <w:rFonts w:hint="eastAsia" w:ascii="宋体" w:hAnsi="宋体" w:cs="楷体"/>
          <w:color w:val="auto"/>
          <w:kern w:val="0"/>
          <w:sz w:val="22"/>
          <w:szCs w:val="22"/>
          <w:highlight w:val="none"/>
          <w:lang w:val="en-US" w:eastAsia="zh-CN"/>
        </w:rPr>
        <w:t>01</w:t>
      </w:r>
      <w:r>
        <w:rPr>
          <w:rFonts w:hint="eastAsia" w:ascii="宋体" w:hAnsi="宋体" w:cs="楷体"/>
          <w:color w:val="auto"/>
          <w:kern w:val="0"/>
          <w:sz w:val="22"/>
          <w:szCs w:val="22"/>
          <w:highlight w:val="none"/>
          <w:lang w:eastAsia="zh-CN"/>
        </w:rPr>
        <w:t>日</w:t>
      </w:r>
    </w:p>
    <w:p>
      <w:pPr>
        <w:widowControl/>
        <w:spacing w:line="360" w:lineRule="auto"/>
        <w:ind w:left="60" w:right="60" w:firstLine="435"/>
        <w:jc w:val="center"/>
        <w:rPr>
          <w:rStyle w:val="54"/>
          <w:rFonts w:ascii="宋体" w:hAnsi="宋体" w:cs="楷体"/>
          <w:color w:val="auto"/>
          <w:kern w:val="0"/>
          <w:sz w:val="30"/>
          <w:szCs w:val="30"/>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widowControl/>
        <w:tabs>
          <w:tab w:val="left" w:pos="1799"/>
        </w:tabs>
        <w:spacing w:line="360" w:lineRule="auto"/>
        <w:ind w:left="60" w:right="60" w:firstLine="435"/>
        <w:jc w:val="left"/>
        <w:rPr>
          <w:rStyle w:val="54"/>
          <w:rFonts w:hint="eastAsia" w:ascii="宋体" w:hAnsi="宋体" w:cs="楷体"/>
          <w:color w:val="auto"/>
          <w:kern w:val="0"/>
          <w:sz w:val="30"/>
          <w:szCs w:val="30"/>
          <w:highlight w:val="none"/>
          <w:lang w:eastAsia="zh-CN"/>
        </w:rPr>
      </w:pPr>
      <w:r>
        <w:rPr>
          <w:rStyle w:val="54"/>
          <w:rFonts w:hint="eastAsia" w:ascii="宋体" w:hAnsi="宋体" w:cs="楷体"/>
          <w:color w:val="auto"/>
          <w:kern w:val="0"/>
          <w:sz w:val="30"/>
          <w:szCs w:val="30"/>
          <w:highlight w:val="none"/>
          <w:lang w:eastAsia="zh-CN"/>
        </w:rPr>
        <w:tab/>
      </w:r>
    </w:p>
    <w:p>
      <w:pPr>
        <w:pStyle w:val="2"/>
        <w:rPr>
          <w:rStyle w:val="54"/>
          <w:rFonts w:hint="eastAsia" w:ascii="宋体" w:hAnsi="宋体" w:cs="楷体"/>
          <w:color w:val="auto"/>
          <w:kern w:val="0"/>
          <w:sz w:val="30"/>
          <w:szCs w:val="30"/>
          <w:highlight w:val="none"/>
          <w:lang w:eastAsia="zh-CN"/>
        </w:rPr>
      </w:pPr>
    </w:p>
    <w:p>
      <w:pPr>
        <w:rPr>
          <w:rFonts w:hint="eastAsia"/>
          <w:color w:val="auto"/>
          <w:highlight w:val="none"/>
          <w:lang w:eastAsia="zh-CN"/>
        </w:rPr>
      </w:pPr>
    </w:p>
    <w:p>
      <w:pPr>
        <w:pStyle w:val="2"/>
        <w:spacing w:line="360" w:lineRule="auto"/>
        <w:ind w:firstLine="200"/>
        <w:rPr>
          <w:rFonts w:hint="eastAsia" w:ascii="宋体" w:hAnsi="宋体" w:eastAsia="宋体"/>
          <w:color w:val="auto"/>
          <w:highlight w:val="none"/>
        </w:rPr>
      </w:pPr>
    </w:p>
    <w:p>
      <w:pPr>
        <w:pStyle w:val="2"/>
        <w:spacing w:line="360" w:lineRule="auto"/>
        <w:ind w:firstLine="200"/>
        <w:rPr>
          <w:rFonts w:hint="eastAsia" w:ascii="宋体" w:hAnsi="宋体" w:eastAsia="宋体"/>
          <w:color w:val="auto"/>
          <w:highlight w:val="none"/>
        </w:rPr>
      </w:pPr>
    </w:p>
    <w:p>
      <w:pPr>
        <w:pStyle w:val="2"/>
        <w:spacing w:line="360" w:lineRule="auto"/>
        <w:ind w:left="0" w:leftChars="0" w:firstLine="0" w:firstLineChars="0"/>
        <w:rPr>
          <w:rFonts w:hint="eastAsia" w:ascii="宋体" w:hAnsi="宋体" w:eastAsia="宋体"/>
          <w:color w:val="auto"/>
          <w:highlight w:val="none"/>
        </w:rPr>
      </w:pPr>
    </w:p>
    <w:p>
      <w:pPr>
        <w:pStyle w:val="6"/>
        <w:spacing w:line="360" w:lineRule="auto"/>
        <w:rPr>
          <w:rFonts w:ascii="宋体" w:hAnsi="宋体" w:eastAsia="宋体" w:cs="楷体"/>
          <w:color w:val="auto"/>
          <w:sz w:val="32"/>
          <w:szCs w:val="32"/>
          <w:highlight w:val="none"/>
        </w:rPr>
      </w:pPr>
      <w:bookmarkStart w:id="4" w:name="_Toc27247"/>
      <w:r>
        <w:rPr>
          <w:rFonts w:hint="eastAsia" w:ascii="宋体" w:hAnsi="宋体" w:eastAsia="宋体" w:cs="楷体"/>
          <w:color w:val="auto"/>
          <w:sz w:val="32"/>
          <w:szCs w:val="32"/>
          <w:highlight w:val="none"/>
          <w:lang w:eastAsia="zh-CN"/>
        </w:rPr>
        <w:t>温州市公用集团</w:t>
      </w:r>
      <w:r>
        <w:rPr>
          <w:rFonts w:hint="eastAsia" w:ascii="宋体" w:hAnsi="宋体" w:eastAsia="宋体" w:cs="楷体"/>
          <w:color w:val="auto"/>
          <w:sz w:val="32"/>
          <w:szCs w:val="32"/>
          <w:highlight w:val="none"/>
        </w:rPr>
        <w:t>所属</w:t>
      </w:r>
      <w:r>
        <w:rPr>
          <w:rFonts w:hint="eastAsia" w:ascii="宋体" w:hAnsi="宋体" w:eastAsia="宋体" w:cs="楷体"/>
          <w:color w:val="auto"/>
          <w:sz w:val="32"/>
          <w:szCs w:val="32"/>
          <w:highlight w:val="none"/>
          <w:lang w:eastAsia="zh-CN"/>
        </w:rPr>
        <w:t>温州市水务集团有限公司工程建设分公司</w:t>
      </w:r>
      <w:r>
        <w:rPr>
          <w:rFonts w:hint="eastAsia" w:ascii="宋体" w:hAnsi="宋体" w:eastAsia="宋体" w:cs="楷体"/>
          <w:color w:val="auto"/>
          <w:sz w:val="32"/>
          <w:szCs w:val="32"/>
          <w:highlight w:val="none"/>
        </w:rPr>
        <w:t>关于</w:t>
      </w:r>
      <w:r>
        <w:rPr>
          <w:rFonts w:hint="eastAsia" w:ascii="宋体" w:hAnsi="宋体" w:eastAsia="宋体" w:cs="楷体"/>
          <w:color w:val="auto"/>
          <w:sz w:val="32"/>
          <w:szCs w:val="32"/>
          <w:highlight w:val="none"/>
          <w:lang w:eastAsia="zh-CN"/>
        </w:rPr>
        <w:t>钢纤维混凝土井盖系列年度供应商</w:t>
      </w:r>
      <w:r>
        <w:rPr>
          <w:rFonts w:hint="eastAsia" w:ascii="宋体" w:hAnsi="宋体" w:eastAsia="宋体" w:cs="楷体"/>
          <w:color w:val="auto"/>
          <w:sz w:val="32"/>
          <w:szCs w:val="32"/>
          <w:highlight w:val="none"/>
        </w:rPr>
        <w:t>项目（其他类）的征求意见公示</w:t>
      </w:r>
      <w:bookmarkEnd w:id="4"/>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温州市智信招标代理有限公司就</w:t>
      </w:r>
      <w:r>
        <w:rPr>
          <w:rFonts w:hint="eastAsia" w:ascii="宋体" w:hAnsi="宋体" w:cs="楷体"/>
          <w:color w:val="auto"/>
          <w:kern w:val="0"/>
          <w:sz w:val="22"/>
          <w:szCs w:val="22"/>
          <w:highlight w:val="none"/>
          <w:lang w:eastAsia="zh-CN"/>
        </w:rPr>
        <w:t>温州市水务集团有限公司工程建设分公司</w:t>
      </w:r>
      <w:r>
        <w:rPr>
          <w:rFonts w:hint="eastAsia" w:ascii="宋体" w:hAnsi="宋体" w:cs="楷体"/>
          <w:color w:val="auto"/>
          <w:kern w:val="0"/>
          <w:sz w:val="22"/>
          <w:szCs w:val="22"/>
          <w:highlight w:val="none"/>
        </w:rPr>
        <w:t>所需</w:t>
      </w:r>
      <w:r>
        <w:rPr>
          <w:rFonts w:hint="eastAsia" w:ascii="宋体" w:hAnsi="宋体" w:cs="楷体"/>
          <w:color w:val="auto"/>
          <w:kern w:val="0"/>
          <w:sz w:val="22"/>
          <w:szCs w:val="22"/>
          <w:highlight w:val="none"/>
          <w:lang w:eastAsia="zh-CN"/>
        </w:rPr>
        <w:t>钢纤维混凝土井盖系列年度供应商</w:t>
      </w:r>
      <w:r>
        <w:rPr>
          <w:rFonts w:hint="eastAsia" w:ascii="宋体" w:hAnsi="宋体" w:cs="楷体"/>
          <w:color w:val="auto"/>
          <w:kern w:val="0"/>
          <w:sz w:val="22"/>
          <w:szCs w:val="22"/>
          <w:highlight w:val="none"/>
        </w:rPr>
        <w:t>项目以公开招标方式进行国有企业采购。现将采购文件公布如下,并公开征求供应商及专家意见。</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一、征求意见范围：</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1.是否出现明显的倾向性意见和特定的性能指标；</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2.供应商资格条件是否具有明显倾向性和歧视性；</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3.影响国有企业采购“公开、公平、公正”原则的其他情况。 </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二、征求意见的回复：</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  各供应商及专家提出修改理由和建议的，请于2023年</w:t>
      </w:r>
      <w:r>
        <w:rPr>
          <w:rFonts w:hint="eastAsia" w:ascii="宋体" w:hAnsi="宋体" w:cs="楷体"/>
          <w:color w:val="auto"/>
          <w:kern w:val="0"/>
          <w:sz w:val="22"/>
          <w:szCs w:val="22"/>
          <w:highlight w:val="none"/>
          <w:lang w:val="en-US" w:eastAsia="zh-CN"/>
        </w:rPr>
        <w:t>12</w:t>
      </w:r>
      <w:r>
        <w:rPr>
          <w:rFonts w:hint="eastAsia" w:ascii="宋体" w:hAnsi="宋体" w:cs="楷体"/>
          <w:color w:val="auto"/>
          <w:kern w:val="0"/>
          <w:sz w:val="22"/>
          <w:szCs w:val="22"/>
          <w:highlight w:val="none"/>
        </w:rPr>
        <w:t>月</w:t>
      </w:r>
      <w:r>
        <w:rPr>
          <w:rFonts w:hint="eastAsia" w:ascii="宋体" w:hAnsi="宋体" w:cs="楷体"/>
          <w:color w:val="auto"/>
          <w:kern w:val="0"/>
          <w:sz w:val="22"/>
          <w:szCs w:val="22"/>
          <w:highlight w:val="none"/>
          <w:lang w:val="en-US" w:eastAsia="zh-CN"/>
        </w:rPr>
        <w:t>06</w:t>
      </w:r>
      <w:r>
        <w:rPr>
          <w:rFonts w:hint="eastAsia" w:ascii="宋体" w:hAnsi="宋体" w:cs="楷体"/>
          <w:color w:val="auto"/>
          <w:kern w:val="0"/>
          <w:sz w:val="22"/>
          <w:szCs w:val="22"/>
          <w:highlight w:val="none"/>
        </w:rPr>
        <w:t>日下午17:00前（节假日除外）将书面材料签字（盖章）并密封后送至温州市瓯海区新桥街道高昂路1号牛山广场2号楼1409室，外地可传真送达，传真：0577-88270122，传真件必须签字（盖章）。同时将电子文档发送至以下信箱：43759625@qq.com 。</w:t>
      </w:r>
    </w:p>
    <w:p>
      <w:pPr>
        <w:widowControl/>
        <w:spacing w:line="360" w:lineRule="auto"/>
        <w:ind w:left="60" w:right="60" w:firstLine="435"/>
        <w:jc w:val="left"/>
        <w:rPr>
          <w:rFonts w:ascii="宋体" w:hAnsi="宋体" w:cs="楷体"/>
          <w:color w:val="auto"/>
          <w:sz w:val="22"/>
          <w:szCs w:val="22"/>
          <w:highlight w:val="none"/>
        </w:rPr>
      </w:pPr>
      <w:r>
        <w:rPr>
          <w:rFonts w:hint="eastAsia" w:ascii="宋体" w:hAnsi="宋体" w:cs="楷体"/>
          <w:color w:val="auto"/>
          <w:kern w:val="0"/>
          <w:sz w:val="22"/>
          <w:szCs w:val="22"/>
          <w:highlight w:val="none"/>
        </w:rPr>
        <w:t> 联系人：熊先生 联系电话：13676780329。对逾期送达的意见、建议书恕不接受。</w:t>
      </w:r>
    </w:p>
    <w:p>
      <w:pPr>
        <w:widowControl/>
        <w:spacing w:line="360" w:lineRule="auto"/>
        <w:jc w:val="right"/>
        <w:rPr>
          <w:rFonts w:ascii="宋体" w:hAnsi="宋体" w:cs="楷体"/>
          <w:color w:val="auto"/>
          <w:szCs w:val="21"/>
          <w:highlight w:val="none"/>
        </w:rPr>
      </w:pPr>
      <w:r>
        <w:rPr>
          <w:rFonts w:hint="eastAsia" w:ascii="宋体" w:hAnsi="宋体" w:cs="楷体"/>
          <w:color w:val="auto"/>
          <w:kern w:val="0"/>
          <w:sz w:val="22"/>
          <w:szCs w:val="22"/>
          <w:highlight w:val="none"/>
        </w:rPr>
        <w:t> </w:t>
      </w:r>
    </w:p>
    <w:p>
      <w:pPr>
        <w:widowControl/>
        <w:spacing w:line="360" w:lineRule="auto"/>
        <w:jc w:val="right"/>
        <w:rPr>
          <w:rFonts w:ascii="宋体" w:hAnsi="宋体" w:cs="楷体"/>
          <w:color w:val="auto"/>
          <w:szCs w:val="21"/>
          <w:highlight w:val="none"/>
        </w:rPr>
      </w:pPr>
      <w:r>
        <w:rPr>
          <w:rFonts w:hint="eastAsia" w:ascii="宋体" w:hAnsi="宋体" w:cs="楷体"/>
          <w:color w:val="auto"/>
          <w:kern w:val="0"/>
          <w:sz w:val="22"/>
          <w:szCs w:val="22"/>
          <w:highlight w:val="none"/>
        </w:rPr>
        <w:t> </w:t>
      </w:r>
    </w:p>
    <w:p>
      <w:pPr>
        <w:widowControl/>
        <w:spacing w:line="360" w:lineRule="auto"/>
        <w:jc w:val="right"/>
        <w:rPr>
          <w:rFonts w:ascii="宋体" w:hAnsi="宋体" w:cs="楷体"/>
          <w:color w:val="auto"/>
          <w:szCs w:val="21"/>
          <w:highlight w:val="none"/>
        </w:rPr>
      </w:pPr>
      <w:r>
        <w:rPr>
          <w:rFonts w:hint="eastAsia" w:ascii="宋体" w:hAnsi="宋体" w:cs="楷体"/>
          <w:color w:val="auto"/>
          <w:kern w:val="0"/>
          <w:sz w:val="22"/>
          <w:szCs w:val="22"/>
          <w:highlight w:val="none"/>
        </w:rPr>
        <w:t> </w:t>
      </w:r>
    </w:p>
    <w:p>
      <w:pPr>
        <w:widowControl/>
        <w:spacing w:line="360" w:lineRule="auto"/>
        <w:jc w:val="right"/>
        <w:rPr>
          <w:rFonts w:ascii="宋体" w:hAnsi="宋体" w:cs="楷体"/>
          <w:color w:val="auto"/>
          <w:szCs w:val="21"/>
          <w:highlight w:val="none"/>
        </w:rPr>
      </w:pPr>
      <w:r>
        <w:rPr>
          <w:rFonts w:hint="eastAsia" w:ascii="宋体" w:hAnsi="宋体" w:cs="楷体"/>
          <w:color w:val="auto"/>
          <w:kern w:val="0"/>
          <w:sz w:val="22"/>
          <w:szCs w:val="22"/>
          <w:highlight w:val="none"/>
        </w:rPr>
        <w:t> </w:t>
      </w:r>
    </w:p>
    <w:p>
      <w:pPr>
        <w:widowControl/>
        <w:spacing w:line="360" w:lineRule="auto"/>
        <w:jc w:val="right"/>
        <w:rPr>
          <w:rFonts w:hint="eastAsia" w:ascii="宋体" w:hAnsi="宋体" w:eastAsia="宋体" w:cs="楷体"/>
          <w:color w:val="auto"/>
          <w:szCs w:val="21"/>
          <w:highlight w:val="none"/>
          <w:lang w:eastAsia="zh-CN"/>
        </w:rPr>
      </w:pPr>
      <w:r>
        <w:rPr>
          <w:rFonts w:hint="eastAsia" w:ascii="宋体" w:hAnsi="宋体" w:cs="楷体"/>
          <w:color w:val="auto"/>
          <w:kern w:val="0"/>
          <w:sz w:val="22"/>
          <w:szCs w:val="22"/>
          <w:highlight w:val="none"/>
          <w:lang w:eastAsia="zh-CN"/>
        </w:rPr>
        <w:t>温州市水务集团有限公司工程建设分公司</w:t>
      </w:r>
    </w:p>
    <w:p>
      <w:pPr>
        <w:widowControl/>
        <w:spacing w:line="360" w:lineRule="auto"/>
        <w:jc w:val="right"/>
        <w:rPr>
          <w:rFonts w:ascii="宋体" w:hAnsi="宋体" w:cs="楷体"/>
          <w:color w:val="auto"/>
          <w:szCs w:val="21"/>
          <w:highlight w:val="none"/>
        </w:rPr>
      </w:pPr>
      <w:r>
        <w:rPr>
          <w:rFonts w:hint="eastAsia" w:ascii="宋体" w:hAnsi="宋体" w:cs="楷体"/>
          <w:color w:val="auto"/>
          <w:kern w:val="0"/>
          <w:sz w:val="22"/>
          <w:szCs w:val="22"/>
          <w:highlight w:val="none"/>
        </w:rPr>
        <w:t>温州市智信招标代理有限公司</w:t>
      </w:r>
    </w:p>
    <w:p>
      <w:pPr>
        <w:widowControl/>
        <w:spacing w:line="360" w:lineRule="auto"/>
        <w:jc w:val="right"/>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2023年</w:t>
      </w:r>
      <w:r>
        <w:rPr>
          <w:rFonts w:hint="eastAsia" w:ascii="宋体" w:hAnsi="宋体" w:cs="楷体"/>
          <w:color w:val="auto"/>
          <w:kern w:val="0"/>
          <w:sz w:val="22"/>
          <w:szCs w:val="22"/>
          <w:highlight w:val="none"/>
          <w:lang w:val="en-US" w:eastAsia="zh-CN"/>
        </w:rPr>
        <w:t>12</w:t>
      </w:r>
      <w:r>
        <w:rPr>
          <w:rFonts w:hint="eastAsia" w:ascii="宋体" w:hAnsi="宋体" w:cs="楷体"/>
          <w:color w:val="auto"/>
          <w:kern w:val="0"/>
          <w:sz w:val="22"/>
          <w:szCs w:val="22"/>
          <w:highlight w:val="none"/>
          <w:lang w:eastAsia="zh-CN"/>
        </w:rPr>
        <w:t>月</w:t>
      </w:r>
      <w:r>
        <w:rPr>
          <w:rFonts w:hint="eastAsia" w:ascii="宋体" w:hAnsi="宋体" w:cs="楷体"/>
          <w:color w:val="auto"/>
          <w:kern w:val="0"/>
          <w:sz w:val="22"/>
          <w:szCs w:val="22"/>
          <w:highlight w:val="none"/>
          <w:lang w:val="en-US" w:eastAsia="zh-CN"/>
        </w:rPr>
        <w:t>01</w:t>
      </w:r>
      <w:r>
        <w:rPr>
          <w:rFonts w:hint="eastAsia" w:ascii="宋体" w:hAnsi="宋体" w:cs="楷体"/>
          <w:color w:val="auto"/>
          <w:kern w:val="0"/>
          <w:sz w:val="22"/>
          <w:szCs w:val="22"/>
          <w:highlight w:val="none"/>
          <w:lang w:eastAsia="zh-CN"/>
        </w:rPr>
        <w:t>日</w:t>
      </w:r>
    </w:p>
    <w:p>
      <w:pPr>
        <w:widowControl/>
        <w:spacing w:before="60" w:after="60" w:line="360" w:lineRule="auto"/>
        <w:ind w:right="60"/>
        <w:jc w:val="right"/>
        <w:rPr>
          <w:rFonts w:hint="eastAsia" w:ascii="宋体" w:hAnsi="宋体" w:cs="楷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pStyle w:val="2"/>
        <w:spacing w:line="360" w:lineRule="auto"/>
        <w:ind w:firstLine="200"/>
        <w:rPr>
          <w:rFonts w:ascii="宋体" w:hAnsi="宋体" w:eastAsia="宋体"/>
          <w:color w:val="auto"/>
          <w:highlight w:val="none"/>
        </w:rPr>
      </w:pPr>
    </w:p>
    <w:p>
      <w:pPr>
        <w:rPr>
          <w:rFonts w:ascii="宋体" w:hAnsi="宋体" w:cs="楷体"/>
          <w:color w:val="auto"/>
          <w:highlight w:val="none"/>
        </w:rPr>
      </w:pPr>
    </w:p>
    <w:p>
      <w:pPr>
        <w:pStyle w:val="6"/>
        <w:rPr>
          <w:rFonts w:ascii="宋体" w:hAnsi="宋体" w:eastAsia="宋体" w:cs="楷体"/>
          <w:color w:val="auto"/>
          <w:sz w:val="36"/>
          <w:szCs w:val="36"/>
          <w:highlight w:val="none"/>
        </w:rPr>
      </w:pPr>
      <w:bookmarkStart w:id="5" w:name="_Toc1139"/>
      <w:r>
        <w:rPr>
          <w:rFonts w:hint="eastAsia" w:ascii="宋体" w:hAnsi="宋体" w:eastAsia="宋体" w:cs="楷体"/>
          <w:color w:val="auto"/>
          <w:sz w:val="36"/>
          <w:szCs w:val="36"/>
          <w:highlight w:val="none"/>
        </w:rPr>
        <w:t>投标人须知前附表</w:t>
      </w:r>
      <w:bookmarkEnd w:id="5"/>
    </w:p>
    <w:tbl>
      <w:tblPr>
        <w:tblStyle w:val="51"/>
        <w:tblW w:w="9743" w:type="dxa"/>
        <w:tblInd w:w="0" w:type="dxa"/>
        <w:tblLayout w:type="fixed"/>
        <w:tblCellMar>
          <w:top w:w="0" w:type="dxa"/>
          <w:left w:w="108" w:type="dxa"/>
          <w:bottom w:w="0" w:type="dxa"/>
          <w:right w:w="108" w:type="dxa"/>
        </w:tblCellMar>
      </w:tblPr>
      <w:tblGrid>
        <w:gridCol w:w="1036"/>
        <w:gridCol w:w="12"/>
        <w:gridCol w:w="1656"/>
        <w:gridCol w:w="31"/>
        <w:gridCol w:w="7008"/>
      </w:tblGrid>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序号</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条款名称</w:t>
            </w:r>
          </w:p>
        </w:tc>
        <w:tc>
          <w:tcPr>
            <w:tcW w:w="7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编列内容</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采购人</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采购人：</w:t>
            </w:r>
            <w:r>
              <w:rPr>
                <w:rFonts w:hint="eastAsia" w:ascii="宋体" w:hAnsi="宋体" w:cs="楷体"/>
                <w:color w:val="auto"/>
                <w:kern w:val="0"/>
                <w:sz w:val="22"/>
                <w:szCs w:val="22"/>
                <w:highlight w:val="none"/>
                <w:lang w:eastAsia="zh-CN"/>
              </w:rPr>
              <w:t>温州市水务集团有限公司工程建设分公司</w:t>
            </w:r>
          </w:p>
          <w:p>
            <w:pPr>
              <w:rPr>
                <w:rFonts w:hint="eastAsia" w:ascii="宋体" w:hAnsi="宋体" w:eastAsia="宋体" w:cs="楷体"/>
                <w:color w:val="auto"/>
                <w:kern w:val="0"/>
                <w:sz w:val="22"/>
                <w:szCs w:val="22"/>
                <w:highlight w:val="none"/>
                <w:lang w:eastAsia="zh-CN"/>
              </w:rPr>
            </w:pPr>
            <w:r>
              <w:rPr>
                <w:rFonts w:hint="eastAsia" w:ascii="宋体" w:hAnsi="宋体" w:eastAsia="宋体" w:cs="楷体"/>
                <w:color w:val="auto"/>
                <w:kern w:val="0"/>
                <w:sz w:val="22"/>
                <w:szCs w:val="22"/>
                <w:highlight w:val="none"/>
                <w:lang w:eastAsia="zh-CN"/>
              </w:rPr>
              <w:t>地  址：温州市鹿城区东港路118号</w:t>
            </w:r>
          </w:p>
          <w:p>
            <w:pPr>
              <w:rPr>
                <w:rFonts w:hint="eastAsia" w:ascii="宋体" w:hAnsi="宋体" w:eastAsia="宋体" w:cs="楷体"/>
                <w:color w:val="auto"/>
                <w:kern w:val="0"/>
                <w:sz w:val="22"/>
                <w:szCs w:val="22"/>
                <w:highlight w:val="none"/>
                <w:lang w:eastAsia="zh-CN"/>
              </w:rPr>
            </w:pPr>
            <w:r>
              <w:rPr>
                <w:rFonts w:hint="eastAsia" w:ascii="宋体" w:hAnsi="宋体" w:eastAsia="宋体" w:cs="楷体"/>
                <w:color w:val="auto"/>
                <w:kern w:val="0"/>
                <w:sz w:val="22"/>
                <w:szCs w:val="22"/>
                <w:highlight w:val="none"/>
                <w:lang w:eastAsia="zh-CN"/>
              </w:rPr>
              <w:t>联系人：应先生</w:t>
            </w:r>
          </w:p>
          <w:p>
            <w:pPr>
              <w:rPr>
                <w:rFonts w:hint="eastAsia" w:ascii="宋体" w:hAnsi="宋体" w:eastAsia="宋体" w:cs="楷体"/>
                <w:color w:val="auto"/>
                <w:kern w:val="0"/>
                <w:sz w:val="22"/>
                <w:szCs w:val="22"/>
                <w:highlight w:val="none"/>
                <w:lang w:eastAsia="zh-CN"/>
              </w:rPr>
            </w:pPr>
            <w:r>
              <w:rPr>
                <w:rFonts w:hint="eastAsia" w:ascii="宋体" w:hAnsi="宋体" w:eastAsia="宋体" w:cs="楷体"/>
                <w:color w:val="auto"/>
                <w:kern w:val="0"/>
                <w:sz w:val="22"/>
                <w:szCs w:val="22"/>
                <w:highlight w:val="none"/>
                <w:lang w:eastAsia="zh-CN"/>
              </w:rPr>
              <w:t>联系方式：0577-88258373</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采购代理机构</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代理机构名称：温州市智信招标代理有限公司</w:t>
            </w:r>
          </w:p>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代理机构地址：温州市瓯海区新桥街道高昂路1号牛山广场2号楼1409室</w:t>
            </w:r>
          </w:p>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联系人：苏先生/叶先生</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联系电话： 13626506308/13958779970</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3</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rPr>
              <w:t>项目名称</w:t>
            </w:r>
            <w:r>
              <w:rPr>
                <w:rFonts w:hint="eastAsia" w:ascii="宋体" w:hAnsi="宋体" w:cs="楷体"/>
                <w:color w:val="auto"/>
                <w:kern w:val="0"/>
                <w:sz w:val="22"/>
                <w:szCs w:val="22"/>
                <w:highlight w:val="none"/>
                <w:lang w:val="en-US" w:eastAsia="zh-CN"/>
              </w:rPr>
              <w:t>及编号</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val="en-US" w:eastAsia="zh-CN"/>
              </w:rPr>
              <w:t>项目名称：</w:t>
            </w:r>
            <w:r>
              <w:rPr>
                <w:rFonts w:hint="eastAsia" w:ascii="宋体" w:hAnsi="宋体" w:cs="楷体"/>
                <w:color w:val="auto"/>
                <w:kern w:val="0"/>
                <w:sz w:val="22"/>
                <w:szCs w:val="22"/>
                <w:highlight w:val="none"/>
                <w:lang w:eastAsia="zh-CN"/>
              </w:rPr>
              <w:t>钢纤维混凝土井盖系列年度供应商</w:t>
            </w:r>
          </w:p>
          <w:p>
            <w:pPr>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采购编号：</w:t>
            </w:r>
            <w:r>
              <w:rPr>
                <w:rFonts w:hint="eastAsia" w:ascii="宋体" w:hAnsi="宋体" w:cs="楷体"/>
                <w:color w:val="auto"/>
                <w:kern w:val="0"/>
                <w:sz w:val="22"/>
                <w:szCs w:val="22"/>
                <w:highlight w:val="none"/>
                <w:lang w:val="en-US" w:eastAsia="zh-CN"/>
              </w:rPr>
              <w:t>GCJSFGSCG-2023037</w:t>
            </w:r>
          </w:p>
        </w:tc>
      </w:tr>
      <w:tr>
        <w:tblPrEx>
          <w:tblCellMar>
            <w:top w:w="0" w:type="dxa"/>
            <w:left w:w="108" w:type="dxa"/>
            <w:bottom w:w="0" w:type="dxa"/>
            <w:right w:w="108" w:type="dxa"/>
          </w:tblCellMar>
        </w:tblPrEx>
        <w:trPr>
          <w:trHeight w:val="815"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4</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采购内容</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eastAsia="宋体" w:cs="宋体"/>
                <w:bCs/>
                <w:strike w:val="0"/>
                <w:dstrike w:val="0"/>
                <w:color w:val="auto"/>
                <w:kern w:val="0"/>
                <w:sz w:val="22"/>
                <w:szCs w:val="22"/>
                <w:highlight w:val="none"/>
                <w:lang w:val="en-US" w:eastAsia="zh-CN"/>
              </w:rPr>
              <w:t>钢纤维混凝土井盖系列年度供应商入围，具体内容详见采购文件第四部分。</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5</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楷体"/>
                <w:color w:val="auto"/>
                <w:kern w:val="0"/>
                <w:sz w:val="22"/>
                <w:szCs w:val="22"/>
                <w:highlight w:val="none"/>
              </w:rPr>
            </w:pPr>
            <w:r>
              <w:rPr>
                <w:rFonts w:hint="eastAsia" w:ascii="宋体" w:hAnsi="宋体" w:eastAsia="宋体" w:cs="宋体"/>
                <w:color w:val="auto"/>
                <w:kern w:val="0"/>
                <w:sz w:val="22"/>
                <w:szCs w:val="22"/>
                <w:highlight w:val="none"/>
                <w:lang w:val="en-US" w:eastAsia="zh-CN"/>
              </w:rPr>
              <w:t>后续采购规则及供货时间</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（1）后</w:t>
            </w:r>
            <w:r>
              <w:rPr>
                <w:rFonts w:hint="eastAsia" w:ascii="宋体" w:hAnsi="宋体" w:cs="宋体"/>
                <w:color w:val="auto"/>
                <w:kern w:val="0"/>
                <w:sz w:val="22"/>
                <w:szCs w:val="22"/>
                <w:highlight w:val="none"/>
                <w:lang w:val="en-US" w:eastAsia="zh-CN"/>
              </w:rPr>
              <w:t>续</w:t>
            </w:r>
            <w:r>
              <w:rPr>
                <w:rFonts w:hint="eastAsia" w:ascii="宋体" w:hAnsi="宋体" w:eastAsia="宋体" w:cs="宋体"/>
                <w:color w:val="auto"/>
                <w:kern w:val="0"/>
                <w:sz w:val="22"/>
                <w:szCs w:val="22"/>
                <w:highlight w:val="none"/>
                <w:lang w:val="en-US" w:eastAsia="zh-CN"/>
              </w:rPr>
              <w:t>采购规则</w:t>
            </w:r>
          </w:p>
          <w:p>
            <w:pP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本项目选取综合评分第一、第二名为中标入围单位，项目合同期内第一名、第二名按照</w:t>
            </w:r>
            <w:r>
              <w:rPr>
                <w:rFonts w:hint="eastAsia" w:ascii="宋体" w:hAnsi="宋体" w:cs="宋体"/>
                <w:color w:val="auto"/>
                <w:kern w:val="0"/>
                <w:sz w:val="22"/>
                <w:szCs w:val="22"/>
                <w:highlight w:val="none"/>
                <w:lang w:val="en-US" w:eastAsia="zh-CN"/>
              </w:rPr>
              <w:t>约55</w:t>
            </w:r>
            <w:r>
              <w:rPr>
                <w:rFonts w:hint="eastAsia" w:ascii="宋体" w:hAnsi="宋体" w:eastAsia="宋体" w:cs="宋体"/>
                <w:color w:val="auto"/>
                <w:kern w:val="0"/>
                <w:sz w:val="22"/>
                <w:szCs w:val="22"/>
                <w:highlight w:val="none"/>
                <w:lang w:val="en-US" w:eastAsia="zh-CN"/>
              </w:rPr>
              <w:t>%、4</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%的分配比例落实采购计划，按固定综合单价进行合同结算。</w:t>
            </w:r>
          </w:p>
          <w:p>
            <w:pPr>
              <w:rPr>
                <w:rFonts w:hint="eastAsia" w:ascii="宋体" w:hAnsi="宋体" w:eastAsia="宋体" w:cs="楷体"/>
                <w:color w:val="auto"/>
                <w:kern w:val="0"/>
                <w:sz w:val="22"/>
                <w:szCs w:val="22"/>
                <w:highlight w:val="none"/>
                <w:lang w:val="en-US" w:eastAsia="zh-CN"/>
              </w:rPr>
            </w:pPr>
            <w:r>
              <w:rPr>
                <w:rFonts w:hint="eastAsia" w:ascii="宋体" w:hAnsi="宋体" w:eastAsia="宋体" w:cs="楷体"/>
                <w:color w:val="auto"/>
                <w:kern w:val="0"/>
                <w:sz w:val="22"/>
                <w:szCs w:val="22"/>
                <w:highlight w:val="none"/>
                <w:lang w:val="en-US" w:eastAsia="zh-CN"/>
              </w:rPr>
              <w:t>（2）供货时间：</w:t>
            </w:r>
          </w:p>
          <w:p>
            <w:pPr>
              <w:rPr>
                <w:rFonts w:ascii="宋体" w:hAnsi="宋体" w:cs="楷体"/>
                <w:color w:val="auto"/>
                <w:kern w:val="0"/>
                <w:sz w:val="22"/>
                <w:szCs w:val="22"/>
                <w:highlight w:val="none"/>
              </w:rPr>
            </w:pPr>
            <w:r>
              <w:rPr>
                <w:rFonts w:hint="eastAsia" w:ascii="宋体" w:hAnsi="宋体" w:eastAsia="宋体" w:cs="楷体"/>
                <w:color w:val="auto"/>
                <w:kern w:val="0"/>
                <w:sz w:val="22"/>
                <w:szCs w:val="22"/>
                <w:highlight w:val="none"/>
                <w:lang w:val="en-US" w:eastAsia="zh-CN"/>
              </w:rPr>
              <w:t>供应商入围期限</w:t>
            </w:r>
            <w:r>
              <w:rPr>
                <w:rFonts w:hint="eastAsia" w:ascii="宋体" w:hAnsi="宋体" w:cs="楷体"/>
                <w:color w:val="auto"/>
                <w:kern w:val="0"/>
                <w:sz w:val="22"/>
                <w:szCs w:val="22"/>
                <w:highlight w:val="none"/>
                <w:lang w:val="en-US" w:eastAsia="zh-CN"/>
              </w:rPr>
              <w:t>1</w:t>
            </w:r>
            <w:r>
              <w:rPr>
                <w:rFonts w:hint="eastAsia" w:ascii="宋体" w:hAnsi="宋体" w:eastAsia="宋体" w:cs="楷体"/>
                <w:color w:val="auto"/>
                <w:kern w:val="0"/>
                <w:sz w:val="22"/>
                <w:szCs w:val="22"/>
                <w:highlight w:val="none"/>
                <w:lang w:val="en-US" w:eastAsia="zh-CN"/>
              </w:rPr>
              <w:t>年</w:t>
            </w:r>
            <w:r>
              <w:rPr>
                <w:rFonts w:hint="eastAsia" w:ascii="宋体" w:hAnsi="宋体" w:eastAsia="宋体" w:cs="楷体"/>
                <w:color w:val="auto"/>
                <w:kern w:val="0"/>
                <w:sz w:val="22"/>
                <w:szCs w:val="22"/>
                <w:highlight w:val="none"/>
                <w:lang w:eastAsia="zh-CN"/>
              </w:rPr>
              <w:t>。</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6</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投标人资格</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要求</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1.符合《温州市市属国有企业采购管理办法（试行）》第十五条对投标供应商参加温州市国有企业采购活动应当具备的条件的要求；</w:t>
            </w:r>
          </w:p>
          <w:p>
            <w:pPr>
              <w:rPr>
                <w:rFonts w:hint="eastAsia" w:ascii="宋体" w:hAnsi="宋体" w:cs="楷体"/>
                <w:color w:val="auto"/>
                <w:sz w:val="22"/>
                <w:szCs w:val="22"/>
                <w:highlight w:val="none"/>
              </w:rPr>
            </w:pPr>
            <w:r>
              <w:rPr>
                <w:rFonts w:hint="eastAsia" w:ascii="宋体" w:hAnsi="宋体" w:cs="楷体"/>
                <w:color w:val="auto"/>
                <w:sz w:val="22"/>
                <w:szCs w:val="22"/>
                <w:highlight w:val="none"/>
              </w:rPr>
              <w:t>2.投标人未被“信用中国”（www.creditchina.gov.cn）、中国政府采购网（www.ccgp.gov.cn）列入失信被执行人、重大税收违法案件当事人名单、政府采购严重违法失信行为记录名单。</w:t>
            </w:r>
          </w:p>
          <w:p>
            <w:pPr>
              <w:pStyle w:val="2"/>
              <w:spacing w:after="0"/>
              <w:ind w:firstLine="0" w:firstLineChars="0"/>
              <w:rPr>
                <w:rFonts w:ascii="宋体" w:hAnsi="宋体" w:eastAsia="宋体" w:cs="楷体"/>
                <w:color w:val="auto"/>
                <w:highlight w:val="none"/>
              </w:rPr>
            </w:pPr>
            <w:r>
              <w:rPr>
                <w:rFonts w:hint="eastAsia" w:ascii="宋体" w:hAnsi="宋体" w:eastAsia="宋体" w:cs="楷体"/>
                <w:color w:val="auto"/>
                <w:sz w:val="22"/>
                <w:szCs w:val="22"/>
                <w:highlight w:val="none"/>
              </w:rPr>
              <w:t>3.特殊资格：</w:t>
            </w:r>
            <w:r>
              <w:rPr>
                <w:rFonts w:hint="eastAsia" w:ascii="宋体" w:hAnsi="宋体" w:eastAsia="宋体" w:cs="楷体"/>
                <w:color w:val="auto"/>
                <w:sz w:val="22"/>
                <w:szCs w:val="22"/>
                <w:highlight w:val="none"/>
                <w:lang w:val="en-US" w:eastAsia="zh-CN"/>
              </w:rPr>
              <w:t>无</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7</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是否接受联合体投标</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kern w:val="0"/>
                <w:sz w:val="22"/>
                <w:szCs w:val="22"/>
                <w:highlight w:val="none"/>
              </w:rPr>
              <w:t>不接受</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w:t>
            </w:r>
            <w:r>
              <w:rPr>
                <w:rFonts w:hint="eastAsia" w:ascii="宋体" w:hAnsi="宋体" w:cs="楷体"/>
                <w:b/>
                <w:color w:val="auto"/>
                <w:kern w:val="0"/>
                <w:sz w:val="22"/>
                <w:szCs w:val="22"/>
                <w:highlight w:val="none"/>
              </w:rPr>
              <w:t>接受，应满足下列要求</w:t>
            </w:r>
            <w:r>
              <w:rPr>
                <w:rFonts w:hint="eastAsia" w:ascii="宋体" w:hAnsi="宋体" w:cs="楷体"/>
                <w:color w:val="auto"/>
                <w:kern w:val="0"/>
                <w:sz w:val="22"/>
                <w:szCs w:val="22"/>
                <w:highlight w:val="none"/>
              </w:rPr>
              <w:t>：</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8</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踏勘现场</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□组织</w:t>
            </w:r>
          </w:p>
          <w:p>
            <w:pPr>
              <w:rPr>
                <w:rFonts w:ascii="宋体" w:hAnsi="宋体" w:cs="楷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kern w:val="0"/>
                <w:sz w:val="22"/>
                <w:szCs w:val="22"/>
                <w:highlight w:val="none"/>
              </w:rPr>
              <w:t>不组织。</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9</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投标预备会</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□召开</w:t>
            </w:r>
          </w:p>
          <w:p>
            <w:pPr>
              <w:rPr>
                <w:rFonts w:ascii="宋体" w:hAnsi="宋体" w:cs="楷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kern w:val="0"/>
                <w:sz w:val="22"/>
                <w:szCs w:val="22"/>
                <w:highlight w:val="none"/>
              </w:rPr>
              <w:t>不召开</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10</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投标截止时间</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见采购公告</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11</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分包</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□允许</w:t>
            </w:r>
          </w:p>
          <w:p>
            <w:pPr>
              <w:rPr>
                <w:rFonts w:ascii="宋体" w:hAnsi="宋体" w:cs="楷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kern w:val="0"/>
                <w:sz w:val="22"/>
                <w:szCs w:val="22"/>
                <w:highlight w:val="none"/>
              </w:rPr>
              <w:t>不允许</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12</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偏离</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13</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投标有效期</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投标文件自投标截止时间起生效，有效期90天。</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14</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投标保证金</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投标保证金：</w:t>
            </w:r>
            <w:r>
              <w:rPr>
                <w:rFonts w:hint="eastAsia" w:ascii="宋体" w:hAnsi="宋体" w:cs="楷体"/>
                <w:color w:val="auto"/>
                <w:kern w:val="0"/>
                <w:sz w:val="22"/>
                <w:szCs w:val="22"/>
                <w:highlight w:val="none"/>
                <w:lang w:val="en-US" w:eastAsia="zh-CN"/>
              </w:rPr>
              <w:t>伍万</w:t>
            </w:r>
            <w:r>
              <w:rPr>
                <w:rFonts w:hint="eastAsia" w:ascii="宋体" w:hAnsi="宋体" w:cs="楷体"/>
                <w:color w:val="auto"/>
                <w:kern w:val="0"/>
                <w:sz w:val="22"/>
                <w:szCs w:val="22"/>
                <w:highlight w:val="none"/>
              </w:rPr>
              <w:t>元整（¥</w:t>
            </w:r>
            <w:r>
              <w:rPr>
                <w:rFonts w:hint="eastAsia" w:ascii="宋体" w:hAnsi="宋体" w:cs="楷体"/>
                <w:color w:val="auto"/>
                <w:kern w:val="0"/>
                <w:sz w:val="22"/>
                <w:szCs w:val="22"/>
                <w:highlight w:val="none"/>
                <w:lang w:val="en-US" w:eastAsia="zh-CN"/>
              </w:rPr>
              <w:t>50</w:t>
            </w:r>
            <w:r>
              <w:rPr>
                <w:rFonts w:hint="eastAsia" w:ascii="宋体" w:hAnsi="宋体" w:cs="楷体"/>
                <w:color w:val="auto"/>
                <w:kern w:val="0"/>
                <w:sz w:val="22"/>
                <w:szCs w:val="22"/>
                <w:highlight w:val="none"/>
              </w:rPr>
              <w:t>00</w:t>
            </w:r>
            <w:r>
              <w:rPr>
                <w:rFonts w:hint="eastAsia" w:ascii="宋体" w:hAnsi="宋体" w:cs="楷体"/>
                <w:color w:val="auto"/>
                <w:kern w:val="0"/>
                <w:sz w:val="22"/>
                <w:szCs w:val="22"/>
                <w:highlight w:val="none"/>
                <w:lang w:val="en-US" w:eastAsia="zh-CN"/>
              </w:rPr>
              <w:t>0</w:t>
            </w:r>
            <w:r>
              <w:rPr>
                <w:rFonts w:hint="eastAsia" w:ascii="宋体" w:hAnsi="宋体" w:cs="楷体"/>
                <w:color w:val="auto"/>
                <w:kern w:val="0"/>
                <w:sz w:val="22"/>
                <w:szCs w:val="22"/>
                <w:highlight w:val="none"/>
              </w:rPr>
              <w:t>元）；必须在投标截止时间前以转账方式向招标代理公司提交。</w:t>
            </w:r>
          </w:p>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户名：温州市智信招标代理有限公司</w:t>
            </w:r>
          </w:p>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账号： 333504140018800009390</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开户行：交通银行温州分行瓯海支行</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15</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Cs w:val="21"/>
                <w:highlight w:val="none"/>
              </w:rPr>
              <w:t>投标文件装订及封装要求</w:t>
            </w:r>
          </w:p>
        </w:tc>
        <w:tc>
          <w:tcPr>
            <w:tcW w:w="7008"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（1）资格审查资料一式5份，正本1份，副本4份；</w:t>
            </w:r>
          </w:p>
          <w:p>
            <w:pPr>
              <w:rPr>
                <w:color w:val="auto"/>
                <w:highlight w:val="none"/>
              </w:rPr>
            </w:pPr>
            <w:r>
              <w:rPr>
                <w:rFonts w:hint="eastAsia"/>
                <w:color w:val="auto"/>
                <w:highlight w:val="none"/>
              </w:rPr>
              <w:t>（2）技术资信标一式5份，正本1份，副本4份；</w:t>
            </w:r>
          </w:p>
          <w:p>
            <w:pPr>
              <w:rPr>
                <w:color w:val="auto"/>
                <w:highlight w:val="none"/>
              </w:rPr>
            </w:pPr>
            <w:r>
              <w:rPr>
                <w:rFonts w:hint="eastAsia"/>
                <w:color w:val="auto"/>
                <w:highlight w:val="none"/>
              </w:rPr>
              <w:t>（3）商务报价标一式5份，正本1份，副本4份。</w:t>
            </w:r>
          </w:p>
          <w:p>
            <w:pPr>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）投标文件“资格审查资料”、“技术资信标”、“商务报价标”密封于各自包封袋中，并加盖密封印章，并在封套的封口处加盖投标人单位章，并由法定代表人或其授权代表签字。</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16</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宋体" w:hAnsi="宋体" w:cs="楷体"/>
                <w:color w:val="auto"/>
                <w:kern w:val="0"/>
                <w:sz w:val="22"/>
                <w:szCs w:val="22"/>
                <w:highlight w:val="none"/>
              </w:rPr>
            </w:pPr>
            <w:r>
              <w:rPr>
                <w:rFonts w:hint="eastAsia" w:ascii="宋体" w:hAnsi="宋体" w:cs="楷体"/>
                <w:color w:val="auto"/>
                <w:szCs w:val="21"/>
                <w:highlight w:val="none"/>
              </w:rPr>
              <w:t>签字或盖章要求</w:t>
            </w:r>
          </w:p>
        </w:tc>
        <w:tc>
          <w:tcPr>
            <w:tcW w:w="7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s="楷体"/>
                <w:color w:val="auto"/>
                <w:szCs w:val="21"/>
                <w:highlight w:val="none"/>
              </w:rPr>
            </w:pPr>
            <w:r>
              <w:rPr>
                <w:rFonts w:hint="eastAsia" w:ascii="宋体" w:hAnsi="宋体" w:cs="楷体"/>
                <w:color w:val="auto"/>
                <w:szCs w:val="21"/>
                <w:highlight w:val="none"/>
              </w:rPr>
              <w:t>投标文件的相应位置应加盖：</w:t>
            </w:r>
          </w:p>
          <w:p>
            <w:pPr>
              <w:adjustRightInd w:val="0"/>
              <w:snapToGrid w:val="0"/>
              <w:spacing w:line="260" w:lineRule="exact"/>
              <w:rPr>
                <w:rFonts w:ascii="宋体" w:hAnsi="宋体" w:cs="楷体"/>
                <w:color w:val="auto"/>
                <w:szCs w:val="21"/>
                <w:highlight w:val="none"/>
              </w:rPr>
            </w:pPr>
            <w:r>
              <w:rPr>
                <w:rFonts w:hint="eastAsia" w:ascii="宋体" w:hAnsi="宋体" w:cs="楷体"/>
                <w:color w:val="auto"/>
                <w:szCs w:val="21"/>
                <w:highlight w:val="none"/>
              </w:rPr>
              <w:t>（1）单位公章；</w:t>
            </w:r>
          </w:p>
          <w:p>
            <w:pPr>
              <w:adjustRightInd w:val="0"/>
              <w:snapToGrid w:val="0"/>
              <w:spacing w:line="260" w:lineRule="exact"/>
              <w:rPr>
                <w:rFonts w:ascii="宋体" w:hAnsi="宋体" w:cs="楷体"/>
                <w:color w:val="auto"/>
                <w:szCs w:val="21"/>
                <w:highlight w:val="none"/>
              </w:rPr>
            </w:pPr>
            <w:r>
              <w:rPr>
                <w:rFonts w:hint="eastAsia" w:ascii="宋体" w:hAnsi="宋体" w:cs="楷体"/>
                <w:color w:val="auto"/>
                <w:szCs w:val="21"/>
                <w:highlight w:val="none"/>
              </w:rPr>
              <w:t>（2）法定代表人或其授权委托代理人签字或盖章（如为授权委托代理人签字或盖章的须提供法定代表人授权委托书）；</w:t>
            </w:r>
          </w:p>
          <w:p>
            <w:pPr>
              <w:adjustRightInd w:val="0"/>
              <w:snapToGrid w:val="0"/>
              <w:spacing w:line="260" w:lineRule="exact"/>
              <w:rPr>
                <w:rFonts w:ascii="宋体" w:hAnsi="宋体" w:cs="楷体"/>
                <w:color w:val="auto"/>
                <w:kern w:val="0"/>
                <w:sz w:val="22"/>
                <w:szCs w:val="22"/>
                <w:highlight w:val="none"/>
              </w:rPr>
            </w:pPr>
            <w:r>
              <w:rPr>
                <w:rFonts w:hint="eastAsia" w:ascii="宋体" w:hAnsi="宋体" w:cs="楷体"/>
                <w:color w:val="auto"/>
                <w:szCs w:val="21"/>
                <w:highlight w:val="none"/>
              </w:rPr>
              <w:t>（3）投标人单位章不得以分公司章、投标专用章、合同专用章等其他形式印章代替，否则视为无效印章。</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17</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递交投标</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文件地点</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lang w:eastAsia="zh-CN"/>
              </w:rPr>
              <w:t>见采购公告</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18</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开标时间</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和地点</w:t>
            </w:r>
          </w:p>
        </w:tc>
        <w:tc>
          <w:tcPr>
            <w:tcW w:w="7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lang w:eastAsia="zh-CN"/>
              </w:rPr>
              <w:t>见采购公告</w:t>
            </w:r>
          </w:p>
        </w:tc>
      </w:tr>
      <w:tr>
        <w:tblPrEx>
          <w:tblCellMar>
            <w:top w:w="0" w:type="dxa"/>
            <w:left w:w="108" w:type="dxa"/>
            <w:bottom w:w="0" w:type="dxa"/>
            <w:right w:w="108" w:type="dxa"/>
          </w:tblCellMar>
        </w:tblPrEx>
        <w:trPr>
          <w:trHeight w:val="416"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19</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开评标程序</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（1）宣布开标纪律；</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（2）公布在投标截止时间前递交投标文件的</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名称，并点名确认</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是否派授权代表到场；</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（3）宣布唱标人、记录人、监督人员等有关人员姓名；</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（4）密封情况检查：由监督人员或</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推选的代表检查投标文件密封情况；</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（5）开标顺序：</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送达投标文件的逆序；</w:t>
            </w:r>
            <w:r>
              <w:rPr>
                <w:rFonts w:hint="eastAsia"/>
                <w:color w:val="auto"/>
                <w:highlight w:val="none"/>
              </w:rPr>
              <w:t>在开标室里先开启技术资信标，再送达评审室评审。技术资信标评审结束后，</w:t>
            </w:r>
            <w:r>
              <w:rPr>
                <w:rFonts w:hint="eastAsia" w:ascii="宋体" w:hAnsi="宋体" w:cs="宋体"/>
                <w:b w:val="0"/>
                <w:bCs w:val="0"/>
                <w:color w:val="auto"/>
                <w:sz w:val="22"/>
                <w:szCs w:val="22"/>
                <w:highlight w:val="none"/>
                <w:u w:val="none"/>
                <w:lang w:val="en-US" w:eastAsia="zh-CN"/>
              </w:rPr>
              <w:t>技术资信分值达到24分及以上的供应商</w:t>
            </w:r>
            <w:r>
              <w:rPr>
                <w:rFonts w:hint="eastAsia"/>
                <w:color w:val="auto"/>
                <w:highlight w:val="none"/>
              </w:rPr>
              <w:t>再开启商务报价标</w:t>
            </w:r>
            <w:r>
              <w:rPr>
                <w:rFonts w:hint="eastAsia"/>
                <w:color w:val="auto"/>
                <w:highlight w:val="none"/>
                <w:lang w:eastAsia="zh-CN"/>
              </w:rPr>
              <w:t>，</w:t>
            </w:r>
            <w:r>
              <w:rPr>
                <w:rFonts w:hint="eastAsia"/>
                <w:color w:val="auto"/>
                <w:highlight w:val="none"/>
                <w:lang w:val="en-US" w:eastAsia="zh-CN"/>
              </w:rPr>
              <w:t>进入商务报价评审</w:t>
            </w:r>
            <w:r>
              <w:rPr>
                <w:rFonts w:hint="eastAsia"/>
                <w:color w:val="auto"/>
                <w:highlight w:val="none"/>
              </w:rPr>
              <w:t>；</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（6）确认开标结果：</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授权代表对开标记录进行当场校核及勘误，并签字确认；并同时由记录人当场签字确认；</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（7）宣布开标结束；</w:t>
            </w:r>
          </w:p>
          <w:p>
            <w:pP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（8）</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授权代表未参加开标会议；未到场签字确认的，不影响开标，评标过程，视同认可开标结果；事后不得对采购相关人员、开标过程和开标结果提出异议；</w:t>
            </w:r>
          </w:p>
          <w:p>
            <w:pPr>
              <w:ind w:left="2"/>
              <w:rPr>
                <w:rFonts w:ascii="宋体" w:hAnsi="宋体" w:cs="楷体"/>
                <w:color w:val="auto"/>
                <w:kern w:val="0"/>
                <w:sz w:val="22"/>
                <w:szCs w:val="22"/>
                <w:highlight w:val="none"/>
              </w:rPr>
            </w:pPr>
            <w:r>
              <w:rPr>
                <w:rFonts w:hint="eastAsia" w:ascii="新宋体" w:hAnsi="新宋体" w:eastAsia="新宋体" w:cs="新宋体"/>
                <w:color w:val="auto"/>
                <w:sz w:val="22"/>
                <w:highlight w:val="none"/>
              </w:rPr>
              <w:t>（9）将开启的投标文件送交评标委员会评审。</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20</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评标委员会</w:t>
            </w:r>
          </w:p>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的组建</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bCs/>
                <w:color w:val="auto"/>
                <w:sz w:val="22"/>
                <w:szCs w:val="22"/>
                <w:highlight w:val="none"/>
              </w:rPr>
              <w:t>采购人按照相关规定组建评标委员会，评标委员会成员由采购人代表和有关技术、经济等方面的专家组成，成员人数为5人（含）以上单数。</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21</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kern w:val="0"/>
                <w:sz w:val="22"/>
                <w:szCs w:val="22"/>
                <w:highlight w:val="none"/>
              </w:rPr>
            </w:pPr>
            <w:r>
              <w:rPr>
                <w:rFonts w:hint="eastAsia" w:ascii="宋体" w:hAnsi="宋体" w:cs="楷体"/>
                <w:color w:val="auto"/>
                <w:kern w:val="0"/>
                <w:sz w:val="22"/>
                <w:szCs w:val="22"/>
                <w:highlight w:val="none"/>
              </w:rPr>
              <w:t>履约担保</w:t>
            </w:r>
          </w:p>
        </w:tc>
        <w:tc>
          <w:tcPr>
            <w:tcW w:w="7008" w:type="dxa"/>
            <w:tcBorders>
              <w:top w:val="single" w:color="auto" w:sz="4" w:space="0"/>
              <w:left w:val="single" w:color="auto" w:sz="4" w:space="0"/>
              <w:bottom w:val="single" w:color="auto" w:sz="4" w:space="0"/>
              <w:right w:val="single" w:color="auto" w:sz="4" w:space="0"/>
            </w:tcBorders>
            <w:vAlign w:val="center"/>
          </w:tcPr>
          <w:p>
            <w:pPr>
              <w:rPr>
                <w:rFonts w:ascii="宋体" w:hAnsi="宋体" w:cs="楷体"/>
                <w:color w:val="auto"/>
                <w:sz w:val="22"/>
                <w:highlight w:val="none"/>
              </w:rPr>
            </w:pPr>
            <w:r>
              <w:rPr>
                <w:rFonts w:hint="eastAsia" w:ascii="宋体" w:hAnsi="宋体" w:cs="楷体"/>
                <w:color w:val="auto"/>
                <w:sz w:val="22"/>
                <w:highlight w:val="none"/>
              </w:rPr>
              <w:t>□不需要</w:t>
            </w:r>
          </w:p>
          <w:p>
            <w:pPr>
              <w:rPr>
                <w:rFonts w:hint="eastAsia" w:ascii="宋体" w:hAnsi="宋体" w:cs="楷体"/>
                <w:bCs/>
                <w:color w:val="auto"/>
                <w:sz w:val="22"/>
                <w:szCs w:val="22"/>
                <w:highlight w:val="none"/>
                <w:lang w:eastAsia="zh-CN"/>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sz w:val="22"/>
                <w:highlight w:val="none"/>
              </w:rPr>
              <w:t xml:space="preserve">需要 </w:t>
            </w:r>
            <w:r>
              <w:rPr>
                <w:rFonts w:hint="eastAsia" w:ascii="宋体" w:hAnsi="宋体" w:cs="楷体"/>
                <w:bCs/>
                <w:color w:val="auto"/>
                <w:sz w:val="22"/>
                <w:highlight w:val="none"/>
              </w:rPr>
              <w:t xml:space="preserve"> </w:t>
            </w:r>
            <w:r>
              <w:rPr>
                <w:rFonts w:hint="eastAsia" w:ascii="宋体" w:hAnsi="宋体" w:cs="楷体"/>
                <w:bCs/>
                <w:color w:val="auto"/>
                <w:sz w:val="22"/>
                <w:szCs w:val="22"/>
                <w:highlight w:val="none"/>
              </w:rPr>
              <w:t xml:space="preserve"> </w:t>
            </w:r>
            <w:r>
              <w:rPr>
                <w:rFonts w:hint="eastAsia" w:ascii="宋体" w:hAnsi="宋体" w:cs="楷体"/>
                <w:bCs/>
                <w:color w:val="auto"/>
                <w:sz w:val="22"/>
                <w:szCs w:val="22"/>
                <w:highlight w:val="none"/>
                <w:lang w:val="en-US" w:eastAsia="zh-CN"/>
              </w:rPr>
              <w:t>签订合同前</w:t>
            </w:r>
            <w:r>
              <w:rPr>
                <w:rFonts w:hint="eastAsia" w:ascii="宋体" w:hAnsi="宋体" w:cs="楷体"/>
                <w:bCs/>
                <w:color w:val="auto"/>
                <w:sz w:val="22"/>
                <w:szCs w:val="22"/>
                <w:highlight w:val="none"/>
              </w:rPr>
              <w:t>入围中标人</w:t>
            </w:r>
            <w:r>
              <w:rPr>
                <w:rFonts w:hint="eastAsia" w:ascii="宋体" w:hAnsi="宋体" w:cs="楷体"/>
                <w:bCs/>
                <w:color w:val="auto"/>
                <w:sz w:val="22"/>
                <w:szCs w:val="22"/>
                <w:highlight w:val="none"/>
                <w:lang w:val="en-US" w:eastAsia="zh-CN"/>
              </w:rPr>
              <w:t>须分别向采购人</w:t>
            </w:r>
            <w:r>
              <w:rPr>
                <w:rFonts w:hint="eastAsia" w:ascii="宋体" w:hAnsi="宋体" w:cs="楷体"/>
                <w:bCs/>
                <w:color w:val="auto"/>
                <w:sz w:val="22"/>
                <w:szCs w:val="22"/>
                <w:highlight w:val="none"/>
              </w:rPr>
              <w:t>缴纳人民币</w:t>
            </w:r>
            <w:r>
              <w:rPr>
                <w:rFonts w:hint="eastAsia" w:ascii="宋体" w:hAnsi="宋体" w:cs="楷体"/>
                <w:bCs/>
                <w:color w:val="auto"/>
                <w:sz w:val="22"/>
                <w:szCs w:val="22"/>
                <w:highlight w:val="none"/>
                <w:lang w:val="en-US" w:eastAsia="zh-CN"/>
              </w:rPr>
              <w:t>50</w:t>
            </w:r>
            <w:r>
              <w:rPr>
                <w:rFonts w:hint="eastAsia" w:ascii="宋体" w:hAnsi="宋体" w:cs="楷体"/>
                <w:bCs/>
                <w:color w:val="auto"/>
                <w:sz w:val="22"/>
                <w:szCs w:val="22"/>
                <w:highlight w:val="none"/>
              </w:rPr>
              <w:t>000元整</w:t>
            </w:r>
            <w:r>
              <w:rPr>
                <w:rFonts w:hint="eastAsia" w:ascii="宋体" w:hAnsi="宋体" w:cs="楷体"/>
                <w:bCs/>
                <w:color w:val="auto"/>
                <w:sz w:val="22"/>
                <w:szCs w:val="22"/>
                <w:highlight w:val="none"/>
                <w:lang w:val="en-US" w:eastAsia="zh-CN"/>
              </w:rPr>
              <w:t>的履约保证金。</w:t>
            </w:r>
          </w:p>
          <w:p>
            <w:pPr>
              <w:rPr>
                <w:rFonts w:hint="eastAsia" w:ascii="宋体" w:hAnsi="宋体" w:eastAsia="宋体" w:cs="楷体"/>
                <w:color w:val="auto"/>
                <w:kern w:val="0"/>
                <w:sz w:val="22"/>
                <w:szCs w:val="22"/>
                <w:highlight w:val="none"/>
                <w:lang w:eastAsia="zh-CN"/>
              </w:rPr>
            </w:pPr>
            <w:r>
              <w:rPr>
                <w:rFonts w:hint="eastAsia" w:ascii="宋体" w:hAnsi="宋体" w:cs="楷体"/>
                <w:bCs/>
                <w:color w:val="auto"/>
                <w:sz w:val="22"/>
                <w:szCs w:val="22"/>
                <w:highlight w:val="none"/>
              </w:rPr>
              <w:t>缴纳时间：入围中标供应商</w:t>
            </w:r>
            <w:r>
              <w:rPr>
                <w:rFonts w:hint="eastAsia" w:ascii="宋体" w:hAnsi="宋体" w:cs="楷体"/>
                <w:bCs/>
                <w:color w:val="auto"/>
                <w:sz w:val="22"/>
                <w:szCs w:val="22"/>
                <w:highlight w:val="none"/>
                <w:lang w:val="en-US" w:eastAsia="zh-CN"/>
              </w:rPr>
              <w:t>收到中标入围通知书后，在合同签订前须</w:t>
            </w:r>
            <w:r>
              <w:rPr>
                <w:rFonts w:hint="eastAsia" w:ascii="宋体" w:hAnsi="宋体" w:cs="楷体"/>
                <w:bCs/>
                <w:color w:val="auto"/>
                <w:sz w:val="22"/>
                <w:szCs w:val="22"/>
                <w:highlight w:val="none"/>
              </w:rPr>
              <w:t>按</w:t>
            </w:r>
            <w:r>
              <w:rPr>
                <w:rFonts w:hint="eastAsia" w:ascii="宋体" w:hAnsi="宋体" w:cs="楷体"/>
                <w:bCs/>
                <w:color w:val="auto"/>
                <w:sz w:val="22"/>
                <w:szCs w:val="22"/>
                <w:highlight w:val="none"/>
                <w:lang w:val="en-US" w:eastAsia="zh-CN"/>
              </w:rPr>
              <w:t>要求</w:t>
            </w:r>
            <w:r>
              <w:rPr>
                <w:rFonts w:hint="eastAsia" w:ascii="宋体" w:hAnsi="宋体" w:cs="楷体"/>
                <w:bCs/>
                <w:color w:val="auto"/>
                <w:sz w:val="22"/>
                <w:szCs w:val="22"/>
                <w:highlight w:val="none"/>
              </w:rPr>
              <w:t>向</w:t>
            </w:r>
            <w:r>
              <w:rPr>
                <w:rFonts w:hint="eastAsia" w:ascii="宋体" w:hAnsi="宋体" w:cs="楷体"/>
                <w:bCs/>
                <w:color w:val="auto"/>
                <w:sz w:val="22"/>
                <w:szCs w:val="22"/>
                <w:highlight w:val="none"/>
                <w:lang w:val="en-US" w:eastAsia="zh-CN"/>
              </w:rPr>
              <w:t>采购人</w:t>
            </w:r>
            <w:r>
              <w:rPr>
                <w:rFonts w:hint="eastAsia" w:ascii="宋体" w:hAnsi="宋体" w:cs="楷体"/>
                <w:bCs/>
                <w:color w:val="auto"/>
                <w:sz w:val="22"/>
                <w:szCs w:val="22"/>
                <w:highlight w:val="none"/>
              </w:rPr>
              <w:t>一次性提交，履约保证金要求在随后的全部期限内保持有效。</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楷体"/>
                <w:color w:val="auto"/>
                <w:kern w:val="0"/>
                <w:sz w:val="22"/>
                <w:szCs w:val="22"/>
                <w:highlight w:val="none"/>
              </w:rPr>
            </w:pPr>
            <w:bookmarkStart w:id="6" w:name="_Toc221356882"/>
            <w:bookmarkStart w:id="7" w:name="_Toc221356947"/>
            <w:bookmarkStart w:id="8" w:name="_Toc222114875"/>
            <w:bookmarkStart w:id="9" w:name="_Toc223715994"/>
            <w:bookmarkStart w:id="10" w:name="_Toc239145350"/>
            <w:bookmarkStart w:id="11" w:name="_Toc221423615"/>
            <w:bookmarkStart w:id="12" w:name="_Toc221374622"/>
            <w:bookmarkStart w:id="13" w:name="_Toc241404198"/>
            <w:bookmarkStart w:id="14" w:name="_Toc265529379"/>
            <w:r>
              <w:rPr>
                <w:rFonts w:hint="eastAsia" w:ascii="宋体" w:hAnsi="宋体" w:cs="楷体"/>
                <w:color w:val="auto"/>
                <w:kern w:val="0"/>
                <w:sz w:val="22"/>
                <w:szCs w:val="22"/>
                <w:highlight w:val="none"/>
              </w:rPr>
              <w:t>22</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原 件</w:t>
            </w:r>
          </w:p>
        </w:tc>
        <w:tc>
          <w:tcPr>
            <w:tcW w:w="703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□提交</w:t>
            </w:r>
          </w:p>
          <w:p>
            <w:pPr>
              <w:spacing w:line="300" w:lineRule="exact"/>
              <w:rPr>
                <w:rFonts w:ascii="宋体" w:hAnsi="宋体" w:cs="楷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宋体" w:hAnsi="宋体" w:cs="楷体"/>
                <w:color w:val="auto"/>
                <w:kern w:val="0"/>
                <w:sz w:val="22"/>
                <w:szCs w:val="22"/>
                <w:highlight w:val="none"/>
              </w:rPr>
              <w:t>不提交</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23</w:t>
            </w: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楷体"/>
                <w:color w:val="auto"/>
                <w:kern w:val="0"/>
                <w:sz w:val="22"/>
                <w:szCs w:val="22"/>
                <w:highlight w:val="none"/>
              </w:rPr>
            </w:pPr>
            <w:r>
              <w:rPr>
                <w:rFonts w:hint="eastAsia" w:ascii="宋体" w:hAnsi="宋体" w:cs="楷体"/>
                <w:color w:val="auto"/>
                <w:sz w:val="22"/>
                <w:szCs w:val="22"/>
                <w:highlight w:val="none"/>
              </w:rPr>
              <w:t>投标人信用查询</w:t>
            </w:r>
          </w:p>
        </w:tc>
        <w:tc>
          <w:tcPr>
            <w:tcW w:w="7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楷体"/>
                <w:color w:val="auto"/>
                <w:sz w:val="22"/>
                <w:szCs w:val="22"/>
                <w:highlight w:val="none"/>
              </w:rPr>
            </w:pPr>
            <w:r>
              <w:rPr>
                <w:rFonts w:hint="eastAsia" w:ascii="宋体" w:hAnsi="宋体" w:cs="楷体"/>
                <w:color w:val="auto"/>
                <w:sz w:val="22"/>
                <w:szCs w:val="22"/>
                <w:highlight w:val="none"/>
              </w:rPr>
              <w:t>（1）供应商信用信息查询的查询渠道：“信用中国”(</w:t>
            </w:r>
            <w:r>
              <w:rPr>
                <w:rFonts w:ascii="宋体" w:hAnsi="宋体"/>
                <w:color w:val="auto"/>
                <w:highlight w:val="none"/>
              </w:rPr>
              <w:fldChar w:fldCharType="begin"/>
            </w:r>
            <w:r>
              <w:rPr>
                <w:rFonts w:ascii="宋体" w:hAnsi="宋体"/>
                <w:color w:val="auto"/>
                <w:highlight w:val="none"/>
              </w:rPr>
              <w:instrText xml:space="preserve">HYPERLINK "http://www.creditchina.gov.cn"</w:instrText>
            </w:r>
            <w:r>
              <w:rPr>
                <w:rFonts w:ascii="宋体" w:hAnsi="宋体"/>
                <w:color w:val="auto"/>
                <w:highlight w:val="none"/>
              </w:rPr>
              <w:fldChar w:fldCharType="separate"/>
            </w:r>
            <w:r>
              <w:rPr>
                <w:rStyle w:val="59"/>
                <w:rFonts w:hint="eastAsia" w:ascii="宋体" w:hAnsi="宋体" w:cs="楷体"/>
                <w:color w:val="auto"/>
                <w:sz w:val="22"/>
                <w:szCs w:val="22"/>
                <w:highlight w:val="none"/>
              </w:rPr>
              <w:t>www.creditchina.gov.cn</w:t>
            </w:r>
            <w:r>
              <w:rPr>
                <w:rFonts w:ascii="宋体" w:hAnsi="宋体"/>
                <w:color w:val="auto"/>
                <w:highlight w:val="none"/>
              </w:rPr>
              <w:fldChar w:fldCharType="end"/>
            </w:r>
            <w:r>
              <w:rPr>
                <w:rFonts w:hint="eastAsia" w:ascii="宋体" w:hAnsi="宋体" w:cs="楷体"/>
                <w:color w:val="auto"/>
                <w:sz w:val="22"/>
                <w:szCs w:val="22"/>
                <w:highlight w:val="none"/>
              </w:rPr>
              <w:t>)；“中国政府采购网”（http://www.ccgp.gov.cn/）；</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（2）供应商信用信息查询截止时点：本项目投标截止时间。</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（3）供应商信用信息查询记录和证据留存的具体方式：网页截图打印；</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（4）信用信息的使用规则：</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①在“信用中国”具有负面记录：列入失信被执行人、重大税收违法案件当事人名单、政府采购严重违法失信行为名单；</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②被“中国政府采购网”(www.ccgp.gov.cn)列入政府采购严重违法失信行为记录名单。</w:t>
            </w:r>
          </w:p>
          <w:p>
            <w:pPr>
              <w:jc w:val="left"/>
              <w:rPr>
                <w:rFonts w:ascii="宋体" w:hAnsi="宋体" w:cs="楷体"/>
                <w:color w:val="auto"/>
                <w:sz w:val="22"/>
                <w:szCs w:val="22"/>
                <w:highlight w:val="none"/>
              </w:rPr>
            </w:pPr>
            <w:r>
              <w:rPr>
                <w:rFonts w:hint="eastAsia" w:ascii="宋体" w:hAnsi="宋体" w:cs="楷体"/>
                <w:color w:val="auto"/>
                <w:sz w:val="22"/>
                <w:szCs w:val="22"/>
                <w:highlight w:val="none"/>
              </w:rPr>
              <w:t>（5）具有以上（4）所述信息记录的供应商，其投标做无效投标处理。</w:t>
            </w:r>
          </w:p>
          <w:p>
            <w:pPr>
              <w:rPr>
                <w:rFonts w:ascii="宋体" w:hAnsi="宋体" w:cs="楷体"/>
                <w:color w:val="auto"/>
                <w:highlight w:val="none"/>
              </w:rPr>
            </w:pPr>
            <w:r>
              <w:rPr>
                <w:rFonts w:hint="eastAsia" w:ascii="宋体" w:hAnsi="宋体" w:cs="楷体"/>
                <w:b/>
                <w:bCs/>
                <w:color w:val="auto"/>
                <w:szCs w:val="21"/>
                <w:highlight w:val="none"/>
                <w:u w:val="single"/>
              </w:rPr>
              <w:t>（6）▲</w:t>
            </w:r>
            <w:r>
              <w:rPr>
                <w:rFonts w:hint="eastAsia" w:ascii="宋体" w:hAnsi="宋体" w:cs="楷体"/>
                <w:b/>
                <w:color w:val="auto"/>
                <w:sz w:val="22"/>
                <w:szCs w:val="22"/>
                <w:highlight w:val="none"/>
                <w:u w:val="single"/>
              </w:rPr>
              <w:t>关于</w:t>
            </w:r>
            <w:r>
              <w:rPr>
                <w:rFonts w:hint="eastAsia" w:ascii="宋体" w:hAnsi="宋体" w:cs="楷体"/>
                <w:b/>
                <w:bCs/>
                <w:color w:val="auto"/>
                <w:sz w:val="22"/>
                <w:szCs w:val="22"/>
                <w:highlight w:val="none"/>
                <w:u w:val="single"/>
              </w:rPr>
              <w:t>“信用中国”(www.creditchina.gov.cn) 信用记录网页截图相关说明</w:t>
            </w:r>
            <w:r>
              <w:rPr>
                <w:rFonts w:hint="eastAsia" w:ascii="宋体" w:hAnsi="宋体" w:cs="楷体"/>
                <w:bCs/>
                <w:color w:val="auto"/>
                <w:sz w:val="22"/>
                <w:szCs w:val="22"/>
                <w:highlight w:val="none"/>
              </w:rPr>
              <w:t>：</w:t>
            </w:r>
          </w:p>
          <w:p>
            <w:pPr>
              <w:rPr>
                <w:rFonts w:ascii="宋体" w:hAnsi="宋体" w:cs="楷体"/>
                <w:bCs/>
                <w:color w:val="auto"/>
                <w:sz w:val="22"/>
                <w:szCs w:val="22"/>
                <w:highlight w:val="none"/>
              </w:rPr>
            </w:pPr>
            <w:r>
              <w:rPr>
                <w:rFonts w:hint="eastAsia" w:ascii="宋体" w:hAnsi="宋体" w:cs="楷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宋体" w:hAnsi="宋体" w:cs="楷体"/>
                <w:color w:val="auto"/>
                <w:sz w:val="22"/>
                <w:szCs w:val="22"/>
                <w:highlight w:val="none"/>
              </w:rPr>
              <w:t>经营活动中的重大违法记录</w:t>
            </w:r>
            <w:r>
              <w:rPr>
                <w:rFonts w:hint="eastAsia" w:ascii="宋体" w:hAnsi="宋体" w:cs="楷体"/>
                <w:bCs/>
                <w:color w:val="auto"/>
                <w:sz w:val="22"/>
                <w:szCs w:val="22"/>
                <w:highlight w:val="none"/>
              </w:rPr>
              <w:t>”。</w:t>
            </w:r>
          </w:p>
          <w:p>
            <w:pPr>
              <w:rPr>
                <w:rFonts w:ascii="宋体" w:hAnsi="宋体" w:cs="楷体"/>
                <w:color w:val="auto"/>
                <w:highlight w:val="none"/>
              </w:rPr>
            </w:pPr>
            <w:r>
              <w:rPr>
                <w:rFonts w:hint="eastAsia" w:ascii="宋体" w:hAnsi="宋体" w:cs="楷体"/>
                <w:bCs/>
                <w:color w:val="auto"/>
                <w:sz w:val="22"/>
                <w:szCs w:val="22"/>
                <w:highlight w:val="none"/>
              </w:rPr>
              <w:t>②若供应商在“信用中国”无数据，亦须将搜索结果页面打印，并附说明。</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24</w:t>
            </w: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楷体"/>
                <w:color w:val="auto"/>
                <w:kern w:val="0"/>
                <w:sz w:val="22"/>
                <w:szCs w:val="22"/>
                <w:highlight w:val="none"/>
              </w:rPr>
            </w:pPr>
            <w:r>
              <w:rPr>
                <w:rFonts w:hint="eastAsia" w:ascii="宋体" w:hAnsi="宋体" w:cs="楷体"/>
                <w:color w:val="auto"/>
                <w:sz w:val="22"/>
                <w:szCs w:val="22"/>
                <w:highlight w:val="none"/>
              </w:rPr>
              <w:t>合同备案</w:t>
            </w:r>
          </w:p>
        </w:tc>
        <w:tc>
          <w:tcPr>
            <w:tcW w:w="7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楷体"/>
                <w:color w:val="auto"/>
                <w:sz w:val="22"/>
                <w:szCs w:val="22"/>
                <w:highlight w:val="none"/>
              </w:rPr>
            </w:pPr>
            <w:r>
              <w:rPr>
                <w:rFonts w:hint="eastAsia" w:ascii="宋体" w:hAnsi="宋体" w:cs="楷体"/>
                <w:color w:val="auto"/>
                <w:sz w:val="22"/>
                <w:szCs w:val="22"/>
                <w:highlight w:val="none"/>
              </w:rPr>
              <w:t>（1）中标投标人须在收到中标通知书之日起30日历天内与采购人签订合同。</w:t>
            </w:r>
          </w:p>
          <w:p>
            <w:pPr>
              <w:jc w:val="left"/>
              <w:rPr>
                <w:rFonts w:ascii="宋体" w:hAnsi="宋体" w:cs="楷体"/>
                <w:snapToGrid w:val="0"/>
                <w:color w:val="auto"/>
                <w:sz w:val="22"/>
                <w:szCs w:val="22"/>
                <w:highlight w:val="none"/>
              </w:rPr>
            </w:pPr>
            <w:r>
              <w:rPr>
                <w:rFonts w:hint="eastAsia" w:ascii="宋体" w:hAnsi="宋体" w:cs="楷体"/>
                <w:color w:val="auto"/>
                <w:sz w:val="22"/>
                <w:szCs w:val="22"/>
                <w:highlight w:val="none"/>
              </w:rPr>
              <w:t>（2）中标投标人与采购人签订合同后，2日历天内将合同扫描件电子版发给采购代理机构：邮箱：</w:t>
            </w:r>
            <w:r>
              <w:rPr>
                <w:rFonts w:hint="eastAsia" w:ascii="宋体" w:hAnsi="宋体" w:cs="楷体"/>
                <w:b/>
                <w:color w:val="auto"/>
                <w:sz w:val="22"/>
                <w:szCs w:val="22"/>
                <w:highlight w:val="none"/>
                <w:u w:val="single"/>
              </w:rPr>
              <w:t>ye462978466@qq.com</w:t>
            </w:r>
            <w:r>
              <w:rPr>
                <w:rFonts w:hint="eastAsia" w:ascii="宋体" w:hAnsi="宋体" w:cs="楷体"/>
                <w:color w:val="auto"/>
                <w:sz w:val="22"/>
                <w:szCs w:val="22"/>
                <w:highlight w:val="none"/>
              </w:rPr>
              <w:t>。</w:t>
            </w:r>
          </w:p>
        </w:tc>
      </w:tr>
      <w:tr>
        <w:tblPrEx>
          <w:tblCellMar>
            <w:top w:w="0" w:type="dxa"/>
            <w:left w:w="108" w:type="dxa"/>
            <w:bottom w:w="0" w:type="dxa"/>
            <w:right w:w="108" w:type="dxa"/>
          </w:tblCellMar>
        </w:tblPrEx>
        <w:trPr>
          <w:trHeight w:val="855"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25</w:t>
            </w: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楷体"/>
                <w:color w:val="auto"/>
                <w:kern w:val="0"/>
                <w:sz w:val="22"/>
                <w:szCs w:val="22"/>
                <w:highlight w:val="none"/>
              </w:rPr>
            </w:pPr>
            <w:r>
              <w:rPr>
                <w:rFonts w:hint="eastAsia" w:ascii="宋体" w:hAnsi="宋体" w:cs="楷体"/>
                <w:color w:val="auto"/>
                <w:sz w:val="22"/>
                <w:szCs w:val="22"/>
                <w:highlight w:val="none"/>
              </w:rPr>
              <w:t>合同履约管理</w:t>
            </w:r>
          </w:p>
        </w:tc>
        <w:tc>
          <w:tcPr>
            <w:tcW w:w="7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楷体"/>
                <w:color w:val="auto"/>
                <w:kern w:val="0"/>
                <w:sz w:val="22"/>
                <w:szCs w:val="22"/>
                <w:highlight w:val="none"/>
              </w:rPr>
            </w:pPr>
            <w:r>
              <w:rPr>
                <w:rFonts w:hint="eastAsia" w:ascii="宋体" w:hAnsi="宋体" w:cs="楷体"/>
                <w:color w:val="auto"/>
                <w:sz w:val="22"/>
                <w:szCs w:val="22"/>
                <w:highlight w:val="none"/>
              </w:rPr>
              <w:t>合同签订后，采购人依法加强对合同履约进行管理，并在中标单位服务、项目验收等重要关节，如实填写《合同验收报告》（或考核资料），并及时向国资管理部门报告验收过程中遇到的问题。</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26</w:t>
            </w: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楷体"/>
                <w:color w:val="auto"/>
                <w:kern w:val="0"/>
                <w:sz w:val="22"/>
                <w:szCs w:val="22"/>
                <w:highlight w:val="none"/>
              </w:rPr>
            </w:pPr>
            <w:r>
              <w:rPr>
                <w:rFonts w:hint="eastAsia" w:ascii="宋体" w:hAnsi="宋体" w:cs="楷体"/>
                <w:color w:val="auto"/>
                <w:sz w:val="22"/>
                <w:szCs w:val="22"/>
                <w:highlight w:val="none"/>
              </w:rPr>
              <w:t>解释权</w:t>
            </w:r>
          </w:p>
        </w:tc>
        <w:tc>
          <w:tcPr>
            <w:tcW w:w="7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楷体"/>
                <w:color w:val="auto"/>
                <w:kern w:val="0"/>
                <w:sz w:val="22"/>
                <w:szCs w:val="22"/>
                <w:highlight w:val="none"/>
              </w:rPr>
            </w:pPr>
            <w:r>
              <w:rPr>
                <w:rFonts w:hint="eastAsia" w:ascii="宋体" w:hAnsi="宋体" w:cs="楷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27</w:t>
            </w: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楷体"/>
                <w:b/>
                <w:bCs/>
                <w:color w:val="auto"/>
                <w:sz w:val="22"/>
                <w:szCs w:val="22"/>
                <w:highlight w:val="none"/>
              </w:rPr>
            </w:pPr>
            <w:r>
              <w:rPr>
                <w:rFonts w:hint="eastAsia" w:ascii="宋体" w:hAnsi="宋体" w:eastAsia="宋体" w:cs="楷体"/>
                <w:color w:val="auto"/>
                <w:sz w:val="22"/>
                <w:szCs w:val="22"/>
                <w:highlight w:val="none"/>
              </w:rPr>
              <w:t>采购代理服务费</w:t>
            </w:r>
          </w:p>
        </w:tc>
        <w:tc>
          <w:tcPr>
            <w:tcW w:w="7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cs="楷体"/>
                <w:b/>
                <w:bCs/>
                <w:color w:val="auto"/>
                <w:sz w:val="22"/>
                <w:szCs w:val="22"/>
                <w:highlight w:val="none"/>
              </w:rPr>
            </w:pPr>
            <w:r>
              <w:rPr>
                <w:rFonts w:hint="eastAsia" w:ascii="宋体" w:hAnsi="宋体" w:eastAsia="宋体" w:cs="楷体"/>
                <w:color w:val="auto"/>
                <w:sz w:val="22"/>
                <w:szCs w:val="22"/>
                <w:highlight w:val="none"/>
              </w:rPr>
              <w:t>本项目采购代理服务费为人民币</w:t>
            </w:r>
            <w:r>
              <w:rPr>
                <w:rFonts w:hint="eastAsia" w:ascii="宋体" w:hAnsi="宋体" w:cs="楷体"/>
                <w:color w:val="auto"/>
                <w:sz w:val="22"/>
                <w:szCs w:val="22"/>
                <w:highlight w:val="none"/>
                <w:lang w:val="en-US" w:eastAsia="zh-CN"/>
              </w:rPr>
              <w:t>壹万伍仟</w:t>
            </w:r>
            <w:r>
              <w:rPr>
                <w:rFonts w:hint="eastAsia" w:ascii="宋体" w:hAnsi="宋体" w:eastAsia="宋体" w:cs="楷体"/>
                <w:color w:val="auto"/>
                <w:sz w:val="22"/>
                <w:szCs w:val="22"/>
                <w:highlight w:val="none"/>
              </w:rPr>
              <w:t>元，由入围中标人平均分摊，并在领取入围中标通知书之前支付给采购代理机构。如中标人未按时支付采购代理服务费，采购代理机构可以从投标保证金或在采购人的合同款中扣缴，采购人予以配合。</w:t>
            </w:r>
          </w:p>
        </w:tc>
      </w:tr>
    </w:tbl>
    <w:p>
      <w:pPr>
        <w:pStyle w:val="6"/>
        <w:rPr>
          <w:rFonts w:ascii="宋体" w:hAnsi="宋体" w:eastAsia="宋体" w:cs="楷体"/>
          <w:color w:val="auto"/>
          <w:sz w:val="36"/>
          <w:szCs w:val="36"/>
          <w:highlight w:val="none"/>
        </w:rPr>
      </w:pPr>
      <w:r>
        <w:rPr>
          <w:rFonts w:hint="eastAsia" w:ascii="宋体" w:hAnsi="宋体" w:eastAsia="宋体" w:cs="楷体"/>
          <w:color w:val="auto"/>
          <w:sz w:val="36"/>
          <w:szCs w:val="36"/>
          <w:highlight w:val="none"/>
        </w:rPr>
        <w:t xml:space="preserve"> </w:t>
      </w:r>
      <w:r>
        <w:rPr>
          <w:rFonts w:hint="eastAsia" w:ascii="宋体" w:hAnsi="宋体" w:eastAsia="宋体" w:cs="楷体"/>
          <w:color w:val="auto"/>
          <w:sz w:val="36"/>
          <w:szCs w:val="36"/>
          <w:highlight w:val="none"/>
        </w:rPr>
        <w:br w:type="page"/>
      </w:r>
      <w:bookmarkStart w:id="15" w:name="_Toc7928"/>
      <w:r>
        <w:rPr>
          <w:rFonts w:hint="eastAsia" w:ascii="宋体" w:hAnsi="宋体" w:eastAsia="宋体" w:cs="楷体"/>
          <w:color w:val="auto"/>
          <w:sz w:val="36"/>
          <w:szCs w:val="36"/>
          <w:highlight w:val="none"/>
        </w:rPr>
        <w:t>第一部分    投标人须知</w:t>
      </w:r>
      <w:bookmarkEnd w:id="6"/>
      <w:bookmarkEnd w:id="7"/>
      <w:bookmarkEnd w:id="8"/>
      <w:bookmarkEnd w:id="9"/>
      <w:bookmarkEnd w:id="10"/>
      <w:bookmarkEnd w:id="11"/>
      <w:bookmarkEnd w:id="12"/>
      <w:bookmarkEnd w:id="13"/>
      <w:bookmarkEnd w:id="14"/>
      <w:bookmarkEnd w:id="15"/>
    </w:p>
    <w:p>
      <w:pPr>
        <w:spacing w:before="100" w:beforeAutospacing="1" w:after="100" w:afterAutospacing="1" w:line="440" w:lineRule="exact"/>
        <w:jc w:val="center"/>
        <w:outlineLvl w:val="0"/>
        <w:rPr>
          <w:rFonts w:ascii="宋体" w:hAnsi="宋体" w:cs="楷体"/>
          <w:b/>
          <w:bCs/>
          <w:color w:val="auto"/>
          <w:sz w:val="26"/>
          <w:szCs w:val="26"/>
          <w:highlight w:val="none"/>
        </w:rPr>
      </w:pPr>
      <w:bookmarkStart w:id="16" w:name="_Toc222114876"/>
      <w:bookmarkStart w:id="17" w:name="_Toc221374623"/>
      <w:bookmarkStart w:id="18" w:name="_Toc23974"/>
      <w:bookmarkStart w:id="19" w:name="_Toc241404199"/>
      <w:bookmarkStart w:id="20" w:name="_Toc221423616"/>
      <w:bookmarkStart w:id="21" w:name="_Toc239145351"/>
      <w:bookmarkStart w:id="22" w:name="_Toc221356883"/>
      <w:bookmarkStart w:id="23" w:name="_Toc223715995"/>
      <w:bookmarkStart w:id="24" w:name="_Toc221356948"/>
      <w:bookmarkStart w:id="25" w:name="_Toc265529380"/>
      <w:r>
        <w:rPr>
          <w:rFonts w:hint="eastAsia" w:ascii="宋体" w:hAnsi="宋体" w:cs="楷体"/>
          <w:b/>
          <w:bCs/>
          <w:color w:val="auto"/>
          <w:sz w:val="26"/>
          <w:szCs w:val="26"/>
          <w:highlight w:val="none"/>
        </w:rPr>
        <w:t>一、  说明</w:t>
      </w:r>
      <w:bookmarkEnd w:id="16"/>
      <w:bookmarkEnd w:id="17"/>
      <w:bookmarkEnd w:id="18"/>
      <w:bookmarkEnd w:id="19"/>
      <w:bookmarkEnd w:id="20"/>
      <w:bookmarkEnd w:id="21"/>
      <w:bookmarkEnd w:id="22"/>
      <w:bookmarkEnd w:id="23"/>
      <w:bookmarkEnd w:id="24"/>
      <w:bookmarkEnd w:id="25"/>
    </w:p>
    <w:p>
      <w:pPr>
        <w:numPr>
          <w:ilvl w:val="0"/>
          <w:numId w:val="3"/>
        </w:numPr>
        <w:tabs>
          <w:tab w:val="left" w:pos="540"/>
          <w:tab w:val="left" w:pos="900"/>
          <w:tab w:val="clear" w:pos="420"/>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本次采购是</w:t>
      </w:r>
      <w:r>
        <w:rPr>
          <w:rFonts w:hint="eastAsia" w:ascii="宋体" w:hAnsi="宋体" w:cs="楷体"/>
          <w:color w:val="auto"/>
          <w:kern w:val="0"/>
          <w:sz w:val="22"/>
          <w:szCs w:val="22"/>
          <w:highlight w:val="none"/>
          <w:lang w:val="en-US" w:eastAsia="zh-CN"/>
        </w:rPr>
        <w:t>参照</w:t>
      </w:r>
      <w:r>
        <w:rPr>
          <w:rFonts w:hint="eastAsia" w:ascii="宋体" w:hAnsi="宋体" w:cs="楷体"/>
          <w:color w:val="auto"/>
          <w:kern w:val="0"/>
          <w:sz w:val="22"/>
          <w:szCs w:val="22"/>
          <w:highlight w:val="none"/>
        </w:rPr>
        <w:t>《温州市市属国有企业采购管理办法（试行）》等有关规定</w:t>
      </w:r>
      <w:r>
        <w:rPr>
          <w:rFonts w:hint="eastAsia" w:ascii="宋体" w:hAnsi="宋体" w:cs="楷体"/>
          <w:color w:val="auto"/>
          <w:sz w:val="22"/>
          <w:szCs w:val="22"/>
          <w:highlight w:val="none"/>
        </w:rPr>
        <w:t>及有关法规组织和实施的。</w:t>
      </w:r>
    </w:p>
    <w:p>
      <w:pPr>
        <w:numPr>
          <w:ilvl w:val="0"/>
          <w:numId w:val="3"/>
        </w:numPr>
        <w:tabs>
          <w:tab w:val="left" w:pos="540"/>
          <w:tab w:val="left" w:pos="900"/>
          <w:tab w:val="clear" w:pos="420"/>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合格投标人</w:t>
      </w:r>
    </w:p>
    <w:p>
      <w:pPr>
        <w:tabs>
          <w:tab w:val="left" w:pos="540"/>
        </w:tabs>
        <w:spacing w:line="460" w:lineRule="exact"/>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投标人合格条件见本项目采购公告；</w:t>
      </w:r>
    </w:p>
    <w:p>
      <w:pPr>
        <w:numPr>
          <w:ilvl w:val="0"/>
          <w:numId w:val="3"/>
        </w:numPr>
        <w:tabs>
          <w:tab w:val="left" w:pos="540"/>
          <w:tab w:val="left" w:pos="900"/>
          <w:tab w:val="clear" w:pos="420"/>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投标人代表</w:t>
      </w:r>
    </w:p>
    <w:p>
      <w:pPr>
        <w:spacing w:line="460" w:lineRule="exact"/>
        <w:ind w:firstLine="440" w:firstLineChars="200"/>
        <w:rPr>
          <w:rFonts w:hint="eastAsia" w:ascii="宋体" w:hAnsi="宋体" w:cs="楷体"/>
          <w:color w:val="auto"/>
          <w:sz w:val="22"/>
          <w:szCs w:val="22"/>
          <w:highlight w:val="none"/>
        </w:rPr>
      </w:pPr>
      <w:r>
        <w:rPr>
          <w:rFonts w:hint="eastAsia" w:ascii="宋体" w:hAnsi="宋体" w:cs="楷体"/>
          <w:color w:val="auto"/>
          <w:sz w:val="22"/>
          <w:szCs w:val="22"/>
          <w:highlight w:val="none"/>
        </w:rPr>
        <w:t>3.1指全权代表投标人参加投标活动并签署投标文件的人。如果投标人代表不是法定代表人，须持有《法定代表人授权书》。</w:t>
      </w:r>
    </w:p>
    <w:p>
      <w:pPr>
        <w:spacing w:line="460" w:lineRule="exact"/>
        <w:ind w:firstLine="440" w:firstLineChars="200"/>
        <w:rPr>
          <w:rFonts w:hint="eastAsia" w:ascii="宋体" w:hAnsi="宋体" w:cs="楷体"/>
          <w:color w:val="auto"/>
          <w:sz w:val="22"/>
          <w:szCs w:val="22"/>
          <w:highlight w:val="none"/>
        </w:rPr>
      </w:pPr>
      <w:r>
        <w:rPr>
          <w:rFonts w:hint="eastAsia" w:ascii="宋体" w:hAnsi="宋体" w:cs="楷体"/>
          <w:color w:val="auto"/>
          <w:sz w:val="22"/>
          <w:szCs w:val="22"/>
          <w:highlight w:val="none"/>
        </w:rPr>
        <w:t>3.2单位负责人为同一人或者存在控股、管理关系的不同单位，不得参加同一标段投标或者未划分标段的同一采购项目投标。</w:t>
      </w:r>
    </w:p>
    <w:p>
      <w:pPr>
        <w:numPr>
          <w:ilvl w:val="0"/>
          <w:numId w:val="3"/>
        </w:numPr>
        <w:tabs>
          <w:tab w:val="left" w:pos="540"/>
          <w:tab w:val="left" w:pos="900"/>
          <w:tab w:val="clear" w:pos="420"/>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投标费用</w:t>
      </w:r>
    </w:p>
    <w:p>
      <w:pPr>
        <w:spacing w:line="460" w:lineRule="exact"/>
        <w:ind w:firstLine="440" w:firstLineChars="200"/>
        <w:rPr>
          <w:color w:val="auto"/>
          <w:highlight w:val="none"/>
        </w:rPr>
      </w:pPr>
      <w:r>
        <w:rPr>
          <w:rFonts w:hint="eastAsia" w:ascii="宋体" w:hAnsi="宋体" w:cs="楷体"/>
          <w:color w:val="auto"/>
          <w:sz w:val="22"/>
          <w:szCs w:val="22"/>
          <w:highlight w:val="none"/>
        </w:rPr>
        <w:t>投标人应承担所有与准备和参加投标有关费用，不论投标的结果如何，采购人和采购代理机构均无义务和责任承担这些费用。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ascii="宋体" w:hAnsi="宋体" w:cs="楷体"/>
          <w:b/>
          <w:bCs/>
          <w:color w:val="auto"/>
          <w:sz w:val="26"/>
          <w:szCs w:val="26"/>
          <w:highlight w:val="none"/>
        </w:rPr>
      </w:pPr>
      <w:bookmarkStart w:id="26" w:name="_Toc221423617"/>
      <w:bookmarkStart w:id="27" w:name="_Toc221374624"/>
      <w:bookmarkStart w:id="28" w:name="_Toc222114877"/>
      <w:bookmarkStart w:id="29" w:name="_Toc24344"/>
      <w:bookmarkStart w:id="30" w:name="_Toc223715996"/>
      <w:bookmarkStart w:id="31" w:name="_Toc265529381"/>
      <w:bookmarkStart w:id="32" w:name="_Toc221356884"/>
      <w:bookmarkStart w:id="33" w:name="_Toc239145352"/>
      <w:bookmarkStart w:id="34" w:name="_Toc221356949"/>
      <w:bookmarkStart w:id="35" w:name="_Toc241404200"/>
      <w:r>
        <w:rPr>
          <w:rFonts w:hint="eastAsia" w:ascii="宋体" w:hAnsi="宋体" w:cs="楷体"/>
          <w:b/>
          <w:bCs/>
          <w:color w:val="auto"/>
          <w:sz w:val="26"/>
          <w:szCs w:val="26"/>
          <w:highlight w:val="none"/>
        </w:rPr>
        <w:t>二、 采购文件</w:t>
      </w:r>
      <w:bookmarkEnd w:id="26"/>
      <w:bookmarkEnd w:id="27"/>
      <w:bookmarkEnd w:id="28"/>
      <w:bookmarkEnd w:id="29"/>
      <w:bookmarkEnd w:id="30"/>
      <w:bookmarkEnd w:id="31"/>
      <w:bookmarkEnd w:id="32"/>
      <w:bookmarkEnd w:id="33"/>
      <w:bookmarkEnd w:id="34"/>
      <w:bookmarkEnd w:id="35"/>
    </w:p>
    <w:p>
      <w:pPr>
        <w:numPr>
          <w:ilvl w:val="0"/>
          <w:numId w:val="4"/>
        </w:numPr>
        <w:tabs>
          <w:tab w:val="left" w:pos="5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采购文件由采购文件目录所列内容及相关资料组成。</w:t>
      </w:r>
    </w:p>
    <w:p>
      <w:pPr>
        <w:numPr>
          <w:ilvl w:val="0"/>
          <w:numId w:val="4"/>
        </w:numPr>
        <w:tabs>
          <w:tab w:val="left" w:pos="540"/>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采购文件的澄清</w:t>
      </w:r>
    </w:p>
    <w:p>
      <w:pPr>
        <w:tabs>
          <w:tab w:val="left" w:pos="540"/>
        </w:tabs>
        <w:spacing w:line="460" w:lineRule="exact"/>
        <w:ind w:firstLine="440" w:firstLineChars="200"/>
        <w:rPr>
          <w:rFonts w:hint="eastAsia" w:ascii="宋体" w:hAnsi="宋体" w:cs="楷体"/>
          <w:color w:val="auto"/>
          <w:sz w:val="22"/>
          <w:szCs w:val="22"/>
          <w:highlight w:val="none"/>
        </w:rPr>
      </w:pPr>
      <w:r>
        <w:rPr>
          <w:rFonts w:hint="eastAsia" w:ascii="宋体" w:hAnsi="宋体" w:cs="楷体"/>
          <w:color w:val="auto"/>
          <w:sz w:val="22"/>
          <w:szCs w:val="22"/>
          <w:highlight w:val="none"/>
        </w:rPr>
        <w:t>投标人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540"/>
        </w:tabs>
        <w:spacing w:line="46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7. 采购文件的修改</w:t>
      </w:r>
    </w:p>
    <w:p>
      <w:pPr>
        <w:tabs>
          <w:tab w:val="left" w:pos="360"/>
          <w:tab w:val="left" w:pos="747"/>
        </w:tabs>
        <w:spacing w:line="46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7.1 在投标截止期十五天前，采购人无论是出于何种原因，均可对采购文件用补充文件的方式进行修改，并在</w:t>
      </w:r>
      <w:r>
        <w:rPr>
          <w:rFonts w:hint="eastAsia" w:ascii="宋体" w:hAnsi="宋体" w:cs="楷体"/>
          <w:color w:val="auto"/>
          <w:sz w:val="22"/>
          <w:szCs w:val="22"/>
          <w:highlight w:val="none"/>
          <w:lang w:val="en-US" w:eastAsia="zh-CN"/>
        </w:rPr>
        <w:t>浙江政府采购网、温州国企采购平台及温州市公用集团官网</w:t>
      </w:r>
      <w:r>
        <w:rPr>
          <w:rFonts w:hint="eastAsia" w:ascii="宋体" w:hAnsi="宋体" w:cs="楷体"/>
          <w:color w:val="auto"/>
          <w:sz w:val="22"/>
          <w:szCs w:val="22"/>
          <w:highlight w:val="none"/>
        </w:rPr>
        <w:t>发布更正公告。该澄清和修改的内容为采购文件的组成部分。采购人可以视采购具体情况在采购文件要求提交截止时间三天前，作出延长投标文件递交截止时间和开标时间的决定，并将变更时间书面通知所有采购文件收受人，并在</w:t>
      </w:r>
      <w:r>
        <w:rPr>
          <w:rFonts w:hint="eastAsia" w:ascii="宋体" w:hAnsi="宋体" w:cs="楷体"/>
          <w:color w:val="auto"/>
          <w:sz w:val="22"/>
          <w:szCs w:val="22"/>
          <w:highlight w:val="none"/>
          <w:lang w:val="en-US" w:eastAsia="zh-CN"/>
        </w:rPr>
        <w:t>浙江政府采购网、温州国企采购平台及温州市公用集团官网</w:t>
      </w:r>
      <w:r>
        <w:rPr>
          <w:rFonts w:hint="eastAsia" w:ascii="宋体" w:hAnsi="宋体" w:cs="楷体"/>
          <w:color w:val="auto"/>
          <w:sz w:val="22"/>
          <w:szCs w:val="22"/>
          <w:highlight w:val="none"/>
        </w:rPr>
        <w:t>上发布变更公告。</w:t>
      </w:r>
    </w:p>
    <w:p>
      <w:pPr>
        <w:tabs>
          <w:tab w:val="left" w:pos="360"/>
          <w:tab w:val="left" w:pos="747"/>
        </w:tabs>
        <w:spacing w:line="460" w:lineRule="exact"/>
        <w:rPr>
          <w:rFonts w:ascii="宋体" w:hAnsi="宋体" w:cs="楷体"/>
          <w:color w:val="auto"/>
          <w:sz w:val="22"/>
          <w:szCs w:val="22"/>
          <w:highlight w:val="none"/>
        </w:rPr>
      </w:pPr>
      <w:bookmarkStart w:id="36" w:name="_Toc222114878"/>
      <w:bookmarkStart w:id="37" w:name="_Toc239145353"/>
      <w:bookmarkStart w:id="38" w:name="_Toc265529382"/>
      <w:bookmarkStart w:id="39" w:name="_Toc10688"/>
      <w:bookmarkStart w:id="40" w:name="_Toc221356885"/>
      <w:bookmarkStart w:id="41" w:name="_Toc221374625"/>
      <w:bookmarkStart w:id="42" w:name="_Toc223715997"/>
      <w:bookmarkStart w:id="43" w:name="_Toc241404201"/>
      <w:bookmarkStart w:id="44" w:name="_Toc221356950"/>
      <w:bookmarkStart w:id="45" w:name="_Toc221423618"/>
      <w:r>
        <w:rPr>
          <w:rFonts w:hint="eastAsia" w:ascii="宋体" w:hAnsi="宋体" w:cs="楷体"/>
          <w:color w:val="auto"/>
          <w:sz w:val="22"/>
          <w:szCs w:val="22"/>
          <w:highlight w:val="none"/>
        </w:rPr>
        <w:t>7.2 采购文件如有补充更正均见</w:t>
      </w:r>
      <w:r>
        <w:rPr>
          <w:rFonts w:hint="eastAsia" w:ascii="宋体" w:hAnsi="宋体" w:cs="楷体"/>
          <w:color w:val="auto"/>
          <w:sz w:val="22"/>
          <w:szCs w:val="22"/>
          <w:highlight w:val="none"/>
          <w:lang w:val="en-US" w:eastAsia="zh-CN"/>
        </w:rPr>
        <w:t>浙江政府采购网、温州国企采购平台及温州市公用集团官网</w:t>
      </w:r>
      <w:r>
        <w:rPr>
          <w:rFonts w:hint="eastAsia" w:ascii="宋体" w:hAnsi="宋体" w:cs="楷体"/>
          <w:color w:val="auto"/>
          <w:sz w:val="22"/>
          <w:szCs w:val="22"/>
          <w:highlight w:val="none"/>
        </w:rPr>
        <w:t>。投标人须在开标前一日自行查看是否有补充更正文件，并按补充更正文件要求投标响应，否则责任自负</w:t>
      </w:r>
      <w:r>
        <w:rPr>
          <w:rFonts w:hint="eastAsia" w:ascii="宋体" w:hAnsi="宋体" w:cs="楷体"/>
          <w:bCs/>
          <w:color w:val="auto"/>
          <w:sz w:val="22"/>
          <w:szCs w:val="22"/>
          <w:highlight w:val="none"/>
        </w:rPr>
        <w:t>。</w:t>
      </w:r>
    </w:p>
    <w:p>
      <w:pPr>
        <w:spacing w:before="100" w:beforeAutospacing="1" w:after="100" w:afterAutospacing="1" w:line="440" w:lineRule="exact"/>
        <w:jc w:val="center"/>
        <w:outlineLvl w:val="0"/>
        <w:rPr>
          <w:rFonts w:ascii="宋体" w:hAnsi="宋体" w:cs="楷体"/>
          <w:b/>
          <w:bCs/>
          <w:color w:val="auto"/>
          <w:sz w:val="26"/>
          <w:szCs w:val="26"/>
          <w:highlight w:val="none"/>
        </w:rPr>
      </w:pPr>
      <w:r>
        <w:rPr>
          <w:rFonts w:hint="eastAsia" w:ascii="宋体" w:hAnsi="宋体" w:cs="楷体"/>
          <w:b/>
          <w:bCs/>
          <w:color w:val="auto"/>
          <w:sz w:val="26"/>
          <w:szCs w:val="26"/>
          <w:highlight w:val="none"/>
        </w:rPr>
        <w:t>三、 投标文件的编制</w:t>
      </w:r>
      <w:bookmarkEnd w:id="36"/>
      <w:bookmarkEnd w:id="37"/>
      <w:bookmarkEnd w:id="38"/>
      <w:bookmarkEnd w:id="39"/>
      <w:bookmarkEnd w:id="40"/>
      <w:bookmarkEnd w:id="41"/>
      <w:bookmarkEnd w:id="42"/>
      <w:bookmarkEnd w:id="43"/>
      <w:bookmarkEnd w:id="44"/>
      <w:bookmarkEnd w:id="45"/>
    </w:p>
    <w:p>
      <w:pPr>
        <w:numPr>
          <w:ilvl w:val="0"/>
          <w:numId w:val="5"/>
        </w:numPr>
        <w:tabs>
          <w:tab w:val="left" w:pos="5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投标人应认真阅读采购文件中所有事项格式、条款和技术规范等。</w:t>
      </w:r>
      <w:r>
        <w:rPr>
          <w:rFonts w:hint="eastAsia" w:ascii="宋体" w:hAnsi="宋体" w:cs="楷体"/>
          <w:b/>
          <w:color w:val="auto"/>
          <w:sz w:val="22"/>
          <w:szCs w:val="22"/>
          <w:highlight w:val="none"/>
        </w:rPr>
        <w:t>投标人没有按照采购文件要求提交全部资料，或者没有对采购文件各个方面做出实质性响应，导致投标被拒绝的风险由投标人自行承担。</w:t>
      </w:r>
    </w:p>
    <w:p>
      <w:pPr>
        <w:numPr>
          <w:ilvl w:val="0"/>
          <w:numId w:val="5"/>
        </w:numPr>
        <w:tabs>
          <w:tab w:val="left" w:pos="540"/>
        </w:tabs>
        <w:spacing w:line="460" w:lineRule="exact"/>
        <w:ind w:left="540" w:hanging="540"/>
        <w:rPr>
          <w:rFonts w:ascii="宋体" w:hAnsi="宋体" w:cs="楷体"/>
          <w:bCs/>
          <w:color w:val="auto"/>
          <w:sz w:val="22"/>
          <w:szCs w:val="22"/>
          <w:highlight w:val="none"/>
        </w:rPr>
      </w:pPr>
      <w:r>
        <w:rPr>
          <w:rFonts w:hint="eastAsia" w:ascii="宋体" w:hAnsi="宋体" w:cs="楷体"/>
          <w:bCs/>
          <w:color w:val="auto"/>
          <w:sz w:val="22"/>
          <w:szCs w:val="22"/>
          <w:highlight w:val="none"/>
        </w:rPr>
        <w:t>投标人法律责任</w:t>
      </w:r>
    </w:p>
    <w:p>
      <w:pPr>
        <w:tabs>
          <w:tab w:val="left" w:pos="540"/>
        </w:tabs>
        <w:spacing w:line="460" w:lineRule="exact"/>
        <w:ind w:firstLine="442" w:firstLineChars="200"/>
        <w:rPr>
          <w:rFonts w:ascii="宋体" w:hAnsi="宋体" w:cs="楷体"/>
          <w:b/>
          <w:color w:val="auto"/>
          <w:sz w:val="22"/>
          <w:szCs w:val="22"/>
          <w:highlight w:val="none"/>
        </w:rPr>
      </w:pPr>
      <w:r>
        <w:rPr>
          <w:rFonts w:hint="eastAsia" w:ascii="宋体" w:hAnsi="宋体" w:cs="楷体"/>
          <w:b/>
          <w:color w:val="auto"/>
          <w:sz w:val="22"/>
          <w:szCs w:val="22"/>
          <w:highlight w:val="none"/>
        </w:rPr>
        <w:t>投标人应保证所提供文件资料的真实性，所有文件资料必须是针对本次投标的。如发现投标人提供了虚假文件资料，其投标将被</w:t>
      </w:r>
      <w:r>
        <w:rPr>
          <w:rFonts w:hint="eastAsia" w:ascii="宋体" w:hAnsi="宋体" w:cs="楷体"/>
          <w:b/>
          <w:color w:val="auto"/>
          <w:sz w:val="22"/>
          <w:szCs w:val="22"/>
          <w:highlight w:val="none"/>
          <w:lang w:eastAsia="zh-CN"/>
        </w:rPr>
        <w:t>否决</w:t>
      </w:r>
      <w:r>
        <w:rPr>
          <w:rFonts w:hint="eastAsia" w:ascii="宋体" w:hAnsi="宋体" w:cs="楷体"/>
          <w:b/>
          <w:color w:val="auto"/>
          <w:sz w:val="22"/>
          <w:szCs w:val="22"/>
          <w:highlight w:val="none"/>
        </w:rPr>
        <w:t>，并自行承担相应的法律责任。</w:t>
      </w:r>
    </w:p>
    <w:p>
      <w:pPr>
        <w:numPr>
          <w:ilvl w:val="0"/>
          <w:numId w:val="5"/>
        </w:numPr>
        <w:tabs>
          <w:tab w:val="left" w:pos="540"/>
        </w:tabs>
        <w:spacing w:line="460" w:lineRule="exact"/>
        <w:ind w:left="540" w:hanging="540"/>
        <w:rPr>
          <w:rFonts w:ascii="宋体" w:hAnsi="宋体" w:cs="楷体"/>
          <w:bCs/>
          <w:color w:val="auto"/>
          <w:sz w:val="22"/>
          <w:szCs w:val="22"/>
          <w:highlight w:val="none"/>
        </w:rPr>
      </w:pPr>
      <w:r>
        <w:rPr>
          <w:rFonts w:hint="eastAsia" w:ascii="宋体" w:hAnsi="宋体" w:cs="楷体"/>
          <w:bCs/>
          <w:color w:val="auto"/>
          <w:sz w:val="22"/>
          <w:szCs w:val="22"/>
          <w:highlight w:val="none"/>
        </w:rPr>
        <w:t>投标文件的构成：</w:t>
      </w:r>
    </w:p>
    <w:p>
      <w:pPr>
        <w:numPr>
          <w:ilvl w:val="1"/>
          <w:numId w:val="6"/>
        </w:numPr>
        <w:tabs>
          <w:tab w:val="left" w:pos="360"/>
          <w:tab w:val="clear" w:pos="992"/>
        </w:tabs>
        <w:spacing w:line="460" w:lineRule="exact"/>
        <w:ind w:left="360" w:hanging="360"/>
        <w:rPr>
          <w:rFonts w:ascii="宋体" w:hAnsi="宋体" w:cs="楷体"/>
          <w:b/>
          <w:bCs/>
          <w:color w:val="auto"/>
          <w:sz w:val="22"/>
          <w:szCs w:val="22"/>
          <w:highlight w:val="none"/>
        </w:rPr>
      </w:pPr>
      <w:r>
        <w:rPr>
          <w:rFonts w:hint="eastAsia" w:ascii="宋体" w:hAnsi="宋体" w:cs="楷体"/>
          <w:b/>
          <w:bCs/>
          <w:color w:val="auto"/>
          <w:sz w:val="22"/>
          <w:szCs w:val="22"/>
          <w:highlight w:val="none"/>
        </w:rPr>
        <w:t>投标文件由资格审查资料、技术资信标、商务报价标三部分构成：</w:t>
      </w:r>
    </w:p>
    <w:p>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（1）资格审查资料</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申请材料真实性声明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投标保证金缴纳凭证,最终以实际到帐为准（加盖公章）</w:t>
            </w:r>
          </w:p>
        </w:tc>
      </w:tr>
    </w:tbl>
    <w:p>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pPr>
        <w:numPr>
          <w:ilvl w:val="0"/>
          <w:numId w:val="7"/>
        </w:numPr>
        <w:spacing w:line="430" w:lineRule="exact"/>
        <w:rPr>
          <w:rFonts w:ascii="宋体" w:hAnsi="宋体" w:cs="楷体"/>
          <w:color w:val="auto"/>
          <w:sz w:val="22"/>
          <w:szCs w:val="22"/>
          <w:highlight w:val="none"/>
        </w:rPr>
      </w:pPr>
      <w:r>
        <w:rPr>
          <w:rFonts w:hint="eastAsia" w:ascii="宋体" w:hAnsi="宋体" w:cs="楷体"/>
          <w:color w:val="auto"/>
          <w:sz w:val="22"/>
          <w:szCs w:val="22"/>
          <w:highlight w:val="none"/>
        </w:rPr>
        <w:t>以上所需的各种证书、证件、证明、执照若系复印件，须在复印件上加盖投标人有效的公章。</w:t>
      </w:r>
    </w:p>
    <w:p>
      <w:pPr>
        <w:numPr>
          <w:ilvl w:val="0"/>
          <w:numId w:val="7"/>
        </w:numPr>
        <w:spacing w:line="430" w:lineRule="exact"/>
        <w:rPr>
          <w:rFonts w:ascii="宋体" w:hAnsi="宋体" w:cs="楷体"/>
          <w:color w:val="auto"/>
          <w:highlight w:val="none"/>
        </w:rPr>
      </w:pPr>
      <w:r>
        <w:rPr>
          <w:rFonts w:hint="eastAsia" w:ascii="宋体" w:hAnsi="宋体" w:cs="楷体"/>
          <w:b/>
          <w:bCs/>
          <w:color w:val="auto"/>
          <w:szCs w:val="21"/>
          <w:highlight w:val="none"/>
          <w:u w:val="single"/>
        </w:rPr>
        <w:t>▲</w:t>
      </w:r>
      <w:r>
        <w:rPr>
          <w:rFonts w:hint="eastAsia" w:ascii="宋体" w:hAnsi="宋体" w:cs="楷体"/>
          <w:b/>
          <w:color w:val="auto"/>
          <w:sz w:val="22"/>
          <w:szCs w:val="22"/>
          <w:highlight w:val="none"/>
          <w:u w:val="single"/>
        </w:rPr>
        <w:t>关于</w:t>
      </w:r>
      <w:r>
        <w:rPr>
          <w:rFonts w:hint="eastAsia" w:ascii="宋体" w:hAnsi="宋体" w:cs="楷体"/>
          <w:b/>
          <w:bCs/>
          <w:color w:val="auto"/>
          <w:sz w:val="22"/>
          <w:szCs w:val="22"/>
          <w:highlight w:val="none"/>
          <w:u w:val="single"/>
        </w:rPr>
        <w:t>“信用中国”(www.creditchina.gov.cn) 信用记录网页截图相关说明</w:t>
      </w:r>
      <w:r>
        <w:rPr>
          <w:rFonts w:hint="eastAsia" w:ascii="宋体" w:hAnsi="宋体" w:cs="楷体"/>
          <w:bCs/>
          <w:color w:val="auto"/>
          <w:sz w:val="22"/>
          <w:szCs w:val="22"/>
          <w:highlight w:val="none"/>
        </w:rPr>
        <w:t>：</w:t>
      </w:r>
    </w:p>
    <w:p>
      <w:pPr>
        <w:numPr>
          <w:ilvl w:val="0"/>
          <w:numId w:val="8"/>
        </w:numPr>
        <w:spacing w:line="430" w:lineRule="exact"/>
        <w:rPr>
          <w:rFonts w:ascii="宋体" w:hAnsi="宋体" w:cs="楷体"/>
          <w:bCs/>
          <w:color w:val="auto"/>
          <w:sz w:val="22"/>
          <w:szCs w:val="22"/>
          <w:highlight w:val="none"/>
        </w:rPr>
      </w:pPr>
      <w:r>
        <w:rPr>
          <w:rFonts w:hint="eastAsia" w:ascii="宋体" w:hAnsi="宋体" w:cs="楷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pPr>
        <w:numPr>
          <w:ilvl w:val="0"/>
          <w:numId w:val="8"/>
        </w:numPr>
        <w:spacing w:line="430" w:lineRule="exact"/>
        <w:rPr>
          <w:rFonts w:ascii="宋体" w:hAnsi="宋体" w:cs="楷体"/>
          <w:bCs/>
          <w:color w:val="auto"/>
          <w:sz w:val="22"/>
          <w:szCs w:val="22"/>
          <w:highlight w:val="none"/>
        </w:rPr>
      </w:pPr>
      <w:r>
        <w:rPr>
          <w:rFonts w:hint="eastAsia" w:ascii="宋体" w:hAnsi="宋体" w:cs="楷体"/>
          <w:bCs/>
          <w:color w:val="auto"/>
          <w:sz w:val="22"/>
          <w:szCs w:val="22"/>
          <w:highlight w:val="none"/>
        </w:rPr>
        <w:t>若供应商在“信用中国”无数据，亦须将搜索结果页面打印，并附说明。</w:t>
      </w:r>
    </w:p>
    <w:p>
      <w:pPr>
        <w:numPr>
          <w:ilvl w:val="0"/>
          <w:numId w:val="9"/>
        </w:numPr>
        <w:spacing w:line="430" w:lineRule="exact"/>
        <w:ind w:left="187" w:leftChars="85" w:hanging="9" w:hangingChars="4"/>
        <w:rPr>
          <w:rFonts w:ascii="宋体" w:hAnsi="宋体" w:cs="楷体"/>
          <w:color w:val="auto"/>
          <w:highlight w:val="none"/>
        </w:rPr>
      </w:pPr>
      <w:r>
        <w:rPr>
          <w:rFonts w:hint="eastAsia" w:ascii="宋体" w:hAnsi="宋体" w:cs="楷体"/>
          <w:b/>
          <w:color w:val="auto"/>
          <w:sz w:val="22"/>
          <w:szCs w:val="22"/>
          <w:highlight w:val="none"/>
        </w:rPr>
        <w:t>技术资信标</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技术要求应答表、</w:t>
            </w:r>
            <w:r>
              <w:rPr>
                <w:rFonts w:hint="eastAsia" w:ascii="新宋体" w:hAnsi="新宋体" w:eastAsia="新宋体" w:cs="新宋体"/>
                <w:color w:val="auto"/>
                <w:sz w:val="22"/>
                <w:szCs w:val="22"/>
                <w:highlight w:val="none"/>
              </w:rPr>
              <w:t>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pP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val="en-US" w:eastAsia="zh-CN"/>
              </w:rPr>
              <w:t>综合</w:t>
            </w:r>
            <w:r>
              <w:rPr>
                <w:rFonts w:hint="eastAsia" w:ascii="新宋体" w:hAnsi="新宋体" w:eastAsia="新宋体" w:cs="新宋体"/>
                <w:color w:val="auto"/>
                <w:sz w:val="22"/>
                <w:szCs w:val="22"/>
                <w:highlight w:val="none"/>
              </w:rPr>
              <w:t>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供货清单一览表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snapToGrid w:val="0"/>
                <w:color w:val="auto"/>
                <w:kern w:val="0"/>
                <w:sz w:val="22"/>
                <w:szCs w:val="22"/>
                <w:highlight w:val="none"/>
              </w:rPr>
            </w:pPr>
            <w:r>
              <w:rPr>
                <w:rFonts w:hint="eastAsia" w:ascii="宋体" w:hAnsi="宋体" w:eastAsia="宋体" w:cs="宋体"/>
                <w:strike w:val="0"/>
                <w:dstrike w:val="0"/>
                <w:color w:val="auto"/>
                <w:sz w:val="22"/>
                <w:szCs w:val="22"/>
                <w:highlight w:val="none"/>
              </w:rPr>
              <w:t>备品备件、易损易耗件、耗材</w:t>
            </w:r>
            <w:r>
              <w:rPr>
                <w:rFonts w:hint="eastAsia" w:ascii="宋体" w:hAnsi="宋体" w:eastAsia="宋体" w:cs="宋体"/>
                <w:strike w:val="0"/>
                <w:dstrike w:val="0"/>
                <w:color w:val="auto"/>
                <w:sz w:val="22"/>
                <w:szCs w:val="22"/>
                <w:highlight w:val="none"/>
                <w:lang w:val="en-US" w:eastAsia="zh-CN"/>
              </w:rPr>
              <w:t>和专用工具清单</w:t>
            </w:r>
            <w:r>
              <w:rPr>
                <w:rFonts w:hint="eastAsia" w:ascii="宋体" w:hAnsi="宋体" w:eastAsia="宋体" w:cs="宋体"/>
                <w:strike w:val="0"/>
                <w:dstrike w:val="0"/>
                <w:color w:val="auto"/>
                <w:sz w:val="22"/>
                <w:szCs w:val="22"/>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snapToGrid w:val="0"/>
                <w:color w:val="auto"/>
                <w:kern w:val="0"/>
                <w:sz w:val="22"/>
                <w:szCs w:val="22"/>
                <w:highlight w:val="none"/>
              </w:rPr>
            </w:pPr>
            <w:r>
              <w:rPr>
                <w:rFonts w:hint="eastAsia" w:ascii="宋体" w:hAnsi="宋体" w:eastAsia="宋体" w:cs="宋体"/>
                <w:strike w:val="0"/>
                <w:dstrike w:val="0"/>
                <w:color w:val="auto"/>
                <w:sz w:val="22"/>
                <w:szCs w:val="22"/>
                <w:highlight w:val="none"/>
              </w:rPr>
              <w:t>主要原材料情况表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宋体" w:hAnsi="宋体" w:cs="宋体"/>
                <w:color w:val="auto"/>
                <w:sz w:val="22"/>
                <w:szCs w:val="22"/>
                <w:highlight w:val="none"/>
              </w:rPr>
            </w:pPr>
            <w:r>
              <w:rPr>
                <w:rFonts w:hint="eastAsia" w:ascii="宋体" w:hAnsi="宋体" w:eastAsia="宋体" w:cs="宋体"/>
                <w:strike w:val="0"/>
                <w:dstrike w:val="0"/>
                <w:color w:val="auto"/>
                <w:sz w:val="22"/>
                <w:szCs w:val="22"/>
                <w:highlight w:val="none"/>
              </w:rPr>
              <w:t>产品技术标准及性能的详细描述</w:t>
            </w:r>
            <w:r>
              <w:rPr>
                <w:rFonts w:hint="eastAsia" w:ascii="宋体" w:hAnsi="宋体" w:eastAsia="宋体" w:cs="宋体"/>
                <w:strike w:val="0"/>
                <w:dstrike w:val="0"/>
                <w:color w:val="auto"/>
                <w:sz w:val="22"/>
                <w:szCs w:val="22"/>
                <w:highlight w:val="none"/>
                <w:lang w:eastAsia="zh-CN"/>
              </w:rPr>
              <w:t>（</w:t>
            </w:r>
            <w:r>
              <w:rPr>
                <w:rFonts w:hint="eastAsia" w:ascii="宋体" w:hAnsi="宋体" w:eastAsia="宋体" w:cs="宋体"/>
                <w:strike w:val="0"/>
                <w:dstrike w:val="0"/>
                <w:color w:val="auto"/>
                <w:sz w:val="22"/>
                <w:szCs w:val="22"/>
                <w:highlight w:val="none"/>
                <w:lang w:val="en-US" w:eastAsia="zh-CN"/>
              </w:rPr>
              <w:t>含产品设计图</w:t>
            </w:r>
            <w:r>
              <w:rPr>
                <w:rFonts w:hint="eastAsia" w:ascii="宋体" w:hAnsi="宋体" w:eastAsia="宋体" w:cs="宋体"/>
                <w:strike w:val="0"/>
                <w:dstrike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项目实施方案（包括生产地址、质量控制、运输、交货验收等）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宋体" w:hAnsi="宋体" w:cs="宋体"/>
                <w:color w:val="auto"/>
                <w:sz w:val="22"/>
                <w:szCs w:val="22"/>
                <w:highlight w:val="none"/>
              </w:rPr>
            </w:pPr>
            <w:r>
              <w:rPr>
                <w:rFonts w:hint="eastAsia" w:ascii="宋体" w:hAnsi="宋体" w:eastAsia="宋体" w:cs="宋体"/>
                <w:strike w:val="0"/>
                <w:dstrike w:val="0"/>
                <w:color w:val="auto"/>
                <w:sz w:val="22"/>
                <w:szCs w:val="22"/>
                <w:highlight w:val="none"/>
              </w:rPr>
              <w:t>投标人</w:t>
            </w:r>
            <w:r>
              <w:rPr>
                <w:rFonts w:hint="eastAsia" w:ascii="宋体" w:hAnsi="宋体" w:eastAsia="宋体" w:cs="宋体"/>
                <w:strike w:val="0"/>
                <w:dstrike w:val="0"/>
                <w:color w:val="auto"/>
                <w:sz w:val="22"/>
                <w:szCs w:val="22"/>
                <w:highlight w:val="none"/>
                <w:lang w:eastAsia="zh-CN"/>
              </w:rPr>
              <w:t>2020年1月1日</w:t>
            </w:r>
            <w:r>
              <w:rPr>
                <w:rFonts w:hint="eastAsia" w:ascii="宋体" w:hAnsi="宋体" w:eastAsia="宋体" w:cs="宋体"/>
                <w:strike w:val="0"/>
                <w:dstrike w:val="0"/>
                <w:color w:val="auto"/>
                <w:sz w:val="22"/>
                <w:szCs w:val="22"/>
                <w:highlight w:val="none"/>
              </w:rPr>
              <w:t>以来同类项目的销售业绩表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宋体" w:cs="新宋体"/>
                <w:color w:val="auto"/>
                <w:sz w:val="22"/>
                <w:szCs w:val="22"/>
                <w:highlight w:val="none"/>
                <w:lang w:val="en-US" w:eastAsia="zh-CN"/>
              </w:rPr>
            </w:pPr>
            <w:r>
              <w:rPr>
                <w:rFonts w:hint="eastAsia" w:ascii="宋体" w:hAnsi="宋体" w:eastAsia="宋体" w:cs="宋体"/>
                <w:strike w:val="0"/>
                <w:dstrike w:val="0"/>
                <w:color w:val="auto"/>
                <w:sz w:val="22"/>
                <w:szCs w:val="22"/>
                <w:highlight w:val="none"/>
              </w:rPr>
              <w:t>售后服务计划、</w:t>
            </w:r>
            <w:r>
              <w:rPr>
                <w:rFonts w:hint="eastAsia" w:ascii="宋体" w:hAnsi="宋体" w:cs="宋体"/>
                <w:strike w:val="0"/>
                <w:dstrike w:val="0"/>
                <w:color w:val="auto"/>
                <w:sz w:val="22"/>
                <w:szCs w:val="22"/>
                <w:highlight w:val="none"/>
                <w:lang w:val="en-US" w:eastAsia="zh-CN"/>
              </w:rPr>
              <w:t>应急</w:t>
            </w:r>
            <w:r>
              <w:rPr>
                <w:rFonts w:hint="eastAsia" w:ascii="宋体" w:hAnsi="宋体" w:eastAsia="宋体" w:cs="宋体"/>
                <w:strike w:val="0"/>
                <w:dstrike w:val="0"/>
                <w:color w:val="auto"/>
                <w:sz w:val="22"/>
                <w:szCs w:val="22"/>
                <w:highlight w:val="none"/>
              </w:rPr>
              <w:t>措施及</w:t>
            </w:r>
            <w:r>
              <w:rPr>
                <w:rFonts w:hint="eastAsia" w:ascii="宋体" w:hAnsi="宋体" w:cs="宋体"/>
                <w:strike w:val="0"/>
                <w:dstrike w:val="0"/>
                <w:color w:val="auto"/>
                <w:sz w:val="22"/>
                <w:szCs w:val="22"/>
                <w:highlight w:val="none"/>
                <w:lang w:val="en-US" w:eastAsia="zh-CN"/>
              </w:rPr>
              <w:t>质量保障</w:t>
            </w:r>
            <w:r>
              <w:rPr>
                <w:rFonts w:hint="eastAsia" w:ascii="宋体" w:hAnsi="宋体" w:eastAsia="宋体" w:cs="宋体"/>
                <w:strike w:val="0"/>
                <w:dstrike w:val="0"/>
                <w:color w:val="auto"/>
                <w:sz w:val="22"/>
                <w:szCs w:val="22"/>
                <w:highlight w:val="none"/>
              </w:rPr>
              <w:t>承诺</w:t>
            </w:r>
            <w:r>
              <w:rPr>
                <w:rFonts w:hint="eastAsia" w:ascii="宋体" w:hAnsi="宋体" w:cs="宋体"/>
                <w:strike w:val="0"/>
                <w:dstrike w:val="0"/>
                <w:color w:val="auto"/>
                <w:sz w:val="22"/>
                <w:szCs w:val="22"/>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根据</w:t>
            </w:r>
            <w:r>
              <w:rPr>
                <w:rFonts w:hint="eastAsia" w:ascii="宋体" w:hAnsi="宋体" w:eastAsia="宋体" w:cs="宋体"/>
                <w:strike w:val="0"/>
                <w:dstrike w:val="0"/>
                <w:color w:val="auto"/>
                <w:sz w:val="22"/>
                <w:szCs w:val="22"/>
                <w:highlight w:val="none"/>
                <w:lang w:eastAsia="zh-CN"/>
              </w:rPr>
              <w:t>采购</w:t>
            </w:r>
            <w:r>
              <w:rPr>
                <w:rFonts w:hint="eastAsia" w:ascii="宋体" w:hAnsi="宋体" w:eastAsia="宋体" w:cs="宋体"/>
                <w:strike w:val="0"/>
                <w:dstrike w:val="0"/>
                <w:color w:val="auto"/>
                <w:sz w:val="22"/>
                <w:szCs w:val="22"/>
                <w:highlight w:val="none"/>
              </w:rPr>
              <w:t>文件中的采购内容与技术要求、评标细则，需要提供的其它文件和资料。</w:t>
            </w:r>
          </w:p>
        </w:tc>
      </w:tr>
    </w:tbl>
    <w:p>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说明：</w:t>
      </w:r>
    </w:p>
    <w:p>
      <w:pPr>
        <w:numPr>
          <w:ilvl w:val="0"/>
          <w:numId w:val="10"/>
        </w:numPr>
        <w:tabs>
          <w:tab w:val="left" w:pos="5355"/>
        </w:tabs>
        <w:spacing w:line="430" w:lineRule="exact"/>
        <w:rPr>
          <w:rFonts w:ascii="宋体" w:hAnsi="宋体" w:cs="楷体"/>
          <w:color w:val="auto"/>
          <w:sz w:val="22"/>
          <w:szCs w:val="22"/>
          <w:highlight w:val="none"/>
        </w:rPr>
      </w:pPr>
      <w:r>
        <w:rPr>
          <w:rFonts w:hint="eastAsia" w:ascii="宋体" w:hAnsi="宋体" w:cs="楷体"/>
          <w:color w:val="auto"/>
          <w:sz w:val="22"/>
          <w:szCs w:val="22"/>
          <w:highlight w:val="none"/>
        </w:rPr>
        <w:t>投标人可根据采购文件中的技术规格书以及技术资信评分表，提供投标人认为需要提供的文件和资料。</w:t>
      </w:r>
    </w:p>
    <w:p>
      <w:pPr>
        <w:numPr>
          <w:ilvl w:val="0"/>
          <w:numId w:val="10"/>
        </w:numPr>
        <w:tabs>
          <w:tab w:val="left" w:pos="5355"/>
        </w:tabs>
        <w:spacing w:line="430" w:lineRule="exact"/>
        <w:rPr>
          <w:rFonts w:ascii="宋体" w:hAnsi="宋体" w:cs="楷体"/>
          <w:color w:val="auto"/>
          <w:sz w:val="22"/>
          <w:szCs w:val="22"/>
          <w:highlight w:val="none"/>
        </w:rPr>
      </w:pPr>
      <w:r>
        <w:rPr>
          <w:rFonts w:hint="eastAsia" w:ascii="宋体" w:hAnsi="宋体" w:cs="楷体"/>
          <w:color w:val="auto"/>
          <w:sz w:val="22"/>
          <w:szCs w:val="22"/>
          <w:highlight w:val="none"/>
        </w:rPr>
        <w:t>投标文件中应承诺：投标人所提供的货物或服务所有权归采购人所有。如若发生侵权事件，其侵权责任与采购人及采购代理机构无关，由投标人承担全部责任。侵权造成的所有相关费用，均由投标人支付，保证不伤害采购人的利益。</w:t>
      </w:r>
    </w:p>
    <w:p>
      <w:pPr>
        <w:numPr>
          <w:ilvl w:val="0"/>
          <w:numId w:val="10"/>
        </w:numPr>
        <w:tabs>
          <w:tab w:val="left" w:pos="5355"/>
        </w:tabs>
        <w:spacing w:line="430" w:lineRule="exact"/>
        <w:rPr>
          <w:rFonts w:ascii="宋体" w:hAnsi="宋体" w:cs="楷体"/>
          <w:color w:val="auto"/>
          <w:sz w:val="22"/>
          <w:szCs w:val="22"/>
          <w:highlight w:val="none"/>
        </w:rPr>
      </w:pPr>
      <w:r>
        <w:rPr>
          <w:rFonts w:hint="eastAsia" w:ascii="宋体" w:hAnsi="宋体" w:cs="楷体"/>
          <w:color w:val="auto"/>
          <w:sz w:val="22"/>
          <w:szCs w:val="22"/>
          <w:highlight w:val="none"/>
        </w:rPr>
        <w:t>投标人可在投标文件中对采购文件中的技术要求选用替代标准、补充或更改，但这些替代标准及补充更改必须相当于或优于采购文件中提出的相应技术要求，并使采购人满意。同时在技术偏离表中作出详细说明。</w:t>
      </w:r>
    </w:p>
    <w:p>
      <w:pPr>
        <w:numPr>
          <w:ilvl w:val="0"/>
          <w:numId w:val="10"/>
        </w:numPr>
        <w:tabs>
          <w:tab w:val="left" w:pos="5355"/>
        </w:tabs>
        <w:spacing w:line="430" w:lineRule="exact"/>
        <w:rPr>
          <w:rFonts w:ascii="宋体" w:hAnsi="宋体" w:cs="楷体"/>
          <w:b/>
          <w:color w:val="auto"/>
          <w:sz w:val="22"/>
          <w:szCs w:val="22"/>
          <w:highlight w:val="none"/>
          <w:u w:val="single"/>
        </w:rPr>
      </w:pPr>
      <w:r>
        <w:rPr>
          <w:rFonts w:hint="eastAsia" w:ascii="宋体" w:hAnsi="宋体" w:cs="楷体"/>
          <w:color w:val="auto"/>
          <w:sz w:val="22"/>
          <w:szCs w:val="22"/>
          <w:highlight w:val="none"/>
          <w:u w:val="single"/>
        </w:rPr>
        <w:t>以上所需的各种证书、证件、证明、执照若系复印件，须在复印件上加盖投标人有效的公章。</w:t>
      </w:r>
    </w:p>
    <w:p>
      <w:pPr>
        <w:spacing w:line="430" w:lineRule="exact"/>
        <w:rPr>
          <w:rFonts w:ascii="宋体" w:hAnsi="宋体" w:cs="楷体"/>
          <w:b/>
          <w:color w:val="auto"/>
          <w:sz w:val="22"/>
          <w:szCs w:val="22"/>
          <w:highlight w:val="none"/>
        </w:rPr>
      </w:pPr>
      <w:bookmarkStart w:id="46" w:name="_Toc221356886"/>
      <w:r>
        <w:rPr>
          <w:rFonts w:hint="eastAsia" w:ascii="宋体" w:hAnsi="宋体" w:cs="楷体"/>
          <w:b/>
          <w:color w:val="auto"/>
          <w:sz w:val="22"/>
          <w:szCs w:val="22"/>
          <w:highlight w:val="none"/>
        </w:rPr>
        <w:t>（3） 商务报价标</w:t>
      </w:r>
      <w:bookmarkEnd w:id="46"/>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5" w:type="dxa"/>
            <w:vAlign w:val="center"/>
          </w:tcPr>
          <w:p>
            <w:pPr>
              <w:spacing w:line="24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pPr>
              <w:spacing w:line="24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5" w:type="dxa"/>
            <w:vAlign w:val="center"/>
          </w:tcPr>
          <w:p>
            <w:pPr>
              <w:spacing w:line="240" w:lineRule="auto"/>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p>
        </w:tc>
        <w:tc>
          <w:tcPr>
            <w:tcW w:w="9109" w:type="dxa"/>
            <w:vAlign w:val="center"/>
          </w:tcPr>
          <w:p>
            <w:pPr>
              <w:spacing w:line="24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eastAsia="zh-CN"/>
              </w:rPr>
              <w:t>开标一览表</w:t>
            </w:r>
          </w:p>
        </w:tc>
      </w:tr>
    </w:tbl>
    <w:p>
      <w:pPr>
        <w:keepNext w:val="0"/>
        <w:keepLines w:val="0"/>
        <w:pageBreakBefore w:val="0"/>
        <w:widowControl w:val="0"/>
        <w:numPr>
          <w:ilvl w:val="1"/>
          <w:numId w:val="6"/>
        </w:numPr>
        <w:tabs>
          <w:tab w:val="left" w:pos="360"/>
          <w:tab w:val="clear" w:pos="992"/>
        </w:tabs>
        <w:kinsoku/>
        <w:wordWrap/>
        <w:overflowPunct/>
        <w:topLinePunct w:val="0"/>
        <w:autoSpaceDE/>
        <w:autoSpaceDN/>
        <w:bidi w:val="0"/>
        <w:adjustRightInd/>
        <w:snapToGrid/>
        <w:spacing w:line="440" w:lineRule="exact"/>
        <w:ind w:left="360" w:hanging="360"/>
        <w:textAlignment w:val="auto"/>
        <w:rPr>
          <w:rFonts w:ascii="宋体" w:hAnsi="宋体" w:cs="楷体"/>
          <w:color w:val="auto"/>
          <w:sz w:val="22"/>
          <w:szCs w:val="22"/>
          <w:highlight w:val="none"/>
        </w:rPr>
      </w:pPr>
      <w:r>
        <w:rPr>
          <w:rFonts w:hint="eastAsia" w:ascii="宋体" w:hAnsi="宋体" w:cs="楷体"/>
          <w:color w:val="auto"/>
          <w:sz w:val="22"/>
          <w:szCs w:val="22"/>
          <w:highlight w:val="none"/>
        </w:rPr>
        <w:t>投标文件格式</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cs="楷体"/>
          <w:bCs/>
          <w:color w:val="auto"/>
          <w:sz w:val="22"/>
          <w:szCs w:val="22"/>
          <w:highlight w:val="none"/>
        </w:rPr>
      </w:pPr>
      <w:r>
        <w:rPr>
          <w:rFonts w:hint="eastAsia" w:ascii="宋体" w:hAnsi="宋体" w:cs="楷体"/>
          <w:bCs/>
          <w:color w:val="auto"/>
          <w:sz w:val="22"/>
          <w:szCs w:val="22"/>
          <w:highlight w:val="none"/>
        </w:rPr>
        <w:t>投标人应根据</w:t>
      </w:r>
      <w:r>
        <w:rPr>
          <w:rFonts w:hint="eastAsia" w:ascii="宋体" w:hAnsi="宋体" w:cs="楷体"/>
          <w:color w:val="auto"/>
          <w:sz w:val="22"/>
          <w:szCs w:val="22"/>
          <w:highlight w:val="none"/>
        </w:rPr>
        <w:t>采购</w:t>
      </w:r>
      <w:r>
        <w:rPr>
          <w:rFonts w:hint="eastAsia" w:ascii="宋体" w:hAnsi="宋体" w:cs="楷体"/>
          <w:bCs/>
          <w:color w:val="auto"/>
          <w:sz w:val="22"/>
          <w:szCs w:val="22"/>
          <w:highlight w:val="none"/>
        </w:rPr>
        <w:t>文件中所提供的格式，内容按顺序填写并装订成册,不允许以活页夹形式装订投标文件；</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cs="楷体"/>
          <w:b/>
          <w:bCs w:val="0"/>
          <w:color w:val="auto"/>
          <w:sz w:val="22"/>
          <w:szCs w:val="22"/>
          <w:highlight w:val="none"/>
        </w:rPr>
      </w:pPr>
      <w:r>
        <w:rPr>
          <w:rFonts w:hint="eastAsia" w:ascii="宋体" w:hAnsi="宋体" w:cs="楷体"/>
          <w:b/>
          <w:bCs w:val="0"/>
          <w:color w:val="auto"/>
          <w:sz w:val="22"/>
          <w:szCs w:val="22"/>
          <w:highlight w:val="none"/>
          <w:lang w:val="zh-CN"/>
        </w:rPr>
        <w:t>资格审查资料、技术资信标、商务报价标分别包装于各自标函袋中，标函袋不做统一要求。</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cs="楷体"/>
          <w:color w:val="auto"/>
          <w:sz w:val="22"/>
          <w:szCs w:val="22"/>
          <w:highlight w:val="none"/>
        </w:rPr>
      </w:pPr>
      <w:r>
        <w:rPr>
          <w:rFonts w:hint="eastAsia" w:ascii="宋体" w:hAnsi="宋体" w:cs="楷体"/>
          <w:bCs/>
          <w:color w:val="auto"/>
          <w:sz w:val="22"/>
          <w:szCs w:val="22"/>
          <w:highlight w:val="none"/>
        </w:rPr>
        <w:t>投标文件应有目录以及页码，以便评委检索。</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cs="楷体"/>
          <w:color w:val="auto"/>
          <w:sz w:val="22"/>
          <w:szCs w:val="22"/>
          <w:highlight w:val="none"/>
        </w:rPr>
      </w:pPr>
      <w:r>
        <w:rPr>
          <w:rFonts w:hint="eastAsia" w:ascii="宋体" w:hAnsi="宋体" w:cs="楷体"/>
          <w:bCs/>
          <w:color w:val="auto"/>
          <w:sz w:val="22"/>
          <w:szCs w:val="22"/>
          <w:highlight w:val="none"/>
        </w:rPr>
        <w:t>证书、证件、证明等原件，属备查项目，并非强制性要求。投标人若提交原件资料，应将原件单独包封，与投标文件一同向采购代理机构递交。</w:t>
      </w:r>
      <w:r>
        <w:rPr>
          <w:rFonts w:hint="eastAsia" w:ascii="宋体" w:hAnsi="宋体" w:cs="楷体"/>
          <w:color w:val="auto"/>
          <w:sz w:val="22"/>
          <w:szCs w:val="22"/>
          <w:highlight w:val="none"/>
        </w:rPr>
        <w:t>评标主要依据投标人投标文件中加盖有效公章的证书/证明文件复印件，如评标委员会对复印件有异议的，可在投标人提供原件资料里核查，若投标人未提供原件资料佐证的，则承担相应评分项不得分的风险。</w:t>
      </w:r>
    </w:p>
    <w:p>
      <w:pPr>
        <w:keepNext w:val="0"/>
        <w:keepLines w:val="0"/>
        <w:pageBreakBefore w:val="0"/>
        <w:widowControl w:val="0"/>
        <w:numPr>
          <w:ilvl w:val="0"/>
          <w:numId w:val="5"/>
        </w:numPr>
        <w:tabs>
          <w:tab w:val="left" w:pos="540"/>
        </w:tabs>
        <w:kinsoku/>
        <w:wordWrap/>
        <w:overflowPunct/>
        <w:topLinePunct w:val="0"/>
        <w:autoSpaceDE/>
        <w:autoSpaceDN/>
        <w:bidi w:val="0"/>
        <w:adjustRightInd/>
        <w:snapToGrid/>
        <w:spacing w:line="440" w:lineRule="exact"/>
        <w:ind w:left="540" w:hanging="540"/>
        <w:textAlignment w:val="auto"/>
        <w:rPr>
          <w:rFonts w:ascii="宋体" w:hAnsi="宋体" w:cs="楷体"/>
          <w:color w:val="auto"/>
          <w:sz w:val="22"/>
          <w:szCs w:val="22"/>
          <w:highlight w:val="none"/>
        </w:rPr>
      </w:pPr>
      <w:r>
        <w:rPr>
          <w:rFonts w:hint="eastAsia" w:ascii="宋体" w:hAnsi="宋体" w:cs="楷体"/>
          <w:bCs/>
          <w:color w:val="auto"/>
          <w:sz w:val="22"/>
          <w:szCs w:val="22"/>
          <w:highlight w:val="none"/>
        </w:rPr>
        <w:t>投标报价</w:t>
      </w:r>
    </w:p>
    <w:p>
      <w:pPr>
        <w:keepNext w:val="0"/>
        <w:keepLines w:val="0"/>
        <w:pageBreakBefore w:val="0"/>
        <w:widowControl w:val="0"/>
        <w:tabs>
          <w:tab w:val="left" w:pos="525"/>
        </w:tabs>
        <w:kinsoku/>
        <w:wordWrap/>
        <w:overflowPunct/>
        <w:topLinePunct w:val="0"/>
        <w:autoSpaceDE/>
        <w:autoSpaceDN/>
        <w:bidi w:val="0"/>
        <w:adjustRightInd/>
        <w:snapToGrid/>
        <w:spacing w:line="440" w:lineRule="exact"/>
        <w:textAlignment w:val="auto"/>
        <w:rPr>
          <w:rFonts w:hint="eastAsia" w:ascii="宋体" w:hAnsi="宋体" w:cs="楷体"/>
          <w:b w:val="0"/>
          <w:bCs w:val="0"/>
          <w:color w:val="auto"/>
          <w:sz w:val="22"/>
          <w:szCs w:val="22"/>
          <w:highlight w:val="none"/>
          <w:u w:val="single"/>
          <w:lang w:val="en-US" w:eastAsia="zh-CN"/>
        </w:rPr>
      </w:pPr>
      <w:r>
        <w:rPr>
          <w:rFonts w:hint="eastAsia" w:ascii="宋体" w:hAnsi="宋体" w:cs="楷体"/>
          <w:b w:val="0"/>
          <w:bCs w:val="0"/>
          <w:color w:val="auto"/>
          <w:sz w:val="22"/>
          <w:szCs w:val="22"/>
          <w:highlight w:val="none"/>
          <w:u w:val="single"/>
        </w:rPr>
        <w:t>11.1投标报价：本次</w:t>
      </w:r>
      <w:r>
        <w:rPr>
          <w:rFonts w:hint="eastAsia" w:ascii="宋体" w:hAnsi="宋体" w:cs="楷体"/>
          <w:b w:val="0"/>
          <w:bCs w:val="0"/>
          <w:color w:val="auto"/>
          <w:sz w:val="22"/>
          <w:szCs w:val="22"/>
          <w:highlight w:val="none"/>
          <w:u w:val="single"/>
          <w:lang w:eastAsia="zh-CN"/>
        </w:rPr>
        <w:t>采购以综合单价方式进行报价，投标人在采购人提供的产品最高限价的基础上给出投标综合单价，高于</w:t>
      </w:r>
      <w:r>
        <w:rPr>
          <w:rFonts w:hint="eastAsia" w:ascii="宋体" w:hAnsi="宋体" w:cs="楷体"/>
          <w:b w:val="0"/>
          <w:bCs w:val="0"/>
          <w:color w:val="auto"/>
          <w:sz w:val="22"/>
          <w:szCs w:val="22"/>
          <w:highlight w:val="none"/>
          <w:u w:val="single"/>
          <w:lang w:val="en-US" w:eastAsia="zh-CN"/>
        </w:rPr>
        <w:t>最高限价报价为无效报价；</w:t>
      </w:r>
    </w:p>
    <w:p>
      <w:pPr>
        <w:keepNext w:val="0"/>
        <w:keepLines w:val="0"/>
        <w:pageBreakBefore w:val="0"/>
        <w:widowControl w:val="0"/>
        <w:tabs>
          <w:tab w:val="left" w:pos="525"/>
        </w:tabs>
        <w:kinsoku/>
        <w:wordWrap/>
        <w:overflowPunct/>
        <w:topLinePunct w:val="0"/>
        <w:autoSpaceDE/>
        <w:autoSpaceDN/>
        <w:bidi w:val="0"/>
        <w:adjustRightInd/>
        <w:snapToGrid/>
        <w:spacing w:line="440" w:lineRule="exact"/>
        <w:textAlignment w:val="auto"/>
        <w:rPr>
          <w:rFonts w:hint="eastAsia" w:ascii="宋体" w:hAnsi="宋体" w:cs="楷体"/>
          <w:b w:val="0"/>
          <w:bCs w:val="0"/>
          <w:color w:val="auto"/>
          <w:sz w:val="22"/>
          <w:szCs w:val="22"/>
          <w:highlight w:val="none"/>
          <w:u w:val="single"/>
          <w:lang w:val="en-US" w:eastAsia="zh-CN"/>
        </w:rPr>
      </w:pPr>
      <w:r>
        <w:rPr>
          <w:rFonts w:hint="eastAsia" w:ascii="宋体" w:hAnsi="宋体" w:cs="楷体"/>
          <w:b w:val="0"/>
          <w:bCs w:val="0"/>
          <w:color w:val="auto"/>
          <w:sz w:val="22"/>
          <w:szCs w:val="22"/>
          <w:highlight w:val="none"/>
          <w:u w:val="single"/>
          <w:lang w:val="en-US" w:eastAsia="zh-CN"/>
        </w:rPr>
        <w:t>11.2投标人所报综合单价均包括所供货物的采购、供货、包装费、仓储费、装箱费、运输及保险费、装卸费、检验验收费用、相关人员费用、技术支持费用（包含协助及指导安装）、售后服务、税金等全部费用。</w:t>
      </w:r>
    </w:p>
    <w:p>
      <w:pPr>
        <w:keepNext w:val="0"/>
        <w:keepLines w:val="0"/>
        <w:pageBreakBefore w:val="0"/>
        <w:widowControl w:val="0"/>
        <w:tabs>
          <w:tab w:val="left" w:pos="525"/>
        </w:tabs>
        <w:kinsoku/>
        <w:wordWrap/>
        <w:overflowPunct/>
        <w:topLinePunct w:val="0"/>
        <w:autoSpaceDE/>
        <w:autoSpaceDN/>
        <w:bidi w:val="0"/>
        <w:adjustRightInd/>
        <w:snapToGrid/>
        <w:spacing w:line="440" w:lineRule="exact"/>
        <w:textAlignment w:val="auto"/>
        <w:rPr>
          <w:rFonts w:hint="default" w:ascii="宋体" w:hAnsi="宋体" w:eastAsia="宋体" w:cs="楷体"/>
          <w:b w:val="0"/>
          <w:bCs w:val="0"/>
          <w:color w:val="auto"/>
          <w:sz w:val="22"/>
          <w:szCs w:val="22"/>
          <w:highlight w:val="none"/>
          <w:u w:val="single"/>
          <w:lang w:val="en-US" w:eastAsia="zh-CN"/>
        </w:rPr>
      </w:pPr>
      <w:r>
        <w:rPr>
          <w:rFonts w:hint="eastAsia" w:ascii="宋体" w:hAnsi="宋体" w:cs="楷体"/>
          <w:b w:val="0"/>
          <w:bCs w:val="0"/>
          <w:color w:val="auto"/>
          <w:sz w:val="22"/>
          <w:szCs w:val="22"/>
          <w:highlight w:val="none"/>
          <w:u w:val="single"/>
          <w:lang w:val="en-US" w:eastAsia="zh-CN"/>
        </w:rPr>
        <w:t>11.3投标人认为完成本合同规定的承包内容所需发生的直接成本、间接成本、利润、税金、政策性文件规定的费用及合同包含的所有风险、责任等一切费用均在本项目投标综合单价中予以考虑，合同执行过程中，除特殊约定条件，该单价固定不变，不得以任何理由追加或调整（包括不仅限于材料的上涨或下跌等因素）。</w:t>
      </w:r>
    </w:p>
    <w:p>
      <w:pPr>
        <w:numPr>
          <w:ilvl w:val="0"/>
          <w:numId w:val="5"/>
        </w:numPr>
        <w:tabs>
          <w:tab w:val="left" w:pos="540"/>
        </w:tabs>
        <w:spacing w:line="460" w:lineRule="exact"/>
        <w:ind w:left="540" w:hanging="540"/>
        <w:rPr>
          <w:rFonts w:ascii="宋体" w:hAnsi="宋体" w:cs="楷体"/>
          <w:color w:val="auto"/>
          <w:sz w:val="22"/>
          <w:szCs w:val="22"/>
          <w:highlight w:val="none"/>
        </w:rPr>
      </w:pPr>
      <w:r>
        <w:rPr>
          <w:rFonts w:hint="eastAsia" w:ascii="宋体" w:hAnsi="宋体" w:cs="楷体"/>
          <w:bCs/>
          <w:color w:val="auto"/>
          <w:sz w:val="22"/>
          <w:szCs w:val="22"/>
          <w:highlight w:val="none"/>
        </w:rPr>
        <w:t>投标保证金</w:t>
      </w:r>
    </w:p>
    <w:p>
      <w:pPr>
        <w:tabs>
          <w:tab w:val="left" w:pos="540"/>
        </w:tabs>
        <w:spacing w:line="460" w:lineRule="exact"/>
        <w:rPr>
          <w:rFonts w:ascii="宋体" w:hAnsi="宋体" w:cs="楷体"/>
          <w:bCs/>
          <w:color w:val="auto"/>
          <w:sz w:val="22"/>
          <w:szCs w:val="22"/>
          <w:highlight w:val="none"/>
        </w:rPr>
      </w:pPr>
      <w:r>
        <w:rPr>
          <w:rFonts w:hint="eastAsia" w:ascii="宋体" w:hAnsi="宋体" w:cs="楷体"/>
          <w:b/>
          <w:color w:val="auto"/>
          <w:sz w:val="22"/>
          <w:szCs w:val="22"/>
          <w:highlight w:val="none"/>
        </w:rPr>
        <w:t>12.1 投标人须提供由投标单位汇出的投标保证金（金额详见《投标人须知前附表》），否则采购人将不接受其投标。</w:t>
      </w:r>
    </w:p>
    <w:p>
      <w:pPr>
        <w:tabs>
          <w:tab w:val="left" w:pos="540"/>
        </w:tabs>
        <w:spacing w:line="460" w:lineRule="exact"/>
        <w:rPr>
          <w:rFonts w:ascii="宋体" w:hAnsi="宋体" w:cs="楷体"/>
          <w:bCs/>
          <w:color w:val="auto"/>
          <w:sz w:val="22"/>
          <w:szCs w:val="22"/>
          <w:highlight w:val="none"/>
        </w:rPr>
      </w:pPr>
      <w:r>
        <w:rPr>
          <w:rFonts w:hint="eastAsia" w:ascii="宋体" w:hAnsi="宋体" w:cs="楷体"/>
          <w:bCs/>
          <w:color w:val="auto"/>
          <w:sz w:val="22"/>
          <w:szCs w:val="22"/>
          <w:highlight w:val="none"/>
        </w:rPr>
        <w:t>12.2 投标人的投标保证金在中标人与采购人签订了供货合同并提交履约保证金</w:t>
      </w:r>
      <w:r>
        <w:rPr>
          <w:rFonts w:hint="eastAsia" w:ascii="宋体" w:hAnsi="宋体" w:cs="楷体"/>
          <w:bCs/>
          <w:color w:val="auto"/>
          <w:sz w:val="22"/>
          <w:szCs w:val="22"/>
          <w:highlight w:val="none"/>
          <w:lang w:eastAsia="zh-CN"/>
        </w:rPr>
        <w:t>，</w:t>
      </w:r>
      <w:r>
        <w:rPr>
          <w:rFonts w:hint="eastAsia" w:ascii="宋体" w:hAnsi="宋体" w:cs="楷体"/>
          <w:color w:val="auto"/>
          <w:sz w:val="22"/>
          <w:szCs w:val="22"/>
          <w:highlight w:val="none"/>
        </w:rPr>
        <w:t>合同经备案后5个工作日内无息退还，未中标人的投标保证金将在确定中标人后5个工作日内无息退还。</w:t>
      </w:r>
    </w:p>
    <w:p>
      <w:pPr>
        <w:tabs>
          <w:tab w:val="left" w:pos="540"/>
        </w:tabs>
        <w:spacing w:line="460" w:lineRule="exact"/>
        <w:rPr>
          <w:rFonts w:ascii="宋体" w:hAnsi="宋体" w:cs="楷体"/>
          <w:b/>
          <w:color w:val="auto"/>
          <w:sz w:val="22"/>
          <w:szCs w:val="22"/>
          <w:highlight w:val="none"/>
        </w:rPr>
      </w:pPr>
      <w:r>
        <w:rPr>
          <w:rFonts w:hint="eastAsia" w:ascii="宋体" w:hAnsi="宋体" w:cs="楷体"/>
          <w:b/>
          <w:color w:val="auto"/>
          <w:sz w:val="22"/>
          <w:szCs w:val="22"/>
          <w:highlight w:val="none"/>
        </w:rPr>
        <w:t>12.3 如发生下列情况之一，投标保证金将不予退还：</w:t>
      </w:r>
    </w:p>
    <w:p>
      <w:pPr>
        <w:numPr>
          <w:ilvl w:val="0"/>
          <w:numId w:val="12"/>
        </w:numPr>
        <w:tabs>
          <w:tab w:val="left" w:pos="360"/>
          <w:tab w:val="clear" w:pos="420"/>
        </w:tabs>
        <w:spacing w:line="430" w:lineRule="exact"/>
        <w:ind w:left="720" w:hanging="720"/>
        <w:rPr>
          <w:rFonts w:ascii="宋体" w:hAnsi="宋体" w:cs="楷体"/>
          <w:color w:val="auto"/>
          <w:sz w:val="22"/>
          <w:szCs w:val="22"/>
          <w:highlight w:val="none"/>
        </w:rPr>
      </w:pPr>
      <w:r>
        <w:rPr>
          <w:rFonts w:hint="eastAsia" w:ascii="宋体" w:hAnsi="宋体" w:cs="楷体"/>
          <w:color w:val="auto"/>
          <w:sz w:val="22"/>
          <w:szCs w:val="22"/>
          <w:highlight w:val="none"/>
        </w:rPr>
        <w:t>投标人在采购文件规定的投标有效期内撤回投标；</w:t>
      </w:r>
    </w:p>
    <w:p>
      <w:pPr>
        <w:numPr>
          <w:ilvl w:val="0"/>
          <w:numId w:val="12"/>
        </w:numPr>
        <w:tabs>
          <w:tab w:val="left" w:pos="360"/>
          <w:tab w:val="clear" w:pos="420"/>
        </w:tabs>
        <w:spacing w:line="430" w:lineRule="exact"/>
        <w:ind w:left="720" w:hanging="720"/>
        <w:rPr>
          <w:rFonts w:ascii="宋体" w:hAnsi="宋体" w:cs="楷体"/>
          <w:color w:val="auto"/>
          <w:sz w:val="22"/>
          <w:szCs w:val="22"/>
          <w:highlight w:val="none"/>
        </w:rPr>
      </w:pPr>
      <w:r>
        <w:rPr>
          <w:rFonts w:hint="eastAsia" w:ascii="宋体" w:hAnsi="宋体" w:cs="楷体"/>
          <w:color w:val="auto"/>
          <w:sz w:val="22"/>
          <w:szCs w:val="22"/>
          <w:highlight w:val="none"/>
        </w:rPr>
        <w:t>中标人未按中标通知书中规定的时间与采购人签订合同；</w:t>
      </w:r>
    </w:p>
    <w:p>
      <w:pPr>
        <w:numPr>
          <w:ilvl w:val="0"/>
          <w:numId w:val="12"/>
        </w:numPr>
        <w:tabs>
          <w:tab w:val="left" w:pos="360"/>
          <w:tab w:val="clear" w:pos="420"/>
        </w:tabs>
        <w:spacing w:line="430" w:lineRule="exact"/>
        <w:ind w:left="720" w:hanging="720"/>
        <w:rPr>
          <w:rFonts w:ascii="宋体" w:hAnsi="宋体" w:cs="楷体"/>
          <w:color w:val="auto"/>
          <w:sz w:val="22"/>
          <w:szCs w:val="22"/>
          <w:highlight w:val="none"/>
        </w:rPr>
      </w:pPr>
      <w:r>
        <w:rPr>
          <w:rFonts w:hint="eastAsia" w:ascii="宋体" w:hAnsi="宋体" w:cs="楷体"/>
          <w:color w:val="auto"/>
          <w:sz w:val="22"/>
          <w:szCs w:val="22"/>
          <w:highlight w:val="none"/>
        </w:rPr>
        <w:t>中标人在规定期限内未能根据采购文件要求提供履约保证金；</w:t>
      </w:r>
    </w:p>
    <w:p>
      <w:pPr>
        <w:numPr>
          <w:ilvl w:val="0"/>
          <w:numId w:val="12"/>
        </w:numPr>
        <w:tabs>
          <w:tab w:val="left" w:pos="360"/>
          <w:tab w:val="clear" w:pos="420"/>
        </w:tabs>
        <w:spacing w:line="430" w:lineRule="exact"/>
        <w:ind w:left="720" w:hanging="720"/>
        <w:rPr>
          <w:rFonts w:ascii="宋体" w:hAnsi="宋体" w:cs="楷体"/>
          <w:color w:val="auto"/>
          <w:sz w:val="22"/>
          <w:szCs w:val="22"/>
          <w:highlight w:val="none"/>
        </w:rPr>
      </w:pPr>
      <w:r>
        <w:rPr>
          <w:rFonts w:hint="eastAsia" w:ascii="宋体" w:hAnsi="宋体" w:cs="楷体"/>
          <w:color w:val="auto"/>
          <w:sz w:val="22"/>
          <w:szCs w:val="22"/>
          <w:highlight w:val="none"/>
        </w:rPr>
        <w:t>投标人在采购文件中提供虚假技术指标及参数，经评标委员会确认属实的。</w:t>
      </w:r>
    </w:p>
    <w:p>
      <w:pPr>
        <w:numPr>
          <w:ilvl w:val="0"/>
          <w:numId w:val="12"/>
        </w:numPr>
        <w:tabs>
          <w:tab w:val="left" w:pos="360"/>
          <w:tab w:val="clear" w:pos="420"/>
        </w:tabs>
        <w:spacing w:line="430" w:lineRule="exact"/>
        <w:ind w:left="720" w:hanging="720"/>
        <w:rPr>
          <w:rFonts w:ascii="宋体" w:hAnsi="宋体" w:cs="楷体"/>
          <w:color w:val="auto"/>
          <w:sz w:val="22"/>
          <w:szCs w:val="22"/>
          <w:highlight w:val="none"/>
        </w:rPr>
      </w:pPr>
      <w:r>
        <w:rPr>
          <w:rFonts w:hint="eastAsia" w:ascii="宋体" w:hAnsi="宋体" w:cs="楷体"/>
          <w:color w:val="auto"/>
          <w:sz w:val="22"/>
          <w:szCs w:val="22"/>
          <w:highlight w:val="none"/>
        </w:rPr>
        <w:t>经认定投标人有违反有关法律法规的行为。</w:t>
      </w:r>
    </w:p>
    <w:p>
      <w:pPr>
        <w:numPr>
          <w:ilvl w:val="0"/>
          <w:numId w:val="5"/>
        </w:numPr>
        <w:tabs>
          <w:tab w:val="left" w:pos="540"/>
        </w:tabs>
        <w:spacing w:line="460" w:lineRule="exact"/>
        <w:ind w:left="540" w:hanging="540"/>
        <w:rPr>
          <w:rFonts w:ascii="宋体" w:hAnsi="宋体" w:cs="楷体"/>
          <w:b/>
          <w:color w:val="auto"/>
          <w:sz w:val="22"/>
          <w:szCs w:val="22"/>
          <w:highlight w:val="none"/>
        </w:rPr>
      </w:pPr>
      <w:r>
        <w:rPr>
          <w:rFonts w:hint="eastAsia" w:ascii="宋体" w:hAnsi="宋体" w:cs="楷体"/>
          <w:bCs/>
          <w:color w:val="auto"/>
          <w:sz w:val="22"/>
          <w:szCs w:val="22"/>
          <w:highlight w:val="none"/>
        </w:rPr>
        <w:t>投标有效期</w:t>
      </w:r>
    </w:p>
    <w:p>
      <w:pPr>
        <w:tabs>
          <w:tab w:val="left" w:pos="540"/>
        </w:tabs>
        <w:spacing w:line="460" w:lineRule="exact"/>
        <w:rPr>
          <w:rFonts w:ascii="宋体" w:hAnsi="宋体" w:cs="楷体"/>
          <w:color w:val="auto"/>
          <w:sz w:val="22"/>
          <w:szCs w:val="22"/>
          <w:highlight w:val="none"/>
        </w:rPr>
      </w:pPr>
      <w:r>
        <w:rPr>
          <w:rFonts w:hint="eastAsia" w:ascii="宋体" w:hAnsi="宋体" w:cs="楷体"/>
          <w:b/>
          <w:color w:val="auto"/>
          <w:sz w:val="22"/>
          <w:szCs w:val="22"/>
          <w:highlight w:val="none"/>
        </w:rPr>
        <w:t>13.1 自开标之日起</w:t>
      </w:r>
      <w:r>
        <w:rPr>
          <w:rFonts w:hint="eastAsia" w:ascii="宋体" w:hAnsi="宋体" w:cs="楷体"/>
          <w:b/>
          <w:color w:val="auto"/>
          <w:sz w:val="22"/>
          <w:szCs w:val="22"/>
          <w:highlight w:val="none"/>
          <w:u w:val="single"/>
        </w:rPr>
        <w:t xml:space="preserve"> 90</w:t>
      </w:r>
      <w:r>
        <w:rPr>
          <w:rFonts w:hint="eastAsia" w:ascii="宋体" w:hAnsi="宋体" w:cs="楷体"/>
          <w:b/>
          <w:color w:val="auto"/>
          <w:sz w:val="22"/>
          <w:szCs w:val="22"/>
          <w:highlight w:val="none"/>
        </w:rPr>
        <w:t>天内投标应保持有效。投标有效期短于这个规定期限的投标将视为非响应性投标而予以拒绝。</w:t>
      </w:r>
    </w:p>
    <w:p>
      <w:pPr>
        <w:tabs>
          <w:tab w:val="left" w:pos="5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13.2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5"/>
        </w:numPr>
        <w:tabs>
          <w:tab w:val="left" w:pos="540"/>
        </w:tabs>
        <w:spacing w:line="460" w:lineRule="exact"/>
        <w:ind w:left="540" w:hanging="540"/>
        <w:rPr>
          <w:rFonts w:ascii="宋体" w:hAnsi="宋体" w:cs="楷体"/>
          <w:bCs/>
          <w:color w:val="auto"/>
          <w:sz w:val="22"/>
          <w:szCs w:val="22"/>
          <w:highlight w:val="none"/>
        </w:rPr>
      </w:pPr>
      <w:r>
        <w:rPr>
          <w:rFonts w:hint="eastAsia" w:ascii="宋体" w:hAnsi="宋体" w:cs="楷体"/>
          <w:bCs/>
          <w:color w:val="auto"/>
          <w:sz w:val="22"/>
          <w:szCs w:val="22"/>
          <w:highlight w:val="none"/>
        </w:rPr>
        <w:t>投标文件的签署和规定</w:t>
      </w:r>
    </w:p>
    <w:p>
      <w:pPr>
        <w:numPr>
          <w:ilvl w:val="1"/>
          <w:numId w:val="13"/>
        </w:numPr>
        <w:tabs>
          <w:tab w:val="left" w:pos="540"/>
          <w:tab w:val="clear" w:pos="992"/>
        </w:tabs>
        <w:spacing w:line="460" w:lineRule="exact"/>
        <w:ind w:left="540"/>
        <w:rPr>
          <w:rFonts w:ascii="宋体" w:hAnsi="宋体" w:cs="楷体"/>
          <w:b/>
          <w:color w:val="auto"/>
          <w:sz w:val="22"/>
          <w:szCs w:val="22"/>
          <w:highlight w:val="none"/>
          <w:u w:val="single"/>
        </w:rPr>
      </w:pPr>
      <w:r>
        <w:rPr>
          <w:rFonts w:hint="eastAsia" w:ascii="宋体" w:hAnsi="宋体" w:cs="楷体"/>
          <w:b/>
          <w:color w:val="auto"/>
          <w:sz w:val="22"/>
          <w:szCs w:val="22"/>
          <w:highlight w:val="none"/>
          <w:u w:val="single"/>
        </w:rPr>
        <w:t>投标人应按照前附表的要求提供投标文件，分别装订成册。每套投标文件的封面应清楚标明“正本”或“副本”字样，若“正本”与“副本”不符，以“正本”为准。</w:t>
      </w:r>
    </w:p>
    <w:p>
      <w:pPr>
        <w:numPr>
          <w:ilvl w:val="1"/>
          <w:numId w:val="13"/>
        </w:numPr>
        <w:tabs>
          <w:tab w:val="left" w:pos="540"/>
          <w:tab w:val="clear" w:pos="992"/>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投标文件的正本必须打印或用不褪色的墨水书写，并由法定代表人或其授权代表签署，副本可用正本的复印。</w:t>
      </w:r>
    </w:p>
    <w:p>
      <w:pPr>
        <w:numPr>
          <w:ilvl w:val="1"/>
          <w:numId w:val="13"/>
        </w:numPr>
        <w:tabs>
          <w:tab w:val="left" w:pos="540"/>
          <w:tab w:val="clear" w:pos="992"/>
        </w:tabs>
        <w:spacing w:line="460" w:lineRule="exact"/>
        <w:ind w:left="540" w:hanging="540"/>
        <w:rPr>
          <w:rFonts w:ascii="宋体" w:hAnsi="宋体" w:cs="楷体"/>
          <w:color w:val="auto"/>
          <w:sz w:val="22"/>
          <w:szCs w:val="22"/>
          <w:highlight w:val="none"/>
        </w:rPr>
      </w:pPr>
      <w:r>
        <w:rPr>
          <w:rFonts w:hint="eastAsia" w:ascii="宋体" w:hAnsi="宋体" w:cs="楷体"/>
          <w:b/>
          <w:color w:val="auto"/>
          <w:sz w:val="22"/>
          <w:szCs w:val="22"/>
          <w:highlight w:val="none"/>
        </w:rPr>
        <w:t>投标文件如有修改和增删必须由投标文件签字人在修改和增删处旁签署或盖章，方才有效。</w:t>
      </w:r>
    </w:p>
    <w:p>
      <w:pPr>
        <w:numPr>
          <w:ilvl w:val="1"/>
          <w:numId w:val="13"/>
        </w:numPr>
        <w:tabs>
          <w:tab w:val="left" w:pos="540"/>
          <w:tab w:val="clear" w:pos="992"/>
        </w:tabs>
        <w:spacing w:line="460" w:lineRule="exact"/>
        <w:ind w:left="540" w:hanging="540"/>
        <w:rPr>
          <w:rFonts w:ascii="宋体" w:hAnsi="宋体" w:cs="楷体"/>
          <w:color w:val="auto"/>
          <w:sz w:val="22"/>
          <w:szCs w:val="22"/>
          <w:highlight w:val="none"/>
        </w:rPr>
      </w:pPr>
      <w:r>
        <w:rPr>
          <w:rFonts w:hint="eastAsia" w:ascii="宋体" w:hAnsi="宋体" w:cs="楷体"/>
          <w:color w:val="auto"/>
          <w:sz w:val="22"/>
          <w:szCs w:val="22"/>
          <w:highlight w:val="none"/>
        </w:rPr>
        <w:t>投标文件字迹模糊或在关键的技术、商务条款上表述不清楚，将可能导致其投标被拒绝。</w:t>
      </w:r>
    </w:p>
    <w:p>
      <w:pPr>
        <w:numPr>
          <w:ilvl w:val="0"/>
          <w:numId w:val="5"/>
        </w:numPr>
        <w:tabs>
          <w:tab w:val="left" w:pos="540"/>
        </w:tabs>
        <w:spacing w:line="460" w:lineRule="exact"/>
        <w:ind w:left="540" w:hanging="540"/>
        <w:rPr>
          <w:rFonts w:ascii="宋体" w:hAnsi="宋体" w:cs="楷体"/>
          <w:bCs/>
          <w:color w:val="auto"/>
          <w:sz w:val="22"/>
          <w:szCs w:val="22"/>
          <w:highlight w:val="none"/>
        </w:rPr>
      </w:pPr>
      <w:r>
        <w:rPr>
          <w:rFonts w:hint="eastAsia" w:ascii="宋体" w:hAnsi="宋体" w:cs="楷体"/>
          <w:bCs/>
          <w:color w:val="auto"/>
          <w:sz w:val="22"/>
          <w:szCs w:val="22"/>
          <w:highlight w:val="none"/>
        </w:rPr>
        <w:t>投标文件的密封及标记</w:t>
      </w:r>
    </w:p>
    <w:p>
      <w:pPr>
        <w:tabs>
          <w:tab w:val="left" w:pos="540"/>
        </w:tabs>
        <w:spacing w:line="460" w:lineRule="exact"/>
        <w:rPr>
          <w:rFonts w:ascii="宋体" w:hAnsi="宋体" w:cs="楷体"/>
          <w:color w:val="auto"/>
          <w:sz w:val="22"/>
          <w:szCs w:val="22"/>
          <w:highlight w:val="none"/>
        </w:rPr>
      </w:pPr>
      <w:bookmarkStart w:id="47" w:name="_Toc221356951"/>
      <w:bookmarkStart w:id="48" w:name="_Toc265529383"/>
      <w:bookmarkStart w:id="49" w:name="_Toc1662"/>
      <w:bookmarkStart w:id="50" w:name="_Toc241404202"/>
      <w:bookmarkStart w:id="51" w:name="_Toc223715998"/>
      <w:bookmarkStart w:id="52" w:name="_Toc221423619"/>
      <w:bookmarkStart w:id="53" w:name="_Toc221374626"/>
      <w:bookmarkStart w:id="54" w:name="_Toc221356887"/>
      <w:bookmarkStart w:id="55" w:name="_Toc239145354"/>
      <w:bookmarkStart w:id="56" w:name="_Toc222114879"/>
      <w:r>
        <w:rPr>
          <w:rFonts w:hint="eastAsia" w:ascii="宋体" w:hAnsi="宋体" w:cs="楷体"/>
          <w:color w:val="auto"/>
          <w:sz w:val="22"/>
          <w:szCs w:val="22"/>
          <w:highlight w:val="none"/>
        </w:rPr>
        <w:t>15.1 投标人必须将投标文件密封</w:t>
      </w:r>
      <w:r>
        <w:rPr>
          <w:rFonts w:hint="eastAsia" w:ascii="宋体" w:hAnsi="宋体" w:cs="楷体"/>
          <w:color w:val="auto"/>
          <w:sz w:val="22"/>
          <w:szCs w:val="22"/>
          <w:highlight w:val="none"/>
          <w:lang w:val="en-US" w:eastAsia="zh-CN"/>
        </w:rPr>
        <w:t>包装</w:t>
      </w:r>
      <w:r>
        <w:rPr>
          <w:rFonts w:hint="eastAsia" w:ascii="宋体" w:hAnsi="宋体" w:cs="楷体"/>
          <w:color w:val="auto"/>
          <w:sz w:val="22"/>
          <w:szCs w:val="22"/>
          <w:highlight w:val="none"/>
        </w:rPr>
        <w:t>。封口处贴上封条，启封处加盖投标单位公章并由法定代表人或其授权代表签字。封皮上写明投标项目名称、项目编号，并注明“开标时启封”字样。</w:t>
      </w:r>
    </w:p>
    <w:p>
      <w:pPr>
        <w:tabs>
          <w:tab w:val="left" w:pos="540"/>
        </w:tabs>
        <w:spacing w:line="460" w:lineRule="exact"/>
        <w:rPr>
          <w:rFonts w:ascii="宋体" w:hAnsi="宋体" w:cs="楷体"/>
          <w:b/>
          <w:color w:val="auto"/>
          <w:sz w:val="22"/>
          <w:szCs w:val="22"/>
          <w:highlight w:val="none"/>
        </w:rPr>
      </w:pPr>
      <w:r>
        <w:rPr>
          <w:rFonts w:hint="eastAsia" w:ascii="宋体" w:hAnsi="宋体" w:cs="楷体"/>
          <w:b/>
          <w:color w:val="auto"/>
          <w:sz w:val="22"/>
          <w:szCs w:val="22"/>
          <w:highlight w:val="none"/>
        </w:rPr>
        <w:t>15.2 如果投标人未按上述要求密封及加写标记，导致投标文件被拒绝接收的责任自负。</w:t>
      </w:r>
    </w:p>
    <w:p>
      <w:pPr>
        <w:spacing w:before="100" w:beforeAutospacing="1" w:after="100" w:afterAutospacing="1" w:line="440" w:lineRule="exact"/>
        <w:ind w:left="783" w:hanging="783" w:hangingChars="300"/>
        <w:jc w:val="center"/>
        <w:outlineLvl w:val="0"/>
        <w:rPr>
          <w:rFonts w:ascii="宋体" w:hAnsi="宋体" w:cs="楷体"/>
          <w:color w:val="auto"/>
          <w:sz w:val="22"/>
          <w:szCs w:val="22"/>
          <w:highlight w:val="none"/>
        </w:rPr>
      </w:pPr>
      <w:r>
        <w:rPr>
          <w:rFonts w:hint="eastAsia" w:ascii="宋体" w:hAnsi="宋体" w:cs="楷体"/>
          <w:b/>
          <w:bCs/>
          <w:color w:val="auto"/>
          <w:sz w:val="26"/>
          <w:szCs w:val="26"/>
          <w:highlight w:val="none"/>
        </w:rPr>
        <w:t>四、 投标文件的递交</w:t>
      </w:r>
      <w:bookmarkEnd w:id="47"/>
      <w:bookmarkEnd w:id="48"/>
      <w:bookmarkEnd w:id="49"/>
      <w:bookmarkEnd w:id="50"/>
      <w:bookmarkEnd w:id="51"/>
      <w:bookmarkEnd w:id="52"/>
      <w:bookmarkEnd w:id="53"/>
      <w:bookmarkEnd w:id="54"/>
      <w:bookmarkEnd w:id="55"/>
      <w:bookmarkEnd w:id="56"/>
    </w:p>
    <w:p>
      <w:pPr>
        <w:numPr>
          <w:ilvl w:val="0"/>
          <w:numId w:val="14"/>
        </w:numPr>
        <w:tabs>
          <w:tab w:val="left" w:pos="540"/>
        </w:tabs>
        <w:spacing w:line="460" w:lineRule="exact"/>
        <w:rPr>
          <w:rFonts w:ascii="宋体" w:hAnsi="宋体" w:cs="楷体"/>
          <w:b/>
          <w:color w:val="auto"/>
          <w:sz w:val="22"/>
          <w:szCs w:val="22"/>
          <w:highlight w:val="none"/>
        </w:rPr>
      </w:pPr>
      <w:r>
        <w:rPr>
          <w:rFonts w:hint="eastAsia" w:ascii="宋体" w:hAnsi="宋体" w:cs="楷体"/>
          <w:bCs/>
          <w:color w:val="auto"/>
          <w:sz w:val="22"/>
          <w:szCs w:val="22"/>
          <w:highlight w:val="none"/>
        </w:rPr>
        <w:t>投标文件的递交</w:t>
      </w:r>
    </w:p>
    <w:p>
      <w:pPr>
        <w:tabs>
          <w:tab w:val="left" w:pos="540"/>
        </w:tabs>
        <w:spacing w:line="460" w:lineRule="exact"/>
        <w:rPr>
          <w:rFonts w:ascii="宋体" w:hAnsi="宋体" w:cs="楷体"/>
          <w:b/>
          <w:color w:val="auto"/>
          <w:sz w:val="22"/>
          <w:szCs w:val="22"/>
          <w:highlight w:val="none"/>
        </w:rPr>
      </w:pPr>
      <w:r>
        <w:rPr>
          <w:rFonts w:hint="eastAsia" w:ascii="宋体" w:hAnsi="宋体" w:cs="楷体"/>
          <w:b/>
          <w:color w:val="auto"/>
          <w:sz w:val="22"/>
          <w:szCs w:val="22"/>
          <w:highlight w:val="none"/>
        </w:rPr>
        <w:t>16.1 投标文件必须在规定的投标截止时间前送达到指定的收标地点；</w:t>
      </w:r>
    </w:p>
    <w:p>
      <w:pPr>
        <w:tabs>
          <w:tab w:val="left" w:pos="540"/>
        </w:tabs>
        <w:spacing w:line="460" w:lineRule="exact"/>
        <w:rPr>
          <w:rFonts w:ascii="宋体" w:hAnsi="宋体" w:cs="楷体"/>
          <w:b/>
          <w:color w:val="auto"/>
          <w:sz w:val="22"/>
          <w:szCs w:val="22"/>
          <w:highlight w:val="none"/>
          <w:u w:val="single"/>
        </w:rPr>
      </w:pPr>
      <w:r>
        <w:rPr>
          <w:rFonts w:hint="eastAsia" w:ascii="宋体" w:hAnsi="宋体" w:cs="楷体"/>
          <w:b/>
          <w:color w:val="auto"/>
          <w:sz w:val="22"/>
          <w:szCs w:val="22"/>
          <w:highlight w:val="none"/>
          <w:u w:val="single"/>
        </w:rPr>
        <w:t>16.2 ▲在递交投标文件同时递交以下证明文件，由采购人或采购代理机构在开启投标文件技术资信标后确认投标资格：</w:t>
      </w:r>
    </w:p>
    <w:p>
      <w:pPr>
        <w:numPr>
          <w:ilvl w:val="0"/>
          <w:numId w:val="15"/>
        </w:numPr>
        <w:tabs>
          <w:tab w:val="left" w:pos="540"/>
        </w:tabs>
        <w:spacing w:line="460" w:lineRule="exact"/>
        <w:rPr>
          <w:rFonts w:ascii="宋体" w:hAnsi="宋体" w:cs="楷体"/>
          <w:bCs/>
          <w:color w:val="auto"/>
          <w:kern w:val="0"/>
          <w:sz w:val="22"/>
          <w:szCs w:val="22"/>
          <w:highlight w:val="none"/>
        </w:rPr>
      </w:pPr>
      <w:r>
        <w:rPr>
          <w:rFonts w:hint="eastAsia" w:ascii="宋体" w:hAnsi="宋体" w:cs="楷体"/>
          <w:bCs/>
          <w:color w:val="auto"/>
          <w:kern w:val="0"/>
          <w:sz w:val="22"/>
          <w:szCs w:val="22"/>
          <w:highlight w:val="none"/>
        </w:rPr>
        <w:t>投标保证金缴纳证明文件；</w:t>
      </w:r>
    </w:p>
    <w:p>
      <w:pPr>
        <w:numPr>
          <w:ilvl w:val="0"/>
          <w:numId w:val="15"/>
        </w:numPr>
        <w:tabs>
          <w:tab w:val="left" w:pos="540"/>
        </w:tabs>
        <w:spacing w:line="460" w:lineRule="exact"/>
        <w:rPr>
          <w:rFonts w:ascii="宋体" w:hAnsi="宋体" w:cs="楷体"/>
          <w:bCs/>
          <w:color w:val="auto"/>
          <w:kern w:val="0"/>
          <w:sz w:val="22"/>
          <w:szCs w:val="22"/>
          <w:highlight w:val="none"/>
        </w:rPr>
      </w:pPr>
      <w:r>
        <w:rPr>
          <w:rFonts w:hint="eastAsia" w:ascii="宋体" w:hAnsi="宋体" w:cs="楷体"/>
          <w:bCs/>
          <w:color w:val="auto"/>
          <w:kern w:val="0"/>
          <w:sz w:val="22"/>
          <w:szCs w:val="22"/>
          <w:highlight w:val="none"/>
        </w:rPr>
        <w:t>法定代表人有效身份证明（若投标人代表为法定代表人）；</w:t>
      </w:r>
    </w:p>
    <w:p>
      <w:pPr>
        <w:numPr>
          <w:ilvl w:val="0"/>
          <w:numId w:val="15"/>
        </w:numPr>
        <w:tabs>
          <w:tab w:val="left" w:pos="540"/>
        </w:tabs>
        <w:spacing w:line="460" w:lineRule="exact"/>
        <w:rPr>
          <w:rFonts w:ascii="宋体" w:hAnsi="宋体" w:cs="楷体"/>
          <w:bCs/>
          <w:color w:val="auto"/>
          <w:sz w:val="22"/>
          <w:szCs w:val="22"/>
          <w:highlight w:val="none"/>
          <w:u w:val="single"/>
        </w:rPr>
      </w:pPr>
      <w:r>
        <w:rPr>
          <w:rFonts w:hint="eastAsia" w:ascii="宋体" w:hAnsi="宋体" w:cs="楷体"/>
          <w:bCs/>
          <w:color w:val="auto"/>
          <w:kern w:val="0"/>
          <w:sz w:val="22"/>
          <w:szCs w:val="22"/>
          <w:highlight w:val="none"/>
        </w:rPr>
        <w:t>法定代表人授权书原件及授权代表有效身份证明（若法定代表人在参加投标活动的同时另行委派投标人代表，法定代表人授权书原件如密封在投标文件技术资信标中，在技术资信标开启后经采购人或采购代理机构查验符合要求亦为有效）；</w:t>
      </w:r>
    </w:p>
    <w:p>
      <w:pPr>
        <w:numPr>
          <w:ilvl w:val="0"/>
          <w:numId w:val="15"/>
        </w:numPr>
        <w:tabs>
          <w:tab w:val="left" w:pos="540"/>
        </w:tabs>
        <w:spacing w:line="460" w:lineRule="exact"/>
        <w:rPr>
          <w:rFonts w:ascii="宋体" w:hAnsi="宋体" w:cs="楷体"/>
          <w:bCs/>
          <w:color w:val="auto"/>
          <w:sz w:val="22"/>
          <w:szCs w:val="22"/>
          <w:highlight w:val="none"/>
          <w:u w:val="single"/>
        </w:rPr>
      </w:pPr>
      <w:r>
        <w:rPr>
          <w:rFonts w:hint="eastAsia" w:ascii="宋体" w:hAnsi="宋体" w:cs="楷体"/>
          <w:bCs/>
          <w:color w:val="auto"/>
          <w:kern w:val="0"/>
          <w:sz w:val="22"/>
          <w:szCs w:val="22"/>
          <w:highlight w:val="none"/>
        </w:rPr>
        <w:t>企业法人营业执照复印件（加盖公章，如密封在投标文件技术资信标中，在技术资信标开启后经采购人或采购代理机构查验符合要求亦为有效）。</w:t>
      </w:r>
    </w:p>
    <w:p>
      <w:pPr>
        <w:numPr>
          <w:ilvl w:val="0"/>
          <w:numId w:val="14"/>
        </w:numPr>
        <w:tabs>
          <w:tab w:val="left" w:pos="540"/>
        </w:tabs>
        <w:spacing w:line="460" w:lineRule="exact"/>
        <w:rPr>
          <w:rFonts w:ascii="宋体" w:hAnsi="宋体" w:cs="楷体"/>
          <w:bCs/>
          <w:color w:val="auto"/>
          <w:sz w:val="22"/>
          <w:szCs w:val="22"/>
          <w:highlight w:val="none"/>
        </w:rPr>
      </w:pPr>
      <w:r>
        <w:rPr>
          <w:rFonts w:hint="eastAsia" w:ascii="宋体" w:hAnsi="宋体" w:cs="楷体"/>
          <w:bCs/>
          <w:color w:val="auto"/>
          <w:sz w:val="22"/>
          <w:szCs w:val="22"/>
          <w:highlight w:val="none"/>
        </w:rPr>
        <w:t>投标文件的修改和撤回</w:t>
      </w:r>
    </w:p>
    <w:p>
      <w:pPr>
        <w:tabs>
          <w:tab w:val="left" w:pos="540"/>
        </w:tabs>
        <w:spacing w:line="460" w:lineRule="exact"/>
        <w:rPr>
          <w:rFonts w:ascii="宋体" w:hAnsi="宋体" w:cs="楷体"/>
          <w:bCs/>
          <w:color w:val="auto"/>
          <w:sz w:val="22"/>
          <w:szCs w:val="22"/>
          <w:highlight w:val="none"/>
        </w:rPr>
      </w:pPr>
      <w:r>
        <w:rPr>
          <w:rFonts w:hint="eastAsia" w:ascii="宋体" w:hAnsi="宋体" w:cs="楷体"/>
          <w:b/>
          <w:color w:val="auto"/>
          <w:sz w:val="22"/>
          <w:szCs w:val="22"/>
          <w:highlight w:val="none"/>
        </w:rPr>
        <w:t>17.1 在投标截止时间前，投标人可以用书面形式提出修改或撤回其投标并送达到采购人，但不得影响开标活动的正常进行。</w:t>
      </w:r>
    </w:p>
    <w:p>
      <w:pPr>
        <w:tabs>
          <w:tab w:val="left" w:pos="540"/>
        </w:tabs>
        <w:spacing w:line="460" w:lineRule="exact"/>
        <w:rPr>
          <w:rFonts w:ascii="宋体" w:hAnsi="宋体" w:cs="楷体"/>
          <w:color w:val="auto"/>
          <w:sz w:val="22"/>
          <w:szCs w:val="22"/>
          <w:highlight w:val="none"/>
        </w:rPr>
      </w:pPr>
      <w:r>
        <w:rPr>
          <w:rFonts w:hint="eastAsia" w:ascii="宋体" w:hAnsi="宋体" w:cs="楷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pPr>
        <w:tabs>
          <w:tab w:val="left" w:pos="540"/>
        </w:tabs>
        <w:spacing w:line="460" w:lineRule="exact"/>
        <w:rPr>
          <w:rFonts w:ascii="宋体" w:hAnsi="宋体" w:cs="楷体"/>
          <w:color w:val="auto"/>
          <w:sz w:val="22"/>
          <w:szCs w:val="22"/>
          <w:highlight w:val="none"/>
        </w:rPr>
      </w:pPr>
      <w:r>
        <w:rPr>
          <w:rFonts w:hint="eastAsia" w:ascii="宋体" w:hAnsi="宋体" w:cs="楷体"/>
          <w:bCs/>
          <w:color w:val="auto"/>
          <w:sz w:val="22"/>
          <w:szCs w:val="22"/>
          <w:highlight w:val="none"/>
        </w:rPr>
        <w:t>17.3 从投标截止日期起至投标有效期满这段时间内，投标人不得撤回其投标，否则投标保证金将</w:t>
      </w:r>
      <w:r>
        <w:rPr>
          <w:rFonts w:hint="eastAsia" w:ascii="宋体" w:hAnsi="宋体" w:cs="楷体"/>
          <w:color w:val="auto"/>
          <w:sz w:val="22"/>
          <w:szCs w:val="22"/>
          <w:highlight w:val="none"/>
        </w:rPr>
        <w:t>被不予退还。</w:t>
      </w:r>
    </w:p>
    <w:p>
      <w:pPr>
        <w:numPr>
          <w:ilvl w:val="0"/>
          <w:numId w:val="14"/>
        </w:numPr>
        <w:tabs>
          <w:tab w:val="left" w:pos="540"/>
        </w:tabs>
        <w:spacing w:line="460" w:lineRule="exact"/>
        <w:rPr>
          <w:rFonts w:ascii="宋体" w:hAnsi="宋体" w:cs="楷体"/>
          <w:bCs/>
          <w:color w:val="auto"/>
          <w:sz w:val="22"/>
          <w:szCs w:val="22"/>
          <w:highlight w:val="none"/>
        </w:rPr>
      </w:pPr>
      <w:r>
        <w:rPr>
          <w:rFonts w:hint="eastAsia" w:ascii="宋体" w:hAnsi="宋体" w:cs="楷体"/>
          <w:color w:val="auto"/>
          <w:sz w:val="22"/>
          <w:highlight w:val="none"/>
        </w:rPr>
        <w:t>递交投标文件时，需满足以下要求，否则该投标文件予以拒绝：</w:t>
      </w:r>
    </w:p>
    <w:p>
      <w:pPr>
        <w:tabs>
          <w:tab w:val="left" w:pos="540"/>
        </w:tabs>
        <w:spacing w:line="460" w:lineRule="exact"/>
        <w:rPr>
          <w:rFonts w:ascii="宋体" w:hAnsi="宋体" w:cs="楷体"/>
          <w:b w:val="0"/>
          <w:bCs w:val="0"/>
          <w:color w:val="auto"/>
          <w:sz w:val="22"/>
          <w:szCs w:val="22"/>
          <w:highlight w:val="none"/>
        </w:rPr>
      </w:pPr>
      <w:r>
        <w:rPr>
          <w:rFonts w:hint="eastAsia" w:ascii="宋体" w:hAnsi="宋体" w:cs="楷体"/>
          <w:b w:val="0"/>
          <w:bCs w:val="0"/>
          <w:color w:val="auto"/>
          <w:sz w:val="22"/>
          <w:szCs w:val="22"/>
          <w:highlight w:val="none"/>
        </w:rPr>
        <w:t>18.1 在投标截止时间之前递交。</w:t>
      </w:r>
    </w:p>
    <w:p>
      <w:pPr>
        <w:tabs>
          <w:tab w:val="left" w:pos="540"/>
        </w:tabs>
        <w:spacing w:line="460" w:lineRule="exact"/>
        <w:rPr>
          <w:rFonts w:ascii="宋体" w:hAnsi="宋体" w:cs="楷体"/>
          <w:b w:val="0"/>
          <w:bCs w:val="0"/>
          <w:color w:val="auto"/>
          <w:sz w:val="22"/>
          <w:szCs w:val="22"/>
          <w:highlight w:val="none"/>
        </w:rPr>
      </w:pPr>
      <w:r>
        <w:rPr>
          <w:rFonts w:hint="eastAsia" w:ascii="宋体" w:hAnsi="宋体" w:cs="楷体"/>
          <w:b w:val="0"/>
          <w:bCs w:val="0"/>
          <w:color w:val="auto"/>
          <w:sz w:val="22"/>
          <w:szCs w:val="22"/>
          <w:highlight w:val="none"/>
        </w:rPr>
        <w:t>18.2 包装与密封符合采购文件要求。</w:t>
      </w:r>
    </w:p>
    <w:p>
      <w:pPr>
        <w:tabs>
          <w:tab w:val="left" w:pos="540"/>
        </w:tabs>
        <w:spacing w:line="460" w:lineRule="exact"/>
        <w:rPr>
          <w:rFonts w:ascii="宋体" w:hAnsi="宋体" w:cs="楷体"/>
          <w:b w:val="0"/>
          <w:bCs w:val="0"/>
          <w:color w:val="auto"/>
          <w:sz w:val="22"/>
          <w:szCs w:val="22"/>
          <w:highlight w:val="none"/>
        </w:rPr>
      </w:pPr>
      <w:r>
        <w:rPr>
          <w:rFonts w:hint="eastAsia" w:ascii="宋体" w:hAnsi="宋体" w:cs="楷体"/>
          <w:b w:val="0"/>
          <w:bCs w:val="0"/>
          <w:color w:val="auto"/>
          <w:sz w:val="22"/>
          <w:szCs w:val="22"/>
          <w:highlight w:val="none"/>
        </w:rPr>
        <w:t>18.3 投标文件递交到指定的投标地点。</w:t>
      </w:r>
    </w:p>
    <w:p>
      <w:pPr>
        <w:tabs>
          <w:tab w:val="left" w:pos="540"/>
        </w:tabs>
        <w:spacing w:line="460" w:lineRule="exact"/>
        <w:rPr>
          <w:rFonts w:ascii="宋体" w:hAnsi="宋体" w:cs="楷体"/>
          <w:b w:val="0"/>
          <w:bCs w:val="0"/>
          <w:color w:val="auto"/>
          <w:sz w:val="22"/>
          <w:szCs w:val="22"/>
          <w:highlight w:val="none"/>
        </w:rPr>
      </w:pPr>
      <w:r>
        <w:rPr>
          <w:rFonts w:hint="eastAsia" w:ascii="宋体" w:hAnsi="宋体" w:cs="楷体"/>
          <w:b w:val="0"/>
          <w:bCs w:val="0"/>
          <w:color w:val="auto"/>
          <w:sz w:val="22"/>
          <w:szCs w:val="22"/>
          <w:highlight w:val="none"/>
        </w:rPr>
        <w:t>18.4 投标人法定代表人或其授权代表必须携合法有效身份证明、递交投标保证金缴纳信息凭据、投标文件等相关资料，按采购文件规定本人亲自递交，并签字签到。</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楷体"/>
          <w:color w:val="auto"/>
          <w:sz w:val="22"/>
          <w:szCs w:val="22"/>
          <w:highlight w:val="none"/>
        </w:rPr>
      </w:pPr>
      <w:bookmarkStart w:id="57" w:name="_Toc265529384"/>
      <w:bookmarkStart w:id="58" w:name="_Toc221356952"/>
      <w:bookmarkStart w:id="59" w:name="_Toc221423620"/>
      <w:bookmarkStart w:id="60" w:name="_Toc223715999"/>
      <w:bookmarkStart w:id="61" w:name="_Toc239145355"/>
      <w:bookmarkStart w:id="62" w:name="_Toc221356888"/>
      <w:bookmarkStart w:id="63" w:name="_Toc241404203"/>
      <w:bookmarkStart w:id="64" w:name="_Toc32023"/>
      <w:bookmarkStart w:id="65" w:name="_Toc221374627"/>
      <w:bookmarkStart w:id="66" w:name="_Toc222114880"/>
      <w:r>
        <w:rPr>
          <w:rFonts w:hint="eastAsia" w:ascii="宋体" w:hAnsi="宋体" w:cs="楷体"/>
          <w:b/>
          <w:bCs/>
          <w:color w:val="auto"/>
          <w:sz w:val="26"/>
          <w:szCs w:val="26"/>
          <w:highlight w:val="none"/>
        </w:rPr>
        <w:t>五、 开标和评标</w:t>
      </w:r>
      <w:bookmarkEnd w:id="57"/>
      <w:bookmarkEnd w:id="58"/>
      <w:bookmarkEnd w:id="59"/>
      <w:bookmarkEnd w:id="60"/>
      <w:bookmarkEnd w:id="61"/>
      <w:bookmarkEnd w:id="62"/>
      <w:bookmarkEnd w:id="63"/>
      <w:bookmarkEnd w:id="64"/>
      <w:bookmarkEnd w:id="65"/>
      <w:bookmarkEnd w:id="66"/>
    </w:p>
    <w:p>
      <w:pPr>
        <w:numPr>
          <w:ilvl w:val="0"/>
          <w:numId w:val="16"/>
        </w:numPr>
        <w:tabs>
          <w:tab w:val="left" w:pos="540"/>
        </w:tabs>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评标委员会</w:t>
      </w:r>
    </w:p>
    <w:p>
      <w:pPr>
        <w:spacing w:line="440" w:lineRule="exact"/>
        <w:ind w:firstLine="440" w:firstLineChars="200"/>
        <w:rPr>
          <w:rFonts w:ascii="宋体" w:hAnsi="宋体" w:cs="楷体"/>
          <w:color w:val="auto"/>
          <w:kern w:val="0"/>
          <w:sz w:val="22"/>
          <w:szCs w:val="22"/>
          <w:highlight w:val="none"/>
        </w:rPr>
      </w:pPr>
      <w:r>
        <w:rPr>
          <w:rFonts w:hint="eastAsia" w:ascii="宋体" w:hAnsi="宋体" w:cs="楷体"/>
          <w:color w:val="auto"/>
          <w:kern w:val="0"/>
          <w:sz w:val="22"/>
          <w:szCs w:val="22"/>
          <w:highlight w:val="none"/>
        </w:rPr>
        <w:t>评标委员会成员由采购人代表和有关技术、经济等方面的专家组成，不少于5人，其中技术、经济等方面的专家成员人数不得少于成员总数的2/3。评标委员会的成员在评标过程中必须严格遵守《温州市市属国有企业采购管理办法（试行）》及有关法律、法规组织和实施的</w:t>
      </w:r>
      <w:r>
        <w:rPr>
          <w:rFonts w:hint="eastAsia" w:ascii="宋体" w:hAnsi="宋体" w:cs="楷体"/>
          <w:bCs/>
          <w:color w:val="auto"/>
          <w:sz w:val="22"/>
          <w:szCs w:val="22"/>
          <w:highlight w:val="none"/>
        </w:rPr>
        <w:t>。</w:t>
      </w:r>
    </w:p>
    <w:p>
      <w:pPr>
        <w:numPr>
          <w:ilvl w:val="0"/>
          <w:numId w:val="16"/>
        </w:numPr>
        <w:tabs>
          <w:tab w:val="left" w:pos="540"/>
        </w:tabs>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评标过程的保密性</w:t>
      </w:r>
    </w:p>
    <w:p>
      <w:pPr>
        <w:spacing w:line="440" w:lineRule="exact"/>
        <w:ind w:firstLine="442" w:firstLineChars="200"/>
        <w:rPr>
          <w:rFonts w:ascii="宋体" w:hAnsi="宋体" w:cs="楷体"/>
          <w:b/>
          <w:bCs/>
          <w:color w:val="auto"/>
          <w:sz w:val="22"/>
          <w:szCs w:val="22"/>
          <w:highlight w:val="none"/>
        </w:rPr>
      </w:pPr>
      <w:r>
        <w:rPr>
          <w:rFonts w:hint="eastAsia" w:ascii="宋体" w:hAnsi="宋体" w:cs="楷体"/>
          <w:b/>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numPr>
          <w:ilvl w:val="0"/>
          <w:numId w:val="16"/>
        </w:numPr>
        <w:tabs>
          <w:tab w:val="left" w:pos="540"/>
        </w:tabs>
        <w:spacing w:line="440" w:lineRule="exact"/>
        <w:rPr>
          <w:rFonts w:ascii="宋体" w:hAnsi="宋体" w:cs="楷体"/>
          <w:b/>
          <w:bCs/>
          <w:color w:val="auto"/>
          <w:sz w:val="22"/>
          <w:szCs w:val="22"/>
          <w:highlight w:val="none"/>
        </w:rPr>
      </w:pPr>
      <w:r>
        <w:rPr>
          <w:rFonts w:hint="eastAsia" w:ascii="宋体" w:hAnsi="宋体" w:cs="楷体"/>
          <w:bCs/>
          <w:color w:val="auto"/>
          <w:sz w:val="22"/>
          <w:szCs w:val="22"/>
          <w:highlight w:val="none"/>
        </w:rPr>
        <w:t>开标、评标</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21.1采购人按采购文件规定的时间、地点开启投标文件。开标前，首先检查投标文件的密封情况，确认无误后开启投标文件。</w:t>
      </w:r>
    </w:p>
    <w:p>
      <w:pPr>
        <w:numPr>
          <w:ilvl w:val="0"/>
          <w:numId w:val="17"/>
        </w:num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开标时邀请所有投标人代表参加，参加开标的代表应准时出席并签名报到以证明其出席。投标人代表未参加开标会的，事后不得对开标过程和开标结果提出异议。</w:t>
      </w:r>
    </w:p>
    <w:p>
      <w:pPr>
        <w:numPr>
          <w:ilvl w:val="0"/>
          <w:numId w:val="17"/>
        </w:numPr>
        <w:spacing w:line="440" w:lineRule="exact"/>
        <w:ind w:firstLine="399" w:firstLineChars="190"/>
        <w:rPr>
          <w:rFonts w:ascii="宋体" w:hAnsi="宋体" w:cs="楷体"/>
          <w:color w:val="auto"/>
          <w:kern w:val="0"/>
          <w:sz w:val="22"/>
          <w:szCs w:val="22"/>
          <w:highlight w:val="none"/>
        </w:rPr>
      </w:pPr>
      <w:r>
        <w:rPr>
          <w:rFonts w:hint="eastAsia" w:ascii="宋体" w:hAnsi="宋体" w:cs="楷体"/>
          <w:bCs/>
          <w:color w:val="auto"/>
          <w:szCs w:val="21"/>
          <w:highlight w:val="none"/>
        </w:rPr>
        <w:t>开标时，应当由投标人推选的代表检查投标文件的密封情况；经确认无误后，由采购代理机构工作人员当众拆封，宣布投标人名称、投标价格和采购文件规定的需要宣布的其他内容。采购代理机构指定专人作好记录，存档备查。</w:t>
      </w:r>
      <w:r>
        <w:rPr>
          <w:rFonts w:hint="eastAsia" w:ascii="宋体" w:hAnsi="宋体" w:cs="楷体"/>
          <w:color w:val="auto"/>
          <w:kern w:val="0"/>
          <w:sz w:val="22"/>
          <w:szCs w:val="22"/>
          <w:highlight w:val="none"/>
        </w:rPr>
        <w:t>投标人代表应对宣读内容及记录结果当场进行校核和签字确认，如有异议应当场提出，否则视为默许同意。</w:t>
      </w:r>
    </w:p>
    <w:p>
      <w:pPr>
        <w:numPr>
          <w:ilvl w:val="0"/>
          <w:numId w:val="17"/>
        </w:numPr>
        <w:spacing w:line="440" w:lineRule="exact"/>
        <w:ind w:firstLine="399" w:firstLineChars="190"/>
        <w:rPr>
          <w:rFonts w:ascii="宋体" w:hAnsi="宋体" w:cs="楷体"/>
          <w:color w:val="auto"/>
          <w:kern w:val="0"/>
          <w:sz w:val="22"/>
          <w:szCs w:val="22"/>
          <w:highlight w:val="none"/>
        </w:rPr>
      </w:pPr>
      <w:r>
        <w:rPr>
          <w:rFonts w:hint="eastAsia" w:ascii="宋体" w:hAnsi="宋体" w:cs="楷体"/>
          <w:bCs/>
          <w:color w:val="auto"/>
          <w:szCs w:val="21"/>
          <w:highlight w:val="none"/>
        </w:rPr>
        <w:t>开标结束后，采购人或采购代理机构依法对投标人的资格进行审查。</w:t>
      </w:r>
      <w:r>
        <w:rPr>
          <w:rFonts w:hint="eastAsia" w:ascii="宋体" w:hAnsi="宋体" w:cs="楷体"/>
          <w:color w:val="auto"/>
          <w:kern w:val="0"/>
          <w:sz w:val="22"/>
          <w:szCs w:val="22"/>
          <w:highlight w:val="none"/>
        </w:rPr>
        <w:t>审查内容包括但不仅限于随投标文件一同提交的法定代表人授权书（原件）、投标人代表有效身份证件（原件）、企业法人营业执照复印件、投标保证金，以及投标文件所提交证明材料是否能证明符合本项目对合格投标人的实质性要求。通过资格审查视作具备投标资格，审查不合格的投标文件将不进入后续详细评审。</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21.2投标文件的初审（符合性检查）。</w:t>
      </w:r>
    </w:p>
    <w:p>
      <w:pPr>
        <w:spacing w:line="440" w:lineRule="exact"/>
        <w:ind w:firstLine="440" w:firstLineChars="200"/>
        <w:rPr>
          <w:rFonts w:ascii="宋体" w:hAnsi="宋体" w:cs="楷体"/>
          <w:color w:val="auto"/>
          <w:kern w:val="0"/>
          <w:sz w:val="22"/>
          <w:szCs w:val="22"/>
          <w:highlight w:val="none"/>
        </w:rPr>
      </w:pPr>
      <w:r>
        <w:rPr>
          <w:rFonts w:hint="eastAsia" w:ascii="宋体" w:hAnsi="宋体" w:cs="楷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21.3▲</w:t>
      </w:r>
      <w:r>
        <w:rPr>
          <w:rFonts w:hint="eastAsia" w:ascii="宋体" w:hAnsi="宋体" w:cs="楷体"/>
          <w:b/>
          <w:bCs/>
          <w:color w:val="auto"/>
          <w:kern w:val="0"/>
          <w:sz w:val="22"/>
          <w:szCs w:val="22"/>
          <w:highlight w:val="none"/>
          <w:u w:val="single"/>
        </w:rPr>
        <w:t>投标人存在下列情况之一的，投标无效</w:t>
      </w:r>
      <w:r>
        <w:rPr>
          <w:rFonts w:hint="eastAsia" w:ascii="宋体" w:hAnsi="宋体" w:cs="楷体"/>
          <w:color w:val="auto"/>
          <w:kern w:val="0"/>
          <w:sz w:val="22"/>
          <w:szCs w:val="22"/>
          <w:highlight w:val="none"/>
        </w:rPr>
        <w:t>:</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1）未按照采购文件的规定提交投标保证金的；</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2）投标文件正本未按采购文件要求签署、盖章的；</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3）不具备采购文件中规定的资格要求的；</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4</w:t>
      </w:r>
      <w:r>
        <w:rPr>
          <w:rFonts w:hint="eastAsia" w:ascii="宋体" w:hAnsi="宋体" w:cs="楷体"/>
          <w:color w:val="auto"/>
          <w:kern w:val="0"/>
          <w:sz w:val="22"/>
          <w:szCs w:val="22"/>
          <w:highlight w:val="none"/>
        </w:rPr>
        <w:t>）投标文件含有采购人不能接受的附加条件的（包括采购文件中明确要求不得偏离的采购要求，存在负偏离的）；</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5</w:t>
      </w:r>
      <w:r>
        <w:rPr>
          <w:rFonts w:hint="eastAsia" w:ascii="宋体" w:hAnsi="宋体" w:cs="楷体"/>
          <w:color w:val="auto"/>
          <w:kern w:val="0"/>
          <w:sz w:val="22"/>
          <w:szCs w:val="22"/>
          <w:highlight w:val="none"/>
        </w:rPr>
        <w:t>）投标人递交两份或两份以上内容不同的投标文件，未声明哪一份有效的；</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6</w:t>
      </w:r>
      <w:r>
        <w:rPr>
          <w:rFonts w:hint="eastAsia" w:ascii="宋体" w:hAnsi="宋体" w:cs="楷体"/>
          <w:color w:val="auto"/>
          <w:kern w:val="0"/>
          <w:sz w:val="22"/>
          <w:szCs w:val="22"/>
          <w:highlight w:val="none"/>
        </w:rPr>
        <w:t>）对关键条文的偏离、保留或反对，例如关于投标保证金、付款方式、完工期（服务期）、免费质保期、适用法律法规、标准、税费等其他内容；</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7</w:t>
      </w:r>
      <w:r>
        <w:rPr>
          <w:rFonts w:hint="eastAsia" w:ascii="宋体" w:hAnsi="宋体" w:cs="楷体"/>
          <w:color w:val="auto"/>
          <w:kern w:val="0"/>
          <w:sz w:val="22"/>
          <w:szCs w:val="22"/>
          <w:highlight w:val="none"/>
        </w:rPr>
        <w:t>）存在串标、抬标或弄虚作假情况的；</w:t>
      </w:r>
    </w:p>
    <w:p>
      <w:pPr>
        <w:spacing w:line="440" w:lineRule="exact"/>
        <w:ind w:firstLine="418" w:firstLineChars="190"/>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8</w:t>
      </w:r>
      <w:r>
        <w:rPr>
          <w:rFonts w:hint="eastAsia" w:ascii="宋体" w:hAnsi="宋体" w:cs="楷体"/>
          <w:color w:val="auto"/>
          <w:kern w:val="0"/>
          <w:sz w:val="22"/>
          <w:szCs w:val="22"/>
          <w:highlight w:val="none"/>
        </w:rPr>
        <w:t>）法律、法规和采购文件规定的其他无效情形（或出现重大偏差）。</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9</w:t>
      </w:r>
      <w:r>
        <w:rPr>
          <w:rFonts w:hint="eastAsia" w:ascii="宋体" w:hAnsi="宋体" w:cs="楷体"/>
          <w:color w:val="auto"/>
          <w:kern w:val="0"/>
          <w:sz w:val="22"/>
          <w:szCs w:val="22"/>
          <w:highlight w:val="none"/>
        </w:rPr>
        <w:t>）单位负责人为同一人或者存在控股、管理关系的不同单位，不得参加同一标段投标或者未划分标段的同一采购项目投标；</w:t>
      </w:r>
    </w:p>
    <w:p>
      <w:pPr>
        <w:numPr>
          <w:ilvl w:val="-1"/>
          <w:numId w:val="0"/>
        </w:numPr>
        <w:spacing w:line="440" w:lineRule="exact"/>
        <w:ind w:left="0" w:firstLine="418" w:firstLineChars="190"/>
        <w:rPr>
          <w:rFonts w:hint="eastAsia" w:ascii="宋体" w:hAnsi="宋体" w:eastAsia="宋体" w:cs="楷体"/>
          <w:bCs w:val="0"/>
          <w:strike w:val="0"/>
          <w:dstrike w:val="0"/>
          <w:color w:val="auto"/>
          <w:kern w:val="0"/>
          <w:sz w:val="22"/>
          <w:szCs w:val="22"/>
          <w:highlight w:val="none"/>
          <w:u w:val="none"/>
          <w:lang w:val="en-US" w:eastAsia="zh-CN"/>
        </w:rPr>
      </w:pPr>
      <w:r>
        <w:rPr>
          <w:rFonts w:hint="eastAsia" w:ascii="宋体" w:hAnsi="宋体" w:eastAsia="宋体" w:cs="楷体"/>
          <w:bCs w:val="0"/>
          <w:strike w:val="0"/>
          <w:dstrike w:val="0"/>
          <w:color w:val="auto"/>
          <w:kern w:val="0"/>
          <w:sz w:val="22"/>
          <w:szCs w:val="22"/>
          <w:highlight w:val="none"/>
          <w:u w:val="none"/>
          <w:lang w:val="en-US" w:eastAsia="zh-CN"/>
        </w:rPr>
        <w:t>10）投标供应商的投标报价（</w:t>
      </w:r>
      <w:r>
        <w:rPr>
          <w:rFonts w:hint="eastAsia" w:ascii="宋体" w:hAnsi="宋体" w:cs="楷体"/>
          <w:bCs w:val="0"/>
          <w:strike w:val="0"/>
          <w:dstrike w:val="0"/>
          <w:color w:val="auto"/>
          <w:kern w:val="0"/>
          <w:sz w:val="22"/>
          <w:szCs w:val="22"/>
          <w:highlight w:val="none"/>
          <w:u w:val="none"/>
          <w:lang w:val="en-US" w:eastAsia="zh-CN"/>
        </w:rPr>
        <w:t>综合单价</w:t>
      </w:r>
      <w:r>
        <w:rPr>
          <w:rFonts w:hint="eastAsia" w:ascii="宋体" w:hAnsi="宋体" w:eastAsia="宋体" w:cs="楷体"/>
          <w:bCs w:val="0"/>
          <w:strike w:val="0"/>
          <w:dstrike w:val="0"/>
          <w:color w:val="auto"/>
          <w:kern w:val="0"/>
          <w:sz w:val="22"/>
          <w:szCs w:val="22"/>
          <w:highlight w:val="none"/>
          <w:u w:val="none"/>
          <w:lang w:val="en-US" w:eastAsia="zh-CN"/>
        </w:rPr>
        <w:t>）超过采购最高限价的；</w:t>
      </w:r>
    </w:p>
    <w:p>
      <w:pPr>
        <w:numPr>
          <w:ilvl w:val="-1"/>
          <w:numId w:val="0"/>
        </w:numPr>
        <w:spacing w:line="440" w:lineRule="exact"/>
        <w:ind w:left="0" w:firstLine="418" w:firstLineChars="190"/>
        <w:rPr>
          <w:rFonts w:hint="eastAsia" w:ascii="宋体" w:hAnsi="宋体" w:eastAsia="宋体" w:cs="楷体"/>
          <w:bCs w:val="0"/>
          <w:color w:val="auto"/>
          <w:kern w:val="0"/>
          <w:sz w:val="22"/>
          <w:szCs w:val="22"/>
          <w:highlight w:val="none"/>
          <w:u w:val="none"/>
        </w:rPr>
      </w:pPr>
      <w:r>
        <w:rPr>
          <w:rFonts w:hint="eastAsia" w:ascii="宋体" w:hAnsi="宋体" w:eastAsia="宋体" w:cs="楷体"/>
          <w:color w:val="auto"/>
          <w:kern w:val="0"/>
          <w:sz w:val="22"/>
          <w:szCs w:val="22"/>
          <w:highlight w:val="none"/>
          <w:lang w:val="en-US" w:eastAsia="zh-CN"/>
        </w:rPr>
        <w:t>11）</w:t>
      </w:r>
      <w:r>
        <w:rPr>
          <w:rFonts w:hint="eastAsia" w:ascii="宋体" w:hAnsi="宋体" w:eastAsia="宋体" w:cs="楷体"/>
          <w:bCs w:val="0"/>
          <w:color w:val="auto"/>
          <w:kern w:val="0"/>
          <w:sz w:val="22"/>
          <w:szCs w:val="22"/>
          <w:highlight w:val="none"/>
          <w:u w:val="none"/>
        </w:rPr>
        <w:t>未实质性响应采购文件中“▲”同时加下划线条款的；</w:t>
      </w:r>
    </w:p>
    <w:p>
      <w:pPr>
        <w:numPr>
          <w:ilvl w:val="-1"/>
          <w:numId w:val="0"/>
        </w:numPr>
        <w:spacing w:line="440" w:lineRule="exact"/>
        <w:ind w:left="0" w:firstLine="418" w:firstLineChars="190"/>
        <w:rPr>
          <w:rFonts w:hint="eastAsia" w:ascii="宋体" w:hAnsi="宋体" w:eastAsia="宋体" w:cs="楷体"/>
          <w:bCs w:val="0"/>
          <w:color w:val="auto"/>
          <w:kern w:val="0"/>
          <w:sz w:val="22"/>
          <w:szCs w:val="22"/>
          <w:highlight w:val="none"/>
          <w:u w:val="none"/>
        </w:rPr>
      </w:pPr>
      <w:r>
        <w:rPr>
          <w:rFonts w:hint="eastAsia" w:ascii="宋体" w:hAnsi="宋体" w:eastAsia="宋体" w:cs="楷体"/>
          <w:bCs w:val="0"/>
          <w:color w:val="auto"/>
          <w:kern w:val="0"/>
          <w:sz w:val="22"/>
          <w:szCs w:val="22"/>
          <w:highlight w:val="none"/>
          <w:u w:val="none"/>
          <w:lang w:val="en-US" w:eastAsia="zh-CN"/>
        </w:rPr>
        <w:t>12）</w:t>
      </w:r>
      <w:r>
        <w:rPr>
          <w:rFonts w:hint="eastAsia" w:ascii="宋体" w:hAnsi="宋体" w:eastAsia="宋体" w:cs="楷体"/>
          <w:bCs w:val="0"/>
          <w:color w:val="auto"/>
          <w:kern w:val="0"/>
          <w:sz w:val="22"/>
          <w:szCs w:val="22"/>
          <w:highlight w:val="none"/>
          <w:u w:val="none"/>
          <w:lang w:eastAsia="zh-CN"/>
        </w:rPr>
        <w:t>投标供应商</w:t>
      </w:r>
      <w:r>
        <w:rPr>
          <w:rFonts w:hint="eastAsia" w:ascii="宋体" w:hAnsi="宋体" w:eastAsia="宋体" w:cs="楷体"/>
          <w:bCs w:val="0"/>
          <w:color w:val="auto"/>
          <w:kern w:val="0"/>
          <w:sz w:val="22"/>
          <w:szCs w:val="22"/>
          <w:highlight w:val="none"/>
          <w:u w:val="none"/>
        </w:rPr>
        <w:t>提交的投标文件相关证书、材料经评标委员会认定有弄虚作假情况的；</w:t>
      </w:r>
    </w:p>
    <w:p>
      <w:pPr>
        <w:spacing w:line="440" w:lineRule="exact"/>
        <w:ind w:firstLine="418" w:firstLineChars="190"/>
        <w:rPr>
          <w:rFonts w:hint="eastAsia" w:ascii="宋体" w:hAnsi="宋体" w:cs="楷体"/>
          <w:color w:val="auto"/>
          <w:kern w:val="0"/>
          <w:sz w:val="22"/>
          <w:szCs w:val="22"/>
          <w:highlight w:val="none"/>
        </w:rPr>
      </w:pPr>
      <w:r>
        <w:rPr>
          <w:rFonts w:hint="eastAsia" w:ascii="宋体" w:hAnsi="宋体" w:eastAsia="宋体" w:cs="楷体"/>
          <w:bCs w:val="0"/>
          <w:color w:val="auto"/>
          <w:kern w:val="0"/>
          <w:sz w:val="22"/>
          <w:szCs w:val="22"/>
          <w:highlight w:val="none"/>
          <w:u w:val="none"/>
          <w:lang w:val="en-US" w:eastAsia="zh-CN"/>
        </w:rPr>
        <w:t>13）</w:t>
      </w:r>
      <w:r>
        <w:rPr>
          <w:rFonts w:hint="eastAsia" w:ascii="宋体" w:hAnsi="宋体" w:eastAsia="宋体" w:cs="楷体"/>
          <w:bCs w:val="0"/>
          <w:color w:val="auto"/>
          <w:kern w:val="0"/>
          <w:sz w:val="22"/>
          <w:szCs w:val="22"/>
          <w:highlight w:val="none"/>
          <w:u w:val="none"/>
        </w:rPr>
        <w:t>评标委员会认定不符合法律、法规和采购文件中规定的其他实质性要求的。</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21.4▲</w:t>
      </w:r>
      <w:r>
        <w:rPr>
          <w:rFonts w:hint="eastAsia" w:ascii="宋体" w:hAnsi="宋体" w:cs="楷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楷体"/>
          <w:color w:val="auto"/>
          <w:kern w:val="0"/>
          <w:sz w:val="22"/>
          <w:szCs w:val="22"/>
          <w:highlight w:val="none"/>
        </w:rPr>
        <w:t>：</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1）未按采购文件要求编制或字迹模糊、辨认不清的投标文件；</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2）除21.3条款以外，出现其它明显不符合技术规格、技术标准的要求或不满足采购文件技术规格书中的主要参数的投标文件；</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lang w:val="en-US" w:eastAsia="zh-CN"/>
        </w:rPr>
        <w:t>3</w:t>
      </w:r>
      <w:r>
        <w:rPr>
          <w:rFonts w:hint="eastAsia" w:ascii="宋体" w:hAnsi="宋体" w:cs="楷体"/>
          <w:color w:val="auto"/>
          <w:kern w:val="0"/>
          <w:sz w:val="22"/>
          <w:szCs w:val="22"/>
          <w:highlight w:val="none"/>
        </w:rPr>
        <w:t>）除21.3条款以外，出现其它不符合采购文件中规定的实质性要求的投标文件，是否为偏离实质性要求由评标委员会认定。</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21.5</w:t>
      </w:r>
      <w:r>
        <w:rPr>
          <w:rFonts w:hint="eastAsia" w:ascii="宋体" w:hAnsi="宋体" w:cs="楷体"/>
          <w:b/>
          <w:bCs/>
          <w:color w:val="auto"/>
          <w:kern w:val="0"/>
          <w:sz w:val="22"/>
          <w:szCs w:val="22"/>
          <w:highlight w:val="none"/>
          <w:u w:val="single"/>
        </w:rPr>
        <w:t>有下列情形之一的，视为投标人串通投标，其投标无效</w:t>
      </w:r>
      <w:r>
        <w:rPr>
          <w:rFonts w:hint="eastAsia" w:ascii="宋体" w:hAnsi="宋体" w:cs="楷体"/>
          <w:color w:val="auto"/>
          <w:kern w:val="0"/>
          <w:sz w:val="22"/>
          <w:szCs w:val="22"/>
          <w:highlight w:val="none"/>
        </w:rPr>
        <w:t>：</w:t>
      </w:r>
    </w:p>
    <w:p>
      <w:pPr>
        <w:numPr>
          <w:ilvl w:val="0"/>
          <w:numId w:val="18"/>
        </w:num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不同投标人的投标文件由同一单位或者个人编制；</w:t>
      </w:r>
    </w:p>
    <w:p>
      <w:pPr>
        <w:numPr>
          <w:ilvl w:val="0"/>
          <w:numId w:val="18"/>
        </w:numPr>
        <w:spacing w:line="440" w:lineRule="exact"/>
        <w:ind w:left="0" w:leftChars="0"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不同投标人委托同一单位或者个人办理投标事宜；</w:t>
      </w:r>
    </w:p>
    <w:p>
      <w:pPr>
        <w:numPr>
          <w:ilvl w:val="0"/>
          <w:numId w:val="18"/>
        </w:numPr>
        <w:spacing w:line="440" w:lineRule="exact"/>
        <w:ind w:left="0" w:leftChars="0"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不同投标人的投标文件载明的项目管理成员或者联系人员为同一人；</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4）不同投标人的投标文件异常一致或者投标报价呈规律性差异；</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5）不同投标人的投标文件相互混装；</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6）不同投标人的投标保证金从同一单位或者个人的账户转出。</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21.6评标委员会对各投标人的商务报价进行核查时，若发现投标报价内容不清楚可要求投标人书面澄清，计算上的错误，可按下面方法修正：</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ascii="宋体" w:hAnsi="宋体" w:cs="楷体"/>
          <w:color w:val="auto"/>
          <w:kern w:val="0"/>
          <w:sz w:val="22"/>
          <w:szCs w:val="22"/>
          <w:highlight w:val="none"/>
        </w:rPr>
      </w:pPr>
      <w:r>
        <w:rPr>
          <w:rFonts w:hint="eastAsia" w:ascii="宋体" w:hAnsi="宋体" w:cs="楷体"/>
          <w:color w:val="auto"/>
          <w:kern w:val="0"/>
          <w:sz w:val="22"/>
          <w:szCs w:val="22"/>
          <w:highlight w:val="none"/>
        </w:rPr>
        <w:t>2）如果投标人不接受对其价格错误进行修正，其投标将被否决。</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21.8实质上没有响应采购文件要求的投标将被拒绝，投标人不得通过修正或撤消不合要求的偏离或保留从而使其投标成为实质上响应的投标。</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21.9▲</w:t>
      </w:r>
      <w:r>
        <w:rPr>
          <w:rFonts w:hint="eastAsia" w:ascii="宋体" w:hAnsi="宋体" w:cs="楷体"/>
          <w:b/>
          <w:bCs/>
          <w:color w:val="auto"/>
          <w:kern w:val="0"/>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楷体"/>
          <w:color w:val="auto"/>
          <w:kern w:val="0"/>
          <w:sz w:val="22"/>
          <w:szCs w:val="22"/>
          <w:highlight w:val="none"/>
        </w:rPr>
        <w:t>。</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21.10评标委员会对审查合格的投标文件按照采购文件中制订的评标方法进行综合评定打分。</w:t>
      </w:r>
    </w:p>
    <w:p>
      <w:pPr>
        <w:spacing w:line="44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21.11评标过程中遇到特殊情况，由评标委员会遵循公开、公正原则，采取投票方式按照少数服从多数原则决定。</w:t>
      </w:r>
    </w:p>
    <w:p>
      <w:pPr>
        <w:tabs>
          <w:tab w:val="left" w:pos="540"/>
        </w:tabs>
        <w:spacing w:line="440" w:lineRule="exact"/>
        <w:rPr>
          <w:rFonts w:ascii="宋体" w:hAnsi="宋体" w:cs="楷体"/>
          <w:b/>
          <w:bCs/>
          <w:color w:val="auto"/>
          <w:sz w:val="22"/>
          <w:szCs w:val="22"/>
          <w:highlight w:val="none"/>
          <w:u w:val="single"/>
        </w:rPr>
      </w:pPr>
      <w:r>
        <w:rPr>
          <w:rFonts w:hint="eastAsia" w:ascii="宋体" w:hAnsi="宋体" w:cs="楷体"/>
          <w:b/>
          <w:bCs/>
          <w:color w:val="auto"/>
          <w:sz w:val="22"/>
          <w:szCs w:val="22"/>
          <w:highlight w:val="none"/>
        </w:rPr>
        <w:t>21.1</w:t>
      </w:r>
      <w:r>
        <w:rPr>
          <w:rFonts w:hint="eastAsia" w:ascii="宋体" w:hAnsi="宋体" w:cs="楷体"/>
          <w:b/>
          <w:bCs/>
          <w:color w:val="auto"/>
          <w:sz w:val="22"/>
          <w:szCs w:val="22"/>
          <w:highlight w:val="none"/>
          <w:lang w:val="en-US" w:eastAsia="zh-CN"/>
        </w:rPr>
        <w:t>2</w:t>
      </w:r>
      <w:r>
        <w:rPr>
          <w:rFonts w:hint="eastAsia" w:ascii="宋体" w:hAnsi="宋体" w:cs="楷体"/>
          <w:b/>
          <w:bCs/>
          <w:color w:val="auto"/>
          <w:kern w:val="0"/>
          <w:sz w:val="22"/>
          <w:szCs w:val="22"/>
          <w:highlight w:val="none"/>
          <w:u w:val="single"/>
        </w:rPr>
        <w:t>▲</w:t>
      </w:r>
      <w:r>
        <w:rPr>
          <w:rFonts w:hint="eastAsia" w:ascii="新宋体" w:hAnsi="新宋体" w:eastAsia="新宋体" w:cs="新宋体"/>
          <w:b/>
          <w:bCs/>
          <w:color w:val="auto"/>
          <w:sz w:val="22"/>
          <w:szCs w:val="22"/>
          <w:highlight w:val="none"/>
          <w:u w:val="single"/>
        </w:rPr>
        <w:t>投标截止时间止及评审期间，出现有效</w:t>
      </w:r>
      <w:r>
        <w:rPr>
          <w:rFonts w:hint="eastAsia" w:ascii="新宋体" w:hAnsi="新宋体" w:eastAsia="新宋体" w:cs="新宋体"/>
          <w:b/>
          <w:bCs/>
          <w:color w:val="auto"/>
          <w:sz w:val="22"/>
          <w:szCs w:val="22"/>
          <w:highlight w:val="none"/>
          <w:u w:val="single"/>
          <w:lang w:eastAsia="zh-CN"/>
        </w:rPr>
        <w:t>投标供应商</w:t>
      </w:r>
      <w:r>
        <w:rPr>
          <w:rFonts w:hint="eastAsia" w:ascii="新宋体" w:hAnsi="新宋体" w:eastAsia="新宋体" w:cs="新宋体"/>
          <w:b/>
          <w:bCs/>
          <w:color w:val="auto"/>
          <w:sz w:val="22"/>
          <w:szCs w:val="22"/>
          <w:highlight w:val="none"/>
          <w:u w:val="single"/>
        </w:rPr>
        <w:t>不足</w:t>
      </w: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家的，</w:t>
      </w:r>
      <w:r>
        <w:rPr>
          <w:rFonts w:hint="eastAsia" w:ascii="新宋体" w:hAnsi="新宋体" w:eastAsia="新宋体" w:cs="新宋体"/>
          <w:b/>
          <w:bCs/>
          <w:color w:val="auto"/>
          <w:sz w:val="22"/>
          <w:szCs w:val="22"/>
          <w:highlight w:val="none"/>
          <w:u w:val="single"/>
          <w:lang w:eastAsia="zh-CN"/>
        </w:rPr>
        <w:t>则项目</w:t>
      </w:r>
      <w:r>
        <w:rPr>
          <w:rFonts w:hint="eastAsia" w:ascii="新宋体" w:hAnsi="新宋体" w:eastAsia="新宋体" w:cs="新宋体"/>
          <w:b/>
          <w:bCs/>
          <w:color w:val="auto"/>
          <w:sz w:val="22"/>
          <w:szCs w:val="22"/>
          <w:highlight w:val="none"/>
          <w:u w:val="single"/>
        </w:rPr>
        <w:t>采购按流（废）标处理。</w:t>
      </w:r>
    </w:p>
    <w:p>
      <w:pPr>
        <w:numPr>
          <w:ilvl w:val="0"/>
          <w:numId w:val="16"/>
        </w:numPr>
        <w:tabs>
          <w:tab w:val="left" w:pos="540"/>
        </w:tabs>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投标文件的澄清</w:t>
      </w:r>
    </w:p>
    <w:p>
      <w:pPr>
        <w:tabs>
          <w:tab w:val="left" w:pos="540"/>
        </w:tabs>
        <w:spacing w:line="440" w:lineRule="exact"/>
        <w:rPr>
          <w:rFonts w:ascii="宋体" w:hAnsi="宋体" w:cs="楷体"/>
          <w:b/>
          <w:color w:val="auto"/>
          <w:sz w:val="22"/>
          <w:szCs w:val="22"/>
          <w:highlight w:val="none"/>
        </w:rPr>
      </w:pPr>
      <w:r>
        <w:rPr>
          <w:rFonts w:hint="eastAsia" w:ascii="宋体" w:hAnsi="宋体" w:cs="楷体"/>
          <w:bCs/>
          <w:color w:val="auto"/>
          <w:sz w:val="22"/>
          <w:szCs w:val="22"/>
          <w:highlight w:val="none"/>
        </w:rPr>
        <w:t>22.1 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tabs>
          <w:tab w:val="left" w:pos="540"/>
        </w:tabs>
        <w:spacing w:line="440" w:lineRule="exact"/>
        <w:rPr>
          <w:rFonts w:ascii="宋体" w:hAnsi="宋体" w:cs="楷体"/>
          <w:b/>
          <w:color w:val="auto"/>
          <w:sz w:val="22"/>
          <w:szCs w:val="22"/>
          <w:highlight w:val="none"/>
        </w:rPr>
      </w:pPr>
      <w:r>
        <w:rPr>
          <w:rFonts w:hint="eastAsia" w:ascii="宋体" w:hAnsi="宋体" w:cs="楷体"/>
          <w:b/>
          <w:color w:val="auto"/>
          <w:sz w:val="22"/>
          <w:szCs w:val="22"/>
          <w:highlight w:val="none"/>
        </w:rPr>
        <w:t>22.2 经澄清后，若偏差仍存在，且不可接受，投标人则被认为是“没有实质性响应采购文件要求”，其投标不进入下一步评审。</w:t>
      </w:r>
    </w:p>
    <w:p>
      <w:pPr>
        <w:numPr>
          <w:ilvl w:val="0"/>
          <w:numId w:val="16"/>
        </w:numPr>
        <w:spacing w:line="440" w:lineRule="exact"/>
        <w:rPr>
          <w:rFonts w:ascii="宋体" w:hAnsi="宋体" w:cs="楷体"/>
          <w:color w:val="auto"/>
          <w:sz w:val="22"/>
          <w:szCs w:val="22"/>
          <w:highlight w:val="none"/>
        </w:rPr>
      </w:pPr>
      <w:bookmarkStart w:id="67" w:name="_Toc221356889"/>
      <w:bookmarkStart w:id="68" w:name="_Toc222114881"/>
      <w:bookmarkStart w:id="69" w:name="_Toc221356953"/>
      <w:bookmarkStart w:id="70" w:name="_Toc265529385"/>
      <w:bookmarkStart w:id="71" w:name="_Toc221374628"/>
      <w:bookmarkStart w:id="72" w:name="_Toc239145356"/>
      <w:bookmarkStart w:id="73" w:name="_Toc223716000"/>
      <w:bookmarkStart w:id="74" w:name="_Toc241404204"/>
      <w:bookmarkStart w:id="75" w:name="_Toc221423621"/>
      <w:r>
        <w:rPr>
          <w:rFonts w:hint="eastAsia" w:ascii="宋体" w:hAnsi="宋体" w:cs="楷体"/>
          <w:bCs/>
          <w:color w:val="auto"/>
          <w:sz w:val="22"/>
          <w:szCs w:val="22"/>
          <w:highlight w:val="none"/>
        </w:rPr>
        <w:t>确定中标候选人</w:t>
      </w:r>
    </w:p>
    <w:p>
      <w:pPr>
        <w:tabs>
          <w:tab w:val="left" w:pos="540"/>
        </w:tabs>
        <w:spacing w:line="440" w:lineRule="exact"/>
        <w:rPr>
          <w:rFonts w:ascii="宋体" w:hAnsi="宋体" w:cs="楷体"/>
          <w:color w:val="auto"/>
          <w:sz w:val="22"/>
          <w:szCs w:val="22"/>
          <w:highlight w:val="none"/>
        </w:rPr>
      </w:pPr>
      <w:r>
        <w:rPr>
          <w:rFonts w:hint="eastAsia" w:ascii="宋体" w:hAnsi="宋体" w:cs="楷体"/>
          <w:color w:val="auto"/>
          <w:sz w:val="22"/>
          <w:szCs w:val="22"/>
          <w:highlight w:val="none"/>
        </w:rPr>
        <w:t>23.1 本次采购由评标委员会推荐中标候选人，采购人根据评标委员会的推荐结果进行最终确认。</w:t>
      </w:r>
    </w:p>
    <w:p>
      <w:pPr>
        <w:tabs>
          <w:tab w:val="left" w:pos="540"/>
        </w:tabs>
        <w:spacing w:line="440" w:lineRule="exact"/>
        <w:rPr>
          <w:rFonts w:ascii="宋体" w:hAnsi="宋体" w:cs="楷体"/>
          <w:color w:val="auto"/>
          <w:sz w:val="22"/>
          <w:szCs w:val="22"/>
          <w:highlight w:val="none"/>
        </w:rPr>
      </w:pPr>
      <w:r>
        <w:rPr>
          <w:rFonts w:hint="eastAsia" w:ascii="宋体" w:hAnsi="宋体" w:cs="楷体"/>
          <w:color w:val="auto"/>
          <w:sz w:val="22"/>
          <w:szCs w:val="22"/>
          <w:highlight w:val="none"/>
        </w:rPr>
        <w:t xml:space="preserve">23.2 </w:t>
      </w:r>
      <w:r>
        <w:rPr>
          <w:rFonts w:hint="eastAsia" w:ascii="宋体" w:hAnsi="宋体" w:cs="楷体"/>
          <w:b/>
          <w:bCs/>
          <w:color w:val="auto"/>
          <w:sz w:val="22"/>
          <w:szCs w:val="22"/>
          <w:highlight w:val="none"/>
          <w:u w:val="single"/>
        </w:rPr>
        <w:t>评标委员会依据法律、法规及采购文件有关规定在有效标中按投标人的</w:t>
      </w:r>
      <w:r>
        <w:rPr>
          <w:rFonts w:hint="eastAsia" w:ascii="宋体" w:hAnsi="宋体" w:cs="楷体"/>
          <w:b/>
          <w:bCs/>
          <w:color w:val="auto"/>
          <w:sz w:val="22"/>
          <w:szCs w:val="22"/>
          <w:highlight w:val="none"/>
          <w:u w:val="single"/>
          <w:lang w:val="en-US" w:eastAsia="zh-CN"/>
        </w:rPr>
        <w:t>综合</w:t>
      </w:r>
      <w:r>
        <w:rPr>
          <w:rFonts w:hint="eastAsia" w:ascii="宋体" w:hAnsi="宋体" w:cs="楷体"/>
          <w:b/>
          <w:bCs/>
          <w:color w:val="auto"/>
          <w:sz w:val="22"/>
          <w:szCs w:val="22"/>
          <w:highlight w:val="none"/>
          <w:u w:val="single"/>
        </w:rPr>
        <w:t>得分高低进行排序，</w:t>
      </w:r>
      <w:r>
        <w:rPr>
          <w:rFonts w:hint="eastAsia" w:ascii="宋体" w:hAnsi="宋体" w:cs="楷体"/>
          <w:b/>
          <w:bCs/>
          <w:color w:val="auto"/>
          <w:sz w:val="22"/>
          <w:szCs w:val="22"/>
          <w:highlight w:val="none"/>
          <w:u w:val="single"/>
          <w:lang w:val="en-US" w:eastAsia="zh-CN"/>
        </w:rPr>
        <w:t>如有效投标供应商不少于4家，则按综合得分由高到低顺序选取前2名投标人</w:t>
      </w:r>
      <w:r>
        <w:rPr>
          <w:rFonts w:hint="eastAsia" w:ascii="宋体" w:hAnsi="宋体" w:cs="楷体"/>
          <w:b/>
          <w:bCs/>
          <w:color w:val="auto"/>
          <w:sz w:val="22"/>
          <w:szCs w:val="22"/>
          <w:highlight w:val="none"/>
          <w:u w:val="single"/>
        </w:rPr>
        <w:t>作为入围中标候选供应商（</w:t>
      </w:r>
      <w:r>
        <w:rPr>
          <w:rFonts w:hint="eastAsia" w:ascii="宋体" w:hAnsi="宋体" w:cs="楷体"/>
          <w:b/>
          <w:bCs/>
          <w:color w:val="auto"/>
          <w:sz w:val="22"/>
          <w:szCs w:val="22"/>
          <w:highlight w:val="none"/>
          <w:u w:val="single"/>
          <w:lang w:val="en-US" w:eastAsia="zh-CN"/>
        </w:rPr>
        <w:t>得分相同则由采购人评委抽签决定）</w:t>
      </w:r>
      <w:r>
        <w:rPr>
          <w:rFonts w:hint="eastAsia" w:ascii="宋体" w:hAnsi="宋体" w:cs="楷体"/>
          <w:b/>
          <w:bCs/>
          <w:color w:val="auto"/>
          <w:sz w:val="22"/>
          <w:szCs w:val="22"/>
          <w:highlight w:val="none"/>
          <w:u w:val="single"/>
        </w:rPr>
        <w:t>。</w:t>
      </w:r>
    </w:p>
    <w:p>
      <w:pPr>
        <w:tabs>
          <w:tab w:val="left" w:pos="540"/>
        </w:tabs>
        <w:spacing w:line="440" w:lineRule="exact"/>
        <w:rPr>
          <w:rFonts w:ascii="宋体" w:hAnsi="宋体" w:cs="楷体"/>
          <w:color w:val="auto"/>
          <w:sz w:val="22"/>
          <w:szCs w:val="22"/>
          <w:highlight w:val="none"/>
        </w:rPr>
      </w:pPr>
      <w:r>
        <w:rPr>
          <w:rFonts w:hint="eastAsia" w:ascii="宋体" w:hAnsi="宋体" w:cs="楷体"/>
          <w:color w:val="auto"/>
          <w:kern w:val="0"/>
          <w:sz w:val="22"/>
          <w:szCs w:val="22"/>
          <w:highlight w:val="none"/>
        </w:rPr>
        <w:t xml:space="preserve">23.3 </w:t>
      </w:r>
      <w:r>
        <w:rPr>
          <w:rFonts w:hint="eastAsia" w:ascii="宋体" w:hAnsi="宋体" w:cs="楷体"/>
          <w:color w:val="auto"/>
          <w:kern w:val="0"/>
          <w:sz w:val="22"/>
          <w:szCs w:val="22"/>
          <w:highlight w:val="none"/>
          <w:lang w:val="zh-CN"/>
        </w:rPr>
        <w:t>若出现以下情形之一，采购人可视具体情况确定是否由备选中标人为中标人或重新组织采购：</w:t>
      </w:r>
    </w:p>
    <w:p>
      <w:pPr>
        <w:tabs>
          <w:tab w:val="left" w:pos="540"/>
        </w:tabs>
        <w:autoSpaceDE w:val="0"/>
        <w:autoSpaceDN w:val="0"/>
        <w:adjustRightInd w:val="0"/>
        <w:spacing w:line="440" w:lineRule="atLeast"/>
        <w:ind w:left="567"/>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1）中标候选人放弃中标资格；</w:t>
      </w:r>
    </w:p>
    <w:p>
      <w:pPr>
        <w:tabs>
          <w:tab w:val="left" w:pos="540"/>
        </w:tabs>
        <w:autoSpaceDE w:val="0"/>
        <w:autoSpaceDN w:val="0"/>
        <w:adjustRightInd w:val="0"/>
        <w:spacing w:line="440" w:lineRule="atLeast"/>
        <w:ind w:left="567"/>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2）中标候选人因不可抗力提出不能履行合同；</w:t>
      </w:r>
    </w:p>
    <w:p>
      <w:pPr>
        <w:tabs>
          <w:tab w:val="left" w:pos="540"/>
        </w:tabs>
        <w:autoSpaceDE w:val="0"/>
        <w:autoSpaceDN w:val="0"/>
        <w:adjustRightInd w:val="0"/>
        <w:spacing w:line="440" w:lineRule="atLeast"/>
        <w:ind w:left="567"/>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3）中标候选人未能在规定的期限内提交履约保证金；</w:t>
      </w:r>
    </w:p>
    <w:p>
      <w:pPr>
        <w:tabs>
          <w:tab w:val="left" w:pos="540"/>
        </w:tabs>
        <w:autoSpaceDE w:val="0"/>
        <w:autoSpaceDN w:val="0"/>
        <w:adjustRightInd w:val="0"/>
        <w:spacing w:line="440" w:lineRule="atLeast"/>
        <w:ind w:left="567"/>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4）中标候选人未能在规定时间内与采购单位签订合同；</w:t>
      </w:r>
    </w:p>
    <w:p>
      <w:pPr>
        <w:tabs>
          <w:tab w:val="left" w:pos="540"/>
        </w:tabs>
        <w:autoSpaceDE w:val="0"/>
        <w:autoSpaceDN w:val="0"/>
        <w:adjustRightInd w:val="0"/>
        <w:spacing w:line="440" w:lineRule="atLeast"/>
        <w:ind w:left="567"/>
        <w:rPr>
          <w:rFonts w:ascii="宋体" w:hAnsi="宋体" w:cs="楷体"/>
          <w:color w:val="auto"/>
          <w:sz w:val="22"/>
          <w:szCs w:val="22"/>
          <w:highlight w:val="none"/>
        </w:rPr>
      </w:pPr>
      <w:r>
        <w:rPr>
          <w:rFonts w:hint="eastAsia" w:ascii="宋体" w:hAnsi="宋体" w:cs="楷体"/>
          <w:color w:val="auto"/>
          <w:kern w:val="0"/>
          <w:sz w:val="22"/>
          <w:szCs w:val="22"/>
          <w:highlight w:val="none"/>
          <w:lang w:val="zh-CN"/>
        </w:rPr>
        <w:t>5）经质疑，采购人审查后，中标候选人确实在本次采购活动中存在违法违规行为或其他原因使质疑成立的。</w:t>
      </w:r>
    </w:p>
    <w:p>
      <w:pPr>
        <w:tabs>
          <w:tab w:val="left" w:pos="540"/>
        </w:tabs>
        <w:spacing w:line="440" w:lineRule="exact"/>
        <w:rPr>
          <w:rFonts w:ascii="宋体" w:hAnsi="宋体" w:cs="楷体"/>
          <w:color w:val="auto"/>
          <w:sz w:val="22"/>
          <w:szCs w:val="22"/>
          <w:highlight w:val="none"/>
        </w:rPr>
      </w:pPr>
      <w:r>
        <w:rPr>
          <w:rFonts w:hint="eastAsia" w:ascii="宋体" w:hAnsi="宋体" w:cs="楷体"/>
          <w:color w:val="auto"/>
          <w:sz w:val="22"/>
          <w:szCs w:val="22"/>
          <w:highlight w:val="none"/>
        </w:rPr>
        <w:t>23.4 采购人、采购代理机构及评标委员会不向落标的投标人解释落标原因，也不公布评标过程中的相关细节。</w:t>
      </w:r>
    </w:p>
    <w:p>
      <w:pPr>
        <w:numPr>
          <w:ilvl w:val="0"/>
          <w:numId w:val="16"/>
        </w:numPr>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评标细则详见“评标原则及方法”。</w:t>
      </w:r>
    </w:p>
    <w:p>
      <w:pPr>
        <w:spacing w:before="100" w:beforeAutospacing="1" w:after="100" w:afterAutospacing="1" w:line="440" w:lineRule="exact"/>
        <w:ind w:left="-6"/>
        <w:jc w:val="center"/>
        <w:outlineLvl w:val="0"/>
        <w:rPr>
          <w:rFonts w:ascii="宋体" w:hAnsi="宋体" w:cs="楷体"/>
          <w:b/>
          <w:bCs/>
          <w:color w:val="auto"/>
          <w:sz w:val="26"/>
          <w:szCs w:val="26"/>
          <w:highlight w:val="none"/>
        </w:rPr>
      </w:pPr>
      <w:bookmarkStart w:id="76" w:name="_Toc27135"/>
      <w:r>
        <w:rPr>
          <w:rFonts w:hint="eastAsia" w:ascii="宋体" w:hAnsi="宋体" w:cs="楷体"/>
          <w:b/>
          <w:bCs/>
          <w:color w:val="auto"/>
          <w:sz w:val="26"/>
          <w:szCs w:val="26"/>
          <w:highlight w:val="none"/>
        </w:rPr>
        <w:t>六、 授予合同</w:t>
      </w:r>
      <w:bookmarkEnd w:id="67"/>
      <w:bookmarkEnd w:id="68"/>
      <w:bookmarkEnd w:id="69"/>
      <w:bookmarkEnd w:id="70"/>
      <w:bookmarkEnd w:id="71"/>
      <w:bookmarkEnd w:id="72"/>
      <w:bookmarkEnd w:id="73"/>
      <w:bookmarkEnd w:id="74"/>
      <w:bookmarkEnd w:id="75"/>
      <w:bookmarkEnd w:id="76"/>
    </w:p>
    <w:p>
      <w:pPr>
        <w:numPr>
          <w:ilvl w:val="0"/>
          <w:numId w:val="16"/>
        </w:numPr>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确定中标人</w:t>
      </w:r>
    </w:p>
    <w:p>
      <w:pPr>
        <w:tabs>
          <w:tab w:val="left" w:pos="640"/>
        </w:tabs>
        <w:spacing w:line="460" w:lineRule="exact"/>
        <w:rPr>
          <w:rFonts w:ascii="宋体" w:hAnsi="宋体" w:cs="楷体"/>
          <w:color w:val="auto"/>
          <w:kern w:val="0"/>
          <w:sz w:val="22"/>
          <w:szCs w:val="22"/>
          <w:highlight w:val="none"/>
        </w:rPr>
      </w:pPr>
      <w:r>
        <w:rPr>
          <w:rFonts w:hint="eastAsia" w:ascii="宋体" w:hAnsi="宋体" w:cs="楷体"/>
          <w:color w:val="auto"/>
          <w:highlight w:val="none"/>
        </w:rPr>
        <w:t>25.1 采购人自收到评标报告之日起5个工作日内，在评标报告确定的中标候选人名单中按顺序确定中标人。</w:t>
      </w:r>
    </w:p>
    <w:p>
      <w:pPr>
        <w:tabs>
          <w:tab w:val="left" w:pos="640"/>
        </w:tabs>
        <w:spacing w:line="4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25.2 中标人确定之日起2个工作日内，在</w:t>
      </w:r>
      <w:r>
        <w:rPr>
          <w:rFonts w:hint="eastAsia" w:ascii="宋体" w:hAnsi="宋体" w:cs="楷体"/>
          <w:color w:val="auto"/>
          <w:kern w:val="0"/>
          <w:sz w:val="22"/>
          <w:szCs w:val="22"/>
          <w:highlight w:val="none"/>
          <w:lang w:val="en-US" w:eastAsia="zh-CN"/>
        </w:rPr>
        <w:t>浙江政府采购网、温州国企采购平台及温州市公用集团官网</w:t>
      </w:r>
      <w:r>
        <w:rPr>
          <w:rFonts w:hint="eastAsia" w:ascii="宋体" w:hAnsi="宋体" w:cs="楷体"/>
          <w:color w:val="auto"/>
          <w:kern w:val="0"/>
          <w:sz w:val="22"/>
          <w:szCs w:val="22"/>
          <w:highlight w:val="none"/>
        </w:rPr>
        <w:t>上公告中标结果，中标公告期限为1个工作日。</w:t>
      </w:r>
    </w:p>
    <w:p>
      <w:pPr>
        <w:tabs>
          <w:tab w:val="left" w:pos="640"/>
        </w:tabs>
        <w:spacing w:line="460" w:lineRule="exact"/>
        <w:rPr>
          <w:rFonts w:ascii="宋体" w:hAnsi="宋体" w:cs="楷体"/>
          <w:color w:val="auto"/>
          <w:kern w:val="0"/>
          <w:sz w:val="22"/>
          <w:szCs w:val="22"/>
          <w:highlight w:val="none"/>
        </w:rPr>
      </w:pPr>
      <w:r>
        <w:rPr>
          <w:rFonts w:hint="eastAsia" w:ascii="宋体" w:hAnsi="宋体" w:cs="楷体"/>
          <w:color w:val="auto"/>
          <w:kern w:val="0"/>
          <w:sz w:val="22"/>
          <w:szCs w:val="22"/>
          <w:highlight w:val="none"/>
        </w:rPr>
        <w:t>25.3 在公告中标结果的同时，采购人向中标人发出中标通知书。</w:t>
      </w:r>
    </w:p>
    <w:p>
      <w:pPr>
        <w:numPr>
          <w:ilvl w:val="0"/>
          <w:numId w:val="16"/>
        </w:numPr>
        <w:spacing w:line="440" w:lineRule="exact"/>
        <w:rPr>
          <w:rFonts w:ascii="宋体" w:hAnsi="宋体" w:cs="楷体"/>
          <w:color w:val="auto"/>
          <w:sz w:val="22"/>
          <w:szCs w:val="22"/>
          <w:highlight w:val="none"/>
        </w:rPr>
      </w:pPr>
      <w:r>
        <w:rPr>
          <w:rFonts w:hint="eastAsia" w:ascii="宋体" w:hAnsi="宋体" w:cs="楷体"/>
          <w:bCs/>
          <w:color w:val="auto"/>
          <w:sz w:val="22"/>
          <w:szCs w:val="22"/>
          <w:highlight w:val="none"/>
        </w:rPr>
        <w:t>签订合同</w:t>
      </w:r>
    </w:p>
    <w:p>
      <w:pPr>
        <w:tabs>
          <w:tab w:val="left" w:pos="6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26.1 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6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26.2 采购文件、中标投标人的投标文件及投标修改文件、评标过程中有关澄清文件及经双方签字的询标纪要（承诺）和中标通知书均作为合同附件。</w:t>
      </w:r>
    </w:p>
    <w:p>
      <w:pPr>
        <w:tabs>
          <w:tab w:val="left" w:pos="640"/>
        </w:tabs>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26.3 拒签合同的责任</w:t>
      </w:r>
    </w:p>
    <w:p>
      <w:pPr>
        <w:tabs>
          <w:tab w:val="left" w:pos="640"/>
        </w:tabs>
        <w:spacing w:line="460" w:lineRule="exact"/>
        <w:rPr>
          <w:rFonts w:ascii="宋体" w:hAnsi="宋体" w:cs="楷体"/>
          <w:b/>
          <w:bCs/>
          <w:color w:val="auto"/>
          <w:sz w:val="22"/>
          <w:szCs w:val="22"/>
          <w:highlight w:val="none"/>
          <w:u w:val="single"/>
        </w:rPr>
      </w:pPr>
      <w:r>
        <w:rPr>
          <w:rFonts w:hint="eastAsia" w:ascii="宋体" w:hAnsi="宋体" w:cs="楷体"/>
          <w:color w:val="auto"/>
          <w:sz w:val="22"/>
          <w:szCs w:val="22"/>
          <w:highlight w:val="none"/>
        </w:rPr>
        <w:t>26.4 中标投标人在规定时间内（30日历天）借故否认已经承诺的条件、拒签合同或拒交履约保证金者，以投标违约处理，其投标保证金不予退回，并赔偿采购人由此造成的直接经济损失；采购人重新组织采购的，所需费用由原中标投标人承担。</w:t>
      </w:r>
    </w:p>
    <w:p>
      <w:pPr>
        <w:numPr>
          <w:ilvl w:val="0"/>
          <w:numId w:val="16"/>
        </w:numPr>
        <w:spacing w:line="440" w:lineRule="exact"/>
        <w:rPr>
          <w:rFonts w:ascii="宋体" w:hAnsi="宋体" w:cs="楷体"/>
          <w:bCs/>
          <w:color w:val="auto"/>
          <w:sz w:val="22"/>
          <w:szCs w:val="22"/>
          <w:highlight w:val="none"/>
        </w:rPr>
      </w:pPr>
      <w:r>
        <w:rPr>
          <w:rFonts w:hint="eastAsia" w:ascii="宋体" w:hAnsi="宋体" w:cs="楷体"/>
          <w:bCs/>
          <w:color w:val="auto"/>
          <w:sz w:val="22"/>
          <w:szCs w:val="22"/>
          <w:highlight w:val="none"/>
        </w:rPr>
        <w:t>履约保证金</w:t>
      </w:r>
    </w:p>
    <w:p>
      <w:pPr>
        <w:tabs>
          <w:tab w:val="left" w:pos="640"/>
        </w:tabs>
        <w:spacing w:line="440" w:lineRule="exact"/>
        <w:rPr>
          <w:rFonts w:ascii="宋体" w:hAnsi="宋体" w:cs="楷体"/>
          <w:color w:val="auto"/>
          <w:spacing w:val="6"/>
          <w:sz w:val="22"/>
          <w:szCs w:val="22"/>
          <w:highlight w:val="none"/>
        </w:rPr>
      </w:pPr>
      <w:r>
        <w:rPr>
          <w:rFonts w:hint="eastAsia" w:ascii="宋体" w:hAnsi="宋体" w:cs="楷体"/>
          <w:color w:val="auto"/>
          <w:spacing w:val="6"/>
          <w:sz w:val="22"/>
          <w:szCs w:val="22"/>
          <w:highlight w:val="none"/>
        </w:rPr>
        <w:t>27.1 中标人在收到</w:t>
      </w:r>
      <w:r>
        <w:rPr>
          <w:rFonts w:hint="eastAsia" w:ascii="宋体" w:hAnsi="宋体" w:cs="楷体"/>
          <w:color w:val="auto"/>
          <w:spacing w:val="6"/>
          <w:sz w:val="22"/>
          <w:szCs w:val="22"/>
          <w:highlight w:val="none"/>
          <w:lang w:val="en-US" w:eastAsia="zh-CN"/>
        </w:rPr>
        <w:t>入围</w:t>
      </w:r>
      <w:r>
        <w:rPr>
          <w:rFonts w:hint="eastAsia" w:ascii="宋体" w:hAnsi="宋体" w:cs="楷体"/>
          <w:color w:val="auto"/>
          <w:spacing w:val="6"/>
          <w:sz w:val="22"/>
          <w:szCs w:val="22"/>
          <w:highlight w:val="none"/>
        </w:rPr>
        <w:t>中标通知书后，签订合同前须向采购人提交履约保证金。</w:t>
      </w:r>
    </w:p>
    <w:p>
      <w:pPr>
        <w:tabs>
          <w:tab w:val="left" w:pos="640"/>
        </w:tabs>
        <w:spacing w:line="440" w:lineRule="exact"/>
        <w:rPr>
          <w:rFonts w:ascii="宋体" w:hAnsi="宋体" w:cs="楷体"/>
          <w:color w:val="auto"/>
          <w:spacing w:val="6"/>
          <w:sz w:val="22"/>
          <w:szCs w:val="22"/>
          <w:highlight w:val="none"/>
        </w:rPr>
      </w:pPr>
      <w:r>
        <w:rPr>
          <w:rFonts w:hint="eastAsia" w:ascii="宋体" w:hAnsi="宋体" w:cs="楷体"/>
          <w:color w:val="auto"/>
          <w:spacing w:val="6"/>
          <w:sz w:val="22"/>
          <w:szCs w:val="22"/>
          <w:highlight w:val="none"/>
        </w:rPr>
        <w:t>27.2 履约保证金用于补偿委托方因中标人不能完成其合同义务而蒙受的损失。</w:t>
      </w:r>
    </w:p>
    <w:p>
      <w:pPr>
        <w:tabs>
          <w:tab w:val="left" w:pos="640"/>
        </w:tabs>
        <w:spacing w:line="440" w:lineRule="exact"/>
        <w:rPr>
          <w:rFonts w:ascii="宋体" w:hAnsi="宋体" w:cs="楷体"/>
          <w:b/>
          <w:color w:val="auto"/>
          <w:sz w:val="22"/>
          <w:szCs w:val="22"/>
          <w:highlight w:val="none"/>
        </w:rPr>
      </w:pPr>
      <w:r>
        <w:rPr>
          <w:rFonts w:hint="eastAsia" w:ascii="宋体" w:hAnsi="宋体" w:cs="楷体"/>
          <w:color w:val="auto"/>
          <w:spacing w:val="6"/>
          <w:sz w:val="22"/>
          <w:szCs w:val="22"/>
          <w:highlight w:val="none"/>
        </w:rPr>
        <w:t>27.3 履约保证金自合同签定生效之日起至完成整个项目并通过最终验收之日止有效。有效期满后，采购人应及时将履约保证金无息退还给中标人。</w:t>
      </w:r>
    </w:p>
    <w:p>
      <w:pPr>
        <w:numPr>
          <w:ilvl w:val="0"/>
          <w:numId w:val="16"/>
        </w:numPr>
        <w:spacing w:line="440" w:lineRule="exact"/>
        <w:rPr>
          <w:rFonts w:ascii="宋体" w:hAnsi="宋体" w:cs="楷体"/>
          <w:b/>
          <w:bCs/>
          <w:color w:val="auto"/>
          <w:sz w:val="22"/>
          <w:szCs w:val="22"/>
          <w:highlight w:val="none"/>
        </w:rPr>
      </w:pPr>
      <w:r>
        <w:rPr>
          <w:rFonts w:hint="eastAsia" w:ascii="宋体" w:hAnsi="宋体" w:cs="楷体"/>
          <w:b/>
          <w:bCs/>
          <w:color w:val="auto"/>
          <w:sz w:val="22"/>
          <w:szCs w:val="22"/>
          <w:highlight w:val="none"/>
        </w:rPr>
        <w:t>采购代理服务费</w:t>
      </w:r>
    </w:p>
    <w:p>
      <w:pPr>
        <w:tabs>
          <w:tab w:val="left" w:pos="640"/>
        </w:tabs>
        <w:spacing w:line="44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28.1本项目采购代理服务费为人民币</w:t>
      </w:r>
      <w:r>
        <w:rPr>
          <w:rFonts w:hint="eastAsia" w:ascii="宋体" w:hAnsi="宋体" w:cs="楷体"/>
          <w:color w:val="auto"/>
          <w:sz w:val="22"/>
          <w:szCs w:val="22"/>
          <w:highlight w:val="none"/>
          <w:lang w:val="en-US" w:eastAsia="zh-CN"/>
        </w:rPr>
        <w:t>壹万伍仟</w:t>
      </w:r>
      <w:r>
        <w:rPr>
          <w:rFonts w:hint="eastAsia" w:ascii="宋体" w:hAnsi="宋体" w:cs="楷体"/>
          <w:color w:val="auto"/>
          <w:sz w:val="22"/>
          <w:szCs w:val="22"/>
          <w:highlight w:val="none"/>
        </w:rPr>
        <w:t>元，由入围中标人平均分摊，并在领取入围中标通知书之前支付给采购代理机构。如中标人未按时支付采购代理服务费，采购代理机构可以从投标保证金或在采购人的合同款中扣缴，采购人予以配合。</w:t>
      </w:r>
    </w:p>
    <w:p>
      <w:pPr>
        <w:tabs>
          <w:tab w:val="left" w:pos="640"/>
        </w:tabs>
        <w:spacing w:line="440" w:lineRule="exact"/>
        <w:rPr>
          <w:rFonts w:ascii="宋体" w:hAnsi="宋体" w:cs="楷体"/>
          <w:color w:val="auto"/>
          <w:spacing w:val="6"/>
          <w:sz w:val="22"/>
          <w:szCs w:val="22"/>
          <w:highlight w:val="none"/>
        </w:rPr>
      </w:pPr>
      <w:r>
        <w:rPr>
          <w:rFonts w:hint="eastAsia" w:ascii="宋体" w:hAnsi="宋体" w:cs="楷体"/>
          <w:color w:val="auto"/>
          <w:spacing w:val="6"/>
          <w:sz w:val="22"/>
          <w:szCs w:val="22"/>
          <w:highlight w:val="none"/>
        </w:rPr>
        <w:t>28.2 采购代理服务费可以是现金、支票或汇票。</w:t>
      </w:r>
    </w:p>
    <w:p>
      <w:pPr>
        <w:tabs>
          <w:tab w:val="left" w:pos="640"/>
        </w:tabs>
        <w:spacing w:line="440" w:lineRule="exact"/>
        <w:rPr>
          <w:rFonts w:ascii="宋体" w:hAnsi="宋体" w:cs="楷体"/>
          <w:color w:val="auto"/>
          <w:sz w:val="22"/>
          <w:szCs w:val="22"/>
          <w:highlight w:val="none"/>
        </w:rPr>
      </w:pPr>
      <w:r>
        <w:rPr>
          <w:rFonts w:hint="eastAsia" w:ascii="宋体" w:hAnsi="宋体" w:cs="楷体"/>
          <w:color w:val="auto"/>
          <w:sz w:val="22"/>
          <w:szCs w:val="22"/>
          <w:highlight w:val="none"/>
        </w:rPr>
        <w:t>28.3户名：温州市智信招标代理有限公司</w:t>
      </w:r>
    </w:p>
    <w:p>
      <w:pPr>
        <w:tabs>
          <w:tab w:val="left" w:pos="640"/>
        </w:tabs>
        <w:spacing w:line="440" w:lineRule="exact"/>
        <w:ind w:firstLine="550" w:firstLineChars="250"/>
        <w:rPr>
          <w:rFonts w:ascii="宋体" w:hAnsi="宋体" w:cs="楷体"/>
          <w:color w:val="auto"/>
          <w:sz w:val="22"/>
          <w:szCs w:val="22"/>
          <w:highlight w:val="none"/>
        </w:rPr>
      </w:pPr>
      <w:r>
        <w:rPr>
          <w:rFonts w:hint="eastAsia" w:ascii="宋体" w:hAnsi="宋体" w:cs="楷体"/>
          <w:color w:val="auto"/>
          <w:sz w:val="22"/>
          <w:szCs w:val="22"/>
          <w:highlight w:val="none"/>
        </w:rPr>
        <w:t>账号： 333504140018800009390</w:t>
      </w:r>
    </w:p>
    <w:p>
      <w:pPr>
        <w:tabs>
          <w:tab w:val="left" w:pos="640"/>
        </w:tabs>
        <w:spacing w:line="440" w:lineRule="exact"/>
        <w:ind w:firstLine="550" w:firstLineChars="250"/>
        <w:rPr>
          <w:rFonts w:ascii="宋体" w:hAnsi="宋体" w:cs="楷体"/>
          <w:color w:val="auto"/>
          <w:sz w:val="22"/>
          <w:szCs w:val="22"/>
          <w:highlight w:val="none"/>
        </w:rPr>
      </w:pPr>
      <w:r>
        <w:rPr>
          <w:rFonts w:hint="eastAsia" w:ascii="宋体" w:hAnsi="宋体" w:cs="楷体"/>
          <w:color w:val="auto"/>
          <w:sz w:val="22"/>
          <w:szCs w:val="22"/>
          <w:highlight w:val="none"/>
        </w:rPr>
        <w:t>开户行：交通银行温州分行瓯海支行</w:t>
      </w:r>
    </w:p>
    <w:p>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 质疑与投诉</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采购公告附件的采购文件仅供阅览使用，未按照公告规定的方式获取采购文件的潜在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提起的质疑，采购人和采购代理机构将不予受理、答复。</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采购文件发售截止时间之后潜在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仍然可以购买采购文件，但该</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如对采购文件有疑问应按采购文件规定的质疑截止时间前提出，逾期提出的，采购人和采购代理机构可以不予受理、答复。</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未参与所质疑项目采购活动的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不得对采购活动的过程提出质疑。</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对中标公告有质疑的，可以在规定时间内以书面形式向采购人和采购代理机构提出质疑，但需对质疑内容的真实性承担责任。</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人、采购代理机构的答复不满意或者采购人、采购代理机构未在规定的时间内作出答复的，可以在答复期满后15个工作日内向采购人（集团）的内设监管职能部门投诉。如有发现不实的质疑投诉，采购人有权将该</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纳入公司黑名单，同时在开标之日起三年内拒绝该</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提出质疑应当提交质疑函和必要的证明材料。质疑函应当包括下列内容：</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的姓名或者名称、地址、邮编、联系人及联系电话；</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（二）质疑项目的名称、编号；</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（三）具体、明确的质疑事项和与质疑事项相关的请求；</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（四）事实依据；</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（五）必要的法律依据；</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（六）提出质疑的日期。</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为自然人的，应当由本人签字；</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为法人或者其他组织的，应当由法定代表人、主要负责人，或者其授权代表签字或者盖章，并加盖公章。</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在法定质疑期内必须一次性提出针对同一采购程序环节的质疑，已经提出过质疑的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在质疑期内不能提出新的质疑。</w:t>
      </w:r>
    </w:p>
    <w:p>
      <w:pPr>
        <w:keepNext w:val="0"/>
        <w:keepLines w:val="0"/>
        <w:pageBreakBefore w:val="0"/>
        <w:kinsoku/>
        <w:wordWrap/>
        <w:topLinePunct w:val="0"/>
        <w:bidi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 采购人负责对投标供应商反映的采购人在采购活动中出现的违法违规问题进行答疑回复。投标供应商认为采购人答疑回复处理结果不合法的，可以采购人或代理机构为对象依法向人民法院提起</w:t>
      </w:r>
      <w:r>
        <w:rPr>
          <w:rFonts w:hint="eastAsia" w:ascii="宋体" w:hAnsi="宋体" w:eastAsia="宋体" w:cs="宋体"/>
          <w:color w:val="auto"/>
          <w:sz w:val="21"/>
          <w:szCs w:val="21"/>
          <w:highlight w:val="none"/>
        </w:rPr>
        <w:t>诉讼。</w:t>
      </w:r>
    </w:p>
    <w:p>
      <w:pPr>
        <w:pStyle w:val="2"/>
        <w:ind w:firstLine="200"/>
        <w:rPr>
          <w:rFonts w:ascii="宋体" w:hAnsi="宋体" w:eastAsia="宋体"/>
          <w:color w:val="auto"/>
          <w:highlight w:val="none"/>
        </w:rPr>
      </w:pPr>
    </w:p>
    <w:p>
      <w:pPr>
        <w:pStyle w:val="6"/>
        <w:rPr>
          <w:rFonts w:ascii="宋体" w:hAnsi="宋体" w:eastAsia="宋体" w:cs="楷体"/>
          <w:color w:val="auto"/>
          <w:sz w:val="36"/>
          <w:szCs w:val="36"/>
          <w:highlight w:val="none"/>
        </w:rPr>
      </w:pPr>
      <w:r>
        <w:rPr>
          <w:rFonts w:hint="eastAsia" w:ascii="宋体" w:hAnsi="宋体" w:eastAsia="宋体" w:cs="楷体"/>
          <w:color w:val="auto"/>
          <w:sz w:val="22"/>
          <w:szCs w:val="22"/>
          <w:highlight w:val="none"/>
        </w:rPr>
        <w:br w:type="page"/>
      </w:r>
      <w:bookmarkStart w:id="77" w:name="_Toc221356954"/>
      <w:bookmarkStart w:id="78" w:name="_Toc223716001"/>
      <w:bookmarkStart w:id="79" w:name="_Toc222114882"/>
      <w:bookmarkStart w:id="80" w:name="_Toc221374629"/>
      <w:bookmarkStart w:id="81" w:name="_Toc265529386"/>
      <w:bookmarkStart w:id="82" w:name="_Toc239145357"/>
      <w:bookmarkStart w:id="83" w:name="_Toc221356890"/>
      <w:bookmarkStart w:id="84" w:name="_Toc221423622"/>
      <w:bookmarkStart w:id="85" w:name="_Toc241404205"/>
      <w:bookmarkStart w:id="86" w:name="_Toc2973"/>
      <w:r>
        <w:rPr>
          <w:rFonts w:hint="eastAsia" w:ascii="宋体" w:hAnsi="宋体" w:eastAsia="宋体" w:cs="楷体"/>
          <w:color w:val="auto"/>
          <w:sz w:val="36"/>
          <w:szCs w:val="36"/>
          <w:highlight w:val="none"/>
        </w:rPr>
        <w:t xml:space="preserve">第二部分   </w:t>
      </w:r>
      <w:bookmarkEnd w:id="77"/>
      <w:bookmarkEnd w:id="78"/>
      <w:bookmarkEnd w:id="79"/>
      <w:bookmarkEnd w:id="80"/>
      <w:bookmarkEnd w:id="81"/>
      <w:bookmarkEnd w:id="82"/>
      <w:bookmarkEnd w:id="83"/>
      <w:bookmarkEnd w:id="84"/>
      <w:bookmarkEnd w:id="85"/>
      <w:r>
        <w:rPr>
          <w:rFonts w:hint="eastAsia" w:ascii="宋体" w:hAnsi="宋体" w:eastAsia="宋体" w:cs="楷体"/>
          <w:color w:val="auto"/>
          <w:sz w:val="36"/>
          <w:szCs w:val="36"/>
          <w:highlight w:val="none"/>
        </w:rPr>
        <w:t>合同格式及合同主要条款</w:t>
      </w:r>
      <w:bookmarkEnd w:id="86"/>
    </w:p>
    <w:p>
      <w:pPr>
        <w:spacing w:line="360" w:lineRule="exact"/>
        <w:rPr>
          <w:rFonts w:hint="eastAsia" w:ascii="新宋体" w:hAnsi="新宋体" w:eastAsia="新宋体" w:cs="新宋体"/>
          <w:b/>
          <w:bCs/>
          <w:color w:val="auto"/>
          <w:highlight w:val="none"/>
        </w:rPr>
      </w:pPr>
    </w:p>
    <w:p>
      <w:pPr>
        <w:keepNext w:val="0"/>
        <w:keepLines w:val="0"/>
        <w:pageBreakBefore w:val="0"/>
        <w:kinsoku/>
        <w:wordWrap/>
        <w:topLinePunct w:val="0"/>
        <w:bidi w:val="0"/>
        <w:spacing w:line="360" w:lineRule="auto"/>
        <w:ind w:firstLine="517" w:firstLineChars="245"/>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rPr>
        <w:t>注：如甲、乙双方同意，合同格式也可以按照其他形式, 具体条款以甲方为主协商确定。但合同条款的基本内容应与以下要求的内容相一致。</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shd w:val="clear" w:color="auto" w:fill="auto"/>
        </w:rPr>
      </w:pPr>
    </w:p>
    <w:p>
      <w:pPr>
        <w:pStyle w:val="29"/>
        <w:keepNext w:val="0"/>
        <w:keepLines w:val="0"/>
        <w:pageBreakBefore w:val="0"/>
        <w:kinsoku/>
        <w:wordWrap/>
        <w:topLinePunct w:val="0"/>
        <w:bidi w:val="0"/>
        <w:snapToGrid w:val="0"/>
        <w:spacing w:line="360" w:lineRule="auto"/>
        <w:jc w:val="both"/>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编号：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合同签订地：温州</w:t>
      </w:r>
    </w:p>
    <w:p>
      <w:pPr>
        <w:pStyle w:val="29"/>
        <w:keepNext w:val="0"/>
        <w:keepLines w:val="0"/>
        <w:pageBreakBefore w:val="0"/>
        <w:kinsoku/>
        <w:wordWrap/>
        <w:topLinePunct w:val="0"/>
        <w:bidi w:val="0"/>
        <w:snapToGrid w:val="0"/>
        <w:spacing w:line="360" w:lineRule="auto"/>
        <w:jc w:val="both"/>
        <w:rPr>
          <w:rFonts w:hint="eastAsia" w:ascii="宋体" w:hAnsi="宋体" w:eastAsia="宋体" w:cs="宋体"/>
          <w:color w:val="auto"/>
          <w:sz w:val="22"/>
          <w:szCs w:val="22"/>
          <w:highlight w:val="none"/>
          <w:u w:val="single"/>
        </w:rPr>
      </w:pP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p>
    <w:p>
      <w:pPr>
        <w:keepNext w:val="0"/>
        <w:keepLines w:val="0"/>
        <w:pageBreakBefore w:val="0"/>
        <w:kinsoku/>
        <w:wordWrap/>
        <w:topLinePunct w:val="0"/>
        <w:bidi w:val="0"/>
        <w:spacing w:line="360" w:lineRule="auto"/>
        <w:ind w:firstLine="540"/>
        <w:rPr>
          <w:rFonts w:hint="eastAsia" w:ascii="宋体" w:hAnsi="宋体" w:eastAsia="宋体" w:cs="宋体"/>
          <w:color w:val="auto"/>
          <w:sz w:val="22"/>
          <w:szCs w:val="22"/>
          <w:highlight w:val="none"/>
        </w:rPr>
      </w:pPr>
    </w:p>
    <w:p>
      <w:pPr>
        <w:keepNext w:val="0"/>
        <w:keepLines w:val="0"/>
        <w:pageBreakBefore w:val="0"/>
        <w:kinsoku/>
        <w:wordWrap/>
        <w:topLinePunct w:val="0"/>
        <w:bidi w:val="0"/>
        <w:snapToGrid w:val="0"/>
        <w:spacing w:line="360" w:lineRule="auto"/>
        <w:ind w:firstLine="420"/>
        <w:rPr>
          <w:rFonts w:hint="eastAsia" w:ascii="宋体" w:hAnsi="宋体" w:eastAsia="宋体" w:cs="宋体"/>
          <w:color w:val="auto"/>
          <w:sz w:val="22"/>
          <w:szCs w:val="22"/>
          <w:highlight w:val="none"/>
          <w:lang w:eastAsia="zh-CN"/>
        </w:rPr>
      </w:pPr>
      <w:r>
        <w:rPr>
          <w:rFonts w:hint="eastAsia" w:ascii="宋体" w:hAnsi="宋体" w:cs="宋体"/>
          <w:color w:val="auto"/>
          <w:sz w:val="21"/>
          <w:szCs w:val="21"/>
          <w:highlight w:val="none"/>
          <w:lang w:eastAsia="zh-CN"/>
        </w:rPr>
        <w:t>温州市水务集团有限公司工程建设分公司</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在国内以公开招标方式进行采购，经评审确定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lang w:val="en-US" w:eastAsia="zh-CN"/>
        </w:rPr>
        <w:t>入围</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，双方根据《中华人民共和国民法典》和本项目的投标文件、采购文件及其报价中的承诺，经双方协商，同意签订本合同，共同遵守</w:t>
      </w:r>
      <w:r>
        <w:rPr>
          <w:rFonts w:hint="eastAsia" w:ascii="宋体" w:hAnsi="宋体" w:eastAsia="宋体" w:cs="宋体"/>
          <w:color w:val="auto"/>
          <w:sz w:val="21"/>
          <w:szCs w:val="21"/>
          <w:highlight w:val="none"/>
          <w:lang w:eastAsia="zh-CN"/>
        </w:rPr>
        <w:t>。</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p>
    <w:p>
      <w:pPr>
        <w:pStyle w:val="29"/>
        <w:keepNext w:val="0"/>
        <w:keepLines w:val="0"/>
        <w:pageBreakBefore w:val="0"/>
        <w:kinsoku/>
        <w:wordWrap/>
        <w:topLinePunct w:val="0"/>
        <w:bidi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第一条：采购商品清单及合同价格</w:t>
      </w:r>
    </w:p>
    <w:p>
      <w:pPr>
        <w:keepNext w:val="0"/>
        <w:keepLines w:val="0"/>
        <w:pageBreakBefore w:val="0"/>
        <w:kinsoku/>
        <w:wordWrap/>
        <w:topLinePunct w:val="0"/>
        <w:bidi w:val="0"/>
        <w:snapToGrid w:val="0"/>
        <w:spacing w:line="360" w:lineRule="auto"/>
        <w:ind w:firstLine="54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乙方保证提供如下内容的合格产品：</w:t>
      </w:r>
    </w:p>
    <w:tbl>
      <w:tblPr>
        <w:tblStyle w:val="51"/>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16"/>
        <w:gridCol w:w="1187"/>
        <w:gridCol w:w="890"/>
        <w:gridCol w:w="4315"/>
        <w:gridCol w:w="761"/>
        <w:gridCol w:w="76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产品名称</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 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w:t>
            </w:r>
          </w:p>
          <w:p>
            <w:pPr>
              <w:pStyle w:val="2"/>
              <w:keepNext w:val="0"/>
              <w:keepLines w:val="0"/>
              <w:pageBreakBefore w:val="0"/>
              <w:kinsoku/>
              <w:wordWrap/>
              <w:topLinePunct w:val="0"/>
              <w:bidi w:val="0"/>
              <w:spacing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井口尺寸（等级）</w:t>
            </w:r>
          </w:p>
        </w:tc>
        <w:tc>
          <w:tcPr>
            <w:tcW w:w="890"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数量（套）</w:t>
            </w:r>
          </w:p>
        </w:tc>
        <w:tc>
          <w:tcPr>
            <w:tcW w:w="4315" w:type="dxa"/>
            <w:tcBorders>
              <w:tl2br w:val="nil"/>
              <w:tr2bl w:val="nil"/>
            </w:tcBorders>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主要参数要求</w:t>
            </w:r>
          </w:p>
        </w:tc>
        <w:tc>
          <w:tcPr>
            <w:tcW w:w="761" w:type="dxa"/>
            <w:tcBorders>
              <w:tl2br w:val="nil"/>
              <w:tr2bl w:val="nil"/>
            </w:tcBorders>
            <w:vAlign w:val="center"/>
          </w:tcPr>
          <w:p>
            <w:pPr>
              <w:keepNext w:val="0"/>
              <w:keepLines w:val="0"/>
              <w:pageBreakBefore w:val="0"/>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井盖</w:t>
            </w:r>
            <w:r>
              <w:rPr>
                <w:rFonts w:hint="eastAsia" w:ascii="宋体" w:hAnsi="宋体" w:eastAsia="宋体" w:cs="宋体"/>
                <w:color w:val="auto"/>
                <w:kern w:val="0"/>
                <w:sz w:val="21"/>
                <w:szCs w:val="21"/>
                <w:highlight w:val="none"/>
              </w:rPr>
              <w:t>单价（元）</w:t>
            </w: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井座</w:t>
            </w:r>
            <w:r>
              <w:rPr>
                <w:rFonts w:hint="eastAsia" w:ascii="宋体" w:hAnsi="宋体" w:eastAsia="宋体" w:cs="宋体"/>
                <w:color w:val="auto"/>
                <w:kern w:val="0"/>
                <w:sz w:val="21"/>
                <w:szCs w:val="21"/>
                <w:highlight w:val="none"/>
              </w:rPr>
              <w:t>单价（元）</w:t>
            </w: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合计</w:t>
            </w:r>
          </w:p>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雨/污水圆井盖</w:t>
            </w:r>
          </w:p>
        </w:tc>
        <w:tc>
          <w:tcPr>
            <w:tcW w:w="1187" w:type="dxa"/>
            <w:tcBorders>
              <w:tl2br w:val="nil"/>
              <w:tr2bl w:val="nil"/>
            </w:tcBorders>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φ700，C250</w:t>
            </w:r>
          </w:p>
        </w:tc>
        <w:tc>
          <w:tcPr>
            <w:tcW w:w="890" w:type="dxa"/>
            <w:vMerge w:val="restart"/>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以甲方购货通知单为准</w:t>
            </w: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w:t>
            </w:r>
            <w:r>
              <w:rPr>
                <w:rFonts w:hint="eastAsia" w:ascii="宋体" w:hAnsi="宋体" w:cs="宋体"/>
                <w:color w:val="auto"/>
                <w:kern w:val="0"/>
                <w:sz w:val="22"/>
                <w:szCs w:val="22"/>
                <w:highlight w:val="none"/>
                <w:lang w:val="en-US" w:eastAsia="zh-CN"/>
              </w:rPr>
              <w:t>及《钢纤维混凝土水箅盖》JC-T_948-2005</w:t>
            </w:r>
            <w:r>
              <w:rPr>
                <w:rFonts w:hint="eastAsia" w:ascii="宋体" w:hAnsi="宋体" w:cs="宋体"/>
                <w:color w:val="auto"/>
                <w:kern w:val="0"/>
                <w:sz w:val="22"/>
                <w:szCs w:val="22"/>
                <w:highlight w:val="none"/>
                <w:lang w:eastAsia="zh-CN"/>
              </w:rPr>
              <w:t>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的以下要求：钢筋采用Φ12#，排列采用横9根竖9根的方式，钢筋各连接点均须满焊；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石子：1:1的碎石；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井盖搁置高度：7cm；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雨/污水圆井盖</w:t>
            </w:r>
          </w:p>
        </w:tc>
        <w:tc>
          <w:tcPr>
            <w:tcW w:w="1187" w:type="dxa"/>
            <w:tcBorders>
              <w:tl2br w:val="nil"/>
              <w:tr2bl w:val="nil"/>
            </w:tcBorders>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Φ600，C250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的以下要求：钢筋采用Φ12#，排列采用横8根竖8根的方式，钢筋各连接点均须满焊；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石子：1:1的碎石；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井盖搁置高度：6cm；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600*600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的以下要求：钢筋采用Φ12#，排列采用横7根竖7根的方式，钢筋各连接点均须满焊；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500*500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的以下要求：钢筋采用Φ12#，排列采用横5根竖5根的方式，钢筋各连接点均须满焊；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400*400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的以下要求：钢筋采用Φ12#，排列采用横4根竖4根的方式，钢筋各连接点均须满焊；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井盖搁置高：5.5cm；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750*450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的以下要求：钢筋采用Φ12#，排列采用横9根竖3根的方式，钢筋各连接点均须满焊；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400*600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的以下要求：钢筋采用Φ12#，排列采用横7根竖3根的方式，钢筋各连接点均须满焊；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9"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016"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187"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300*500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890" w:type="dxa"/>
            <w:vMerge w:val="continue"/>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c>
          <w:tcPr>
            <w:tcW w:w="4315" w:type="dxa"/>
            <w:tcBorders>
              <w:tl2br w:val="nil"/>
              <w:tr2bl w:val="nil"/>
            </w:tcBorders>
            <w:vAlign w:val="center"/>
          </w:tcPr>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的以下要求：钢筋采用Φ12#，排列采用横6根竖3根的方式，钢筋各连接点均须满焊；</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井盖搁置高：5.5cm；</w:t>
            </w:r>
          </w:p>
          <w:p>
            <w:pPr>
              <w:keepNext w:val="0"/>
              <w:keepLines w:val="0"/>
              <w:pageBreakBefore w:val="0"/>
              <w:widowControl/>
              <w:kinsoku/>
              <w:wordWrap/>
              <w:topLinePunct w:val="0"/>
              <w:bidi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2"/>
                <w:szCs w:val="22"/>
                <w:highlight w:val="none"/>
              </w:rPr>
              <w:t>水泥、砂子、石子比例符合C250的标准。　</w:t>
            </w:r>
          </w:p>
        </w:tc>
        <w:tc>
          <w:tcPr>
            <w:tcW w:w="761" w:type="dxa"/>
            <w:tcBorders>
              <w:tl2br w:val="nil"/>
              <w:tr2bl w:val="nil"/>
            </w:tcBorders>
            <w:vAlign w:val="center"/>
          </w:tcPr>
          <w:p>
            <w:pPr>
              <w:keepNext w:val="0"/>
              <w:keepLines w:val="0"/>
              <w:pageBreakBefore w:val="0"/>
              <w:widowControl/>
              <w:kinsoku/>
              <w:wordWrap/>
              <w:topLinePunct w:val="0"/>
              <w:bidi w:val="0"/>
              <w:spacing w:line="360" w:lineRule="auto"/>
              <w:jc w:val="center"/>
              <w:textAlignment w:val="center"/>
              <w:rPr>
                <w:rFonts w:hint="eastAsia" w:ascii="宋体" w:hAnsi="宋体" w:eastAsia="宋体" w:cs="宋体"/>
                <w:color w:val="auto"/>
                <w:kern w:val="0"/>
                <w:sz w:val="21"/>
                <w:szCs w:val="21"/>
                <w:highlight w:val="none"/>
                <w:lang w:val="en-US" w:eastAsia="zh-CN" w:bidi="ar"/>
              </w:rPr>
            </w:pPr>
          </w:p>
        </w:tc>
        <w:tc>
          <w:tcPr>
            <w:tcW w:w="767"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p>
        </w:tc>
        <w:tc>
          <w:tcPr>
            <w:tcW w:w="1002" w:type="dxa"/>
            <w:tcBorders>
              <w:tl2br w:val="nil"/>
              <w:tr2bl w:val="nil"/>
            </w:tcBorders>
            <w:vAlign w:val="center"/>
          </w:tcPr>
          <w:p>
            <w:pPr>
              <w:keepNext w:val="0"/>
              <w:keepLines w:val="0"/>
              <w:pageBreakBefore w:val="0"/>
              <w:widowControl/>
              <w:kinsoku/>
              <w:wordWrap/>
              <w:topLinePunct w:val="0"/>
              <w:bidi w:val="0"/>
              <w:spacing w:line="360" w:lineRule="auto"/>
              <w:jc w:val="center"/>
              <w:rPr>
                <w:rFonts w:hint="eastAsia" w:ascii="宋体" w:hAnsi="宋体" w:eastAsia="宋体" w:cs="宋体"/>
                <w:color w:val="auto"/>
                <w:kern w:val="0"/>
                <w:sz w:val="21"/>
                <w:szCs w:val="21"/>
                <w:highlight w:val="none"/>
              </w:rPr>
            </w:pPr>
          </w:p>
        </w:tc>
      </w:tr>
    </w:tbl>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shd w:val="clear" w:color="auto" w:fill="auto"/>
        </w:rPr>
      </w:pPr>
      <w:r>
        <w:rPr>
          <w:rStyle w:val="60"/>
          <w:rFonts w:hint="eastAsia" w:ascii="宋体" w:hAnsi="宋体" w:eastAsia="宋体" w:cs="宋体"/>
          <w:b/>
          <w:bCs/>
          <w:strike w:val="0"/>
          <w:dstrike w:val="0"/>
          <w:color w:val="auto"/>
          <w:sz w:val="21"/>
          <w:szCs w:val="21"/>
          <w:highlight w:val="none"/>
          <w:lang w:val="en-US" w:eastAsia="zh-CN"/>
        </w:rPr>
        <w:t>注：表格中的单价为项目合同价款结算依据。</w:t>
      </w:r>
      <w:r>
        <w:rPr>
          <w:rStyle w:val="60"/>
          <w:rFonts w:hint="eastAsia" w:ascii="宋体" w:hAnsi="宋体" w:eastAsia="宋体" w:cs="宋体"/>
          <w:b w:val="0"/>
          <w:bCs w:val="0"/>
          <w:strike w:val="0"/>
          <w:dstrike w:val="0"/>
          <w:color w:val="auto"/>
          <w:sz w:val="21"/>
          <w:szCs w:val="21"/>
          <w:highlight w:val="none"/>
          <w:u w:val="none"/>
        </w:rPr>
        <w:t>中标入围供应商与甲方签订框架</w:t>
      </w:r>
      <w:r>
        <w:rPr>
          <w:rStyle w:val="60"/>
          <w:rFonts w:hint="eastAsia" w:ascii="宋体" w:hAnsi="宋体" w:eastAsia="宋体" w:cs="宋体"/>
          <w:b w:val="0"/>
          <w:bCs w:val="0"/>
          <w:strike w:val="0"/>
          <w:dstrike w:val="0"/>
          <w:color w:val="auto"/>
          <w:sz w:val="21"/>
          <w:szCs w:val="21"/>
          <w:highlight w:val="none"/>
          <w:u w:val="none"/>
          <w:lang w:val="en-US" w:eastAsia="zh-CN"/>
        </w:rPr>
        <w:t>供货</w:t>
      </w:r>
      <w:r>
        <w:rPr>
          <w:rStyle w:val="60"/>
          <w:rFonts w:hint="eastAsia" w:ascii="宋体" w:hAnsi="宋体" w:eastAsia="宋体" w:cs="宋体"/>
          <w:b w:val="0"/>
          <w:bCs w:val="0"/>
          <w:strike w:val="0"/>
          <w:dstrike w:val="0"/>
          <w:color w:val="auto"/>
          <w:sz w:val="21"/>
          <w:szCs w:val="21"/>
          <w:highlight w:val="none"/>
          <w:u w:val="none"/>
        </w:rPr>
        <w:t>合同，</w:t>
      </w:r>
      <w:r>
        <w:rPr>
          <w:rFonts w:hint="eastAsia" w:ascii="宋体" w:hAnsi="宋体" w:eastAsia="宋体" w:cs="宋体"/>
          <w:color w:val="auto"/>
          <w:sz w:val="21"/>
          <w:szCs w:val="21"/>
          <w:highlight w:val="none"/>
          <w:shd w:val="clear" w:color="auto" w:fill="auto"/>
          <w:lang w:val="en-US" w:eastAsia="zh-CN"/>
        </w:rPr>
        <w:t>说明</w:t>
      </w:r>
      <w:r>
        <w:rPr>
          <w:rFonts w:hint="eastAsia" w:ascii="宋体" w:hAnsi="宋体" w:eastAsia="宋体" w:cs="宋体"/>
          <w:color w:val="auto"/>
          <w:sz w:val="21"/>
          <w:szCs w:val="21"/>
          <w:highlight w:val="none"/>
          <w:shd w:val="clear" w:color="auto" w:fill="auto"/>
        </w:rPr>
        <w:t>：</w:t>
      </w:r>
    </w:p>
    <w:p>
      <w:pPr>
        <w:keepNext w:val="0"/>
        <w:keepLines w:val="0"/>
        <w:pageBreakBefore w:val="0"/>
        <w:kinsoku/>
        <w:wordWrap/>
        <w:topLinePunct w:val="0"/>
        <w:bidi w:val="0"/>
        <w:snapToGrid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实行固定综合单价承包制，各类货物合同单价在规定的供货期限内保持不变。综合单价须是乙方在正确地完全履行合同义务后甲方应支付给乙方的货物价款，包括货物的采购、供货、包装费、仓储费、装箱费、运输及保险费、装卸费、检验验收费用、相关人员费用、技术支持费用（包含协助及指导安装）、售后服务、税金等全部费用。</w:t>
      </w:r>
    </w:p>
    <w:p>
      <w:pPr>
        <w:keepNext w:val="0"/>
        <w:keepLines w:val="0"/>
        <w:pageBreakBefore w:val="0"/>
        <w:kinsoku/>
        <w:wordWrap/>
        <w:topLinePunct w:val="0"/>
        <w:bidi w:val="0"/>
        <w:snapToGrid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认为完成本合同规定的承包内容所需发生的直接成本、间接成本、利润、税金、政策性文件规定的费用及合同包含的所有风险、责任等一切费用均在综合单价予以考虑，合同执行过程中，该单价固定不变，今后不得以任何理由追加或调整（包括不仅限于材料的上涨或下跌等因素）。</w:t>
      </w:r>
    </w:p>
    <w:p>
      <w:pPr>
        <w:keepNext w:val="0"/>
        <w:keepLines w:val="0"/>
        <w:pageBreakBefore w:val="0"/>
        <w:kinsoku/>
        <w:wordWrap/>
        <w:topLinePunct w:val="0"/>
        <w:bidi w:val="0"/>
        <w:spacing w:line="360" w:lineRule="auto"/>
        <w:ind w:firstLine="420" w:firstLineChars="200"/>
        <w:rPr>
          <w:rFonts w:hint="eastAsia" w:ascii="宋体" w:hAnsi="宋体" w:eastAsia="宋体" w:cs="宋体"/>
          <w:b w:val="0"/>
          <w:bCs w:val="0"/>
          <w:color w:val="auto"/>
          <w:sz w:val="21"/>
          <w:szCs w:val="21"/>
          <w:highlight w:val="none"/>
          <w:u w:val="none"/>
          <w:shd w:val="clear" w:color="auto" w:fill="auto"/>
          <w:lang w:eastAsia="zh-CN"/>
        </w:rPr>
      </w:pPr>
      <w:r>
        <w:rPr>
          <w:rFonts w:hint="eastAsia" w:ascii="宋体" w:hAnsi="宋体" w:eastAsia="宋体" w:cs="宋体"/>
          <w:b w:val="0"/>
          <w:bCs w:val="0"/>
          <w:color w:val="auto"/>
          <w:sz w:val="21"/>
          <w:szCs w:val="21"/>
          <w:highlight w:val="none"/>
          <w:u w:val="none"/>
          <w:lang w:val="en-US" w:eastAsia="zh-CN" w:bidi="ar"/>
        </w:rPr>
        <w:t>2.乙方按甲方各需求单位实际需要的数量分批次供货，具体数量和最终采购数量根据实际需要进行调节，并</w:t>
      </w:r>
      <w:r>
        <w:rPr>
          <w:rFonts w:hint="eastAsia" w:ascii="宋体" w:hAnsi="宋体" w:eastAsia="宋体" w:cs="宋体"/>
          <w:b w:val="0"/>
          <w:bCs w:val="0"/>
          <w:color w:val="auto"/>
          <w:sz w:val="21"/>
          <w:szCs w:val="21"/>
          <w:highlight w:val="none"/>
          <w:u w:val="none"/>
          <w:shd w:val="clear" w:color="auto" w:fill="auto"/>
          <w:lang w:eastAsia="zh-CN"/>
        </w:rPr>
        <w:t>以</w:t>
      </w:r>
      <w:r>
        <w:rPr>
          <w:rFonts w:hint="eastAsia" w:ascii="宋体" w:hAnsi="宋体" w:eastAsia="宋体" w:cs="宋体"/>
          <w:b w:val="0"/>
          <w:bCs w:val="0"/>
          <w:color w:val="auto"/>
          <w:sz w:val="21"/>
          <w:szCs w:val="21"/>
          <w:highlight w:val="none"/>
          <w:u w:val="none"/>
          <w:shd w:val="clear" w:color="auto" w:fill="auto"/>
          <w:lang w:val="en-US" w:eastAsia="zh-CN"/>
        </w:rPr>
        <w:t>甲方通知</w:t>
      </w:r>
      <w:r>
        <w:rPr>
          <w:rFonts w:hint="eastAsia" w:ascii="宋体" w:hAnsi="宋体" w:eastAsia="宋体" w:cs="宋体"/>
          <w:b w:val="0"/>
          <w:bCs w:val="0"/>
          <w:color w:val="auto"/>
          <w:sz w:val="21"/>
          <w:szCs w:val="21"/>
          <w:highlight w:val="none"/>
          <w:u w:val="none"/>
          <w:shd w:val="clear" w:color="auto" w:fill="auto"/>
          <w:lang w:eastAsia="zh-CN"/>
        </w:rPr>
        <w:t>为准。</w:t>
      </w:r>
    </w:p>
    <w:p>
      <w:pPr>
        <w:pStyle w:val="29"/>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shd w:val="clear" w:color="auto" w:fill="auto"/>
          <w:lang w:val="en-US" w:eastAsia="zh-CN"/>
        </w:rPr>
        <w:t>3.乙方</w:t>
      </w:r>
      <w:r>
        <w:rPr>
          <w:rFonts w:hint="eastAsia" w:ascii="宋体" w:hAnsi="宋体" w:eastAsia="宋体" w:cs="宋体"/>
          <w:b w:val="0"/>
          <w:bCs w:val="0"/>
          <w:color w:val="auto"/>
          <w:sz w:val="21"/>
          <w:szCs w:val="21"/>
          <w:highlight w:val="none"/>
          <w:shd w:val="clear" w:color="auto" w:fill="auto"/>
          <w:lang w:eastAsia="zh-CN"/>
        </w:rPr>
        <w:t>中标</w:t>
      </w:r>
      <w:r>
        <w:rPr>
          <w:rFonts w:hint="eastAsia" w:ascii="宋体" w:hAnsi="宋体" w:eastAsia="宋体" w:cs="宋体"/>
          <w:b w:val="0"/>
          <w:bCs w:val="0"/>
          <w:color w:val="auto"/>
          <w:sz w:val="21"/>
          <w:szCs w:val="21"/>
          <w:highlight w:val="none"/>
          <w:shd w:val="clear" w:color="auto" w:fill="auto"/>
          <w:lang w:val="en-US" w:eastAsia="zh-CN"/>
        </w:rPr>
        <w:t>货物如遇</w:t>
      </w:r>
      <w:r>
        <w:rPr>
          <w:rFonts w:hint="eastAsia" w:ascii="宋体" w:hAnsi="宋体" w:eastAsia="宋体" w:cs="宋体"/>
          <w:b w:val="0"/>
          <w:bCs w:val="0"/>
          <w:color w:val="auto"/>
          <w:sz w:val="21"/>
          <w:szCs w:val="21"/>
          <w:highlight w:val="none"/>
          <w:shd w:val="clear" w:color="auto" w:fill="auto"/>
          <w:lang w:eastAsia="zh-CN"/>
        </w:rPr>
        <w:t>停产或更新</w:t>
      </w:r>
      <w:r>
        <w:rPr>
          <w:rFonts w:hint="eastAsia" w:ascii="宋体" w:hAnsi="宋体" w:eastAsia="宋体" w:cs="宋体"/>
          <w:b w:val="0"/>
          <w:bCs w:val="0"/>
          <w:color w:val="auto"/>
          <w:sz w:val="21"/>
          <w:szCs w:val="21"/>
          <w:highlight w:val="none"/>
          <w:shd w:val="clear" w:color="auto" w:fill="auto"/>
          <w:lang w:val="en-US" w:eastAsia="zh-CN"/>
        </w:rPr>
        <w:t>的</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val="en-US" w:eastAsia="zh-CN"/>
        </w:rPr>
        <w:t>乙方</w:t>
      </w:r>
      <w:r>
        <w:rPr>
          <w:rFonts w:hint="eastAsia" w:ascii="宋体" w:hAnsi="宋体" w:eastAsia="宋体" w:cs="宋体"/>
          <w:b w:val="0"/>
          <w:bCs w:val="0"/>
          <w:color w:val="auto"/>
          <w:sz w:val="21"/>
          <w:szCs w:val="21"/>
          <w:highlight w:val="none"/>
          <w:shd w:val="clear" w:color="auto" w:fill="auto"/>
          <w:lang w:eastAsia="zh-CN"/>
        </w:rPr>
        <w:t>须提供不低于中标配置参数的</w:t>
      </w:r>
      <w:r>
        <w:rPr>
          <w:rFonts w:hint="eastAsia" w:ascii="宋体" w:hAnsi="宋体" w:eastAsia="宋体" w:cs="宋体"/>
          <w:b w:val="0"/>
          <w:bCs w:val="0"/>
          <w:color w:val="auto"/>
          <w:sz w:val="21"/>
          <w:szCs w:val="21"/>
          <w:highlight w:val="none"/>
          <w:shd w:val="clear" w:color="auto" w:fill="auto"/>
          <w:lang w:val="en-US" w:eastAsia="zh-CN"/>
        </w:rPr>
        <w:t>货物</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val="en-US" w:eastAsia="zh-CN"/>
        </w:rPr>
        <w:t>经甲方批准后方可供货；甲方也可以不予批准，且有权取消乙方的供货资格，要求乙方赔偿相关损失，并改由其他合格的中标入围人供货</w:t>
      </w:r>
      <w:r>
        <w:rPr>
          <w:rFonts w:hint="eastAsia" w:ascii="宋体" w:hAnsi="宋体" w:eastAsia="宋体" w:cs="宋体"/>
          <w:b w:val="0"/>
          <w:bCs w:val="0"/>
          <w:color w:val="auto"/>
          <w:sz w:val="21"/>
          <w:szCs w:val="21"/>
          <w:highlight w:val="none"/>
          <w:shd w:val="clear" w:color="auto" w:fill="auto"/>
          <w:lang w:eastAsia="zh-CN"/>
        </w:rPr>
        <w:t>。</w:t>
      </w:r>
    </w:p>
    <w:p>
      <w:pPr>
        <w:keepNext w:val="0"/>
        <w:keepLines w:val="0"/>
        <w:pageBreakBefore w:val="0"/>
        <w:kinsoku/>
        <w:wordWrap/>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标准和计量单位</w:t>
      </w:r>
    </w:p>
    <w:p>
      <w:pPr>
        <w:keepNext w:val="0"/>
        <w:keepLines w:val="0"/>
        <w:pageBreakBefore w:val="0"/>
        <w:kinsoku/>
        <w:wordWrap/>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（1）本合同项下交付的</w:t>
      </w:r>
      <w:r>
        <w:rPr>
          <w:rFonts w:hint="eastAsia" w:ascii="宋体" w:hAnsi="宋体" w:eastAsia="宋体" w:cs="宋体"/>
          <w:b w:val="0"/>
          <w:bCs/>
          <w:color w:val="auto"/>
          <w:sz w:val="21"/>
          <w:szCs w:val="21"/>
          <w:highlight w:val="none"/>
          <w:lang w:eastAsia="zh-CN"/>
        </w:rPr>
        <w:t>物资</w:t>
      </w:r>
      <w:r>
        <w:rPr>
          <w:rFonts w:hint="eastAsia" w:ascii="宋体" w:hAnsi="宋体" w:eastAsia="宋体" w:cs="宋体"/>
          <w:b w:val="0"/>
          <w:bCs/>
          <w:color w:val="auto"/>
          <w:sz w:val="21"/>
          <w:szCs w:val="21"/>
          <w:highlight w:val="none"/>
        </w:rPr>
        <w:t>应符合技术规格所述的标准。如在采购文件中无相应说明，则以国家颁布的最新版本标准或行业（部）标准或相应的国际标准执行，没有国家或行业（部）标准的则按企业标准执行。</w:t>
      </w:r>
    </w:p>
    <w:p>
      <w:pPr>
        <w:keepNext w:val="0"/>
        <w:keepLines w:val="0"/>
        <w:pageBreakBefore w:val="0"/>
        <w:kinsoku/>
        <w:wordWrap/>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（2）除非技术规格中另有规定，计量单位均采用中华人民共和国法定计量单位。</w:t>
      </w:r>
    </w:p>
    <w:p>
      <w:pPr>
        <w:keepNext w:val="0"/>
        <w:keepLines w:val="0"/>
        <w:pageBreakBefore w:val="0"/>
        <w:kinsoku/>
        <w:wordWrap/>
        <w:topLinePunct w:val="0"/>
        <w:bidi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专利权</w:t>
      </w:r>
    </w:p>
    <w:p>
      <w:pPr>
        <w:keepNext w:val="0"/>
        <w:keepLines w:val="0"/>
        <w:pageBreakBefore w:val="0"/>
        <w:kinsoku/>
        <w:wordWrap/>
        <w:topLinePunct w:val="0"/>
        <w:bidi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乙方应保证，甲方在使用该</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的任何一部分时，免受第三方提出的侵犯其专利权、商标权、著作权或其它知识产权的起诉。乙方应承担由此可能产生的一切法律责任和费用。</w:t>
      </w:r>
    </w:p>
    <w:p>
      <w:pPr>
        <w:keepNext w:val="0"/>
        <w:keepLines w:val="0"/>
        <w:pageBreakBefore w:val="0"/>
        <w:kinsoku/>
        <w:wordWrap/>
        <w:topLinePunct w:val="0"/>
        <w:bidi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合同期限</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本项目</w:t>
      </w:r>
      <w:r>
        <w:rPr>
          <w:rFonts w:hint="eastAsia" w:ascii="宋体" w:hAnsi="宋体" w:eastAsia="宋体" w:cs="宋体"/>
          <w:bCs/>
          <w:color w:val="auto"/>
          <w:sz w:val="21"/>
          <w:szCs w:val="21"/>
          <w:highlight w:val="none"/>
          <w:lang w:val="en-US" w:eastAsia="zh-CN"/>
        </w:rPr>
        <w:t>自</w:t>
      </w:r>
      <w:r>
        <w:rPr>
          <w:rFonts w:hint="eastAsia" w:ascii="宋体" w:hAnsi="宋体" w:eastAsia="宋体" w:cs="宋体"/>
          <w:bCs/>
          <w:color w:val="auto"/>
          <w:sz w:val="21"/>
          <w:szCs w:val="21"/>
          <w:highlight w:val="none"/>
          <w:u w:val="single"/>
          <w:lang w:val="en-US" w:eastAsia="zh-CN"/>
        </w:rPr>
        <w:t xml:space="preserve"> 2023 </w:t>
      </w:r>
      <w:r>
        <w:rPr>
          <w:rFonts w:hint="eastAsia" w:ascii="宋体" w:hAnsi="宋体" w:eastAsia="宋体" w:cs="宋体"/>
          <w:bCs/>
          <w:color w:val="auto"/>
          <w:sz w:val="21"/>
          <w:szCs w:val="21"/>
          <w:highlight w:val="none"/>
          <w:lang w:val="en-US" w:eastAsia="zh-CN"/>
        </w:rPr>
        <w:t>年</w:t>
      </w:r>
      <w:r>
        <w:rPr>
          <w:rFonts w:hint="eastAsia" w:ascii="宋体" w:hAnsi="宋体" w:eastAsia="宋体" w:cs="宋体"/>
          <w:bCs/>
          <w:color w:val="auto"/>
          <w:sz w:val="21"/>
          <w:szCs w:val="21"/>
          <w:highlight w:val="none"/>
          <w:u w:val="single"/>
          <w:lang w:val="en-US" w:eastAsia="zh-CN"/>
        </w:rPr>
        <w:t xml:space="preserve"> XX </w:t>
      </w:r>
      <w:r>
        <w:rPr>
          <w:rFonts w:hint="eastAsia" w:ascii="宋体" w:hAnsi="宋体" w:eastAsia="宋体" w:cs="宋体"/>
          <w:bCs/>
          <w:color w:val="auto"/>
          <w:sz w:val="21"/>
          <w:szCs w:val="21"/>
          <w:highlight w:val="none"/>
          <w:lang w:val="en-US" w:eastAsia="zh-CN"/>
        </w:rPr>
        <w:t>月</w:t>
      </w:r>
      <w:r>
        <w:rPr>
          <w:rFonts w:hint="eastAsia" w:ascii="宋体" w:hAnsi="宋体" w:eastAsia="宋体" w:cs="宋体"/>
          <w:bCs/>
          <w:color w:val="auto"/>
          <w:sz w:val="21"/>
          <w:szCs w:val="21"/>
          <w:highlight w:val="none"/>
          <w:u w:val="single"/>
          <w:lang w:val="en-US" w:eastAsia="zh-CN"/>
        </w:rPr>
        <w:t xml:space="preserve"> XX </w:t>
      </w:r>
      <w:r>
        <w:rPr>
          <w:rFonts w:hint="eastAsia" w:ascii="宋体" w:hAnsi="宋体" w:eastAsia="宋体" w:cs="宋体"/>
          <w:bCs/>
          <w:color w:val="auto"/>
          <w:sz w:val="21"/>
          <w:szCs w:val="21"/>
          <w:highlight w:val="none"/>
          <w:lang w:val="en-US" w:eastAsia="zh-CN"/>
        </w:rPr>
        <w:t>日起生效，服务期限1年或年采购额度到</w:t>
      </w:r>
      <w:r>
        <w:rPr>
          <w:rFonts w:hint="eastAsia" w:ascii="宋体" w:hAnsi="宋体" w:eastAsia="宋体" w:cs="宋体"/>
          <w:bCs/>
          <w:color w:val="auto"/>
          <w:sz w:val="21"/>
          <w:szCs w:val="21"/>
          <w:highlight w:val="none"/>
          <w:u w:val="single"/>
          <w:lang w:val="en-US" w:eastAsia="zh-CN"/>
        </w:rPr>
        <w:t xml:space="preserve">     万</w:t>
      </w:r>
      <w:r>
        <w:rPr>
          <w:rFonts w:hint="eastAsia" w:ascii="宋体" w:hAnsi="宋体" w:eastAsia="宋体" w:cs="宋体"/>
          <w:bCs/>
          <w:color w:val="auto"/>
          <w:sz w:val="21"/>
          <w:szCs w:val="21"/>
          <w:highlight w:val="none"/>
          <w:u w:val="none"/>
          <w:lang w:val="en-US" w:eastAsia="zh-CN"/>
        </w:rPr>
        <w:t>为止</w:t>
      </w:r>
      <w:r>
        <w:rPr>
          <w:rFonts w:hint="eastAsia" w:ascii="宋体" w:hAnsi="宋体" w:eastAsia="宋体" w:cs="宋体"/>
          <w:bCs/>
          <w:color w:val="auto"/>
          <w:sz w:val="21"/>
          <w:szCs w:val="21"/>
          <w:highlight w:val="none"/>
          <w:lang w:val="en-US" w:eastAsia="zh-CN"/>
        </w:rPr>
        <w:t>。</w:t>
      </w:r>
    </w:p>
    <w:p>
      <w:pPr>
        <w:pStyle w:val="29"/>
        <w:keepNext w:val="0"/>
        <w:keepLines w:val="0"/>
        <w:pageBreakBefore w:val="0"/>
        <w:kinsoku/>
        <w:wordWrap/>
        <w:topLinePunct w:val="0"/>
        <w:bidi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供</w:t>
      </w:r>
      <w:r>
        <w:rPr>
          <w:rFonts w:hint="eastAsia" w:ascii="宋体" w:hAnsi="宋体" w:eastAsia="宋体" w:cs="宋体"/>
          <w:b/>
          <w:bCs w:val="0"/>
          <w:color w:val="auto"/>
          <w:sz w:val="21"/>
          <w:szCs w:val="21"/>
          <w:highlight w:val="none"/>
        </w:rPr>
        <w:t>货</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合同签订后，甲方将通知乙方分批次供货。乙方需在收到通知后的</w:t>
      </w:r>
      <w:r>
        <w:rPr>
          <w:rFonts w:hint="eastAsia" w:ascii="宋体" w:hAnsi="宋体" w:eastAsia="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日历天</w:t>
      </w:r>
      <w:r>
        <w:rPr>
          <w:rFonts w:hint="eastAsia" w:ascii="宋体" w:hAnsi="宋体" w:eastAsia="宋体" w:cs="宋体"/>
          <w:b w:val="0"/>
          <w:bCs w:val="0"/>
          <w:color w:val="auto"/>
          <w:sz w:val="21"/>
          <w:szCs w:val="21"/>
          <w:highlight w:val="none"/>
          <w:u w:val="none"/>
        </w:rPr>
        <w:t>内</w:t>
      </w:r>
      <w:r>
        <w:rPr>
          <w:rFonts w:hint="eastAsia" w:ascii="宋体" w:hAnsi="宋体" w:eastAsia="宋体" w:cs="宋体"/>
          <w:color w:val="auto"/>
          <w:sz w:val="21"/>
          <w:szCs w:val="21"/>
          <w:highlight w:val="none"/>
        </w:rPr>
        <w:t>完成该批次</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的全部供货</w:t>
      </w:r>
      <w:r>
        <w:rPr>
          <w:rFonts w:hint="eastAsia" w:ascii="宋体" w:hAnsi="宋体" w:eastAsia="宋体" w:cs="宋体"/>
          <w:bCs/>
          <w:color w:val="auto"/>
          <w:sz w:val="21"/>
          <w:szCs w:val="21"/>
          <w:highlight w:val="none"/>
        </w:rPr>
        <w:t>。</w:t>
      </w:r>
    </w:p>
    <w:p>
      <w:pPr>
        <w:keepNext w:val="0"/>
        <w:keepLines w:val="0"/>
        <w:pageBreakBefore w:val="0"/>
        <w:kinsoku/>
        <w:wordWrap/>
        <w:topLinePunct w:val="0"/>
        <w:bidi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rPr>
        <w:t>方式</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（1）现场交货：乙方负责办理运输和保险，将</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运抵甲方指定的现场。有关运输和保险的一切费用由乙方承担。所有</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运抵现场的日期为交货日期。</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（2）在现场交货条件下，乙方</w:t>
      </w:r>
      <w:r>
        <w:rPr>
          <w:rFonts w:hint="eastAsia" w:ascii="宋体" w:hAnsi="宋体" w:eastAsia="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发运前，将要发运</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的合同号、</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名称、规格、数量、重量和</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的</w:t>
      </w:r>
      <w:r>
        <w:rPr>
          <w:rFonts w:hint="eastAsia" w:ascii="宋体" w:hAnsi="宋体" w:eastAsia="宋体" w:cs="宋体"/>
          <w:b w:val="0"/>
          <w:bCs/>
          <w:color w:val="auto"/>
          <w:sz w:val="21"/>
          <w:szCs w:val="21"/>
          <w:highlight w:val="none"/>
        </w:rPr>
        <w:t>卸车</w:t>
      </w:r>
      <w:r>
        <w:rPr>
          <w:rFonts w:hint="eastAsia" w:ascii="宋体" w:hAnsi="宋体" w:eastAsia="宋体" w:cs="宋体"/>
          <w:b w:val="0"/>
          <w:bCs/>
          <w:color w:val="auto"/>
          <w:sz w:val="21"/>
          <w:szCs w:val="21"/>
          <w:highlight w:val="none"/>
          <w:lang w:eastAsia="zh-CN"/>
        </w:rPr>
        <w:t>、</w:t>
      </w:r>
      <w:r>
        <w:rPr>
          <w:rFonts w:hint="eastAsia" w:ascii="宋体" w:hAnsi="宋体" w:eastAsia="宋体" w:cs="宋体"/>
          <w:bCs/>
          <w:color w:val="auto"/>
          <w:sz w:val="21"/>
          <w:szCs w:val="21"/>
          <w:highlight w:val="none"/>
        </w:rPr>
        <w:t>贮存的特殊要求以及运输工具名称以及启运日期，以</w:t>
      </w:r>
      <w:r>
        <w:rPr>
          <w:rFonts w:hint="eastAsia" w:ascii="宋体" w:hAnsi="宋体" w:eastAsia="宋体" w:cs="宋体"/>
          <w:bCs/>
          <w:color w:val="auto"/>
          <w:sz w:val="21"/>
          <w:szCs w:val="21"/>
          <w:highlight w:val="none"/>
          <w:lang w:val="en-US" w:eastAsia="zh-CN"/>
        </w:rPr>
        <w:t>书面</w:t>
      </w:r>
      <w:r>
        <w:rPr>
          <w:rFonts w:hint="eastAsia" w:ascii="宋体" w:hAnsi="宋体" w:eastAsia="宋体" w:cs="宋体"/>
          <w:bCs/>
          <w:color w:val="auto"/>
          <w:sz w:val="21"/>
          <w:szCs w:val="21"/>
          <w:highlight w:val="none"/>
        </w:rPr>
        <w:t>形式通知甲方。</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（3）如因乙方延误将上述内容用</w:t>
      </w:r>
      <w:r>
        <w:rPr>
          <w:rFonts w:hint="eastAsia" w:ascii="宋体" w:hAnsi="宋体" w:eastAsia="宋体" w:cs="宋体"/>
          <w:bCs/>
          <w:color w:val="auto"/>
          <w:sz w:val="21"/>
          <w:szCs w:val="21"/>
          <w:highlight w:val="none"/>
          <w:lang w:val="en-US" w:eastAsia="zh-CN"/>
        </w:rPr>
        <w:t>书面</w:t>
      </w:r>
      <w:r>
        <w:rPr>
          <w:rFonts w:hint="eastAsia" w:ascii="宋体" w:hAnsi="宋体" w:eastAsia="宋体" w:cs="宋体"/>
          <w:bCs/>
          <w:color w:val="auto"/>
          <w:sz w:val="21"/>
          <w:szCs w:val="21"/>
          <w:highlight w:val="none"/>
        </w:rPr>
        <w:t>形式通知甲方，由此引起的一切损失应由乙方承担。</w:t>
      </w:r>
    </w:p>
    <w:p>
      <w:pPr>
        <w:keepNext w:val="0"/>
        <w:keepLines w:val="0"/>
        <w:pageBreakBefore w:val="0"/>
        <w:kinsoku/>
        <w:wordWrap/>
        <w:topLinePunct w:val="0"/>
        <w:bidi w:val="0"/>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包装要求</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（1）除合同另有规定外，乙方应提供</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运至合同规定的最终目的地所需要的包装，以防止</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在转运中损坏或变质。这类包装应采取防潮、防晒、防锈防腐蚀、防震动及防止其他损坏的必要保护措施，从而保护</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能够经受多次搬运、装卸储存等并充分考虑到运输途中的各种复杂情况（例如恶劣天气）和温州地区气候特点以及露天存放问题。乙方应承担由于包装或防护措施不妥而引起</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锈蚀、损坏和丢失的任何损失的责任或费用。</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（2）每一</w:t>
      </w:r>
      <w:r>
        <w:rPr>
          <w:rFonts w:hint="eastAsia" w:ascii="宋体" w:hAnsi="宋体" w:eastAsia="宋体" w:cs="宋体"/>
          <w:bCs/>
          <w:color w:val="auto"/>
          <w:sz w:val="21"/>
          <w:szCs w:val="21"/>
          <w:highlight w:val="none"/>
          <w:lang w:val="en-US" w:eastAsia="zh-CN"/>
        </w:rPr>
        <w:t>批次物资</w:t>
      </w:r>
      <w:r>
        <w:rPr>
          <w:rFonts w:hint="eastAsia" w:ascii="宋体" w:hAnsi="宋体" w:eastAsia="宋体" w:cs="宋体"/>
          <w:bCs/>
          <w:color w:val="auto"/>
          <w:sz w:val="21"/>
          <w:szCs w:val="21"/>
          <w:highlight w:val="none"/>
        </w:rPr>
        <w:t>必须附有装</w:t>
      </w:r>
      <w:r>
        <w:rPr>
          <w:rFonts w:hint="eastAsia" w:ascii="宋体" w:hAnsi="宋体" w:eastAsia="宋体" w:cs="宋体"/>
          <w:bCs/>
          <w:color w:val="auto"/>
          <w:sz w:val="21"/>
          <w:szCs w:val="21"/>
          <w:highlight w:val="none"/>
          <w:lang w:val="en-US" w:eastAsia="zh-CN"/>
        </w:rPr>
        <w:t>车</w:t>
      </w:r>
      <w:r>
        <w:rPr>
          <w:rFonts w:hint="eastAsia" w:ascii="宋体" w:hAnsi="宋体" w:eastAsia="宋体" w:cs="宋体"/>
          <w:bCs/>
          <w:color w:val="auto"/>
          <w:sz w:val="21"/>
          <w:szCs w:val="21"/>
          <w:highlight w:val="none"/>
        </w:rPr>
        <w:t>清单、合格证和齐全的技术资料等。</w:t>
      </w:r>
    </w:p>
    <w:p>
      <w:pPr>
        <w:keepNext w:val="0"/>
        <w:keepLines w:val="0"/>
        <w:pageBreakBefore w:val="0"/>
        <w:kinsoku/>
        <w:wordWrap/>
        <w:topLinePunct w:val="0"/>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（3）乙方应在每一</w:t>
      </w:r>
      <w:r>
        <w:rPr>
          <w:rFonts w:hint="eastAsia" w:ascii="宋体" w:hAnsi="宋体" w:eastAsia="宋体" w:cs="宋体"/>
          <w:bCs/>
          <w:color w:val="auto"/>
          <w:sz w:val="21"/>
          <w:szCs w:val="21"/>
          <w:highlight w:val="none"/>
          <w:lang w:val="en-US" w:eastAsia="zh-CN"/>
        </w:rPr>
        <w:t>批次物资</w:t>
      </w:r>
      <w:r>
        <w:rPr>
          <w:rFonts w:hint="eastAsia" w:ascii="宋体" w:hAnsi="宋体" w:eastAsia="宋体" w:cs="宋体"/>
          <w:bCs/>
          <w:color w:val="auto"/>
          <w:sz w:val="21"/>
          <w:szCs w:val="21"/>
          <w:highlight w:val="none"/>
        </w:rPr>
        <w:t>的四侧用不褪色的油漆以醒目的中文字样标注“收货人”“</w:t>
      </w:r>
      <w:r>
        <w:rPr>
          <w:rFonts w:hint="eastAsia" w:ascii="宋体" w:hAnsi="宋体" w:eastAsia="宋体" w:cs="宋体"/>
          <w:bCs/>
          <w:color w:val="auto"/>
          <w:sz w:val="21"/>
          <w:szCs w:val="21"/>
          <w:highlight w:val="none"/>
          <w:lang w:eastAsia="zh-CN"/>
        </w:rPr>
        <w:t>物资</w:t>
      </w:r>
      <w:r>
        <w:rPr>
          <w:rFonts w:hint="eastAsia" w:ascii="宋体" w:hAnsi="宋体" w:eastAsia="宋体" w:cs="宋体"/>
          <w:bCs/>
          <w:color w:val="auto"/>
          <w:sz w:val="21"/>
          <w:szCs w:val="21"/>
          <w:highlight w:val="none"/>
        </w:rPr>
        <w:t>名称”“小心轻放”、“防潮”、等字样和其他国际贸易中使用的适当标志。</w:t>
      </w:r>
    </w:p>
    <w:p>
      <w:pPr>
        <w:pStyle w:val="29"/>
        <w:keepNext w:val="0"/>
        <w:keepLines w:val="0"/>
        <w:pageBreakBefore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第五条、</w:t>
      </w:r>
      <w:r>
        <w:rPr>
          <w:rFonts w:hint="eastAsia" w:ascii="宋体" w:hAnsi="宋体" w:eastAsia="宋体" w:cs="宋体"/>
          <w:b/>
          <w:bCs/>
          <w:color w:val="auto"/>
          <w:sz w:val="21"/>
          <w:szCs w:val="21"/>
          <w:highlight w:val="none"/>
        </w:rPr>
        <w:t>质量标准和要求</w:t>
      </w:r>
    </w:p>
    <w:p>
      <w:pPr>
        <w:pStyle w:val="29"/>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应保证是企业原厂生产的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而不是其他地方生产的）、全新的、未使用过的，是原包装未拆封的，是用一流的工艺和最佳材料制造而成的，并完全符合合同规定的质量、规格和性能要求，符合国家技术规范和质量标准的合格产品。乙方应保证所提供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经正常运行和保养，在其使用寿命期内应具有使甲方满意的性能，并且确保一次性通过各项检验和测试。在</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质量保证期内，乙方应对由于设计、工艺、材料和配套件的缺陷所产生的任何不足或故障负责。</w:t>
      </w:r>
    </w:p>
    <w:p>
      <w:pPr>
        <w:pStyle w:val="29"/>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根据甲方按检验标准检验的结果或当地质检部门检验的结果，或者在质量保证期内，</w:t>
      </w:r>
      <w:r>
        <w:rPr>
          <w:rFonts w:hint="eastAsia" w:ascii="宋体" w:hAnsi="宋体" w:eastAsia="宋体" w:cs="宋体"/>
          <w:color w:val="auto"/>
          <w:sz w:val="21"/>
          <w:szCs w:val="21"/>
          <w:highlight w:val="none"/>
          <w:lang w:val="en-US" w:eastAsia="zh-CN"/>
        </w:rPr>
        <w:t>因</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的数量、质量或规格与合同不符，或证实</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是有缺陷的，包括潜在的缺陷或使用不符合要求的材料等，甲方应尽快以书面形式通知乙方，提出索赔。乙方在收到通知后，应在规定期限内，补足、更换。</w:t>
      </w:r>
    </w:p>
    <w:p>
      <w:pPr>
        <w:pStyle w:val="29"/>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u w:val="single"/>
          <w:lang w:val="en-US" w:eastAsia="zh-CN"/>
        </w:rPr>
        <w:t>满足国家标准《检查井盖》GB/T 23858-2009、《钢纤维混凝土检查井盖》GB 26537-2011及《钢纤维混凝土水箅盖》JC-T_948-2005的要求相关技术要求，承载能力选用C250及以上类型。</w:t>
      </w:r>
    </w:p>
    <w:p>
      <w:pPr>
        <w:pStyle w:val="30"/>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4、井盖上需标明“温州公用”等字样。</w:t>
      </w:r>
    </w:p>
    <w:p>
      <w:pPr>
        <w:pStyle w:val="30"/>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5、由于所供材料质量问题产生的所有费用均有乙方负责。</w:t>
      </w:r>
    </w:p>
    <w:p>
      <w:pPr>
        <w:keepNext w:val="0"/>
        <w:keepLines w:val="0"/>
        <w:pageBreakBefore w:val="0"/>
        <w:kinsoku/>
        <w:wordWrap/>
        <w:topLinePunct w:val="0"/>
        <w:bidi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sz w:val="21"/>
          <w:szCs w:val="21"/>
          <w:highlight w:val="none"/>
        </w:rPr>
        <w:t>验收</w:t>
      </w:r>
      <w:r>
        <w:rPr>
          <w:rFonts w:hint="eastAsia" w:ascii="宋体" w:hAnsi="宋体" w:eastAsia="宋体" w:cs="宋体"/>
          <w:b/>
          <w:bCs w:val="0"/>
          <w:color w:val="auto"/>
          <w:sz w:val="21"/>
          <w:szCs w:val="21"/>
          <w:highlight w:val="none"/>
          <w:lang w:val="en-US" w:eastAsia="zh-CN"/>
        </w:rPr>
        <w:t>及抽检</w:t>
      </w:r>
    </w:p>
    <w:p>
      <w:pPr>
        <w:pStyle w:val="2"/>
        <w:keepNext w:val="0"/>
        <w:keepLines w:val="0"/>
        <w:pageBreakBefore w:val="0"/>
        <w:kinsoku/>
        <w:wordWrap/>
        <w:topLinePunct w:val="0"/>
        <w:bidi w:val="0"/>
        <w:spacing w:line="360" w:lineRule="auto"/>
        <w:ind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产品的</w:t>
      </w:r>
      <w:r>
        <w:rPr>
          <w:rFonts w:hint="eastAsia" w:ascii="宋体" w:hAnsi="宋体" w:eastAsia="宋体" w:cs="宋体"/>
          <w:b/>
          <w:bCs/>
          <w:color w:val="auto"/>
          <w:sz w:val="21"/>
          <w:szCs w:val="21"/>
          <w:highlight w:val="none"/>
          <w:lang w:val="en-US" w:eastAsia="zh-CN"/>
        </w:rPr>
        <w:t>验收</w:t>
      </w:r>
    </w:p>
    <w:p>
      <w:pPr>
        <w:keepNext w:val="0"/>
        <w:keepLines w:val="0"/>
        <w:pageBreakBefore w:val="0"/>
        <w:kinsoku/>
        <w:wordWrap/>
        <w:topLinePunct w:val="0"/>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（1）本项目物资由乙方送货至指定地点后，由甲方组织验收工作，验收标准按乙方投标文件、乙方承诺、合同条款、物资的技术规格要求和质量标准以及合同补充条款（如有）中的相关要求执行。</w:t>
      </w:r>
      <w:r>
        <w:rPr>
          <w:rFonts w:hint="eastAsia" w:ascii="宋体" w:hAnsi="宋体" w:cs="宋体"/>
          <w:color w:val="auto"/>
          <w:kern w:val="0"/>
          <w:sz w:val="21"/>
          <w:szCs w:val="21"/>
          <w:highlight w:val="none"/>
          <w:lang w:val="en-US" w:eastAsia="zh-CN" w:bidi="ar-SA"/>
        </w:rPr>
        <w:t>乙方提供第三方CMA产品质量报告。</w:t>
      </w:r>
    </w:p>
    <w:p>
      <w:pPr>
        <w:pStyle w:val="2"/>
        <w:keepNext w:val="0"/>
        <w:keepLines w:val="0"/>
        <w:pageBreakBefore w:val="0"/>
        <w:kinsoku/>
        <w:wordWrap/>
        <w:topLinePunct w:val="0"/>
        <w:bidi w:val="0"/>
        <w:spacing w:line="360" w:lineRule="auto"/>
        <w:ind w:left="0" w:leftChars="0" w:firstLine="420" w:firstLineChars="200"/>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SA"/>
        </w:rPr>
        <w:t>（2）在验收过程中发现数量不足或有质量、技术等问题，乙方应负责按照甲方的要求采取补足、更换或退货等处理措施，并承担由此发生的一切费用和损失。</w:t>
      </w:r>
    </w:p>
    <w:p>
      <w:pPr>
        <w:pStyle w:val="2"/>
        <w:keepNext w:val="0"/>
        <w:keepLines w:val="0"/>
        <w:pageBreakBefore w:val="0"/>
        <w:kinsoku/>
        <w:wordWrap/>
        <w:topLinePunct w:val="0"/>
        <w:bidi w:val="0"/>
        <w:spacing w:line="360" w:lineRule="auto"/>
        <w:ind w:left="0" w:leftChars="0" w:firstLine="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2、产品的抽检</w:t>
      </w:r>
    </w:p>
    <w:p>
      <w:pPr>
        <w:pStyle w:val="2"/>
        <w:keepNext w:val="0"/>
        <w:keepLines w:val="0"/>
        <w:pageBreakBefore w:val="0"/>
        <w:kinsoku/>
        <w:wordWrap/>
        <w:topLinePunct w:val="0"/>
        <w:bidi w:val="0"/>
        <w:spacing w:line="360" w:lineRule="auto"/>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甲方有权对到货产品进行不定期抽检，产品的抽检由甲方委托具有检测资质的第三方进行，检测项目由甲方指定，抽检费用由甲方承担，若抽检不合格</w:t>
      </w:r>
      <w:r>
        <w:rPr>
          <w:rFonts w:hint="eastAsia" w:ascii="宋体" w:hAnsi="宋体" w:eastAsia="宋体" w:cs="宋体"/>
          <w:color w:val="auto"/>
          <w:kern w:val="0"/>
          <w:sz w:val="21"/>
          <w:szCs w:val="21"/>
          <w:highlight w:val="none"/>
          <w:lang w:val="en-US" w:eastAsia="zh-Hans" w:bidi="ar-SA"/>
        </w:rPr>
        <w:t>的</w:t>
      </w:r>
      <w:r>
        <w:rPr>
          <w:rFonts w:hint="eastAsia" w:ascii="宋体" w:hAnsi="宋体" w:eastAsia="宋体" w:cs="宋体"/>
          <w:color w:val="auto"/>
          <w:kern w:val="0"/>
          <w:sz w:val="21"/>
          <w:szCs w:val="21"/>
          <w:highlight w:val="none"/>
          <w:lang w:val="en-US" w:eastAsia="zh-CN" w:bidi="ar-SA"/>
        </w:rPr>
        <w:t>则一切费用由供应方承担。</w:t>
      </w:r>
    </w:p>
    <w:p>
      <w:pPr>
        <w:pStyle w:val="29"/>
        <w:keepNext w:val="0"/>
        <w:keepLines w:val="0"/>
        <w:pageBreakBefore w:val="0"/>
        <w:kinsoku/>
        <w:wordWrap/>
        <w:topLinePunct w:val="0"/>
        <w:bidi w:val="0"/>
        <w:snapToGrid w:val="0"/>
        <w:spacing w:before="120" w:beforeLines="50" w:after="120" w:afterLines="5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不合格处理办法</w:t>
      </w:r>
    </w:p>
    <w:p>
      <w:pPr>
        <w:keepNext w:val="0"/>
        <w:keepLines w:val="0"/>
        <w:pageBreakBefore w:val="0"/>
        <w:tabs>
          <w:tab w:val="left" w:pos="312"/>
        </w:tabs>
        <w:kinsoku/>
        <w:wordWrap/>
        <w:topLinePunct w:val="0"/>
        <w:bidi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（1）在任一批次的验收或抽检中第一次发现产品不合格，甲方将扩大取样范围，进行第二次复检。若复检合格，则该批次合格；若复检不合格，则</w:t>
      </w:r>
      <w:r>
        <w:rPr>
          <w:rFonts w:hint="eastAsia" w:ascii="宋体" w:hAnsi="宋体" w:eastAsia="宋体" w:cs="宋体"/>
          <w:color w:val="auto"/>
          <w:kern w:val="0"/>
          <w:sz w:val="21"/>
          <w:szCs w:val="21"/>
          <w:highlight w:val="none"/>
          <w:lang w:val="en-US" w:eastAsia="zh-Hans" w:bidi="ar-SA"/>
        </w:rPr>
        <w:t>视为</w:t>
      </w:r>
      <w:r>
        <w:rPr>
          <w:rFonts w:hint="eastAsia" w:ascii="宋体" w:hAnsi="宋体" w:eastAsia="宋体" w:cs="宋体"/>
          <w:color w:val="auto"/>
          <w:kern w:val="0"/>
          <w:sz w:val="21"/>
          <w:szCs w:val="21"/>
          <w:highlight w:val="none"/>
          <w:lang w:val="en-US" w:eastAsia="zh-CN" w:bidi="ar-SA"/>
        </w:rPr>
        <w:t>该批次不合格。甲方可将复检不合格批次的产品进行退货处理，所产生的相关费用（包括但不限于该批次及复检批次的送检损耗费、检测费、运输费、搬运费以及</w:t>
      </w:r>
      <w:r>
        <w:rPr>
          <w:rFonts w:hint="eastAsia" w:ascii="宋体" w:hAnsi="宋体" w:eastAsia="宋体" w:cs="宋体"/>
          <w:color w:val="auto"/>
          <w:kern w:val="0"/>
          <w:sz w:val="21"/>
          <w:szCs w:val="21"/>
          <w:highlight w:val="none"/>
          <w:u w:val="single"/>
          <w:lang w:val="en-US" w:eastAsia="zh-CN" w:bidi="ar-SA"/>
        </w:rPr>
        <w:t>工程返工造成的损失</w:t>
      </w:r>
      <w:r>
        <w:rPr>
          <w:rFonts w:hint="eastAsia" w:ascii="宋体" w:hAnsi="宋体" w:eastAsia="宋体" w:cs="宋体"/>
          <w:color w:val="auto"/>
          <w:kern w:val="0"/>
          <w:sz w:val="21"/>
          <w:szCs w:val="21"/>
          <w:highlight w:val="none"/>
          <w:lang w:val="en-US" w:eastAsia="zh-CN" w:bidi="ar-SA"/>
        </w:rPr>
        <w:t>等）全部由乙方承担（从未支付货款中扣除）。</w:t>
      </w:r>
    </w:p>
    <w:p>
      <w:pPr>
        <w:keepNext w:val="0"/>
        <w:keepLines w:val="0"/>
        <w:pageBreakBefore w:val="0"/>
        <w:tabs>
          <w:tab w:val="left" w:pos="312"/>
        </w:tabs>
        <w:kinsoku/>
        <w:wordWrap/>
        <w:topLinePunct w:val="0"/>
        <w:bidi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（2）在任一批次的验收或抽检中第二次发现产品不合格，甲方可直接将该批次产品退货，所产生的相关费用（包括但不限于该批次及复检批次的送检损耗费、检测费、运输费、搬运费以及</w:t>
      </w:r>
      <w:r>
        <w:rPr>
          <w:rFonts w:hint="eastAsia" w:ascii="宋体" w:hAnsi="宋体" w:eastAsia="宋体" w:cs="宋体"/>
          <w:color w:val="auto"/>
          <w:kern w:val="0"/>
          <w:sz w:val="21"/>
          <w:szCs w:val="21"/>
          <w:highlight w:val="none"/>
          <w:u w:val="single"/>
          <w:lang w:val="en-US" w:eastAsia="zh-CN" w:bidi="ar-SA"/>
        </w:rPr>
        <w:t>工程返工造成的损失</w:t>
      </w:r>
      <w:r>
        <w:rPr>
          <w:rFonts w:hint="eastAsia" w:ascii="宋体" w:hAnsi="宋体" w:eastAsia="宋体" w:cs="宋体"/>
          <w:color w:val="auto"/>
          <w:kern w:val="0"/>
          <w:sz w:val="21"/>
          <w:szCs w:val="21"/>
          <w:highlight w:val="none"/>
          <w:lang w:val="en-US" w:eastAsia="zh-CN" w:bidi="ar-SA"/>
        </w:rPr>
        <w:t>等）全部由乙方承担，同时将扣除该批次供货金额的10%作为</w:t>
      </w:r>
      <w:r>
        <w:rPr>
          <w:rFonts w:hint="eastAsia" w:ascii="宋体" w:hAnsi="宋体" w:eastAsia="宋体" w:cs="宋体"/>
          <w:color w:val="auto"/>
          <w:kern w:val="0"/>
          <w:sz w:val="21"/>
          <w:szCs w:val="21"/>
          <w:highlight w:val="none"/>
          <w:lang w:val="en-US" w:eastAsia="zh-Hans" w:bidi="ar-SA"/>
        </w:rPr>
        <w:t>乙方的违约金</w:t>
      </w:r>
      <w:r>
        <w:rPr>
          <w:rFonts w:hint="eastAsia" w:ascii="宋体" w:hAnsi="宋体" w:eastAsia="宋体" w:cs="宋体"/>
          <w:color w:val="auto"/>
          <w:kern w:val="0"/>
          <w:sz w:val="21"/>
          <w:szCs w:val="21"/>
          <w:highlight w:val="none"/>
          <w:lang w:val="en-US" w:eastAsia="zh-CN" w:bidi="ar-SA"/>
        </w:rPr>
        <w:t>（从未支付货款中扣除）。</w:t>
      </w:r>
    </w:p>
    <w:p>
      <w:pPr>
        <w:keepNext w:val="0"/>
        <w:keepLines w:val="0"/>
        <w:pageBreakBefore w:val="0"/>
        <w:tabs>
          <w:tab w:val="left" w:pos="312"/>
        </w:tabs>
        <w:kinsoku/>
        <w:wordWrap/>
        <w:topLinePunct w:val="0"/>
        <w:bidi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（3）如</w:t>
      </w:r>
      <w:r>
        <w:rPr>
          <w:rFonts w:hint="eastAsia" w:ascii="宋体" w:hAnsi="宋体" w:eastAsia="宋体" w:cs="宋体"/>
          <w:color w:val="auto"/>
          <w:kern w:val="0"/>
          <w:sz w:val="21"/>
          <w:szCs w:val="21"/>
          <w:highlight w:val="none"/>
          <w:lang w:val="en-US" w:eastAsia="zh-Hans" w:bidi="ar-SA"/>
        </w:rPr>
        <w:t>发现</w:t>
      </w:r>
      <w:r>
        <w:rPr>
          <w:rFonts w:hint="eastAsia" w:ascii="宋体" w:hAnsi="宋体" w:eastAsia="宋体" w:cs="宋体"/>
          <w:color w:val="auto"/>
          <w:kern w:val="0"/>
          <w:sz w:val="21"/>
          <w:szCs w:val="21"/>
          <w:highlight w:val="none"/>
          <w:lang w:val="en-US" w:eastAsia="zh-CN" w:bidi="ar-SA"/>
        </w:rPr>
        <w:t>第三次产品</w:t>
      </w:r>
      <w:r>
        <w:rPr>
          <w:rFonts w:hint="eastAsia" w:ascii="宋体" w:hAnsi="宋体" w:eastAsia="宋体" w:cs="宋体"/>
          <w:color w:val="auto"/>
          <w:kern w:val="0"/>
          <w:sz w:val="21"/>
          <w:szCs w:val="21"/>
          <w:highlight w:val="none"/>
          <w:lang w:val="en-US" w:eastAsia="zh-Hans" w:bidi="ar-SA"/>
        </w:rPr>
        <w:t>检测</w:t>
      </w:r>
      <w:r>
        <w:rPr>
          <w:rFonts w:hint="eastAsia" w:ascii="宋体" w:hAnsi="宋体" w:eastAsia="宋体" w:cs="宋体"/>
          <w:color w:val="auto"/>
          <w:kern w:val="0"/>
          <w:sz w:val="21"/>
          <w:szCs w:val="21"/>
          <w:highlight w:val="none"/>
          <w:lang w:val="en-US" w:eastAsia="zh-CN" w:bidi="ar-SA"/>
        </w:rPr>
        <w:t>不合格的或乙方无法继续履行合同的，甲方将终止合同，同时保留进一步索赔的权力。</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质保要求</w:t>
      </w:r>
    </w:p>
    <w:p>
      <w:pPr>
        <w:keepNext w:val="0"/>
        <w:keepLines w:val="0"/>
        <w:pageBreakBefore w:val="0"/>
        <w:kinsoku/>
        <w:wordWrap/>
        <w:topLinePunct w:val="0"/>
        <w:bidi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本项目质保期为最后一批</w:t>
      </w:r>
      <w:r>
        <w:rPr>
          <w:rFonts w:hint="eastAsia" w:ascii="宋体" w:hAnsi="宋体" w:eastAsia="宋体" w:cs="宋体"/>
          <w:b/>
          <w:bCs/>
          <w:color w:val="auto"/>
          <w:sz w:val="21"/>
          <w:szCs w:val="21"/>
          <w:highlight w:val="none"/>
          <w:lang w:eastAsia="zh-CN"/>
        </w:rPr>
        <w:t>物资</w:t>
      </w:r>
      <w:r>
        <w:rPr>
          <w:rFonts w:hint="eastAsia" w:ascii="宋体" w:hAnsi="宋体" w:eastAsia="宋体" w:cs="宋体"/>
          <w:b/>
          <w:bCs/>
          <w:color w:val="auto"/>
          <w:sz w:val="21"/>
          <w:szCs w:val="21"/>
          <w:highlight w:val="none"/>
        </w:rPr>
        <w:t>交付验收合格之日起不少于</w:t>
      </w:r>
      <w:r>
        <w:rPr>
          <w:rFonts w:hint="eastAsia" w:ascii="宋体" w:hAnsi="宋体" w:eastAsia="宋体" w:cs="宋体"/>
          <w:b/>
          <w:bCs/>
          <w:color w:val="auto"/>
          <w:sz w:val="21"/>
          <w:szCs w:val="21"/>
          <w:highlight w:val="none"/>
          <w:u w:val="single"/>
        </w:rPr>
        <w:t>12</w:t>
      </w:r>
      <w:r>
        <w:rPr>
          <w:rFonts w:hint="eastAsia" w:ascii="宋体" w:hAnsi="宋体" w:eastAsia="宋体" w:cs="宋体"/>
          <w:b/>
          <w:bCs/>
          <w:color w:val="auto"/>
          <w:sz w:val="21"/>
          <w:szCs w:val="21"/>
          <w:highlight w:val="none"/>
        </w:rPr>
        <w:t>个月。</w:t>
      </w:r>
    </w:p>
    <w:p>
      <w:pPr>
        <w:keepNext w:val="0"/>
        <w:keepLines w:val="0"/>
        <w:pageBreakBefore w:val="0"/>
        <w:kinsoku/>
        <w:wordWrap/>
        <w:topLinePunct w:val="0"/>
        <w:bidi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在质量保证期内，如果</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的质量或规格与合同不符，或证实</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是有缺陷的，包括潜在的缺陷或使用不符合要求的材料等，甲方可以根据下面规定以书面形式向乙方提出补救措施或索赔：</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乙方退货并将货款退还给甲方，由此发生的一切费用和损失由乙方承担。</w:t>
      </w:r>
    </w:p>
    <w:p>
      <w:pPr>
        <w:keepNext w:val="0"/>
        <w:keepLines w:val="0"/>
        <w:pageBreakBefore w:val="0"/>
        <w:kinsoku/>
        <w:wordWrap/>
        <w:topLinePunct w:val="0"/>
        <w:bidi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乙方应在接到甲方通知后七天内，负责更换符合合同规定的规格、质量和性能要求的</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，其费用由乙方负担。同时，乙方应在约定的质量保证期基础上相应延长质量保证期。</w:t>
      </w:r>
    </w:p>
    <w:p>
      <w:pPr>
        <w:keepNext w:val="0"/>
        <w:keepLines w:val="0"/>
        <w:pageBreakBefore w:val="0"/>
        <w:kinsoku/>
        <w:wordWrap/>
        <w:topLinePunct w:val="0"/>
        <w:bidi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4、乙方</w:t>
      </w:r>
      <w:r>
        <w:rPr>
          <w:rFonts w:hint="eastAsia" w:ascii="宋体" w:hAnsi="宋体" w:eastAsia="宋体" w:cs="宋体"/>
          <w:color w:val="auto"/>
          <w:sz w:val="21"/>
          <w:szCs w:val="21"/>
          <w:highlight w:val="none"/>
        </w:rPr>
        <w:t>在约定的时间内未能弥补缺陷，甲方可采取必要的补救措施，但其风险和费用将由乙方承担，甲方根据合同规定对乙方行使的其他权利不受影响。</w:t>
      </w:r>
    </w:p>
    <w:p>
      <w:pPr>
        <w:keepNext w:val="0"/>
        <w:keepLines w:val="0"/>
        <w:pageBreakBefore w:val="0"/>
        <w:kinsoku/>
        <w:wordWrap/>
        <w:topLinePunct w:val="0"/>
        <w:bidi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如果在甲方发出索赔通知后十天内乙方未作答复，上述索赔应视为已被乙方接受。如果乙方未能在甲方发出索赔通知后十天内或甲方同意延长的期限内，按照上述规定的任何一种方法采取补救措施，甲方有权从</w:t>
      </w:r>
      <w:r>
        <w:rPr>
          <w:rFonts w:hint="eastAsia" w:ascii="宋体" w:hAnsi="宋体" w:eastAsia="宋体" w:cs="宋体"/>
          <w:color w:val="auto"/>
          <w:sz w:val="21"/>
          <w:szCs w:val="21"/>
          <w:highlight w:val="none"/>
          <w:lang w:val="en-US" w:eastAsia="zh-CN"/>
        </w:rPr>
        <w:t>未支付货款</w:t>
      </w:r>
      <w:r>
        <w:rPr>
          <w:rFonts w:hint="eastAsia" w:ascii="宋体" w:hAnsi="宋体" w:eastAsia="宋体" w:cs="宋体"/>
          <w:color w:val="auto"/>
          <w:sz w:val="21"/>
          <w:szCs w:val="21"/>
          <w:highlight w:val="none"/>
        </w:rPr>
        <w:t>中扣除索赔金额，如不足以弥补甲方损失的，甲方有权进一步要求乙方赔偿。</w:t>
      </w:r>
    </w:p>
    <w:p>
      <w:pPr>
        <w:keepNext w:val="0"/>
        <w:keepLines w:val="0"/>
        <w:pageBreakBefore w:val="0"/>
        <w:kinsoku/>
        <w:wordWrap/>
        <w:topLinePunct w:val="0"/>
        <w:bidi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第八条</w:t>
      </w:r>
      <w:r>
        <w:rPr>
          <w:rFonts w:hint="eastAsia" w:ascii="宋体" w:hAnsi="宋体" w:eastAsia="宋体" w:cs="宋体"/>
          <w:b/>
          <w:bCs w:val="0"/>
          <w:color w:val="auto"/>
          <w:sz w:val="21"/>
          <w:szCs w:val="21"/>
          <w:highlight w:val="none"/>
        </w:rPr>
        <w:t>、售后服务</w:t>
      </w:r>
    </w:p>
    <w:p>
      <w:pPr>
        <w:keepNext w:val="0"/>
        <w:keepLines w:val="0"/>
        <w:pageBreakBefore w:val="0"/>
        <w:kinsoku/>
        <w:wordWrap/>
        <w:topLinePunct w:val="0"/>
        <w:bidi w:val="0"/>
        <w:spacing w:line="360" w:lineRule="auto"/>
        <w:ind w:firstLine="420" w:firstLineChars="200"/>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 w:val="0"/>
          <w:color w:val="auto"/>
          <w:sz w:val="21"/>
          <w:szCs w:val="21"/>
          <w:highlight w:val="none"/>
        </w:rPr>
        <w:t>在</w:t>
      </w:r>
      <w:r>
        <w:rPr>
          <w:rFonts w:hint="eastAsia" w:ascii="宋体" w:hAnsi="宋体" w:eastAsia="宋体" w:cs="宋体"/>
          <w:b w:val="0"/>
          <w:color w:val="auto"/>
          <w:sz w:val="21"/>
          <w:szCs w:val="21"/>
          <w:highlight w:val="none"/>
          <w:lang w:val="en-US" w:eastAsia="zh-CN"/>
        </w:rPr>
        <w:t>提供</w:t>
      </w:r>
      <w:r>
        <w:rPr>
          <w:rFonts w:hint="eastAsia" w:ascii="宋体" w:hAnsi="宋体" w:eastAsia="宋体" w:cs="宋体"/>
          <w:b w:val="0"/>
          <w:color w:val="auto"/>
          <w:sz w:val="21"/>
          <w:szCs w:val="21"/>
          <w:highlight w:val="none"/>
          <w:lang w:eastAsia="zh-CN"/>
        </w:rPr>
        <w:t>物资</w:t>
      </w:r>
      <w:r>
        <w:rPr>
          <w:rFonts w:hint="eastAsia" w:ascii="宋体" w:hAnsi="宋体" w:eastAsia="宋体" w:cs="宋体"/>
          <w:b w:val="0"/>
          <w:color w:val="auto"/>
          <w:sz w:val="21"/>
          <w:szCs w:val="21"/>
          <w:highlight w:val="none"/>
        </w:rPr>
        <w:t>的质保期内，</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rPr>
        <w:t>应提供不低于7*24小时的技术支持服务，负责解答</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在使用中遇到的问题；提供免费上门服务，针对</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的现场质保请求，</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rPr>
        <w:t>必须在规定的时间内响应，并按照</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要求的时间内到达现场处理，以保证</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的正常使用，如果</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rPr>
        <w:t>逾期未作出响应，</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rPr>
        <w:t>应承担因故障所造成的全部损失。</w:t>
      </w:r>
    </w:p>
    <w:p>
      <w:pPr>
        <w:keepNext w:val="0"/>
        <w:keepLines w:val="0"/>
        <w:pageBreakBefore w:val="0"/>
        <w:widowControl/>
        <w:kinsoku/>
        <w:wordWrap/>
        <w:topLinePunct w:val="0"/>
        <w:autoSpaceDE w:val="0"/>
        <w:autoSpaceDN w:val="0"/>
        <w:bidi w:val="0"/>
        <w:adjustRightInd w:val="0"/>
        <w:snapToGrid w:val="0"/>
        <w:spacing w:line="360" w:lineRule="auto"/>
        <w:textAlignment w:val="bottom"/>
        <w:rPr>
          <w:rFonts w:hint="default" w:ascii="宋体" w:hAnsi="宋体" w:eastAsia="宋体" w:cs="宋体"/>
          <w:b/>
          <w:bCs/>
          <w:color w:val="auto"/>
          <w:sz w:val="22"/>
          <w:szCs w:val="22"/>
          <w:highlight w:val="none"/>
          <w:u w:val="none"/>
          <w:lang w:val="en-US" w:eastAsia="zh-CN"/>
        </w:rPr>
      </w:pPr>
      <w:r>
        <w:rPr>
          <w:rFonts w:hint="eastAsia" w:ascii="宋体" w:hAnsi="宋体" w:eastAsia="宋体" w:cs="宋体"/>
          <w:b/>
          <w:color w:val="auto"/>
          <w:sz w:val="21"/>
          <w:szCs w:val="21"/>
          <w:highlight w:val="none"/>
          <w:lang w:val="en-US" w:eastAsia="zh-CN"/>
        </w:rPr>
        <w:t>第九条</w:t>
      </w:r>
      <w:r>
        <w:rPr>
          <w:rFonts w:hint="eastAsia" w:ascii="宋体" w:hAnsi="宋体" w:eastAsia="宋体" w:cs="宋体"/>
          <w:b/>
          <w:color w:val="auto"/>
          <w:sz w:val="21"/>
          <w:szCs w:val="21"/>
          <w:highlight w:val="none"/>
        </w:rPr>
        <w:t>、</w:t>
      </w:r>
      <w:r>
        <w:rPr>
          <w:rFonts w:hint="eastAsia" w:ascii="宋体" w:hAnsi="宋体" w:eastAsia="宋体" w:cs="宋体"/>
          <w:b/>
          <w:bCs/>
          <w:color w:val="auto"/>
          <w:sz w:val="22"/>
          <w:szCs w:val="22"/>
          <w:highlight w:val="none"/>
          <w:u w:val="none"/>
          <w:lang w:val="en-US" w:eastAsia="zh-CN"/>
        </w:rPr>
        <w:t>履约保证金</w:t>
      </w:r>
      <w:r>
        <w:rPr>
          <w:rFonts w:hint="eastAsia" w:ascii="宋体" w:hAnsi="宋体" w:cs="宋体"/>
          <w:b/>
          <w:bCs/>
          <w:color w:val="auto"/>
          <w:sz w:val="22"/>
          <w:szCs w:val="22"/>
          <w:highlight w:val="none"/>
          <w:u w:val="none"/>
          <w:lang w:val="en-US" w:eastAsia="zh-CN"/>
        </w:rPr>
        <w:t>缴纳及罚没</w:t>
      </w:r>
    </w:p>
    <w:p>
      <w:pPr>
        <w:keepNext w:val="0"/>
        <w:keepLines w:val="0"/>
        <w:pageBreakBefore w:val="0"/>
        <w:widowControl/>
        <w:kinsoku/>
        <w:wordWrap/>
        <w:topLinePunct w:val="0"/>
        <w:autoSpaceDE w:val="0"/>
        <w:autoSpaceDN w:val="0"/>
        <w:bidi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1、履约保证金缴纳：</w:t>
      </w:r>
      <w:r>
        <w:rPr>
          <w:rFonts w:hint="eastAsia" w:ascii="宋体" w:hAnsi="宋体" w:eastAsia="宋体" w:cs="宋体"/>
          <w:color w:val="auto"/>
          <w:sz w:val="22"/>
          <w:szCs w:val="22"/>
          <w:highlight w:val="none"/>
          <w:u w:val="none"/>
          <w:lang w:val="en-US" w:eastAsia="zh-CN"/>
        </w:rPr>
        <w:t>合同签订前，乙方应向甲方提供履约保证金金额：</w:t>
      </w:r>
      <w:r>
        <w:rPr>
          <w:rFonts w:hint="eastAsia" w:ascii="宋体" w:hAnsi="宋体" w:eastAsia="宋体" w:cs="宋体"/>
          <w:b w:val="0"/>
          <w:bCs w:val="0"/>
          <w:color w:val="auto"/>
          <w:sz w:val="22"/>
          <w:szCs w:val="22"/>
          <w:highlight w:val="none"/>
          <w:u w:val="none"/>
          <w:lang w:val="en-US" w:eastAsia="zh-CN"/>
        </w:rPr>
        <w:t>人民币</w:t>
      </w:r>
      <w:r>
        <w:rPr>
          <w:rFonts w:hint="eastAsia" w:ascii="宋体" w:hAnsi="宋体" w:cs="宋体"/>
          <w:b w:val="0"/>
          <w:bCs w:val="0"/>
          <w:color w:val="auto"/>
          <w:sz w:val="22"/>
          <w:szCs w:val="22"/>
          <w:highlight w:val="none"/>
          <w:u w:val="none"/>
          <w:lang w:val="en-US" w:eastAsia="zh-CN"/>
        </w:rPr>
        <w:t>伍</w:t>
      </w:r>
      <w:r>
        <w:rPr>
          <w:rFonts w:hint="eastAsia" w:ascii="宋体" w:hAnsi="宋体" w:eastAsia="宋体" w:cs="宋体"/>
          <w:b w:val="0"/>
          <w:bCs w:val="0"/>
          <w:color w:val="auto"/>
          <w:sz w:val="22"/>
          <w:szCs w:val="22"/>
          <w:highlight w:val="none"/>
          <w:u w:val="none"/>
          <w:lang w:val="en-US" w:eastAsia="zh-CN"/>
        </w:rPr>
        <w:t>万元整，</w:t>
      </w:r>
      <w:r>
        <w:rPr>
          <w:rFonts w:hint="eastAsia" w:ascii="宋体" w:hAnsi="宋体" w:eastAsia="宋体" w:cs="宋体"/>
          <w:color w:val="auto"/>
          <w:sz w:val="22"/>
          <w:szCs w:val="22"/>
          <w:highlight w:val="none"/>
          <w:u w:val="none"/>
          <w:lang w:val="en-US" w:eastAsia="zh-CN"/>
        </w:rPr>
        <w:t>如乙方在签约前未在规定的时间内提交履约保证金则甲方有权拒签合同。</w:t>
      </w:r>
      <w:r>
        <w:rPr>
          <w:rFonts w:hint="eastAsia" w:ascii="宋体" w:hAnsi="宋体" w:eastAsia="宋体" w:cs="宋体"/>
          <w:color w:val="auto"/>
          <w:sz w:val="22"/>
          <w:szCs w:val="22"/>
          <w:highlight w:val="none"/>
          <w:u w:val="none"/>
        </w:rPr>
        <w:t>履约保证金采取转账形式</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缴纳至甲方指定账号</w:t>
      </w:r>
      <w:r>
        <w:rPr>
          <w:rFonts w:hint="eastAsia" w:ascii="宋体" w:hAnsi="宋体" w:eastAsia="宋体" w:cs="宋体"/>
          <w:color w:val="auto"/>
          <w:sz w:val="22"/>
          <w:szCs w:val="22"/>
          <w:highlight w:val="none"/>
          <w:u w:val="none"/>
          <w:lang w:eastAsia="zh-CN"/>
        </w:rPr>
        <w:t>。</w:t>
      </w:r>
      <w:r>
        <w:rPr>
          <w:rFonts w:hint="eastAsia" w:ascii="宋体" w:hAnsi="宋体" w:eastAsia="宋体" w:cs="宋体"/>
          <w:bCs w:val="0"/>
          <w:color w:val="auto"/>
          <w:sz w:val="22"/>
          <w:szCs w:val="22"/>
          <w:highlight w:val="none"/>
          <w:u w:val="none"/>
          <w:lang w:val="en-US" w:eastAsia="zh-CN"/>
        </w:rPr>
        <w:t>完成所有批次供货后，履约保证金</w:t>
      </w:r>
      <w:r>
        <w:rPr>
          <w:rFonts w:hint="eastAsia" w:ascii="宋体" w:hAnsi="宋体" w:eastAsia="宋体" w:cs="宋体"/>
          <w:b w:val="0"/>
          <w:bCs w:val="0"/>
          <w:color w:val="auto"/>
          <w:sz w:val="22"/>
          <w:szCs w:val="22"/>
          <w:highlight w:val="none"/>
          <w:u w:val="none"/>
          <w:lang w:val="en-US" w:eastAsia="zh-CN"/>
        </w:rPr>
        <w:t>无息退还</w:t>
      </w:r>
      <w:r>
        <w:rPr>
          <w:rFonts w:hint="eastAsia" w:ascii="宋体" w:hAnsi="宋体" w:eastAsia="宋体" w:cs="宋体"/>
          <w:bCs w:val="0"/>
          <w:color w:val="auto"/>
          <w:sz w:val="22"/>
          <w:szCs w:val="22"/>
          <w:highlight w:val="none"/>
          <w:u w:val="none"/>
          <w:lang w:val="en-US" w:eastAsia="zh-CN"/>
        </w:rPr>
        <w:t>。</w:t>
      </w:r>
    </w:p>
    <w:p>
      <w:pPr>
        <w:pStyle w:val="29"/>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2、履约保证金罚没：</w:t>
      </w:r>
    </w:p>
    <w:p>
      <w:pPr>
        <w:pStyle w:val="29"/>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（1）如乙方未能履行合同规定的任何义务，甲方有权优先从履约保证金中得到补偿。</w:t>
      </w:r>
    </w:p>
    <w:p>
      <w:pPr>
        <w:pStyle w:val="29"/>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（2）如果乙方毫无理由地拖延交货或拒绝履行合同规定的任何义务，履约保证金将不予退还，并加收违约赔偿金。</w:t>
      </w:r>
    </w:p>
    <w:p>
      <w:pPr>
        <w:pStyle w:val="29"/>
        <w:keepNext w:val="0"/>
        <w:keepLines w:val="0"/>
        <w:pageBreakBefore w:val="0"/>
        <w:kinsoku/>
        <w:wordWrap/>
        <w:topLinePunct w:val="0"/>
        <w:bidi w:val="0"/>
        <w:spacing w:line="360" w:lineRule="auto"/>
        <w:ind w:firstLine="42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1"/>
          <w:szCs w:val="21"/>
          <w:highlight w:val="none"/>
          <w:lang w:val="en-US" w:eastAsia="zh-CN"/>
        </w:rPr>
        <w:t>（3）乙方提供的货物须和投标文件中所承诺的货物规格、数量、尺寸等相符（合同中另有规定除外）如不符，除追究乙方责任外，其履约保证金将不予退还。</w:t>
      </w:r>
    </w:p>
    <w:p>
      <w:pPr>
        <w:pStyle w:val="29"/>
        <w:keepNext w:val="0"/>
        <w:keepLines w:val="0"/>
        <w:pageBreakBefore w:val="0"/>
        <w:kinsoku/>
        <w:wordWrap/>
        <w:topLinePunct w:val="0"/>
        <w:bidi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（4）甲方扣除乙方</w:t>
      </w:r>
      <w:r>
        <w:rPr>
          <w:rFonts w:hint="eastAsia" w:ascii="宋体" w:hAnsi="宋体" w:eastAsia="宋体" w:cs="宋体"/>
          <w:bCs/>
          <w:color w:val="auto"/>
          <w:sz w:val="22"/>
          <w:highlight w:val="none"/>
        </w:rPr>
        <w:t>履约保证金</w:t>
      </w:r>
      <w:r>
        <w:rPr>
          <w:rFonts w:hint="eastAsia" w:ascii="宋体" w:hAnsi="宋体" w:eastAsia="宋体" w:cs="宋体"/>
          <w:bCs/>
          <w:color w:val="auto"/>
          <w:sz w:val="22"/>
          <w:highlight w:val="none"/>
          <w:lang w:val="en-US" w:eastAsia="zh-CN"/>
        </w:rPr>
        <w:t>后</w:t>
      </w:r>
      <w:r>
        <w:rPr>
          <w:rFonts w:hint="eastAsia" w:ascii="宋体" w:hAnsi="宋体" w:eastAsia="宋体" w:cs="宋体"/>
          <w:bCs/>
          <w:color w:val="auto"/>
          <w:sz w:val="22"/>
          <w:highlight w:val="none"/>
        </w:rPr>
        <w:t>，乙方应</w:t>
      </w:r>
      <w:r>
        <w:rPr>
          <w:rFonts w:hint="eastAsia" w:ascii="宋体" w:hAnsi="宋体" w:eastAsia="宋体" w:cs="宋体"/>
          <w:bCs/>
          <w:color w:val="auto"/>
          <w:sz w:val="22"/>
          <w:highlight w:val="none"/>
          <w:lang w:val="en-US" w:eastAsia="zh-CN"/>
        </w:rPr>
        <w:t>在甲方扣除后10日内</w:t>
      </w:r>
      <w:r>
        <w:rPr>
          <w:rFonts w:hint="eastAsia" w:ascii="宋体" w:hAnsi="宋体" w:eastAsia="宋体" w:cs="宋体"/>
          <w:bCs/>
          <w:color w:val="auto"/>
          <w:sz w:val="22"/>
          <w:highlight w:val="none"/>
        </w:rPr>
        <w:t>及时补</w:t>
      </w:r>
      <w:r>
        <w:rPr>
          <w:rFonts w:hint="eastAsia" w:ascii="宋体" w:hAnsi="宋体" w:eastAsia="宋体" w:cs="宋体"/>
          <w:bCs/>
          <w:color w:val="auto"/>
          <w:sz w:val="22"/>
          <w:highlight w:val="none"/>
          <w:lang w:val="en-US" w:eastAsia="zh-CN"/>
        </w:rPr>
        <w:t>齐</w:t>
      </w:r>
      <w:r>
        <w:rPr>
          <w:rFonts w:hint="eastAsia" w:ascii="宋体" w:hAnsi="宋体" w:eastAsia="宋体" w:cs="宋体"/>
          <w:bCs/>
          <w:color w:val="auto"/>
          <w:sz w:val="22"/>
          <w:highlight w:val="none"/>
        </w:rPr>
        <w:t>，保证在合同履行期间履约保证金总额</w:t>
      </w:r>
      <w:r>
        <w:rPr>
          <w:rFonts w:hint="eastAsia" w:ascii="宋体" w:hAnsi="宋体" w:eastAsia="宋体" w:cs="宋体"/>
          <w:bCs/>
          <w:color w:val="auto"/>
          <w:sz w:val="22"/>
          <w:highlight w:val="none"/>
          <w:lang w:val="en-US" w:eastAsia="zh-CN"/>
        </w:rPr>
        <w:t>符合要求</w:t>
      </w:r>
      <w:r>
        <w:rPr>
          <w:rFonts w:hint="eastAsia" w:ascii="宋体" w:hAnsi="宋体" w:eastAsia="宋体" w:cs="宋体"/>
          <w:bCs/>
          <w:color w:val="auto"/>
          <w:sz w:val="22"/>
          <w:highlight w:val="none"/>
        </w:rPr>
        <w:t>。</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第十条、</w:t>
      </w:r>
      <w:r>
        <w:rPr>
          <w:rFonts w:hint="eastAsia" w:ascii="宋体" w:hAnsi="宋体" w:eastAsia="宋体" w:cs="宋体"/>
          <w:b/>
          <w:color w:val="auto"/>
          <w:sz w:val="21"/>
          <w:szCs w:val="21"/>
          <w:highlight w:val="none"/>
        </w:rPr>
        <w:t>付款方式与结算</w:t>
      </w:r>
    </w:p>
    <w:p>
      <w:pPr>
        <w:keepNext w:val="0"/>
        <w:keepLines w:val="0"/>
        <w:pageBreakBefore w:val="0"/>
        <w:tabs>
          <w:tab w:val="left" w:pos="360"/>
        </w:tabs>
        <w:kinsoku/>
        <w:wordWrap/>
        <w:topLinePunct w:val="0"/>
        <w:bidi w:val="0"/>
        <w:spacing w:line="360" w:lineRule="auto"/>
        <w:ind w:firstLine="527" w:firstLineChars="25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1、货款的支付</w:t>
      </w:r>
    </w:p>
    <w:p>
      <w:pPr>
        <w:keepNext w:val="0"/>
        <w:keepLines w:val="0"/>
        <w:pageBreakBefore w:val="0"/>
        <w:widowControl/>
        <w:suppressLineNumbers w:val="0"/>
        <w:kinsoku/>
        <w:wordWrap/>
        <w:topLinePunct w:val="0"/>
        <w:bidi w:val="0"/>
        <w:spacing w:line="360" w:lineRule="auto"/>
        <w:ind w:left="0" w:firstLine="578"/>
        <w:jc w:val="left"/>
        <w:rPr>
          <w:rFonts w:hint="eastAsia" w:ascii="宋体" w:hAnsi="宋体" w:eastAsia="宋体" w:cs="宋体"/>
          <w:i w:val="0"/>
          <w:caps w:val="0"/>
          <w:color w:val="auto"/>
          <w:spacing w:val="0"/>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i w:val="0"/>
          <w:caps w:val="0"/>
          <w:color w:val="auto"/>
          <w:spacing w:val="0"/>
          <w:kern w:val="0"/>
          <w:sz w:val="21"/>
          <w:szCs w:val="21"/>
          <w:highlight w:val="none"/>
          <w:lang w:val="en-US" w:eastAsia="zh-CN" w:bidi="ar"/>
        </w:rPr>
        <w:t>综合单价合同期内不做调整。</w:t>
      </w:r>
    </w:p>
    <w:p>
      <w:pPr>
        <w:keepNext w:val="0"/>
        <w:keepLines w:val="0"/>
        <w:pageBreakBefore w:val="0"/>
        <w:widowControl/>
        <w:suppressLineNumbers w:val="0"/>
        <w:kinsoku/>
        <w:wordWrap/>
        <w:topLinePunct w:val="0"/>
        <w:bidi w:val="0"/>
        <w:spacing w:line="360" w:lineRule="auto"/>
        <w:ind w:left="0" w:firstLine="578"/>
        <w:jc w:val="both"/>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（2）</w:t>
      </w:r>
      <w:r>
        <w:rPr>
          <w:rFonts w:hint="eastAsia" w:ascii="宋体" w:hAnsi="宋体" w:eastAsia="宋体" w:cs="宋体"/>
          <w:b/>
          <w:i w:val="0"/>
          <w:caps w:val="0"/>
          <w:color w:val="auto"/>
          <w:spacing w:val="0"/>
          <w:kern w:val="0"/>
          <w:sz w:val="21"/>
          <w:szCs w:val="21"/>
          <w:highlight w:val="none"/>
          <w:lang w:val="en-US" w:eastAsia="zh-CN" w:bidi="ar"/>
        </w:rPr>
        <w:t>合同签订后，乙方按甲方通知分批次发货，待该批次物资到达甲方指定的现场，验收合格，甲方在10个月内通知乙方开具该批次物资全额正规有效的增值税专用发票，甲方收到发票后向乙方支付该批次物资合同金额的98%，余2%作为质保金。</w:t>
      </w:r>
    </w:p>
    <w:p>
      <w:pPr>
        <w:keepNext w:val="0"/>
        <w:keepLines w:val="0"/>
        <w:pageBreakBefore w:val="0"/>
        <w:widowControl/>
        <w:suppressLineNumbers w:val="0"/>
        <w:kinsoku/>
        <w:wordWrap/>
        <w:topLinePunct w:val="0"/>
        <w:bidi w:val="0"/>
        <w:spacing w:line="360" w:lineRule="auto"/>
        <w:ind w:left="0" w:firstLine="578"/>
        <w:jc w:val="left"/>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（3）待该合同全部履行完毕且质保期满后，一次性无息退还质保金（质保期以最后一批到物资验收之日起算）。</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、双方责任</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（1）按合同规定向乙方支付货款。</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（2）组织对</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的验收。</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（1）按合同要求提供</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和服务。</w:t>
      </w:r>
    </w:p>
    <w:p>
      <w:pPr>
        <w:keepNext w:val="0"/>
        <w:keepLines w:val="0"/>
        <w:pageBreakBefore w:val="0"/>
        <w:kinsoku/>
        <w:wordWrap/>
        <w:topLinePunct w:val="0"/>
        <w:bidi w:val="0"/>
        <w:spacing w:line="360" w:lineRule="auto"/>
        <w:ind w:firstLine="514" w:firstLineChars="24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（2）对所提供的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和服务质量问题无条件负责处理。</w:t>
      </w:r>
    </w:p>
    <w:p>
      <w:pPr>
        <w:keepNext w:val="0"/>
        <w:keepLines w:val="0"/>
        <w:pageBreakBefore w:val="0"/>
        <w:kinsoku/>
        <w:wordWrap/>
        <w:topLinePunct w:val="0"/>
        <w:bidi w:val="0"/>
        <w:spacing w:line="360" w:lineRule="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条、</w:t>
      </w:r>
      <w:r>
        <w:rPr>
          <w:rFonts w:hint="eastAsia" w:ascii="宋体" w:hAnsi="宋体" w:eastAsia="宋体" w:cs="宋体"/>
          <w:b/>
          <w:bCs/>
          <w:color w:val="auto"/>
          <w:sz w:val="21"/>
          <w:szCs w:val="21"/>
          <w:highlight w:val="none"/>
        </w:rPr>
        <w:t>违约处理</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在甲方对乙方违约而采取的任何补救措施不受影响的情况下，甲方可在下列情况下向乙方发出书面通知书，提出终止部分或全部合同。</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（1）乙方提供的产品品种、型号、规格、数量、质量不符合国家规定和承诺的标准；</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（2）乙方没有按承诺的时间供货、</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或提供其他服务；</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（3）乙方没有按承诺的价格或优惠率签订合同并供货；</w:t>
      </w:r>
    </w:p>
    <w:p>
      <w:pPr>
        <w:keepNext w:val="0"/>
        <w:keepLines w:val="0"/>
        <w:pageBreakBefore w:val="0"/>
        <w:kinsoku/>
        <w:wordWrap/>
        <w:topLinePunct w:val="0"/>
        <w:bidi w:val="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如果甲方根据上述的规定，终止了全部或部分合同，甲方可以依其认为适当的条件和方法购买与未交</w:t>
      </w:r>
      <w:r>
        <w:rPr>
          <w:rFonts w:hint="eastAsia" w:ascii="宋体" w:hAnsi="宋体" w:eastAsia="宋体" w:cs="宋体"/>
          <w:color w:val="auto"/>
          <w:sz w:val="21"/>
          <w:szCs w:val="21"/>
          <w:highlight w:val="none"/>
          <w:lang w:val="en-US" w:eastAsia="zh-CN"/>
        </w:rPr>
        <w:t>付</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类似的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，乙方应对购买类似</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所超出的那部分费用负责。</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snapToGrid/>
          <w:color w:val="auto"/>
          <w:kern w:val="2"/>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snapToGrid/>
          <w:color w:val="auto"/>
          <w:kern w:val="2"/>
          <w:sz w:val="21"/>
          <w:szCs w:val="21"/>
          <w:highlight w:val="none"/>
        </w:rPr>
        <w:t>乙方逾期交付</w:t>
      </w:r>
      <w:r>
        <w:rPr>
          <w:rFonts w:hint="eastAsia" w:ascii="宋体" w:hAnsi="宋体" w:eastAsia="宋体" w:cs="宋体"/>
          <w:snapToGrid/>
          <w:color w:val="auto"/>
          <w:kern w:val="2"/>
          <w:sz w:val="21"/>
          <w:szCs w:val="21"/>
          <w:highlight w:val="none"/>
          <w:lang w:eastAsia="zh-CN"/>
        </w:rPr>
        <w:t>物资</w:t>
      </w:r>
      <w:r>
        <w:rPr>
          <w:rFonts w:hint="eastAsia" w:ascii="宋体" w:hAnsi="宋体" w:eastAsia="宋体" w:cs="宋体"/>
          <w:snapToGrid/>
          <w:color w:val="auto"/>
          <w:kern w:val="2"/>
          <w:sz w:val="21"/>
          <w:szCs w:val="21"/>
          <w:highlight w:val="none"/>
        </w:rPr>
        <w:t>的，乙方应按</w:t>
      </w:r>
      <w:r>
        <w:rPr>
          <w:rFonts w:hint="eastAsia" w:ascii="宋体" w:hAnsi="宋体" w:eastAsia="宋体" w:cs="宋体"/>
          <w:snapToGrid/>
          <w:color w:val="auto"/>
          <w:kern w:val="2"/>
          <w:sz w:val="21"/>
          <w:szCs w:val="21"/>
          <w:highlight w:val="none"/>
          <w:lang w:val="en-US" w:eastAsia="zh-CN"/>
        </w:rPr>
        <w:t>1000元/天</w:t>
      </w:r>
      <w:r>
        <w:rPr>
          <w:rFonts w:hint="eastAsia" w:ascii="宋体" w:hAnsi="宋体" w:eastAsia="宋体" w:cs="宋体"/>
          <w:snapToGrid/>
          <w:color w:val="auto"/>
          <w:kern w:val="2"/>
          <w:sz w:val="21"/>
          <w:szCs w:val="21"/>
          <w:highlight w:val="none"/>
        </w:rPr>
        <w:t>向甲方支付违约金，由甲方从</w:t>
      </w:r>
      <w:r>
        <w:rPr>
          <w:rFonts w:hint="eastAsia" w:ascii="宋体" w:hAnsi="宋体" w:eastAsia="宋体" w:cs="宋体"/>
          <w:snapToGrid/>
          <w:color w:val="auto"/>
          <w:kern w:val="2"/>
          <w:sz w:val="21"/>
          <w:szCs w:val="21"/>
          <w:highlight w:val="none"/>
          <w:lang w:eastAsia="zh-CN"/>
        </w:rPr>
        <w:t>未支付货款</w:t>
      </w:r>
      <w:r>
        <w:rPr>
          <w:rFonts w:hint="eastAsia" w:ascii="宋体" w:hAnsi="宋体" w:eastAsia="宋体" w:cs="宋体"/>
          <w:snapToGrid/>
          <w:color w:val="auto"/>
          <w:kern w:val="2"/>
          <w:sz w:val="21"/>
          <w:szCs w:val="21"/>
          <w:highlight w:val="none"/>
        </w:rPr>
        <w:t>中扣除。逾期超过约定日期10个工作日不能交货的，</w:t>
      </w:r>
      <w:r>
        <w:rPr>
          <w:rFonts w:hint="eastAsia" w:ascii="宋体" w:hAnsi="宋体" w:eastAsia="宋体" w:cs="宋体"/>
          <w:snapToGrid/>
          <w:color w:val="auto"/>
          <w:kern w:val="2"/>
          <w:sz w:val="21"/>
          <w:szCs w:val="21"/>
          <w:highlight w:val="none"/>
          <w:lang w:val="en-US" w:eastAsia="zh-CN"/>
        </w:rPr>
        <w:t>乙方应向甲方支付违约金10000元，由甲方从未支付货款中扣除，同时</w:t>
      </w:r>
      <w:r>
        <w:rPr>
          <w:rFonts w:hint="eastAsia" w:ascii="宋体" w:hAnsi="宋体" w:eastAsia="宋体" w:cs="宋体"/>
          <w:snapToGrid/>
          <w:color w:val="auto"/>
          <w:kern w:val="2"/>
          <w:sz w:val="21"/>
          <w:szCs w:val="21"/>
          <w:highlight w:val="none"/>
          <w:lang w:val="en-US" w:eastAsia="zh-Hans"/>
        </w:rPr>
        <w:t>甲方有权</w:t>
      </w:r>
      <w:r>
        <w:rPr>
          <w:rFonts w:hint="eastAsia" w:ascii="宋体" w:hAnsi="宋体" w:eastAsia="宋体" w:cs="宋体"/>
          <w:snapToGrid/>
          <w:color w:val="auto"/>
          <w:kern w:val="2"/>
          <w:sz w:val="21"/>
          <w:szCs w:val="21"/>
          <w:highlight w:val="none"/>
          <w:lang w:val="en-US" w:eastAsia="zh-CN"/>
        </w:rPr>
        <w:t>剥夺该批次供货资格</w:t>
      </w:r>
      <w:r>
        <w:rPr>
          <w:rFonts w:hint="eastAsia" w:ascii="宋体" w:hAnsi="宋体" w:eastAsia="宋体" w:cs="宋体"/>
          <w:snapToGrid/>
          <w:color w:val="auto"/>
          <w:kern w:val="2"/>
          <w:sz w:val="21"/>
          <w:szCs w:val="21"/>
          <w:highlight w:val="none"/>
          <w:lang w:val="en-US" w:eastAsia="zh-Hans"/>
        </w:rPr>
        <w:t>或者全部供货资格</w:t>
      </w:r>
      <w:r>
        <w:rPr>
          <w:rFonts w:hint="eastAsia" w:ascii="宋体" w:hAnsi="宋体" w:eastAsia="宋体" w:cs="宋体"/>
          <w:snapToGrid/>
          <w:color w:val="auto"/>
          <w:kern w:val="2"/>
          <w:sz w:val="21"/>
          <w:szCs w:val="21"/>
          <w:highlight w:val="none"/>
        </w:rPr>
        <w:t>。</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4、乙方无正当理由拒供物资的，乙方向甲方偿付100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en-US" w:eastAsia="zh-CN"/>
        </w:rPr>
        <w:t>0元/次的违约金，由甲方从未支付货款中扣除，同时</w:t>
      </w:r>
      <w:r>
        <w:rPr>
          <w:rFonts w:hint="eastAsia" w:ascii="宋体" w:hAnsi="宋体" w:eastAsia="宋体" w:cs="宋体"/>
          <w:color w:val="auto"/>
          <w:sz w:val="21"/>
          <w:szCs w:val="21"/>
          <w:highlight w:val="none"/>
          <w:lang w:val="en-US" w:eastAsia="zh-Hans"/>
        </w:rPr>
        <w:t>甲方有权</w:t>
      </w:r>
      <w:r>
        <w:rPr>
          <w:rFonts w:hint="eastAsia" w:ascii="宋体" w:hAnsi="宋体" w:eastAsia="宋体" w:cs="宋体"/>
          <w:color w:val="auto"/>
          <w:sz w:val="21"/>
          <w:szCs w:val="21"/>
          <w:highlight w:val="none"/>
          <w:lang w:val="en-US" w:eastAsia="zh-CN"/>
        </w:rPr>
        <w:t>剥夺该批次供货资格</w:t>
      </w:r>
      <w:r>
        <w:rPr>
          <w:rFonts w:hint="eastAsia" w:ascii="宋体" w:hAnsi="宋体" w:eastAsia="宋体" w:cs="宋体"/>
          <w:snapToGrid/>
          <w:color w:val="auto"/>
          <w:kern w:val="2"/>
          <w:sz w:val="21"/>
          <w:szCs w:val="21"/>
          <w:highlight w:val="none"/>
          <w:lang w:val="en-US" w:eastAsia="zh-Hans"/>
        </w:rPr>
        <w:t>或者全部供货资格</w:t>
      </w:r>
      <w:r>
        <w:rPr>
          <w:rFonts w:hint="eastAsia" w:ascii="宋体" w:hAnsi="宋体" w:eastAsia="宋体" w:cs="宋体"/>
          <w:color w:val="auto"/>
          <w:sz w:val="21"/>
          <w:szCs w:val="21"/>
          <w:highlight w:val="none"/>
          <w:lang w:val="en-US" w:eastAsia="zh-CN"/>
        </w:rPr>
        <w:t>。</w:t>
      </w:r>
    </w:p>
    <w:p>
      <w:pPr>
        <w:keepNext w:val="0"/>
        <w:keepLines w:val="0"/>
        <w:pageBreakBefore w:val="0"/>
        <w:kinsoku/>
        <w:wordWrap/>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一旦延到误期赔偿费的最高限额，甲方可考虑终止合同。</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第十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条、</w:t>
      </w:r>
      <w:r>
        <w:rPr>
          <w:rFonts w:hint="eastAsia" w:ascii="宋体" w:hAnsi="宋体" w:eastAsia="宋体" w:cs="宋体"/>
          <w:b/>
          <w:color w:val="auto"/>
          <w:sz w:val="21"/>
          <w:szCs w:val="21"/>
          <w:highlight w:val="none"/>
        </w:rPr>
        <w:t>不可抗力</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第十</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条、履约考核</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乙方应按照《合同》规定的时间、地点交货和提供服务。</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如乙方无正当理由而拖延交货，经协商无效,甲方有权追究乙方的违约责任。</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w:t>
      </w: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、争端的解决</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有关本合同和签署本合同的争议应通过友好协商解决。如果协商不成，该争议应按照以下第 </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 xml:space="preserve"> 方式解决：</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（一）提交温州仲裁委员会仲裁，仲裁结果具有终结效力，双方应严格遵守；</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（二）提交甲方</w:t>
      </w:r>
      <w:r>
        <w:rPr>
          <w:rFonts w:hint="eastAsia" w:ascii="宋体" w:hAnsi="宋体" w:eastAsia="宋体" w:cs="宋体"/>
          <w:color w:val="auto"/>
          <w:sz w:val="21"/>
          <w:szCs w:val="21"/>
          <w:highlight w:val="none"/>
          <w:lang w:val="en-US" w:eastAsia="zh-CN"/>
        </w:rPr>
        <w:t>所在</w:t>
      </w:r>
      <w:r>
        <w:rPr>
          <w:rFonts w:hint="eastAsia" w:ascii="宋体" w:hAnsi="宋体" w:eastAsia="宋体" w:cs="宋体"/>
          <w:color w:val="auto"/>
          <w:sz w:val="21"/>
          <w:szCs w:val="21"/>
          <w:highlight w:val="none"/>
        </w:rPr>
        <w:t>地人民法院通过诉讼解决。</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本协议未尽事宜或与国家有关法律、法规相悖的，均按国家有关法律、规定执行。</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任何一方就对方针对本合同项下任何条款的违约行为的自动弃权或重复性弃权不应被视为是对下一次针对同一条款的违约行为、或针对其他条款的违约行为的弃权。</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第十</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、转让和分包及</w:t>
      </w:r>
      <w:r>
        <w:rPr>
          <w:rFonts w:hint="eastAsia" w:ascii="宋体" w:hAnsi="宋体" w:eastAsia="宋体" w:cs="宋体"/>
          <w:b/>
          <w:color w:val="auto"/>
          <w:sz w:val="21"/>
          <w:szCs w:val="21"/>
          <w:highlight w:val="none"/>
          <w:lang w:eastAsia="zh-CN"/>
        </w:rPr>
        <w:t>物资</w:t>
      </w:r>
      <w:r>
        <w:rPr>
          <w:rFonts w:hint="eastAsia" w:ascii="宋体" w:hAnsi="宋体" w:eastAsia="宋体" w:cs="宋体"/>
          <w:b/>
          <w:color w:val="auto"/>
          <w:sz w:val="21"/>
          <w:szCs w:val="21"/>
          <w:highlight w:val="none"/>
        </w:rPr>
        <w:t>不可替代</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未经甲方事先书面同意，乙方不得部分转让或全部转让和分包其履行合同的义务。</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不可替代，乙方在没有取得甲方的书面授权的情况下，不得将合同</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的生产制造转交其他生产厂商或以其他厂商的</w:t>
      </w:r>
      <w:r>
        <w:rPr>
          <w:rFonts w:hint="eastAsia" w:ascii="宋体" w:hAnsi="宋体" w:eastAsia="宋体" w:cs="宋体"/>
          <w:color w:val="auto"/>
          <w:sz w:val="21"/>
          <w:szCs w:val="21"/>
          <w:highlight w:val="none"/>
          <w:lang w:eastAsia="zh-CN"/>
        </w:rPr>
        <w:t>物资</w:t>
      </w:r>
      <w:r>
        <w:rPr>
          <w:rFonts w:hint="eastAsia" w:ascii="宋体" w:hAnsi="宋体" w:eastAsia="宋体" w:cs="宋体"/>
          <w:color w:val="auto"/>
          <w:sz w:val="21"/>
          <w:szCs w:val="21"/>
          <w:highlight w:val="none"/>
        </w:rPr>
        <w:t>替代。</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第十</w:t>
      </w: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、适用法律</w:t>
      </w:r>
    </w:p>
    <w:p>
      <w:pPr>
        <w:keepNext w:val="0"/>
        <w:keepLines w:val="0"/>
        <w:pageBreakBefore w:val="0"/>
        <w:kinsoku/>
        <w:wordWrap/>
        <w:topLinePunct w:val="0"/>
        <w:bidi w:val="0"/>
        <w:spacing w:line="360" w:lineRule="auto"/>
        <w:ind w:firstLine="514" w:firstLineChars="2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本合同按照中华人民共和国的法律进行解释。</w:t>
      </w:r>
    </w:p>
    <w:p>
      <w:pPr>
        <w:keepNext w:val="0"/>
        <w:keepLines w:val="0"/>
        <w:pageBreakBefore w:val="0"/>
        <w:kinsoku/>
        <w:wordWrap/>
        <w:topLinePunct w:val="0"/>
        <w:bidi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第十</w:t>
      </w: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、合同生效及其他</w:t>
      </w:r>
    </w:p>
    <w:p>
      <w:pPr>
        <w:keepNext w:val="0"/>
        <w:keepLines w:val="0"/>
        <w:pageBreakBefore w:val="0"/>
        <w:kinsoku/>
        <w:wordWrap/>
        <w:topLinePunct w:val="0"/>
        <w:bidi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2"/>
          <w:szCs w:val="22"/>
          <w:highlight w:val="none"/>
        </w:rPr>
        <w:t>合同应在双方法定代表人或授权代表签字盖章并在甲方收到乙方提供的履约保证金后开始生效。</w:t>
      </w:r>
    </w:p>
    <w:p>
      <w:pPr>
        <w:keepNext w:val="0"/>
        <w:keepLines w:val="0"/>
        <w:pageBreakBefore w:val="0"/>
        <w:kinsoku/>
        <w:wordWrap/>
        <w:topLinePunct w:val="0"/>
        <w:bidi w:val="0"/>
        <w:spacing w:line="360" w:lineRule="auto"/>
        <w:ind w:firstLine="514" w:firstLineChars="24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如需修改或补充合同内容，经协商，双方应签署书面修改或补充协议，该协议将作为本合同的一个组成部分。</w:t>
      </w:r>
    </w:p>
    <w:p>
      <w:pPr>
        <w:keepNext w:val="0"/>
        <w:keepLines w:val="0"/>
        <w:pageBreakBefore w:val="0"/>
        <w:kinsoku/>
        <w:wordWrap/>
        <w:topLinePunct w:val="0"/>
        <w:bidi w:val="0"/>
        <w:spacing w:line="360" w:lineRule="auto"/>
        <w:ind w:firstLine="517" w:firstLineChars="245"/>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合同壹式</w:t>
      </w:r>
      <w:r>
        <w:rPr>
          <w:rFonts w:hint="eastAsia" w:ascii="宋体" w:hAnsi="宋体" w:eastAsia="宋体" w:cs="宋体"/>
          <w:b/>
          <w:bCs/>
          <w:color w:val="auto"/>
          <w:sz w:val="21"/>
          <w:szCs w:val="21"/>
          <w:highlight w:val="none"/>
          <w:lang w:eastAsia="zh-CN"/>
        </w:rPr>
        <w:t>肆</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val="en-US" w:eastAsia="zh-CN"/>
        </w:rPr>
        <w:t>甲方叁</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乙方壹份</w:t>
      </w:r>
      <w:r>
        <w:rPr>
          <w:rFonts w:hint="eastAsia" w:ascii="宋体" w:hAnsi="宋体" w:eastAsia="宋体" w:cs="宋体"/>
          <w:b/>
          <w:bCs/>
          <w:color w:val="auto"/>
          <w:sz w:val="21"/>
          <w:szCs w:val="21"/>
          <w:highlight w:val="none"/>
          <w:lang w:eastAsia="zh-CN"/>
        </w:rPr>
        <w:t>。</w:t>
      </w:r>
    </w:p>
    <w:p>
      <w:pPr>
        <w:pStyle w:val="29"/>
        <w:keepNext w:val="0"/>
        <w:keepLines w:val="0"/>
        <w:pageBreakBefore w:val="0"/>
        <w:kinsoku/>
        <w:wordWrap/>
        <w:topLinePunct w:val="0"/>
        <w:bidi w:val="0"/>
        <w:snapToGrid w:val="0"/>
        <w:spacing w:line="360" w:lineRule="auto"/>
        <w:ind w:firstLine="440" w:firstLineChars="200"/>
        <w:rPr>
          <w:rFonts w:hint="eastAsia" w:ascii="宋体" w:hAnsi="宋体" w:eastAsia="宋体" w:cs="宋体"/>
          <w:color w:val="auto"/>
          <w:sz w:val="22"/>
          <w:szCs w:val="22"/>
          <w:highlight w:val="none"/>
          <w:lang w:val="en-US" w:eastAsia="zh-CN"/>
        </w:rPr>
      </w:pP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Align w:val="top"/>
          </w:tcPr>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法定代表人或委托代理人：</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税号：</w:t>
            </w:r>
          </w:p>
          <w:p>
            <w:pPr>
              <w:pStyle w:val="29"/>
              <w:keepNext w:val="0"/>
              <w:keepLines w:val="0"/>
              <w:pageBreakBefore w:val="0"/>
              <w:kinsoku/>
              <w:wordWrap/>
              <w:topLinePunct w:val="0"/>
              <w:bidi w:val="0"/>
              <w:snapToGrid w:val="0"/>
              <w:spacing w:line="360" w:lineRule="auto"/>
              <w:ind w:firstLine="1540" w:firstLineChars="7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c>
          <w:tcPr>
            <w:tcW w:w="4927" w:type="dxa"/>
            <w:vAlign w:val="top"/>
          </w:tcPr>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法定代表人或委托代理人：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账号：                          </w:t>
            </w:r>
          </w:p>
          <w:p>
            <w:pPr>
              <w:pStyle w:val="29"/>
              <w:keepNext w:val="0"/>
              <w:keepLines w:val="0"/>
              <w:pageBreakBefore w:val="0"/>
              <w:kinsoku/>
              <w:wordWrap/>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税号：                          </w:t>
            </w:r>
          </w:p>
          <w:p>
            <w:pPr>
              <w:pStyle w:val="29"/>
              <w:keepNext w:val="0"/>
              <w:keepLines w:val="0"/>
              <w:pageBreakBefore w:val="0"/>
              <w:kinsoku/>
              <w:wordWrap/>
              <w:topLinePunct w:val="0"/>
              <w:bidi w:val="0"/>
              <w:snapToGrid w:val="0"/>
              <w:spacing w:line="360" w:lineRule="auto"/>
              <w:ind w:firstLine="1100" w:firstLineChars="5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r>
    </w:tbl>
    <w:p>
      <w:pPr>
        <w:keepNext w:val="0"/>
        <w:keepLines w:val="0"/>
        <w:pageBreakBefore w:val="0"/>
        <w:widowControl/>
        <w:kinsoku/>
        <w:wordWrap/>
        <w:topLinePunct w:val="0"/>
        <w:bidi w:val="0"/>
        <w:spacing w:line="360" w:lineRule="auto"/>
        <w:ind w:firstLine="420" w:firstLineChars="200"/>
        <w:jc w:val="left"/>
        <w:textAlignment w:val="top"/>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color w:val="auto"/>
          <w:highlight w:val="none"/>
        </w:rPr>
        <w:br w:type="page"/>
      </w:r>
    </w:p>
    <w:p>
      <w:pPr>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合同附件</w:t>
      </w:r>
    </w:p>
    <w:p>
      <w:pPr>
        <w:jc w:val="center"/>
        <w:rPr>
          <w:rFonts w:hint="eastAsia" w:ascii="宋体" w:hAnsi="宋体" w:cs="宋体"/>
          <w:b/>
          <w:color w:val="auto"/>
          <w:sz w:val="48"/>
          <w:szCs w:val="48"/>
          <w:highlight w:val="none"/>
        </w:rPr>
      </w:pPr>
      <w:r>
        <w:rPr>
          <w:rFonts w:hint="eastAsia" w:ascii="宋体" w:hAnsi="宋体" w:cs="宋体"/>
          <w:b/>
          <w:color w:val="auto"/>
          <w:sz w:val="32"/>
          <w:szCs w:val="32"/>
          <w:highlight w:val="none"/>
        </w:rPr>
        <w:t>廉洁协议书</w:t>
      </w:r>
    </w:p>
    <w:p>
      <w:pPr>
        <w:rPr>
          <w:rFonts w:hint="eastAsia" w:ascii="宋体" w:hAnsi="宋体" w:cs="宋体"/>
          <w:color w:val="auto"/>
          <w:sz w:val="22"/>
          <w:szCs w:val="22"/>
          <w:highlight w:val="none"/>
        </w:rPr>
      </w:pPr>
    </w:p>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eastAsia="zh-CN"/>
        </w:rPr>
        <w:t>温州市水务集团有限公司工程建设分公司</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为规范双方工程、货物和服务采购往来活动，建立诚实守信的合作关系，推进廉政建设，维护双方合法权益，经双方共同协商，就双方业务往来中的廉洁事宜达成如下协议</w:t>
      </w:r>
    </w:p>
    <w:p>
      <w:pPr>
        <w:ind w:firstLine="440" w:firstLineChars="200"/>
        <w:rPr>
          <w:rFonts w:hint="eastAsia" w:ascii="宋体" w:hAnsi="宋体" w:cs="宋体"/>
          <w:color w:val="auto"/>
          <w:sz w:val="22"/>
          <w:szCs w:val="22"/>
          <w:highlight w:val="none"/>
        </w:rPr>
      </w:pP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甲乙双方在确立经济（合作）业务关系时应当签署本协议书。</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甲乙双方共同的权利和义务</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严格遵守党和国家的有关法律法规及有关廉政规定。</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严格执行工程、货物和服务合同约定，自觉履行合同。</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双方应当对其工作人员进行廉洁从业教育，使其诚信守法、规范行为。</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双方的业务、工程、采购坚持公开、公正、诚信、透明的原则（商业秘密和合同文件另有规定的除外），不得损害国家和双方利益。</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发现对方在业务、工程、采购活动中有违反廉政规定的行为时，可及时要求对方纠正，并且有向对方主管部门举报的权利和义务。</w:t>
      </w:r>
    </w:p>
    <w:p>
      <w:pPr>
        <w:pStyle w:val="212"/>
        <w:numPr>
          <w:ilvl w:val="0"/>
          <w:numId w:val="20"/>
        </w:numPr>
        <w:ind w:left="374" w:hanging="374" w:hangingChars="170"/>
        <w:rPr>
          <w:rFonts w:hint="eastAsia" w:ascii="宋体" w:hAnsi="宋体" w:cs="宋体"/>
          <w:color w:val="auto"/>
          <w:sz w:val="22"/>
          <w:szCs w:val="22"/>
          <w:highlight w:val="none"/>
        </w:rPr>
      </w:pPr>
      <w:r>
        <w:rPr>
          <w:rFonts w:hint="eastAsia" w:ascii="宋体" w:hAnsi="宋体" w:cs="宋体"/>
          <w:color w:val="auto"/>
          <w:sz w:val="22"/>
          <w:szCs w:val="22"/>
          <w:highlight w:val="none"/>
        </w:rPr>
        <w:t>依法保护举报人员，并对举报有功人员予以奖励。</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甲方的义务</w:t>
      </w:r>
    </w:p>
    <w:p>
      <w:pPr>
        <w:pStyle w:val="212"/>
        <w:numPr>
          <w:ilvl w:val="0"/>
          <w:numId w:val="21"/>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甲方应当严格规范从业人员，不得以任何形式索要或者接受乙方礼金、礼品、有价证券和支付凭证等，难以拒收的，必须按有关规定登记上交</w:t>
      </w:r>
    </w:p>
    <w:p>
      <w:pPr>
        <w:pStyle w:val="212"/>
        <w:numPr>
          <w:ilvl w:val="0"/>
          <w:numId w:val="21"/>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甲方及其工作人员不得参加乙方安排的高消费宴请和娱乐活动</w:t>
      </w:r>
    </w:p>
    <w:p>
      <w:pPr>
        <w:pStyle w:val="212"/>
        <w:numPr>
          <w:ilvl w:val="0"/>
          <w:numId w:val="21"/>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甲方工作人员的配偶、子女及其亲属不得从事与合同有关的设备材料供应、工程分包、劳务等经济活动</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乙方的义务</w:t>
      </w:r>
    </w:p>
    <w:p>
      <w:pPr>
        <w:pStyle w:val="212"/>
        <w:numPr>
          <w:ilvl w:val="0"/>
          <w:numId w:val="22"/>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乙方不得以任何理由向甲方及其工作人员馈赠礼金、礼品、有价证券和支付凭证等。</w:t>
      </w:r>
    </w:p>
    <w:p>
      <w:pPr>
        <w:pStyle w:val="212"/>
        <w:numPr>
          <w:ilvl w:val="0"/>
          <w:numId w:val="22"/>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乙方不得以任何理由安排甲方工作人员参加高消费宴请和娱乐活动。</w:t>
      </w:r>
    </w:p>
    <w:p>
      <w:pPr>
        <w:pStyle w:val="212"/>
        <w:numPr>
          <w:ilvl w:val="0"/>
          <w:numId w:val="22"/>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乙方与甲方发生业务、工程、采购往来过程中，不得有弄虚作假、以次充好、虚假结算等违反诚信原则的行为。</w:t>
      </w:r>
    </w:p>
    <w:p>
      <w:pPr>
        <w:pStyle w:val="212"/>
        <w:numPr>
          <w:ilvl w:val="0"/>
          <w:numId w:val="22"/>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乙方不得有其他违反廉洁从业及诚实信用的行为。</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违约责任</w:t>
      </w:r>
    </w:p>
    <w:p>
      <w:pPr>
        <w:pStyle w:val="212"/>
        <w:numPr>
          <w:ilvl w:val="0"/>
          <w:numId w:val="23"/>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甲方及其工作人员有违反本协议规定的，将严格按照公用集团《党风廉政建设责任制实施办法》处理；情节严重的，按照规定承担赔偿责任；涉及犯罪的，将移交司法机关追究法律责任。</w:t>
      </w:r>
    </w:p>
    <w:p>
      <w:pPr>
        <w:pStyle w:val="212"/>
        <w:numPr>
          <w:ilvl w:val="0"/>
          <w:numId w:val="23"/>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乙方及其工作人员违反本协议规定的，甲方可以依据本合同违约条款规定，视为乙方放弃甲方应付但未付的后续款项（包含但是不限于现金、物资）；同时，年度评价一票否决，合同到期将不再续签。涉及犯罪的，将移交司法机关追究法律责任。</w:t>
      </w:r>
    </w:p>
    <w:p>
      <w:pPr>
        <w:pStyle w:val="212"/>
        <w:numPr>
          <w:ilvl w:val="0"/>
          <w:numId w:val="23"/>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甲方有权根据违约情况解除乙方该项目的业务合同，并在发生违约之日起</w:t>
      </w:r>
      <w:r>
        <w:rPr>
          <w:rFonts w:hint="eastAsia" w:ascii="宋体" w:hAnsi="宋体" w:cs="宋体"/>
          <w:b/>
          <w:bCs/>
          <w:color w:val="auto"/>
          <w:sz w:val="22"/>
          <w:szCs w:val="22"/>
          <w:highlight w:val="none"/>
        </w:rPr>
        <w:t>一</w:t>
      </w:r>
      <w:r>
        <w:rPr>
          <w:rFonts w:hint="eastAsia" w:ascii="宋体" w:hAnsi="宋体" w:cs="宋体"/>
          <w:color w:val="auto"/>
          <w:sz w:val="22"/>
          <w:szCs w:val="22"/>
          <w:highlight w:val="none"/>
        </w:rPr>
        <w:t>年内取消乙方进入甲方市场的准入资格。因取消合同给甲方造成经济损失的，乙方应当予以赔偿。</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本协议书一式俩份，甲乙双方各执一份，自双方签字盖章之日起生效。</w:t>
      </w:r>
    </w:p>
    <w:p>
      <w:pPr>
        <w:pStyle w:val="212"/>
        <w:numPr>
          <w:ilvl w:val="0"/>
          <w:numId w:val="19"/>
        </w:numPr>
        <w:ind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本协议书作为甲乙双方签订合同、协议、框架协议必备附件，与合同正文具有同等的法律效力。</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甲方（盖章）                                                   乙方（盖章）</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授权代表人：                                                   授权代表人：</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日期：                                                         日期：</w:t>
      </w:r>
    </w:p>
    <w:p>
      <w:pPr>
        <w:spacing w:line="460" w:lineRule="exact"/>
        <w:ind w:firstLine="1320" w:firstLineChars="6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pStyle w:val="6"/>
        <w:rPr>
          <w:rFonts w:ascii="宋体" w:hAnsi="宋体" w:eastAsia="宋体" w:cs="楷体"/>
          <w:color w:val="auto"/>
          <w:sz w:val="36"/>
          <w:szCs w:val="36"/>
          <w:highlight w:val="none"/>
        </w:rPr>
      </w:pPr>
      <w:r>
        <w:rPr>
          <w:rFonts w:hint="eastAsia" w:ascii="宋体" w:hAnsi="宋体" w:eastAsia="宋体" w:cs="楷体"/>
          <w:color w:val="auto"/>
          <w:sz w:val="36"/>
          <w:szCs w:val="36"/>
          <w:highlight w:val="none"/>
        </w:rPr>
        <w:br w:type="page"/>
      </w:r>
      <w:bookmarkStart w:id="87" w:name="_Toc11462"/>
      <w:r>
        <w:rPr>
          <w:rFonts w:hint="eastAsia" w:ascii="宋体" w:hAnsi="宋体" w:eastAsia="宋体" w:cs="楷体"/>
          <w:color w:val="auto"/>
          <w:sz w:val="36"/>
          <w:szCs w:val="36"/>
          <w:highlight w:val="none"/>
        </w:rPr>
        <w:t>第三部分   投标文件格式</w:t>
      </w:r>
      <w:bookmarkEnd w:id="87"/>
    </w:p>
    <w:p>
      <w:pPr>
        <w:spacing w:before="120" w:beforeLines="50" w:after="120" w:afterLines="50"/>
        <w:rPr>
          <w:rFonts w:ascii="宋体" w:hAnsi="宋体" w:cs="楷体"/>
          <w:color w:val="auto"/>
          <w:sz w:val="22"/>
          <w:szCs w:val="22"/>
          <w:highlight w:val="none"/>
        </w:rPr>
      </w:pPr>
      <w:r>
        <w:rPr>
          <w:rFonts w:hint="eastAsia" w:ascii="宋体" w:hAnsi="宋体" w:cs="楷体"/>
          <w:color w:val="auto"/>
          <w:sz w:val="22"/>
          <w:szCs w:val="22"/>
          <w:highlight w:val="none"/>
        </w:rPr>
        <w:t>（资格审查资料封面，供参考）</w:t>
      </w:r>
    </w:p>
    <w:p>
      <w:pPr>
        <w:rPr>
          <w:rFonts w:ascii="宋体" w:hAnsi="宋体" w:cs="楷体"/>
          <w:color w:val="auto"/>
          <w:highlight w:val="none"/>
        </w:rPr>
      </w:pPr>
    </w:p>
    <w:p>
      <w:pPr>
        <w:rPr>
          <w:rFonts w:ascii="宋体" w:hAnsi="宋体" w:cs="楷体"/>
          <w:color w:val="auto"/>
          <w:highlight w:val="none"/>
        </w:rPr>
      </w:pPr>
    </w:p>
    <w:p>
      <w:pPr>
        <w:rPr>
          <w:rFonts w:ascii="宋体" w:hAnsi="宋体" w:cs="楷体"/>
          <w:color w:val="auto"/>
          <w:highlight w:val="non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u w:val="single"/>
        </w:rPr>
        <w:t xml:space="preserve">                 （项目名称）              </w:t>
      </w:r>
      <w:r>
        <w:rPr>
          <w:rFonts w:hint="eastAsia" w:ascii="宋体" w:hAnsi="宋体" w:cs="楷体"/>
          <w:color w:val="auto"/>
          <w:sz w:val="28"/>
          <w:szCs w:val="28"/>
          <w:highlight w:val="none"/>
        </w:rPr>
        <w:t>投标文件</w:t>
      </w:r>
    </w:p>
    <w:p>
      <w:pPr>
        <w:rPr>
          <w:rFonts w:ascii="宋体" w:hAnsi="宋体" w:cs="楷体"/>
          <w:color w:val="auto"/>
          <w:sz w:val="28"/>
          <w:szCs w:val="28"/>
          <w:highlight w:val="none"/>
        </w:rPr>
      </w:pPr>
    </w:p>
    <w:p>
      <w:pPr>
        <w:rPr>
          <w:rFonts w:ascii="宋体" w:hAnsi="宋体" w:cs="楷体"/>
          <w:color w:val="auto"/>
          <w:sz w:val="28"/>
          <w:szCs w:val="28"/>
          <w:highlight w:val="none"/>
        </w:rPr>
      </w:pPr>
    </w:p>
    <w:p>
      <w:pPr>
        <w:pStyle w:val="2"/>
        <w:tabs>
          <w:tab w:val="left" w:pos="1951"/>
        </w:tabs>
        <w:ind w:firstLine="280"/>
        <w:rPr>
          <w:rFonts w:ascii="宋体" w:hAnsi="宋体" w:eastAsia="宋体" w:cs="楷体"/>
          <w:color w:val="auto"/>
          <w:sz w:val="28"/>
          <w:szCs w:val="28"/>
          <w:highlight w:val="none"/>
        </w:rPr>
      </w:pPr>
      <w:r>
        <w:rPr>
          <w:rFonts w:hint="eastAsia" w:ascii="宋体" w:hAnsi="宋体" w:eastAsia="宋体" w:cs="楷体"/>
          <w:color w:val="auto"/>
          <w:sz w:val="28"/>
          <w:szCs w:val="28"/>
          <w:highlight w:val="none"/>
        </w:rPr>
        <w:tab/>
      </w:r>
    </w:p>
    <w:p>
      <w:pPr>
        <w:pStyle w:val="2"/>
        <w:ind w:firstLine="280"/>
        <w:rPr>
          <w:rFonts w:ascii="宋体" w:hAnsi="宋体" w:eastAsia="宋体" w:cs="楷体"/>
          <w:color w:val="auto"/>
          <w:sz w:val="28"/>
          <w:szCs w:val="28"/>
          <w:highlight w:val="none"/>
        </w:rPr>
      </w:pPr>
    </w:p>
    <w:p>
      <w:pPr>
        <w:rPr>
          <w:rFonts w:ascii="宋体" w:hAnsi="宋体" w:cs="楷体"/>
          <w:color w:val="auto"/>
          <w:sz w:val="28"/>
          <w:szCs w:val="28"/>
          <w:highlight w:val="none"/>
        </w:rPr>
      </w:pPr>
    </w:p>
    <w:p>
      <w:pPr>
        <w:rPr>
          <w:rFonts w:ascii="宋体" w:hAnsi="宋体" w:cs="楷体"/>
          <w:color w:val="auto"/>
          <w:sz w:val="28"/>
          <w:szCs w:val="28"/>
          <w:highlight w:val="none"/>
        </w:rPr>
      </w:pPr>
    </w:p>
    <w:p>
      <w:pPr>
        <w:jc w:val="center"/>
        <w:rPr>
          <w:rFonts w:ascii="宋体" w:hAnsi="宋体" w:cs="楷体"/>
          <w:color w:val="auto"/>
          <w:sz w:val="52"/>
          <w:szCs w:val="52"/>
          <w:highlight w:val="none"/>
        </w:rPr>
      </w:pPr>
      <w:r>
        <w:rPr>
          <w:rFonts w:hint="eastAsia" w:ascii="宋体" w:hAnsi="宋体" w:cs="楷体"/>
          <w:color w:val="auto"/>
          <w:sz w:val="52"/>
          <w:szCs w:val="52"/>
          <w:highlight w:val="none"/>
        </w:rPr>
        <w:t>资格审查资料</w:t>
      </w: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rPr>
        <w:t>投标人：</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（盖单位章）</w:t>
      </w:r>
    </w:p>
    <w:p>
      <w:pPr>
        <w:rPr>
          <w:rFonts w:ascii="宋体" w:hAnsi="宋体" w:cs="楷体"/>
          <w:color w:val="auto"/>
          <w:sz w:val="28"/>
          <w:szCs w:val="28"/>
          <w:highlight w:val="none"/>
          <w:u w:val="singl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rPr>
        <w:t>法定代表人或其委托代理人：</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（签字或盖章）</w:t>
      </w:r>
    </w:p>
    <w:p>
      <w:pPr>
        <w:rPr>
          <w:rFonts w:ascii="宋体" w:hAnsi="宋体" w:cs="楷体"/>
          <w:color w:val="auto"/>
          <w:sz w:val="28"/>
          <w:szCs w:val="28"/>
          <w:highlight w:val="none"/>
        </w:rPr>
      </w:pPr>
    </w:p>
    <w:p>
      <w:pPr>
        <w:overflowPunct w:val="0"/>
        <w:spacing w:line="380" w:lineRule="exact"/>
        <w:ind w:firstLine="2738" w:firstLineChars="978"/>
        <w:rPr>
          <w:rFonts w:ascii="宋体" w:hAnsi="宋体" w:cs="楷体"/>
          <w:color w:val="auto"/>
          <w:sz w:val="28"/>
          <w:szCs w:val="28"/>
          <w:highlight w:val="none"/>
        </w:rPr>
      </w:pP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年</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月</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日</w:t>
      </w:r>
    </w:p>
    <w:p>
      <w:pPr>
        <w:spacing w:line="460" w:lineRule="exact"/>
        <w:jc w:val="center"/>
        <w:rPr>
          <w:rFonts w:ascii="宋体" w:hAnsi="宋体" w:cs="楷体"/>
          <w:color w:val="auto"/>
          <w:sz w:val="22"/>
          <w:szCs w:val="22"/>
          <w:highlight w:val="none"/>
        </w:rPr>
      </w:pPr>
      <w:r>
        <w:rPr>
          <w:rFonts w:hint="eastAsia" w:ascii="宋体" w:hAnsi="宋体" w:cs="楷体"/>
          <w:color w:val="auto"/>
          <w:sz w:val="22"/>
          <w:szCs w:val="22"/>
          <w:highlight w:val="none"/>
        </w:rPr>
        <w:br w:type="page"/>
      </w:r>
    </w:p>
    <w:p>
      <w:pPr>
        <w:jc w:val="center"/>
        <w:rPr>
          <w:rFonts w:ascii="宋体" w:hAnsi="宋体" w:cs="楷体"/>
          <w:b/>
          <w:bCs/>
          <w:color w:val="auto"/>
          <w:sz w:val="52"/>
          <w:szCs w:val="52"/>
          <w:highlight w:val="none"/>
        </w:rPr>
      </w:pPr>
      <w:r>
        <w:rPr>
          <w:rFonts w:hint="eastAsia" w:ascii="宋体" w:hAnsi="宋体" w:cs="楷体"/>
          <w:b/>
          <w:bCs/>
          <w:color w:val="auto"/>
          <w:sz w:val="52"/>
          <w:szCs w:val="52"/>
          <w:highlight w:val="none"/>
        </w:rPr>
        <w:t>目    录</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申请材料真实性声明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投标保证金缴纳凭证,最终以实际到帐为准（加盖公章）</w:t>
            </w:r>
          </w:p>
        </w:tc>
      </w:tr>
    </w:tbl>
    <w:p>
      <w:pPr>
        <w:spacing w:line="588" w:lineRule="exact"/>
        <w:ind w:left="420"/>
        <w:rPr>
          <w:rFonts w:ascii="宋体" w:hAnsi="宋体" w:cs="楷体"/>
          <w:color w:val="auto"/>
          <w:sz w:val="22"/>
          <w:szCs w:val="22"/>
          <w:highlight w:val="none"/>
        </w:rPr>
      </w:pPr>
    </w:p>
    <w:p>
      <w:pPr>
        <w:widowControl/>
        <w:adjustRightInd w:val="0"/>
        <w:snapToGrid w:val="0"/>
        <w:spacing w:line="360" w:lineRule="auto"/>
        <w:jc w:val="center"/>
        <w:rPr>
          <w:rFonts w:ascii="宋体" w:hAnsi="宋体" w:cs="楷体"/>
          <w:b/>
          <w:color w:val="auto"/>
          <w:kern w:val="0"/>
          <w:sz w:val="28"/>
          <w:szCs w:val="28"/>
          <w:highlight w:val="none"/>
        </w:rPr>
      </w:pPr>
      <w:r>
        <w:rPr>
          <w:rFonts w:hint="eastAsia" w:ascii="宋体" w:hAnsi="宋体" w:cs="楷体"/>
          <w:b/>
          <w:bCs/>
          <w:color w:val="auto"/>
          <w:sz w:val="32"/>
          <w:szCs w:val="32"/>
          <w:highlight w:val="none"/>
        </w:rPr>
        <w:br w:type="page"/>
      </w:r>
      <w:r>
        <w:rPr>
          <w:rFonts w:hint="eastAsia" w:ascii="宋体" w:hAnsi="宋体" w:cs="楷体"/>
          <w:b/>
          <w:color w:val="auto"/>
          <w:kern w:val="0"/>
          <w:sz w:val="28"/>
          <w:szCs w:val="28"/>
          <w:highlight w:val="none"/>
        </w:rPr>
        <w:t>法定代表人授权书</w:t>
      </w:r>
    </w:p>
    <w:p>
      <w:pPr>
        <w:spacing w:line="420" w:lineRule="exact"/>
        <w:rPr>
          <w:rFonts w:ascii="宋体" w:hAnsi="宋体" w:cs="楷体"/>
          <w:b/>
          <w:color w:val="auto"/>
          <w:sz w:val="22"/>
          <w:szCs w:val="22"/>
          <w:highlight w:val="none"/>
        </w:rPr>
      </w:pPr>
    </w:p>
    <w:p>
      <w:pPr>
        <w:spacing w:line="420" w:lineRule="exact"/>
        <w:rPr>
          <w:rFonts w:hint="eastAsia" w:ascii="宋体" w:hAnsi="宋体" w:eastAsia="宋体" w:cs="楷体"/>
          <w:color w:val="auto"/>
          <w:sz w:val="22"/>
          <w:szCs w:val="22"/>
          <w:highlight w:val="none"/>
          <w:lang w:eastAsia="zh-CN"/>
        </w:rPr>
      </w:pPr>
      <w:r>
        <w:rPr>
          <w:rFonts w:hint="eastAsia" w:ascii="宋体" w:hAnsi="宋体" w:cs="楷体"/>
          <w:color w:val="auto"/>
          <w:sz w:val="22"/>
          <w:szCs w:val="22"/>
          <w:highlight w:val="none"/>
          <w:lang w:eastAsia="zh-CN"/>
        </w:rPr>
        <w:t>温州市水务集团有限公司工程建设分公司</w:t>
      </w:r>
    </w:p>
    <w:p>
      <w:pPr>
        <w:spacing w:line="420" w:lineRule="exact"/>
        <w:rPr>
          <w:rFonts w:ascii="宋体" w:hAnsi="宋体" w:cs="楷体"/>
          <w:color w:val="auto"/>
          <w:sz w:val="22"/>
          <w:szCs w:val="22"/>
          <w:highlight w:val="none"/>
        </w:rPr>
      </w:pPr>
      <w:r>
        <w:rPr>
          <w:rFonts w:hint="eastAsia" w:ascii="宋体" w:hAnsi="宋体" w:cs="楷体"/>
          <w:color w:val="auto"/>
          <w:sz w:val="22"/>
          <w:szCs w:val="22"/>
          <w:highlight w:val="none"/>
        </w:rPr>
        <w:t>温州市智信招标代理有限公司：</w:t>
      </w:r>
    </w:p>
    <w:p>
      <w:pPr>
        <w:spacing w:line="460" w:lineRule="exact"/>
        <w:rPr>
          <w:rFonts w:ascii="宋体" w:hAnsi="宋体" w:cs="楷体"/>
          <w:color w:val="auto"/>
          <w:sz w:val="22"/>
          <w:szCs w:val="22"/>
          <w:highlight w:val="none"/>
          <w:u w:val="single"/>
        </w:rPr>
      </w:pPr>
    </w:p>
    <w:p>
      <w:pPr>
        <w:spacing w:line="460" w:lineRule="exact"/>
        <w:ind w:firstLine="550" w:firstLineChars="250"/>
        <w:rPr>
          <w:rFonts w:ascii="宋体" w:hAnsi="宋体" w:cs="楷体"/>
          <w:color w:val="auto"/>
          <w:sz w:val="22"/>
          <w:szCs w:val="22"/>
          <w:highlight w:val="none"/>
        </w:rPr>
      </w:pP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（投标人全称）法定代表人</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授权</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（全权代表姓名）为全权代表，参加贵处</w:t>
      </w:r>
      <w:r>
        <w:rPr>
          <w:rFonts w:hint="eastAsia" w:ascii="宋体" w:hAnsi="宋体" w:cs="楷体"/>
          <w:color w:val="auto"/>
          <w:sz w:val="22"/>
          <w:szCs w:val="22"/>
          <w:highlight w:val="none"/>
          <w:lang w:val="en-US" w:eastAsia="zh-CN"/>
        </w:rPr>
        <w:t>单位</w:t>
      </w:r>
      <w:r>
        <w:rPr>
          <w:rFonts w:hint="eastAsia" w:ascii="宋体" w:hAnsi="宋体" w:cs="楷体"/>
          <w:color w:val="auto"/>
          <w:sz w:val="22"/>
          <w:szCs w:val="22"/>
          <w:highlight w:val="none"/>
        </w:rPr>
        <w:t>组织的</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（采购项目名称、编号）的采购活动，全权代表我方处理采购活动中的一切事宜。</w:t>
      </w:r>
    </w:p>
    <w:p>
      <w:pPr>
        <w:spacing w:line="460" w:lineRule="exact"/>
        <w:ind w:firstLine="2955"/>
        <w:rPr>
          <w:rFonts w:ascii="宋体" w:hAnsi="宋体" w:cs="楷体"/>
          <w:color w:val="auto"/>
          <w:sz w:val="22"/>
          <w:szCs w:val="22"/>
          <w:highlight w:val="none"/>
        </w:rPr>
      </w:pPr>
    </w:p>
    <w:p>
      <w:pPr>
        <w:spacing w:line="460" w:lineRule="exact"/>
        <w:ind w:firstLine="2955"/>
        <w:rPr>
          <w:rFonts w:ascii="宋体" w:hAnsi="宋体" w:cs="楷体"/>
          <w:color w:val="auto"/>
          <w:sz w:val="22"/>
          <w:szCs w:val="22"/>
          <w:highlight w:val="none"/>
        </w:rPr>
      </w:pPr>
      <w:r>
        <w:rPr>
          <w:rFonts w:hint="eastAsia" w:ascii="宋体" w:hAnsi="宋体" w:cs="楷体"/>
          <w:color w:val="auto"/>
          <w:sz w:val="22"/>
          <w:szCs w:val="22"/>
          <w:highlight w:val="none"/>
        </w:rPr>
        <w:t xml:space="preserve">         </w:t>
      </w:r>
    </w:p>
    <w:p>
      <w:pPr>
        <w:spacing w:line="460" w:lineRule="exact"/>
        <w:ind w:firstLine="3971" w:firstLineChars="1805"/>
        <w:rPr>
          <w:rFonts w:ascii="宋体" w:hAnsi="宋体" w:cs="楷体"/>
          <w:color w:val="auto"/>
          <w:sz w:val="22"/>
          <w:szCs w:val="22"/>
          <w:highlight w:val="none"/>
        </w:rPr>
      </w:pPr>
      <w:r>
        <w:rPr>
          <w:rFonts w:hint="eastAsia" w:ascii="宋体" w:hAnsi="宋体" w:cs="楷体"/>
          <w:color w:val="auto"/>
          <w:sz w:val="22"/>
          <w:szCs w:val="22"/>
          <w:highlight w:val="none"/>
        </w:rPr>
        <w:t>法定代表人 (签字或盖章)：</w:t>
      </w:r>
    </w:p>
    <w:p>
      <w:pPr>
        <w:spacing w:line="460" w:lineRule="exact"/>
        <w:ind w:firstLine="2955"/>
        <w:rPr>
          <w:rFonts w:ascii="宋体" w:hAnsi="宋体" w:cs="楷体"/>
          <w:color w:val="auto"/>
          <w:sz w:val="22"/>
          <w:szCs w:val="22"/>
          <w:highlight w:val="none"/>
        </w:rPr>
      </w:pPr>
      <w:r>
        <w:rPr>
          <w:rFonts w:hint="eastAsia" w:ascii="宋体" w:hAnsi="宋体" w:cs="楷体"/>
          <w:color w:val="auto"/>
          <w:sz w:val="22"/>
          <w:szCs w:val="22"/>
          <w:highlight w:val="none"/>
        </w:rPr>
        <w:t xml:space="preserve">         投标人全称（公章）：</w:t>
      </w:r>
    </w:p>
    <w:p>
      <w:pPr>
        <w:spacing w:line="460" w:lineRule="exact"/>
        <w:ind w:firstLine="2955"/>
        <w:rPr>
          <w:rFonts w:ascii="宋体" w:hAnsi="宋体" w:cs="楷体"/>
          <w:color w:val="auto"/>
          <w:sz w:val="22"/>
          <w:szCs w:val="22"/>
          <w:highlight w:val="none"/>
        </w:rPr>
      </w:pPr>
      <w:r>
        <w:rPr>
          <w:rFonts w:hint="eastAsia" w:ascii="宋体" w:hAnsi="宋体" w:cs="楷体"/>
          <w:color w:val="auto"/>
          <w:sz w:val="22"/>
          <w:szCs w:val="22"/>
          <w:highlight w:val="none"/>
        </w:rPr>
        <w:t xml:space="preserve">         日期：     年    月   日</w:t>
      </w:r>
    </w:p>
    <w:p>
      <w:pPr>
        <w:spacing w:line="460" w:lineRule="exact"/>
        <w:rPr>
          <w:rFonts w:ascii="宋体" w:hAnsi="宋体" w:cs="楷体"/>
          <w:color w:val="auto"/>
          <w:sz w:val="22"/>
          <w:szCs w:val="22"/>
          <w:highlight w:val="none"/>
        </w:rPr>
      </w:pPr>
    </w:p>
    <w:p>
      <w:pPr>
        <w:spacing w:line="460" w:lineRule="exact"/>
        <w:rPr>
          <w:rFonts w:ascii="宋体" w:hAnsi="宋体" w:cs="楷体"/>
          <w:color w:val="auto"/>
          <w:sz w:val="22"/>
          <w:szCs w:val="22"/>
          <w:highlight w:val="none"/>
        </w:rPr>
      </w:pPr>
      <w:r>
        <w:rPr>
          <w:rFonts w:hint="eastAsia" w:ascii="宋体" w:hAnsi="宋体" w:cs="楷体"/>
          <w:color w:val="auto"/>
          <w:sz w:val="22"/>
          <w:szCs w:val="22"/>
          <w:highlight w:val="none"/>
        </w:rPr>
        <w:t>附：</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授权代表姓名：</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职务：</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详细通讯地址：</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电话：</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传真：</w:t>
      </w:r>
    </w:p>
    <w:p>
      <w:pPr>
        <w:spacing w:line="460" w:lineRule="exact"/>
        <w:ind w:firstLine="220" w:firstLineChars="100"/>
        <w:rPr>
          <w:rFonts w:ascii="宋体" w:hAnsi="宋体" w:cs="楷体"/>
          <w:color w:val="auto"/>
          <w:sz w:val="22"/>
          <w:szCs w:val="22"/>
          <w:highlight w:val="none"/>
        </w:rPr>
      </w:pPr>
      <w:r>
        <w:rPr>
          <w:rFonts w:hint="eastAsia" w:ascii="宋体" w:hAnsi="宋体" w:cs="楷体"/>
          <w:color w:val="auto"/>
          <w:sz w:val="22"/>
          <w:szCs w:val="22"/>
          <w:highlight w:val="none"/>
        </w:rPr>
        <w:t>邮政编码:</w:t>
      </w:r>
    </w:p>
    <w:tbl>
      <w:tblPr>
        <w:tblStyle w:val="51"/>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cs="楷体"/>
                <w:b/>
                <w:color w:val="auto"/>
                <w:sz w:val="28"/>
                <w:szCs w:val="28"/>
                <w:highlight w:val="none"/>
              </w:rPr>
            </w:pPr>
            <w:r>
              <w:rPr>
                <w:rFonts w:hint="eastAsia" w:ascii="宋体" w:hAnsi="宋体" w:cs="楷体"/>
                <w:b/>
                <w:color w:val="auto"/>
                <w:sz w:val="28"/>
                <w:szCs w:val="28"/>
                <w:highlight w:val="none"/>
              </w:rPr>
              <w:t>投标人代表身份证复印件</w:t>
            </w:r>
          </w:p>
          <w:p>
            <w:pPr>
              <w:spacing w:line="380" w:lineRule="exact"/>
              <w:jc w:val="center"/>
              <w:rPr>
                <w:rFonts w:ascii="宋体" w:hAnsi="宋体" w:cs="楷体"/>
                <w:b/>
                <w:bCs/>
                <w:color w:val="auto"/>
                <w:sz w:val="28"/>
                <w:highlight w:val="none"/>
              </w:rPr>
            </w:pPr>
          </w:p>
        </w:tc>
      </w:tr>
    </w:tbl>
    <w:p>
      <w:pPr>
        <w:pStyle w:val="6"/>
        <w:jc w:val="left"/>
        <w:rPr>
          <w:rFonts w:ascii="宋体" w:hAnsi="宋体" w:eastAsia="宋体" w:cs="楷体"/>
          <w:b w:val="0"/>
          <w:color w:val="auto"/>
          <w:szCs w:val="21"/>
          <w:highlight w:val="none"/>
        </w:rPr>
      </w:pPr>
      <w:r>
        <w:rPr>
          <w:rFonts w:hint="eastAsia" w:ascii="宋体" w:hAnsi="宋体" w:eastAsia="宋体" w:cs="楷体"/>
          <w:color w:val="auto"/>
          <w:sz w:val="22"/>
          <w:szCs w:val="22"/>
          <w:highlight w:val="none"/>
        </w:rPr>
        <w:br w:type="page"/>
      </w:r>
    </w:p>
    <w:p>
      <w:pPr>
        <w:pStyle w:val="6"/>
        <w:rPr>
          <w:rFonts w:hint="eastAsia" w:ascii="宋体" w:hAnsi="宋体" w:eastAsia="宋体" w:cs="宋体"/>
          <w:color w:val="auto"/>
          <w:kern w:val="0"/>
          <w:sz w:val="28"/>
          <w:szCs w:val="28"/>
          <w:highlight w:val="none"/>
        </w:rPr>
      </w:pPr>
      <w:bookmarkStart w:id="88" w:name="_Toc5222"/>
      <w:bookmarkStart w:id="89" w:name="_Toc9801"/>
      <w:bookmarkStart w:id="90" w:name="_Toc25466"/>
      <w:r>
        <w:rPr>
          <w:rFonts w:hint="eastAsia" w:ascii="宋体" w:hAnsi="宋体" w:eastAsia="宋体" w:cs="宋体"/>
          <w:color w:val="auto"/>
          <w:kern w:val="0"/>
          <w:sz w:val="28"/>
          <w:szCs w:val="28"/>
          <w:highlight w:val="none"/>
        </w:rPr>
        <w:t>资格条件承诺函</w:t>
      </w:r>
      <w:bookmarkEnd w:id="88"/>
      <w:bookmarkEnd w:id="89"/>
      <w:bookmarkEnd w:id="90"/>
    </w:p>
    <w:p>
      <w:pPr>
        <w:spacing w:line="440" w:lineRule="exact"/>
        <w:ind w:right="-153" w:rightChars="-73"/>
        <w:rPr>
          <w:rFonts w:hint="eastAsia" w:ascii="宋体" w:hAnsi="宋体" w:cs="宋体"/>
          <w:color w:val="auto"/>
          <w:sz w:val="22"/>
          <w:szCs w:val="22"/>
          <w:highlight w:val="none"/>
        </w:rPr>
      </w:pPr>
    </w:p>
    <w:p>
      <w:pPr>
        <w:spacing w:line="42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温州市水务集团有限公司工程建设分公司</w:t>
      </w: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hd w:val="clear" w:color="auto" w:fill="FFFFFF"/>
        <w:snapToGrid w:val="0"/>
        <w:spacing w:line="440" w:lineRule="exact"/>
        <w:rPr>
          <w:rFonts w:hint="eastAsia" w:ascii="宋体" w:hAnsi="宋体" w:cs="宋体"/>
          <w:color w:val="auto"/>
          <w:sz w:val="22"/>
          <w:szCs w:val="22"/>
          <w:highlight w:val="none"/>
        </w:rPr>
      </w:pP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w:t>
      </w:r>
      <w:r>
        <w:rPr>
          <w:rFonts w:hint="eastAsia" w:ascii="宋体" w:hAnsi="宋体" w:cs="宋体"/>
          <w:color w:val="auto"/>
          <w:kern w:val="0"/>
          <w:sz w:val="22"/>
          <w:szCs w:val="22"/>
          <w:highlight w:val="none"/>
        </w:rPr>
        <w:t>《温州市市属国有企业采购管理办法（试行）》第十五条</w:t>
      </w:r>
      <w:r>
        <w:rPr>
          <w:rFonts w:hint="eastAsia" w:ascii="宋体" w:hAnsi="宋体" w:cs="宋体"/>
          <w:color w:val="auto"/>
          <w:sz w:val="22"/>
          <w:szCs w:val="22"/>
          <w:highlight w:val="none"/>
        </w:rPr>
        <w:t>规定的资格条件，即</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（3）我方具有履行合同所必需的设备和专业技术、售后保障等能力；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（5）我方参加本次采购活动前3年内在经营活动中没有重大违法记录、严重失信行为和行贿记录。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"http://www.creditchina.gov.cn）、" </w:instrText>
      </w:r>
      <w:r>
        <w:rPr>
          <w:rFonts w:hint="eastAsia" w:ascii="宋体" w:hAnsi="宋体" w:cs="宋体"/>
          <w:color w:val="auto"/>
          <w:kern w:val="0"/>
          <w:sz w:val="22"/>
          <w:szCs w:val="22"/>
          <w:highlight w:val="none"/>
        </w:rPr>
        <w:fldChar w:fldCharType="separate"/>
      </w:r>
      <w:r>
        <w:rPr>
          <w:rStyle w:val="59"/>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p>
    <w:p>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29"/>
        <w:spacing w:line="600" w:lineRule="exact"/>
        <w:ind w:firstLine="4840" w:firstLineChars="2200"/>
        <w:rPr>
          <w:rFonts w:hint="eastAsia" w:ascii="宋体" w:hAnsi="宋体" w:eastAsia="宋体" w:cs="宋体"/>
          <w:color w:val="auto"/>
          <w:sz w:val="22"/>
          <w:szCs w:val="22"/>
          <w:highlight w:val="none"/>
        </w:rPr>
      </w:pPr>
    </w:p>
    <w:p>
      <w:pPr>
        <w:spacing w:line="400" w:lineRule="exact"/>
        <w:rPr>
          <w:rFonts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80" w:lineRule="exact"/>
        <w:rPr>
          <w:rFonts w:hint="eastAsia" w:ascii="宋体" w:hAnsi="宋体" w:cs="宋体"/>
          <w:bCs/>
          <w:color w:val="auto"/>
          <w:sz w:val="22"/>
          <w:szCs w:val="22"/>
          <w:highlight w:val="none"/>
        </w:rPr>
      </w:pP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pStyle w:val="2"/>
        <w:rPr>
          <w:rFonts w:hint="eastAsia"/>
          <w:color w:val="auto"/>
          <w:highlight w:val="none"/>
        </w:rPr>
      </w:pPr>
    </w:p>
    <w:p>
      <w:pPr>
        <w:widowControl/>
        <w:adjustRightInd w:val="0"/>
        <w:snapToGrid w:val="0"/>
        <w:spacing w:line="360" w:lineRule="auto"/>
        <w:rPr>
          <w:rFonts w:hint="eastAsia" w:ascii="宋体" w:hAnsi="宋体" w:cs="宋体"/>
          <w:b/>
          <w:bCs/>
          <w:color w:val="auto"/>
          <w:sz w:val="22"/>
          <w:szCs w:val="22"/>
          <w:highlight w:val="none"/>
        </w:rPr>
      </w:pPr>
    </w:p>
    <w:p>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申请材料真实性声明</w:t>
      </w:r>
    </w:p>
    <w:p>
      <w:pPr>
        <w:widowControl/>
        <w:adjustRightInd w:val="0"/>
        <w:snapToGrid w:val="0"/>
        <w:spacing w:line="360" w:lineRule="auto"/>
        <w:jc w:val="center"/>
        <w:rPr>
          <w:rFonts w:hint="eastAsia" w:ascii="宋体" w:hAnsi="宋体" w:cs="宋体"/>
          <w:b/>
          <w:color w:val="auto"/>
          <w:kern w:val="0"/>
          <w:sz w:val="28"/>
          <w:szCs w:val="28"/>
          <w:highlight w:val="none"/>
        </w:rPr>
      </w:pPr>
    </w:p>
    <w:p>
      <w:pPr>
        <w:spacing w:line="420" w:lineRule="exact"/>
        <w:rPr>
          <w:rFonts w:hint="eastAsia" w:ascii="宋体" w:hAnsi="宋体" w:eastAsia="宋体" w:cs="宋体"/>
          <w:color w:val="auto"/>
          <w:sz w:val="22"/>
          <w:szCs w:val="22"/>
          <w:highlight w:val="none"/>
          <w:lang w:eastAsia="zh-CN"/>
        </w:rPr>
      </w:pPr>
      <w:r>
        <w:rPr>
          <w:rFonts w:hint="eastAsia" w:ascii="新宋体" w:hAnsi="新宋体" w:eastAsia="新宋体" w:cs="新宋体"/>
          <w:color w:val="auto"/>
          <w:sz w:val="22"/>
          <w:szCs w:val="22"/>
          <w:highlight w:val="none"/>
          <w:lang w:eastAsia="zh-CN"/>
        </w:rPr>
        <w:t>温州市水务集团有限公司工程建设分公司</w:t>
      </w: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hd w:val="clear" w:color="auto" w:fill="FFFFFF"/>
        <w:snapToGrid w:val="0"/>
        <w:spacing w:line="440" w:lineRule="exact"/>
        <w:rPr>
          <w:rFonts w:hint="eastAsia" w:ascii="宋体" w:hAnsi="宋体" w:cs="宋体"/>
          <w:color w:val="auto"/>
          <w:sz w:val="22"/>
          <w:szCs w:val="22"/>
          <w:highlight w:val="none"/>
        </w:rPr>
      </w:pPr>
    </w:p>
    <w:p>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（采购项目名称、编号）公开招标活动</w:t>
      </w:r>
      <w:r>
        <w:rPr>
          <w:rFonts w:hint="eastAsia" w:ascii="宋体" w:hAnsi="宋体" w:cs="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pPr>
        <w:spacing w:line="400" w:lineRule="exact"/>
        <w:rPr>
          <w:rFonts w:ascii="新宋体" w:hAnsi="新宋体" w:eastAsia="新宋体" w:cs="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pStyle w:val="2"/>
        <w:ind w:firstLine="220"/>
        <w:rPr>
          <w:rFonts w:hint="eastAsia" w:ascii="宋体" w:hAnsi="宋体" w:eastAsia="宋体" w:cs="宋体"/>
          <w:color w:val="auto"/>
          <w:sz w:val="22"/>
          <w:szCs w:val="22"/>
          <w:highlight w:val="none"/>
          <w:u w:val="single"/>
        </w:rPr>
      </w:pPr>
    </w:p>
    <w:p>
      <w:pPr>
        <w:spacing w:line="360" w:lineRule="auto"/>
        <w:rPr>
          <w:rFonts w:hint="eastAsia" w:ascii="宋体" w:hAnsi="宋体" w:cs="宋体"/>
          <w:color w:val="auto"/>
          <w:sz w:val="22"/>
          <w:szCs w:val="22"/>
          <w:highlight w:val="none"/>
        </w:rPr>
      </w:pPr>
    </w:p>
    <w:p>
      <w:pPr>
        <w:pStyle w:val="2"/>
        <w:ind w:firstLine="200"/>
        <w:rPr>
          <w:rFonts w:hint="eastAsia" w:ascii="宋体" w:hAnsi="宋体" w:eastAsia="宋体" w:cs="宋体"/>
          <w:color w:val="auto"/>
          <w:highlight w:val="none"/>
        </w:rPr>
      </w:pPr>
    </w:p>
    <w:p>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pPr>
        <w:spacing w:line="380" w:lineRule="exact"/>
        <w:rPr>
          <w:rFonts w:hint="eastAsia" w:ascii="宋体" w:hAnsi="宋体" w:cs="宋体"/>
          <w:color w:val="auto"/>
          <w:sz w:val="22"/>
          <w:szCs w:val="22"/>
          <w:highlight w:val="none"/>
        </w:rPr>
      </w:pPr>
    </w:p>
    <w:p>
      <w:pPr>
        <w:spacing w:line="380" w:lineRule="exact"/>
        <w:rPr>
          <w:rFonts w:hint="eastAsia" w:ascii="宋体" w:hAnsi="宋体" w:cs="宋体"/>
          <w:color w:val="auto"/>
          <w:sz w:val="22"/>
          <w:szCs w:val="22"/>
          <w:highlight w:val="none"/>
        </w:rPr>
      </w:pPr>
    </w:p>
    <w:p>
      <w:pPr>
        <w:spacing w:line="380" w:lineRule="exact"/>
        <w:rPr>
          <w:rFonts w:hint="eastAsia" w:ascii="宋体" w:hAnsi="宋体" w:cs="宋体"/>
          <w:color w:val="auto"/>
          <w:sz w:val="22"/>
          <w:szCs w:val="22"/>
          <w:highlight w:val="none"/>
        </w:rPr>
      </w:pPr>
    </w:p>
    <w:p>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pPr>
        <w:spacing w:line="360" w:lineRule="auto"/>
        <w:rPr>
          <w:rFonts w:ascii="新宋体" w:hAnsi="新宋体" w:eastAsia="新宋体" w:cs="新宋体"/>
          <w:color w:val="auto"/>
          <w:sz w:val="22"/>
          <w:szCs w:val="22"/>
          <w:highlight w:val="none"/>
        </w:rPr>
      </w:pPr>
    </w:p>
    <w:p>
      <w:pPr>
        <w:pStyle w:val="2"/>
        <w:ind w:firstLine="220"/>
        <w:rPr>
          <w:rFonts w:ascii="宋体" w:hAnsi="宋体" w:eastAsia="宋体" w:cs="楷体"/>
          <w:color w:val="auto"/>
          <w:sz w:val="22"/>
          <w:szCs w:val="22"/>
          <w:highlight w:val="none"/>
          <w:u w:val="single"/>
        </w:rPr>
      </w:pPr>
    </w:p>
    <w:p>
      <w:pPr>
        <w:spacing w:line="360" w:lineRule="auto"/>
        <w:rPr>
          <w:rFonts w:ascii="宋体" w:hAnsi="宋体" w:cs="楷体"/>
          <w:color w:val="auto"/>
          <w:sz w:val="22"/>
          <w:szCs w:val="22"/>
          <w:highlight w:val="none"/>
        </w:rPr>
      </w:pPr>
    </w:p>
    <w:p>
      <w:pPr>
        <w:pStyle w:val="2"/>
        <w:ind w:firstLine="200"/>
        <w:rPr>
          <w:rFonts w:ascii="宋体" w:hAnsi="宋体" w:eastAsia="宋体" w:cs="楷体"/>
          <w:color w:val="auto"/>
          <w:highlight w:val="none"/>
        </w:rPr>
      </w:pPr>
    </w:p>
    <w:p>
      <w:pPr>
        <w:pStyle w:val="6"/>
        <w:jc w:val="left"/>
        <w:rPr>
          <w:rFonts w:ascii="宋体" w:hAnsi="宋体" w:eastAsia="宋体" w:cs="楷体"/>
          <w:b w:val="0"/>
          <w:color w:val="auto"/>
          <w:szCs w:val="21"/>
          <w:highlight w:val="none"/>
        </w:rPr>
      </w:pPr>
      <w:r>
        <w:rPr>
          <w:rFonts w:hint="eastAsia" w:ascii="宋体" w:hAnsi="宋体" w:eastAsia="宋体" w:cs="楷体"/>
          <w:b w:val="0"/>
          <w:color w:val="auto"/>
          <w:szCs w:val="21"/>
          <w:highlight w:val="none"/>
        </w:rPr>
        <w:br w:type="page"/>
      </w:r>
    </w:p>
    <w:p>
      <w:pPr>
        <w:spacing w:before="120" w:beforeLines="50" w:after="120" w:afterLines="50"/>
        <w:rPr>
          <w:rFonts w:ascii="宋体" w:hAnsi="宋体" w:cs="楷体"/>
          <w:color w:val="auto"/>
          <w:sz w:val="22"/>
          <w:szCs w:val="22"/>
          <w:highlight w:val="none"/>
        </w:rPr>
      </w:pPr>
      <w:r>
        <w:rPr>
          <w:rFonts w:hint="eastAsia" w:ascii="宋体" w:hAnsi="宋体" w:cs="楷体"/>
          <w:color w:val="auto"/>
          <w:sz w:val="22"/>
          <w:szCs w:val="22"/>
          <w:highlight w:val="none"/>
        </w:rPr>
        <w:t>（技术资信标封面，供参考）</w:t>
      </w:r>
    </w:p>
    <w:p>
      <w:pPr>
        <w:rPr>
          <w:rFonts w:ascii="宋体" w:hAnsi="宋体" w:cs="楷体"/>
          <w:color w:val="auto"/>
          <w:highlight w:val="none"/>
        </w:rPr>
      </w:pPr>
    </w:p>
    <w:p>
      <w:pPr>
        <w:rPr>
          <w:rFonts w:ascii="宋体" w:hAnsi="宋体" w:cs="楷体"/>
          <w:color w:val="auto"/>
          <w:highlight w:val="none"/>
        </w:rPr>
      </w:pPr>
    </w:p>
    <w:p>
      <w:pPr>
        <w:rPr>
          <w:rFonts w:ascii="宋体" w:hAnsi="宋体" w:cs="楷体"/>
          <w:color w:val="auto"/>
          <w:highlight w:val="non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u w:val="single"/>
        </w:rPr>
        <w:t xml:space="preserve">                 （项目名称）              </w:t>
      </w:r>
      <w:r>
        <w:rPr>
          <w:rFonts w:hint="eastAsia" w:ascii="宋体" w:hAnsi="宋体" w:cs="楷体"/>
          <w:color w:val="auto"/>
          <w:sz w:val="28"/>
          <w:szCs w:val="28"/>
          <w:highlight w:val="none"/>
        </w:rPr>
        <w:t>投标文件</w:t>
      </w:r>
    </w:p>
    <w:p>
      <w:pPr>
        <w:rPr>
          <w:rFonts w:ascii="宋体" w:hAnsi="宋体" w:cs="楷体"/>
          <w:color w:val="auto"/>
          <w:sz w:val="28"/>
          <w:szCs w:val="28"/>
          <w:highlight w:val="none"/>
        </w:rPr>
      </w:pPr>
    </w:p>
    <w:p>
      <w:pPr>
        <w:rPr>
          <w:rFonts w:ascii="宋体" w:hAnsi="宋体" w:cs="楷体"/>
          <w:color w:val="auto"/>
          <w:sz w:val="28"/>
          <w:szCs w:val="28"/>
          <w:highlight w:val="none"/>
        </w:rPr>
      </w:pPr>
    </w:p>
    <w:p>
      <w:pPr>
        <w:pStyle w:val="2"/>
        <w:ind w:firstLine="280"/>
        <w:rPr>
          <w:rFonts w:ascii="宋体" w:hAnsi="宋体" w:eastAsia="宋体" w:cs="楷体"/>
          <w:color w:val="auto"/>
          <w:sz w:val="28"/>
          <w:szCs w:val="28"/>
          <w:highlight w:val="none"/>
        </w:rPr>
      </w:pPr>
    </w:p>
    <w:p>
      <w:pPr>
        <w:pStyle w:val="2"/>
        <w:ind w:firstLine="280"/>
        <w:jc w:val="center"/>
        <w:rPr>
          <w:rFonts w:ascii="宋体" w:hAnsi="宋体" w:eastAsia="宋体" w:cs="楷体"/>
          <w:color w:val="auto"/>
          <w:sz w:val="28"/>
          <w:szCs w:val="28"/>
          <w:highlight w:val="none"/>
        </w:rPr>
      </w:pPr>
    </w:p>
    <w:p>
      <w:pPr>
        <w:rPr>
          <w:rFonts w:ascii="宋体" w:hAnsi="宋体" w:cs="楷体"/>
          <w:color w:val="auto"/>
          <w:sz w:val="28"/>
          <w:szCs w:val="28"/>
          <w:highlight w:val="none"/>
        </w:rPr>
      </w:pPr>
    </w:p>
    <w:p>
      <w:pPr>
        <w:rPr>
          <w:rFonts w:ascii="宋体" w:hAnsi="宋体" w:cs="楷体"/>
          <w:color w:val="auto"/>
          <w:sz w:val="28"/>
          <w:szCs w:val="28"/>
          <w:highlight w:val="none"/>
        </w:rPr>
      </w:pPr>
    </w:p>
    <w:p>
      <w:pPr>
        <w:jc w:val="center"/>
        <w:rPr>
          <w:rFonts w:ascii="宋体" w:hAnsi="宋体" w:cs="楷体"/>
          <w:color w:val="auto"/>
          <w:sz w:val="52"/>
          <w:szCs w:val="52"/>
          <w:highlight w:val="none"/>
        </w:rPr>
      </w:pPr>
      <w:r>
        <w:rPr>
          <w:rFonts w:hint="eastAsia" w:ascii="宋体" w:hAnsi="宋体" w:cs="楷体"/>
          <w:color w:val="auto"/>
          <w:sz w:val="52"/>
          <w:szCs w:val="52"/>
          <w:highlight w:val="none"/>
        </w:rPr>
        <w:t>技 术 资 信 标</w:t>
      </w: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spacing w:line="360" w:lineRule="auto"/>
        <w:rPr>
          <w:rFonts w:ascii="宋体" w:hAnsi="宋体" w:cs="楷体"/>
          <w:color w:val="auto"/>
          <w:szCs w:val="21"/>
          <w:highlight w:val="none"/>
        </w:rPr>
      </w:pPr>
    </w:p>
    <w:p>
      <w:pPr>
        <w:pStyle w:val="2"/>
        <w:ind w:firstLine="200"/>
        <w:rPr>
          <w:rFonts w:ascii="宋体" w:hAnsi="宋体" w:eastAsia="宋体" w:cs="楷体"/>
          <w:color w:val="auto"/>
          <w:highlight w:val="none"/>
        </w:rPr>
      </w:pPr>
    </w:p>
    <w:p>
      <w:pPr>
        <w:spacing w:line="360" w:lineRule="auto"/>
        <w:rPr>
          <w:rFonts w:ascii="宋体" w:hAnsi="宋体" w:cs="楷体"/>
          <w:color w:val="auto"/>
          <w:szCs w:val="21"/>
          <w:highlight w:val="non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rPr>
        <w:t>投标人：</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（盖单位章）</w:t>
      </w:r>
    </w:p>
    <w:p>
      <w:pPr>
        <w:rPr>
          <w:rFonts w:ascii="宋体" w:hAnsi="宋体" w:cs="楷体"/>
          <w:color w:val="auto"/>
          <w:sz w:val="28"/>
          <w:szCs w:val="28"/>
          <w:highlight w:val="none"/>
          <w:u w:val="singl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rPr>
        <w:t>法定代表人或其委托代理人：</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（签字或盖章）</w:t>
      </w:r>
    </w:p>
    <w:p>
      <w:pPr>
        <w:rPr>
          <w:rFonts w:ascii="宋体" w:hAnsi="宋体" w:cs="楷体"/>
          <w:color w:val="auto"/>
          <w:sz w:val="28"/>
          <w:szCs w:val="28"/>
          <w:highlight w:val="none"/>
        </w:rPr>
      </w:pPr>
    </w:p>
    <w:p>
      <w:pPr>
        <w:jc w:val="center"/>
        <w:rPr>
          <w:rFonts w:ascii="宋体" w:hAnsi="宋体" w:cs="楷体"/>
          <w:color w:val="auto"/>
          <w:sz w:val="28"/>
          <w:szCs w:val="28"/>
          <w:highlight w:val="none"/>
        </w:rPr>
      </w:pP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年</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月</w:t>
      </w:r>
      <w:r>
        <w:rPr>
          <w:rFonts w:hint="eastAsia" w:ascii="宋体" w:hAnsi="宋体" w:cs="楷体"/>
          <w:color w:val="auto"/>
          <w:sz w:val="28"/>
          <w:szCs w:val="28"/>
          <w:highlight w:val="none"/>
          <w:u w:val="single"/>
        </w:rPr>
        <w:t xml:space="preserve">        </w:t>
      </w:r>
      <w:r>
        <w:rPr>
          <w:rFonts w:hint="eastAsia" w:ascii="宋体" w:hAnsi="宋体" w:cs="楷体"/>
          <w:color w:val="auto"/>
          <w:sz w:val="28"/>
          <w:szCs w:val="28"/>
          <w:highlight w:val="none"/>
        </w:rPr>
        <w:t>日</w:t>
      </w:r>
    </w:p>
    <w:p>
      <w:pPr>
        <w:spacing w:line="460" w:lineRule="exact"/>
        <w:jc w:val="center"/>
        <w:rPr>
          <w:rFonts w:ascii="宋体" w:hAnsi="宋体" w:cs="楷体"/>
          <w:b/>
          <w:bCs/>
          <w:color w:val="auto"/>
          <w:sz w:val="28"/>
          <w:szCs w:val="28"/>
          <w:highlight w:val="none"/>
        </w:rPr>
      </w:pPr>
      <w:r>
        <w:rPr>
          <w:rFonts w:hint="eastAsia" w:ascii="宋体" w:hAnsi="宋体" w:cs="楷体"/>
          <w:color w:val="auto"/>
          <w:highlight w:val="none"/>
        </w:rPr>
        <w:br w:type="page"/>
      </w:r>
      <w:r>
        <w:rPr>
          <w:rFonts w:hint="eastAsia" w:ascii="宋体" w:hAnsi="宋体" w:cs="楷体"/>
          <w:b/>
          <w:bCs/>
          <w:color w:val="auto"/>
          <w:sz w:val="28"/>
          <w:szCs w:val="28"/>
          <w:highlight w:val="none"/>
        </w:rPr>
        <w:t>目  录</w:t>
      </w:r>
    </w:p>
    <w:p>
      <w:pPr>
        <w:spacing w:line="360" w:lineRule="auto"/>
        <w:jc w:val="center"/>
        <w:rPr>
          <w:rFonts w:hint="eastAsia" w:ascii="宋体" w:hAnsi="宋体" w:cs="楷体"/>
          <w:color w:val="auto"/>
          <w:sz w:val="24"/>
          <w:highlight w:val="none"/>
        </w:rPr>
      </w:pP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技术要求应答表、</w:t>
            </w:r>
            <w:r>
              <w:rPr>
                <w:rFonts w:hint="eastAsia" w:ascii="新宋体" w:hAnsi="新宋体" w:eastAsia="新宋体" w:cs="新宋体"/>
                <w:color w:val="auto"/>
                <w:sz w:val="22"/>
                <w:szCs w:val="22"/>
                <w:highlight w:val="none"/>
              </w:rPr>
              <w:t>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pP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投标人</w:t>
            </w:r>
            <w:r>
              <w:rPr>
                <w:rFonts w:hint="eastAsia" w:ascii="新宋体" w:hAnsi="新宋体" w:eastAsia="新宋体" w:cs="新宋体"/>
                <w:color w:val="auto"/>
                <w:sz w:val="22"/>
                <w:szCs w:val="22"/>
                <w:highlight w:val="none"/>
                <w:lang w:val="en-US" w:eastAsia="zh-CN"/>
              </w:rPr>
              <w:t>综合</w:t>
            </w:r>
            <w:r>
              <w:rPr>
                <w:rFonts w:hint="eastAsia" w:ascii="新宋体" w:hAnsi="新宋体" w:eastAsia="新宋体" w:cs="新宋体"/>
                <w:color w:val="auto"/>
                <w:sz w:val="22"/>
                <w:szCs w:val="22"/>
                <w:highlight w:val="none"/>
              </w:rPr>
              <w:t>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供货清单一览表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snapToGrid w:val="0"/>
                <w:color w:val="auto"/>
                <w:kern w:val="0"/>
                <w:sz w:val="22"/>
                <w:szCs w:val="22"/>
                <w:highlight w:val="none"/>
              </w:rPr>
            </w:pPr>
            <w:r>
              <w:rPr>
                <w:rFonts w:hint="eastAsia" w:ascii="宋体" w:hAnsi="宋体" w:eastAsia="宋体" w:cs="宋体"/>
                <w:strike w:val="0"/>
                <w:dstrike w:val="0"/>
                <w:color w:val="auto"/>
                <w:sz w:val="22"/>
                <w:szCs w:val="22"/>
                <w:highlight w:val="none"/>
              </w:rPr>
              <w:t>备品备件、易损易耗件、耗材</w:t>
            </w:r>
            <w:r>
              <w:rPr>
                <w:rFonts w:hint="eastAsia" w:ascii="宋体" w:hAnsi="宋体" w:eastAsia="宋体" w:cs="宋体"/>
                <w:strike w:val="0"/>
                <w:dstrike w:val="0"/>
                <w:color w:val="auto"/>
                <w:sz w:val="22"/>
                <w:szCs w:val="22"/>
                <w:highlight w:val="none"/>
                <w:lang w:val="en-US" w:eastAsia="zh-CN"/>
              </w:rPr>
              <w:t>和专用工具清单</w:t>
            </w:r>
            <w:r>
              <w:rPr>
                <w:rFonts w:hint="eastAsia" w:ascii="宋体" w:hAnsi="宋体" w:eastAsia="宋体" w:cs="宋体"/>
                <w:strike w:val="0"/>
                <w:dstrike w:val="0"/>
                <w:color w:val="auto"/>
                <w:sz w:val="22"/>
                <w:szCs w:val="22"/>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snapToGrid w:val="0"/>
                <w:color w:val="auto"/>
                <w:kern w:val="0"/>
                <w:sz w:val="22"/>
                <w:szCs w:val="22"/>
                <w:highlight w:val="none"/>
              </w:rPr>
            </w:pPr>
            <w:r>
              <w:rPr>
                <w:rFonts w:hint="eastAsia" w:ascii="宋体" w:hAnsi="宋体" w:eastAsia="宋体" w:cs="宋体"/>
                <w:strike w:val="0"/>
                <w:dstrike w:val="0"/>
                <w:color w:val="auto"/>
                <w:sz w:val="22"/>
                <w:szCs w:val="22"/>
                <w:highlight w:val="none"/>
              </w:rPr>
              <w:t>主要原材料情况表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宋体" w:hAnsi="宋体" w:cs="宋体"/>
                <w:color w:val="auto"/>
                <w:sz w:val="22"/>
                <w:szCs w:val="22"/>
                <w:highlight w:val="none"/>
              </w:rPr>
            </w:pPr>
            <w:r>
              <w:rPr>
                <w:rFonts w:hint="eastAsia" w:ascii="宋体" w:hAnsi="宋体" w:eastAsia="宋体" w:cs="宋体"/>
                <w:strike w:val="0"/>
                <w:dstrike w:val="0"/>
                <w:color w:val="auto"/>
                <w:sz w:val="22"/>
                <w:szCs w:val="22"/>
                <w:highlight w:val="none"/>
              </w:rPr>
              <w:t>产品技术标准及性能的详细描述</w:t>
            </w:r>
            <w:r>
              <w:rPr>
                <w:rFonts w:hint="eastAsia" w:ascii="宋体" w:hAnsi="宋体" w:eastAsia="宋体" w:cs="宋体"/>
                <w:strike w:val="0"/>
                <w:dstrike w:val="0"/>
                <w:color w:val="auto"/>
                <w:sz w:val="22"/>
                <w:szCs w:val="22"/>
                <w:highlight w:val="none"/>
                <w:lang w:eastAsia="zh-CN"/>
              </w:rPr>
              <w:t>（</w:t>
            </w:r>
            <w:r>
              <w:rPr>
                <w:rFonts w:hint="eastAsia" w:ascii="宋体" w:hAnsi="宋体" w:eastAsia="宋体" w:cs="宋体"/>
                <w:strike w:val="0"/>
                <w:dstrike w:val="0"/>
                <w:color w:val="auto"/>
                <w:sz w:val="22"/>
                <w:szCs w:val="22"/>
                <w:highlight w:val="none"/>
                <w:lang w:val="en-US" w:eastAsia="zh-CN"/>
              </w:rPr>
              <w:t>含产品设计图</w:t>
            </w:r>
            <w:r>
              <w:rPr>
                <w:rFonts w:hint="eastAsia" w:ascii="宋体" w:hAnsi="宋体" w:eastAsia="宋体" w:cs="宋体"/>
                <w:strike w:val="0"/>
                <w:dstrike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项目实施方案（包括生产地址、质量控制、运输、交货验收等）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宋体" w:hAnsi="宋体" w:cs="宋体"/>
                <w:color w:val="auto"/>
                <w:sz w:val="22"/>
                <w:szCs w:val="22"/>
                <w:highlight w:val="none"/>
              </w:rPr>
            </w:pPr>
            <w:r>
              <w:rPr>
                <w:rFonts w:hint="eastAsia" w:ascii="宋体" w:hAnsi="宋体" w:eastAsia="宋体" w:cs="宋体"/>
                <w:strike w:val="0"/>
                <w:dstrike w:val="0"/>
                <w:color w:val="auto"/>
                <w:sz w:val="22"/>
                <w:szCs w:val="22"/>
                <w:highlight w:val="none"/>
              </w:rPr>
              <w:t>投标人</w:t>
            </w:r>
            <w:r>
              <w:rPr>
                <w:rFonts w:hint="eastAsia" w:ascii="宋体" w:hAnsi="宋体" w:eastAsia="宋体" w:cs="宋体"/>
                <w:strike w:val="0"/>
                <w:dstrike w:val="0"/>
                <w:color w:val="auto"/>
                <w:sz w:val="22"/>
                <w:szCs w:val="22"/>
                <w:highlight w:val="none"/>
                <w:lang w:eastAsia="zh-CN"/>
              </w:rPr>
              <w:t>2020年1月1日</w:t>
            </w:r>
            <w:r>
              <w:rPr>
                <w:rFonts w:hint="eastAsia" w:ascii="宋体" w:hAnsi="宋体" w:eastAsia="宋体" w:cs="宋体"/>
                <w:strike w:val="0"/>
                <w:dstrike w:val="0"/>
                <w:color w:val="auto"/>
                <w:sz w:val="22"/>
                <w:szCs w:val="22"/>
                <w:highlight w:val="none"/>
              </w:rPr>
              <w:t>以来同类项目的销售业绩表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宋体" w:cs="新宋体"/>
                <w:color w:val="auto"/>
                <w:sz w:val="22"/>
                <w:szCs w:val="22"/>
                <w:highlight w:val="none"/>
                <w:lang w:val="en-US" w:eastAsia="zh-CN"/>
              </w:rPr>
            </w:pPr>
            <w:r>
              <w:rPr>
                <w:rFonts w:hint="eastAsia" w:ascii="宋体" w:hAnsi="宋体" w:eastAsia="宋体" w:cs="宋体"/>
                <w:strike w:val="0"/>
                <w:dstrike w:val="0"/>
                <w:color w:val="auto"/>
                <w:sz w:val="22"/>
                <w:szCs w:val="22"/>
                <w:highlight w:val="none"/>
              </w:rPr>
              <w:t>售后服务计划、</w:t>
            </w:r>
            <w:r>
              <w:rPr>
                <w:rFonts w:hint="eastAsia" w:ascii="宋体" w:hAnsi="宋体" w:cs="宋体"/>
                <w:strike w:val="0"/>
                <w:dstrike w:val="0"/>
                <w:color w:val="auto"/>
                <w:sz w:val="22"/>
                <w:szCs w:val="22"/>
                <w:highlight w:val="none"/>
                <w:lang w:val="en-US" w:eastAsia="zh-CN"/>
              </w:rPr>
              <w:t>应急</w:t>
            </w:r>
            <w:r>
              <w:rPr>
                <w:rFonts w:hint="eastAsia" w:ascii="宋体" w:hAnsi="宋体" w:eastAsia="宋体" w:cs="宋体"/>
                <w:strike w:val="0"/>
                <w:dstrike w:val="0"/>
                <w:color w:val="auto"/>
                <w:sz w:val="22"/>
                <w:szCs w:val="22"/>
                <w:highlight w:val="none"/>
              </w:rPr>
              <w:t>措施及</w:t>
            </w:r>
            <w:r>
              <w:rPr>
                <w:rFonts w:hint="eastAsia" w:ascii="宋体" w:hAnsi="宋体" w:cs="宋体"/>
                <w:strike w:val="0"/>
                <w:dstrike w:val="0"/>
                <w:color w:val="auto"/>
                <w:sz w:val="22"/>
                <w:szCs w:val="22"/>
                <w:highlight w:val="none"/>
                <w:lang w:val="en-US" w:eastAsia="zh-CN"/>
              </w:rPr>
              <w:t>质量保障</w:t>
            </w:r>
            <w:r>
              <w:rPr>
                <w:rFonts w:hint="eastAsia" w:ascii="宋体" w:hAnsi="宋体" w:eastAsia="宋体" w:cs="宋体"/>
                <w:strike w:val="0"/>
                <w:dstrike w:val="0"/>
                <w:color w:val="auto"/>
                <w:sz w:val="22"/>
                <w:szCs w:val="22"/>
                <w:highlight w:val="none"/>
              </w:rPr>
              <w:t>承诺</w:t>
            </w:r>
            <w:r>
              <w:rPr>
                <w:rFonts w:hint="eastAsia" w:ascii="宋体" w:hAnsi="宋体" w:cs="宋体"/>
                <w:strike w:val="0"/>
                <w:dstrike w:val="0"/>
                <w:color w:val="auto"/>
                <w:sz w:val="22"/>
                <w:szCs w:val="22"/>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9109" w:type="dxa"/>
            <w:vAlign w:val="center"/>
          </w:tcPr>
          <w:p>
            <w:pPr>
              <w:keepNext w:val="0"/>
              <w:keepLines w:val="0"/>
              <w:pageBreakBefore w:val="0"/>
              <w:widowControl w:val="0"/>
              <w:tabs>
                <w:tab w:val="left" w:pos="5355"/>
              </w:tabs>
              <w:kinsoku/>
              <w:wordWrap/>
              <w:overflowPunct/>
              <w:topLinePunct w:val="0"/>
              <w:bidi w:val="0"/>
              <w:spacing w:line="360" w:lineRule="auto"/>
              <w:rPr>
                <w:rFonts w:hint="eastAsia" w:ascii="新宋体" w:hAnsi="新宋体" w:eastAsia="新宋体" w:cs="新宋体"/>
                <w:color w:val="auto"/>
                <w:sz w:val="22"/>
                <w:szCs w:val="22"/>
                <w:highlight w:val="none"/>
              </w:rPr>
            </w:pPr>
            <w:r>
              <w:rPr>
                <w:rFonts w:hint="eastAsia" w:ascii="宋体" w:hAnsi="宋体" w:eastAsia="宋体" w:cs="宋体"/>
                <w:strike w:val="0"/>
                <w:dstrike w:val="0"/>
                <w:color w:val="auto"/>
                <w:sz w:val="22"/>
                <w:szCs w:val="22"/>
                <w:highlight w:val="none"/>
              </w:rPr>
              <w:t>根据</w:t>
            </w:r>
            <w:r>
              <w:rPr>
                <w:rFonts w:hint="eastAsia" w:ascii="宋体" w:hAnsi="宋体" w:eastAsia="宋体" w:cs="宋体"/>
                <w:strike w:val="0"/>
                <w:dstrike w:val="0"/>
                <w:color w:val="auto"/>
                <w:sz w:val="22"/>
                <w:szCs w:val="22"/>
                <w:highlight w:val="none"/>
                <w:lang w:eastAsia="zh-CN"/>
              </w:rPr>
              <w:t>采购</w:t>
            </w:r>
            <w:r>
              <w:rPr>
                <w:rFonts w:hint="eastAsia" w:ascii="宋体" w:hAnsi="宋体" w:eastAsia="宋体" w:cs="宋体"/>
                <w:strike w:val="0"/>
                <w:dstrike w:val="0"/>
                <w:color w:val="auto"/>
                <w:sz w:val="22"/>
                <w:szCs w:val="22"/>
                <w:highlight w:val="none"/>
              </w:rPr>
              <w:t>文件中的采购内容与技术要求、评标细则，需要提供的其它文件和资料。</w:t>
            </w:r>
          </w:p>
        </w:tc>
      </w:tr>
    </w:tbl>
    <w:p>
      <w:pPr>
        <w:spacing w:line="460" w:lineRule="exact"/>
        <w:rPr>
          <w:rFonts w:ascii="宋体" w:hAnsi="宋体" w:cs="楷体"/>
          <w:b/>
          <w:bCs/>
          <w:color w:val="auto"/>
          <w:sz w:val="22"/>
          <w:szCs w:val="22"/>
          <w:highlight w:val="none"/>
        </w:rPr>
      </w:pPr>
      <w:r>
        <w:rPr>
          <w:rFonts w:hint="eastAsia" w:ascii="宋体" w:hAnsi="宋体" w:cs="楷体"/>
          <w:b/>
          <w:bCs/>
          <w:color w:val="auto"/>
          <w:sz w:val="22"/>
          <w:szCs w:val="22"/>
          <w:highlight w:val="none"/>
        </w:rPr>
        <w:br w:type="page"/>
      </w:r>
      <w:r>
        <w:rPr>
          <w:rFonts w:hint="eastAsia" w:ascii="宋体" w:hAnsi="宋体" w:cs="楷体"/>
          <w:b/>
          <w:bCs/>
          <w:color w:val="auto"/>
          <w:sz w:val="22"/>
          <w:szCs w:val="22"/>
          <w:highlight w:val="none"/>
        </w:rPr>
        <w:t>附件一</w:t>
      </w:r>
    </w:p>
    <w:p>
      <w:pPr>
        <w:spacing w:line="460" w:lineRule="exact"/>
        <w:jc w:val="center"/>
        <w:rPr>
          <w:rFonts w:ascii="宋体" w:hAnsi="宋体" w:cs="楷体"/>
          <w:b/>
          <w:bCs/>
          <w:color w:val="auto"/>
          <w:sz w:val="28"/>
          <w:szCs w:val="28"/>
          <w:highlight w:val="none"/>
        </w:rPr>
      </w:pPr>
      <w:r>
        <w:rPr>
          <w:rFonts w:hint="eastAsia" w:ascii="宋体" w:hAnsi="宋体" w:cs="楷体"/>
          <w:b/>
          <w:bCs/>
          <w:color w:val="auto"/>
          <w:sz w:val="28"/>
          <w:szCs w:val="28"/>
          <w:highlight w:val="none"/>
        </w:rPr>
        <w:t>投 标 函</w:t>
      </w:r>
    </w:p>
    <w:p>
      <w:pPr>
        <w:spacing w:line="420" w:lineRule="exact"/>
        <w:rPr>
          <w:rFonts w:ascii="宋体" w:hAnsi="宋体" w:cs="楷体"/>
          <w:color w:val="auto"/>
          <w:sz w:val="22"/>
          <w:szCs w:val="22"/>
          <w:highlight w:val="none"/>
        </w:rPr>
      </w:pPr>
      <w:r>
        <w:rPr>
          <w:rFonts w:hint="eastAsia" w:ascii="宋体" w:hAnsi="宋体" w:cs="楷体"/>
          <w:color w:val="auto"/>
          <w:sz w:val="22"/>
          <w:szCs w:val="22"/>
          <w:highlight w:val="none"/>
          <w:lang w:eastAsia="zh-CN"/>
        </w:rPr>
        <w:t>温州市水务集团有限公司工程建设分公司</w:t>
      </w:r>
      <w:r>
        <w:rPr>
          <w:rFonts w:hint="eastAsia" w:ascii="宋体" w:hAnsi="宋体" w:cs="楷体"/>
          <w:color w:val="auto"/>
          <w:sz w:val="22"/>
          <w:szCs w:val="22"/>
          <w:highlight w:val="none"/>
        </w:rPr>
        <w:t>：</w:t>
      </w:r>
    </w:p>
    <w:p>
      <w:pPr>
        <w:spacing w:line="420" w:lineRule="exact"/>
        <w:rPr>
          <w:rFonts w:ascii="宋体" w:hAnsi="宋体" w:cs="楷体"/>
          <w:color w:val="auto"/>
          <w:sz w:val="22"/>
          <w:szCs w:val="22"/>
          <w:highlight w:val="none"/>
        </w:rPr>
      </w:pPr>
      <w:r>
        <w:rPr>
          <w:rFonts w:hint="eastAsia" w:ascii="宋体" w:hAnsi="宋体" w:cs="楷体"/>
          <w:color w:val="auto"/>
          <w:sz w:val="22"/>
          <w:szCs w:val="22"/>
          <w:highlight w:val="none"/>
        </w:rPr>
        <w:t>温州市智信招标代理有限公司：</w:t>
      </w:r>
    </w:p>
    <w:p>
      <w:pPr>
        <w:spacing w:line="420" w:lineRule="exact"/>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根据贵方为</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项目（采购编号：</w:t>
      </w:r>
      <w:r>
        <w:rPr>
          <w:rFonts w:hint="eastAsia" w:ascii="宋体" w:hAnsi="宋体" w:cs="楷体"/>
          <w:b/>
          <w:color w:val="auto"/>
          <w:sz w:val="22"/>
          <w:szCs w:val="22"/>
          <w:highlight w:val="none"/>
          <w:u w:val="single"/>
        </w:rPr>
        <w:t xml:space="preserve">               </w:t>
      </w:r>
      <w:r>
        <w:rPr>
          <w:rFonts w:hint="eastAsia" w:ascii="宋体" w:hAnsi="宋体" w:cs="楷体"/>
          <w:b/>
          <w:color w:val="auto"/>
          <w:sz w:val="22"/>
          <w:szCs w:val="22"/>
          <w:highlight w:val="none"/>
        </w:rPr>
        <w:t xml:space="preserve"> </w:t>
      </w:r>
      <w:r>
        <w:rPr>
          <w:rFonts w:hint="eastAsia" w:ascii="宋体" w:hAnsi="宋体" w:cs="楷体"/>
          <w:color w:val="auto"/>
          <w:sz w:val="22"/>
          <w:szCs w:val="22"/>
          <w:highlight w:val="none"/>
        </w:rPr>
        <w:t>）的投标邀请，我方</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（投标人名称）作为投标人正式授权</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（授权代表全名，职务）代表我方处理有关本投标的一切事宜。</w:t>
      </w:r>
    </w:p>
    <w:p>
      <w:pPr>
        <w:autoSpaceDE w:val="0"/>
        <w:autoSpaceDN w:val="0"/>
        <w:adjustRightInd w:val="0"/>
        <w:spacing w:line="420" w:lineRule="atLeast"/>
        <w:ind w:firstLine="440" w:firstLineChars="200"/>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在此提交的投标文件中，包括如下内容，并已分别单独密封装袋：</w:t>
      </w:r>
    </w:p>
    <w:p>
      <w:pPr>
        <w:numPr>
          <w:ilvl w:val="0"/>
          <w:numId w:val="24"/>
        </w:numPr>
        <w:spacing w:line="420" w:lineRule="exact"/>
        <w:rPr>
          <w:rFonts w:ascii="宋体" w:hAnsi="宋体" w:cs="楷体"/>
          <w:color w:val="auto"/>
          <w:szCs w:val="21"/>
          <w:highlight w:val="none"/>
        </w:rPr>
      </w:pPr>
      <w:r>
        <w:rPr>
          <w:rFonts w:hint="eastAsia" w:ascii="宋体" w:hAnsi="宋体" w:cs="楷体"/>
          <w:color w:val="auto"/>
          <w:sz w:val="22"/>
          <w:highlight w:val="none"/>
        </w:rPr>
        <w:t>按“投标人须知”要求编制的投标文件资格审查资料【正本一份，副本四份】；</w:t>
      </w:r>
    </w:p>
    <w:p>
      <w:pPr>
        <w:numPr>
          <w:ilvl w:val="0"/>
          <w:numId w:val="24"/>
        </w:numPr>
        <w:spacing w:line="420" w:lineRule="exact"/>
        <w:rPr>
          <w:rFonts w:ascii="宋体" w:hAnsi="宋体" w:cs="楷体"/>
          <w:color w:val="auto"/>
          <w:szCs w:val="21"/>
          <w:highlight w:val="none"/>
        </w:rPr>
      </w:pPr>
      <w:r>
        <w:rPr>
          <w:rFonts w:hint="eastAsia" w:ascii="宋体" w:hAnsi="宋体" w:cs="楷体"/>
          <w:color w:val="auto"/>
          <w:sz w:val="22"/>
          <w:highlight w:val="none"/>
        </w:rPr>
        <w:t>按“投标人须知”要求编制的投标文件技术资信标【正本一份，副本四份】；</w:t>
      </w:r>
    </w:p>
    <w:p>
      <w:pPr>
        <w:numPr>
          <w:ilvl w:val="0"/>
          <w:numId w:val="24"/>
        </w:numPr>
        <w:spacing w:line="420" w:lineRule="exact"/>
        <w:rPr>
          <w:rFonts w:ascii="宋体" w:hAnsi="宋体" w:cs="楷体"/>
          <w:color w:val="auto"/>
          <w:szCs w:val="21"/>
          <w:highlight w:val="none"/>
        </w:rPr>
      </w:pPr>
      <w:r>
        <w:rPr>
          <w:rFonts w:hint="eastAsia" w:ascii="宋体" w:hAnsi="宋体" w:cs="楷体"/>
          <w:color w:val="auto"/>
          <w:sz w:val="22"/>
          <w:highlight w:val="none"/>
        </w:rPr>
        <w:t>按“投标人须知”要求编制的投标文件商务报价标【正本一份，副本四份】。</w:t>
      </w:r>
    </w:p>
    <w:p>
      <w:pPr>
        <w:autoSpaceDE w:val="0"/>
        <w:autoSpaceDN w:val="0"/>
        <w:adjustRightInd w:val="0"/>
        <w:spacing w:line="420" w:lineRule="atLeast"/>
        <w:ind w:firstLine="440"/>
        <w:rPr>
          <w:rFonts w:ascii="宋体" w:hAnsi="宋体" w:cs="楷体"/>
          <w:color w:val="auto"/>
          <w:kern w:val="0"/>
          <w:sz w:val="22"/>
          <w:szCs w:val="22"/>
          <w:highlight w:val="none"/>
          <w:lang w:val="zh-CN"/>
        </w:rPr>
      </w:pPr>
      <w:r>
        <w:rPr>
          <w:rFonts w:hint="eastAsia" w:ascii="宋体" w:hAnsi="宋体" w:cs="楷体"/>
          <w:color w:val="auto"/>
          <w:kern w:val="0"/>
          <w:sz w:val="22"/>
          <w:szCs w:val="22"/>
          <w:highlight w:val="none"/>
          <w:lang w:val="zh-CN"/>
        </w:rPr>
        <w:t>我方已完全明白采购文件的所有条款要求，并重申以下几点：</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同意提供按照贵方可能要求的与投标有关的一切数据或资料等。若贵方需要，我方愿意提供我方作出的一切承诺的证明材料。</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如中标，保证按照采购文件要求及投标文件的承诺与采购人签订合同，保证履行合同条款。</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同意在采购文件中投标人须知规定的开标日期起遵守本投标书中的承诺且在投标有效期满之前均具有约束力。</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如果在开标后规定的投标有效期内撤回投标，我方的投标保证金可被贵方没收。</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在参加本项目前三年内（被通报或者处罚的违法行为有：</w:t>
      </w:r>
      <w:r>
        <w:rPr>
          <w:rFonts w:hint="eastAsia" w:ascii="宋体" w:hAnsi="宋体" w:cs="楷体"/>
          <w:color w:val="auto"/>
          <w:sz w:val="22"/>
          <w:highlight w:val="none"/>
          <w:u w:val="single"/>
        </w:rPr>
        <w:t xml:space="preserve">                  </w:t>
      </w:r>
      <w:r>
        <w:rPr>
          <w:rFonts w:hint="eastAsia" w:ascii="宋体" w:hAnsi="宋体" w:cs="楷体"/>
          <w:color w:val="auto"/>
          <w:sz w:val="22"/>
          <w:highlight w:val="none"/>
        </w:rPr>
        <w:t>）或（没有因违法经营受到刑事处罚或者责令停产停业、吊销许可证或者执照、较大数额罚款等行政处罚或处罚）或（在</w:t>
      </w:r>
      <w:r>
        <w:rPr>
          <w:rFonts w:hint="eastAsia" w:ascii="宋体" w:hAnsi="宋体" w:cs="楷体"/>
          <w:color w:val="auto"/>
          <w:sz w:val="22"/>
          <w:highlight w:val="none"/>
          <w:u w:val="single"/>
        </w:rPr>
        <w:t xml:space="preserve">  </w:t>
      </w:r>
      <w:r>
        <w:rPr>
          <w:rFonts w:hint="eastAsia" w:ascii="宋体" w:hAnsi="宋体" w:cs="楷体"/>
          <w:color w:val="auto"/>
          <w:sz w:val="22"/>
          <w:highlight w:val="none"/>
        </w:rPr>
        <w:t>至</w:t>
      </w:r>
      <w:r>
        <w:rPr>
          <w:rFonts w:hint="eastAsia" w:ascii="宋体" w:hAnsi="宋体" w:cs="楷体"/>
          <w:color w:val="auto"/>
          <w:sz w:val="22"/>
          <w:highlight w:val="none"/>
          <w:u w:val="single"/>
        </w:rPr>
        <w:t xml:space="preserve">  </w:t>
      </w:r>
      <w:r>
        <w:rPr>
          <w:rFonts w:hint="eastAsia" w:ascii="宋体" w:hAnsi="宋体" w:cs="楷体"/>
          <w:color w:val="auto"/>
          <w:sz w:val="22"/>
          <w:highlight w:val="none"/>
        </w:rPr>
        <w:t>期间禁止参加采购活动但是期限届满，须附相关证明文件）</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单位、法定代表人、本项目授权代表及本项目负责人在参加本项目前三年内（以法院判决书生效日期为准）均无行贿犯罪记录。</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(1)提供虚假材料（承诺）谋取中标、成交的；</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(2)采取不正当手段诋毁、排挤其他投标人的；</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(3)与采购人、其它投标人或者采购代理机构恶意串通的；</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(4)向采购人、采购代理机构行贿或者提供其他不正当利益的；</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(5)在招标采购过程中与采购人进行协商谈判的；</w:t>
      </w:r>
    </w:p>
    <w:p>
      <w:pPr>
        <w:spacing w:line="420" w:lineRule="exact"/>
        <w:ind w:firstLine="440" w:firstLineChars="200"/>
        <w:rPr>
          <w:rFonts w:ascii="宋体" w:hAnsi="宋体" w:cs="楷体"/>
          <w:color w:val="auto"/>
          <w:sz w:val="22"/>
          <w:highlight w:val="none"/>
        </w:rPr>
      </w:pPr>
      <w:r>
        <w:rPr>
          <w:rFonts w:hint="eastAsia" w:ascii="宋体" w:hAnsi="宋体" w:cs="楷体"/>
          <w:color w:val="auto"/>
          <w:sz w:val="22"/>
          <w:highlight w:val="none"/>
        </w:rPr>
        <w:t>(6)拒绝有关部门监督检查或提供虚假情况的。</w:t>
      </w:r>
    </w:p>
    <w:p>
      <w:pPr>
        <w:numPr>
          <w:ilvl w:val="0"/>
          <w:numId w:val="25"/>
        </w:numPr>
        <w:spacing w:line="420" w:lineRule="exact"/>
        <w:rPr>
          <w:rFonts w:ascii="宋体" w:hAnsi="宋体" w:cs="楷体"/>
          <w:color w:val="auto"/>
          <w:sz w:val="22"/>
          <w:highlight w:val="none"/>
        </w:rPr>
      </w:pPr>
      <w:r>
        <w:rPr>
          <w:rFonts w:hint="eastAsia" w:ascii="宋体" w:hAnsi="宋体" w:cs="楷体"/>
          <w:color w:val="auto"/>
          <w:sz w:val="22"/>
          <w:highlight w:val="none"/>
        </w:rPr>
        <w:t>所有与本投标有关的函件请发往下列地址：</w:t>
      </w:r>
    </w:p>
    <w:p>
      <w:pPr>
        <w:spacing w:line="420" w:lineRule="exact"/>
        <w:ind w:firstLine="435"/>
        <w:rPr>
          <w:rFonts w:ascii="宋体" w:hAnsi="宋体" w:cs="楷体"/>
          <w:color w:val="auto"/>
          <w:sz w:val="22"/>
          <w:szCs w:val="22"/>
          <w:highlight w:val="none"/>
        </w:rPr>
      </w:pPr>
      <w:r>
        <w:rPr>
          <w:rFonts w:hint="eastAsia" w:ascii="宋体" w:hAnsi="宋体" w:cs="楷体"/>
          <w:color w:val="auto"/>
          <w:sz w:val="22"/>
          <w:szCs w:val="22"/>
          <w:highlight w:val="none"/>
        </w:rPr>
        <w:t xml:space="preserve">   地址</w:t>
      </w:r>
      <w:r>
        <w:rPr>
          <w:rFonts w:hint="eastAsia" w:ascii="宋体" w:hAnsi="宋体" w:cs="楷体"/>
          <w:color w:val="auto"/>
          <w:sz w:val="22"/>
          <w:szCs w:val="22"/>
          <w:highlight w:val="none"/>
          <w:u w:val="single"/>
        </w:rPr>
        <w:t xml:space="preserve">                           </w:t>
      </w:r>
    </w:p>
    <w:p>
      <w:pPr>
        <w:spacing w:line="420" w:lineRule="exact"/>
        <w:ind w:firstLine="435"/>
        <w:rPr>
          <w:rFonts w:ascii="宋体" w:hAnsi="宋体" w:cs="楷体"/>
          <w:color w:val="auto"/>
          <w:sz w:val="22"/>
          <w:szCs w:val="22"/>
          <w:highlight w:val="none"/>
        </w:rPr>
      </w:pPr>
      <w:r>
        <w:rPr>
          <w:rFonts w:hint="eastAsia" w:ascii="宋体" w:hAnsi="宋体" w:cs="楷体"/>
          <w:color w:val="auto"/>
          <w:sz w:val="22"/>
          <w:szCs w:val="22"/>
          <w:highlight w:val="none"/>
        </w:rPr>
        <w:t xml:space="preserve">   电话</w:t>
      </w:r>
      <w:r>
        <w:rPr>
          <w:rFonts w:hint="eastAsia" w:ascii="宋体" w:hAnsi="宋体" w:cs="楷体"/>
          <w:color w:val="auto"/>
          <w:sz w:val="22"/>
          <w:szCs w:val="22"/>
          <w:highlight w:val="none"/>
          <w:u w:val="single"/>
        </w:rPr>
        <w:t xml:space="preserve">                           </w:t>
      </w:r>
    </w:p>
    <w:p>
      <w:pPr>
        <w:spacing w:line="420" w:lineRule="exact"/>
        <w:ind w:firstLine="435"/>
        <w:rPr>
          <w:rFonts w:ascii="宋体" w:hAnsi="宋体" w:cs="楷体"/>
          <w:color w:val="auto"/>
          <w:sz w:val="22"/>
          <w:szCs w:val="22"/>
          <w:highlight w:val="none"/>
          <w:u w:val="single"/>
        </w:rPr>
      </w:pPr>
      <w:r>
        <w:rPr>
          <w:rFonts w:hint="eastAsia" w:ascii="宋体" w:hAnsi="宋体" w:cs="楷体"/>
          <w:color w:val="auto"/>
          <w:sz w:val="22"/>
          <w:szCs w:val="22"/>
          <w:highlight w:val="none"/>
        </w:rPr>
        <w:t xml:space="preserve">   传真</w:t>
      </w:r>
      <w:r>
        <w:rPr>
          <w:rFonts w:hint="eastAsia" w:ascii="宋体" w:hAnsi="宋体" w:cs="楷体"/>
          <w:color w:val="auto"/>
          <w:sz w:val="22"/>
          <w:szCs w:val="22"/>
          <w:highlight w:val="none"/>
          <w:u w:val="single"/>
        </w:rPr>
        <w:t xml:space="preserve">                           </w:t>
      </w:r>
    </w:p>
    <w:p>
      <w:pPr>
        <w:spacing w:line="420" w:lineRule="exact"/>
        <w:ind w:firstLine="770" w:firstLineChars="350"/>
        <w:rPr>
          <w:rFonts w:ascii="宋体" w:hAnsi="宋体" w:cs="楷体"/>
          <w:color w:val="auto"/>
          <w:sz w:val="22"/>
          <w:szCs w:val="22"/>
          <w:highlight w:val="none"/>
        </w:rPr>
      </w:pPr>
      <w:r>
        <w:rPr>
          <w:rFonts w:hint="eastAsia" w:ascii="宋体" w:hAnsi="宋体" w:cs="楷体"/>
          <w:color w:val="auto"/>
          <w:sz w:val="22"/>
          <w:szCs w:val="22"/>
          <w:highlight w:val="none"/>
        </w:rPr>
        <w:t>电子邮件</w:t>
      </w:r>
      <w:r>
        <w:rPr>
          <w:rFonts w:hint="eastAsia" w:ascii="宋体" w:hAnsi="宋体" w:cs="楷体"/>
          <w:color w:val="auto"/>
          <w:sz w:val="22"/>
          <w:szCs w:val="22"/>
          <w:highlight w:val="none"/>
          <w:u w:val="single"/>
        </w:rPr>
        <w:t xml:space="preserve">                       </w:t>
      </w:r>
      <w:r>
        <w:rPr>
          <w:rFonts w:hint="eastAsia" w:ascii="宋体" w:hAnsi="宋体" w:cs="楷体"/>
          <w:color w:val="auto"/>
          <w:sz w:val="22"/>
          <w:szCs w:val="22"/>
          <w:highlight w:val="none"/>
        </w:rPr>
        <w:t xml:space="preserve">                       </w:t>
      </w:r>
    </w:p>
    <w:p>
      <w:pPr>
        <w:spacing w:line="420" w:lineRule="exact"/>
        <w:ind w:firstLine="435"/>
        <w:rPr>
          <w:rFonts w:ascii="宋体" w:hAnsi="宋体" w:cs="楷体"/>
          <w:color w:val="auto"/>
          <w:sz w:val="22"/>
          <w:szCs w:val="22"/>
          <w:highlight w:val="none"/>
        </w:rPr>
      </w:pPr>
    </w:p>
    <w:p>
      <w:pPr>
        <w:spacing w:line="420" w:lineRule="exact"/>
        <w:ind w:firstLine="4620"/>
        <w:rPr>
          <w:rFonts w:ascii="宋体" w:hAnsi="宋体" w:cs="楷体"/>
          <w:color w:val="auto"/>
          <w:sz w:val="22"/>
          <w:szCs w:val="22"/>
          <w:highlight w:val="none"/>
        </w:rPr>
      </w:pPr>
      <w:r>
        <w:rPr>
          <w:rFonts w:hint="eastAsia" w:ascii="宋体" w:hAnsi="宋体" w:cs="楷体"/>
          <w:color w:val="auto"/>
          <w:sz w:val="22"/>
          <w:szCs w:val="22"/>
          <w:highlight w:val="none"/>
        </w:rPr>
        <w:t>投标人名称（盖章）</w:t>
      </w:r>
      <w:r>
        <w:rPr>
          <w:rFonts w:hint="eastAsia" w:ascii="宋体" w:hAnsi="宋体" w:cs="楷体"/>
          <w:color w:val="auto"/>
          <w:sz w:val="22"/>
          <w:szCs w:val="22"/>
          <w:highlight w:val="none"/>
          <w:u w:val="single"/>
        </w:rPr>
        <w:t xml:space="preserve">                  </w:t>
      </w:r>
    </w:p>
    <w:p>
      <w:pPr>
        <w:spacing w:line="420" w:lineRule="exact"/>
        <w:ind w:firstLine="4620"/>
        <w:rPr>
          <w:rFonts w:ascii="宋体" w:hAnsi="宋体" w:cs="楷体"/>
          <w:color w:val="auto"/>
          <w:sz w:val="22"/>
          <w:szCs w:val="22"/>
          <w:highlight w:val="none"/>
        </w:rPr>
      </w:pPr>
      <w:r>
        <w:rPr>
          <w:rFonts w:hint="eastAsia" w:ascii="宋体" w:hAnsi="宋体" w:cs="楷体"/>
          <w:color w:val="auto"/>
          <w:sz w:val="22"/>
          <w:szCs w:val="22"/>
          <w:highlight w:val="none"/>
        </w:rPr>
        <w:t>投标人代表（签字）</w:t>
      </w:r>
      <w:r>
        <w:rPr>
          <w:rFonts w:hint="eastAsia" w:ascii="宋体" w:hAnsi="宋体" w:cs="楷体"/>
          <w:color w:val="auto"/>
          <w:sz w:val="22"/>
          <w:szCs w:val="22"/>
          <w:highlight w:val="none"/>
          <w:u w:val="single"/>
        </w:rPr>
        <w:t xml:space="preserve">                   </w:t>
      </w:r>
    </w:p>
    <w:p>
      <w:pPr>
        <w:spacing w:line="460" w:lineRule="exact"/>
        <w:ind w:firstLine="4620"/>
        <w:rPr>
          <w:rFonts w:ascii="宋体" w:hAnsi="宋体" w:cs="楷体"/>
          <w:color w:val="auto"/>
          <w:sz w:val="22"/>
          <w:szCs w:val="22"/>
          <w:highlight w:val="none"/>
          <w:u w:val="single"/>
        </w:rPr>
      </w:pPr>
      <w:r>
        <w:rPr>
          <w:rFonts w:hint="eastAsia" w:ascii="宋体" w:hAnsi="宋体" w:cs="楷体"/>
          <w:color w:val="auto"/>
          <w:sz w:val="22"/>
          <w:szCs w:val="22"/>
          <w:highlight w:val="none"/>
        </w:rPr>
        <w:t>日    期</w:t>
      </w:r>
      <w:r>
        <w:rPr>
          <w:rFonts w:hint="eastAsia" w:ascii="宋体" w:hAnsi="宋体" w:cs="楷体"/>
          <w:color w:val="auto"/>
          <w:sz w:val="22"/>
          <w:szCs w:val="22"/>
          <w:highlight w:val="none"/>
          <w:u w:val="single"/>
        </w:rPr>
        <w:t xml:space="preserve">           </w:t>
      </w:r>
    </w:p>
    <w:p>
      <w:pPr>
        <w:spacing w:line="460" w:lineRule="exact"/>
        <w:ind w:firstLine="4620"/>
        <w:rPr>
          <w:rFonts w:ascii="宋体" w:hAnsi="宋体" w:cs="楷体"/>
          <w:color w:val="auto"/>
          <w:sz w:val="22"/>
          <w:szCs w:val="22"/>
          <w:highlight w:val="none"/>
          <w:u w:val="single"/>
        </w:rPr>
      </w:pPr>
    </w:p>
    <w:p>
      <w:pPr>
        <w:spacing w:line="420" w:lineRule="exact"/>
        <w:ind w:firstLine="442" w:firstLineChars="200"/>
        <w:rPr>
          <w:rFonts w:ascii="宋体" w:hAnsi="宋体" w:cs="楷体"/>
          <w:color w:val="auto"/>
          <w:sz w:val="22"/>
          <w:highlight w:val="none"/>
        </w:rPr>
      </w:pPr>
      <w:r>
        <w:rPr>
          <w:rFonts w:hint="eastAsia" w:ascii="宋体" w:hAnsi="宋体" w:cs="楷体"/>
          <w:b/>
          <w:color w:val="auto"/>
          <w:sz w:val="22"/>
          <w:szCs w:val="22"/>
          <w:highlight w:val="none"/>
          <w:u w:val="single"/>
        </w:rPr>
        <w:t>▲不提供投标函的投标文件将被视为未实质性响应采购文件。</w:t>
      </w:r>
    </w:p>
    <w:p>
      <w:pPr>
        <w:spacing w:line="380" w:lineRule="exact"/>
        <w:rPr>
          <w:rFonts w:ascii="宋体" w:hAnsi="宋体" w:cs="楷体"/>
          <w:b/>
          <w:bCs/>
          <w:color w:val="auto"/>
          <w:sz w:val="22"/>
          <w:szCs w:val="22"/>
          <w:highlight w:val="none"/>
        </w:rPr>
      </w:pPr>
    </w:p>
    <w:p>
      <w:pPr>
        <w:spacing w:line="460" w:lineRule="exact"/>
        <w:rPr>
          <w:rFonts w:ascii="宋体" w:hAnsi="宋体" w:cs="楷体"/>
          <w:b/>
          <w:bCs/>
          <w:color w:val="auto"/>
          <w:sz w:val="22"/>
          <w:szCs w:val="22"/>
          <w:highlight w:val="none"/>
        </w:rPr>
      </w:pPr>
      <w:r>
        <w:rPr>
          <w:rFonts w:hint="eastAsia" w:ascii="宋体" w:hAnsi="宋体" w:cs="楷体"/>
          <w:b/>
          <w:bCs/>
          <w:color w:val="auto"/>
          <w:sz w:val="22"/>
          <w:szCs w:val="22"/>
          <w:highlight w:val="none"/>
        </w:rPr>
        <w:br w:type="page"/>
      </w:r>
      <w:r>
        <w:rPr>
          <w:rFonts w:hint="eastAsia" w:ascii="宋体" w:hAnsi="宋体" w:cs="楷体"/>
          <w:b/>
          <w:bCs/>
          <w:color w:val="auto"/>
          <w:sz w:val="22"/>
          <w:szCs w:val="22"/>
          <w:highlight w:val="none"/>
        </w:rPr>
        <w:t>附件二</w:t>
      </w:r>
    </w:p>
    <w:p>
      <w:pPr>
        <w:spacing w:line="460" w:lineRule="exact"/>
        <w:jc w:val="center"/>
        <w:rPr>
          <w:rFonts w:ascii="宋体" w:hAnsi="宋体" w:cs="楷体"/>
          <w:b/>
          <w:bCs/>
          <w:color w:val="auto"/>
          <w:sz w:val="28"/>
          <w:szCs w:val="28"/>
          <w:highlight w:val="none"/>
        </w:rPr>
      </w:pPr>
      <w:r>
        <w:rPr>
          <w:rFonts w:hint="eastAsia" w:ascii="宋体" w:hAnsi="宋体" w:cs="楷体"/>
          <w:b/>
          <w:bCs/>
          <w:color w:val="auto"/>
          <w:sz w:val="28"/>
          <w:szCs w:val="28"/>
          <w:highlight w:val="none"/>
        </w:rPr>
        <w:t>技术参数应答表</w:t>
      </w:r>
    </w:p>
    <w:p>
      <w:pPr>
        <w:ind w:firstLine="435"/>
        <w:jc w:val="center"/>
        <w:rPr>
          <w:rFonts w:ascii="宋体" w:hAnsi="宋体" w:cs="楷体"/>
          <w:b/>
          <w:color w:val="auto"/>
          <w:sz w:val="44"/>
          <w:highlight w:val="none"/>
        </w:rPr>
      </w:pPr>
    </w:p>
    <w:p>
      <w:pPr>
        <w:overflowPunct w:val="0"/>
        <w:spacing w:line="380" w:lineRule="exact"/>
        <w:rPr>
          <w:rFonts w:ascii="宋体" w:hAnsi="宋体" w:cs="楷体"/>
          <w:bCs/>
          <w:color w:val="auto"/>
          <w:sz w:val="22"/>
          <w:szCs w:val="22"/>
          <w:highlight w:val="none"/>
        </w:rPr>
      </w:pPr>
      <w:r>
        <w:rPr>
          <w:rFonts w:hint="eastAsia" w:ascii="宋体" w:hAnsi="宋体" w:cs="楷体"/>
          <w:b/>
          <w:color w:val="auto"/>
          <w:sz w:val="24"/>
          <w:highlight w:val="none"/>
        </w:rPr>
        <w:t xml:space="preserve">   </w:t>
      </w:r>
      <w:r>
        <w:rPr>
          <w:rFonts w:hint="eastAsia" w:ascii="宋体" w:hAnsi="宋体" w:cs="楷体"/>
          <w:bCs/>
          <w:color w:val="auto"/>
          <w:sz w:val="22"/>
          <w:szCs w:val="22"/>
          <w:highlight w:val="none"/>
        </w:rPr>
        <w:t>项目名称：                                      采购编号：</w:t>
      </w:r>
    </w:p>
    <w:p>
      <w:pPr>
        <w:ind w:firstLine="361" w:firstLineChars="150"/>
        <w:rPr>
          <w:rFonts w:ascii="宋体" w:hAnsi="宋体" w:cs="楷体"/>
          <w:b/>
          <w:color w:val="auto"/>
          <w:sz w:val="24"/>
          <w:highlight w:val="none"/>
        </w:rPr>
      </w:pPr>
    </w:p>
    <w:tbl>
      <w:tblPr>
        <w:tblStyle w:val="51"/>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序号</w:t>
            </w:r>
          </w:p>
        </w:tc>
        <w:tc>
          <w:tcPr>
            <w:tcW w:w="2538"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采购文件技术规格</w:t>
            </w:r>
          </w:p>
        </w:tc>
        <w:tc>
          <w:tcPr>
            <w:tcW w:w="2326"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实际技术规格</w:t>
            </w:r>
          </w:p>
        </w:tc>
        <w:tc>
          <w:tcPr>
            <w:tcW w:w="2115"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偏离</w:t>
            </w:r>
          </w:p>
        </w:tc>
        <w:tc>
          <w:tcPr>
            <w:tcW w:w="1902"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宋体" w:hAnsi="宋体" w:cs="楷体"/>
                <w:color w:val="auto"/>
                <w:sz w:val="22"/>
                <w:szCs w:val="22"/>
                <w:highlight w:val="none"/>
              </w:rPr>
            </w:pPr>
          </w:p>
        </w:tc>
        <w:tc>
          <w:tcPr>
            <w:tcW w:w="2538" w:type="dxa"/>
            <w:vAlign w:val="center"/>
          </w:tcPr>
          <w:p>
            <w:pPr>
              <w:jc w:val="center"/>
              <w:rPr>
                <w:rFonts w:ascii="宋体" w:hAnsi="宋体" w:cs="楷体"/>
                <w:color w:val="auto"/>
                <w:sz w:val="22"/>
                <w:szCs w:val="22"/>
                <w:highlight w:val="none"/>
              </w:rPr>
            </w:pPr>
          </w:p>
        </w:tc>
        <w:tc>
          <w:tcPr>
            <w:tcW w:w="2326" w:type="dxa"/>
            <w:vAlign w:val="center"/>
          </w:tcPr>
          <w:p>
            <w:pPr>
              <w:jc w:val="center"/>
              <w:rPr>
                <w:rFonts w:ascii="宋体" w:hAnsi="宋体" w:cs="楷体"/>
                <w:color w:val="auto"/>
                <w:sz w:val="22"/>
                <w:szCs w:val="22"/>
                <w:highlight w:val="none"/>
              </w:rPr>
            </w:pPr>
          </w:p>
        </w:tc>
        <w:tc>
          <w:tcPr>
            <w:tcW w:w="2115" w:type="dxa"/>
            <w:vAlign w:val="center"/>
          </w:tcPr>
          <w:p>
            <w:pPr>
              <w:jc w:val="center"/>
              <w:rPr>
                <w:rFonts w:ascii="宋体" w:hAnsi="宋体" w:cs="楷体"/>
                <w:color w:val="auto"/>
                <w:sz w:val="22"/>
                <w:szCs w:val="22"/>
                <w:highlight w:val="none"/>
              </w:rPr>
            </w:pPr>
          </w:p>
        </w:tc>
        <w:tc>
          <w:tcPr>
            <w:tcW w:w="1902"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楷体"/>
                <w:color w:val="auto"/>
                <w:sz w:val="22"/>
                <w:szCs w:val="22"/>
                <w:highlight w:val="none"/>
              </w:rPr>
            </w:pPr>
          </w:p>
        </w:tc>
        <w:tc>
          <w:tcPr>
            <w:tcW w:w="2538" w:type="dxa"/>
            <w:vAlign w:val="center"/>
          </w:tcPr>
          <w:p>
            <w:pPr>
              <w:jc w:val="center"/>
              <w:rPr>
                <w:rFonts w:ascii="宋体" w:hAnsi="宋体" w:cs="楷体"/>
                <w:color w:val="auto"/>
                <w:sz w:val="22"/>
                <w:szCs w:val="22"/>
                <w:highlight w:val="none"/>
              </w:rPr>
            </w:pPr>
          </w:p>
        </w:tc>
        <w:tc>
          <w:tcPr>
            <w:tcW w:w="2326" w:type="dxa"/>
            <w:vAlign w:val="center"/>
          </w:tcPr>
          <w:p>
            <w:pPr>
              <w:jc w:val="center"/>
              <w:rPr>
                <w:rFonts w:ascii="宋体" w:hAnsi="宋体" w:cs="楷体"/>
                <w:color w:val="auto"/>
                <w:sz w:val="22"/>
                <w:szCs w:val="22"/>
                <w:highlight w:val="none"/>
              </w:rPr>
            </w:pPr>
          </w:p>
        </w:tc>
        <w:tc>
          <w:tcPr>
            <w:tcW w:w="2115" w:type="dxa"/>
            <w:vAlign w:val="center"/>
          </w:tcPr>
          <w:p>
            <w:pPr>
              <w:jc w:val="center"/>
              <w:rPr>
                <w:rFonts w:ascii="宋体" w:hAnsi="宋体" w:cs="楷体"/>
                <w:color w:val="auto"/>
                <w:sz w:val="22"/>
                <w:szCs w:val="22"/>
                <w:highlight w:val="none"/>
              </w:rPr>
            </w:pPr>
          </w:p>
        </w:tc>
        <w:tc>
          <w:tcPr>
            <w:tcW w:w="1902"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楷体"/>
                <w:color w:val="auto"/>
                <w:sz w:val="22"/>
                <w:szCs w:val="22"/>
                <w:highlight w:val="none"/>
              </w:rPr>
            </w:pPr>
          </w:p>
        </w:tc>
        <w:tc>
          <w:tcPr>
            <w:tcW w:w="2538" w:type="dxa"/>
            <w:vAlign w:val="center"/>
          </w:tcPr>
          <w:p>
            <w:pPr>
              <w:jc w:val="center"/>
              <w:rPr>
                <w:rFonts w:ascii="宋体" w:hAnsi="宋体" w:cs="楷体"/>
                <w:color w:val="auto"/>
                <w:sz w:val="22"/>
                <w:szCs w:val="22"/>
                <w:highlight w:val="none"/>
              </w:rPr>
            </w:pPr>
          </w:p>
        </w:tc>
        <w:tc>
          <w:tcPr>
            <w:tcW w:w="2326" w:type="dxa"/>
            <w:vAlign w:val="center"/>
          </w:tcPr>
          <w:p>
            <w:pPr>
              <w:jc w:val="center"/>
              <w:rPr>
                <w:rFonts w:ascii="宋体" w:hAnsi="宋体" w:cs="楷体"/>
                <w:color w:val="auto"/>
                <w:sz w:val="22"/>
                <w:szCs w:val="22"/>
                <w:highlight w:val="none"/>
              </w:rPr>
            </w:pPr>
          </w:p>
        </w:tc>
        <w:tc>
          <w:tcPr>
            <w:tcW w:w="2115" w:type="dxa"/>
            <w:vAlign w:val="center"/>
          </w:tcPr>
          <w:p>
            <w:pPr>
              <w:jc w:val="center"/>
              <w:rPr>
                <w:rFonts w:ascii="宋体" w:hAnsi="宋体" w:cs="楷体"/>
                <w:color w:val="auto"/>
                <w:sz w:val="22"/>
                <w:szCs w:val="22"/>
                <w:highlight w:val="none"/>
              </w:rPr>
            </w:pPr>
          </w:p>
        </w:tc>
        <w:tc>
          <w:tcPr>
            <w:tcW w:w="1902"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楷体"/>
                <w:color w:val="auto"/>
                <w:sz w:val="22"/>
                <w:szCs w:val="22"/>
                <w:highlight w:val="none"/>
              </w:rPr>
            </w:pPr>
          </w:p>
        </w:tc>
        <w:tc>
          <w:tcPr>
            <w:tcW w:w="2538" w:type="dxa"/>
            <w:vAlign w:val="center"/>
          </w:tcPr>
          <w:p>
            <w:pPr>
              <w:jc w:val="center"/>
              <w:rPr>
                <w:rFonts w:ascii="宋体" w:hAnsi="宋体" w:cs="楷体"/>
                <w:color w:val="auto"/>
                <w:sz w:val="22"/>
                <w:szCs w:val="22"/>
                <w:highlight w:val="none"/>
              </w:rPr>
            </w:pPr>
          </w:p>
        </w:tc>
        <w:tc>
          <w:tcPr>
            <w:tcW w:w="2326" w:type="dxa"/>
            <w:vAlign w:val="center"/>
          </w:tcPr>
          <w:p>
            <w:pPr>
              <w:jc w:val="center"/>
              <w:rPr>
                <w:rFonts w:ascii="宋体" w:hAnsi="宋体" w:cs="楷体"/>
                <w:color w:val="auto"/>
                <w:sz w:val="22"/>
                <w:szCs w:val="22"/>
                <w:highlight w:val="none"/>
              </w:rPr>
            </w:pPr>
          </w:p>
        </w:tc>
        <w:tc>
          <w:tcPr>
            <w:tcW w:w="2115" w:type="dxa"/>
            <w:vAlign w:val="center"/>
          </w:tcPr>
          <w:p>
            <w:pPr>
              <w:jc w:val="center"/>
              <w:rPr>
                <w:rFonts w:ascii="宋体" w:hAnsi="宋体" w:cs="楷体"/>
                <w:color w:val="auto"/>
                <w:sz w:val="22"/>
                <w:szCs w:val="22"/>
                <w:highlight w:val="none"/>
              </w:rPr>
            </w:pPr>
          </w:p>
        </w:tc>
        <w:tc>
          <w:tcPr>
            <w:tcW w:w="1902"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楷体"/>
                <w:color w:val="auto"/>
                <w:sz w:val="22"/>
                <w:szCs w:val="22"/>
                <w:highlight w:val="none"/>
              </w:rPr>
            </w:pPr>
          </w:p>
        </w:tc>
        <w:tc>
          <w:tcPr>
            <w:tcW w:w="2538" w:type="dxa"/>
            <w:vAlign w:val="center"/>
          </w:tcPr>
          <w:p>
            <w:pPr>
              <w:jc w:val="center"/>
              <w:rPr>
                <w:rFonts w:ascii="宋体" w:hAnsi="宋体" w:cs="楷体"/>
                <w:color w:val="auto"/>
                <w:sz w:val="22"/>
                <w:szCs w:val="22"/>
                <w:highlight w:val="none"/>
              </w:rPr>
            </w:pPr>
          </w:p>
        </w:tc>
        <w:tc>
          <w:tcPr>
            <w:tcW w:w="2326" w:type="dxa"/>
            <w:vAlign w:val="center"/>
          </w:tcPr>
          <w:p>
            <w:pPr>
              <w:jc w:val="center"/>
              <w:rPr>
                <w:rFonts w:ascii="宋体" w:hAnsi="宋体" w:cs="楷体"/>
                <w:color w:val="auto"/>
                <w:sz w:val="22"/>
                <w:szCs w:val="22"/>
                <w:highlight w:val="none"/>
              </w:rPr>
            </w:pPr>
          </w:p>
        </w:tc>
        <w:tc>
          <w:tcPr>
            <w:tcW w:w="2115" w:type="dxa"/>
            <w:vAlign w:val="center"/>
          </w:tcPr>
          <w:p>
            <w:pPr>
              <w:jc w:val="center"/>
              <w:rPr>
                <w:rFonts w:ascii="宋体" w:hAnsi="宋体" w:cs="楷体"/>
                <w:color w:val="auto"/>
                <w:sz w:val="22"/>
                <w:szCs w:val="22"/>
                <w:highlight w:val="none"/>
              </w:rPr>
            </w:pPr>
          </w:p>
        </w:tc>
        <w:tc>
          <w:tcPr>
            <w:tcW w:w="1902" w:type="dxa"/>
            <w:vAlign w:val="center"/>
          </w:tcPr>
          <w:p>
            <w:pPr>
              <w:jc w:val="center"/>
              <w:rPr>
                <w:rFonts w:ascii="宋体" w:hAnsi="宋体" w:cs="楷体"/>
                <w:color w:val="auto"/>
                <w:sz w:val="22"/>
                <w:szCs w:val="22"/>
                <w:highlight w:val="none"/>
              </w:rPr>
            </w:pPr>
          </w:p>
        </w:tc>
      </w:tr>
    </w:tbl>
    <w:p>
      <w:pPr>
        <w:rPr>
          <w:rFonts w:ascii="宋体" w:hAnsi="宋体" w:cs="楷体"/>
          <w:color w:val="auto"/>
          <w:sz w:val="24"/>
          <w:highlight w:val="none"/>
        </w:rPr>
      </w:pPr>
    </w:p>
    <w:p>
      <w:pPr>
        <w:spacing w:line="400" w:lineRule="exact"/>
        <w:ind w:left="218" w:leftChars="104"/>
        <w:rPr>
          <w:rFonts w:ascii="宋体" w:hAnsi="宋体" w:cs="楷体"/>
          <w:color w:val="auto"/>
          <w:sz w:val="22"/>
          <w:szCs w:val="22"/>
          <w:highlight w:val="none"/>
        </w:rPr>
      </w:pPr>
      <w:r>
        <w:rPr>
          <w:rFonts w:hint="eastAsia" w:ascii="宋体" w:hAnsi="宋体" w:cs="楷体"/>
          <w:color w:val="auto"/>
          <w:sz w:val="22"/>
          <w:szCs w:val="22"/>
          <w:highlight w:val="none"/>
        </w:rPr>
        <w:t>说明：</w:t>
      </w:r>
      <w:r>
        <w:rPr>
          <w:rFonts w:hint="eastAsia" w:ascii="宋体" w:hAnsi="宋体"/>
          <w:color w:val="auto"/>
          <w:sz w:val="22"/>
          <w:szCs w:val="22"/>
          <w:highlight w:val="none"/>
        </w:rPr>
        <w:t>不填写此表视作完全响应采购文件要求</w:t>
      </w:r>
    </w:p>
    <w:p>
      <w:pPr>
        <w:spacing w:line="400" w:lineRule="exact"/>
        <w:rPr>
          <w:rFonts w:ascii="宋体" w:hAnsi="宋体" w:cs="楷体"/>
          <w:color w:val="auto"/>
          <w:sz w:val="22"/>
          <w:szCs w:val="22"/>
          <w:highlight w:val="none"/>
        </w:rPr>
      </w:pPr>
    </w:p>
    <w:p>
      <w:pPr>
        <w:spacing w:line="400" w:lineRule="exact"/>
        <w:rPr>
          <w:rFonts w:ascii="宋体" w:hAnsi="宋体" w:cs="楷体"/>
          <w:color w:val="auto"/>
          <w:sz w:val="22"/>
          <w:szCs w:val="22"/>
          <w:highlight w:val="none"/>
        </w:rPr>
      </w:pPr>
    </w:p>
    <w:p>
      <w:pPr>
        <w:spacing w:line="400" w:lineRule="exact"/>
        <w:rPr>
          <w:rFonts w:ascii="宋体" w:hAnsi="宋体" w:cs="楷体"/>
          <w:color w:val="auto"/>
          <w:sz w:val="22"/>
          <w:szCs w:val="22"/>
          <w:highlight w:val="none"/>
        </w:rPr>
      </w:pPr>
    </w:p>
    <w:p>
      <w:pPr>
        <w:spacing w:line="400" w:lineRule="exact"/>
        <w:rPr>
          <w:rFonts w:ascii="宋体" w:hAnsi="宋体" w:cs="楷体"/>
          <w:color w:val="auto"/>
          <w:sz w:val="22"/>
          <w:szCs w:val="22"/>
          <w:highlight w:val="none"/>
        </w:rPr>
      </w:pPr>
    </w:p>
    <w:p>
      <w:pPr>
        <w:tabs>
          <w:tab w:val="left" w:pos="840"/>
        </w:tabs>
        <w:adjustRightInd w:val="0"/>
        <w:snapToGrid w:val="0"/>
        <w:spacing w:line="360" w:lineRule="auto"/>
        <w:ind w:left="420" w:leftChars="200" w:firstLine="330" w:firstLineChars="150"/>
        <w:rPr>
          <w:rFonts w:ascii="宋体" w:hAnsi="宋体" w:cs="楷体"/>
          <w:color w:val="auto"/>
          <w:sz w:val="22"/>
          <w:szCs w:val="22"/>
          <w:highlight w:val="none"/>
        </w:rPr>
      </w:pPr>
      <w:r>
        <w:rPr>
          <w:rFonts w:hint="eastAsia" w:ascii="宋体" w:hAnsi="宋体" w:cs="楷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宋体" w:hAnsi="宋体" w:cs="楷体"/>
          <w:color w:val="auto"/>
          <w:sz w:val="22"/>
          <w:szCs w:val="22"/>
          <w:highlight w:val="none"/>
        </w:rPr>
      </w:pPr>
      <w:r>
        <w:rPr>
          <w:rFonts w:hint="eastAsia" w:ascii="宋体" w:hAnsi="宋体" w:cs="楷体"/>
          <w:color w:val="auto"/>
          <w:sz w:val="22"/>
          <w:szCs w:val="22"/>
          <w:highlight w:val="none"/>
        </w:rPr>
        <w:t>法定代表人或授权代表（签字或盖章）：</w:t>
      </w:r>
    </w:p>
    <w:p>
      <w:pPr>
        <w:spacing w:line="400" w:lineRule="exact"/>
        <w:ind w:firstLine="770" w:firstLineChars="350"/>
        <w:rPr>
          <w:rFonts w:ascii="宋体" w:hAnsi="宋体" w:cs="楷体"/>
          <w:color w:val="auto"/>
          <w:sz w:val="22"/>
          <w:szCs w:val="22"/>
          <w:highlight w:val="none"/>
        </w:rPr>
      </w:pPr>
      <w:r>
        <w:rPr>
          <w:rFonts w:hint="eastAsia" w:ascii="宋体" w:hAnsi="宋体" w:cs="楷体"/>
          <w:color w:val="auto"/>
          <w:sz w:val="22"/>
          <w:szCs w:val="22"/>
          <w:highlight w:val="none"/>
        </w:rPr>
        <w:t>日          期：  年  月  日</w:t>
      </w:r>
    </w:p>
    <w:p>
      <w:pPr>
        <w:spacing w:line="400" w:lineRule="exact"/>
        <w:rPr>
          <w:rFonts w:ascii="宋体" w:hAnsi="宋体" w:cs="楷体"/>
          <w:color w:val="auto"/>
          <w:sz w:val="22"/>
          <w:szCs w:val="22"/>
          <w:highlight w:val="none"/>
        </w:rPr>
      </w:pPr>
    </w:p>
    <w:p>
      <w:pPr>
        <w:spacing w:line="500" w:lineRule="exact"/>
        <w:jc w:val="left"/>
        <w:rPr>
          <w:rFonts w:hint="eastAsia" w:ascii="宋体" w:hAnsi="宋体" w:cs="楷体"/>
          <w:color w:val="auto"/>
          <w:sz w:val="24"/>
          <w:highlight w:val="none"/>
        </w:rPr>
      </w:pPr>
      <w:r>
        <w:rPr>
          <w:rFonts w:hint="eastAsia" w:ascii="宋体" w:hAnsi="宋体" w:cs="楷体"/>
          <w:color w:val="auto"/>
          <w:sz w:val="24"/>
          <w:highlight w:val="none"/>
        </w:rPr>
        <w:br w:type="page"/>
      </w:r>
      <w:r>
        <w:rPr>
          <w:rFonts w:hint="eastAsia" w:ascii="宋体" w:hAnsi="宋体" w:cs="楷体"/>
          <w:b/>
          <w:bCs/>
          <w:color w:val="auto"/>
          <w:sz w:val="22"/>
          <w:szCs w:val="22"/>
          <w:highlight w:val="none"/>
        </w:rPr>
        <w:t>附件三</w:t>
      </w:r>
    </w:p>
    <w:p>
      <w:pPr>
        <w:spacing w:line="500" w:lineRule="exact"/>
        <w:jc w:val="center"/>
        <w:rPr>
          <w:rFonts w:ascii="宋体" w:hAnsi="宋体" w:cs="楷体"/>
          <w:b/>
          <w:bCs/>
          <w:color w:val="auto"/>
          <w:sz w:val="28"/>
          <w:szCs w:val="28"/>
          <w:highlight w:val="none"/>
        </w:rPr>
      </w:pPr>
      <w:r>
        <w:rPr>
          <w:rFonts w:hint="eastAsia" w:ascii="宋体" w:hAnsi="宋体" w:cs="楷体"/>
          <w:b/>
          <w:bCs/>
          <w:color w:val="auto"/>
          <w:sz w:val="28"/>
          <w:szCs w:val="28"/>
          <w:highlight w:val="none"/>
        </w:rPr>
        <w:t>商务条款偏离表</w:t>
      </w:r>
    </w:p>
    <w:p>
      <w:pPr>
        <w:ind w:firstLine="435"/>
        <w:jc w:val="center"/>
        <w:rPr>
          <w:rFonts w:ascii="宋体" w:hAnsi="宋体" w:cs="楷体"/>
          <w:b/>
          <w:color w:val="auto"/>
          <w:sz w:val="44"/>
          <w:highlight w:val="none"/>
        </w:rPr>
      </w:pPr>
    </w:p>
    <w:p>
      <w:pPr>
        <w:overflowPunct w:val="0"/>
        <w:spacing w:line="380" w:lineRule="exact"/>
        <w:rPr>
          <w:rFonts w:ascii="宋体" w:hAnsi="宋体" w:cs="楷体"/>
          <w:bCs/>
          <w:color w:val="auto"/>
          <w:sz w:val="22"/>
          <w:szCs w:val="22"/>
          <w:highlight w:val="none"/>
        </w:rPr>
      </w:pPr>
      <w:r>
        <w:rPr>
          <w:rFonts w:hint="eastAsia" w:ascii="宋体" w:hAnsi="宋体" w:cs="楷体"/>
          <w:b/>
          <w:color w:val="auto"/>
          <w:sz w:val="22"/>
          <w:szCs w:val="22"/>
          <w:highlight w:val="none"/>
        </w:rPr>
        <w:t xml:space="preserve">  </w:t>
      </w:r>
      <w:r>
        <w:rPr>
          <w:rFonts w:hint="eastAsia" w:ascii="宋体" w:hAnsi="宋体" w:cs="楷体"/>
          <w:bCs/>
          <w:color w:val="auto"/>
          <w:sz w:val="22"/>
          <w:szCs w:val="22"/>
          <w:highlight w:val="none"/>
        </w:rPr>
        <w:t>项目名称：                                      采购编号：</w:t>
      </w:r>
    </w:p>
    <w:p>
      <w:pPr>
        <w:ind w:firstLine="221" w:firstLineChars="100"/>
        <w:rPr>
          <w:rFonts w:ascii="宋体" w:hAnsi="宋体" w:cs="楷体"/>
          <w:b/>
          <w:color w:val="auto"/>
          <w:sz w:val="22"/>
          <w:szCs w:val="22"/>
          <w:highlight w:val="none"/>
        </w:rPr>
      </w:pPr>
    </w:p>
    <w:tbl>
      <w:tblPr>
        <w:tblStyle w:val="51"/>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序号</w:t>
            </w:r>
          </w:p>
        </w:tc>
        <w:tc>
          <w:tcPr>
            <w:tcW w:w="1559"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条款内容</w:t>
            </w:r>
          </w:p>
        </w:tc>
        <w:tc>
          <w:tcPr>
            <w:tcW w:w="2184"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采购文件商务条款描述</w:t>
            </w:r>
          </w:p>
        </w:tc>
        <w:tc>
          <w:tcPr>
            <w:tcW w:w="2402"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投标文件商务条款</w:t>
            </w:r>
          </w:p>
        </w:tc>
        <w:tc>
          <w:tcPr>
            <w:tcW w:w="1200"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偏离</w:t>
            </w:r>
          </w:p>
        </w:tc>
        <w:tc>
          <w:tcPr>
            <w:tcW w:w="1588"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1</w:t>
            </w:r>
          </w:p>
        </w:tc>
        <w:tc>
          <w:tcPr>
            <w:tcW w:w="1559" w:type="dxa"/>
            <w:vAlign w:val="center"/>
          </w:tcPr>
          <w:p>
            <w:pPr>
              <w:jc w:val="center"/>
              <w:rPr>
                <w:rFonts w:ascii="宋体" w:hAnsi="宋体" w:cs="楷体"/>
                <w:color w:val="auto"/>
                <w:sz w:val="22"/>
                <w:szCs w:val="22"/>
                <w:highlight w:val="none"/>
              </w:rPr>
            </w:pP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2</w:t>
            </w:r>
          </w:p>
        </w:tc>
        <w:tc>
          <w:tcPr>
            <w:tcW w:w="1559" w:type="dxa"/>
            <w:vAlign w:val="center"/>
          </w:tcPr>
          <w:p>
            <w:pPr>
              <w:jc w:val="center"/>
              <w:rPr>
                <w:rFonts w:ascii="宋体" w:hAnsi="宋体" w:cs="楷体"/>
                <w:color w:val="auto"/>
                <w:sz w:val="22"/>
                <w:szCs w:val="22"/>
                <w:highlight w:val="none"/>
              </w:rPr>
            </w:pP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3</w:t>
            </w:r>
          </w:p>
        </w:tc>
        <w:tc>
          <w:tcPr>
            <w:tcW w:w="1559" w:type="dxa"/>
            <w:vAlign w:val="center"/>
          </w:tcPr>
          <w:p>
            <w:pPr>
              <w:jc w:val="center"/>
              <w:rPr>
                <w:rFonts w:ascii="宋体" w:hAnsi="宋体" w:cs="楷体"/>
                <w:color w:val="auto"/>
                <w:sz w:val="22"/>
                <w:szCs w:val="22"/>
                <w:highlight w:val="none"/>
              </w:rPr>
            </w:pP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4</w:t>
            </w:r>
          </w:p>
        </w:tc>
        <w:tc>
          <w:tcPr>
            <w:tcW w:w="1559" w:type="dxa"/>
            <w:vAlign w:val="center"/>
          </w:tcPr>
          <w:p>
            <w:pPr>
              <w:jc w:val="center"/>
              <w:rPr>
                <w:rFonts w:ascii="宋体" w:hAnsi="宋体" w:cs="楷体"/>
                <w:color w:val="auto"/>
                <w:sz w:val="22"/>
                <w:szCs w:val="22"/>
                <w:highlight w:val="none"/>
              </w:rPr>
            </w:pP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5</w:t>
            </w:r>
          </w:p>
        </w:tc>
        <w:tc>
          <w:tcPr>
            <w:tcW w:w="1559" w:type="dxa"/>
            <w:vAlign w:val="center"/>
          </w:tcPr>
          <w:p>
            <w:pPr>
              <w:jc w:val="center"/>
              <w:rPr>
                <w:rFonts w:ascii="宋体" w:hAnsi="宋体" w:cs="楷体"/>
                <w:color w:val="auto"/>
                <w:sz w:val="22"/>
                <w:szCs w:val="22"/>
                <w:highlight w:val="none"/>
              </w:rPr>
            </w:pP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w:t>
            </w:r>
          </w:p>
        </w:tc>
        <w:tc>
          <w:tcPr>
            <w:tcW w:w="1559" w:type="dxa"/>
            <w:vAlign w:val="center"/>
          </w:tcPr>
          <w:p>
            <w:pPr>
              <w:jc w:val="center"/>
              <w:rPr>
                <w:rFonts w:ascii="宋体" w:hAnsi="宋体" w:cs="楷体"/>
                <w:color w:val="auto"/>
                <w:sz w:val="22"/>
                <w:szCs w:val="22"/>
                <w:highlight w:val="none"/>
              </w:rPr>
            </w:pPr>
            <w:r>
              <w:rPr>
                <w:rFonts w:hint="eastAsia" w:ascii="宋体" w:hAnsi="宋体" w:cs="楷体"/>
                <w:color w:val="auto"/>
                <w:sz w:val="22"/>
                <w:szCs w:val="22"/>
                <w:highlight w:val="none"/>
              </w:rPr>
              <w:t>……</w:t>
            </w:r>
          </w:p>
        </w:tc>
        <w:tc>
          <w:tcPr>
            <w:tcW w:w="2184" w:type="dxa"/>
            <w:vAlign w:val="center"/>
          </w:tcPr>
          <w:p>
            <w:pPr>
              <w:jc w:val="center"/>
              <w:rPr>
                <w:rFonts w:ascii="宋体" w:hAnsi="宋体" w:cs="楷体"/>
                <w:color w:val="auto"/>
                <w:sz w:val="22"/>
                <w:szCs w:val="22"/>
                <w:highlight w:val="none"/>
              </w:rPr>
            </w:pPr>
          </w:p>
        </w:tc>
        <w:tc>
          <w:tcPr>
            <w:tcW w:w="2402" w:type="dxa"/>
            <w:vAlign w:val="center"/>
          </w:tcPr>
          <w:p>
            <w:pPr>
              <w:jc w:val="center"/>
              <w:rPr>
                <w:rFonts w:ascii="宋体" w:hAnsi="宋体" w:cs="楷体"/>
                <w:color w:val="auto"/>
                <w:sz w:val="22"/>
                <w:szCs w:val="22"/>
                <w:highlight w:val="none"/>
              </w:rPr>
            </w:pPr>
          </w:p>
        </w:tc>
        <w:tc>
          <w:tcPr>
            <w:tcW w:w="1200" w:type="dxa"/>
            <w:vAlign w:val="center"/>
          </w:tcPr>
          <w:p>
            <w:pPr>
              <w:jc w:val="center"/>
              <w:rPr>
                <w:rFonts w:ascii="宋体" w:hAnsi="宋体" w:cs="楷体"/>
                <w:color w:val="auto"/>
                <w:sz w:val="22"/>
                <w:szCs w:val="22"/>
                <w:highlight w:val="none"/>
              </w:rPr>
            </w:pPr>
          </w:p>
        </w:tc>
        <w:tc>
          <w:tcPr>
            <w:tcW w:w="1588" w:type="dxa"/>
            <w:vAlign w:val="center"/>
          </w:tcPr>
          <w:p>
            <w:pPr>
              <w:jc w:val="center"/>
              <w:rPr>
                <w:rFonts w:ascii="宋体" w:hAnsi="宋体" w:cs="楷体"/>
                <w:color w:val="auto"/>
                <w:sz w:val="22"/>
                <w:szCs w:val="22"/>
                <w:highlight w:val="none"/>
              </w:rPr>
            </w:pPr>
          </w:p>
        </w:tc>
      </w:tr>
    </w:tbl>
    <w:p>
      <w:pPr>
        <w:spacing w:line="500" w:lineRule="exact"/>
        <w:ind w:firstLine="4800" w:firstLineChars="2000"/>
        <w:rPr>
          <w:rFonts w:ascii="宋体" w:hAnsi="宋体" w:cs="楷体"/>
          <w:color w:val="auto"/>
          <w:sz w:val="24"/>
          <w:highlight w:val="none"/>
        </w:rPr>
      </w:pPr>
    </w:p>
    <w:p>
      <w:pPr>
        <w:spacing w:line="400" w:lineRule="exact"/>
        <w:ind w:left="218" w:leftChars="104"/>
        <w:rPr>
          <w:rFonts w:ascii="宋体" w:hAnsi="宋体" w:cs="楷体"/>
          <w:color w:val="auto"/>
          <w:sz w:val="22"/>
          <w:szCs w:val="22"/>
          <w:highlight w:val="none"/>
        </w:rPr>
      </w:pPr>
      <w:r>
        <w:rPr>
          <w:rFonts w:hint="eastAsia" w:ascii="宋体" w:hAnsi="宋体" w:cs="楷体"/>
          <w:color w:val="auto"/>
          <w:sz w:val="22"/>
          <w:szCs w:val="22"/>
          <w:highlight w:val="none"/>
        </w:rPr>
        <w:t>说明：</w:t>
      </w:r>
      <w:r>
        <w:rPr>
          <w:rFonts w:hint="eastAsia" w:ascii="宋体" w:hAnsi="宋体"/>
          <w:color w:val="auto"/>
          <w:sz w:val="22"/>
          <w:szCs w:val="22"/>
          <w:highlight w:val="none"/>
        </w:rPr>
        <w:t>不填写此表视作完全响应采购文件要求</w:t>
      </w:r>
    </w:p>
    <w:p>
      <w:pPr>
        <w:spacing w:line="500" w:lineRule="exact"/>
        <w:rPr>
          <w:rFonts w:ascii="宋体" w:hAnsi="宋体" w:cs="楷体"/>
          <w:color w:val="auto"/>
          <w:sz w:val="22"/>
          <w:szCs w:val="22"/>
          <w:highlight w:val="none"/>
        </w:rPr>
      </w:pPr>
    </w:p>
    <w:p>
      <w:pPr>
        <w:spacing w:line="500" w:lineRule="exact"/>
        <w:ind w:firstLine="4400" w:firstLineChars="2000"/>
        <w:rPr>
          <w:rFonts w:ascii="宋体" w:hAnsi="宋体" w:cs="楷体"/>
          <w:color w:val="auto"/>
          <w:sz w:val="22"/>
          <w:szCs w:val="22"/>
          <w:highlight w:val="none"/>
        </w:rPr>
      </w:pPr>
    </w:p>
    <w:p>
      <w:pPr>
        <w:spacing w:line="500" w:lineRule="exact"/>
        <w:ind w:firstLine="4400" w:firstLineChars="2000"/>
        <w:rPr>
          <w:rFonts w:ascii="宋体" w:hAnsi="宋体" w:cs="楷体"/>
          <w:color w:val="auto"/>
          <w:sz w:val="22"/>
          <w:szCs w:val="22"/>
          <w:highlight w:val="none"/>
        </w:rPr>
      </w:pPr>
    </w:p>
    <w:p>
      <w:pPr>
        <w:spacing w:line="500" w:lineRule="exact"/>
        <w:ind w:firstLine="4400" w:firstLineChars="2000"/>
        <w:rPr>
          <w:rFonts w:ascii="宋体" w:hAnsi="宋体" w:cs="楷体"/>
          <w:color w:val="auto"/>
          <w:sz w:val="22"/>
          <w:szCs w:val="22"/>
          <w:highlight w:val="none"/>
        </w:rPr>
      </w:pPr>
    </w:p>
    <w:p>
      <w:pPr>
        <w:tabs>
          <w:tab w:val="left" w:pos="840"/>
        </w:tabs>
        <w:adjustRightInd w:val="0"/>
        <w:snapToGrid w:val="0"/>
        <w:spacing w:line="360" w:lineRule="auto"/>
        <w:ind w:left="420" w:leftChars="200" w:firstLine="330" w:firstLineChars="150"/>
        <w:rPr>
          <w:rFonts w:ascii="宋体" w:hAnsi="宋体" w:cs="楷体"/>
          <w:color w:val="auto"/>
          <w:sz w:val="22"/>
          <w:szCs w:val="22"/>
          <w:highlight w:val="none"/>
        </w:rPr>
      </w:pPr>
      <w:r>
        <w:rPr>
          <w:rFonts w:hint="eastAsia" w:ascii="宋体" w:hAnsi="宋体" w:cs="楷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宋体" w:hAnsi="宋体" w:cs="楷体"/>
          <w:color w:val="auto"/>
          <w:sz w:val="22"/>
          <w:szCs w:val="22"/>
          <w:highlight w:val="none"/>
        </w:rPr>
      </w:pPr>
      <w:r>
        <w:rPr>
          <w:rFonts w:hint="eastAsia" w:ascii="宋体" w:hAnsi="宋体" w:cs="楷体"/>
          <w:color w:val="auto"/>
          <w:sz w:val="22"/>
          <w:szCs w:val="22"/>
          <w:highlight w:val="none"/>
        </w:rPr>
        <w:t>法定代表人或授权代表（签字或盖章）：</w:t>
      </w:r>
    </w:p>
    <w:p>
      <w:pPr>
        <w:tabs>
          <w:tab w:val="left" w:pos="840"/>
        </w:tabs>
        <w:adjustRightInd w:val="0"/>
        <w:snapToGrid w:val="0"/>
        <w:spacing w:line="360" w:lineRule="auto"/>
        <w:ind w:left="420" w:leftChars="200" w:firstLine="330" w:firstLineChars="150"/>
        <w:rPr>
          <w:rFonts w:ascii="宋体" w:hAnsi="宋体" w:cs="楷体"/>
          <w:color w:val="auto"/>
          <w:sz w:val="22"/>
          <w:szCs w:val="22"/>
          <w:highlight w:val="none"/>
        </w:rPr>
      </w:pPr>
      <w:r>
        <w:rPr>
          <w:rFonts w:hint="eastAsia" w:ascii="宋体" w:hAnsi="宋体" w:cs="楷体"/>
          <w:color w:val="auto"/>
          <w:sz w:val="22"/>
          <w:szCs w:val="22"/>
          <w:highlight w:val="none"/>
        </w:rPr>
        <w:t>日          期：  年  月  日</w:t>
      </w:r>
    </w:p>
    <w:p>
      <w:pPr>
        <w:spacing w:line="460" w:lineRule="exact"/>
        <w:rPr>
          <w:rFonts w:ascii="宋体" w:hAnsi="宋体" w:cs="楷体"/>
          <w:color w:val="auto"/>
          <w:sz w:val="22"/>
          <w:szCs w:val="22"/>
          <w:highlight w:val="none"/>
        </w:rPr>
      </w:pPr>
    </w:p>
    <w:p>
      <w:pPr>
        <w:tabs>
          <w:tab w:val="left" w:pos="840"/>
          <w:tab w:val="left" w:pos="5400"/>
        </w:tabs>
        <w:adjustRightInd w:val="0"/>
        <w:snapToGrid w:val="0"/>
        <w:spacing w:line="400" w:lineRule="exact"/>
        <w:ind w:left="420" w:leftChars="200" w:firstLine="4638" w:firstLineChars="2100"/>
        <w:rPr>
          <w:rFonts w:ascii="宋体" w:hAnsi="宋体" w:cs="楷体"/>
          <w:b/>
          <w:bCs/>
          <w:color w:val="auto"/>
          <w:sz w:val="22"/>
          <w:szCs w:val="22"/>
          <w:highlight w:val="none"/>
        </w:rPr>
      </w:pPr>
    </w:p>
    <w:p>
      <w:pPr>
        <w:overflowPunct w:val="0"/>
        <w:spacing w:line="460" w:lineRule="exact"/>
        <w:rPr>
          <w:rFonts w:hint="eastAsia" w:ascii="宋体" w:hAnsi="宋体" w:cs="楷体"/>
          <w:color w:val="auto"/>
          <w:sz w:val="22"/>
          <w:szCs w:val="22"/>
          <w:highlight w:val="none"/>
        </w:rPr>
      </w:pPr>
    </w:p>
    <w:p>
      <w:pPr>
        <w:rPr>
          <w:rFonts w:hint="eastAsia" w:ascii="宋体" w:hAnsi="宋体" w:cs="楷体"/>
          <w:b/>
          <w:bCs/>
          <w:color w:val="auto"/>
          <w:sz w:val="22"/>
          <w:szCs w:val="22"/>
          <w:highlight w:val="none"/>
        </w:rPr>
      </w:pPr>
      <w:r>
        <w:rPr>
          <w:rFonts w:hint="eastAsia" w:ascii="宋体" w:hAnsi="宋体" w:cs="楷体"/>
          <w:b/>
          <w:bCs/>
          <w:color w:val="auto"/>
          <w:sz w:val="22"/>
          <w:szCs w:val="22"/>
          <w:highlight w:val="none"/>
        </w:rPr>
        <w:br w:type="page"/>
      </w:r>
    </w:p>
    <w:p>
      <w:pPr>
        <w:ind w:left="708" w:hanging="649" w:hangingChars="294"/>
        <w:rPr>
          <w:rFonts w:hint="eastAsia" w:ascii="宋体" w:hAnsi="宋体" w:eastAsia="宋体" w:cs="宋体"/>
          <w:b/>
          <w:strike w:val="0"/>
          <w:dstrike w:val="0"/>
          <w:color w:val="auto"/>
          <w:sz w:val="24"/>
          <w:highlight w:val="none"/>
        </w:rPr>
      </w:pPr>
      <w:r>
        <w:rPr>
          <w:rFonts w:hint="eastAsia" w:ascii="宋体" w:hAnsi="宋体" w:cs="楷体"/>
          <w:b/>
          <w:bCs/>
          <w:color w:val="auto"/>
          <w:sz w:val="22"/>
          <w:szCs w:val="22"/>
          <w:highlight w:val="none"/>
        </w:rPr>
        <w:t>附件四</w:t>
      </w:r>
    </w:p>
    <w:p>
      <w:pPr>
        <w:pStyle w:val="24"/>
        <w:rPr>
          <w:rFonts w:hint="eastAsia" w:ascii="宋体" w:hAnsi="宋体" w:eastAsia="宋体" w:cs="宋体"/>
          <w:color w:val="auto"/>
          <w:highlight w:val="none"/>
        </w:rPr>
      </w:pPr>
    </w:p>
    <w:p>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（1）供货清单一览表</w:t>
      </w:r>
    </w:p>
    <w:tbl>
      <w:tblPr>
        <w:tblStyle w:val="51"/>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25"/>
        <w:gridCol w:w="2050"/>
        <w:gridCol w:w="1938"/>
        <w:gridCol w:w="193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725"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  称</w:t>
            </w:r>
          </w:p>
        </w:tc>
        <w:tc>
          <w:tcPr>
            <w:tcW w:w="2050"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品牌、规格型号</w:t>
            </w:r>
          </w:p>
        </w:tc>
        <w:tc>
          <w:tcPr>
            <w:tcW w:w="1938"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原产地</w:t>
            </w:r>
          </w:p>
        </w:tc>
        <w:tc>
          <w:tcPr>
            <w:tcW w:w="1938"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制造商</w:t>
            </w:r>
          </w:p>
        </w:tc>
        <w:tc>
          <w:tcPr>
            <w:tcW w:w="1449" w:type="dxa"/>
            <w:shd w:val="clear" w:color="auto" w:fill="D9D9D9"/>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80" w:lineRule="exact"/>
              <w:jc w:val="center"/>
              <w:rPr>
                <w:rFonts w:hint="eastAsia" w:ascii="宋体" w:hAnsi="宋体" w:eastAsia="宋体" w:cs="宋体"/>
                <w:b/>
                <w:bCs/>
                <w:color w:val="auto"/>
                <w:sz w:val="18"/>
                <w:szCs w:val="18"/>
                <w:highlight w:val="none"/>
              </w:rPr>
            </w:pPr>
          </w:p>
        </w:tc>
        <w:tc>
          <w:tcPr>
            <w:tcW w:w="1725" w:type="dxa"/>
            <w:vAlign w:val="center"/>
          </w:tcPr>
          <w:p>
            <w:pPr>
              <w:spacing w:line="380" w:lineRule="exact"/>
              <w:jc w:val="center"/>
              <w:rPr>
                <w:rFonts w:hint="eastAsia" w:ascii="宋体" w:hAnsi="宋体" w:eastAsia="宋体" w:cs="宋体"/>
                <w:b/>
                <w:bCs/>
                <w:color w:val="auto"/>
                <w:sz w:val="18"/>
                <w:szCs w:val="18"/>
                <w:highlight w:val="none"/>
              </w:rPr>
            </w:pPr>
          </w:p>
        </w:tc>
        <w:tc>
          <w:tcPr>
            <w:tcW w:w="2050"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938" w:type="dxa"/>
            <w:vAlign w:val="center"/>
          </w:tcPr>
          <w:p>
            <w:pPr>
              <w:spacing w:line="380" w:lineRule="exact"/>
              <w:jc w:val="center"/>
              <w:rPr>
                <w:rFonts w:hint="eastAsia" w:ascii="宋体" w:hAnsi="宋体" w:eastAsia="宋体" w:cs="宋体"/>
                <w:b/>
                <w:bCs/>
                <w:color w:val="auto"/>
                <w:sz w:val="18"/>
                <w:szCs w:val="18"/>
                <w:highlight w:val="none"/>
              </w:rPr>
            </w:pPr>
          </w:p>
        </w:tc>
        <w:tc>
          <w:tcPr>
            <w:tcW w:w="1449" w:type="dxa"/>
            <w:vAlign w:val="center"/>
          </w:tcPr>
          <w:p>
            <w:pPr>
              <w:spacing w:line="380" w:lineRule="exact"/>
              <w:jc w:val="center"/>
              <w:rPr>
                <w:rFonts w:hint="eastAsia" w:ascii="宋体" w:hAnsi="宋体" w:eastAsia="宋体" w:cs="宋体"/>
                <w:b/>
                <w:bCs/>
                <w:color w:val="auto"/>
                <w:sz w:val="18"/>
                <w:szCs w:val="18"/>
                <w:highlight w:val="none"/>
              </w:rPr>
            </w:pPr>
          </w:p>
        </w:tc>
      </w:tr>
    </w:tbl>
    <w:p>
      <w:pPr>
        <w:spacing w:line="380" w:lineRule="exact"/>
        <w:ind w:firstLine="5963" w:firstLineChars="2700"/>
        <w:rPr>
          <w:rFonts w:hint="eastAsia" w:ascii="宋体" w:hAnsi="宋体" w:eastAsia="宋体" w:cs="宋体"/>
          <w:b/>
          <w:bCs/>
          <w:color w:val="auto"/>
          <w:sz w:val="22"/>
          <w:szCs w:val="22"/>
          <w:highlight w:val="none"/>
        </w:rPr>
      </w:pPr>
    </w:p>
    <w:p>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（2）随机备品备件、易损易耗件、耗材和专用工具清单（如有）</w:t>
      </w:r>
    </w:p>
    <w:tbl>
      <w:tblPr>
        <w:tblStyle w:val="51"/>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01"/>
        <w:gridCol w:w="2233"/>
        <w:gridCol w:w="291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2201" w:type="dxa"/>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名  称</w:t>
            </w:r>
          </w:p>
        </w:tc>
        <w:tc>
          <w:tcPr>
            <w:tcW w:w="2233" w:type="dxa"/>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型号规格</w:t>
            </w:r>
          </w:p>
        </w:tc>
        <w:tc>
          <w:tcPr>
            <w:tcW w:w="2915" w:type="dxa"/>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原产地/制造商</w:t>
            </w:r>
          </w:p>
        </w:tc>
        <w:tc>
          <w:tcPr>
            <w:tcW w:w="1726" w:type="dxa"/>
            <w:vAlign w:val="center"/>
          </w:tcPr>
          <w:p>
            <w:pPr>
              <w:spacing w:line="38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pPr>
              <w:spacing w:line="380" w:lineRule="exact"/>
              <w:jc w:val="center"/>
              <w:rPr>
                <w:rFonts w:hint="eastAsia" w:ascii="宋体" w:hAnsi="宋体" w:eastAsia="宋体" w:cs="宋体"/>
                <w:b/>
                <w:bCs/>
                <w:color w:val="auto"/>
                <w:sz w:val="18"/>
                <w:szCs w:val="18"/>
                <w:highlight w:val="none"/>
              </w:rPr>
            </w:pPr>
          </w:p>
        </w:tc>
        <w:tc>
          <w:tcPr>
            <w:tcW w:w="2201" w:type="dxa"/>
            <w:vAlign w:val="center"/>
          </w:tcPr>
          <w:p>
            <w:pPr>
              <w:spacing w:line="380" w:lineRule="exact"/>
              <w:jc w:val="center"/>
              <w:rPr>
                <w:rFonts w:hint="eastAsia" w:ascii="宋体" w:hAnsi="宋体" w:eastAsia="宋体" w:cs="宋体"/>
                <w:b/>
                <w:bCs/>
                <w:color w:val="auto"/>
                <w:sz w:val="18"/>
                <w:szCs w:val="18"/>
                <w:highlight w:val="none"/>
              </w:rPr>
            </w:pPr>
          </w:p>
        </w:tc>
        <w:tc>
          <w:tcPr>
            <w:tcW w:w="2233" w:type="dxa"/>
            <w:vAlign w:val="center"/>
          </w:tcPr>
          <w:p>
            <w:pPr>
              <w:spacing w:line="380" w:lineRule="exact"/>
              <w:jc w:val="center"/>
              <w:rPr>
                <w:rFonts w:hint="eastAsia" w:ascii="宋体" w:hAnsi="宋体" w:eastAsia="宋体" w:cs="宋体"/>
                <w:b/>
                <w:bCs/>
                <w:color w:val="auto"/>
                <w:sz w:val="18"/>
                <w:szCs w:val="18"/>
                <w:highlight w:val="none"/>
              </w:rPr>
            </w:pPr>
          </w:p>
        </w:tc>
        <w:tc>
          <w:tcPr>
            <w:tcW w:w="2915" w:type="dxa"/>
            <w:vAlign w:val="center"/>
          </w:tcPr>
          <w:p>
            <w:pPr>
              <w:spacing w:line="380" w:lineRule="exact"/>
              <w:jc w:val="center"/>
              <w:rPr>
                <w:rFonts w:hint="eastAsia" w:ascii="宋体" w:hAnsi="宋体" w:eastAsia="宋体" w:cs="宋体"/>
                <w:b/>
                <w:bCs/>
                <w:color w:val="auto"/>
                <w:sz w:val="18"/>
                <w:szCs w:val="18"/>
                <w:highlight w:val="none"/>
              </w:rPr>
            </w:pPr>
          </w:p>
        </w:tc>
        <w:tc>
          <w:tcPr>
            <w:tcW w:w="1726" w:type="dxa"/>
            <w:vAlign w:val="center"/>
          </w:tcPr>
          <w:p>
            <w:pPr>
              <w:spacing w:line="380" w:lineRule="exact"/>
              <w:jc w:val="center"/>
              <w:rPr>
                <w:rFonts w:hint="eastAsia" w:ascii="宋体" w:hAnsi="宋体" w:eastAsia="宋体" w:cs="宋体"/>
                <w:b/>
                <w:bCs/>
                <w:color w:val="auto"/>
                <w:sz w:val="18"/>
                <w:szCs w:val="18"/>
                <w:highlight w:val="none"/>
              </w:rPr>
            </w:pPr>
          </w:p>
        </w:tc>
      </w:tr>
    </w:tbl>
    <w:p>
      <w:pPr>
        <w:pStyle w:val="29"/>
        <w:spacing w:line="360" w:lineRule="exact"/>
        <w:rPr>
          <w:rFonts w:hint="eastAsia" w:ascii="宋体" w:hAnsi="宋体" w:eastAsia="宋体" w:cs="宋体"/>
          <w:strike w:val="0"/>
          <w:dstrike w:val="0"/>
          <w:color w:val="auto"/>
          <w:sz w:val="22"/>
          <w:highlight w:val="none"/>
        </w:rPr>
      </w:pPr>
      <w:r>
        <w:rPr>
          <w:rFonts w:hint="eastAsia" w:ascii="宋体" w:hAnsi="宋体" w:eastAsia="宋体" w:cs="宋体"/>
          <w:b/>
          <w:bCs/>
          <w:color w:val="auto"/>
          <w:sz w:val="22"/>
          <w:szCs w:val="22"/>
          <w:highlight w:val="none"/>
        </w:rPr>
        <w:t>注：投标供应商可按以上表格形式进行复制、附在技术标内。</w:t>
      </w:r>
    </w:p>
    <w:p>
      <w:pPr>
        <w:pStyle w:val="29"/>
        <w:spacing w:line="360" w:lineRule="auto"/>
        <w:rPr>
          <w:rFonts w:hint="eastAsia" w:ascii="宋体" w:hAnsi="宋体" w:eastAsia="宋体" w:cs="宋体"/>
          <w:strike w:val="0"/>
          <w:dstrike w:val="0"/>
          <w:color w:val="auto"/>
          <w:sz w:val="22"/>
          <w:highlight w:val="none"/>
        </w:rPr>
      </w:pPr>
    </w:p>
    <w:p>
      <w:pPr>
        <w:pStyle w:val="29"/>
        <w:spacing w:line="360" w:lineRule="auto"/>
        <w:rPr>
          <w:rFonts w:hint="eastAsia" w:ascii="宋体" w:hAnsi="宋体" w:eastAsia="宋体" w:cs="宋体"/>
          <w:strike w:val="0"/>
          <w:dstrike w:val="0"/>
          <w:color w:val="auto"/>
          <w:sz w:val="22"/>
          <w:highlight w:val="none"/>
        </w:rPr>
      </w:pPr>
      <w:r>
        <w:rPr>
          <w:rFonts w:hint="eastAsia" w:ascii="宋体" w:hAnsi="宋体" w:eastAsia="宋体" w:cs="宋体"/>
          <w:strike w:val="0"/>
          <w:dstrike w:val="0"/>
          <w:color w:val="auto"/>
          <w:sz w:val="22"/>
          <w:highlight w:val="none"/>
        </w:rPr>
        <w:t>投标</w:t>
      </w:r>
      <w:r>
        <w:rPr>
          <w:rFonts w:hint="eastAsia" w:ascii="宋体" w:hAnsi="宋体" w:eastAsia="宋体" w:cs="宋体"/>
          <w:strike w:val="0"/>
          <w:dstrike w:val="0"/>
          <w:color w:val="auto"/>
          <w:sz w:val="22"/>
          <w:highlight w:val="none"/>
          <w:lang w:val="en-US" w:eastAsia="zh-CN"/>
        </w:rPr>
        <w:t>人全</w:t>
      </w:r>
      <w:r>
        <w:rPr>
          <w:rFonts w:hint="eastAsia" w:ascii="宋体" w:hAnsi="宋体" w:eastAsia="宋体" w:cs="宋体"/>
          <w:strike w:val="0"/>
          <w:dstrike w:val="0"/>
          <w:color w:val="auto"/>
          <w:sz w:val="22"/>
          <w:highlight w:val="none"/>
        </w:rPr>
        <w:t>称（盖</w:t>
      </w:r>
      <w:r>
        <w:rPr>
          <w:rFonts w:hint="eastAsia" w:ascii="宋体" w:hAnsi="宋体" w:eastAsia="宋体" w:cs="宋体"/>
          <w:strike w:val="0"/>
          <w:dstrike w:val="0"/>
          <w:color w:val="auto"/>
          <w:sz w:val="22"/>
          <w:szCs w:val="22"/>
          <w:highlight w:val="none"/>
          <w:lang w:val="en-US" w:eastAsia="zh-CN"/>
        </w:rPr>
        <w:t>公</w:t>
      </w:r>
      <w:r>
        <w:rPr>
          <w:rFonts w:hint="eastAsia" w:ascii="宋体" w:hAnsi="宋体" w:eastAsia="宋体" w:cs="宋体"/>
          <w:strike w:val="0"/>
          <w:dstrike w:val="0"/>
          <w:color w:val="auto"/>
          <w:sz w:val="22"/>
          <w:highlight w:val="none"/>
        </w:rPr>
        <w:t>章）：</w:t>
      </w:r>
    </w:p>
    <w:p>
      <w:pPr>
        <w:pStyle w:val="29"/>
        <w:spacing w:line="360" w:lineRule="auto"/>
        <w:ind w:left="660" w:hanging="660" w:hangingChars="300"/>
        <w:rPr>
          <w:rFonts w:hint="eastAsia" w:ascii="宋体" w:hAnsi="宋体" w:eastAsia="宋体" w:cs="宋体"/>
          <w:strike w:val="0"/>
          <w:dstrike w:val="0"/>
          <w:color w:val="auto"/>
          <w:sz w:val="22"/>
          <w:highlight w:val="none"/>
          <w:lang w:eastAsia="zh-CN"/>
        </w:rPr>
      </w:pPr>
      <w:r>
        <w:rPr>
          <w:rFonts w:hint="eastAsia" w:ascii="宋体" w:hAnsi="宋体" w:eastAsia="宋体" w:cs="宋体"/>
          <w:strike w:val="0"/>
          <w:dstrike w:val="0"/>
          <w:color w:val="auto"/>
          <w:sz w:val="22"/>
          <w:szCs w:val="22"/>
          <w:highlight w:val="none"/>
        </w:rPr>
        <w:t>法定代表人或授权委托人</w:t>
      </w:r>
      <w:r>
        <w:rPr>
          <w:rFonts w:hint="eastAsia" w:ascii="宋体" w:hAnsi="宋体" w:eastAsia="宋体" w:cs="宋体"/>
          <w:strike w:val="0"/>
          <w:dstrike w:val="0"/>
          <w:color w:val="auto"/>
          <w:sz w:val="22"/>
          <w:highlight w:val="none"/>
        </w:rPr>
        <w:t>（签字</w:t>
      </w:r>
      <w:r>
        <w:rPr>
          <w:rFonts w:hint="eastAsia" w:ascii="宋体" w:hAnsi="宋体" w:eastAsia="宋体" w:cs="宋体"/>
          <w:strike w:val="0"/>
          <w:dstrike w:val="0"/>
          <w:color w:val="auto"/>
          <w:sz w:val="22"/>
          <w:szCs w:val="22"/>
          <w:highlight w:val="none"/>
        </w:rPr>
        <w:t>或盖章</w:t>
      </w:r>
      <w:r>
        <w:rPr>
          <w:rFonts w:hint="eastAsia" w:ascii="宋体" w:hAnsi="宋体" w:eastAsia="宋体" w:cs="宋体"/>
          <w:strike w:val="0"/>
          <w:dstrike w:val="0"/>
          <w:color w:val="auto"/>
          <w:sz w:val="22"/>
          <w:highlight w:val="none"/>
        </w:rPr>
        <w:t>）</w:t>
      </w:r>
      <w:r>
        <w:rPr>
          <w:rFonts w:hint="eastAsia" w:ascii="宋体" w:hAnsi="宋体" w:eastAsia="宋体" w:cs="宋体"/>
          <w:strike w:val="0"/>
          <w:dstrike w:val="0"/>
          <w:color w:val="auto"/>
          <w:sz w:val="22"/>
          <w:highlight w:val="none"/>
          <w:lang w:eastAsia="zh-CN"/>
        </w:rPr>
        <w:t>；</w:t>
      </w:r>
    </w:p>
    <w:p>
      <w:pPr>
        <w:pStyle w:val="29"/>
        <w:spacing w:line="360" w:lineRule="auto"/>
        <w:ind w:left="660" w:hanging="660" w:hangingChars="300"/>
        <w:rPr>
          <w:rFonts w:hint="eastAsia" w:ascii="宋体" w:hAnsi="宋体" w:eastAsia="宋体" w:cs="宋体"/>
          <w:strike w:val="0"/>
          <w:dstrike w:val="0"/>
          <w:color w:val="auto"/>
          <w:sz w:val="22"/>
          <w:highlight w:val="none"/>
        </w:rPr>
      </w:pPr>
      <w:r>
        <w:rPr>
          <w:rFonts w:hint="eastAsia" w:ascii="宋体" w:hAnsi="宋体" w:eastAsia="宋体" w:cs="宋体"/>
          <w:strike w:val="0"/>
          <w:dstrike w:val="0"/>
          <w:color w:val="auto"/>
          <w:sz w:val="22"/>
          <w:highlight w:val="none"/>
        </w:rPr>
        <w:t xml:space="preserve">日    期： </w:t>
      </w:r>
    </w:p>
    <w:p>
      <w:pPr>
        <w:pStyle w:val="29"/>
        <w:spacing w:line="360" w:lineRule="auto"/>
        <w:rPr>
          <w:rFonts w:hint="eastAsia" w:ascii="宋体" w:hAnsi="宋体" w:eastAsia="宋体" w:cs="宋体"/>
          <w:b/>
          <w:bCs/>
          <w:strike w:val="0"/>
          <w:dstrike w:val="0"/>
          <w:color w:val="auto"/>
          <w:sz w:val="24"/>
          <w:szCs w:val="24"/>
          <w:highlight w:val="none"/>
          <w:lang w:val="en-US" w:eastAsia="zh-CN"/>
        </w:rPr>
      </w:pPr>
    </w:p>
    <w:p>
      <w:pPr>
        <w:pStyle w:val="29"/>
        <w:spacing w:line="360" w:lineRule="auto"/>
        <w:rPr>
          <w:rFonts w:hint="eastAsia" w:ascii="宋体" w:hAnsi="宋体" w:eastAsia="宋体" w:cs="宋体"/>
          <w:b/>
          <w:bCs/>
          <w:strike w:val="0"/>
          <w:dstrike w:val="0"/>
          <w:color w:val="auto"/>
          <w:sz w:val="24"/>
          <w:szCs w:val="24"/>
          <w:highlight w:val="none"/>
          <w:lang w:val="en-US" w:eastAsia="zh-CN"/>
        </w:rPr>
      </w:pPr>
    </w:p>
    <w:p>
      <w:pPr>
        <w:pStyle w:val="29"/>
        <w:spacing w:line="360" w:lineRule="auto"/>
        <w:rPr>
          <w:rFonts w:hint="eastAsia" w:ascii="宋体" w:hAnsi="宋体" w:eastAsia="宋体" w:cs="宋体"/>
          <w:strike w:val="0"/>
          <w:dstrike w:val="0"/>
          <w:color w:val="auto"/>
          <w:sz w:val="22"/>
          <w:highlight w:val="none"/>
          <w:lang w:val="en-US"/>
        </w:rPr>
      </w:pPr>
      <w:r>
        <w:rPr>
          <w:rFonts w:hint="eastAsia" w:ascii="宋体" w:hAnsi="宋体" w:eastAsia="宋体" w:cs="宋体"/>
          <w:b/>
          <w:bCs/>
          <w:strike w:val="0"/>
          <w:dstrike w:val="0"/>
          <w:color w:val="auto"/>
          <w:sz w:val="24"/>
          <w:szCs w:val="24"/>
          <w:highlight w:val="none"/>
          <w:lang w:val="en-US" w:eastAsia="zh-CN"/>
        </w:rPr>
        <w:t>附件五</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主要原材料情况表</w:t>
      </w:r>
    </w:p>
    <w:p>
      <w:pPr>
        <w:spacing w:line="440" w:lineRule="exact"/>
        <w:jc w:val="center"/>
        <w:rPr>
          <w:rFonts w:hint="eastAsia" w:ascii="宋体" w:hAnsi="宋体" w:eastAsia="宋体" w:cs="宋体"/>
          <w:color w:val="auto"/>
          <w:szCs w:val="21"/>
          <w:highlight w:val="none"/>
          <w:u w:val="single"/>
        </w:rPr>
      </w:pPr>
    </w:p>
    <w:tbl>
      <w:tblPr>
        <w:tblStyle w:val="51"/>
        <w:tblW w:w="98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9"/>
        <w:gridCol w:w="2050"/>
        <w:gridCol w:w="3678"/>
        <w:gridCol w:w="31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shd w:val="clear" w:color="auto" w:fill="E6E6E6"/>
            <w:vAlign w:val="center"/>
          </w:tcPr>
          <w:p>
            <w:pPr>
              <w:overflowPunct w:val="0"/>
              <w:spacing w:line="38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2050" w:type="dxa"/>
            <w:shd w:val="clear" w:color="auto" w:fill="E6E6E6"/>
            <w:vAlign w:val="center"/>
          </w:tcPr>
          <w:p>
            <w:pPr>
              <w:overflowPunct w:val="0"/>
              <w:spacing w:line="38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名  称</w:t>
            </w:r>
          </w:p>
        </w:tc>
        <w:tc>
          <w:tcPr>
            <w:tcW w:w="3678" w:type="dxa"/>
            <w:shd w:val="clear" w:color="auto" w:fill="E6E6E6"/>
            <w:vAlign w:val="center"/>
          </w:tcPr>
          <w:p>
            <w:pPr>
              <w:overflowPunct w:val="0"/>
              <w:spacing w:line="38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规格参数</w:t>
            </w:r>
          </w:p>
        </w:tc>
        <w:tc>
          <w:tcPr>
            <w:tcW w:w="3183" w:type="dxa"/>
            <w:shd w:val="clear" w:color="auto" w:fill="E6E6E6"/>
            <w:vAlign w:val="center"/>
          </w:tcPr>
          <w:p>
            <w:pPr>
              <w:overflowPunct w:val="0"/>
              <w:spacing w:line="38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生产厂家及联系方式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39" w:type="dxa"/>
            <w:vAlign w:val="center"/>
          </w:tcPr>
          <w:p>
            <w:pPr>
              <w:overflowPunct w:val="0"/>
              <w:spacing w:line="3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50" w:type="dxa"/>
            <w:vAlign w:val="center"/>
          </w:tcPr>
          <w:p>
            <w:pPr>
              <w:spacing w:line="440" w:lineRule="exact"/>
              <w:ind w:right="99" w:rightChars="47" w:firstLine="55" w:firstLineChars="31"/>
              <w:jc w:val="center"/>
              <w:rPr>
                <w:rFonts w:hint="eastAsia" w:ascii="宋体" w:hAnsi="宋体" w:eastAsia="宋体" w:cs="宋体"/>
                <w:color w:val="auto"/>
                <w:sz w:val="18"/>
                <w:szCs w:val="18"/>
                <w:highlight w:val="none"/>
              </w:rPr>
            </w:pPr>
          </w:p>
        </w:tc>
        <w:tc>
          <w:tcPr>
            <w:tcW w:w="3678" w:type="dxa"/>
            <w:vAlign w:val="center"/>
          </w:tcPr>
          <w:p>
            <w:pPr>
              <w:overflowPunct w:val="0"/>
              <w:spacing w:line="380" w:lineRule="exact"/>
              <w:jc w:val="center"/>
              <w:rPr>
                <w:rFonts w:hint="eastAsia" w:ascii="宋体" w:hAnsi="宋体" w:eastAsia="宋体" w:cs="宋体"/>
                <w:color w:val="auto"/>
                <w:sz w:val="18"/>
                <w:szCs w:val="18"/>
                <w:highlight w:val="none"/>
              </w:rPr>
            </w:pPr>
          </w:p>
        </w:tc>
        <w:tc>
          <w:tcPr>
            <w:tcW w:w="3183" w:type="dxa"/>
            <w:vAlign w:val="center"/>
          </w:tcPr>
          <w:p>
            <w:pPr>
              <w:overflowPunct w:val="0"/>
              <w:spacing w:line="380" w:lineRule="exact"/>
              <w:jc w:val="center"/>
              <w:rPr>
                <w:rFonts w:hint="eastAsia" w:ascii="宋体" w:hAnsi="宋体" w:eastAsia="宋体" w:cs="宋体"/>
                <w:color w:val="auto"/>
                <w:sz w:val="18"/>
                <w:szCs w:val="18"/>
                <w:highlight w:val="none"/>
              </w:rPr>
            </w:pPr>
          </w:p>
        </w:tc>
      </w:tr>
    </w:tbl>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color w:val="auto"/>
          <w:szCs w:val="21"/>
          <w:highlight w:val="none"/>
        </w:rPr>
        <w:t>投标人可按此表格式复制。</w:t>
      </w:r>
    </w:p>
    <w:p>
      <w:pPr>
        <w:pStyle w:val="2"/>
        <w:ind w:firstLine="200"/>
        <w:rPr>
          <w:rFonts w:hint="eastAsia" w:ascii="宋体" w:hAnsi="宋体" w:eastAsia="宋体" w:cs="宋体"/>
          <w:color w:val="auto"/>
          <w:highlight w:val="none"/>
        </w:rPr>
      </w:pPr>
    </w:p>
    <w:p>
      <w:pPr>
        <w:pStyle w:val="29"/>
        <w:spacing w:line="360" w:lineRule="auto"/>
        <w:rPr>
          <w:rFonts w:hint="eastAsia" w:ascii="宋体" w:hAnsi="宋体" w:eastAsia="宋体" w:cs="宋体"/>
          <w:strike w:val="0"/>
          <w:dstrike w:val="0"/>
          <w:color w:val="auto"/>
          <w:sz w:val="22"/>
          <w:highlight w:val="none"/>
        </w:rPr>
      </w:pPr>
      <w:r>
        <w:rPr>
          <w:rFonts w:hint="eastAsia" w:ascii="宋体" w:hAnsi="宋体" w:eastAsia="宋体" w:cs="宋体"/>
          <w:strike w:val="0"/>
          <w:dstrike w:val="0"/>
          <w:color w:val="auto"/>
          <w:sz w:val="22"/>
          <w:highlight w:val="none"/>
        </w:rPr>
        <w:t>投标</w:t>
      </w:r>
      <w:r>
        <w:rPr>
          <w:rFonts w:hint="eastAsia" w:ascii="宋体" w:hAnsi="宋体" w:eastAsia="宋体" w:cs="宋体"/>
          <w:strike w:val="0"/>
          <w:dstrike w:val="0"/>
          <w:color w:val="auto"/>
          <w:sz w:val="22"/>
          <w:highlight w:val="none"/>
          <w:lang w:val="en-US" w:eastAsia="zh-CN"/>
        </w:rPr>
        <w:t>人全</w:t>
      </w:r>
      <w:r>
        <w:rPr>
          <w:rFonts w:hint="eastAsia" w:ascii="宋体" w:hAnsi="宋体" w:eastAsia="宋体" w:cs="宋体"/>
          <w:strike w:val="0"/>
          <w:dstrike w:val="0"/>
          <w:color w:val="auto"/>
          <w:sz w:val="22"/>
          <w:highlight w:val="none"/>
        </w:rPr>
        <w:t>称（盖</w:t>
      </w:r>
      <w:r>
        <w:rPr>
          <w:rFonts w:hint="eastAsia" w:ascii="宋体" w:hAnsi="宋体" w:eastAsia="宋体" w:cs="宋体"/>
          <w:strike w:val="0"/>
          <w:dstrike w:val="0"/>
          <w:color w:val="auto"/>
          <w:sz w:val="22"/>
          <w:szCs w:val="22"/>
          <w:highlight w:val="none"/>
          <w:lang w:val="en-US" w:eastAsia="zh-CN"/>
        </w:rPr>
        <w:t>公</w:t>
      </w:r>
      <w:r>
        <w:rPr>
          <w:rFonts w:hint="eastAsia" w:ascii="宋体" w:hAnsi="宋体" w:eastAsia="宋体" w:cs="宋体"/>
          <w:strike w:val="0"/>
          <w:dstrike w:val="0"/>
          <w:color w:val="auto"/>
          <w:sz w:val="22"/>
          <w:highlight w:val="none"/>
        </w:rPr>
        <w:t>章）：</w:t>
      </w:r>
    </w:p>
    <w:p>
      <w:pPr>
        <w:pStyle w:val="29"/>
        <w:spacing w:line="360" w:lineRule="auto"/>
        <w:ind w:left="660" w:hanging="660" w:hangingChars="300"/>
        <w:rPr>
          <w:rFonts w:hint="eastAsia" w:ascii="宋体" w:hAnsi="宋体" w:eastAsia="宋体" w:cs="宋体"/>
          <w:strike w:val="0"/>
          <w:dstrike w:val="0"/>
          <w:color w:val="auto"/>
          <w:sz w:val="22"/>
          <w:highlight w:val="none"/>
          <w:lang w:eastAsia="zh-CN"/>
        </w:rPr>
      </w:pPr>
      <w:r>
        <w:rPr>
          <w:rFonts w:hint="eastAsia" w:ascii="宋体" w:hAnsi="宋体" w:eastAsia="宋体" w:cs="宋体"/>
          <w:strike w:val="0"/>
          <w:dstrike w:val="0"/>
          <w:color w:val="auto"/>
          <w:sz w:val="22"/>
          <w:szCs w:val="22"/>
          <w:highlight w:val="none"/>
        </w:rPr>
        <w:t>法定代表人或授权委托人</w:t>
      </w:r>
      <w:r>
        <w:rPr>
          <w:rFonts w:hint="eastAsia" w:ascii="宋体" w:hAnsi="宋体" w:eastAsia="宋体" w:cs="宋体"/>
          <w:strike w:val="0"/>
          <w:dstrike w:val="0"/>
          <w:color w:val="auto"/>
          <w:sz w:val="22"/>
          <w:highlight w:val="none"/>
        </w:rPr>
        <w:t>（签字</w:t>
      </w:r>
      <w:r>
        <w:rPr>
          <w:rFonts w:hint="eastAsia" w:ascii="宋体" w:hAnsi="宋体" w:eastAsia="宋体" w:cs="宋体"/>
          <w:strike w:val="0"/>
          <w:dstrike w:val="0"/>
          <w:color w:val="auto"/>
          <w:sz w:val="22"/>
          <w:szCs w:val="22"/>
          <w:highlight w:val="none"/>
        </w:rPr>
        <w:t>或盖章</w:t>
      </w:r>
      <w:r>
        <w:rPr>
          <w:rFonts w:hint="eastAsia" w:ascii="宋体" w:hAnsi="宋体" w:eastAsia="宋体" w:cs="宋体"/>
          <w:strike w:val="0"/>
          <w:dstrike w:val="0"/>
          <w:color w:val="auto"/>
          <w:sz w:val="22"/>
          <w:highlight w:val="none"/>
        </w:rPr>
        <w:t>）</w:t>
      </w:r>
      <w:r>
        <w:rPr>
          <w:rFonts w:hint="eastAsia" w:ascii="宋体" w:hAnsi="宋体" w:eastAsia="宋体" w:cs="宋体"/>
          <w:strike w:val="0"/>
          <w:dstrike w:val="0"/>
          <w:color w:val="auto"/>
          <w:sz w:val="22"/>
          <w:highlight w:val="none"/>
          <w:lang w:eastAsia="zh-CN"/>
        </w:rPr>
        <w:t>；</w:t>
      </w:r>
    </w:p>
    <w:p>
      <w:pPr>
        <w:pStyle w:val="29"/>
        <w:spacing w:line="360" w:lineRule="auto"/>
        <w:ind w:left="660" w:hanging="660" w:hangingChars="300"/>
        <w:rPr>
          <w:rFonts w:hint="eastAsia" w:ascii="宋体" w:hAnsi="宋体" w:eastAsia="宋体" w:cs="宋体"/>
          <w:strike w:val="0"/>
          <w:dstrike w:val="0"/>
          <w:color w:val="auto"/>
          <w:sz w:val="22"/>
          <w:highlight w:val="none"/>
        </w:rPr>
      </w:pPr>
      <w:r>
        <w:rPr>
          <w:rFonts w:hint="eastAsia" w:ascii="宋体" w:hAnsi="宋体" w:eastAsia="宋体" w:cs="宋体"/>
          <w:strike w:val="0"/>
          <w:dstrike w:val="0"/>
          <w:color w:val="auto"/>
          <w:sz w:val="22"/>
          <w:highlight w:val="none"/>
        </w:rPr>
        <w:t xml:space="preserve">日    期： </w:t>
      </w:r>
    </w:p>
    <w:p>
      <w:pPr>
        <w:spacing w:line="460" w:lineRule="exact"/>
        <w:rPr>
          <w:rFonts w:hint="eastAsia" w:ascii="宋体" w:hAnsi="宋体" w:cs="楷体"/>
          <w:b/>
          <w:bCs/>
          <w:color w:val="auto"/>
          <w:sz w:val="22"/>
          <w:szCs w:val="22"/>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4"/>
        <w:rPr>
          <w:color w:val="auto"/>
          <w:highlight w:val="none"/>
        </w:rPr>
      </w:pPr>
    </w:p>
    <w:p>
      <w:pPr>
        <w:pStyle w:val="29"/>
        <w:spacing w:line="360" w:lineRule="auto"/>
        <w:rPr>
          <w:rFonts w:hint="default" w:ascii="宋体" w:hAnsi="宋体" w:eastAsia="宋体" w:cs="宋体"/>
          <w:strike w:val="0"/>
          <w:dstrike w:val="0"/>
          <w:color w:val="auto"/>
          <w:sz w:val="22"/>
          <w:highlight w:val="none"/>
          <w:lang w:val="en-US"/>
        </w:rPr>
      </w:pPr>
      <w:r>
        <w:rPr>
          <w:rFonts w:hint="eastAsia" w:ascii="宋体" w:hAnsi="宋体" w:eastAsia="宋体" w:cs="宋体"/>
          <w:b/>
          <w:bCs/>
          <w:strike w:val="0"/>
          <w:dstrike w:val="0"/>
          <w:color w:val="auto"/>
          <w:sz w:val="24"/>
          <w:szCs w:val="24"/>
          <w:highlight w:val="none"/>
          <w:lang w:val="en-US" w:eastAsia="zh-CN"/>
        </w:rPr>
        <w:t>附件六</w:t>
      </w:r>
    </w:p>
    <w:p>
      <w:pPr>
        <w:tabs>
          <w:tab w:val="left" w:pos="780"/>
        </w:tabs>
        <w:spacing w:line="400" w:lineRule="exact"/>
        <w:jc w:val="center"/>
        <w:rPr>
          <w:rFonts w:hint="eastAsia" w:ascii="宋体" w:hAnsi="宋体"/>
          <w:b/>
          <w:color w:val="auto"/>
          <w:sz w:val="22"/>
          <w:szCs w:val="22"/>
          <w:highlight w:val="none"/>
        </w:rPr>
      </w:pPr>
    </w:p>
    <w:p>
      <w:pPr>
        <w:tabs>
          <w:tab w:val="left" w:pos="780"/>
        </w:tabs>
        <w:spacing w:line="400" w:lineRule="exact"/>
        <w:jc w:val="center"/>
        <w:outlineLvl w:val="1"/>
        <w:rPr>
          <w:rFonts w:ascii="宋体" w:hAnsi="宋体"/>
          <w:b/>
          <w:color w:val="auto"/>
          <w:sz w:val="22"/>
          <w:szCs w:val="22"/>
          <w:highlight w:val="none"/>
        </w:rPr>
      </w:pPr>
      <w:r>
        <w:rPr>
          <w:rFonts w:hint="eastAsia" w:ascii="宋体" w:hAnsi="宋体"/>
          <w:b/>
          <w:color w:val="auto"/>
          <w:sz w:val="22"/>
          <w:szCs w:val="22"/>
          <w:highlight w:val="none"/>
        </w:rPr>
        <w:t>投标人</w:t>
      </w:r>
      <w:r>
        <w:rPr>
          <w:rFonts w:hint="eastAsia" w:ascii="宋体" w:hAnsi="宋体"/>
          <w:b/>
          <w:color w:val="auto"/>
          <w:sz w:val="22"/>
          <w:szCs w:val="22"/>
          <w:highlight w:val="none"/>
          <w:lang w:eastAsia="zh-CN"/>
        </w:rPr>
        <w:t>2020年1月1日</w:t>
      </w:r>
      <w:r>
        <w:rPr>
          <w:rFonts w:hint="eastAsia" w:ascii="宋体" w:hAnsi="宋体"/>
          <w:b/>
          <w:color w:val="auto"/>
          <w:sz w:val="22"/>
          <w:szCs w:val="22"/>
          <w:highlight w:val="none"/>
        </w:rPr>
        <w:t>以来同类项目的销售业绩表</w:t>
      </w:r>
    </w:p>
    <w:tbl>
      <w:tblPr>
        <w:tblStyle w:val="51"/>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1538"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项目名称</w:t>
            </w:r>
          </w:p>
        </w:tc>
        <w:tc>
          <w:tcPr>
            <w:tcW w:w="1583"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项目单位</w:t>
            </w:r>
          </w:p>
        </w:tc>
        <w:tc>
          <w:tcPr>
            <w:tcW w:w="2036"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项目金额</w:t>
            </w:r>
          </w:p>
        </w:tc>
        <w:tc>
          <w:tcPr>
            <w:tcW w:w="1471"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合同日期</w:t>
            </w:r>
          </w:p>
        </w:tc>
        <w:tc>
          <w:tcPr>
            <w:tcW w:w="1007"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联系人</w:t>
            </w:r>
          </w:p>
        </w:tc>
        <w:tc>
          <w:tcPr>
            <w:tcW w:w="1351" w:type="dxa"/>
            <w:vAlign w:val="center"/>
          </w:tcPr>
          <w:p>
            <w:pPr>
              <w:spacing w:line="380" w:lineRule="exact"/>
              <w:jc w:val="center"/>
              <w:rPr>
                <w:rFonts w:ascii="宋体" w:hAnsi="宋体"/>
                <w:b/>
                <w:color w:val="auto"/>
                <w:sz w:val="22"/>
                <w:szCs w:val="22"/>
                <w:highlight w:val="none"/>
              </w:rPr>
            </w:pPr>
            <w:r>
              <w:rPr>
                <w:rFonts w:hint="eastAsia" w:ascii="宋体" w:hAnsi="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vAlign w:val="top"/>
          </w:tcPr>
          <w:p>
            <w:pPr>
              <w:spacing w:after="120" w:line="360" w:lineRule="atLeast"/>
              <w:jc w:val="center"/>
              <w:rPr>
                <w:rFonts w:ascii="宋体" w:hAnsi="宋体"/>
                <w:color w:val="auto"/>
                <w:sz w:val="22"/>
                <w:szCs w:val="22"/>
                <w:highlight w:val="none"/>
              </w:rPr>
            </w:pPr>
          </w:p>
        </w:tc>
        <w:tc>
          <w:tcPr>
            <w:tcW w:w="1538" w:type="dxa"/>
            <w:vAlign w:val="top"/>
          </w:tcPr>
          <w:p>
            <w:pPr>
              <w:spacing w:after="120" w:line="360" w:lineRule="atLeast"/>
              <w:jc w:val="center"/>
              <w:rPr>
                <w:rFonts w:ascii="宋体" w:hAnsi="宋体"/>
                <w:color w:val="auto"/>
                <w:sz w:val="22"/>
                <w:szCs w:val="22"/>
                <w:highlight w:val="none"/>
              </w:rPr>
            </w:pPr>
          </w:p>
        </w:tc>
        <w:tc>
          <w:tcPr>
            <w:tcW w:w="1583" w:type="dxa"/>
            <w:vAlign w:val="top"/>
          </w:tcPr>
          <w:p>
            <w:pPr>
              <w:spacing w:after="120" w:line="360" w:lineRule="atLeast"/>
              <w:jc w:val="center"/>
              <w:rPr>
                <w:rFonts w:ascii="宋体" w:hAnsi="宋体"/>
                <w:color w:val="auto"/>
                <w:sz w:val="22"/>
                <w:szCs w:val="22"/>
                <w:highlight w:val="none"/>
              </w:rPr>
            </w:pPr>
          </w:p>
        </w:tc>
        <w:tc>
          <w:tcPr>
            <w:tcW w:w="2036" w:type="dxa"/>
            <w:vAlign w:val="top"/>
          </w:tcPr>
          <w:p>
            <w:pPr>
              <w:spacing w:after="120" w:line="360" w:lineRule="atLeast"/>
              <w:jc w:val="center"/>
              <w:rPr>
                <w:rFonts w:ascii="宋体" w:hAnsi="宋体"/>
                <w:color w:val="auto"/>
                <w:sz w:val="22"/>
                <w:szCs w:val="22"/>
                <w:highlight w:val="none"/>
              </w:rPr>
            </w:pPr>
          </w:p>
        </w:tc>
        <w:tc>
          <w:tcPr>
            <w:tcW w:w="1471" w:type="dxa"/>
            <w:vAlign w:val="top"/>
          </w:tcPr>
          <w:p>
            <w:pPr>
              <w:spacing w:after="120" w:line="360" w:lineRule="atLeast"/>
              <w:jc w:val="center"/>
              <w:rPr>
                <w:rFonts w:ascii="宋体" w:hAnsi="宋体"/>
                <w:color w:val="auto"/>
                <w:sz w:val="22"/>
                <w:szCs w:val="22"/>
                <w:highlight w:val="none"/>
              </w:rPr>
            </w:pPr>
          </w:p>
        </w:tc>
        <w:tc>
          <w:tcPr>
            <w:tcW w:w="1007" w:type="dxa"/>
            <w:vAlign w:val="top"/>
          </w:tcPr>
          <w:p>
            <w:pPr>
              <w:spacing w:after="120" w:line="360" w:lineRule="atLeast"/>
              <w:jc w:val="center"/>
              <w:rPr>
                <w:rFonts w:ascii="宋体" w:hAnsi="宋体"/>
                <w:color w:val="auto"/>
                <w:sz w:val="22"/>
                <w:szCs w:val="22"/>
                <w:highlight w:val="none"/>
              </w:rPr>
            </w:pPr>
          </w:p>
        </w:tc>
        <w:tc>
          <w:tcPr>
            <w:tcW w:w="1351" w:type="dxa"/>
            <w:vAlign w:val="top"/>
          </w:tcPr>
          <w:p>
            <w:pPr>
              <w:spacing w:after="120" w:line="360" w:lineRule="atLeast"/>
              <w:jc w:val="center"/>
              <w:rPr>
                <w:rFonts w:ascii="宋体" w:hAnsi="宋体"/>
                <w:color w:val="auto"/>
                <w:sz w:val="22"/>
                <w:szCs w:val="22"/>
                <w:highlight w:val="none"/>
              </w:rPr>
            </w:pPr>
          </w:p>
        </w:tc>
      </w:tr>
    </w:tbl>
    <w:p>
      <w:pPr>
        <w:spacing w:line="400" w:lineRule="exact"/>
        <w:rPr>
          <w:rFonts w:ascii="宋体" w:hAnsi="宋体" w:cs="黑体"/>
          <w:color w:val="auto"/>
          <w:sz w:val="22"/>
          <w:szCs w:val="22"/>
          <w:highlight w:val="none"/>
        </w:rPr>
      </w:pPr>
      <w:r>
        <w:rPr>
          <w:rFonts w:hint="eastAsia" w:ascii="宋体" w:hAnsi="宋体" w:cs="黑体"/>
          <w:color w:val="auto"/>
          <w:sz w:val="22"/>
          <w:szCs w:val="22"/>
          <w:highlight w:val="none"/>
        </w:rPr>
        <w:t>注：</w:t>
      </w:r>
    </w:p>
    <w:p>
      <w:pPr>
        <w:spacing w:line="400" w:lineRule="exact"/>
        <w:rPr>
          <w:rFonts w:ascii="宋体" w:hAnsi="宋体" w:cs="黑体"/>
          <w:color w:val="auto"/>
          <w:sz w:val="22"/>
          <w:szCs w:val="22"/>
          <w:highlight w:val="none"/>
        </w:rPr>
      </w:pPr>
      <w:r>
        <w:rPr>
          <w:rFonts w:hint="eastAsia" w:ascii="宋体" w:hAnsi="宋体" w:cs="黑体"/>
          <w:color w:val="auto"/>
          <w:sz w:val="22"/>
          <w:szCs w:val="22"/>
          <w:highlight w:val="none"/>
        </w:rPr>
        <w:t>1.此表仅提供了表格形式，投标人应根据需要准备足够数量的表格来填写。</w:t>
      </w:r>
    </w:p>
    <w:p>
      <w:pPr>
        <w:spacing w:line="400" w:lineRule="exact"/>
        <w:rPr>
          <w:rFonts w:ascii="宋体" w:hAnsi="宋体" w:cs="黑体"/>
          <w:color w:val="auto"/>
          <w:sz w:val="22"/>
          <w:szCs w:val="22"/>
          <w:highlight w:val="none"/>
        </w:rPr>
      </w:pPr>
      <w:r>
        <w:rPr>
          <w:rFonts w:hint="eastAsia" w:ascii="宋体" w:hAnsi="宋体" w:cs="黑体"/>
          <w:color w:val="auto"/>
          <w:sz w:val="22"/>
          <w:szCs w:val="22"/>
          <w:highlight w:val="none"/>
        </w:rPr>
        <w:t xml:space="preserve">2.每项业绩须根据商务技术文件评分细则的要求提供证明材料； </w:t>
      </w:r>
    </w:p>
    <w:p>
      <w:pPr>
        <w:spacing w:line="400" w:lineRule="exact"/>
        <w:rPr>
          <w:rFonts w:ascii="宋体" w:hAnsi="宋体" w:cs="黑体"/>
          <w:color w:val="auto"/>
          <w:sz w:val="22"/>
          <w:szCs w:val="22"/>
          <w:highlight w:val="none"/>
        </w:rPr>
      </w:pPr>
      <w:r>
        <w:rPr>
          <w:rFonts w:hint="eastAsia" w:ascii="宋体" w:hAnsi="宋体" w:cs="黑体"/>
          <w:color w:val="auto"/>
          <w:sz w:val="22"/>
          <w:szCs w:val="22"/>
          <w:highlight w:val="none"/>
        </w:rPr>
        <w:t>3.投标人不按此要求填写此项内容或未按要求提供业绩证明材料将视为无业绩，不纳入评分范围。</w:t>
      </w:r>
    </w:p>
    <w:p>
      <w:pPr>
        <w:spacing w:line="400" w:lineRule="exact"/>
        <w:ind w:left="180"/>
        <w:rPr>
          <w:rFonts w:ascii="宋体" w:hAnsi="宋体"/>
          <w:b/>
          <w:color w:val="auto"/>
          <w:sz w:val="22"/>
          <w:szCs w:val="22"/>
          <w:highlight w:val="none"/>
        </w:rPr>
      </w:pPr>
    </w:p>
    <w:p>
      <w:pPr>
        <w:overflowPunct w:val="0"/>
        <w:spacing w:line="46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投标人全称（盖章）：</w:t>
      </w:r>
    </w:p>
    <w:p>
      <w:pPr>
        <w:overflowPunct w:val="0"/>
        <w:spacing w:line="46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法定代表人或授权代表（签名或盖章）：</w:t>
      </w:r>
    </w:p>
    <w:p>
      <w:pPr>
        <w:overflowPunct w:val="0"/>
        <w:spacing w:line="460" w:lineRule="exact"/>
        <w:rPr>
          <w:rFonts w:hint="eastAsia" w:ascii="宋体" w:hAnsi="宋体" w:cs="楷体"/>
          <w:color w:val="auto"/>
          <w:sz w:val="22"/>
          <w:szCs w:val="22"/>
          <w:highlight w:val="none"/>
        </w:rPr>
      </w:pPr>
      <w:r>
        <w:rPr>
          <w:rFonts w:hint="eastAsia" w:ascii="宋体" w:hAnsi="宋体" w:cs="楷体"/>
          <w:color w:val="auto"/>
          <w:sz w:val="22"/>
          <w:szCs w:val="22"/>
          <w:highlight w:val="none"/>
        </w:rPr>
        <w:t>日 期：  年  月  日</w:t>
      </w:r>
    </w:p>
    <w:p>
      <w:pPr>
        <w:tabs>
          <w:tab w:val="left" w:pos="840"/>
          <w:tab w:val="left" w:pos="5400"/>
        </w:tabs>
        <w:adjustRightInd w:val="0"/>
        <w:snapToGrid w:val="0"/>
        <w:spacing w:line="400" w:lineRule="exact"/>
        <w:rPr>
          <w:rFonts w:hint="eastAsia" w:ascii="宋体" w:hAnsi="宋体" w:cs="楷体"/>
          <w:b/>
          <w:bCs/>
          <w:color w:val="auto"/>
          <w:sz w:val="22"/>
          <w:szCs w:val="22"/>
          <w:highlight w:val="none"/>
        </w:rPr>
      </w:pPr>
    </w:p>
    <w:p>
      <w:pPr>
        <w:overflowPunct w:val="0"/>
        <w:spacing w:line="380" w:lineRule="exact"/>
        <w:rPr>
          <w:rFonts w:hint="eastAsia" w:ascii="新宋体" w:hAnsi="新宋体" w:eastAsia="新宋体" w:cs="新宋体"/>
          <w:color w:val="auto"/>
          <w:sz w:val="22"/>
          <w:szCs w:val="22"/>
          <w:highlight w:val="none"/>
        </w:rPr>
      </w:pPr>
      <w:r>
        <w:rPr>
          <w:rFonts w:hint="eastAsia" w:ascii="宋体" w:hAnsi="宋体" w:cs="楷体"/>
          <w:color w:val="auto"/>
          <w:sz w:val="22"/>
          <w:szCs w:val="22"/>
          <w:highlight w:val="none"/>
        </w:rPr>
        <w:br w:type="page"/>
      </w:r>
    </w:p>
    <w:p>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（商务报价标封面，供参考）</w:t>
      </w: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pStyle w:val="2"/>
        <w:ind w:firstLine="280"/>
        <w:rPr>
          <w:rFonts w:hint="eastAsia" w:ascii="新宋体" w:hAnsi="新宋体" w:eastAsia="新宋体" w:cs="新宋体"/>
          <w:color w:val="auto"/>
          <w:sz w:val="28"/>
          <w:szCs w:val="28"/>
          <w:highlight w:val="none"/>
        </w:rPr>
      </w:pPr>
    </w:p>
    <w:p>
      <w:pPr>
        <w:pStyle w:val="2"/>
        <w:ind w:firstLine="280"/>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rPr>
          <w:rFonts w:hint="eastAsia" w:ascii="新宋体" w:hAnsi="新宋体" w:eastAsia="新宋体" w:cs="新宋体"/>
          <w:color w:val="auto"/>
          <w:sz w:val="28"/>
          <w:szCs w:val="28"/>
          <w:highlight w:val="none"/>
        </w:rPr>
      </w:pPr>
    </w:p>
    <w:p>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 xml:space="preserve">商  务  </w:t>
      </w:r>
      <w:r>
        <w:rPr>
          <w:rFonts w:hint="eastAsia" w:ascii="新宋体" w:hAnsi="新宋体" w:eastAsia="新宋体" w:cs="新宋体"/>
          <w:color w:val="auto"/>
          <w:sz w:val="52"/>
          <w:szCs w:val="52"/>
          <w:highlight w:val="none"/>
          <w:lang w:eastAsia="zh-CN"/>
        </w:rPr>
        <w:t>报</w:t>
      </w:r>
      <w:r>
        <w:rPr>
          <w:rFonts w:hint="eastAsia" w:ascii="新宋体" w:hAnsi="新宋体" w:eastAsia="新宋体" w:cs="新宋体"/>
          <w:color w:val="auto"/>
          <w:sz w:val="52"/>
          <w:szCs w:val="52"/>
          <w:highlight w:val="none"/>
          <w:lang w:val="en-US" w:eastAsia="zh-CN"/>
        </w:rPr>
        <w:t xml:space="preserve">  </w:t>
      </w:r>
      <w:r>
        <w:rPr>
          <w:rFonts w:hint="eastAsia" w:ascii="新宋体" w:hAnsi="新宋体" w:eastAsia="新宋体" w:cs="新宋体"/>
          <w:color w:val="auto"/>
          <w:sz w:val="52"/>
          <w:szCs w:val="52"/>
          <w:highlight w:val="none"/>
          <w:lang w:eastAsia="zh-CN"/>
        </w:rPr>
        <w:t>价</w:t>
      </w:r>
      <w:r>
        <w:rPr>
          <w:rFonts w:hint="eastAsia" w:ascii="新宋体" w:hAnsi="新宋体" w:eastAsia="新宋体" w:cs="新宋体"/>
          <w:color w:val="auto"/>
          <w:sz w:val="52"/>
          <w:szCs w:val="52"/>
          <w:highlight w:val="none"/>
          <w:lang w:val="en-US" w:eastAsia="zh-CN"/>
        </w:rPr>
        <w:t xml:space="preserve">  </w:t>
      </w:r>
      <w:r>
        <w:rPr>
          <w:rFonts w:hint="eastAsia" w:ascii="新宋体" w:hAnsi="新宋体" w:eastAsia="新宋体" w:cs="新宋体"/>
          <w:color w:val="auto"/>
          <w:sz w:val="52"/>
          <w:szCs w:val="52"/>
          <w:highlight w:val="none"/>
        </w:rPr>
        <w:t>标</w:t>
      </w: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spacing w:line="360" w:lineRule="auto"/>
        <w:rPr>
          <w:rFonts w:hint="eastAsia" w:ascii="新宋体" w:hAnsi="新宋体" w:eastAsia="新宋体" w:cs="新宋体"/>
          <w:color w:val="auto"/>
          <w:szCs w:val="21"/>
          <w:highlight w:val="non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hint="eastAsia" w:ascii="新宋体" w:hAnsi="新宋体" w:eastAsia="新宋体" w:cs="新宋体"/>
          <w:color w:val="auto"/>
          <w:sz w:val="28"/>
          <w:szCs w:val="28"/>
          <w:highlight w:val="none"/>
          <w:u w:val="single"/>
        </w:rPr>
      </w:pPr>
    </w:p>
    <w:p>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hint="eastAsia" w:ascii="新宋体" w:hAnsi="新宋体" w:eastAsia="新宋体" w:cs="新宋体"/>
          <w:color w:val="auto"/>
          <w:sz w:val="28"/>
          <w:szCs w:val="28"/>
          <w:highlight w:val="none"/>
        </w:rPr>
      </w:pPr>
    </w:p>
    <w:p>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p>
    <w:p>
      <w:pPr>
        <w:spacing w:before="480" w:beforeLines="200" w:after="240" w:afterLines="1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投标报价一览表</w:t>
      </w:r>
    </w:p>
    <w:p>
      <w:pPr>
        <w:pStyle w:val="17"/>
        <w:spacing w:line="400" w:lineRule="exact"/>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编号：</w:t>
      </w:r>
    </w:p>
    <w:p>
      <w:pPr>
        <w:pStyle w:val="17"/>
        <w:spacing w:line="400" w:lineRule="exact"/>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投标标段：</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color w:val="auto"/>
          <w:sz w:val="22"/>
          <w:szCs w:val="22"/>
          <w:highlight w:val="none"/>
        </w:rPr>
        <w:t xml:space="preserve">                  </w:t>
      </w:r>
    </w:p>
    <w:tbl>
      <w:tblPr>
        <w:tblStyle w:val="51"/>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pPr>
              <w:autoSpaceDE w:val="0"/>
              <w:autoSpaceDN w:val="0"/>
              <w:adjustRightInd w:val="0"/>
              <w:spacing w:line="380" w:lineRule="atLeast"/>
              <w:ind w:right="349" w:firstLine="331"/>
              <w:jc w:val="left"/>
              <w:rPr>
                <w:rFonts w:ascii="新宋体" w:hAnsi="新宋体" w:eastAsia="新宋体"/>
                <w:b/>
                <w:bCs/>
                <w:color w:val="auto"/>
                <w:kern w:val="0"/>
                <w:sz w:val="22"/>
                <w:szCs w:val="22"/>
                <w:highlight w:val="none"/>
              </w:rPr>
            </w:pPr>
            <w:r>
              <w:rPr>
                <w:rFonts w:hint="eastAsia" w:ascii="新宋体" w:hAnsi="新宋体" w:eastAsia="新宋体"/>
                <w:b/>
                <w:bCs/>
                <w:color w:val="auto"/>
                <w:kern w:val="0"/>
                <w:sz w:val="22"/>
                <w:szCs w:val="22"/>
                <w:highlight w:val="none"/>
              </w:rPr>
              <w:t>投标</w:t>
            </w:r>
            <w:r>
              <w:rPr>
                <w:rFonts w:hint="eastAsia" w:ascii="新宋体" w:hAnsi="新宋体" w:eastAsia="新宋体"/>
                <w:b/>
                <w:bCs/>
                <w:color w:val="auto"/>
                <w:kern w:val="0"/>
                <w:sz w:val="22"/>
                <w:szCs w:val="22"/>
                <w:highlight w:val="none"/>
                <w:lang w:val="en-US" w:eastAsia="zh-CN"/>
              </w:rPr>
              <w:t>报价</w:t>
            </w:r>
            <w:r>
              <w:rPr>
                <w:rFonts w:hint="eastAsia" w:ascii="新宋体" w:hAnsi="新宋体" w:eastAsia="新宋体"/>
                <w:b/>
                <w:bCs/>
                <w:color w:val="auto"/>
                <w:kern w:val="0"/>
                <w:sz w:val="22"/>
                <w:szCs w:val="22"/>
                <w:highlight w:val="none"/>
              </w:rPr>
              <w:t>（大写）：</w:t>
            </w:r>
          </w:p>
          <w:p>
            <w:pPr>
              <w:autoSpaceDE w:val="0"/>
              <w:autoSpaceDN w:val="0"/>
              <w:adjustRightInd w:val="0"/>
              <w:spacing w:line="380" w:lineRule="atLeast"/>
              <w:ind w:right="349" w:firstLine="331"/>
              <w:jc w:val="left"/>
              <w:rPr>
                <w:rFonts w:ascii="新宋体" w:hAnsi="新宋体" w:eastAsia="新宋体"/>
                <w:b/>
                <w:bCs/>
                <w:color w:val="auto"/>
                <w:kern w:val="0"/>
                <w:sz w:val="22"/>
                <w:szCs w:val="22"/>
                <w:highlight w:val="none"/>
              </w:rPr>
            </w:pPr>
          </w:p>
          <w:p>
            <w:pPr>
              <w:autoSpaceDE w:val="0"/>
              <w:autoSpaceDN w:val="0"/>
              <w:adjustRightInd w:val="0"/>
              <w:spacing w:line="380" w:lineRule="atLeast"/>
              <w:ind w:right="349" w:firstLine="331"/>
              <w:jc w:val="left"/>
              <w:rPr>
                <w:rFonts w:ascii="新宋体" w:hAnsi="新宋体" w:eastAsia="新宋体"/>
                <w:b/>
                <w:bCs/>
                <w:color w:val="auto"/>
                <w:kern w:val="0"/>
                <w:sz w:val="22"/>
                <w:szCs w:val="22"/>
                <w:highlight w:val="none"/>
              </w:rPr>
            </w:pPr>
            <w:r>
              <w:rPr>
                <w:rFonts w:hint="eastAsia" w:ascii="新宋体" w:hAnsi="新宋体" w:eastAsia="新宋体"/>
                <w:b/>
                <w:bCs/>
                <w:color w:val="auto"/>
                <w:kern w:val="0"/>
                <w:sz w:val="22"/>
                <w:szCs w:val="22"/>
                <w:highlight w:val="none"/>
              </w:rPr>
              <w:t>（小写）¥</w:t>
            </w:r>
          </w:p>
        </w:tc>
      </w:tr>
    </w:tbl>
    <w:p>
      <w:pPr>
        <w:spacing w:before="120" w:beforeLines="50" w:line="400" w:lineRule="exact"/>
        <w:rPr>
          <w:rFonts w:hint="eastAsia" w:ascii="新宋体" w:hAnsi="新宋体" w:eastAsia="新宋体" w:cs="新宋体"/>
          <w:b/>
          <w:bCs/>
          <w:color w:val="auto"/>
          <w:sz w:val="22"/>
          <w:szCs w:val="22"/>
          <w:highlight w:val="none"/>
        </w:rPr>
      </w:pPr>
    </w:p>
    <w:p>
      <w:pPr>
        <w:spacing w:before="120" w:beforeLines="50"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pPr>
        <w:numPr>
          <w:ilvl w:val="0"/>
          <w:numId w:val="26"/>
        </w:numPr>
        <w:tabs>
          <w:tab w:val="left" w:pos="525"/>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在采购人提供的产品最高限价（见投标报价一览表附件）的基础上以综合单价</w:t>
      </w:r>
      <w:r>
        <w:rPr>
          <w:rFonts w:hint="eastAsia" w:ascii="新宋体" w:hAnsi="新宋体" w:eastAsia="新宋体" w:cs="新宋体"/>
          <w:color w:val="auto"/>
          <w:sz w:val="22"/>
          <w:szCs w:val="22"/>
          <w:highlight w:val="none"/>
        </w:rPr>
        <w:t>方式进行报价</w:t>
      </w:r>
      <w:r>
        <w:rPr>
          <w:rFonts w:hint="eastAsia" w:ascii="新宋体" w:hAnsi="新宋体" w:eastAsia="新宋体" w:cs="新宋体"/>
          <w:color w:val="auto"/>
          <w:sz w:val="22"/>
          <w:szCs w:val="22"/>
          <w:highlight w:val="none"/>
          <w:lang w:eastAsia="zh-CN"/>
        </w:rPr>
        <w:t>。</w:t>
      </w:r>
    </w:p>
    <w:p>
      <w:pPr>
        <w:numPr>
          <w:ilvl w:val="0"/>
          <w:numId w:val="26"/>
        </w:numPr>
        <w:tabs>
          <w:tab w:val="left" w:pos="525"/>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本表所报投标报价仅作为评审报价，最终以分项报价表各产品综合单价进行结算。</w:t>
      </w:r>
    </w:p>
    <w:p>
      <w:pPr>
        <w:numPr>
          <w:ilvl w:val="0"/>
          <w:numId w:val="26"/>
        </w:numPr>
        <w:tabs>
          <w:tab w:val="left" w:pos="525"/>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不提供此表格将被视为没有实质性响应</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,其投标文件将被否决。</w:t>
      </w:r>
    </w:p>
    <w:p>
      <w:pPr>
        <w:spacing w:line="440" w:lineRule="exact"/>
        <w:ind w:right="-21" w:rightChars="-10"/>
        <w:rPr>
          <w:rFonts w:hint="eastAsia" w:ascii="新宋体" w:hAnsi="新宋体" w:eastAsia="新宋体" w:cs="新宋体"/>
          <w:color w:val="auto"/>
          <w:sz w:val="22"/>
          <w:szCs w:val="22"/>
          <w:highlight w:val="none"/>
        </w:rPr>
      </w:pPr>
    </w:p>
    <w:p>
      <w:pPr>
        <w:spacing w:line="44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pPr>
        <w:spacing w:line="440" w:lineRule="exact"/>
        <w:ind w:right="-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p>
    <w:p>
      <w:pPr>
        <w:spacing w:line="44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br w:type="page"/>
      </w:r>
      <w:r>
        <w:rPr>
          <w:rFonts w:hint="eastAsia" w:ascii="新宋体" w:hAnsi="新宋体" w:eastAsia="新宋体" w:cs="新宋体"/>
          <w:b/>
          <w:bCs/>
          <w:color w:val="auto"/>
          <w:sz w:val="22"/>
          <w:szCs w:val="22"/>
          <w:highlight w:val="none"/>
          <w:lang w:eastAsia="zh-CN"/>
        </w:rPr>
        <w:t>投标报价一览表附件</w:t>
      </w:r>
    </w:p>
    <w:p>
      <w:pPr>
        <w:jc w:val="center"/>
        <w:rPr>
          <w:rFonts w:hint="eastAsia" w:ascii="宋体" w:hAnsi="宋体" w:eastAsia="宋体" w:cs="楷体"/>
          <w:b/>
          <w:bCs/>
          <w:color w:val="auto"/>
          <w:sz w:val="22"/>
          <w:szCs w:val="22"/>
          <w:highlight w:val="none"/>
          <w:lang w:eastAsia="zh-CN"/>
        </w:rPr>
      </w:pPr>
      <w:r>
        <w:rPr>
          <w:rFonts w:hint="eastAsia" w:ascii="宋体" w:hAnsi="宋体" w:eastAsia="宋体" w:cs="楷体"/>
          <w:b/>
          <w:bCs/>
          <w:color w:val="auto"/>
          <w:sz w:val="22"/>
          <w:szCs w:val="22"/>
          <w:highlight w:val="none"/>
          <w:lang w:eastAsia="zh-CN"/>
        </w:rPr>
        <w:t>投标分项报价表</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2342"/>
        <w:gridCol w:w="1851"/>
        <w:gridCol w:w="1143"/>
        <w:gridCol w:w="1080"/>
        <w:gridCol w:w="1128"/>
        <w:gridCol w:w="139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序号</w:t>
            </w:r>
          </w:p>
        </w:tc>
        <w:tc>
          <w:tcPr>
            <w:tcW w:w="23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名称</w:t>
            </w:r>
          </w:p>
        </w:tc>
        <w:tc>
          <w:tcPr>
            <w:tcW w:w="18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规格（mm）</w:t>
            </w:r>
          </w:p>
        </w:tc>
        <w:tc>
          <w:tcPr>
            <w:tcW w:w="1143" w:type="dxa"/>
            <w:tcBorders>
              <w:tl2br w:val="nil"/>
              <w:tr2bl w:val="nil"/>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color w:val="auto"/>
                <w:kern w:val="0"/>
                <w:sz w:val="21"/>
                <w:szCs w:val="21"/>
                <w:highlight w:val="none"/>
                <w:lang w:val="en-US" w:eastAsia="zh-CN"/>
              </w:rPr>
              <w:t>井盖</w:t>
            </w:r>
            <w:r>
              <w:rPr>
                <w:rFonts w:hint="eastAsia" w:ascii="宋体" w:hAnsi="宋体" w:eastAsia="宋体" w:cs="宋体"/>
                <w:color w:val="auto"/>
                <w:kern w:val="0"/>
                <w:sz w:val="21"/>
                <w:szCs w:val="21"/>
                <w:highlight w:val="none"/>
              </w:rPr>
              <w:t>单价（元）</w:t>
            </w:r>
          </w:p>
        </w:tc>
        <w:tc>
          <w:tcPr>
            <w:tcW w:w="1080" w:type="dxa"/>
            <w:tcBorders>
              <w:tl2br w:val="nil"/>
              <w:tr2bl w:val="nil"/>
            </w:tcBorders>
            <w:shd w:val="clear" w:color="auto" w:fill="auto"/>
            <w:vAlign w:val="center"/>
          </w:tcPr>
          <w:p>
            <w:pPr>
              <w:widowControl/>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1"/>
                <w:szCs w:val="21"/>
                <w:highlight w:val="none"/>
                <w:lang w:val="en-US" w:eastAsia="zh-CN"/>
              </w:rPr>
              <w:t>井座</w:t>
            </w:r>
            <w:r>
              <w:rPr>
                <w:rFonts w:hint="eastAsia" w:ascii="宋体" w:hAnsi="宋体" w:eastAsia="宋体" w:cs="宋体"/>
                <w:color w:val="auto"/>
                <w:kern w:val="0"/>
                <w:sz w:val="21"/>
                <w:szCs w:val="21"/>
                <w:highlight w:val="none"/>
              </w:rPr>
              <w:t>单价（元）</w:t>
            </w:r>
          </w:p>
        </w:tc>
        <w:tc>
          <w:tcPr>
            <w:tcW w:w="1128" w:type="dxa"/>
            <w:tcBorders>
              <w:tl2br w:val="nil"/>
              <w:tr2bl w:val="nil"/>
            </w:tcBorders>
            <w:shd w:val="clear" w:color="auto" w:fill="auto"/>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合计</w:t>
            </w:r>
          </w:p>
          <w:p>
            <w:pPr>
              <w:widowControl/>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1"/>
                <w:szCs w:val="21"/>
                <w:highlight w:val="none"/>
              </w:rPr>
              <w:t>（元）</w:t>
            </w:r>
          </w:p>
        </w:tc>
        <w:tc>
          <w:tcPr>
            <w:tcW w:w="1394" w:type="dxa"/>
            <w:tcBorders>
              <w:tl2br w:val="nil"/>
              <w:tr2bl w:val="nil"/>
            </w:tcBorders>
            <w:shd w:val="clear" w:color="auto" w:fill="auto"/>
            <w:vAlign w:val="center"/>
          </w:tcPr>
          <w:p>
            <w:pPr>
              <w:widowControl/>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1"/>
                <w:szCs w:val="21"/>
                <w:highlight w:val="none"/>
                <w:lang w:val="en-US" w:eastAsia="zh-CN"/>
              </w:rPr>
              <w:t>合价最高限价（元）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1</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雨/污水圆井盖</w:t>
            </w:r>
          </w:p>
        </w:tc>
        <w:tc>
          <w:tcPr>
            <w:tcW w:w="18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φ700，C250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2</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雨/污水圆井盖</w:t>
            </w:r>
          </w:p>
        </w:tc>
        <w:tc>
          <w:tcPr>
            <w:tcW w:w="18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Φ600，C250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3</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851" w:type="dxa"/>
            <w:tcBorders>
              <w:tl2br w:val="nil"/>
              <w:tr2bl w:val="nil"/>
            </w:tcBorders>
            <w:shd w:val="clear" w:color="auto" w:fill="auto"/>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color w:val="auto"/>
                <w:sz w:val="21"/>
                <w:szCs w:val="21"/>
                <w:highlight w:val="none"/>
              </w:rPr>
              <w:t>600*600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4</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851" w:type="dxa"/>
            <w:tcBorders>
              <w:tl2br w:val="nil"/>
              <w:tr2bl w:val="nil"/>
            </w:tcBorders>
            <w:shd w:val="clear" w:color="auto" w:fill="auto"/>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color w:val="auto"/>
                <w:sz w:val="21"/>
                <w:szCs w:val="21"/>
                <w:highlight w:val="none"/>
              </w:rPr>
              <w:t>500*500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5</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雨/污水方井盖</w:t>
            </w:r>
          </w:p>
        </w:tc>
        <w:tc>
          <w:tcPr>
            <w:tcW w:w="1851" w:type="dxa"/>
            <w:tcBorders>
              <w:tl2br w:val="nil"/>
              <w:tr2bl w:val="nil"/>
            </w:tcBorders>
            <w:shd w:val="clear" w:color="auto" w:fill="auto"/>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color w:val="auto"/>
                <w:sz w:val="21"/>
                <w:szCs w:val="21"/>
                <w:highlight w:val="none"/>
              </w:rPr>
              <w:t>400*400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6</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宋体" w:cs="新宋体"/>
                <w:i w:val="0"/>
                <w:iCs w:val="0"/>
                <w:color w:val="auto"/>
                <w:sz w:val="22"/>
                <w:szCs w:val="22"/>
                <w:highlight w:val="none"/>
                <w:u w:val="none"/>
                <w:lang w:eastAsia="zh-CN"/>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851" w:type="dxa"/>
            <w:tcBorders>
              <w:tl2br w:val="nil"/>
              <w:tr2bl w:val="nil"/>
            </w:tcBorders>
            <w:shd w:val="clear" w:color="auto" w:fill="auto"/>
            <w:vAlign w:val="center"/>
          </w:tcPr>
          <w:p>
            <w:pPr>
              <w:widowControl/>
              <w:jc w:val="center"/>
              <w:textAlignment w:val="center"/>
              <w:rPr>
                <w:rFonts w:hint="eastAsia" w:ascii="新宋体" w:hAnsi="新宋体" w:eastAsia="新宋体" w:cs="新宋体"/>
                <w:i w:val="0"/>
                <w:iCs w:val="0"/>
                <w:color w:val="auto"/>
                <w:sz w:val="22"/>
                <w:szCs w:val="22"/>
                <w:highlight w:val="none"/>
                <w:u w:val="none"/>
              </w:rPr>
            </w:pPr>
            <w:r>
              <w:rPr>
                <w:rFonts w:hint="eastAsia" w:ascii="宋体" w:hAnsi="宋体" w:eastAsia="宋体" w:cs="宋体"/>
                <w:color w:val="auto"/>
                <w:sz w:val="21"/>
                <w:szCs w:val="21"/>
                <w:highlight w:val="none"/>
              </w:rPr>
              <w:t>750*450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7</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宋体" w:cs="新宋体"/>
                <w:i w:val="0"/>
                <w:iCs w:val="0"/>
                <w:color w:val="auto"/>
                <w:sz w:val="22"/>
                <w:szCs w:val="22"/>
                <w:highlight w:val="none"/>
                <w:u w:val="none"/>
                <w:lang w:eastAsia="zh-CN"/>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851" w:type="dxa"/>
            <w:tcBorders>
              <w:tl2br w:val="nil"/>
              <w:tr2bl w:val="nil"/>
            </w:tcBorders>
            <w:shd w:val="clear" w:color="auto" w:fill="auto"/>
            <w:vAlign w:val="center"/>
          </w:tcPr>
          <w:p>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宋体" w:hAnsi="宋体" w:eastAsia="宋体" w:cs="宋体"/>
                <w:color w:val="auto"/>
                <w:sz w:val="21"/>
                <w:szCs w:val="21"/>
                <w:highlight w:val="none"/>
              </w:rPr>
              <w:t>400*600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0" w:type="dxa"/>
          <w:trHeight w:val="567" w:hRule="atLeast"/>
        </w:trPr>
        <w:tc>
          <w:tcPr>
            <w:tcW w:w="8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iCs w:val="0"/>
                <w:color w:val="auto"/>
                <w:sz w:val="22"/>
                <w:szCs w:val="22"/>
                <w:highlight w:val="none"/>
                <w:u w:val="none"/>
                <w:lang w:val="en-US" w:eastAsia="zh-CN"/>
              </w:rPr>
            </w:pPr>
            <w:r>
              <w:rPr>
                <w:rFonts w:hint="eastAsia" w:ascii="新宋体" w:hAnsi="新宋体" w:eastAsia="新宋体" w:cs="新宋体"/>
                <w:i w:val="0"/>
                <w:iCs w:val="0"/>
                <w:color w:val="auto"/>
                <w:sz w:val="22"/>
                <w:szCs w:val="22"/>
                <w:highlight w:val="none"/>
                <w:u w:val="none"/>
                <w:lang w:val="en-US" w:eastAsia="zh-CN"/>
              </w:rPr>
              <w:t>8</w:t>
            </w:r>
          </w:p>
        </w:tc>
        <w:tc>
          <w:tcPr>
            <w:tcW w:w="2342" w:type="dxa"/>
            <w:tcBorders>
              <w:tl2br w:val="nil"/>
              <w:tr2bl w:val="nil"/>
            </w:tcBorders>
            <w:shd w:val="clear" w:color="auto" w:fill="auto"/>
            <w:vAlign w:val="center"/>
          </w:tcPr>
          <w:p>
            <w:pPr>
              <w:widowControl/>
              <w:spacing w:line="240" w:lineRule="exact"/>
              <w:jc w:val="center"/>
              <w:rPr>
                <w:rFonts w:hint="eastAsia" w:ascii="新宋体" w:hAnsi="新宋体" w:eastAsia="宋体" w:cs="新宋体"/>
                <w:i w:val="0"/>
                <w:iCs w:val="0"/>
                <w:color w:val="auto"/>
                <w:sz w:val="22"/>
                <w:szCs w:val="22"/>
                <w:highlight w:val="none"/>
                <w:u w:val="none"/>
                <w:lang w:eastAsia="zh-CN"/>
              </w:rPr>
            </w:pPr>
            <w:r>
              <w:rPr>
                <w:rFonts w:hint="eastAsia" w:ascii="宋体" w:hAnsi="宋体" w:eastAsia="宋体" w:cs="宋体"/>
                <w:color w:val="auto"/>
                <w:sz w:val="21"/>
                <w:szCs w:val="21"/>
                <w:highlight w:val="none"/>
              </w:rPr>
              <w:t>雨水</w:t>
            </w:r>
            <w:r>
              <w:rPr>
                <w:rFonts w:hint="eastAsia" w:ascii="宋体" w:hAnsi="宋体" w:cs="宋体"/>
                <w:color w:val="auto"/>
                <w:sz w:val="21"/>
                <w:szCs w:val="21"/>
                <w:highlight w:val="none"/>
                <w:lang w:eastAsia="zh-CN"/>
              </w:rPr>
              <w:t>箅</w:t>
            </w:r>
          </w:p>
        </w:tc>
        <w:tc>
          <w:tcPr>
            <w:tcW w:w="1851" w:type="dxa"/>
            <w:tcBorders>
              <w:tl2br w:val="nil"/>
              <w:tr2bl w:val="nil"/>
            </w:tcBorders>
            <w:shd w:val="clear" w:color="auto" w:fill="auto"/>
            <w:vAlign w:val="center"/>
          </w:tcPr>
          <w:p>
            <w:pPr>
              <w:widowControl/>
              <w:jc w:val="center"/>
              <w:textAlignment w:val="center"/>
              <w:rPr>
                <w:rFonts w:hint="default" w:ascii="新宋体" w:hAnsi="新宋体" w:eastAsia="新宋体" w:cs="新宋体"/>
                <w:i w:val="0"/>
                <w:iCs w:val="0"/>
                <w:color w:val="auto"/>
                <w:sz w:val="22"/>
                <w:szCs w:val="22"/>
                <w:highlight w:val="none"/>
                <w:u w:val="none"/>
                <w:lang w:val="en-US"/>
              </w:rPr>
            </w:pPr>
            <w:r>
              <w:rPr>
                <w:rFonts w:hint="eastAsia" w:ascii="宋体" w:hAnsi="宋体" w:eastAsia="宋体" w:cs="宋体"/>
                <w:color w:val="auto"/>
                <w:sz w:val="21"/>
                <w:szCs w:val="21"/>
                <w:highlight w:val="none"/>
              </w:rPr>
              <w:t>300*500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250</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p>
        </w:tc>
        <w:tc>
          <w:tcPr>
            <w:tcW w:w="11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2"/>
                <w:szCs w:val="22"/>
                <w:highlight w:val="none"/>
                <w:u w:val="none"/>
                <w:lang w:val="en-US" w:eastAsia="zh-CN" w:bidi="ar"/>
              </w:rPr>
            </w:pPr>
          </w:p>
        </w:tc>
        <w:tc>
          <w:tcPr>
            <w:tcW w:w="1394" w:type="dxa"/>
            <w:tcBorders>
              <w:tl2br w:val="nil"/>
              <w:tr2bl w:val="nil"/>
            </w:tcBorders>
            <w:shd w:val="clear" w:color="auto" w:fill="auto"/>
            <w:vAlign w:val="center"/>
          </w:tcPr>
          <w:p>
            <w:pPr>
              <w:widowControl/>
              <w:spacing w:line="24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宋体" w:hAnsi="宋体" w:eastAsia="宋体" w:cs="宋体"/>
                <w:color w:val="auto"/>
                <w:kern w:val="0"/>
                <w:sz w:val="21"/>
                <w:szCs w:val="21"/>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0" w:hRule="atLeast"/>
        </w:trPr>
        <w:tc>
          <w:tcPr>
            <w:tcW w:w="5089" w:type="dxa"/>
            <w:gridSpan w:val="3"/>
            <w:tcBorders>
              <w:tl2br w:val="nil"/>
              <w:tr2bl w:val="nil"/>
            </w:tcBorders>
            <w:shd w:val="clear" w:color="auto" w:fill="auto"/>
            <w:vAlign w:val="center"/>
          </w:tcPr>
          <w:p>
            <w:pPr>
              <w:ind w:right="-11"/>
              <w:rPr>
                <w:rFonts w:hint="eastAsia" w:ascii="Arial" w:hAnsi="Arial" w:cs="Arial"/>
                <w:color w:val="auto"/>
                <w:sz w:val="21"/>
                <w:szCs w:val="21"/>
                <w:highlight w:val="none"/>
              </w:rPr>
            </w:pPr>
            <w:r>
              <w:rPr>
                <w:rFonts w:hint="eastAsia" w:ascii="Arial" w:hAnsi="Arial" w:cs="Arial"/>
                <w:color w:val="auto"/>
                <w:sz w:val="21"/>
                <w:szCs w:val="21"/>
                <w:highlight w:val="none"/>
              </w:rPr>
              <w:t>运杂及保险费（含卸货）</w:t>
            </w:r>
          </w:p>
        </w:tc>
        <w:tc>
          <w:tcPr>
            <w:tcW w:w="4765" w:type="dxa"/>
            <w:gridSpan w:val="5"/>
            <w:tcBorders>
              <w:tl2br w:val="nil"/>
              <w:tr2bl w:val="nil"/>
            </w:tcBorders>
            <w:shd w:val="clear" w:color="auto" w:fill="auto"/>
            <w:vAlign w:val="center"/>
          </w:tcPr>
          <w:p>
            <w:pPr>
              <w:spacing w:line="340" w:lineRule="exact"/>
              <w:jc w:val="center"/>
              <w:rPr>
                <w:rFonts w:hint="eastAsia" w:ascii="新宋体" w:hAnsi="新宋体" w:eastAsia="新宋体"/>
                <w:bCs/>
                <w:color w:val="auto"/>
                <w:sz w:val="21"/>
                <w:szCs w:val="21"/>
                <w:highlight w:val="none"/>
              </w:rPr>
            </w:pPr>
            <w:r>
              <w:rPr>
                <w:rFonts w:hint="eastAsia" w:ascii="新宋体" w:hAnsi="新宋体" w:eastAsia="新宋体"/>
                <w:bCs/>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0" w:hRule="atLeast"/>
        </w:trPr>
        <w:tc>
          <w:tcPr>
            <w:tcW w:w="5089" w:type="dxa"/>
            <w:gridSpan w:val="3"/>
            <w:tcBorders>
              <w:tl2br w:val="nil"/>
              <w:tr2bl w:val="nil"/>
            </w:tcBorders>
            <w:shd w:val="clear" w:color="auto" w:fill="auto"/>
            <w:vAlign w:val="center"/>
          </w:tcPr>
          <w:p>
            <w:pPr>
              <w:ind w:right="-11"/>
              <w:rPr>
                <w:rFonts w:hint="eastAsia" w:ascii="Arial" w:hAnsi="Arial" w:cs="Arial"/>
                <w:color w:val="auto"/>
                <w:sz w:val="21"/>
                <w:szCs w:val="21"/>
                <w:highlight w:val="none"/>
              </w:rPr>
            </w:pPr>
            <w:r>
              <w:rPr>
                <w:rFonts w:hint="eastAsia" w:ascii="新宋体" w:hAnsi="新宋体" w:eastAsia="新宋体"/>
                <w:bCs/>
                <w:color w:val="auto"/>
                <w:sz w:val="21"/>
                <w:szCs w:val="21"/>
                <w:highlight w:val="none"/>
              </w:rPr>
              <w:t>税金</w:t>
            </w:r>
          </w:p>
        </w:tc>
        <w:tc>
          <w:tcPr>
            <w:tcW w:w="4765" w:type="dxa"/>
            <w:gridSpan w:val="5"/>
            <w:tcBorders>
              <w:tl2br w:val="nil"/>
              <w:tr2bl w:val="nil"/>
            </w:tcBorders>
            <w:shd w:val="clear" w:color="auto" w:fill="auto"/>
            <w:vAlign w:val="center"/>
          </w:tcPr>
          <w:p>
            <w:pPr>
              <w:spacing w:line="340" w:lineRule="exact"/>
              <w:jc w:val="center"/>
              <w:rPr>
                <w:rFonts w:hint="eastAsia" w:ascii="新宋体" w:hAnsi="新宋体" w:eastAsia="新宋体"/>
                <w:bCs/>
                <w:color w:val="auto"/>
                <w:sz w:val="21"/>
                <w:szCs w:val="21"/>
                <w:highlight w:val="none"/>
              </w:rPr>
            </w:pPr>
            <w:r>
              <w:rPr>
                <w:rFonts w:hint="eastAsia" w:ascii="新宋体" w:hAnsi="新宋体" w:eastAsia="新宋体"/>
                <w:bCs/>
                <w:color w:val="auto"/>
                <w:sz w:val="21"/>
                <w:szCs w:val="21"/>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0" w:hRule="atLeast"/>
        </w:trPr>
        <w:tc>
          <w:tcPr>
            <w:tcW w:w="5089" w:type="dxa"/>
            <w:gridSpan w:val="3"/>
            <w:tcBorders>
              <w:tl2br w:val="nil"/>
              <w:tr2bl w:val="nil"/>
            </w:tcBorders>
            <w:shd w:val="clear" w:color="auto" w:fill="auto"/>
            <w:vAlign w:val="center"/>
          </w:tcPr>
          <w:p>
            <w:pPr>
              <w:ind w:right="-11"/>
              <w:rPr>
                <w:rFonts w:hint="eastAsia" w:ascii="Arial" w:hAnsi="Arial" w:cs="Arial"/>
                <w:color w:val="auto"/>
                <w:sz w:val="21"/>
                <w:szCs w:val="21"/>
                <w:highlight w:val="none"/>
              </w:rPr>
            </w:pPr>
            <w:r>
              <w:rPr>
                <w:rFonts w:hint="eastAsia" w:ascii="Arial" w:hAnsi="Arial" w:cs="Arial"/>
                <w:color w:val="auto"/>
                <w:sz w:val="21"/>
                <w:szCs w:val="21"/>
                <w:highlight w:val="none"/>
              </w:rPr>
              <w:t>其他相关费用（包括招标代理服务费等）</w:t>
            </w:r>
          </w:p>
        </w:tc>
        <w:tc>
          <w:tcPr>
            <w:tcW w:w="4765" w:type="dxa"/>
            <w:gridSpan w:val="5"/>
            <w:tcBorders>
              <w:tl2br w:val="nil"/>
              <w:tr2bl w:val="nil"/>
            </w:tcBorders>
            <w:shd w:val="clear" w:color="auto" w:fill="auto"/>
            <w:vAlign w:val="center"/>
          </w:tcPr>
          <w:p>
            <w:pPr>
              <w:spacing w:line="340" w:lineRule="exact"/>
              <w:jc w:val="center"/>
              <w:rPr>
                <w:rFonts w:hint="default" w:ascii="新宋体" w:hAnsi="新宋体" w:eastAsia="新宋体"/>
                <w:bCs/>
                <w:color w:val="auto"/>
                <w:sz w:val="21"/>
                <w:szCs w:val="21"/>
                <w:highlight w:val="none"/>
                <w:lang w:val="en-US" w:eastAsia="zh-CN"/>
              </w:rPr>
            </w:pPr>
            <w:r>
              <w:rPr>
                <w:rFonts w:hint="eastAsia" w:ascii="新宋体" w:hAnsi="新宋体" w:eastAsia="新宋体"/>
                <w:bCs/>
                <w:color w:val="auto"/>
                <w:sz w:val="21"/>
                <w:szCs w:val="21"/>
                <w:highlight w:val="none"/>
                <w:lang w:val="en-US" w:eastAsia="zh-CN"/>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0" w:hRule="atLeast"/>
        </w:trPr>
        <w:tc>
          <w:tcPr>
            <w:tcW w:w="5089" w:type="dxa"/>
            <w:gridSpan w:val="3"/>
            <w:tcBorders>
              <w:tl2br w:val="nil"/>
              <w:tr2bl w:val="nil"/>
            </w:tcBorders>
            <w:shd w:val="clear" w:color="auto" w:fill="auto"/>
            <w:vAlign w:val="center"/>
          </w:tcPr>
          <w:p>
            <w:pPr>
              <w:ind w:right="-11"/>
              <w:rPr>
                <w:rFonts w:hint="eastAsia" w:ascii="Arial" w:hAnsi="Arial" w:cs="Arial"/>
                <w:color w:val="auto"/>
                <w:sz w:val="21"/>
                <w:szCs w:val="21"/>
                <w:highlight w:val="none"/>
              </w:rPr>
            </w:pPr>
            <w:r>
              <w:rPr>
                <w:rFonts w:hint="eastAsia" w:ascii="Arial" w:hAnsi="Arial" w:cs="Arial"/>
                <w:color w:val="auto"/>
                <w:sz w:val="21"/>
                <w:szCs w:val="21"/>
                <w:highlight w:val="none"/>
              </w:rPr>
              <w:t>合计价（</w:t>
            </w:r>
            <w:r>
              <w:rPr>
                <w:rFonts w:hint="eastAsia" w:ascii="Arial" w:hAnsi="Arial" w:cs="Arial"/>
                <w:color w:val="auto"/>
                <w:sz w:val="21"/>
                <w:szCs w:val="21"/>
                <w:highlight w:val="none"/>
                <w:lang w:val="en-US" w:eastAsia="zh-CN"/>
              </w:rPr>
              <w:t>1-8项合计总和</w:t>
            </w:r>
            <w:r>
              <w:rPr>
                <w:rFonts w:hint="eastAsia" w:ascii="Arial" w:hAnsi="Arial" w:cs="Arial"/>
                <w:color w:val="auto"/>
                <w:sz w:val="21"/>
                <w:szCs w:val="21"/>
                <w:highlight w:val="none"/>
                <w:lang w:eastAsia="zh-CN"/>
              </w:rPr>
              <w:t>，</w:t>
            </w:r>
            <w:r>
              <w:rPr>
                <w:rFonts w:hint="eastAsia" w:ascii="Arial" w:hAnsi="Arial" w:cs="Arial"/>
                <w:color w:val="auto"/>
                <w:sz w:val="21"/>
                <w:szCs w:val="21"/>
                <w:highlight w:val="none"/>
              </w:rPr>
              <w:t>应与开标一览表中投标</w:t>
            </w:r>
            <w:r>
              <w:rPr>
                <w:rFonts w:hint="eastAsia" w:ascii="Arial" w:hAnsi="Arial" w:cs="Arial"/>
                <w:color w:val="auto"/>
                <w:sz w:val="21"/>
                <w:szCs w:val="21"/>
                <w:highlight w:val="none"/>
                <w:lang w:val="en-US" w:eastAsia="zh-CN"/>
              </w:rPr>
              <w:t>报</w:t>
            </w:r>
            <w:r>
              <w:rPr>
                <w:rFonts w:hint="eastAsia" w:ascii="Arial" w:hAnsi="Arial" w:cs="Arial"/>
                <w:color w:val="auto"/>
                <w:sz w:val="21"/>
                <w:szCs w:val="21"/>
                <w:highlight w:val="none"/>
              </w:rPr>
              <w:t>价相一致）</w:t>
            </w:r>
          </w:p>
        </w:tc>
        <w:tc>
          <w:tcPr>
            <w:tcW w:w="4765" w:type="dxa"/>
            <w:gridSpan w:val="5"/>
            <w:tcBorders>
              <w:tl2br w:val="nil"/>
              <w:tr2bl w:val="nil"/>
            </w:tcBorders>
            <w:shd w:val="clear" w:color="auto" w:fill="auto"/>
            <w:vAlign w:val="top"/>
          </w:tcPr>
          <w:p>
            <w:pPr>
              <w:spacing w:line="340" w:lineRule="exact"/>
              <w:rPr>
                <w:rFonts w:hint="eastAsia" w:ascii="新宋体" w:hAnsi="新宋体" w:eastAsia="新宋体"/>
                <w:bCs/>
                <w:color w:val="auto"/>
                <w:sz w:val="21"/>
                <w:szCs w:val="21"/>
                <w:highlight w:val="none"/>
              </w:rPr>
            </w:pPr>
          </w:p>
        </w:tc>
      </w:tr>
    </w:tbl>
    <w:p>
      <w:pPr>
        <w:jc w:val="center"/>
        <w:rPr>
          <w:rFonts w:hint="eastAsia" w:ascii="宋体" w:hAnsi="宋体" w:eastAsia="宋体" w:cs="楷体"/>
          <w:color w:val="auto"/>
          <w:sz w:val="22"/>
          <w:szCs w:val="22"/>
          <w:highlight w:val="none"/>
          <w:lang w:eastAsia="zh-CN"/>
        </w:rPr>
      </w:pP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 合计价应与附件一“开标一览表”中投标</w:t>
      </w:r>
      <w:r>
        <w:rPr>
          <w:rFonts w:hint="eastAsia" w:ascii="新宋体" w:hAnsi="新宋体" w:eastAsia="新宋体" w:cs="新宋体"/>
          <w:b/>
          <w:bCs/>
          <w:color w:val="auto"/>
          <w:kern w:val="0"/>
          <w:sz w:val="22"/>
          <w:szCs w:val="22"/>
          <w:highlight w:val="none"/>
          <w:lang w:val="en-US" w:eastAsia="zh-CN"/>
        </w:rPr>
        <w:t>报</w:t>
      </w:r>
      <w:r>
        <w:rPr>
          <w:rFonts w:hint="eastAsia" w:ascii="新宋体" w:hAnsi="新宋体" w:eastAsia="新宋体" w:cs="新宋体"/>
          <w:b/>
          <w:bCs/>
          <w:color w:val="auto"/>
          <w:kern w:val="0"/>
          <w:sz w:val="22"/>
          <w:szCs w:val="22"/>
          <w:highlight w:val="none"/>
          <w:lang w:val="zh-CN"/>
        </w:rPr>
        <w:t>价相一致。</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2. 不提供投标分项报价表的投标文件将被视为未实质性响应采购文件。 </w:t>
      </w:r>
    </w:p>
    <w:p>
      <w:pPr>
        <w:spacing w:line="380" w:lineRule="exact"/>
        <w:rPr>
          <w:rFonts w:hint="default" w:eastAsia="新宋体"/>
          <w:color w:val="auto"/>
          <w:highlight w:val="none"/>
          <w:lang w:val="en-US" w:eastAsia="zh-CN"/>
        </w:rPr>
      </w:pPr>
      <w:r>
        <w:rPr>
          <w:rFonts w:hint="eastAsia" w:ascii="新宋体" w:hAnsi="新宋体" w:eastAsia="新宋体" w:cs="新宋体"/>
          <w:b/>
          <w:bCs/>
          <w:color w:val="auto"/>
          <w:kern w:val="0"/>
          <w:sz w:val="22"/>
          <w:szCs w:val="22"/>
          <w:highlight w:val="none"/>
          <w:lang w:val="zh-CN"/>
        </w:rPr>
        <w:t xml:space="preserve">3. </w:t>
      </w:r>
      <w:r>
        <w:rPr>
          <w:rFonts w:hint="eastAsia" w:ascii="新宋体" w:hAnsi="新宋体" w:eastAsia="新宋体" w:cs="新宋体"/>
          <w:b/>
          <w:bCs/>
          <w:color w:val="auto"/>
          <w:kern w:val="0"/>
          <w:sz w:val="22"/>
          <w:szCs w:val="22"/>
          <w:highlight w:val="none"/>
          <w:lang w:val="en-US" w:eastAsia="zh-CN"/>
        </w:rPr>
        <w:t>本项目最终结算以各产品综合单价进行结算，投标报价（合计价）仅作为评审报价。</w:t>
      </w:r>
    </w:p>
    <w:p>
      <w:pPr>
        <w:jc w:val="left"/>
        <w:rPr>
          <w:rFonts w:hint="eastAsia" w:ascii="宋体" w:hAnsi="宋体" w:eastAsia="宋体" w:cs="楷体"/>
          <w:color w:val="auto"/>
          <w:sz w:val="22"/>
          <w:szCs w:val="22"/>
          <w:highlight w:val="none"/>
          <w:lang w:eastAsia="zh-CN"/>
        </w:rPr>
      </w:pPr>
    </w:p>
    <w:p>
      <w:pPr>
        <w:rPr>
          <w:rFonts w:hint="eastAsia" w:ascii="宋体" w:hAnsi="宋体" w:eastAsia="宋体" w:cs="楷体"/>
          <w:color w:val="auto"/>
          <w:sz w:val="22"/>
          <w:szCs w:val="22"/>
          <w:highlight w:val="none"/>
          <w:lang w:eastAsia="zh-CN"/>
        </w:rPr>
      </w:pPr>
    </w:p>
    <w:p>
      <w:pPr>
        <w:jc w:val="center"/>
        <w:rPr>
          <w:rFonts w:hint="eastAsia" w:ascii="宋体" w:hAnsi="宋体" w:eastAsia="宋体" w:cs="楷体"/>
          <w:color w:val="auto"/>
          <w:sz w:val="22"/>
          <w:szCs w:val="22"/>
          <w:highlight w:val="none"/>
          <w:lang w:eastAsia="zh-CN"/>
        </w:rPr>
      </w:pPr>
    </w:p>
    <w:p>
      <w:pPr>
        <w:spacing w:line="440" w:lineRule="exact"/>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pPr>
        <w:spacing w:line="440" w:lineRule="exact"/>
        <w:ind w:right="-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p>
    <w:p>
      <w:pPr>
        <w:jc w:val="center"/>
        <w:rPr>
          <w:rFonts w:hint="eastAsia" w:ascii="宋体" w:hAnsi="宋体" w:eastAsia="宋体" w:cs="楷体"/>
          <w:color w:val="auto"/>
          <w:sz w:val="22"/>
          <w:szCs w:val="22"/>
          <w:highlight w:val="none"/>
          <w:lang w:eastAsia="zh-CN"/>
        </w:rPr>
      </w:pPr>
    </w:p>
    <w:p>
      <w:pPr>
        <w:overflowPunct w:val="0"/>
        <w:spacing w:line="460" w:lineRule="exact"/>
        <w:rPr>
          <w:rFonts w:hint="eastAsia" w:ascii="宋体" w:hAnsi="宋体" w:cs="楷体"/>
          <w:color w:val="auto"/>
          <w:sz w:val="22"/>
          <w:szCs w:val="22"/>
          <w:highlight w:val="none"/>
        </w:rPr>
      </w:pPr>
    </w:p>
    <w:p>
      <w:pPr>
        <w:overflowPunct w:val="0"/>
        <w:spacing w:line="380" w:lineRule="exact"/>
        <w:ind w:firstLine="9460" w:firstLineChars="4300"/>
        <w:rPr>
          <w:rFonts w:hint="eastAsia" w:ascii="宋体" w:hAnsi="宋体" w:cs="楷体"/>
          <w:color w:val="auto"/>
          <w:sz w:val="22"/>
          <w:szCs w:val="22"/>
          <w:highlight w:val="none"/>
        </w:rPr>
      </w:pPr>
    </w:p>
    <w:p>
      <w:pPr>
        <w:pStyle w:val="6"/>
        <w:rPr>
          <w:rFonts w:ascii="宋体" w:hAnsi="宋体" w:eastAsia="宋体" w:cs="楷体"/>
          <w:color w:val="auto"/>
          <w:sz w:val="36"/>
          <w:szCs w:val="36"/>
          <w:highlight w:val="none"/>
        </w:rPr>
      </w:pPr>
      <w:r>
        <w:rPr>
          <w:rFonts w:hint="eastAsia" w:ascii="宋体" w:hAnsi="宋体" w:eastAsia="宋体" w:cs="楷体"/>
          <w:b w:val="0"/>
          <w:bCs w:val="0"/>
          <w:color w:val="auto"/>
          <w:sz w:val="22"/>
          <w:szCs w:val="22"/>
          <w:highlight w:val="none"/>
        </w:rPr>
        <w:br w:type="page"/>
      </w:r>
      <w:bookmarkStart w:id="91" w:name="_Toc14294"/>
      <w:r>
        <w:rPr>
          <w:rFonts w:hint="eastAsia" w:ascii="宋体" w:hAnsi="宋体" w:eastAsia="宋体" w:cs="楷体"/>
          <w:color w:val="auto"/>
          <w:sz w:val="36"/>
          <w:szCs w:val="36"/>
          <w:highlight w:val="none"/>
        </w:rPr>
        <w:t>第四部分   采购内容及要求</w:t>
      </w:r>
      <w:bookmarkEnd w:id="91"/>
    </w:p>
    <w:p>
      <w:pPr>
        <w:keepNext w:val="0"/>
        <w:keepLines w:val="0"/>
        <w:pageBreakBefore w:val="0"/>
        <w:kinsoku/>
        <w:wordWrap/>
        <w:topLinePunct w:val="0"/>
        <w:bidi w:val="0"/>
        <w:spacing w:line="440" w:lineRule="exact"/>
        <w:rPr>
          <w:rFonts w:hint="eastAsia" w:ascii="宋体" w:hAnsi="宋体"/>
          <w:color w:val="auto"/>
          <w:sz w:val="22"/>
          <w:szCs w:val="22"/>
          <w:highlight w:val="none"/>
        </w:rPr>
      </w:pPr>
      <w:bookmarkStart w:id="92" w:name="_Toc265529390"/>
      <w:bookmarkStart w:id="93" w:name="_Toc222114886"/>
      <w:bookmarkStart w:id="94" w:name="_Toc221356897"/>
      <w:bookmarkStart w:id="95" w:name="_Toc221374633"/>
      <w:bookmarkStart w:id="96" w:name="_Toc241404209"/>
      <w:bookmarkStart w:id="97" w:name="_Toc223716005"/>
      <w:bookmarkStart w:id="98" w:name="_Toc221356960"/>
      <w:bookmarkStart w:id="99" w:name="_Toc221423626"/>
      <w:bookmarkStart w:id="100" w:name="_Toc239145361"/>
    </w:p>
    <w:p>
      <w:pPr>
        <w:keepNext w:val="0"/>
        <w:keepLines w:val="0"/>
        <w:pageBreakBefore w:val="0"/>
        <w:kinsoku/>
        <w:wordWrap/>
        <w:topLinePunct w:val="0"/>
        <w:bidi w:val="0"/>
        <w:spacing w:line="440" w:lineRule="exact"/>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一、项目概况</w:t>
      </w:r>
    </w:p>
    <w:p>
      <w:pPr>
        <w:keepNext w:val="0"/>
        <w:keepLines w:val="0"/>
        <w:pageBreakBefore w:val="0"/>
        <w:kinsoku/>
        <w:wordWrap/>
        <w:topLinePunct w:val="0"/>
        <w:bidi w:val="0"/>
        <w:spacing w:line="440" w:lineRule="exact"/>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（一）概况</w:t>
      </w:r>
    </w:p>
    <w:p>
      <w:pPr>
        <w:keepNext w:val="0"/>
        <w:keepLines w:val="0"/>
        <w:pageBreakBefore w:val="0"/>
        <w:kinsoku/>
        <w:wordWrap/>
        <w:topLinePunct w:val="0"/>
        <w:bidi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本次采购内容包括雨/污水圆井盖</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雨/污水方井盖</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雨水</w:t>
      </w:r>
      <w:r>
        <w:rPr>
          <w:rFonts w:hint="eastAsia" w:ascii="宋体" w:hAnsi="宋体" w:cs="宋体"/>
          <w:color w:val="auto"/>
          <w:sz w:val="22"/>
          <w:szCs w:val="22"/>
          <w:highlight w:val="none"/>
          <w:lang w:val="en-US" w:eastAsia="zh-CN"/>
        </w:rPr>
        <w:t>箅（预计年度采购量约1000</w:t>
      </w:r>
      <w:r>
        <w:rPr>
          <w:rFonts w:hint="eastAsia" w:ascii="宋体" w:hAnsi="宋体" w:eastAsia="宋体" w:cs="宋体"/>
          <w:color w:val="auto"/>
          <w:sz w:val="22"/>
          <w:szCs w:val="22"/>
          <w:highlight w:val="none"/>
          <w:lang w:val="en-US" w:eastAsia="zh-CN"/>
        </w:rPr>
        <w:t>万元</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w:t>
      </w:r>
    </w:p>
    <w:p>
      <w:pPr>
        <w:keepNext w:val="0"/>
        <w:keepLines w:val="0"/>
        <w:pageBreakBefore w:val="0"/>
        <w:kinsoku/>
        <w:wordWrap/>
        <w:topLinePunct w:val="0"/>
        <w:bidi w:val="0"/>
        <w:snapToGrid w:val="0"/>
        <w:spacing w:line="440" w:lineRule="exact"/>
        <w:ind w:firstLine="440" w:firstLineChars="200"/>
        <w:rPr>
          <w:rStyle w:val="618"/>
          <w:rFonts w:hint="eastAsia" w:ascii="宋体" w:hAnsi="宋体" w:eastAsia="宋体" w:cs="宋体"/>
          <w:b w:val="0"/>
          <w:color w:val="auto"/>
          <w:sz w:val="22"/>
          <w:szCs w:val="22"/>
          <w:highlight w:val="none"/>
          <w:lang w:val="en-US" w:eastAsia="zh-CN"/>
        </w:rPr>
      </w:pPr>
      <w:r>
        <w:rPr>
          <w:rStyle w:val="618"/>
          <w:rFonts w:hint="eastAsia" w:ascii="宋体" w:hAnsi="宋体" w:eastAsia="宋体" w:cs="宋体"/>
          <w:b w:val="0"/>
          <w:color w:val="auto"/>
          <w:sz w:val="22"/>
          <w:szCs w:val="22"/>
          <w:highlight w:val="none"/>
          <w:lang w:val="en-US" w:eastAsia="zh-CN"/>
        </w:rPr>
        <w:t>2</w:t>
      </w:r>
      <w:r>
        <w:rPr>
          <w:rStyle w:val="618"/>
          <w:rFonts w:hint="eastAsia" w:ascii="宋体" w:hAnsi="宋体" w:cs="宋体"/>
          <w:b w:val="0"/>
          <w:color w:val="auto"/>
          <w:sz w:val="22"/>
          <w:szCs w:val="22"/>
          <w:highlight w:val="none"/>
          <w:lang w:val="en-US" w:eastAsia="zh-CN"/>
        </w:rPr>
        <w:t>.</w:t>
      </w:r>
      <w:r>
        <w:rPr>
          <w:rStyle w:val="618"/>
          <w:rFonts w:hint="eastAsia" w:ascii="宋体" w:hAnsi="宋体" w:eastAsia="宋体" w:cs="宋体"/>
          <w:b/>
          <w:bCs/>
          <w:color w:val="auto"/>
          <w:sz w:val="22"/>
          <w:szCs w:val="22"/>
          <w:highlight w:val="none"/>
          <w:u w:val="single"/>
          <w:lang w:val="en-US" w:eastAsia="zh-CN"/>
        </w:rPr>
        <w:t>本次采购的</w:t>
      </w:r>
      <w:r>
        <w:rPr>
          <w:rStyle w:val="618"/>
          <w:rFonts w:hint="eastAsia" w:ascii="宋体" w:hAnsi="宋体" w:cs="宋体"/>
          <w:b/>
          <w:bCs/>
          <w:color w:val="auto"/>
          <w:sz w:val="22"/>
          <w:szCs w:val="22"/>
          <w:highlight w:val="none"/>
          <w:u w:val="single"/>
          <w:lang w:val="en-US" w:eastAsia="zh-CN"/>
        </w:rPr>
        <w:t>产品</w:t>
      </w:r>
      <w:r>
        <w:rPr>
          <w:rStyle w:val="618"/>
          <w:rFonts w:hint="eastAsia" w:ascii="宋体" w:hAnsi="宋体" w:eastAsia="宋体" w:cs="宋体"/>
          <w:b/>
          <w:bCs/>
          <w:color w:val="auto"/>
          <w:sz w:val="22"/>
          <w:szCs w:val="22"/>
          <w:highlight w:val="none"/>
          <w:u w:val="single"/>
          <w:lang w:val="en-US" w:eastAsia="zh-CN"/>
        </w:rPr>
        <w:t>使用范围较为分散，分布在温州地区各县市区域范围，且每批次数量和供货时间不一，投标供应商报价时必须充分考虑备料、排产、生产、供货、检测、安装、调试和售后服务过程中产生的人员交通和食宿，生产供货能力不足、供货时间冲突等各种费用及风险。如中标，中标人必须按采购文件及需求单位要求供货并提供售后服务。</w:t>
      </w:r>
    </w:p>
    <w:p>
      <w:pPr>
        <w:keepNext w:val="0"/>
        <w:keepLines w:val="0"/>
        <w:pageBreakBefore w:val="0"/>
        <w:kinsoku/>
        <w:wordWrap/>
        <w:topLinePunct w:val="0"/>
        <w:bidi w:val="0"/>
        <w:snapToGrid w:val="0"/>
        <w:spacing w:line="440" w:lineRule="exact"/>
        <w:ind w:firstLine="440" w:firstLineChars="200"/>
        <w:rPr>
          <w:rStyle w:val="618"/>
          <w:rFonts w:hint="eastAsia" w:ascii="宋体" w:hAnsi="宋体" w:eastAsia="宋体" w:cs="宋体"/>
          <w:b w:val="0"/>
          <w:color w:val="auto"/>
          <w:sz w:val="22"/>
          <w:szCs w:val="22"/>
          <w:highlight w:val="none"/>
          <w:lang w:val="en-US" w:eastAsia="zh-CN"/>
        </w:rPr>
      </w:pPr>
      <w:r>
        <w:rPr>
          <w:rStyle w:val="618"/>
          <w:rFonts w:hint="eastAsia" w:ascii="宋体" w:hAnsi="宋体" w:eastAsia="宋体" w:cs="宋体"/>
          <w:b w:val="0"/>
          <w:color w:val="auto"/>
          <w:sz w:val="22"/>
          <w:szCs w:val="22"/>
          <w:highlight w:val="none"/>
          <w:lang w:val="en-US" w:eastAsia="zh-CN"/>
        </w:rPr>
        <w:t>3</w:t>
      </w:r>
      <w:r>
        <w:rPr>
          <w:rStyle w:val="618"/>
          <w:rFonts w:hint="eastAsia" w:ascii="宋体" w:hAnsi="宋体" w:cs="宋体"/>
          <w:b w:val="0"/>
          <w:color w:val="auto"/>
          <w:sz w:val="22"/>
          <w:szCs w:val="22"/>
          <w:highlight w:val="none"/>
          <w:lang w:val="en-US" w:eastAsia="zh-CN"/>
        </w:rPr>
        <w:t>.</w:t>
      </w:r>
      <w:r>
        <w:rPr>
          <w:rStyle w:val="618"/>
          <w:rFonts w:hint="eastAsia" w:ascii="宋体" w:hAnsi="宋体" w:eastAsia="宋体" w:cs="宋体"/>
          <w:b w:val="0"/>
          <w:color w:val="auto"/>
          <w:sz w:val="22"/>
          <w:szCs w:val="22"/>
          <w:highlight w:val="none"/>
          <w:lang w:val="en-US" w:eastAsia="zh-CN"/>
        </w:rPr>
        <w:t>本项目为框架入围采购项目，确定中标入围供应商后，中标入围供应商应先与采购人签订框架供货合同，</w:t>
      </w:r>
      <w:r>
        <w:rPr>
          <w:rFonts w:hint="eastAsia" w:ascii="宋体" w:hAnsi="宋体" w:eastAsia="宋体" w:cs="宋体"/>
          <w:color w:val="auto"/>
          <w:kern w:val="0"/>
          <w:sz w:val="22"/>
          <w:szCs w:val="22"/>
          <w:highlight w:val="none"/>
          <w:lang w:val="en-US" w:eastAsia="zh-CN"/>
        </w:rPr>
        <w:t>项目合同期内综合得分第一名、第二名按照</w:t>
      </w:r>
      <w:r>
        <w:rPr>
          <w:rFonts w:hint="eastAsia" w:ascii="宋体" w:hAnsi="宋体" w:cs="宋体"/>
          <w:color w:val="auto"/>
          <w:kern w:val="0"/>
          <w:sz w:val="22"/>
          <w:szCs w:val="22"/>
          <w:highlight w:val="none"/>
          <w:lang w:val="en-US" w:eastAsia="zh-CN"/>
        </w:rPr>
        <w:t>约55</w:t>
      </w:r>
      <w:r>
        <w:rPr>
          <w:rFonts w:hint="eastAsia" w:ascii="宋体" w:hAnsi="宋体" w:eastAsia="宋体" w:cs="宋体"/>
          <w:color w:val="auto"/>
          <w:kern w:val="0"/>
          <w:sz w:val="22"/>
          <w:szCs w:val="22"/>
          <w:highlight w:val="none"/>
          <w:lang w:val="en-US" w:eastAsia="zh-CN"/>
        </w:rPr>
        <w:t>%、4</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%的分配比例落实采购计划，按固定综合单价进行合同结算</w:t>
      </w:r>
      <w:r>
        <w:rPr>
          <w:rStyle w:val="618"/>
          <w:rFonts w:hint="eastAsia" w:ascii="宋体" w:hAnsi="宋体" w:eastAsia="宋体" w:cs="宋体"/>
          <w:b w:val="0"/>
          <w:color w:val="auto"/>
          <w:sz w:val="22"/>
          <w:szCs w:val="22"/>
          <w:highlight w:val="none"/>
          <w:lang w:val="en-US" w:eastAsia="zh-CN"/>
        </w:rPr>
        <w:t>。</w:t>
      </w:r>
    </w:p>
    <w:p>
      <w:pPr>
        <w:keepNext w:val="0"/>
        <w:keepLines w:val="0"/>
        <w:pageBreakBefore w:val="0"/>
        <w:kinsoku/>
        <w:wordWrap/>
        <w:topLinePunct w:val="0"/>
        <w:bidi w:val="0"/>
        <w:snapToGrid w:val="0"/>
        <w:spacing w:line="440" w:lineRule="exact"/>
        <w:ind w:firstLine="440" w:firstLineChars="200"/>
        <w:rPr>
          <w:rStyle w:val="618"/>
          <w:rFonts w:hint="eastAsia" w:ascii="宋体" w:hAnsi="宋体" w:eastAsia="宋体" w:cs="宋体"/>
          <w:b w:val="0"/>
          <w:color w:val="auto"/>
          <w:sz w:val="22"/>
          <w:szCs w:val="22"/>
          <w:highlight w:val="none"/>
          <w:lang w:val="en-US" w:eastAsia="zh-CN"/>
        </w:rPr>
      </w:pPr>
      <w:r>
        <w:rPr>
          <w:rStyle w:val="618"/>
          <w:rFonts w:hint="eastAsia" w:ascii="宋体" w:hAnsi="宋体" w:cs="宋体"/>
          <w:b w:val="0"/>
          <w:color w:val="auto"/>
          <w:sz w:val="22"/>
          <w:szCs w:val="22"/>
          <w:highlight w:val="none"/>
          <w:lang w:val="en-US" w:eastAsia="zh-CN"/>
        </w:rPr>
        <w:t>4.</w:t>
      </w:r>
      <w:r>
        <w:rPr>
          <w:rStyle w:val="618"/>
          <w:rFonts w:hint="eastAsia" w:ascii="宋体" w:hAnsi="宋体" w:eastAsia="宋体" w:cs="宋体"/>
          <w:b w:val="0"/>
          <w:color w:val="auto"/>
          <w:sz w:val="22"/>
          <w:szCs w:val="22"/>
          <w:highlight w:val="none"/>
          <w:lang w:val="en-US" w:eastAsia="zh-CN"/>
        </w:rPr>
        <w:t>为了保障供货服务质量、保障甲方各需求单位的合法利益，采购人有权就以往供货中存在的问题采取补救措施，各中标入围供应商必须无条件响应，否则甲方单位有权暂停该入围供应商供货资格，直至取消合同。</w:t>
      </w:r>
    </w:p>
    <w:p>
      <w:pPr>
        <w:keepNext w:val="0"/>
        <w:keepLines w:val="0"/>
        <w:pageBreakBefore w:val="0"/>
        <w:kinsoku/>
        <w:wordWrap/>
        <w:topLinePunct w:val="0"/>
        <w:bidi w:val="0"/>
        <w:snapToGrid w:val="0"/>
        <w:spacing w:line="440" w:lineRule="exact"/>
        <w:ind w:firstLine="440" w:firstLineChars="200"/>
        <w:rPr>
          <w:rStyle w:val="618"/>
          <w:rFonts w:hint="eastAsia" w:ascii="宋体" w:hAnsi="宋体" w:eastAsia="宋体" w:cs="宋体"/>
          <w:b w:val="0"/>
          <w:color w:val="auto"/>
          <w:sz w:val="22"/>
          <w:szCs w:val="22"/>
          <w:highlight w:val="none"/>
          <w:lang w:val="en-US" w:eastAsia="zh-CN"/>
        </w:rPr>
      </w:pPr>
      <w:r>
        <w:rPr>
          <w:rStyle w:val="618"/>
          <w:rFonts w:hint="eastAsia" w:ascii="宋体" w:hAnsi="宋体" w:cs="宋体"/>
          <w:b w:val="0"/>
          <w:color w:val="auto"/>
          <w:sz w:val="22"/>
          <w:szCs w:val="22"/>
          <w:highlight w:val="none"/>
          <w:lang w:val="en-US" w:eastAsia="zh-CN"/>
        </w:rPr>
        <w:t>5.</w:t>
      </w:r>
      <w:r>
        <w:rPr>
          <w:rStyle w:val="618"/>
          <w:rFonts w:hint="eastAsia" w:ascii="宋体" w:hAnsi="宋体" w:eastAsia="宋体" w:cs="宋体"/>
          <w:b w:val="0"/>
          <w:color w:val="auto"/>
          <w:sz w:val="22"/>
          <w:szCs w:val="22"/>
          <w:highlight w:val="none"/>
          <w:lang w:val="en-US" w:eastAsia="zh-CN"/>
        </w:rPr>
        <w:t>本项目合同签订单位（合同甲方）为</w:t>
      </w:r>
      <w:r>
        <w:rPr>
          <w:rStyle w:val="618"/>
          <w:rFonts w:hint="eastAsia" w:ascii="宋体" w:hAnsi="宋体" w:cs="宋体"/>
          <w:b w:val="0"/>
          <w:color w:val="auto"/>
          <w:sz w:val="22"/>
          <w:szCs w:val="22"/>
          <w:highlight w:val="none"/>
          <w:lang w:val="en-US" w:eastAsia="zh-CN"/>
        </w:rPr>
        <w:t>温州市水务集团有限公司工程建设分公司</w:t>
      </w:r>
      <w:r>
        <w:rPr>
          <w:rStyle w:val="618"/>
          <w:rFonts w:hint="eastAsia" w:ascii="宋体" w:hAnsi="宋体" w:eastAsia="宋体" w:cs="宋体"/>
          <w:b w:val="0"/>
          <w:color w:val="auto"/>
          <w:sz w:val="22"/>
          <w:szCs w:val="22"/>
          <w:highlight w:val="none"/>
          <w:lang w:val="en-US" w:eastAsia="zh-CN"/>
        </w:rPr>
        <w:t>。</w:t>
      </w:r>
    </w:p>
    <w:p>
      <w:pPr>
        <w:pStyle w:val="29"/>
        <w:keepNext w:val="0"/>
        <w:keepLines w:val="0"/>
        <w:pageBreakBefore w:val="0"/>
        <w:kinsoku/>
        <w:wordWrap/>
        <w:topLinePunct w:val="0"/>
        <w:bidi w:val="0"/>
        <w:snapToGrid w:val="0"/>
        <w:spacing w:line="440" w:lineRule="exact"/>
        <w:ind w:firstLine="440" w:firstLineChars="200"/>
        <w:rPr>
          <w:rFonts w:hint="default" w:ascii="宋体" w:hAnsi="宋体" w:eastAsia="宋体" w:cs="宋体"/>
          <w:b/>
          <w:bCs/>
          <w:color w:val="auto"/>
          <w:sz w:val="22"/>
          <w:szCs w:val="22"/>
          <w:highlight w:val="none"/>
          <w:lang w:val="en-US" w:eastAsia="zh-CN"/>
        </w:rPr>
      </w:pPr>
      <w:r>
        <w:rPr>
          <w:rStyle w:val="618"/>
          <w:rFonts w:hint="eastAsia" w:ascii="宋体" w:hAnsi="宋体" w:eastAsia="宋体" w:cs="宋体"/>
          <w:b w:val="0"/>
          <w:color w:val="auto"/>
          <w:sz w:val="22"/>
          <w:szCs w:val="22"/>
          <w:highlight w:val="none"/>
          <w:lang w:val="en-US" w:eastAsia="zh-CN"/>
        </w:rPr>
        <w:t>6.供货配送地点：采购人指定的温州地区范围内地点。</w:t>
      </w:r>
    </w:p>
    <w:p>
      <w:pPr>
        <w:pStyle w:val="2"/>
        <w:keepNext w:val="0"/>
        <w:keepLines w:val="0"/>
        <w:pageBreakBefore w:val="0"/>
        <w:kinsoku/>
        <w:wordWrap/>
        <w:topLinePunct w:val="0"/>
        <w:bidi w:val="0"/>
        <w:spacing w:after="0" w:line="440" w:lineRule="exact"/>
        <w:rPr>
          <w:rFonts w:hint="eastAsia"/>
          <w:color w:val="auto"/>
          <w:highlight w:val="none"/>
          <w:lang w:val="en-US" w:eastAsia="zh-CN"/>
        </w:rPr>
      </w:pPr>
    </w:p>
    <w:p>
      <w:pPr>
        <w:keepNext w:val="0"/>
        <w:keepLines w:val="0"/>
        <w:pageBreakBefore w:val="0"/>
        <w:kinsoku/>
        <w:wordWrap/>
        <w:topLinePunct w:val="0"/>
        <w:bidi w:val="0"/>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采购内容</w:t>
      </w:r>
    </w:p>
    <w:p>
      <w:pPr>
        <w:keepNext w:val="0"/>
        <w:keepLines w:val="0"/>
        <w:pageBreakBefore w:val="0"/>
        <w:kinsoku/>
        <w:wordWrap/>
        <w:overflowPunct/>
        <w:topLinePunct w:val="0"/>
        <w:bidi w:val="0"/>
        <w:snapToGrid/>
        <w:spacing w:line="360" w:lineRule="auto"/>
        <w:ind w:right="42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钢纤维混凝土</w:t>
      </w:r>
      <w:r>
        <w:rPr>
          <w:rFonts w:hint="eastAsia" w:ascii="宋体" w:hAnsi="宋体" w:eastAsia="宋体" w:cs="宋体"/>
          <w:b/>
          <w:bCs/>
          <w:color w:val="auto"/>
          <w:sz w:val="22"/>
          <w:szCs w:val="22"/>
          <w:highlight w:val="none"/>
          <w:lang w:val="en-US" w:eastAsia="zh-CN"/>
        </w:rPr>
        <w:t>井盖采购清单</w:t>
      </w:r>
    </w:p>
    <w:tbl>
      <w:tblPr>
        <w:tblStyle w:val="5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097"/>
        <w:gridCol w:w="1278"/>
        <w:gridCol w:w="1161"/>
        <w:gridCol w:w="451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产品名称</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规 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mm</w:t>
            </w:r>
            <w:r>
              <w:rPr>
                <w:rFonts w:hint="eastAsia" w:ascii="宋体" w:hAnsi="宋体" w:eastAsia="宋体" w:cs="宋体"/>
                <w:color w:val="auto"/>
                <w:sz w:val="22"/>
                <w:szCs w:val="22"/>
                <w:highlight w:val="none"/>
                <w:lang w:eastAsia="zh-CN"/>
              </w:rPr>
              <w:t>）井口尺寸（等级）</w:t>
            </w:r>
          </w:p>
        </w:tc>
        <w:tc>
          <w:tcPr>
            <w:tcW w:w="58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数量（套）</w:t>
            </w:r>
          </w:p>
        </w:tc>
        <w:tc>
          <w:tcPr>
            <w:tcW w:w="2293" w:type="pct"/>
            <w:tcBorders>
              <w:tl2br w:val="nil"/>
              <w:tr2bl w:val="nil"/>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主要</w:t>
            </w:r>
            <w:r>
              <w:rPr>
                <w:rFonts w:hint="eastAsia" w:ascii="宋体" w:hAnsi="宋体" w:cs="宋体"/>
                <w:color w:val="auto"/>
                <w:kern w:val="0"/>
                <w:sz w:val="22"/>
                <w:szCs w:val="22"/>
                <w:highlight w:val="none"/>
                <w:lang w:val="en-US" w:eastAsia="zh-CN"/>
              </w:rPr>
              <w:t>参数</w:t>
            </w:r>
            <w:r>
              <w:rPr>
                <w:rFonts w:hint="eastAsia" w:ascii="宋体" w:hAnsi="宋体" w:cs="宋体"/>
                <w:color w:val="auto"/>
                <w:kern w:val="0"/>
                <w:sz w:val="22"/>
                <w:szCs w:val="22"/>
                <w:highlight w:val="none"/>
              </w:rPr>
              <w:t>要求</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雨/污水圆井盖</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φ700，C250</w:t>
            </w:r>
          </w:p>
        </w:tc>
        <w:tc>
          <w:tcPr>
            <w:tcW w:w="589" w:type="pct"/>
            <w:vMerge w:val="restar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以采购人购货通知单为准</w:t>
            </w: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w:t>
            </w:r>
            <w:r>
              <w:rPr>
                <w:rFonts w:hint="eastAsia" w:ascii="宋体" w:hAnsi="宋体" w:cs="宋体"/>
                <w:color w:val="auto"/>
                <w:kern w:val="0"/>
                <w:sz w:val="22"/>
                <w:szCs w:val="22"/>
                <w:highlight w:val="none"/>
                <w:lang w:val="en-US" w:eastAsia="zh-CN"/>
              </w:rPr>
              <w:t>及《钢纤维混凝土水箅盖》JC-T_948-2005</w:t>
            </w:r>
            <w:r>
              <w:rPr>
                <w:rFonts w:hint="eastAsia" w:ascii="宋体" w:hAnsi="宋体" w:cs="宋体"/>
                <w:color w:val="auto"/>
                <w:kern w:val="0"/>
                <w:sz w:val="22"/>
                <w:szCs w:val="22"/>
                <w:highlight w:val="none"/>
                <w:lang w:eastAsia="zh-CN"/>
              </w:rPr>
              <w:t>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的以下要求：钢筋采用Φ12#，排列采用横9根竖9根的方式，钢筋各连接点均须满焊；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石子：1:1的碎石；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井盖搁置高度：7cm；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水泥、砂子、石子比例符合C250的标准。</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雨/污水圆井盖</w:t>
            </w:r>
          </w:p>
        </w:tc>
        <w:tc>
          <w:tcPr>
            <w:tcW w:w="649" w:type="pct"/>
            <w:tcBorders>
              <w:tl2br w:val="nil"/>
              <w:tr2bl w:val="nil"/>
            </w:tcBorders>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Φ600，C250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的以下要求：钢筋采用Φ12#，排列采用横8根竖8根的方式，钢筋各连接点均须满焊；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石子：1:1的碎石；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井盖搁置高度：6cm；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雨/污水方井盖</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600*600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的以下要求：钢筋采用Φ12#，排列采用横7根竖7根的方式，钢筋各连接点均须满焊；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雨/污水方井盖</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500*500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的以下要求：钢筋采用Φ12#，排列采用横5根竖5根的方式，钢筋各连接点均须满焊；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雨/污水方井盖</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400*400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的以下要求：钢筋采用Φ12#，排列采用横4根竖4根的方式，钢筋各连接点均须满焊；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井盖搁置高：5.5cm；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雨水</w:t>
            </w:r>
            <w:r>
              <w:rPr>
                <w:rFonts w:hint="eastAsia" w:ascii="宋体" w:hAnsi="宋体" w:cs="宋体"/>
                <w:color w:val="auto"/>
                <w:sz w:val="22"/>
                <w:szCs w:val="22"/>
                <w:highlight w:val="none"/>
                <w:lang w:eastAsia="zh-CN"/>
              </w:rPr>
              <w:t>箅</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750*450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的以下要求：钢筋采用Φ12#，排列采用横9根竖3根的方式，钢筋各连接点均须满焊；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雨水</w:t>
            </w:r>
            <w:r>
              <w:rPr>
                <w:rFonts w:hint="eastAsia" w:ascii="宋体" w:hAnsi="宋体" w:cs="宋体"/>
                <w:color w:val="auto"/>
                <w:sz w:val="22"/>
                <w:szCs w:val="22"/>
                <w:highlight w:val="none"/>
                <w:lang w:eastAsia="zh-CN"/>
              </w:rPr>
              <w:t>箅</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400*600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的以下要求：钢筋采用Φ12#，排列采用横7根竖3根的方式，钢筋各连接点均须满焊；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井盖搁置高：6cm；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8</w:t>
            </w:r>
          </w:p>
        </w:tc>
        <w:tc>
          <w:tcPr>
            <w:tcW w:w="557"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雨水</w:t>
            </w:r>
            <w:r>
              <w:rPr>
                <w:rFonts w:hint="eastAsia" w:ascii="宋体" w:hAnsi="宋体" w:cs="宋体"/>
                <w:color w:val="auto"/>
                <w:sz w:val="22"/>
                <w:szCs w:val="22"/>
                <w:highlight w:val="none"/>
                <w:lang w:eastAsia="zh-CN"/>
              </w:rPr>
              <w:t>箅</w:t>
            </w:r>
          </w:p>
        </w:tc>
        <w:tc>
          <w:tcPr>
            <w:tcW w:w="649"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300*500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rPr>
              <w:t>C</w:t>
            </w:r>
            <w:r>
              <w:rPr>
                <w:rFonts w:hint="eastAsia" w:ascii="宋体" w:hAnsi="宋体" w:eastAsia="宋体" w:cs="宋体"/>
                <w:color w:val="auto"/>
                <w:kern w:val="0"/>
                <w:sz w:val="22"/>
                <w:szCs w:val="22"/>
                <w:highlight w:val="none"/>
              </w:rPr>
              <w:t>250</w:t>
            </w:r>
          </w:p>
        </w:tc>
        <w:tc>
          <w:tcPr>
            <w:tcW w:w="589" w:type="pct"/>
            <w:vMerge w:val="continue"/>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rPr>
            </w:pPr>
          </w:p>
        </w:tc>
        <w:tc>
          <w:tcPr>
            <w:tcW w:w="2293" w:type="pct"/>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符合《检查井盖》GB/T 23858-2009、《钢纤维混凝土检查井盖》GB 26537-2011及《钢纤维混凝土水箅盖》JC-T_948-2005的要求</w:t>
            </w:r>
            <w:r>
              <w:rPr>
                <w:rFonts w:hint="eastAsia" w:ascii="宋体" w:hAnsi="宋体" w:cs="宋体"/>
                <w:color w:val="auto"/>
                <w:kern w:val="0"/>
                <w:sz w:val="22"/>
                <w:szCs w:val="22"/>
                <w:highlight w:val="none"/>
              </w:rPr>
              <w:t>，钢筋须满足</w:t>
            </w:r>
            <w:r>
              <w:rPr>
                <w:rFonts w:hint="eastAsia" w:ascii="宋体" w:hAnsi="宋体" w:cs="宋体"/>
                <w:color w:val="auto"/>
                <w:kern w:val="0"/>
                <w:sz w:val="22"/>
                <w:szCs w:val="22"/>
                <w:highlight w:val="none"/>
                <w:lang w:eastAsia="zh-CN"/>
              </w:rPr>
              <w:t>采购人</w:t>
            </w:r>
            <w:r>
              <w:rPr>
                <w:rFonts w:hint="eastAsia" w:ascii="宋体" w:hAnsi="宋体" w:cs="宋体"/>
                <w:color w:val="auto"/>
                <w:kern w:val="0"/>
                <w:sz w:val="22"/>
                <w:szCs w:val="22"/>
                <w:highlight w:val="none"/>
              </w:rPr>
              <w:t>的以下要求：钢筋采用Φ12#，排列采用横6根竖3根的方式，钢筋各连接点均须满焊；</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砂子：淡化海砂；</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石子：碎石；</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水泥：标号（425）；</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井盖搁置高：5.5cm；</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承重：25吨；</w:t>
            </w:r>
          </w:p>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水泥、砂子、石子比例符合C250的标准。　</w:t>
            </w:r>
          </w:p>
        </w:tc>
        <w:tc>
          <w:tcPr>
            <w:tcW w:w="690" w:type="pct"/>
            <w:tcBorders>
              <w:tl2br w:val="nil"/>
              <w:tr2bl w:val="nil"/>
            </w:tcBorders>
            <w:vAlign w:val="center"/>
          </w:tcPr>
          <w:p>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110</w:t>
            </w:r>
          </w:p>
        </w:tc>
      </w:tr>
    </w:tbl>
    <w:p>
      <w:pPr>
        <w:keepNext w:val="0"/>
        <w:keepLines w:val="0"/>
        <w:pageBreakBefore w:val="0"/>
        <w:kinsoku/>
        <w:wordWrap/>
        <w:overflowPunct/>
        <w:topLinePunct w:val="0"/>
        <w:bidi w:val="0"/>
        <w:snapToGrid/>
        <w:spacing w:line="360" w:lineRule="auto"/>
        <w:ind w:right="420"/>
        <w:jc w:val="left"/>
        <w:rPr>
          <w:rFonts w:hint="eastAsia" w:ascii="宋体" w:hAnsi="宋体" w:eastAsia="宋体" w:cs="宋体"/>
          <w:b/>
          <w:color w:val="auto"/>
          <w:sz w:val="22"/>
          <w:szCs w:val="22"/>
          <w:highlight w:val="none"/>
          <w:lang w:val="en-US" w:eastAsia="zh-CN"/>
        </w:rPr>
      </w:pPr>
    </w:p>
    <w:p>
      <w:pPr>
        <w:pStyle w:val="2"/>
        <w:keepNext w:val="0"/>
        <w:keepLines w:val="0"/>
        <w:pageBreakBefore w:val="0"/>
        <w:kinsoku/>
        <w:wordWrap/>
        <w:overflowPunct/>
        <w:topLinePunct w:val="0"/>
        <w:bidi w:val="0"/>
        <w:snapToGrid/>
        <w:spacing w:line="360" w:lineRule="auto"/>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相关技术参数要求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、货物质量标准：产品须符合国家相关标准及规范，产品符合《检查井盖》GB/T 23858-2009、《钢纤维混凝土检查井盖》GB 26537-2011</w:t>
      </w:r>
      <w:r>
        <w:rPr>
          <w:rFonts w:hint="eastAsia" w:ascii="宋体" w:hAnsi="宋体" w:eastAsia="宋体" w:cs="宋体"/>
          <w:color w:val="auto"/>
          <w:sz w:val="22"/>
          <w:szCs w:val="22"/>
          <w:highlight w:val="none"/>
          <w:lang w:val="en-US" w:eastAsia="zh-CN"/>
        </w:rPr>
        <w:t>及《钢纤维混凝土水箅盖》JC-T_948-2005</w:t>
      </w:r>
      <w:r>
        <w:rPr>
          <w:rFonts w:hint="eastAsia" w:ascii="宋体" w:hAnsi="宋体" w:eastAsia="宋体" w:cs="宋体"/>
          <w:color w:val="auto"/>
          <w:sz w:val="22"/>
          <w:szCs w:val="22"/>
          <w:highlight w:val="none"/>
          <w:lang w:eastAsia="zh-CN"/>
        </w:rPr>
        <w:t>的要求。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钢纤维混凝土检查井盖是配有钢筋骨架用钢纤维混凝土浇注成型的检查井盖。简称井盖，位于检查井井口顶部未固定部分，其功能是封闭检查井口，需要时能够开启，井盖与井座配合使用。</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2、嵌入深度、缝宽、井盖搁置面宽、井座支承面宽、检查井盖的净宽（又称公称宽度）、井盖搁置高度等技术参数定义，参照符合《检查井盖》GB/T 23858-2009、《钢纤维混凝土检查井盖》GB 26537-2011</w:t>
      </w:r>
      <w:r>
        <w:rPr>
          <w:rFonts w:hint="eastAsia" w:ascii="宋体" w:hAnsi="宋体" w:eastAsia="宋体" w:cs="宋体"/>
          <w:color w:val="auto"/>
          <w:sz w:val="22"/>
          <w:szCs w:val="22"/>
          <w:highlight w:val="none"/>
          <w:lang w:val="en-US" w:eastAsia="zh-CN"/>
        </w:rPr>
        <w:t>及《钢纤维混凝土水箅盖》JC-T_948-2005</w:t>
      </w:r>
      <w:r>
        <w:rPr>
          <w:rFonts w:hint="eastAsia" w:ascii="宋体" w:hAnsi="宋体" w:eastAsia="宋体" w:cs="宋体"/>
          <w:color w:val="auto"/>
          <w:sz w:val="22"/>
          <w:szCs w:val="22"/>
          <w:highlight w:val="none"/>
          <w:lang w:eastAsia="zh-CN"/>
        </w:rPr>
        <w:t>的要求执行。</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3、标记</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井盖按标准编号、承载等级、生产年份的顺序进行标记。</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3.1标记示例</w:t>
      </w:r>
    </w:p>
    <w:p>
      <w:pPr>
        <w:keepNext w:val="0"/>
        <w:keepLines w:val="0"/>
        <w:pageBreakBefore w:val="0"/>
        <w:kinsoku/>
        <w:wordWrap/>
        <w:overflowPunct/>
        <w:topLinePunct w:val="0"/>
        <w:bidi w:val="0"/>
        <w:snapToGrid/>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2023年生产的C250级矩形边长600mmX600mm的井盖，其标记为：GB 26537-2011 C250 2023</w:t>
      </w:r>
    </w:p>
    <w:p>
      <w:pPr>
        <w:pStyle w:val="2"/>
        <w:keepNext w:val="0"/>
        <w:keepLines w:val="0"/>
        <w:pageBreakBefore w:val="0"/>
        <w:kinsoku/>
        <w:wordWrap/>
        <w:overflowPunct/>
        <w:topLinePunct w:val="0"/>
        <w:bidi w:val="0"/>
        <w:snapToGrid/>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4、标志</w:t>
      </w:r>
    </w:p>
    <w:p>
      <w:pPr>
        <w:keepNext w:val="0"/>
        <w:keepLines w:val="0"/>
        <w:pageBreakBefore w:val="0"/>
        <w:kinsoku/>
        <w:wordWrap/>
        <w:overflowPunct/>
        <w:topLinePunct w:val="0"/>
        <w:bidi w:val="0"/>
        <w:snapToGrid/>
        <w:spacing w:line="360" w:lineRule="auto"/>
        <w:ind w:firstLine="552" w:firstLineChars="25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井盖面板文字及设计图案需满足采购人进行统一要求。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井盖表面的永久性标志内容应包含（参见附图，</w:t>
      </w:r>
      <w:r>
        <w:rPr>
          <w:rFonts w:hint="eastAsia" w:ascii="宋体" w:hAnsi="宋体" w:eastAsia="宋体" w:cs="宋体"/>
          <w:color w:val="auto"/>
          <w:sz w:val="22"/>
          <w:szCs w:val="22"/>
          <w:highlight w:val="none"/>
          <w:lang w:val="en-US" w:eastAsia="zh-CN"/>
        </w:rPr>
        <w:t>可</w:t>
      </w:r>
      <w:r>
        <w:rPr>
          <w:rFonts w:hint="eastAsia" w:ascii="宋体" w:hAnsi="宋体" w:eastAsia="宋体" w:cs="宋体"/>
          <w:color w:val="auto"/>
          <w:sz w:val="22"/>
          <w:szCs w:val="22"/>
          <w:highlight w:val="none"/>
          <w:lang w:eastAsia="zh-CN"/>
        </w:rPr>
        <w:t>另行设计）：</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4.1井盖的专用符号标志“污”、“雨”、“阀”等；</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4.2井盖等级“C250”。</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4.3温州公用logo及文字。</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4.4井盖背面应印有制造厂名称或商标或联系方式；</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5.产品合格证应包括下列内容：</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5.1产品合格证编号、产品分类、等级标记；</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5.2制造厂名、出厂日期；</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5.3钢纤维混凝土抗压强度值；</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5.4产品承载能力试验结果；</w:t>
      </w:r>
    </w:p>
    <w:p>
      <w:pPr>
        <w:pStyle w:val="2"/>
        <w:keepNext w:val="0"/>
        <w:keepLines w:val="0"/>
        <w:pageBreakBefore w:val="0"/>
        <w:kinsoku/>
        <w:wordWrap/>
        <w:overflowPunct/>
        <w:topLinePunct w:val="0"/>
        <w:bidi w:val="0"/>
        <w:snapToGrid/>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6、配备防噪音橡胶垫圈</w:t>
      </w:r>
    </w:p>
    <w:p>
      <w:pPr>
        <w:pStyle w:val="2"/>
        <w:keepNext w:val="0"/>
        <w:keepLines w:val="0"/>
        <w:pageBreakBefore w:val="0"/>
        <w:kinsoku/>
        <w:wordWrap/>
        <w:overflowPunct/>
        <w:topLinePunct w:val="0"/>
        <w:bidi w:val="0"/>
        <w:snapToGrid/>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3936365" cy="3146425"/>
            <wp:effectExtent l="0" t="0" r="10795" b="8255"/>
            <wp:docPr id="2" name="图片 1" descr="井盖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井盖示意图"/>
                    <pic:cNvPicPr>
                      <a:picLocks noChangeAspect="1"/>
                    </pic:cNvPicPr>
                  </pic:nvPicPr>
                  <pic:blipFill>
                    <a:blip r:embed="rId8"/>
                    <a:stretch>
                      <a:fillRect/>
                    </a:stretch>
                  </pic:blipFill>
                  <pic:spPr>
                    <a:xfrm>
                      <a:off x="0" y="0"/>
                      <a:ext cx="3936365" cy="314642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二、原材料要求：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1、水泥应符合GB175的规定。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2、钢筋宜采用冷轧带肋钢筋和热轧带肋钢筋，其质量应符合GB13788和GB1499.2的规定。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3、钢箍宜采用Q235板材，其质量应符合GB/T700的规定。如用铸件制作时，宜采用QT400或HT200材料，其材质应符合GB/T1348和GB9439的规定。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4、粗骨料宜采用5mm~16mm连续级配碎石，含泥量小于1%，其他性能应符合GB/T14685的规定。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5、细骨料宜采用1.8mm~2.2mm中粗砂，含泥量小于2%，其他性能应符合GB/T14684的规定。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6、外加剂应符合GB8076的规定。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7、拌合用水应符合JGJ63的规定。2.6井盖搁置高度：应符合</w:t>
      </w:r>
      <w:r>
        <w:rPr>
          <w:rFonts w:hint="eastAsia" w:ascii="宋体" w:hAnsi="宋体" w:eastAsia="宋体" w:cs="宋体"/>
          <w:color w:val="auto"/>
          <w:sz w:val="22"/>
          <w:szCs w:val="22"/>
          <w:highlight w:val="none"/>
          <w:lang w:eastAsia="zh-CN"/>
        </w:rPr>
        <w:t>符合《检查井盖》GB/T 23858-2009、《钢纤维混凝土检查井盖》GB 26537-2011</w:t>
      </w:r>
      <w:r>
        <w:rPr>
          <w:rFonts w:hint="eastAsia" w:ascii="宋体" w:hAnsi="宋体" w:eastAsia="宋体" w:cs="宋体"/>
          <w:color w:val="auto"/>
          <w:sz w:val="22"/>
          <w:szCs w:val="22"/>
          <w:highlight w:val="none"/>
          <w:lang w:val="en-US" w:eastAsia="zh-CN"/>
        </w:rPr>
        <w:t>及《钢纤维混凝土水箅盖》JC-T_948-2005</w:t>
      </w:r>
      <w:r>
        <w:rPr>
          <w:rFonts w:hint="eastAsia" w:ascii="宋体" w:hAnsi="宋体" w:eastAsia="宋体" w:cs="宋体"/>
          <w:color w:val="auto"/>
          <w:sz w:val="22"/>
          <w:szCs w:val="22"/>
          <w:highlight w:val="none"/>
          <w:lang w:eastAsia="zh-CN"/>
        </w:rPr>
        <w:t>的要求</w:t>
      </w:r>
      <w:r>
        <w:rPr>
          <w:rFonts w:hint="eastAsia" w:ascii="宋体" w:hAnsi="宋体" w:eastAsia="宋体" w:cs="宋体"/>
          <w:color w:val="auto"/>
          <w:sz w:val="22"/>
          <w:szCs w:val="22"/>
          <w:highlight w:val="none"/>
          <w:lang w:val="en-US" w:eastAsia="zh-CN"/>
        </w:rPr>
        <w:t>；</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三、构造要求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1、钢筋断料长度的尺寸允许偏差为0mm~2mm，其表面不得有油污。</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2、钢筋外径(或边长)允许偏差为±2mm，高度允许偏差为0mm~2mm。</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3、钢筋骨架的钢筋间距的允许偏差为±5mm。</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4、焊缝要求：钢筋各连接点均须满焊；钢箍的焊缝、钢筋焊点、钢箍与钢筋骨架的焊接质量应符合GB50204的规定。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5、混凝土保护层厚度不得小于12mm。</w:t>
      </w:r>
    </w:p>
    <w:p>
      <w:pPr>
        <w:pStyle w:val="2"/>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6、井盖与井座可采用钢性或柔性接触,当采用柔性接触时,橡胶避展圈与井盖底部应连接牢固</w:t>
      </w:r>
    </w:p>
    <w:p>
      <w:pPr>
        <w:pStyle w:val="2"/>
        <w:rPr>
          <w:rFonts w:hint="default"/>
          <w:color w:val="auto"/>
          <w:highlight w:val="none"/>
          <w:lang w:val="en-US" w:eastAsia="zh-CN"/>
        </w:rPr>
      </w:pPr>
      <w:r>
        <w:rPr>
          <w:rFonts w:hint="eastAsia" w:ascii="宋体" w:hAnsi="宋体" w:cs="宋体"/>
          <w:color w:val="auto"/>
          <w:sz w:val="22"/>
          <w:szCs w:val="22"/>
          <w:highlight w:val="none"/>
          <w:lang w:val="en-US" w:eastAsia="zh-CN"/>
        </w:rPr>
        <w:t>平整。</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四、技术要求</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1.外观质量</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1.1井盖表面应光洁、平整、无裂缝，防滑花纹、图案和标记应清晰。</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1.2井盖表面应有防滑花纹或图案，防滑花纹或图案的凹槽深度要求为：A15、B125和C250级井盖≥2mm。凹槽部分面积与整个井盖面积之比应不小于10%。</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2.尺寸偏差</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2.1单块井盖几何尺寸及允许偏差见表1。</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2.2单块井盖与井座间的缝宽a=(a1+a2)≤6mm；多块井盖组合使用时，井盖间缝平均宽应不大于3mm。</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5044440" cy="60502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044440" cy="605028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3.钢纤维混凝土抗压强度</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井盖用钢纤维混凝土应按JG/T3064的规定配制和成型。对D400级和C250级井盖其立方体抗压强度应不低于C50；B125级和A15级井盖其立方体抗压强度应不低于C40。</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4.钢箍</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D400、C250和B125级井盖应设置钢箍，钢箍的厚度不应小于表2中的规定值，且钢箍应作有效防锈处理。A15级井盖可不设钢箍，但应设置φ10mm的内钢筋箍。</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5269865" cy="1543685"/>
            <wp:effectExtent l="0" t="0" r="3175"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69865" cy="154368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5.承载能力</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钢纤维混疑土检查井盖的承载能力应符合表3的规定。</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drawing>
          <wp:inline distT="0" distB="0" distL="114300" distR="114300">
            <wp:extent cx="5271135" cy="1858645"/>
            <wp:effectExtent l="0" t="0" r="1905" b="63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5271135" cy="185864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6抗冻性能</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在严寒地区使用的井盖应进行抗冻性试验，并应符合有关规范的规定。</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五、试验方法与检验规则</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遵照</w:t>
      </w:r>
      <w:r>
        <w:rPr>
          <w:rFonts w:hint="eastAsia" w:ascii="宋体" w:hAnsi="宋体" w:eastAsia="宋体" w:cs="宋体"/>
          <w:color w:val="auto"/>
          <w:sz w:val="22"/>
          <w:szCs w:val="22"/>
          <w:highlight w:val="none"/>
          <w:lang w:eastAsia="zh-CN"/>
        </w:rPr>
        <w:t>符合《检查井盖》GB/T 23858-2009、《钢纤维混凝土检查井盖》GB 26537-2011</w:t>
      </w:r>
      <w:r>
        <w:rPr>
          <w:rFonts w:hint="eastAsia" w:ascii="宋体" w:hAnsi="宋体" w:eastAsia="宋体" w:cs="宋体"/>
          <w:color w:val="auto"/>
          <w:sz w:val="22"/>
          <w:szCs w:val="22"/>
          <w:highlight w:val="none"/>
          <w:lang w:val="en-US" w:eastAsia="zh-CN"/>
        </w:rPr>
        <w:t>及《钢纤维混凝土水箅盖》JC-T_948-2005</w:t>
      </w:r>
      <w:r>
        <w:rPr>
          <w:rFonts w:hint="eastAsia" w:ascii="宋体" w:hAnsi="宋体" w:eastAsia="宋体" w:cs="宋体"/>
          <w:color w:val="auto"/>
          <w:sz w:val="22"/>
          <w:szCs w:val="22"/>
          <w:highlight w:val="none"/>
          <w:lang w:eastAsia="zh-CN"/>
        </w:rPr>
        <w:t>的要求</w:t>
      </w:r>
      <w:r>
        <w:rPr>
          <w:rFonts w:hint="eastAsia" w:ascii="宋体" w:hAnsi="宋体" w:eastAsia="宋体" w:cs="宋体"/>
          <w:color w:val="auto"/>
          <w:sz w:val="22"/>
          <w:szCs w:val="22"/>
          <w:highlight w:val="none"/>
          <w:lang w:val="en-US" w:eastAsia="zh-CN"/>
        </w:rPr>
        <w:t>执行。</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六、贮存和运输</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1贮存：井盖应按产品分类和不同等级分别堆放。</w:t>
      </w:r>
    </w:p>
    <w:p>
      <w:pPr>
        <w:keepNext w:val="0"/>
        <w:keepLines w:val="0"/>
        <w:pageBreakBefore w:val="0"/>
        <w:kinsoku/>
        <w:wordWrap/>
        <w:overflowPunct/>
        <w:topLinePunct w:val="0"/>
        <w:bidi w:val="0"/>
        <w:snapToGrid/>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2运输：在产品装卸及搬运过程中，严禁抛掷。</w:t>
      </w:r>
    </w:p>
    <w:p>
      <w:pPr>
        <w:jc w:val="left"/>
        <w:rPr>
          <w:rFonts w:hint="eastAsia"/>
          <w:b/>
          <w:bCs/>
          <w:color w:val="auto"/>
          <w:highlight w:val="none"/>
          <w:lang w:val="en-US" w:eastAsia="zh-CN"/>
        </w:rPr>
      </w:pPr>
    </w:p>
    <w:p>
      <w:pPr>
        <w:pStyle w:val="2"/>
        <w:keepNext w:val="0"/>
        <w:keepLines w:val="0"/>
        <w:pageBreakBefore w:val="0"/>
        <w:kinsoku/>
        <w:wordWrap/>
        <w:topLinePunct w:val="0"/>
        <w:bidi w:val="0"/>
        <w:spacing w:after="0" w:line="440" w:lineRule="exact"/>
        <w:ind w:left="0" w:leftChars="0" w:firstLine="0" w:firstLineChars="0"/>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五、其他要求</w:t>
      </w:r>
    </w:p>
    <w:p>
      <w:pPr>
        <w:pStyle w:val="2"/>
        <w:keepNext w:val="0"/>
        <w:keepLines w:val="0"/>
        <w:pageBreakBefore w:val="0"/>
        <w:kinsoku/>
        <w:wordWrap/>
        <w:topLinePunct w:val="0"/>
        <w:bidi w:val="0"/>
        <w:spacing w:after="0" w:line="440" w:lineRule="exact"/>
        <w:ind w:firstLine="442" w:firstLineChars="200"/>
        <w:rPr>
          <w:rFonts w:hint="default" w:ascii="宋体" w:hAnsi="宋体" w:eastAsia="宋体" w:cs="宋体"/>
          <w:b/>
          <w:color w:val="auto"/>
          <w:sz w:val="22"/>
          <w:szCs w:val="22"/>
          <w:highlight w:val="none"/>
          <w:u w:val="single"/>
          <w:lang w:val="en-US" w:eastAsia="zh-CN" w:bidi="ar"/>
        </w:rPr>
      </w:pPr>
      <w:r>
        <w:rPr>
          <w:rFonts w:hint="eastAsia" w:ascii="宋体" w:hAnsi="宋体" w:eastAsia="宋体" w:cs="宋体"/>
          <w:b/>
          <w:color w:val="auto"/>
          <w:sz w:val="22"/>
          <w:szCs w:val="22"/>
          <w:highlight w:val="none"/>
          <w:u w:val="single"/>
          <w:lang w:val="en-US" w:eastAsia="zh-CN" w:bidi="ar"/>
        </w:rPr>
        <w:t>投标时</w:t>
      </w:r>
      <w:r>
        <w:rPr>
          <w:rFonts w:hint="eastAsia" w:ascii="宋体" w:hAnsi="宋体" w:eastAsia="宋体" w:cs="宋体"/>
          <w:b/>
          <w:color w:val="auto"/>
          <w:sz w:val="22"/>
          <w:szCs w:val="22"/>
          <w:highlight w:val="none"/>
          <w:u w:val="single"/>
          <w:lang w:bidi="ar"/>
        </w:rPr>
        <w:t>提供</w:t>
      </w:r>
      <w:r>
        <w:rPr>
          <w:rFonts w:hint="eastAsia" w:ascii="宋体" w:hAnsi="宋体" w:cs="宋体"/>
          <w:b/>
          <w:color w:val="auto"/>
          <w:sz w:val="22"/>
          <w:szCs w:val="22"/>
          <w:highlight w:val="none"/>
          <w:u w:val="single"/>
          <w:lang w:val="en-US" w:eastAsia="zh-CN" w:bidi="ar"/>
        </w:rPr>
        <w:t>一整套</w:t>
      </w:r>
      <w:r>
        <w:rPr>
          <w:rFonts w:hint="eastAsia" w:ascii="宋体" w:hAnsi="宋体" w:eastAsia="宋体" w:cs="宋体"/>
          <w:b/>
          <w:color w:val="auto"/>
          <w:sz w:val="22"/>
          <w:szCs w:val="22"/>
          <w:highlight w:val="none"/>
          <w:u w:val="single"/>
          <w:lang w:bidi="ar"/>
        </w:rPr>
        <w:t>样品</w:t>
      </w:r>
      <w:r>
        <w:rPr>
          <w:rFonts w:hint="eastAsia" w:ascii="宋体" w:hAnsi="宋体" w:eastAsia="宋体" w:cs="宋体"/>
          <w:b/>
          <w:color w:val="auto"/>
          <w:sz w:val="22"/>
          <w:szCs w:val="22"/>
          <w:highlight w:val="none"/>
          <w:u w:val="single"/>
          <w:lang w:eastAsia="zh-CN" w:bidi="ar"/>
        </w:rPr>
        <w:t>（</w:t>
      </w:r>
      <w:r>
        <w:rPr>
          <w:rFonts w:hint="eastAsia" w:ascii="宋体" w:hAnsi="宋体" w:cs="宋体"/>
          <w:b/>
          <w:color w:val="auto"/>
          <w:sz w:val="22"/>
          <w:szCs w:val="22"/>
          <w:highlight w:val="none"/>
          <w:u w:val="single"/>
          <w:lang w:val="en-US" w:eastAsia="zh-CN" w:bidi="ar"/>
        </w:rPr>
        <w:t>序号1产品：雨/污水圆井盖</w:t>
      </w:r>
      <w:r>
        <w:rPr>
          <w:rFonts w:hint="eastAsia" w:ascii="宋体" w:hAnsi="宋体" w:cs="宋体"/>
          <w:b/>
          <w:color w:val="auto"/>
          <w:sz w:val="22"/>
          <w:szCs w:val="22"/>
          <w:highlight w:val="none"/>
          <w:u w:val="single"/>
          <w:lang w:val="en-US" w:eastAsia="zh-CN" w:bidi="ar"/>
        </w:rPr>
        <w:tab/>
      </w:r>
      <w:r>
        <w:rPr>
          <w:rFonts w:hint="eastAsia" w:ascii="宋体" w:hAnsi="宋体" w:cs="宋体"/>
          <w:b/>
          <w:color w:val="auto"/>
          <w:sz w:val="22"/>
          <w:szCs w:val="22"/>
          <w:highlight w:val="none"/>
          <w:u w:val="single"/>
          <w:lang w:val="en-US" w:eastAsia="zh-CN" w:bidi="ar"/>
        </w:rPr>
        <w:t>φ700，C250</w:t>
      </w:r>
      <w:r>
        <w:rPr>
          <w:rFonts w:hint="eastAsia" w:ascii="宋体" w:hAnsi="宋体" w:eastAsia="宋体" w:cs="宋体"/>
          <w:b/>
          <w:color w:val="auto"/>
          <w:sz w:val="22"/>
          <w:szCs w:val="22"/>
          <w:highlight w:val="none"/>
          <w:u w:val="single"/>
          <w:lang w:eastAsia="zh-CN" w:bidi="ar"/>
        </w:rPr>
        <w:t>）</w:t>
      </w:r>
      <w:r>
        <w:rPr>
          <w:rFonts w:hint="eastAsia" w:ascii="宋体" w:hAnsi="宋体" w:cs="宋体"/>
          <w:b/>
          <w:color w:val="auto"/>
          <w:sz w:val="22"/>
          <w:szCs w:val="22"/>
          <w:highlight w:val="none"/>
          <w:u w:val="single"/>
          <w:lang w:eastAsia="zh-CN" w:bidi="ar"/>
        </w:rPr>
        <w:t>，</w:t>
      </w:r>
      <w:r>
        <w:rPr>
          <w:rFonts w:hint="eastAsia" w:ascii="宋体" w:hAnsi="宋体" w:cs="宋体"/>
          <w:b/>
          <w:color w:val="auto"/>
          <w:sz w:val="22"/>
          <w:szCs w:val="22"/>
          <w:highlight w:val="none"/>
          <w:u w:val="single"/>
          <w:lang w:val="en-US" w:eastAsia="zh-CN" w:bidi="ar"/>
        </w:rPr>
        <w:t>并进行四分之一切割使评标委员会可看清内部材料情况，供应商提供样品时须已完成切割，评审现场不具备切割条件。</w:t>
      </w:r>
    </w:p>
    <w:p>
      <w:pPr>
        <w:pStyle w:val="2"/>
        <w:keepNext w:val="0"/>
        <w:keepLines w:val="0"/>
        <w:pageBreakBefore w:val="0"/>
        <w:numPr>
          <w:ilvl w:val="0"/>
          <w:numId w:val="0"/>
        </w:numPr>
        <w:kinsoku/>
        <w:wordWrap/>
        <w:topLinePunct w:val="0"/>
        <w:bidi w:val="0"/>
        <w:spacing w:after="0" w:line="440" w:lineRule="exact"/>
        <w:ind w:firstLine="442" w:firstLineChars="200"/>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u w:val="single"/>
          <w:lang w:bidi="ar"/>
        </w:rPr>
        <w:t>中标单位提供的样品须保留在</w:t>
      </w:r>
      <w:r>
        <w:rPr>
          <w:rFonts w:hint="eastAsia" w:ascii="宋体" w:hAnsi="宋体" w:eastAsia="宋体" w:cs="宋体"/>
          <w:b/>
          <w:color w:val="auto"/>
          <w:sz w:val="22"/>
          <w:szCs w:val="22"/>
          <w:highlight w:val="none"/>
          <w:u w:val="single"/>
          <w:lang w:eastAsia="zh-CN" w:bidi="ar"/>
        </w:rPr>
        <w:t>采购人</w:t>
      </w:r>
      <w:r>
        <w:rPr>
          <w:rFonts w:hint="eastAsia" w:ascii="宋体" w:hAnsi="宋体" w:eastAsia="宋体" w:cs="宋体"/>
          <w:b/>
          <w:color w:val="auto"/>
          <w:sz w:val="22"/>
          <w:szCs w:val="22"/>
          <w:highlight w:val="none"/>
          <w:u w:val="single"/>
          <w:lang w:bidi="ar"/>
        </w:rPr>
        <w:t>作为验收依据，投标人应保证所供</w:t>
      </w:r>
      <w:r>
        <w:rPr>
          <w:rFonts w:hint="eastAsia" w:ascii="宋体" w:hAnsi="宋体" w:cs="宋体"/>
          <w:b/>
          <w:color w:val="auto"/>
          <w:sz w:val="22"/>
          <w:szCs w:val="22"/>
          <w:highlight w:val="none"/>
          <w:u w:val="single"/>
          <w:lang w:val="en-US" w:eastAsia="zh-CN" w:bidi="ar"/>
        </w:rPr>
        <w:t>产品</w:t>
      </w:r>
      <w:r>
        <w:rPr>
          <w:rFonts w:hint="eastAsia" w:ascii="宋体" w:hAnsi="宋体" w:eastAsia="宋体" w:cs="宋体"/>
          <w:b/>
          <w:color w:val="auto"/>
          <w:sz w:val="22"/>
          <w:szCs w:val="22"/>
          <w:highlight w:val="none"/>
          <w:u w:val="single"/>
          <w:lang w:bidi="ar"/>
        </w:rPr>
        <w:t>的各项性能指标及外观质量均不低于样品。</w:t>
      </w:r>
      <w:r>
        <w:rPr>
          <w:rFonts w:hint="eastAsia" w:ascii="宋体" w:hAnsi="宋体" w:eastAsia="宋体" w:cs="宋体"/>
          <w:b/>
          <w:color w:val="auto"/>
          <w:sz w:val="22"/>
          <w:szCs w:val="22"/>
          <w:highlight w:val="none"/>
          <w:lang w:bidi="ar"/>
        </w:rPr>
        <w:t xml:space="preserve"> </w:t>
      </w:r>
    </w:p>
    <w:p>
      <w:pPr>
        <w:pStyle w:val="6"/>
        <w:rPr>
          <w:rFonts w:hint="eastAsia" w:ascii="宋体" w:hAnsi="宋体" w:eastAsia="宋体" w:cs="楷体"/>
          <w:color w:val="auto"/>
          <w:sz w:val="36"/>
          <w:szCs w:val="36"/>
          <w:highlight w:val="none"/>
        </w:rPr>
      </w:pPr>
    </w:p>
    <w:p>
      <w:pPr>
        <w:pStyle w:val="6"/>
        <w:rPr>
          <w:rFonts w:hint="eastAsia" w:ascii="宋体" w:hAnsi="宋体" w:eastAsia="宋体" w:cs="楷体"/>
          <w:color w:val="auto"/>
          <w:sz w:val="36"/>
          <w:szCs w:val="36"/>
          <w:highlight w:val="none"/>
        </w:rPr>
      </w:pPr>
    </w:p>
    <w:p>
      <w:pPr>
        <w:pStyle w:val="6"/>
        <w:rPr>
          <w:rFonts w:hint="eastAsia" w:ascii="宋体" w:hAnsi="宋体" w:eastAsia="宋体" w:cs="楷体"/>
          <w:color w:val="auto"/>
          <w:sz w:val="36"/>
          <w:szCs w:val="36"/>
          <w:highlight w:val="none"/>
        </w:rPr>
      </w:pPr>
    </w:p>
    <w:p>
      <w:pPr>
        <w:rPr>
          <w:rFonts w:hint="eastAsia" w:ascii="宋体" w:hAnsi="宋体" w:cs="楷体"/>
          <w:color w:val="auto"/>
          <w:sz w:val="36"/>
          <w:szCs w:val="36"/>
          <w:highlight w:val="none"/>
        </w:rPr>
      </w:pPr>
    </w:p>
    <w:p>
      <w:pPr>
        <w:rPr>
          <w:rFonts w:hint="eastAsia"/>
          <w:color w:val="auto"/>
          <w:highlight w:val="none"/>
        </w:rPr>
      </w:pPr>
    </w:p>
    <w:p>
      <w:pPr>
        <w:pStyle w:val="6"/>
        <w:rPr>
          <w:rFonts w:hint="eastAsia" w:ascii="宋体" w:hAnsi="宋体" w:eastAsia="宋体" w:cs="楷体"/>
          <w:color w:val="auto"/>
          <w:sz w:val="36"/>
          <w:szCs w:val="36"/>
          <w:highlight w:val="none"/>
        </w:rPr>
      </w:pPr>
      <w:bookmarkStart w:id="101" w:name="_Toc17257"/>
      <w:r>
        <w:rPr>
          <w:rFonts w:hint="eastAsia" w:ascii="宋体" w:hAnsi="宋体" w:eastAsia="宋体" w:cs="楷体"/>
          <w:color w:val="auto"/>
          <w:sz w:val="36"/>
          <w:szCs w:val="36"/>
          <w:highlight w:val="none"/>
        </w:rPr>
        <w:t>第五部分   评标原则及方法</w:t>
      </w:r>
      <w:bookmarkEnd w:id="92"/>
      <w:bookmarkEnd w:id="93"/>
      <w:bookmarkEnd w:id="94"/>
      <w:bookmarkEnd w:id="95"/>
      <w:bookmarkEnd w:id="96"/>
      <w:bookmarkEnd w:id="97"/>
      <w:bookmarkEnd w:id="98"/>
      <w:bookmarkEnd w:id="99"/>
      <w:bookmarkEnd w:id="100"/>
      <w:bookmarkEnd w:id="101"/>
    </w:p>
    <w:p>
      <w:pPr>
        <w:pStyle w:val="3"/>
        <w:spacing w:before="120" w:beforeLines="50" w:afterLines="50" w:line="360" w:lineRule="auto"/>
        <w:rPr>
          <w:rFonts w:ascii="宋体" w:hAnsi="宋体" w:eastAsia="宋体" w:cs="楷体"/>
          <w:b/>
          <w:color w:val="auto"/>
          <w:sz w:val="22"/>
          <w:szCs w:val="22"/>
          <w:highlight w:val="none"/>
        </w:rPr>
      </w:pPr>
      <w:bookmarkStart w:id="102" w:name="_Toc221356898"/>
      <w:bookmarkStart w:id="103" w:name="_Toc221356961"/>
      <w:r>
        <w:rPr>
          <w:rFonts w:hint="eastAsia" w:ascii="宋体" w:hAnsi="宋体" w:eastAsia="宋体" w:cs="楷体"/>
          <w:b/>
          <w:color w:val="auto"/>
          <w:sz w:val="22"/>
          <w:szCs w:val="22"/>
          <w:highlight w:val="none"/>
        </w:rPr>
        <w:t>一. 总  则</w:t>
      </w:r>
      <w:bookmarkEnd w:id="102"/>
      <w:bookmarkEnd w:id="103"/>
    </w:p>
    <w:p>
      <w:pPr>
        <w:spacing w:line="360" w:lineRule="auto"/>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评标工作遵循公平、公正、科学、择优原则和诚实、信誉、效率的服务原则。本着科学、严谨的态度，认真进行评标。择优选用，推进技术进步，确保</w:t>
      </w:r>
      <w:r>
        <w:rPr>
          <w:rFonts w:hint="eastAsia" w:ascii="宋体" w:hAnsi="宋体" w:cs="楷体"/>
          <w:color w:val="auto"/>
          <w:sz w:val="22"/>
          <w:szCs w:val="22"/>
          <w:highlight w:val="none"/>
          <w:lang w:val="en-US" w:eastAsia="zh-CN"/>
        </w:rPr>
        <w:t>产品</w:t>
      </w:r>
      <w:r>
        <w:rPr>
          <w:rFonts w:hint="eastAsia" w:ascii="宋体" w:hAnsi="宋体" w:cs="楷体"/>
          <w:color w:val="auto"/>
          <w:sz w:val="22"/>
          <w:szCs w:val="22"/>
          <w:highlight w:val="none"/>
        </w:rPr>
        <w:t>质量、交货期，节约投资，最大限度的保护当事人权益，严格按照采购文件的商务、技术要求，对投标文件进行综合评定，提出优选方案，编写评标报告。对落标单位，评委会不作任何落标解释。</w:t>
      </w:r>
    </w:p>
    <w:p>
      <w:pPr>
        <w:pStyle w:val="3"/>
        <w:spacing w:before="120" w:beforeLines="50" w:afterLines="50" w:line="360" w:lineRule="auto"/>
        <w:rPr>
          <w:rFonts w:ascii="宋体" w:hAnsi="宋体" w:eastAsia="宋体" w:cs="楷体"/>
          <w:b/>
          <w:color w:val="auto"/>
          <w:sz w:val="22"/>
          <w:szCs w:val="22"/>
          <w:highlight w:val="none"/>
        </w:rPr>
      </w:pPr>
      <w:bookmarkStart w:id="104" w:name="_Toc221356899"/>
      <w:bookmarkStart w:id="105" w:name="_Toc221356962"/>
      <w:r>
        <w:rPr>
          <w:rFonts w:hint="eastAsia" w:ascii="宋体" w:hAnsi="宋体" w:eastAsia="宋体" w:cs="楷体"/>
          <w:b/>
          <w:color w:val="auto"/>
          <w:sz w:val="22"/>
          <w:szCs w:val="22"/>
          <w:highlight w:val="none"/>
        </w:rPr>
        <w:t>二、评标组织</w:t>
      </w:r>
      <w:bookmarkEnd w:id="104"/>
      <w:bookmarkEnd w:id="105"/>
    </w:p>
    <w:p>
      <w:pPr>
        <w:spacing w:line="360" w:lineRule="auto"/>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评标工作由采购人依法组建的评标委员会负责，评标全过程由有关部门指导监督。</w:t>
      </w:r>
    </w:p>
    <w:p>
      <w:pPr>
        <w:pStyle w:val="3"/>
        <w:spacing w:before="120" w:beforeLines="50" w:afterLines="50" w:line="360" w:lineRule="auto"/>
        <w:rPr>
          <w:rFonts w:ascii="宋体" w:hAnsi="宋体" w:eastAsia="宋体" w:cs="楷体"/>
          <w:b/>
          <w:color w:val="auto"/>
          <w:sz w:val="22"/>
          <w:szCs w:val="22"/>
          <w:highlight w:val="none"/>
        </w:rPr>
      </w:pPr>
      <w:bookmarkStart w:id="106" w:name="_Toc221356900"/>
      <w:bookmarkStart w:id="107" w:name="_Toc221356963"/>
      <w:r>
        <w:rPr>
          <w:rFonts w:hint="eastAsia" w:ascii="宋体" w:hAnsi="宋体" w:eastAsia="宋体" w:cs="楷体"/>
          <w:b/>
          <w:color w:val="auto"/>
          <w:sz w:val="22"/>
          <w:szCs w:val="22"/>
          <w:highlight w:val="none"/>
        </w:rPr>
        <w:t>三、评标程序</w:t>
      </w:r>
      <w:bookmarkEnd w:id="106"/>
      <w:bookmarkEnd w:id="107"/>
    </w:p>
    <w:p>
      <w:pPr>
        <w:spacing w:line="360" w:lineRule="auto"/>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开标后，采购人或采购代理机构对各投标人的资格进行审查；然后评标委员会对合格投标人的投标文件进行符合性审查，按照采购文件中规定的评标方法和标准，对符合性审查合格的投标文件进行商务和技术评估，综合比较与评价。</w:t>
      </w:r>
    </w:p>
    <w:p>
      <w:pPr>
        <w:pStyle w:val="3"/>
        <w:spacing w:before="120" w:beforeLines="50" w:afterLines="50" w:line="360" w:lineRule="auto"/>
        <w:rPr>
          <w:rFonts w:ascii="宋体" w:hAnsi="宋体" w:eastAsia="宋体" w:cs="楷体"/>
          <w:b/>
          <w:color w:val="auto"/>
          <w:sz w:val="22"/>
          <w:szCs w:val="22"/>
          <w:highlight w:val="none"/>
        </w:rPr>
      </w:pPr>
      <w:bookmarkStart w:id="108" w:name="_Toc221356964"/>
      <w:bookmarkStart w:id="109" w:name="_Toc221356901"/>
      <w:r>
        <w:rPr>
          <w:rFonts w:hint="eastAsia" w:ascii="宋体" w:hAnsi="宋体" w:eastAsia="宋体" w:cs="楷体"/>
          <w:b/>
          <w:color w:val="auto"/>
          <w:sz w:val="22"/>
          <w:szCs w:val="22"/>
          <w:highlight w:val="none"/>
        </w:rPr>
        <w:t>四、评标办法</w:t>
      </w:r>
      <w:bookmarkEnd w:id="108"/>
      <w:bookmarkEnd w:id="109"/>
    </w:p>
    <w:p>
      <w:pPr>
        <w:tabs>
          <w:tab w:val="left" w:pos="540"/>
        </w:tabs>
        <w:spacing w:line="440" w:lineRule="exact"/>
        <w:rPr>
          <w:rFonts w:ascii="宋体" w:hAnsi="宋体" w:cs="楷体"/>
          <w:color w:val="auto"/>
          <w:sz w:val="22"/>
          <w:szCs w:val="22"/>
          <w:highlight w:val="none"/>
        </w:rPr>
      </w:pPr>
      <w:r>
        <w:rPr>
          <w:rFonts w:hint="eastAsia" w:ascii="宋体" w:hAnsi="宋体" w:cs="楷体"/>
          <w:color w:val="auto"/>
          <w:sz w:val="22"/>
          <w:szCs w:val="22"/>
          <w:highlight w:val="none"/>
        </w:rPr>
        <w:t>本次采购采用百分制综合评分法，即投标人最大限度地满足采购文件实质性要求的基础上，按照采购文件的各项因素进行综合评审后，</w:t>
      </w:r>
      <w:r>
        <w:rPr>
          <w:rFonts w:hint="eastAsia" w:ascii="宋体" w:hAnsi="宋体" w:cs="楷体"/>
          <w:b/>
          <w:bCs/>
          <w:color w:val="auto"/>
          <w:sz w:val="22"/>
          <w:szCs w:val="22"/>
          <w:highlight w:val="none"/>
          <w:u w:val="single"/>
        </w:rPr>
        <w:t>评标委员会依据法律、法规及采购文件有关规定在有效标中按投标人的</w:t>
      </w:r>
      <w:r>
        <w:rPr>
          <w:rFonts w:hint="eastAsia" w:ascii="宋体" w:hAnsi="宋体" w:cs="楷体"/>
          <w:b/>
          <w:bCs/>
          <w:color w:val="auto"/>
          <w:sz w:val="22"/>
          <w:szCs w:val="22"/>
          <w:highlight w:val="none"/>
          <w:u w:val="single"/>
          <w:lang w:val="en-US" w:eastAsia="zh-CN"/>
        </w:rPr>
        <w:t>综合</w:t>
      </w:r>
      <w:r>
        <w:rPr>
          <w:rFonts w:hint="eastAsia" w:ascii="宋体" w:hAnsi="宋体" w:cs="楷体"/>
          <w:b/>
          <w:bCs/>
          <w:color w:val="auto"/>
          <w:sz w:val="22"/>
          <w:szCs w:val="22"/>
          <w:highlight w:val="none"/>
          <w:u w:val="single"/>
        </w:rPr>
        <w:t>得分高低进行排序，</w:t>
      </w:r>
      <w:r>
        <w:rPr>
          <w:rFonts w:hint="eastAsia" w:ascii="宋体" w:hAnsi="宋体" w:cs="楷体"/>
          <w:b/>
          <w:bCs/>
          <w:color w:val="auto"/>
          <w:sz w:val="22"/>
          <w:szCs w:val="22"/>
          <w:highlight w:val="none"/>
          <w:u w:val="single"/>
          <w:lang w:val="en-US" w:eastAsia="zh-CN"/>
        </w:rPr>
        <w:t>如有效投标供应商不少于4家，则按综合得分由高到低顺序选取前2名投标人</w:t>
      </w:r>
      <w:r>
        <w:rPr>
          <w:rFonts w:hint="eastAsia" w:ascii="宋体" w:hAnsi="宋体" w:cs="楷体"/>
          <w:b/>
          <w:bCs/>
          <w:color w:val="auto"/>
          <w:sz w:val="22"/>
          <w:szCs w:val="22"/>
          <w:highlight w:val="none"/>
          <w:u w:val="single"/>
        </w:rPr>
        <w:t>作为入围中标候选供应商（</w:t>
      </w:r>
      <w:r>
        <w:rPr>
          <w:rFonts w:hint="eastAsia" w:ascii="宋体" w:hAnsi="宋体" w:cs="楷体"/>
          <w:b/>
          <w:bCs/>
          <w:color w:val="auto"/>
          <w:sz w:val="22"/>
          <w:szCs w:val="22"/>
          <w:highlight w:val="none"/>
          <w:u w:val="single"/>
          <w:lang w:val="en-US" w:eastAsia="zh-CN"/>
        </w:rPr>
        <w:t>得分相同则由采购人评委抽签决定）</w:t>
      </w:r>
      <w:r>
        <w:rPr>
          <w:rFonts w:hint="eastAsia" w:ascii="宋体" w:hAnsi="宋体" w:cs="楷体"/>
          <w:b/>
          <w:bCs/>
          <w:color w:val="auto"/>
          <w:sz w:val="22"/>
          <w:szCs w:val="22"/>
          <w:highlight w:val="none"/>
          <w:u w:val="single"/>
        </w:rPr>
        <w:t>。</w:t>
      </w:r>
    </w:p>
    <w:p>
      <w:pPr>
        <w:pStyle w:val="3"/>
        <w:spacing w:before="120" w:beforeLines="50" w:afterLines="50" w:line="360" w:lineRule="auto"/>
        <w:rPr>
          <w:rFonts w:hint="eastAsia" w:ascii="宋体" w:hAnsi="宋体" w:eastAsia="宋体" w:cs="楷体"/>
          <w:b/>
          <w:color w:val="auto"/>
          <w:sz w:val="22"/>
          <w:szCs w:val="22"/>
          <w:highlight w:val="none"/>
        </w:rPr>
      </w:pPr>
      <w:r>
        <w:rPr>
          <w:rFonts w:hint="eastAsia" w:ascii="宋体" w:hAnsi="宋体" w:eastAsia="宋体" w:cs="楷体"/>
          <w:b/>
          <w:color w:val="auto"/>
          <w:sz w:val="22"/>
          <w:szCs w:val="22"/>
          <w:highlight w:val="none"/>
        </w:rPr>
        <w:t>五、评分细则</w:t>
      </w:r>
    </w:p>
    <w:p>
      <w:pPr>
        <w:numPr>
          <w:ilvl w:val="0"/>
          <w:numId w:val="27"/>
        </w:numPr>
        <w:spacing w:line="360" w:lineRule="auto"/>
        <w:ind w:firstLine="0"/>
        <w:rPr>
          <w:rFonts w:ascii="宋体" w:hAnsi="宋体" w:cs="楷体"/>
          <w:b/>
          <w:bCs/>
          <w:color w:val="auto"/>
          <w:sz w:val="22"/>
          <w:szCs w:val="22"/>
          <w:highlight w:val="none"/>
        </w:rPr>
      </w:pPr>
      <w:r>
        <w:rPr>
          <w:rFonts w:hint="eastAsia" w:ascii="宋体" w:hAnsi="宋体" w:cs="楷体"/>
          <w:b/>
          <w:bCs/>
          <w:color w:val="auto"/>
          <w:sz w:val="22"/>
          <w:szCs w:val="22"/>
          <w:highlight w:val="none"/>
        </w:rPr>
        <w:t>技术资信部分的评定（</w:t>
      </w:r>
      <w:r>
        <w:rPr>
          <w:rFonts w:hint="eastAsia" w:ascii="宋体" w:hAnsi="宋体" w:cs="楷体"/>
          <w:b/>
          <w:bCs/>
          <w:color w:val="auto"/>
          <w:sz w:val="22"/>
          <w:szCs w:val="22"/>
          <w:highlight w:val="none"/>
          <w:lang w:val="en-US" w:eastAsia="zh-CN"/>
        </w:rPr>
        <w:t>4</w:t>
      </w:r>
      <w:r>
        <w:rPr>
          <w:rFonts w:hint="eastAsia" w:ascii="宋体" w:hAnsi="宋体" w:cs="楷体"/>
          <w:b/>
          <w:bCs/>
          <w:color w:val="auto"/>
          <w:sz w:val="22"/>
          <w:szCs w:val="22"/>
          <w:highlight w:val="none"/>
        </w:rPr>
        <w:t>0分）</w:t>
      </w:r>
    </w:p>
    <w:p>
      <w:pPr>
        <w:spacing w:line="360" w:lineRule="auto"/>
        <w:ind w:firstLine="435"/>
        <w:rPr>
          <w:rFonts w:ascii="宋体" w:hAnsi="宋体" w:cs="楷体"/>
          <w:color w:val="auto"/>
          <w:sz w:val="22"/>
          <w:szCs w:val="22"/>
          <w:highlight w:val="none"/>
        </w:rPr>
      </w:pPr>
      <w:r>
        <w:rPr>
          <w:rFonts w:hint="eastAsia" w:ascii="宋体" w:hAnsi="宋体" w:cs="楷体"/>
          <w:color w:val="auto"/>
          <w:sz w:val="22"/>
          <w:szCs w:val="22"/>
          <w:highlight w:val="none"/>
        </w:rPr>
        <w:t>各评委成员按下列评分项目进行评定，每人一张评分计算表，由评标委员会成员各自评定打分并记实名。</w:t>
      </w:r>
      <w:r>
        <w:rPr>
          <w:rFonts w:hint="eastAsia" w:ascii="宋体" w:hAnsi="宋体" w:cs="楷体"/>
          <w:b/>
          <w:color w:val="auto"/>
          <w:sz w:val="22"/>
          <w:szCs w:val="22"/>
          <w:highlight w:val="none"/>
        </w:rPr>
        <w:t>如任何一张表的一项评分内容分值超过规定的范围，则该张表无效。</w:t>
      </w:r>
      <w:r>
        <w:rPr>
          <w:rFonts w:hint="eastAsia" w:ascii="宋体" w:hAnsi="宋体" w:cs="楷体"/>
          <w:color w:val="auto"/>
          <w:sz w:val="22"/>
          <w:szCs w:val="22"/>
          <w:highlight w:val="none"/>
        </w:rPr>
        <w:t>各评标委员会成员对各投标供应商的各项评分内容进行评审、独立打分，所有评委成员评分的算术平均值为该投标供应商技术资信部分的最终得分（四舍五入，保留小数点后二位）。</w:t>
      </w:r>
    </w:p>
    <w:tbl>
      <w:tblPr>
        <w:tblStyle w:val="51"/>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535"/>
        <w:gridCol w:w="1104"/>
        <w:gridCol w:w="6876"/>
        <w:gridCol w:w="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评审内容</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评分标准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w:t>
            </w:r>
          </w:p>
        </w:tc>
        <w:tc>
          <w:tcPr>
            <w:tcW w:w="8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技术分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28</w:t>
            </w:r>
            <w:r>
              <w:rPr>
                <w:rFonts w:hint="eastAsia" w:ascii="宋体" w:hAnsi="宋体" w:cs="宋体"/>
                <w:b/>
                <w:bCs/>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3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53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技术方案</w:t>
            </w:r>
          </w:p>
        </w:tc>
        <w:tc>
          <w:tcPr>
            <w:tcW w:w="110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技术参数响应情况</w:t>
            </w:r>
          </w:p>
        </w:tc>
        <w:tc>
          <w:tcPr>
            <w:tcW w:w="68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default" w:ascii="宋体" w:hAnsi="宋体" w:eastAsia="宋体" w:cs="宋体"/>
                <w:color w:val="auto"/>
                <w:sz w:val="22"/>
                <w:szCs w:val="22"/>
                <w:highlight w:val="none"/>
                <w:lang w:val="en-US"/>
              </w:rPr>
            </w:pPr>
            <w:r>
              <w:rPr>
                <w:rFonts w:hint="default" w:ascii="宋体" w:hAnsi="宋体" w:eastAsia="宋体" w:cs="宋体"/>
                <w:color w:val="auto"/>
                <w:sz w:val="22"/>
                <w:szCs w:val="22"/>
                <w:highlight w:val="none"/>
                <w:lang w:val="en-US"/>
              </w:rPr>
              <w:t>主要产品性能、材料等完全满足招标文件要求的，得</w:t>
            </w:r>
            <w:r>
              <w:rPr>
                <w:rFonts w:hint="eastAsia" w:ascii="宋体" w:hAnsi="宋体" w:eastAsia="宋体" w:cs="宋体"/>
                <w:color w:val="auto"/>
                <w:sz w:val="22"/>
                <w:szCs w:val="22"/>
                <w:highlight w:val="none"/>
                <w:lang w:val="en-US" w:eastAsia="zh-CN"/>
              </w:rPr>
              <w:t>5</w:t>
            </w:r>
            <w:r>
              <w:rPr>
                <w:rFonts w:hint="default" w:ascii="宋体" w:hAnsi="宋体" w:eastAsia="宋体" w:cs="宋体"/>
                <w:color w:val="auto"/>
                <w:sz w:val="22"/>
                <w:szCs w:val="22"/>
                <w:highlight w:val="none"/>
                <w:lang w:val="en-US"/>
              </w:rPr>
              <w:t>分。每有一项负偏离扣0.5分，扣完为止。注：技术指标以满足技术参数的产品（质量、参数规格）</w:t>
            </w:r>
            <w:r>
              <w:rPr>
                <w:rFonts w:hint="eastAsia" w:ascii="宋体" w:hAnsi="宋体" w:eastAsia="宋体" w:cs="宋体"/>
                <w:color w:val="auto"/>
                <w:sz w:val="22"/>
                <w:szCs w:val="22"/>
                <w:highlight w:val="none"/>
                <w:lang w:val="en-US" w:eastAsia="zh-CN"/>
              </w:rPr>
              <w:t>技术参数应答表</w:t>
            </w:r>
            <w:r>
              <w:rPr>
                <w:rFonts w:hint="default" w:ascii="宋体" w:hAnsi="宋体" w:eastAsia="宋体" w:cs="宋体"/>
                <w:color w:val="auto"/>
                <w:sz w:val="22"/>
                <w:szCs w:val="22"/>
                <w:highlight w:val="none"/>
                <w:lang w:val="en-US"/>
              </w:rPr>
              <w:t>或样本资料或彩页或检测报告为准。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5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样品分（</w:t>
            </w:r>
            <w:r>
              <w:rPr>
                <w:rFonts w:hint="eastAsia" w:ascii="Times New Roman" w:hAnsi="Times New Roman" w:eastAsia="宋体" w:cs="Times New Roman"/>
                <w:color w:val="auto"/>
                <w:kern w:val="2"/>
                <w:sz w:val="22"/>
                <w:szCs w:val="22"/>
                <w:highlight w:val="none"/>
                <w:lang w:val="en-US" w:eastAsia="zh-CN" w:bidi="ar-SA"/>
              </w:rPr>
              <w:t>未提供样品或样品种类不齐全的不得分。）</w:t>
            </w:r>
          </w:p>
        </w:tc>
        <w:tc>
          <w:tcPr>
            <w:tcW w:w="68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评标委员会根据各投标人所投产品的材质进行综合评分，0-4分。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eastAsia" w:ascii="宋体" w:hAnsi="宋体" w:eastAsia="宋体" w:cs="宋体"/>
                <w:color w:val="auto"/>
                <w:sz w:val="22"/>
                <w:szCs w:val="22"/>
                <w:highlight w:val="none"/>
              </w:rPr>
            </w:pPr>
          </w:p>
        </w:tc>
        <w:tc>
          <w:tcPr>
            <w:tcW w:w="68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评标委员会根据各投标人所投产品的工艺先进程度，漆质饱满度，制作无缺陷程度等进行综合评分，0-4分。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val="en-US" w:eastAsia="zh-CN"/>
              </w:rPr>
            </w:pP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eastAsia" w:ascii="宋体" w:hAnsi="宋体" w:eastAsia="宋体" w:cs="宋体"/>
                <w:color w:val="auto"/>
                <w:sz w:val="22"/>
                <w:szCs w:val="22"/>
                <w:highlight w:val="none"/>
              </w:rPr>
            </w:pPr>
          </w:p>
        </w:tc>
        <w:tc>
          <w:tcPr>
            <w:tcW w:w="68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评标委员会根据各投标人所投产品的图案均匀清晰度、层次分明、上下分层合理程度等等进行综合评分，0-4分。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供货方案</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根据投标人提供针对本项目确保供货期、供货时效及供货量、人员安排等的供货方案</w:t>
            </w:r>
            <w:r>
              <w:rPr>
                <w:rFonts w:hint="eastAsia" w:ascii="宋体" w:hAnsi="宋体" w:eastAsia="宋体" w:cs="宋体"/>
                <w:color w:val="auto"/>
                <w:sz w:val="22"/>
                <w:szCs w:val="22"/>
                <w:highlight w:val="none"/>
                <w:lang w:val="en-US" w:eastAsia="zh-CN"/>
              </w:rPr>
              <w:t>综合评议</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rPr>
              <w:t>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应急方案</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根据投标人针对突发故障应急服务或其它情况提供的应急服务方案的合理性、科学性由专家酌情打分，</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atLeast"/>
          <w:jc w:val="center"/>
        </w:trPr>
        <w:tc>
          <w:tcPr>
            <w:tcW w:w="53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p>
        </w:tc>
        <w:tc>
          <w:tcPr>
            <w:tcW w:w="110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质量保障</w:t>
            </w:r>
          </w:p>
        </w:tc>
        <w:tc>
          <w:tcPr>
            <w:tcW w:w="687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根据投标人提供的质量保证方案，是否具有明确的质量目标，质量保证措施并具有详细可行的实施内容等酌情打分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0-2分。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13" w:firstLineChars="6"/>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atLeast"/>
          <w:jc w:val="center"/>
        </w:trPr>
        <w:tc>
          <w:tcPr>
            <w:tcW w:w="53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p>
        </w:tc>
        <w:tc>
          <w:tcPr>
            <w:tcW w:w="1104"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设备配置</w:t>
            </w:r>
          </w:p>
        </w:tc>
        <w:tc>
          <w:tcPr>
            <w:tcW w:w="6876"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根据投标人提供的针对本项目的产品制作设备配备及场地拥有情况，并提供设备安装摆放实物照片彩图及场地有效使用的相关证明，等综合评定由专家酌情打分，</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分，需提供设备实物照片彩图和购置凭证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否则不得分</w:t>
            </w:r>
            <w:r>
              <w:rPr>
                <w:rFonts w:hint="eastAsia" w:ascii="宋体" w:hAnsi="宋体" w:cs="宋体"/>
                <w:color w:val="auto"/>
                <w:sz w:val="22"/>
                <w:szCs w:val="22"/>
                <w:highlight w:val="none"/>
              </w:rPr>
              <w:t>。</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5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080"/>
              </w:tabs>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质保期</w:t>
            </w:r>
          </w:p>
        </w:tc>
        <w:tc>
          <w:tcPr>
            <w:tcW w:w="6876" w:type="dxa"/>
            <w:tcBorders>
              <w:top w:val="single" w:color="auto" w:sz="4" w:space="0"/>
              <w:left w:val="single" w:color="auto" w:sz="4" w:space="0"/>
              <w:right w:val="single" w:color="auto" w:sz="4" w:space="0"/>
            </w:tcBorders>
            <w:vAlign w:val="center"/>
          </w:tcPr>
          <w:p>
            <w:pPr>
              <w:keepNext w:val="0"/>
              <w:keepLines w:val="0"/>
              <w:pageBreakBefore w:val="0"/>
              <w:tabs>
                <w:tab w:val="left" w:pos="1080"/>
              </w:tabs>
              <w:kinsoku/>
              <w:wordWrap/>
              <w:overflowPunct/>
              <w:topLinePunct w:val="0"/>
              <w:autoSpaceDE/>
              <w:autoSpaceDN/>
              <w:bidi w:val="0"/>
              <w:adjustRightInd/>
              <w:spacing w:line="360" w:lineRule="auto"/>
              <w:textAlignment w:val="auto"/>
              <w:rPr>
                <w:rFonts w:hint="eastAsia" w:ascii="宋体" w:hAnsi="宋体" w:eastAsia="宋体" w:cs="Times New Roman"/>
                <w:color w:val="auto"/>
                <w:kern w:val="2"/>
                <w:sz w:val="22"/>
                <w:szCs w:val="22"/>
                <w:highlight w:val="none"/>
                <w:lang w:val="zh-CN" w:eastAsia="zh-CN" w:bidi="ar-SA"/>
              </w:rPr>
            </w:pPr>
            <w:r>
              <w:rPr>
                <w:rFonts w:hint="eastAsia" w:ascii="宋体" w:hAnsi="宋体"/>
                <w:color w:val="auto"/>
                <w:sz w:val="22"/>
                <w:szCs w:val="22"/>
                <w:highlight w:val="none"/>
                <w:lang w:val="en-US" w:eastAsia="zh-CN"/>
              </w:rPr>
              <w:t>免费</w:t>
            </w:r>
            <w:r>
              <w:rPr>
                <w:rFonts w:hint="eastAsia" w:ascii="宋体" w:hAnsi="宋体"/>
                <w:color w:val="auto"/>
                <w:sz w:val="22"/>
                <w:szCs w:val="22"/>
                <w:highlight w:val="none"/>
              </w:rPr>
              <w:t>质保期</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1年）</w:t>
            </w:r>
            <w:r>
              <w:rPr>
                <w:rFonts w:hint="eastAsia" w:ascii="宋体" w:hAnsi="宋体"/>
                <w:color w:val="auto"/>
                <w:sz w:val="22"/>
                <w:szCs w:val="22"/>
                <w:highlight w:val="none"/>
              </w:rPr>
              <w:t>每增加</w:t>
            </w:r>
            <w:r>
              <w:rPr>
                <w:rFonts w:hint="eastAsia" w:ascii="宋体" w:hAnsi="宋体"/>
                <w:color w:val="auto"/>
                <w:sz w:val="22"/>
                <w:szCs w:val="22"/>
                <w:highlight w:val="none"/>
                <w:lang w:val="en-US" w:eastAsia="zh-CN"/>
              </w:rPr>
              <w:t>一年得0.5</w:t>
            </w:r>
            <w:r>
              <w:rPr>
                <w:rFonts w:hint="eastAsia" w:ascii="宋体" w:hAnsi="宋体"/>
                <w:color w:val="auto"/>
                <w:sz w:val="22"/>
                <w:szCs w:val="22"/>
                <w:highlight w:val="none"/>
              </w:rPr>
              <w:t>分,最多</w:t>
            </w:r>
            <w:r>
              <w:rPr>
                <w:rFonts w:hint="eastAsia" w:ascii="宋体" w:hAnsi="宋体"/>
                <w:color w:val="auto"/>
                <w:sz w:val="22"/>
                <w:szCs w:val="22"/>
                <w:highlight w:val="none"/>
                <w:lang w:val="en-US" w:eastAsia="zh-CN"/>
              </w:rPr>
              <w:t>得1</w:t>
            </w:r>
            <w:r>
              <w:rPr>
                <w:rFonts w:hint="eastAsia" w:ascii="宋体" w:hAnsi="宋体"/>
                <w:color w:val="auto"/>
                <w:sz w:val="22"/>
                <w:szCs w:val="22"/>
                <w:highlight w:val="none"/>
              </w:rPr>
              <w:t>分</w:t>
            </w:r>
            <w:r>
              <w:rPr>
                <w:rFonts w:hint="eastAsia" w:ascii="宋体" w:hAnsi="宋体"/>
                <w:color w:val="auto"/>
                <w:sz w:val="22"/>
                <w:szCs w:val="22"/>
                <w:highlight w:val="none"/>
                <w:lang w:eastAsia="zh-CN"/>
              </w:rPr>
              <w:t>。</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二</w:t>
            </w:r>
          </w:p>
        </w:tc>
        <w:tc>
          <w:tcPr>
            <w:tcW w:w="8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商务、资信及其他分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12</w:t>
            </w:r>
            <w:r>
              <w:rPr>
                <w:rFonts w:hint="eastAsia" w:ascii="宋体" w:hAnsi="宋体" w:cs="宋体"/>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3"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53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履约能力</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同类业绩</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投标人2020年1月1日</w:t>
            </w:r>
            <w:r>
              <w:rPr>
                <w:rFonts w:hint="eastAsia" w:ascii="宋体" w:hAnsi="宋体" w:eastAsia="宋体" w:cs="宋体"/>
                <w:color w:val="auto"/>
                <w:sz w:val="22"/>
                <w:szCs w:val="22"/>
                <w:highlight w:val="none"/>
              </w:rPr>
              <w:t>以来类似项目</w:t>
            </w:r>
            <w:r>
              <w:rPr>
                <w:rFonts w:hint="eastAsia" w:ascii="宋体" w:hAnsi="宋体" w:eastAsia="宋体" w:cs="宋体"/>
                <w:color w:val="auto"/>
                <w:sz w:val="22"/>
                <w:szCs w:val="22"/>
                <w:highlight w:val="none"/>
                <w:lang w:val="en-US" w:eastAsia="zh-CN"/>
              </w:rPr>
              <w:t>单项合同</w:t>
            </w:r>
            <w:r>
              <w:rPr>
                <w:rFonts w:hint="eastAsia" w:ascii="宋体" w:hAnsi="宋体" w:cs="宋体"/>
                <w:color w:val="auto"/>
                <w:sz w:val="22"/>
                <w:szCs w:val="22"/>
                <w:highlight w:val="none"/>
                <w:lang w:eastAsia="zh-CN"/>
              </w:rPr>
              <w:t>不低于</w:t>
            </w:r>
            <w:r>
              <w:rPr>
                <w:rFonts w:hint="eastAsia" w:ascii="宋体" w:hAnsi="宋体" w:cs="宋体"/>
                <w:color w:val="auto"/>
                <w:sz w:val="22"/>
                <w:szCs w:val="22"/>
                <w:highlight w:val="none"/>
                <w:lang w:val="en-US" w:eastAsia="zh-CN"/>
              </w:rPr>
              <w:t>10万元的</w:t>
            </w:r>
            <w:r>
              <w:rPr>
                <w:rFonts w:hint="eastAsia" w:ascii="宋体" w:hAnsi="宋体" w:eastAsia="宋体" w:cs="宋体"/>
                <w:color w:val="auto"/>
                <w:sz w:val="22"/>
                <w:szCs w:val="22"/>
                <w:highlight w:val="none"/>
              </w:rPr>
              <w:t>业绩，每提供一个</w:t>
            </w:r>
            <w:r>
              <w:rPr>
                <w:rFonts w:hint="eastAsia" w:ascii="宋体" w:hAnsi="宋体" w:eastAsia="宋体" w:cs="宋体"/>
                <w:color w:val="auto"/>
                <w:sz w:val="22"/>
                <w:szCs w:val="22"/>
                <w:highlight w:val="none"/>
                <w:lang w:val="en-US" w:eastAsia="zh-CN"/>
              </w:rPr>
              <w:t>有效</w:t>
            </w:r>
            <w:r>
              <w:rPr>
                <w:rFonts w:hint="eastAsia" w:ascii="宋体" w:hAnsi="宋体" w:eastAsia="宋体" w:cs="宋体"/>
                <w:color w:val="auto"/>
                <w:sz w:val="22"/>
                <w:szCs w:val="22"/>
                <w:highlight w:val="none"/>
              </w:rPr>
              <w:t>业绩得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分，本项最高得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分。（证明材料以合同复印件或中标通知书复印件为准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未体现金额可提供发票等其他证明材料</w:t>
            </w:r>
            <w:r>
              <w:rPr>
                <w:rFonts w:hint="eastAsia" w:ascii="宋体" w:hAnsi="宋体" w:eastAsia="宋体" w:cs="宋体"/>
                <w:color w:val="auto"/>
                <w:sz w:val="22"/>
                <w:szCs w:val="22"/>
                <w:highlight w:val="none"/>
              </w:rPr>
              <w:t>。）</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535"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企业综合实力</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根据投标供应商提供的资格响应文件、商务技术响应文件中有关投标人技术力量、履约能力、信誉度、相关专利或著作权等方面综合评分，0-3分。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9" w:hRule="atLeast"/>
          <w:jc w:val="center"/>
        </w:trPr>
        <w:tc>
          <w:tcPr>
            <w:tcW w:w="5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tc>
        <w:tc>
          <w:tcPr>
            <w:tcW w:w="110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napToGrid w:val="0"/>
                <w:color w:val="auto"/>
                <w:kern w:val="0"/>
                <w:sz w:val="22"/>
                <w:szCs w:val="22"/>
                <w:highlight w:val="none"/>
                <w:lang w:val="en-US" w:eastAsia="zh-CN"/>
              </w:rPr>
            </w:pPr>
            <w:r>
              <w:rPr>
                <w:rFonts w:hint="eastAsia" w:ascii="宋体" w:hAnsi="宋体" w:eastAsia="宋体" w:cs="宋体"/>
                <w:color w:val="auto"/>
                <w:sz w:val="22"/>
                <w:szCs w:val="22"/>
                <w:highlight w:val="none"/>
              </w:rPr>
              <w:t>售后服务方案</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eastAsia" w:ascii="宋体" w:hAnsi="宋体" w:eastAsia="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根据投标人提供的</w:t>
            </w:r>
            <w:r>
              <w:rPr>
                <w:rFonts w:hint="eastAsia" w:ascii="宋体" w:hAnsi="宋体" w:cs="宋体"/>
                <w:bCs/>
                <w:snapToGrid w:val="0"/>
                <w:color w:val="auto"/>
                <w:kern w:val="0"/>
                <w:sz w:val="22"/>
                <w:szCs w:val="22"/>
                <w:highlight w:val="none"/>
                <w:lang w:val="en-US" w:eastAsia="zh-CN"/>
              </w:rPr>
              <w:t>售后</w:t>
            </w:r>
            <w:r>
              <w:rPr>
                <w:rFonts w:hint="eastAsia" w:ascii="宋体" w:hAnsi="宋体" w:cs="宋体"/>
                <w:bCs/>
                <w:snapToGrid w:val="0"/>
                <w:color w:val="auto"/>
                <w:kern w:val="0"/>
                <w:sz w:val="22"/>
                <w:szCs w:val="22"/>
                <w:highlight w:val="none"/>
              </w:rPr>
              <w:t>服务方案</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lang w:val="en-US" w:eastAsia="zh-CN"/>
              </w:rPr>
              <w:t>0-1</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rPr>
              <w:t>，承诺后续服务工作内容</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lang w:val="en-US" w:eastAsia="zh-CN"/>
              </w:rPr>
              <w:t>0-1</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rPr>
              <w:t>，后续服务资源安排</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lang w:val="en-US" w:eastAsia="zh-CN"/>
              </w:rPr>
              <w:t>0-1</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rPr>
              <w:t>等完整性、可行性由专家酌情打分，满分</w:t>
            </w:r>
            <w:r>
              <w:rPr>
                <w:rFonts w:hint="eastAsia" w:ascii="宋体" w:hAnsi="宋体" w:cs="宋体"/>
                <w:bCs/>
                <w:snapToGrid w:val="0"/>
                <w:color w:val="auto"/>
                <w:kern w:val="0"/>
                <w:sz w:val="22"/>
                <w:szCs w:val="22"/>
                <w:highlight w:val="none"/>
                <w:lang w:val="en-US" w:eastAsia="zh-CN"/>
              </w:rPr>
              <w:t>3</w:t>
            </w:r>
            <w:r>
              <w:rPr>
                <w:rFonts w:hint="eastAsia" w:ascii="宋体" w:hAnsi="宋体" w:cs="宋体"/>
                <w:bCs/>
                <w:snapToGrid w:val="0"/>
                <w:color w:val="auto"/>
                <w:kern w:val="0"/>
                <w:sz w:val="22"/>
                <w:szCs w:val="22"/>
                <w:highlight w:val="none"/>
              </w:rPr>
              <w:t>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5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2"/>
                <w:szCs w:val="22"/>
                <w:highlight w:val="none"/>
                <w:lang w:val="en-US" w:eastAsia="zh-CN"/>
              </w:rPr>
            </w:pPr>
          </w:p>
        </w:tc>
        <w:tc>
          <w:tcPr>
            <w:tcW w:w="5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p>
        </w:tc>
        <w:tc>
          <w:tcPr>
            <w:tcW w:w="110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center"/>
              <w:textAlignment w:val="auto"/>
              <w:rPr>
                <w:rFonts w:hint="eastAsia" w:ascii="宋体" w:hAnsi="宋体" w:eastAsia="宋体" w:cs="宋体"/>
                <w:bCs/>
                <w:snapToGrid w:val="0"/>
                <w:color w:val="auto"/>
                <w:kern w:val="0"/>
                <w:sz w:val="22"/>
                <w:szCs w:val="22"/>
                <w:highlight w:val="none"/>
                <w:lang w:val="en-US" w:eastAsia="zh-CN"/>
              </w:rPr>
            </w:pP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120" w:beforeLines="50" w:after="120" w:afterLines="50" w:line="360" w:lineRule="auto"/>
              <w:jc w:val="left"/>
              <w:textAlignment w:val="auto"/>
              <w:rPr>
                <w:rFonts w:hint="default" w:ascii="宋体" w:hAnsi="宋体" w:eastAsia="宋体" w:cs="宋体"/>
                <w:bCs/>
                <w:snapToGrid w:val="0"/>
                <w:color w:val="auto"/>
                <w:kern w:val="0"/>
                <w:sz w:val="22"/>
                <w:szCs w:val="22"/>
                <w:highlight w:val="none"/>
                <w:lang w:val="en-US" w:eastAsia="zh-CN"/>
              </w:rPr>
            </w:pPr>
            <w:r>
              <w:rPr>
                <w:rFonts w:hint="eastAsia" w:ascii="宋体" w:hAnsi="宋体" w:cs="宋体"/>
                <w:bCs/>
                <w:snapToGrid w:val="0"/>
                <w:color w:val="auto"/>
                <w:kern w:val="0"/>
                <w:sz w:val="22"/>
                <w:szCs w:val="22"/>
                <w:highlight w:val="none"/>
              </w:rPr>
              <w:t>根据对日常服务的便捷性、是否有较强的方便、快捷服务能力、服务响应及时性评价及服务条款的完善性评分</w:t>
            </w:r>
            <w:r>
              <w:rPr>
                <w:rFonts w:hint="eastAsia" w:ascii="宋体" w:hAnsi="宋体" w:cs="宋体"/>
                <w:bCs/>
                <w:snapToGrid w:val="0"/>
                <w:color w:val="auto"/>
                <w:kern w:val="0"/>
                <w:sz w:val="22"/>
                <w:szCs w:val="22"/>
                <w:highlight w:val="none"/>
                <w:lang w:eastAsia="zh-CN"/>
              </w:rPr>
              <w:t>，</w:t>
            </w:r>
            <w:r>
              <w:rPr>
                <w:rFonts w:hint="eastAsia" w:ascii="宋体" w:hAnsi="宋体" w:cs="宋体"/>
                <w:bCs/>
                <w:snapToGrid w:val="0"/>
                <w:color w:val="auto"/>
                <w:kern w:val="0"/>
                <w:sz w:val="22"/>
                <w:szCs w:val="22"/>
                <w:highlight w:val="none"/>
                <w:lang w:val="en-US" w:eastAsia="zh-CN"/>
              </w:rPr>
              <w:t>0-2分。</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napToGrid w:val="0"/>
                <w:color w:val="auto"/>
                <w:kern w:val="0"/>
                <w:sz w:val="22"/>
                <w:szCs w:val="22"/>
                <w:highlight w:val="none"/>
                <w:lang w:val="en-US" w:eastAsia="zh-CN"/>
              </w:rPr>
            </w:pPr>
            <w:r>
              <w:rPr>
                <w:rFonts w:hint="eastAsia" w:ascii="宋体" w:hAnsi="宋体" w:cs="宋体"/>
                <w:color w:val="auto"/>
                <w:sz w:val="22"/>
                <w:szCs w:val="22"/>
                <w:highlight w:val="none"/>
              </w:rPr>
              <w:t>2</w:t>
            </w:r>
          </w:p>
        </w:tc>
      </w:tr>
    </w:tbl>
    <w:p>
      <w:pPr>
        <w:pStyle w:val="2"/>
        <w:keepNext w:val="0"/>
        <w:keepLines w:val="0"/>
        <w:pageBreakBefore w:val="0"/>
        <w:widowControl w:val="0"/>
        <w:kinsoku/>
        <w:wordWrap/>
        <w:overflowPunct/>
        <w:topLinePunct w:val="0"/>
        <w:bidi w:val="0"/>
        <w:snapToGrid/>
        <w:spacing w:after="0" w:line="440" w:lineRule="atLeast"/>
        <w:ind w:firstLine="442" w:firstLineChars="200"/>
        <w:textAlignment w:val="auto"/>
        <w:rPr>
          <w:rFonts w:hint="eastAsia" w:ascii="宋体" w:hAnsi="宋体" w:eastAsia="宋体" w:cs="Wingdings"/>
          <w:b/>
          <w:bCs/>
          <w:color w:val="auto"/>
          <w:sz w:val="22"/>
          <w:szCs w:val="22"/>
          <w:highlight w:val="none"/>
        </w:rPr>
      </w:pPr>
      <w:r>
        <w:rPr>
          <w:rFonts w:hint="eastAsia" w:ascii="宋体" w:hAnsi="宋体" w:eastAsia="宋体" w:cs="Wingdings"/>
          <w:b/>
          <w:bCs/>
          <w:color w:val="auto"/>
          <w:sz w:val="22"/>
          <w:szCs w:val="22"/>
          <w:highlight w:val="none"/>
        </w:rPr>
        <w:t>注：</w:t>
      </w:r>
    </w:p>
    <w:p>
      <w:pPr>
        <w:pStyle w:val="2"/>
        <w:keepNext w:val="0"/>
        <w:keepLines w:val="0"/>
        <w:pageBreakBefore w:val="0"/>
        <w:widowControl w:val="0"/>
        <w:kinsoku/>
        <w:wordWrap/>
        <w:overflowPunct/>
        <w:topLinePunct w:val="0"/>
        <w:bidi w:val="0"/>
        <w:snapToGrid/>
        <w:spacing w:after="0" w:line="440" w:lineRule="atLeast"/>
        <w:ind w:firstLine="440" w:firstLineChars="200"/>
        <w:textAlignment w:val="auto"/>
        <w:rPr>
          <w:rFonts w:hint="eastAsia" w:ascii="宋体" w:hAnsi="宋体" w:eastAsia="宋体" w:cs="Wingdings"/>
          <w:bCs/>
          <w:color w:val="auto"/>
          <w:sz w:val="22"/>
          <w:szCs w:val="22"/>
          <w:highlight w:val="none"/>
        </w:rPr>
      </w:pPr>
      <w:r>
        <w:rPr>
          <w:rFonts w:hint="eastAsia" w:ascii="宋体" w:hAnsi="宋体" w:eastAsia="宋体" w:cs="Wingdings"/>
          <w:bCs/>
          <w:color w:val="auto"/>
          <w:sz w:val="22"/>
          <w:szCs w:val="22"/>
          <w:highlight w:val="none"/>
        </w:rPr>
        <w:t>（1）以上所需的各种证书、证件、证明、执照若系复印件，须在复印件上加盖投标人有效的公章。证书、证件、证明等原件，属备查项目，并非强制性要求。评标主要依据投标人投标文件中加盖有效公章的证书/证明文件复印件，如评标委员会对复印件有异议的，可在投标人提供原件资料里核查，若投标人未提供原件资料佐证的，则承担相应评分项不得分的风险。</w:t>
      </w:r>
    </w:p>
    <w:p>
      <w:pPr>
        <w:pStyle w:val="2"/>
        <w:keepNext w:val="0"/>
        <w:keepLines w:val="0"/>
        <w:pageBreakBefore w:val="0"/>
        <w:widowControl w:val="0"/>
        <w:kinsoku/>
        <w:wordWrap/>
        <w:overflowPunct/>
        <w:topLinePunct w:val="0"/>
        <w:bidi w:val="0"/>
        <w:snapToGrid/>
        <w:spacing w:after="0" w:line="440" w:lineRule="atLeast"/>
        <w:ind w:firstLine="440" w:firstLineChars="200"/>
        <w:textAlignment w:val="auto"/>
        <w:rPr>
          <w:rFonts w:ascii="宋体" w:hAnsi="宋体" w:eastAsia="宋体" w:cs="Wingdings"/>
          <w:bCs/>
          <w:color w:val="auto"/>
          <w:sz w:val="22"/>
          <w:szCs w:val="22"/>
          <w:highlight w:val="none"/>
        </w:rPr>
      </w:pPr>
      <w:r>
        <w:rPr>
          <w:rFonts w:hint="eastAsia" w:ascii="宋体" w:hAnsi="宋体" w:eastAsia="宋体" w:cs="Wingdings"/>
          <w:bCs/>
          <w:color w:val="auto"/>
          <w:sz w:val="22"/>
          <w:szCs w:val="22"/>
          <w:highlight w:val="none"/>
        </w:rPr>
        <w:t>（2）评标委员会、采购机构在项目评审直至合同签订、履约期间，有权要求投标人出具投标文件中的合同文本原件，予以确认其的真实性和有效性，如出现与事实不符等情况，将根据有关规定以</w:t>
      </w:r>
      <w:r>
        <w:rPr>
          <w:rFonts w:ascii="宋体" w:hAnsi="宋体" w:eastAsia="宋体" w:cs="Helvetica"/>
          <w:bCs/>
          <w:color w:val="auto"/>
          <w:sz w:val="22"/>
          <w:szCs w:val="22"/>
          <w:highlight w:val="none"/>
        </w:rPr>
        <w:t>“</w:t>
      </w:r>
      <w:r>
        <w:rPr>
          <w:rFonts w:hint="eastAsia" w:ascii="宋体" w:hAnsi="宋体" w:eastAsia="宋体" w:cs="Wingdings"/>
          <w:bCs/>
          <w:color w:val="auto"/>
          <w:sz w:val="22"/>
          <w:szCs w:val="22"/>
          <w:highlight w:val="none"/>
        </w:rPr>
        <w:t>提供虚假材料谋取中标</w:t>
      </w:r>
      <w:r>
        <w:rPr>
          <w:rFonts w:ascii="宋体" w:hAnsi="宋体" w:eastAsia="宋体" w:cs="Helvetica"/>
          <w:bCs/>
          <w:color w:val="auto"/>
          <w:sz w:val="22"/>
          <w:szCs w:val="22"/>
          <w:highlight w:val="none"/>
        </w:rPr>
        <w:t>”</w:t>
      </w:r>
      <w:r>
        <w:rPr>
          <w:rFonts w:hint="eastAsia" w:ascii="宋体" w:hAnsi="宋体" w:eastAsia="宋体" w:cs="Wingdings"/>
          <w:bCs/>
          <w:color w:val="auto"/>
          <w:sz w:val="22"/>
          <w:szCs w:val="22"/>
          <w:highlight w:val="none"/>
        </w:rPr>
        <w:t>予以处理。</w:t>
      </w:r>
    </w:p>
    <w:p>
      <w:pPr>
        <w:pStyle w:val="2"/>
        <w:keepNext w:val="0"/>
        <w:keepLines w:val="0"/>
        <w:pageBreakBefore w:val="0"/>
        <w:widowControl w:val="0"/>
        <w:kinsoku/>
        <w:wordWrap/>
        <w:overflowPunct/>
        <w:topLinePunct w:val="0"/>
        <w:bidi w:val="0"/>
        <w:snapToGrid/>
        <w:spacing w:after="0" w:line="440" w:lineRule="atLeast"/>
        <w:ind w:firstLine="440" w:firstLineChars="200"/>
        <w:textAlignment w:val="auto"/>
        <w:rPr>
          <w:rFonts w:hint="eastAsia" w:ascii="宋体" w:hAnsi="宋体" w:eastAsia="宋体" w:cs="Wingdings"/>
          <w:bCs/>
          <w:color w:val="auto"/>
          <w:sz w:val="22"/>
          <w:szCs w:val="22"/>
          <w:highlight w:val="none"/>
        </w:rPr>
      </w:pPr>
      <w:r>
        <w:rPr>
          <w:rFonts w:hint="eastAsia" w:ascii="宋体" w:hAnsi="宋体" w:eastAsia="宋体" w:cs="Wingdings"/>
          <w:bCs/>
          <w:color w:val="auto"/>
          <w:sz w:val="22"/>
          <w:szCs w:val="22"/>
          <w:highlight w:val="none"/>
        </w:rPr>
        <w:t>（</w:t>
      </w:r>
      <w:r>
        <w:rPr>
          <w:rFonts w:hint="eastAsia" w:ascii="宋体" w:hAnsi="宋体" w:eastAsia="宋体" w:cs="Wingdings"/>
          <w:bCs/>
          <w:color w:val="auto"/>
          <w:sz w:val="22"/>
          <w:szCs w:val="22"/>
          <w:highlight w:val="none"/>
          <w:lang w:val="en-US" w:eastAsia="zh-CN"/>
        </w:rPr>
        <w:t>3</w:t>
      </w:r>
      <w:r>
        <w:rPr>
          <w:rFonts w:hint="eastAsia" w:ascii="宋体" w:hAnsi="宋体" w:eastAsia="宋体" w:cs="Wingdings"/>
          <w:bCs/>
          <w:color w:val="auto"/>
          <w:sz w:val="22"/>
          <w:szCs w:val="22"/>
          <w:highlight w:val="none"/>
        </w:rPr>
        <w:t>）以上评分保留小数1位（四舍五入）。</w:t>
      </w:r>
    </w:p>
    <w:p>
      <w:pPr>
        <w:pStyle w:val="2"/>
        <w:keepNext w:val="0"/>
        <w:keepLines w:val="0"/>
        <w:pageBreakBefore w:val="0"/>
        <w:widowControl w:val="0"/>
        <w:kinsoku/>
        <w:wordWrap/>
        <w:overflowPunct/>
        <w:topLinePunct w:val="0"/>
        <w:bidi w:val="0"/>
        <w:snapToGrid/>
        <w:spacing w:after="0" w:line="440" w:lineRule="atLeast"/>
        <w:ind w:firstLine="440" w:firstLineChars="200"/>
        <w:textAlignment w:val="auto"/>
        <w:rPr>
          <w:rFonts w:hint="eastAsia" w:ascii="宋体" w:hAnsi="宋体" w:eastAsia="宋体" w:cs="Wingdings"/>
          <w:bCs/>
          <w:color w:val="auto"/>
          <w:sz w:val="22"/>
          <w:szCs w:val="22"/>
          <w:highlight w:val="none"/>
        </w:rPr>
      </w:pPr>
      <w:r>
        <w:rPr>
          <w:rFonts w:hint="eastAsia" w:ascii="宋体" w:hAnsi="宋体" w:eastAsia="宋体" w:cs="Wingdings"/>
          <w:bCs/>
          <w:color w:val="auto"/>
          <w:sz w:val="22"/>
          <w:szCs w:val="22"/>
          <w:highlight w:val="none"/>
        </w:rPr>
        <w:t>（</w:t>
      </w:r>
      <w:r>
        <w:rPr>
          <w:rFonts w:hint="eastAsia" w:ascii="宋体" w:hAnsi="宋体" w:eastAsia="宋体" w:cs="Wingdings"/>
          <w:bCs/>
          <w:color w:val="auto"/>
          <w:sz w:val="22"/>
          <w:szCs w:val="22"/>
          <w:highlight w:val="none"/>
          <w:lang w:val="en-US" w:eastAsia="zh-CN"/>
        </w:rPr>
        <w:t>4</w:t>
      </w:r>
      <w:r>
        <w:rPr>
          <w:rFonts w:hint="eastAsia" w:ascii="宋体" w:hAnsi="宋体" w:eastAsia="宋体" w:cs="Wingdings"/>
          <w:bCs/>
          <w:color w:val="auto"/>
          <w:sz w:val="22"/>
          <w:szCs w:val="22"/>
          <w:highlight w:val="none"/>
        </w:rPr>
        <w:t>）投标文件未提供评分项目内容的，该项按零分处理，且不受最低分值限制。</w:t>
      </w:r>
    </w:p>
    <w:p>
      <w:pPr>
        <w:keepNext w:val="0"/>
        <w:keepLines w:val="0"/>
        <w:pageBreakBefore w:val="0"/>
        <w:widowControl w:val="0"/>
        <w:numPr>
          <w:ilvl w:val="0"/>
          <w:numId w:val="27"/>
        </w:numPr>
        <w:kinsoku/>
        <w:wordWrap/>
        <w:overflowPunct/>
        <w:topLinePunct w:val="0"/>
        <w:bidi w:val="0"/>
        <w:snapToGrid/>
        <w:spacing w:line="440" w:lineRule="atLeast"/>
        <w:ind w:firstLine="0"/>
        <w:textAlignment w:val="auto"/>
        <w:rPr>
          <w:rFonts w:ascii="宋体" w:hAnsi="宋体" w:cs="楷体"/>
          <w:b/>
          <w:bCs/>
          <w:color w:val="auto"/>
          <w:sz w:val="22"/>
          <w:szCs w:val="22"/>
          <w:highlight w:val="none"/>
        </w:rPr>
      </w:pPr>
      <w:r>
        <w:rPr>
          <w:rFonts w:hint="eastAsia" w:ascii="宋体" w:hAnsi="宋体" w:cs="楷体"/>
          <w:color w:val="auto"/>
          <w:sz w:val="22"/>
          <w:szCs w:val="22"/>
          <w:highlight w:val="none"/>
        </w:rPr>
        <w:tab/>
      </w:r>
      <w:r>
        <w:rPr>
          <w:rFonts w:hint="eastAsia" w:ascii="宋体" w:hAnsi="宋体" w:cs="楷体"/>
          <w:b/>
          <w:bCs/>
          <w:color w:val="auto"/>
          <w:sz w:val="22"/>
          <w:szCs w:val="22"/>
          <w:highlight w:val="none"/>
        </w:rPr>
        <w:t>商务评分（</w:t>
      </w:r>
      <w:r>
        <w:rPr>
          <w:rFonts w:hint="eastAsia" w:ascii="宋体" w:hAnsi="宋体" w:cs="楷体"/>
          <w:b/>
          <w:bCs/>
          <w:color w:val="auto"/>
          <w:sz w:val="22"/>
          <w:szCs w:val="22"/>
          <w:highlight w:val="none"/>
          <w:lang w:val="en-US" w:eastAsia="zh-CN"/>
        </w:rPr>
        <w:t>6</w:t>
      </w:r>
      <w:r>
        <w:rPr>
          <w:rFonts w:hint="eastAsia" w:ascii="宋体" w:hAnsi="宋体" w:cs="楷体"/>
          <w:b/>
          <w:bCs/>
          <w:color w:val="auto"/>
          <w:sz w:val="22"/>
          <w:szCs w:val="22"/>
          <w:highlight w:val="none"/>
        </w:rPr>
        <w:t>0分）：</w:t>
      </w:r>
    </w:p>
    <w:p>
      <w:pPr>
        <w:keepNext w:val="0"/>
        <w:keepLines w:val="0"/>
        <w:pageBreakBefore w:val="0"/>
        <w:widowControl w:val="0"/>
        <w:kinsoku/>
        <w:wordWrap/>
        <w:overflowPunct/>
        <w:topLinePunct w:val="0"/>
        <w:bidi w:val="0"/>
        <w:snapToGrid/>
        <w:spacing w:line="440" w:lineRule="atLeast"/>
        <w:ind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u w:val="single"/>
          <w:lang w:val="en-US" w:eastAsia="zh-CN"/>
        </w:rPr>
        <w:t>技术资信分值达到24分及以上的供应商进入商务报价评审，其他供应商不进入商务报价评审。</w:t>
      </w:r>
    </w:p>
    <w:p>
      <w:pPr>
        <w:keepNext w:val="0"/>
        <w:keepLines w:val="0"/>
        <w:pageBreakBefore w:val="0"/>
        <w:widowControl w:val="0"/>
        <w:kinsoku/>
        <w:wordWrap/>
        <w:overflowPunct/>
        <w:topLinePunct w:val="0"/>
        <w:bidi w:val="0"/>
        <w:snapToGrid/>
        <w:spacing w:line="44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满足采购文件要求且投标报价</w:t>
      </w:r>
      <w:r>
        <w:rPr>
          <w:rFonts w:hint="eastAsia" w:ascii="宋体" w:hAnsi="宋体" w:cs="宋体"/>
          <w:b/>
          <w:bCs/>
          <w:color w:val="auto"/>
          <w:sz w:val="22"/>
          <w:szCs w:val="22"/>
          <w:highlight w:val="none"/>
          <w:u w:val="single"/>
          <w:lang w:val="en-US" w:eastAsia="zh-CN"/>
        </w:rPr>
        <w:t>最低价</w:t>
      </w:r>
      <w:r>
        <w:rPr>
          <w:rFonts w:hint="eastAsia" w:ascii="宋体" w:hAnsi="宋体" w:cs="宋体"/>
          <w:color w:val="auto"/>
          <w:sz w:val="22"/>
          <w:szCs w:val="22"/>
          <w:highlight w:val="none"/>
        </w:rPr>
        <w:t>的投标报价为评标基准价，其余投标供应商投标报价与该基准价对比，计算出商务报价评分值（小数点后按四舍五入保留2位）：</w:t>
      </w:r>
    </w:p>
    <w:p>
      <w:pPr>
        <w:keepNext w:val="0"/>
        <w:keepLines w:val="0"/>
        <w:pageBreakBefore w:val="0"/>
        <w:widowControl w:val="0"/>
        <w:kinsoku/>
        <w:wordWrap/>
        <w:overflowPunct/>
        <w:topLinePunct w:val="0"/>
        <w:bidi w:val="0"/>
        <w:snapToGrid/>
        <w:spacing w:line="44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有效投标供应商的投标报价等于评标基准价时其报价分为满分</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0分；</w:t>
      </w:r>
    </w:p>
    <w:p>
      <w:pPr>
        <w:keepNext w:val="0"/>
        <w:keepLines w:val="0"/>
        <w:pageBreakBefore w:val="0"/>
        <w:widowControl w:val="0"/>
        <w:kinsoku/>
        <w:wordWrap/>
        <w:overflowPunct/>
        <w:topLinePunct w:val="0"/>
        <w:bidi w:val="0"/>
        <w:snapToGrid/>
        <w:spacing w:line="44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其他投标供应商的价格分按以下公式计算：</w:t>
      </w:r>
    </w:p>
    <w:p>
      <w:pPr>
        <w:keepNext w:val="0"/>
        <w:keepLines w:val="0"/>
        <w:pageBreakBefore w:val="0"/>
        <w:widowControl w:val="0"/>
        <w:kinsoku/>
        <w:wordWrap/>
        <w:overflowPunct/>
        <w:topLinePunct w:val="0"/>
        <w:bidi w:val="0"/>
        <w:snapToGrid/>
        <w:spacing w:line="44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投标报价得分=（评分基准价/投标供应商投标报价）×</w:t>
      </w:r>
      <w:r>
        <w:rPr>
          <w:rFonts w:hint="eastAsia" w:ascii="宋体" w:hAnsi="宋体" w:cs="宋体"/>
          <w:color w:val="auto"/>
          <w:sz w:val="22"/>
          <w:szCs w:val="22"/>
          <w:highlight w:val="none"/>
          <w:lang w:val="en-US" w:eastAsia="zh-CN"/>
        </w:rPr>
        <w:t>60%</w:t>
      </w:r>
      <w:r>
        <w:rPr>
          <w:rFonts w:hint="eastAsia" w:ascii="宋体" w:hAnsi="宋体" w:cs="宋体"/>
          <w:color w:val="auto"/>
          <w:sz w:val="22"/>
          <w:szCs w:val="22"/>
          <w:highlight w:val="none"/>
        </w:rPr>
        <w:t>×100（保留小数2位）</w:t>
      </w:r>
    </w:p>
    <w:p>
      <w:pPr>
        <w:keepNext w:val="0"/>
        <w:keepLines w:val="0"/>
        <w:pageBreakBefore w:val="0"/>
        <w:widowControl w:val="0"/>
        <w:kinsoku/>
        <w:wordWrap/>
        <w:overflowPunct/>
        <w:topLinePunct w:val="0"/>
        <w:bidi w:val="0"/>
        <w:snapToGrid/>
        <w:spacing w:line="440" w:lineRule="atLeast"/>
        <w:textAlignment w:val="auto"/>
        <w:rPr>
          <w:rFonts w:hint="eastAsia" w:ascii="宋体" w:hAnsi="宋体" w:cs="楷体"/>
          <w:b/>
          <w:bCs/>
          <w:color w:val="auto"/>
          <w:sz w:val="22"/>
          <w:szCs w:val="22"/>
          <w:highlight w:val="none"/>
        </w:rPr>
      </w:pPr>
      <w:r>
        <w:rPr>
          <w:rFonts w:hint="eastAsia" w:ascii="宋体" w:hAnsi="宋体" w:cs="楷体"/>
          <w:b/>
          <w:bCs/>
          <w:color w:val="auto"/>
          <w:sz w:val="22"/>
          <w:szCs w:val="22"/>
          <w:highlight w:val="none"/>
        </w:rPr>
        <w:t>3.有效投标供应商的综合得分为技术资信分和商务（报价）分的总和。</w:t>
      </w:r>
    </w:p>
    <w:p>
      <w:pPr>
        <w:rPr>
          <w:rFonts w:ascii="宋体" w:hAnsi="宋体" w:cs="楷体"/>
          <w:color w:val="auto"/>
          <w:sz w:val="22"/>
          <w:szCs w:val="22"/>
          <w:highlight w:val="none"/>
        </w:rPr>
      </w:pPr>
    </w:p>
    <w:sectPr>
      <w:footerReference r:id="rId6"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Vijaya">
    <w:altName w:val="Segoe Print"/>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yriad Pro">
    <w:altName w:val="Courier New"/>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楷体">
    <w:altName w:val="宋体"/>
    <w:panose1 w:val="00000000000000000000"/>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0"/>
      </w:pBdr>
      <w:jc w:val="right"/>
    </w:pPr>
    <w:r>
      <w:rPr>
        <w:rFonts w:hint="eastAsia" w:eastAsia="Wingdings"/>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1038"/>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pPr>
                            <w:pStyle w:val="37"/>
                            <w:rPr>
                              <w:rFonts w:eastAsia="Wingdings"/>
                            </w:rPr>
                          </w:pPr>
                          <w:r>
                            <w:fldChar w:fldCharType="begin"/>
                          </w:r>
                          <w:r>
                            <w:instrText xml:space="preserve"> PAGE  \* MERGEFORMAT </w:instrText>
                          </w:r>
                          <w:r>
                            <w:fldChar w:fldCharType="separate"/>
                          </w:r>
                          <w:r>
                            <w:t>48</w:t>
                          </w:r>
                          <w:r>
                            <w:fldChar w:fldCharType="end"/>
                          </w:r>
                        </w:p>
                      </w:txbxContent>
                    </wps:txbx>
                    <wps:bodyPr rot="0" vert="horz" wrap="square" lIns="0" tIns="0" rIns="0" bIns="0" anchor="t" anchorCtr="0" upright="1">
                      <a:spAutoFit/>
                    </wps:bodyPr>
                  </wps:wsp>
                </a:graphicData>
              </a:graphic>
            </wp:anchor>
          </w:drawing>
        </mc:Choice>
        <mc:Fallback>
          <w:pict>
            <v:shape id="文本框 1038"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3IowdUAAAAHAQAADwAAAAAAAAAB&#10;ACAAAAAiAAAAZHJzL2Rvd25yZXYueG1sUEsBAhQAFAAAAAgAh07iQFUYuWkTAgAAFQQAAA4AAAAA&#10;AAAAAQAgAAAAJAEAAGRycy9lMm9Eb2MueG1sUEsFBgAAAAAGAAYAWQEAAKkFAAAAAA==&#10;">
              <v:fill on="f" focussize="0,0"/>
              <v:stroke on="f"/>
              <v:imagedata o:title=""/>
              <o:lock v:ext="edit" aspectratio="f"/>
              <v:textbox inset="0mm,0mm,0mm,0mm" style="mso-fit-shape-to-text:t;">
                <w:txbxContent>
                  <w:p>
                    <w:pPr>
                      <w:pStyle w:val="37"/>
                      <w:rPr>
                        <w:rFonts w:eastAsia="Wingdings"/>
                      </w:rPr>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eastAsia="Wingdings"/>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eastAsia="Wingdings"/>
      </w:rPr>
    </w:pPr>
    <w:r>
      <w:rPr>
        <w:rFonts w:hint="eastAsia" w:eastAsia="Wingdings"/>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F4481C30"/>
    <w:multiLevelType w:val="singleLevel"/>
    <w:tmpl w:val="F4481C30"/>
    <w:lvl w:ilvl="0" w:tentative="0">
      <w:start w:val="1"/>
      <w:numFmt w:val="decimal"/>
      <w:suff w:val="space"/>
      <w:lvlText w:val="%1)"/>
      <w:lvlJc w:val="left"/>
    </w:lvl>
  </w:abstractNum>
  <w:abstractNum w:abstractNumId="4">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 w:hAnsi="Cambria" w:eastAsia="楷体" w:cs="Cambr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22"/>
    <w:multiLevelType w:val="multilevel"/>
    <w:tmpl w:val="00000022"/>
    <w:lvl w:ilvl="0" w:tentative="0">
      <w:start w:val="1"/>
      <w:numFmt w:val="decimal"/>
      <w:lvlText w:val="%1."/>
      <w:lvlJc w:val="left"/>
      <w:pPr>
        <w:tabs>
          <w:tab w:val="left" w:pos="420"/>
        </w:tabs>
        <w:ind w:left="420" w:hanging="420"/>
      </w:pPr>
      <w:rPr>
        <w:rFonts w:hint="eastAsia" w:ascii="楷体" w:hAnsi="等线" w:eastAsia="楷体" w:cs="宋体,Verdana,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0.%2"/>
      <w:lvlJc w:val="left"/>
      <w:pPr>
        <w:tabs>
          <w:tab w:val="left" w:pos="992"/>
        </w:tabs>
        <w:ind w:left="992" w:hanging="567"/>
      </w:pPr>
      <w:rPr>
        <w:rFonts w:hint="eastAsia" w:ascii="楷体" w:eastAsia="楷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32"/>
    <w:multiLevelType w:val="multilevel"/>
    <w:tmpl w:val="00000032"/>
    <w:lvl w:ilvl="0" w:tentative="0">
      <w:start w:val="19"/>
      <w:numFmt w:val="decimal"/>
      <w:lvlText w:val="%1."/>
      <w:lvlJc w:val="left"/>
      <w:pPr>
        <w:tabs>
          <w:tab w:val="left" w:pos="420"/>
        </w:tabs>
        <w:ind w:left="420" w:hanging="420"/>
      </w:pPr>
      <w:rPr>
        <w:rFonts w:hint="eastAsia" w:ascii="楷体" w:hAnsi="等线" w:eastAsia="楷体" w:cs="宋体,Verdana,Arial"/>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0000039"/>
    <w:multiLevelType w:val="multilevel"/>
    <w:tmpl w:val="00000039"/>
    <w:lvl w:ilvl="0" w:tentative="0">
      <w:start w:val="1"/>
      <w:numFmt w:val="decimal"/>
      <w:lvlText w:val="（%1）"/>
      <w:lvlJc w:val="left"/>
      <w:pPr>
        <w:tabs>
          <w:tab w:val="left" w:pos="420"/>
        </w:tabs>
        <w:ind w:left="420" w:hanging="420"/>
      </w:pPr>
      <w:rPr>
        <w:rFonts w:hint="eastAsia" w:ascii="楷体" w:eastAsia="楷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3A"/>
    <w:multiLevelType w:val="multilevel"/>
    <w:tmpl w:val="0000003A"/>
    <w:lvl w:ilvl="0" w:tentative="0">
      <w:start w:val="5"/>
      <w:numFmt w:val="decimal"/>
      <w:lvlText w:val="%1."/>
      <w:lvlJc w:val="left"/>
      <w:pPr>
        <w:tabs>
          <w:tab w:val="left" w:pos="420"/>
        </w:tabs>
        <w:ind w:left="420" w:hanging="420"/>
      </w:pPr>
      <w:rPr>
        <w:rFonts w:hint="eastAsia" w:ascii="楷体" w:hAnsi="等线" w:eastAsia="楷体" w:cs="宋体,Verdana,Arial"/>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0">
    <w:nsid w:val="00000041"/>
    <w:multiLevelType w:val="multilevel"/>
    <w:tmpl w:val="00000041"/>
    <w:lvl w:ilvl="0" w:tentative="0">
      <w:start w:val="1"/>
      <w:numFmt w:val="decimal"/>
      <w:lvlText w:val="%1)"/>
      <w:lvlJc w:val="left"/>
      <w:pPr>
        <w:tabs>
          <w:tab w:val="left" w:pos="780"/>
        </w:tabs>
        <w:ind w:left="780" w:hanging="420"/>
      </w:pPr>
      <w:rPr>
        <w:rFonts w:hint="eastAsia" w:ascii="楷体" w:hAnsi="等线" w:eastAsia="楷体" w:cs="等线"/>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4A"/>
    <w:multiLevelType w:val="multilevel"/>
    <w:tmpl w:val="0000004A"/>
    <w:lvl w:ilvl="0" w:tentative="0">
      <w:start w:val="16"/>
      <w:numFmt w:val="decimal"/>
      <w:lvlText w:val="%1."/>
      <w:lvlJc w:val="left"/>
      <w:pPr>
        <w:tabs>
          <w:tab w:val="left" w:pos="420"/>
        </w:tabs>
        <w:ind w:left="420" w:hanging="420"/>
      </w:pPr>
      <w:rPr>
        <w:rFonts w:hint="eastAsia" w:ascii="楷体" w:hAnsi="等线" w:eastAsia="楷体" w:cs="宋体,Verdana,Arial"/>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420"/>
        </w:tabs>
        <w:ind w:left="420" w:hanging="420"/>
      </w:pPr>
      <w:rPr>
        <w:rFonts w:hint="eastAsia" w:ascii="楷体" w:hAnsi="等线" w:eastAsia="楷体" w:cs="宋体,Verdana,Arial"/>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4">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1EF31958"/>
    <w:multiLevelType w:val="multilevel"/>
    <w:tmpl w:val="1EF319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BC43DF"/>
    <w:multiLevelType w:val="multilevel"/>
    <w:tmpl w:val="25BC43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9671BE9"/>
    <w:multiLevelType w:val="multilevel"/>
    <w:tmpl w:val="29671BE9"/>
    <w:lvl w:ilvl="0" w:tentative="0">
      <w:start w:val="1"/>
      <w:numFmt w:val="decimal"/>
      <w:lvlText w:val="%1."/>
      <w:lvlJc w:val="left"/>
      <w:pPr>
        <w:ind w:left="420" w:hanging="420"/>
      </w:pPr>
    </w:lvl>
    <w:lvl w:ilvl="1" w:tentative="0">
      <w:start w:val="1"/>
      <w:numFmt w:val="decimal"/>
      <w:pStyle w:val="54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380FA00"/>
    <w:multiLevelType w:val="singleLevel"/>
    <w:tmpl w:val="3380FA00"/>
    <w:lvl w:ilvl="0" w:tentative="0">
      <w:start w:val="1"/>
      <w:numFmt w:val="decimal"/>
      <w:suff w:val="nothing"/>
      <w:lvlText w:val="%1）"/>
      <w:lvlJc w:val="left"/>
    </w:lvl>
  </w:abstractNum>
  <w:abstractNum w:abstractNumId="19">
    <w:nsid w:val="44CB52C8"/>
    <w:multiLevelType w:val="multilevel"/>
    <w:tmpl w:val="44CB52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CE6A3D4"/>
    <w:multiLevelType w:val="singleLevel"/>
    <w:tmpl w:val="4CE6A3D4"/>
    <w:lvl w:ilvl="0" w:tentative="0">
      <w:start w:val="1"/>
      <w:numFmt w:val="decimal"/>
      <w:suff w:val="nothing"/>
      <w:lvlText w:val="%1．"/>
      <w:lvlJc w:val="left"/>
      <w:pPr>
        <w:ind w:left="0" w:firstLine="400"/>
      </w:pPr>
      <w:rPr>
        <w:rFonts w:hint="default"/>
      </w:rPr>
    </w:lvl>
  </w:abstractNum>
  <w:abstractNum w:abstractNumId="21">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2">
    <w:nsid w:val="61C0C9A9"/>
    <w:multiLevelType w:val="singleLevel"/>
    <w:tmpl w:val="61C0C9A9"/>
    <w:lvl w:ilvl="0" w:tentative="0">
      <w:start w:val="1"/>
      <w:numFmt w:val="decimal"/>
      <w:suff w:val="nothing"/>
      <w:lvlText w:val="%1．"/>
      <w:lvlJc w:val="left"/>
      <w:pPr>
        <w:ind w:left="0" w:firstLine="400"/>
      </w:pPr>
      <w:rPr>
        <w:rFonts w:hint="default"/>
      </w:rPr>
    </w:lvl>
  </w:abstractNum>
  <w:abstractNum w:abstractNumId="23">
    <w:nsid w:val="61D60FE4"/>
    <w:multiLevelType w:val="multilevel"/>
    <w:tmpl w:val="61D60F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B1694D"/>
    <w:multiLevelType w:val="multilevel"/>
    <w:tmpl w:val="75B1694D"/>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41CACD"/>
    <w:multiLevelType w:val="singleLevel"/>
    <w:tmpl w:val="7641CACD"/>
    <w:lvl w:ilvl="0" w:tentative="0">
      <w:start w:val="2"/>
      <w:numFmt w:val="decimal"/>
      <w:suff w:val="nothing"/>
      <w:lvlText w:val="（%1）"/>
      <w:lvlJc w:val="left"/>
      <w:rPr>
        <w:b/>
      </w:rPr>
    </w:lvl>
  </w:abstractNum>
  <w:abstractNum w:abstractNumId="26">
    <w:nsid w:val="7B9B3A13"/>
    <w:multiLevelType w:val="singleLevel"/>
    <w:tmpl w:val="7B9B3A13"/>
    <w:lvl w:ilvl="0" w:tentative="0">
      <w:start w:val="1"/>
      <w:numFmt w:val="decimalEnclosedCircleChinese"/>
      <w:suff w:val="nothing"/>
      <w:lvlText w:val="%1　"/>
      <w:lvlJc w:val="left"/>
      <w:pPr>
        <w:ind w:left="20" w:firstLine="400"/>
      </w:pPr>
      <w:rPr>
        <w:rFonts w:hint="eastAsia"/>
      </w:rPr>
    </w:lvl>
  </w:abstractNum>
  <w:num w:numId="1">
    <w:abstractNumId w:val="17"/>
  </w:num>
  <w:num w:numId="2">
    <w:abstractNumId w:val="20"/>
    <w:lvlOverride w:ilvl="0">
      <w:startOverride w:val="1"/>
    </w:lvlOverride>
  </w:num>
  <w:num w:numId="3">
    <w:abstractNumId w:val="5"/>
  </w:num>
  <w:num w:numId="4">
    <w:abstractNumId w:val="9"/>
  </w:num>
  <w:num w:numId="5">
    <w:abstractNumId w:val="12"/>
  </w:num>
  <w:num w:numId="6">
    <w:abstractNumId w:val="6"/>
  </w:num>
  <w:num w:numId="7">
    <w:abstractNumId w:val="26"/>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0"/>
  </w:num>
  <w:num w:numId="11">
    <w:abstractNumId w:val="13"/>
  </w:num>
  <w:num w:numId="12">
    <w:abstractNumId w:val="8"/>
  </w:num>
  <w:num w:numId="13">
    <w:abstractNumId w:val="4"/>
  </w:num>
  <w:num w:numId="14">
    <w:abstractNumId w:val="11"/>
  </w:num>
  <w:num w:numId="15">
    <w:abstractNumId w:val="21"/>
  </w:num>
  <w:num w:numId="16">
    <w:abstractNumId w:val="7"/>
  </w:num>
  <w:num w:numId="17">
    <w:abstractNumId w:val="18"/>
  </w:num>
  <w:num w:numId="18">
    <w:abstractNumId w:val="3"/>
  </w:num>
  <w:num w:numId="19">
    <w:abstractNumId w:val="24"/>
  </w:num>
  <w:num w:numId="20">
    <w:abstractNumId w:val="16"/>
  </w:num>
  <w:num w:numId="21">
    <w:abstractNumId w:val="15"/>
  </w:num>
  <w:num w:numId="22">
    <w:abstractNumId w:val="23"/>
  </w:num>
  <w:num w:numId="23">
    <w:abstractNumId w:val="19"/>
  </w:num>
  <w:num w:numId="24">
    <w:abstractNumId w:val="2"/>
  </w:num>
  <w:num w:numId="25">
    <w:abstractNumId w:val="0"/>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00D98"/>
    <w:rsid w:val="0000395B"/>
    <w:rsid w:val="00004A8E"/>
    <w:rsid w:val="00004BA9"/>
    <w:rsid w:val="00005264"/>
    <w:rsid w:val="00007558"/>
    <w:rsid w:val="000075D3"/>
    <w:rsid w:val="00007DF4"/>
    <w:rsid w:val="00010D8E"/>
    <w:rsid w:val="0001162D"/>
    <w:rsid w:val="00013716"/>
    <w:rsid w:val="00013EA1"/>
    <w:rsid w:val="0002016E"/>
    <w:rsid w:val="000212FD"/>
    <w:rsid w:val="00022194"/>
    <w:rsid w:val="00022992"/>
    <w:rsid w:val="000230B3"/>
    <w:rsid w:val="000241CE"/>
    <w:rsid w:val="0002493E"/>
    <w:rsid w:val="00025C19"/>
    <w:rsid w:val="00027531"/>
    <w:rsid w:val="00032CFB"/>
    <w:rsid w:val="00032EDE"/>
    <w:rsid w:val="000330E1"/>
    <w:rsid w:val="000341D6"/>
    <w:rsid w:val="00035160"/>
    <w:rsid w:val="00036A04"/>
    <w:rsid w:val="00037185"/>
    <w:rsid w:val="0004281F"/>
    <w:rsid w:val="00042916"/>
    <w:rsid w:val="00044701"/>
    <w:rsid w:val="0004641C"/>
    <w:rsid w:val="000516DF"/>
    <w:rsid w:val="000532C4"/>
    <w:rsid w:val="00054DC2"/>
    <w:rsid w:val="000552DE"/>
    <w:rsid w:val="0005672E"/>
    <w:rsid w:val="0005693B"/>
    <w:rsid w:val="00060D44"/>
    <w:rsid w:val="0006159C"/>
    <w:rsid w:val="00062472"/>
    <w:rsid w:val="000626D6"/>
    <w:rsid w:val="000629A0"/>
    <w:rsid w:val="000668D3"/>
    <w:rsid w:val="0007098A"/>
    <w:rsid w:val="00071314"/>
    <w:rsid w:val="0007175A"/>
    <w:rsid w:val="000727D3"/>
    <w:rsid w:val="00075995"/>
    <w:rsid w:val="000763B7"/>
    <w:rsid w:val="00084717"/>
    <w:rsid w:val="00085C13"/>
    <w:rsid w:val="00091B11"/>
    <w:rsid w:val="00092BF7"/>
    <w:rsid w:val="0009624F"/>
    <w:rsid w:val="00096825"/>
    <w:rsid w:val="0009697F"/>
    <w:rsid w:val="000A5DE2"/>
    <w:rsid w:val="000A760E"/>
    <w:rsid w:val="000A7B06"/>
    <w:rsid w:val="000B00F5"/>
    <w:rsid w:val="000B0B46"/>
    <w:rsid w:val="000B43CB"/>
    <w:rsid w:val="000B46E1"/>
    <w:rsid w:val="000B6AA2"/>
    <w:rsid w:val="000B6DE3"/>
    <w:rsid w:val="000B7800"/>
    <w:rsid w:val="000C07A5"/>
    <w:rsid w:val="000C0F1F"/>
    <w:rsid w:val="000C2BB6"/>
    <w:rsid w:val="000C311D"/>
    <w:rsid w:val="000D2914"/>
    <w:rsid w:val="000D2A57"/>
    <w:rsid w:val="000D2D30"/>
    <w:rsid w:val="000D2E6B"/>
    <w:rsid w:val="000D5B01"/>
    <w:rsid w:val="000D6CBA"/>
    <w:rsid w:val="000D6F31"/>
    <w:rsid w:val="000E0884"/>
    <w:rsid w:val="000E14BB"/>
    <w:rsid w:val="000E2F5C"/>
    <w:rsid w:val="000E2FE1"/>
    <w:rsid w:val="000E4D08"/>
    <w:rsid w:val="000E650B"/>
    <w:rsid w:val="000E7062"/>
    <w:rsid w:val="000E7664"/>
    <w:rsid w:val="000F1F45"/>
    <w:rsid w:val="000F6A81"/>
    <w:rsid w:val="000F7E08"/>
    <w:rsid w:val="001000E7"/>
    <w:rsid w:val="001048D3"/>
    <w:rsid w:val="00104C93"/>
    <w:rsid w:val="00104F3D"/>
    <w:rsid w:val="00107CAE"/>
    <w:rsid w:val="00110C86"/>
    <w:rsid w:val="00113736"/>
    <w:rsid w:val="00116739"/>
    <w:rsid w:val="00116768"/>
    <w:rsid w:val="00117D20"/>
    <w:rsid w:val="00117EED"/>
    <w:rsid w:val="00122128"/>
    <w:rsid w:val="00122341"/>
    <w:rsid w:val="001231D3"/>
    <w:rsid w:val="001235F2"/>
    <w:rsid w:val="00123D71"/>
    <w:rsid w:val="001273CD"/>
    <w:rsid w:val="001277AA"/>
    <w:rsid w:val="0013198C"/>
    <w:rsid w:val="00132BD7"/>
    <w:rsid w:val="001354B8"/>
    <w:rsid w:val="001369D0"/>
    <w:rsid w:val="00141ECB"/>
    <w:rsid w:val="00143BD2"/>
    <w:rsid w:val="00145509"/>
    <w:rsid w:val="00145958"/>
    <w:rsid w:val="0015652E"/>
    <w:rsid w:val="00156B93"/>
    <w:rsid w:val="00156CEF"/>
    <w:rsid w:val="001604E9"/>
    <w:rsid w:val="00161700"/>
    <w:rsid w:val="00162020"/>
    <w:rsid w:val="001626B8"/>
    <w:rsid w:val="0016457B"/>
    <w:rsid w:val="0016538D"/>
    <w:rsid w:val="001653FF"/>
    <w:rsid w:val="00165657"/>
    <w:rsid w:val="00167CBF"/>
    <w:rsid w:val="0017191E"/>
    <w:rsid w:val="00172A27"/>
    <w:rsid w:val="00174D85"/>
    <w:rsid w:val="001755F4"/>
    <w:rsid w:val="00176C40"/>
    <w:rsid w:val="0017758A"/>
    <w:rsid w:val="00177B57"/>
    <w:rsid w:val="00177BF4"/>
    <w:rsid w:val="0018016F"/>
    <w:rsid w:val="00181850"/>
    <w:rsid w:val="00181FF6"/>
    <w:rsid w:val="001822A8"/>
    <w:rsid w:val="00183262"/>
    <w:rsid w:val="00185B0C"/>
    <w:rsid w:val="00186BF0"/>
    <w:rsid w:val="001875D9"/>
    <w:rsid w:val="00187E88"/>
    <w:rsid w:val="00187FF8"/>
    <w:rsid w:val="00192A0E"/>
    <w:rsid w:val="00196559"/>
    <w:rsid w:val="001965E4"/>
    <w:rsid w:val="001A477C"/>
    <w:rsid w:val="001A5F4E"/>
    <w:rsid w:val="001A63A9"/>
    <w:rsid w:val="001B1E0C"/>
    <w:rsid w:val="001B1FF0"/>
    <w:rsid w:val="001B220C"/>
    <w:rsid w:val="001B6743"/>
    <w:rsid w:val="001C062A"/>
    <w:rsid w:val="001C0D5D"/>
    <w:rsid w:val="001C47B4"/>
    <w:rsid w:val="001C6AFE"/>
    <w:rsid w:val="001D0088"/>
    <w:rsid w:val="001D10AB"/>
    <w:rsid w:val="001D1284"/>
    <w:rsid w:val="001D5E9A"/>
    <w:rsid w:val="001D671E"/>
    <w:rsid w:val="001D7B97"/>
    <w:rsid w:val="001E12B6"/>
    <w:rsid w:val="001E2160"/>
    <w:rsid w:val="001E30AC"/>
    <w:rsid w:val="001E6FB2"/>
    <w:rsid w:val="001E73F2"/>
    <w:rsid w:val="001E797C"/>
    <w:rsid w:val="001F2110"/>
    <w:rsid w:val="001F3753"/>
    <w:rsid w:val="001F5F7E"/>
    <w:rsid w:val="001F70D2"/>
    <w:rsid w:val="001F7700"/>
    <w:rsid w:val="00201817"/>
    <w:rsid w:val="002076BC"/>
    <w:rsid w:val="00211EDD"/>
    <w:rsid w:val="00213EDF"/>
    <w:rsid w:val="00216E47"/>
    <w:rsid w:val="0022083F"/>
    <w:rsid w:val="00222481"/>
    <w:rsid w:val="00222E70"/>
    <w:rsid w:val="00223D05"/>
    <w:rsid w:val="00227B69"/>
    <w:rsid w:val="00227BB9"/>
    <w:rsid w:val="00227F88"/>
    <w:rsid w:val="00231273"/>
    <w:rsid w:val="002322E2"/>
    <w:rsid w:val="00234220"/>
    <w:rsid w:val="002350E7"/>
    <w:rsid w:val="00235548"/>
    <w:rsid w:val="00235893"/>
    <w:rsid w:val="00235E5E"/>
    <w:rsid w:val="00236513"/>
    <w:rsid w:val="00237CA5"/>
    <w:rsid w:val="00240900"/>
    <w:rsid w:val="00244A7E"/>
    <w:rsid w:val="00247C91"/>
    <w:rsid w:val="00252339"/>
    <w:rsid w:val="00252574"/>
    <w:rsid w:val="00252A14"/>
    <w:rsid w:val="002543EA"/>
    <w:rsid w:val="002554FD"/>
    <w:rsid w:val="0025624F"/>
    <w:rsid w:val="0025729D"/>
    <w:rsid w:val="00260AF1"/>
    <w:rsid w:val="00262B64"/>
    <w:rsid w:val="00263092"/>
    <w:rsid w:val="00264856"/>
    <w:rsid w:val="00265739"/>
    <w:rsid w:val="00267389"/>
    <w:rsid w:val="00267FF2"/>
    <w:rsid w:val="00270BC4"/>
    <w:rsid w:val="0027191C"/>
    <w:rsid w:val="00271E1D"/>
    <w:rsid w:val="00274FE9"/>
    <w:rsid w:val="00275B11"/>
    <w:rsid w:val="00276773"/>
    <w:rsid w:val="0028397E"/>
    <w:rsid w:val="0028683E"/>
    <w:rsid w:val="00291511"/>
    <w:rsid w:val="002920B0"/>
    <w:rsid w:val="00292322"/>
    <w:rsid w:val="002923CC"/>
    <w:rsid w:val="0029574B"/>
    <w:rsid w:val="0029794A"/>
    <w:rsid w:val="002A0588"/>
    <w:rsid w:val="002A17AC"/>
    <w:rsid w:val="002A5F1C"/>
    <w:rsid w:val="002A7F5E"/>
    <w:rsid w:val="002B1205"/>
    <w:rsid w:val="002B19F6"/>
    <w:rsid w:val="002B1DDA"/>
    <w:rsid w:val="002B5474"/>
    <w:rsid w:val="002B60C9"/>
    <w:rsid w:val="002B766D"/>
    <w:rsid w:val="002C0C5D"/>
    <w:rsid w:val="002C23A2"/>
    <w:rsid w:val="002C2B55"/>
    <w:rsid w:val="002C3463"/>
    <w:rsid w:val="002C4AF9"/>
    <w:rsid w:val="002C5ED9"/>
    <w:rsid w:val="002C7ECD"/>
    <w:rsid w:val="002D150E"/>
    <w:rsid w:val="002D29AC"/>
    <w:rsid w:val="002D3F74"/>
    <w:rsid w:val="002D5426"/>
    <w:rsid w:val="002E009C"/>
    <w:rsid w:val="002E27E6"/>
    <w:rsid w:val="002E2A7D"/>
    <w:rsid w:val="002E32B7"/>
    <w:rsid w:val="002E34D4"/>
    <w:rsid w:val="002E382D"/>
    <w:rsid w:val="002F04C9"/>
    <w:rsid w:val="002F1923"/>
    <w:rsid w:val="002F1EA7"/>
    <w:rsid w:val="002F2E00"/>
    <w:rsid w:val="002F4690"/>
    <w:rsid w:val="002F59F9"/>
    <w:rsid w:val="002F6518"/>
    <w:rsid w:val="002F685D"/>
    <w:rsid w:val="00302789"/>
    <w:rsid w:val="0030747C"/>
    <w:rsid w:val="00311DA2"/>
    <w:rsid w:val="0031350A"/>
    <w:rsid w:val="00313D01"/>
    <w:rsid w:val="00317E87"/>
    <w:rsid w:val="00317EEB"/>
    <w:rsid w:val="00324FD5"/>
    <w:rsid w:val="003275B9"/>
    <w:rsid w:val="003313E7"/>
    <w:rsid w:val="00331452"/>
    <w:rsid w:val="00332444"/>
    <w:rsid w:val="003345B9"/>
    <w:rsid w:val="003346DE"/>
    <w:rsid w:val="00334AE9"/>
    <w:rsid w:val="0034134C"/>
    <w:rsid w:val="00342FA0"/>
    <w:rsid w:val="0034523A"/>
    <w:rsid w:val="00345D31"/>
    <w:rsid w:val="00346C65"/>
    <w:rsid w:val="00351202"/>
    <w:rsid w:val="00353E1D"/>
    <w:rsid w:val="00355BDC"/>
    <w:rsid w:val="00363EC4"/>
    <w:rsid w:val="0036433B"/>
    <w:rsid w:val="00365213"/>
    <w:rsid w:val="0036610E"/>
    <w:rsid w:val="003704DA"/>
    <w:rsid w:val="00370C9C"/>
    <w:rsid w:val="003734D8"/>
    <w:rsid w:val="00380771"/>
    <w:rsid w:val="00381EE1"/>
    <w:rsid w:val="00383433"/>
    <w:rsid w:val="00387056"/>
    <w:rsid w:val="003877BD"/>
    <w:rsid w:val="00387996"/>
    <w:rsid w:val="00390A1B"/>
    <w:rsid w:val="00391B03"/>
    <w:rsid w:val="00393EF3"/>
    <w:rsid w:val="003947BD"/>
    <w:rsid w:val="00394834"/>
    <w:rsid w:val="00395FA1"/>
    <w:rsid w:val="00396A4B"/>
    <w:rsid w:val="00397532"/>
    <w:rsid w:val="003A5AFA"/>
    <w:rsid w:val="003A6B46"/>
    <w:rsid w:val="003A6D62"/>
    <w:rsid w:val="003A6EB9"/>
    <w:rsid w:val="003B1946"/>
    <w:rsid w:val="003B3D40"/>
    <w:rsid w:val="003B46E0"/>
    <w:rsid w:val="003B740E"/>
    <w:rsid w:val="003C0DEE"/>
    <w:rsid w:val="003C2053"/>
    <w:rsid w:val="003C46AA"/>
    <w:rsid w:val="003C54BE"/>
    <w:rsid w:val="003C5709"/>
    <w:rsid w:val="003C5AA7"/>
    <w:rsid w:val="003D081C"/>
    <w:rsid w:val="003D0BEE"/>
    <w:rsid w:val="003D105E"/>
    <w:rsid w:val="003D71F9"/>
    <w:rsid w:val="003D7E07"/>
    <w:rsid w:val="003E5726"/>
    <w:rsid w:val="003E74D9"/>
    <w:rsid w:val="003F0E5F"/>
    <w:rsid w:val="003F1100"/>
    <w:rsid w:val="003F12A0"/>
    <w:rsid w:val="003F333C"/>
    <w:rsid w:val="003F5761"/>
    <w:rsid w:val="003F5BE4"/>
    <w:rsid w:val="003F651A"/>
    <w:rsid w:val="00400137"/>
    <w:rsid w:val="00410135"/>
    <w:rsid w:val="00412691"/>
    <w:rsid w:val="0041426D"/>
    <w:rsid w:val="00417175"/>
    <w:rsid w:val="00421063"/>
    <w:rsid w:val="00421A07"/>
    <w:rsid w:val="0042612C"/>
    <w:rsid w:val="00431599"/>
    <w:rsid w:val="004327CA"/>
    <w:rsid w:val="00432C3A"/>
    <w:rsid w:val="004339FB"/>
    <w:rsid w:val="00435D78"/>
    <w:rsid w:val="00437169"/>
    <w:rsid w:val="004371AC"/>
    <w:rsid w:val="00440232"/>
    <w:rsid w:val="00442D47"/>
    <w:rsid w:val="00443337"/>
    <w:rsid w:val="00445529"/>
    <w:rsid w:val="004504FD"/>
    <w:rsid w:val="00452F75"/>
    <w:rsid w:val="004543EE"/>
    <w:rsid w:val="00461E2B"/>
    <w:rsid w:val="00462866"/>
    <w:rsid w:val="00463FAD"/>
    <w:rsid w:val="0046552A"/>
    <w:rsid w:val="00465626"/>
    <w:rsid w:val="00465835"/>
    <w:rsid w:val="00473B0E"/>
    <w:rsid w:val="00474F59"/>
    <w:rsid w:val="00480EBB"/>
    <w:rsid w:val="00482062"/>
    <w:rsid w:val="004833E1"/>
    <w:rsid w:val="00486AD2"/>
    <w:rsid w:val="0048706E"/>
    <w:rsid w:val="00490085"/>
    <w:rsid w:val="00494034"/>
    <w:rsid w:val="00494B48"/>
    <w:rsid w:val="00495789"/>
    <w:rsid w:val="00495BA1"/>
    <w:rsid w:val="0049696A"/>
    <w:rsid w:val="004A1DBA"/>
    <w:rsid w:val="004A24DA"/>
    <w:rsid w:val="004A3990"/>
    <w:rsid w:val="004B0F77"/>
    <w:rsid w:val="004B1B10"/>
    <w:rsid w:val="004B2795"/>
    <w:rsid w:val="004B442C"/>
    <w:rsid w:val="004B7767"/>
    <w:rsid w:val="004C066B"/>
    <w:rsid w:val="004C0981"/>
    <w:rsid w:val="004C0CB3"/>
    <w:rsid w:val="004C0FFF"/>
    <w:rsid w:val="004C262B"/>
    <w:rsid w:val="004C26EB"/>
    <w:rsid w:val="004C2A95"/>
    <w:rsid w:val="004C7A06"/>
    <w:rsid w:val="004D17FE"/>
    <w:rsid w:val="004D23F6"/>
    <w:rsid w:val="004D4613"/>
    <w:rsid w:val="004D6132"/>
    <w:rsid w:val="004E1443"/>
    <w:rsid w:val="004E2BF7"/>
    <w:rsid w:val="004E2D6B"/>
    <w:rsid w:val="004E7042"/>
    <w:rsid w:val="004E731E"/>
    <w:rsid w:val="004F49A3"/>
    <w:rsid w:val="004F5793"/>
    <w:rsid w:val="004F6826"/>
    <w:rsid w:val="005024ED"/>
    <w:rsid w:val="00503D45"/>
    <w:rsid w:val="00504C8E"/>
    <w:rsid w:val="0050719B"/>
    <w:rsid w:val="005163C5"/>
    <w:rsid w:val="0051761A"/>
    <w:rsid w:val="005201C8"/>
    <w:rsid w:val="00520B4F"/>
    <w:rsid w:val="005222E8"/>
    <w:rsid w:val="0052396E"/>
    <w:rsid w:val="00523988"/>
    <w:rsid w:val="0052454D"/>
    <w:rsid w:val="0053112D"/>
    <w:rsid w:val="00533D42"/>
    <w:rsid w:val="005349E0"/>
    <w:rsid w:val="005424C0"/>
    <w:rsid w:val="005449B3"/>
    <w:rsid w:val="00551555"/>
    <w:rsid w:val="005516E4"/>
    <w:rsid w:val="00552A15"/>
    <w:rsid w:val="005560E5"/>
    <w:rsid w:val="0055617E"/>
    <w:rsid w:val="00556DE4"/>
    <w:rsid w:val="0055755E"/>
    <w:rsid w:val="00561A69"/>
    <w:rsid w:val="00561D24"/>
    <w:rsid w:val="00561FFD"/>
    <w:rsid w:val="0056395F"/>
    <w:rsid w:val="005650C5"/>
    <w:rsid w:val="00565DA5"/>
    <w:rsid w:val="00570E2F"/>
    <w:rsid w:val="00571E64"/>
    <w:rsid w:val="00573A98"/>
    <w:rsid w:val="00574173"/>
    <w:rsid w:val="005756D2"/>
    <w:rsid w:val="00580F59"/>
    <w:rsid w:val="00581325"/>
    <w:rsid w:val="00584A0C"/>
    <w:rsid w:val="00586328"/>
    <w:rsid w:val="00591DD1"/>
    <w:rsid w:val="0059386B"/>
    <w:rsid w:val="00594217"/>
    <w:rsid w:val="005973FA"/>
    <w:rsid w:val="005A1B3B"/>
    <w:rsid w:val="005A4266"/>
    <w:rsid w:val="005A4FE1"/>
    <w:rsid w:val="005A5895"/>
    <w:rsid w:val="005A668B"/>
    <w:rsid w:val="005B1AAB"/>
    <w:rsid w:val="005B344A"/>
    <w:rsid w:val="005B5224"/>
    <w:rsid w:val="005C013B"/>
    <w:rsid w:val="005C188E"/>
    <w:rsid w:val="005C19D3"/>
    <w:rsid w:val="005C1DE6"/>
    <w:rsid w:val="005C2FCB"/>
    <w:rsid w:val="005C53FB"/>
    <w:rsid w:val="005C578F"/>
    <w:rsid w:val="005D12A6"/>
    <w:rsid w:val="005D13BA"/>
    <w:rsid w:val="005D1CC3"/>
    <w:rsid w:val="005D30FC"/>
    <w:rsid w:val="005D6D6D"/>
    <w:rsid w:val="005D7082"/>
    <w:rsid w:val="005D7A19"/>
    <w:rsid w:val="005E0F41"/>
    <w:rsid w:val="005E14A5"/>
    <w:rsid w:val="005E1B23"/>
    <w:rsid w:val="005E2689"/>
    <w:rsid w:val="005E4ADB"/>
    <w:rsid w:val="005E5EB0"/>
    <w:rsid w:val="005E6F48"/>
    <w:rsid w:val="005E78C2"/>
    <w:rsid w:val="005E7E57"/>
    <w:rsid w:val="005F015E"/>
    <w:rsid w:val="005F043F"/>
    <w:rsid w:val="005F14C1"/>
    <w:rsid w:val="005F1A68"/>
    <w:rsid w:val="005F6C1D"/>
    <w:rsid w:val="005F7982"/>
    <w:rsid w:val="005F7C99"/>
    <w:rsid w:val="00601B60"/>
    <w:rsid w:val="00602886"/>
    <w:rsid w:val="006102F8"/>
    <w:rsid w:val="0061073D"/>
    <w:rsid w:val="00623377"/>
    <w:rsid w:val="00625EE1"/>
    <w:rsid w:val="00627645"/>
    <w:rsid w:val="00633786"/>
    <w:rsid w:val="00633A28"/>
    <w:rsid w:val="00635B66"/>
    <w:rsid w:val="006363AD"/>
    <w:rsid w:val="00637AE2"/>
    <w:rsid w:val="00637C18"/>
    <w:rsid w:val="00637F70"/>
    <w:rsid w:val="00637FF5"/>
    <w:rsid w:val="00641250"/>
    <w:rsid w:val="00642D39"/>
    <w:rsid w:val="00646FDE"/>
    <w:rsid w:val="00647403"/>
    <w:rsid w:val="00650F4A"/>
    <w:rsid w:val="00651303"/>
    <w:rsid w:val="0065273B"/>
    <w:rsid w:val="00653809"/>
    <w:rsid w:val="00654CC7"/>
    <w:rsid w:val="0066100C"/>
    <w:rsid w:val="00664874"/>
    <w:rsid w:val="00665A1D"/>
    <w:rsid w:val="00666D0E"/>
    <w:rsid w:val="00672B1C"/>
    <w:rsid w:val="00674315"/>
    <w:rsid w:val="00674932"/>
    <w:rsid w:val="00676401"/>
    <w:rsid w:val="00676816"/>
    <w:rsid w:val="006776B1"/>
    <w:rsid w:val="00680B32"/>
    <w:rsid w:val="00684B8C"/>
    <w:rsid w:val="00693194"/>
    <w:rsid w:val="00693561"/>
    <w:rsid w:val="00695CDA"/>
    <w:rsid w:val="0069739C"/>
    <w:rsid w:val="006975F4"/>
    <w:rsid w:val="00697865"/>
    <w:rsid w:val="006A0658"/>
    <w:rsid w:val="006A0896"/>
    <w:rsid w:val="006A16B9"/>
    <w:rsid w:val="006A1A91"/>
    <w:rsid w:val="006A3340"/>
    <w:rsid w:val="006A3356"/>
    <w:rsid w:val="006A3BA3"/>
    <w:rsid w:val="006A4959"/>
    <w:rsid w:val="006A52CC"/>
    <w:rsid w:val="006A62FC"/>
    <w:rsid w:val="006B1E14"/>
    <w:rsid w:val="006B29A0"/>
    <w:rsid w:val="006B29D1"/>
    <w:rsid w:val="006B4E62"/>
    <w:rsid w:val="006B6071"/>
    <w:rsid w:val="006B76E1"/>
    <w:rsid w:val="006C2DAB"/>
    <w:rsid w:val="006C4E58"/>
    <w:rsid w:val="006C6954"/>
    <w:rsid w:val="006D2735"/>
    <w:rsid w:val="006D3891"/>
    <w:rsid w:val="006D4427"/>
    <w:rsid w:val="006D6DEE"/>
    <w:rsid w:val="006D6E06"/>
    <w:rsid w:val="006D7502"/>
    <w:rsid w:val="006E1D8F"/>
    <w:rsid w:val="006E1F78"/>
    <w:rsid w:val="006E4546"/>
    <w:rsid w:val="006E4DA2"/>
    <w:rsid w:val="006E58BA"/>
    <w:rsid w:val="006E62EA"/>
    <w:rsid w:val="006E67DA"/>
    <w:rsid w:val="006E7238"/>
    <w:rsid w:val="006F47A5"/>
    <w:rsid w:val="006F4E4F"/>
    <w:rsid w:val="006F6517"/>
    <w:rsid w:val="007011F7"/>
    <w:rsid w:val="007034E4"/>
    <w:rsid w:val="00714017"/>
    <w:rsid w:val="00716801"/>
    <w:rsid w:val="0072100D"/>
    <w:rsid w:val="007212C9"/>
    <w:rsid w:val="0072265E"/>
    <w:rsid w:val="0072345E"/>
    <w:rsid w:val="00724854"/>
    <w:rsid w:val="00724F4C"/>
    <w:rsid w:val="00731963"/>
    <w:rsid w:val="00731E26"/>
    <w:rsid w:val="00732382"/>
    <w:rsid w:val="007335AF"/>
    <w:rsid w:val="00733774"/>
    <w:rsid w:val="00734426"/>
    <w:rsid w:val="00734460"/>
    <w:rsid w:val="007374D6"/>
    <w:rsid w:val="00740600"/>
    <w:rsid w:val="007420CA"/>
    <w:rsid w:val="007430FF"/>
    <w:rsid w:val="007466B8"/>
    <w:rsid w:val="00746F4B"/>
    <w:rsid w:val="00757018"/>
    <w:rsid w:val="0076423B"/>
    <w:rsid w:val="007646CD"/>
    <w:rsid w:val="00765264"/>
    <w:rsid w:val="00772F32"/>
    <w:rsid w:val="00772FDA"/>
    <w:rsid w:val="0077388E"/>
    <w:rsid w:val="00776572"/>
    <w:rsid w:val="00777426"/>
    <w:rsid w:val="007800E4"/>
    <w:rsid w:val="00780477"/>
    <w:rsid w:val="00780E9C"/>
    <w:rsid w:val="00781BE0"/>
    <w:rsid w:val="00782E8D"/>
    <w:rsid w:val="00783878"/>
    <w:rsid w:val="00792F88"/>
    <w:rsid w:val="007944C7"/>
    <w:rsid w:val="00794538"/>
    <w:rsid w:val="0079744E"/>
    <w:rsid w:val="007A191C"/>
    <w:rsid w:val="007A2BBA"/>
    <w:rsid w:val="007A7FA6"/>
    <w:rsid w:val="007B0F66"/>
    <w:rsid w:val="007B0FB2"/>
    <w:rsid w:val="007B5405"/>
    <w:rsid w:val="007B605D"/>
    <w:rsid w:val="007C172D"/>
    <w:rsid w:val="007C5366"/>
    <w:rsid w:val="007C5F4C"/>
    <w:rsid w:val="007C6D5E"/>
    <w:rsid w:val="007D1387"/>
    <w:rsid w:val="007D2CB1"/>
    <w:rsid w:val="007D2ED5"/>
    <w:rsid w:val="007D5543"/>
    <w:rsid w:val="007D7C2B"/>
    <w:rsid w:val="007E12ED"/>
    <w:rsid w:val="007E15A8"/>
    <w:rsid w:val="007E1FAD"/>
    <w:rsid w:val="007F114F"/>
    <w:rsid w:val="007F1520"/>
    <w:rsid w:val="007F4D2C"/>
    <w:rsid w:val="007F4DE8"/>
    <w:rsid w:val="007F520E"/>
    <w:rsid w:val="007F675B"/>
    <w:rsid w:val="007F7D59"/>
    <w:rsid w:val="008026C1"/>
    <w:rsid w:val="00802A39"/>
    <w:rsid w:val="00804962"/>
    <w:rsid w:val="00804E9C"/>
    <w:rsid w:val="0080520E"/>
    <w:rsid w:val="008062E0"/>
    <w:rsid w:val="008118BE"/>
    <w:rsid w:val="008123FB"/>
    <w:rsid w:val="00813DE3"/>
    <w:rsid w:val="00816D54"/>
    <w:rsid w:val="00817621"/>
    <w:rsid w:val="00821286"/>
    <w:rsid w:val="00822629"/>
    <w:rsid w:val="00824BBB"/>
    <w:rsid w:val="008260CE"/>
    <w:rsid w:val="008310A3"/>
    <w:rsid w:val="008314E8"/>
    <w:rsid w:val="008318AA"/>
    <w:rsid w:val="00832623"/>
    <w:rsid w:val="008334F9"/>
    <w:rsid w:val="00835D51"/>
    <w:rsid w:val="00835F9F"/>
    <w:rsid w:val="008368F6"/>
    <w:rsid w:val="00842037"/>
    <w:rsid w:val="00843ED4"/>
    <w:rsid w:val="00845B88"/>
    <w:rsid w:val="0085005E"/>
    <w:rsid w:val="0085289A"/>
    <w:rsid w:val="0085303B"/>
    <w:rsid w:val="00853B2F"/>
    <w:rsid w:val="00854A5B"/>
    <w:rsid w:val="0085766D"/>
    <w:rsid w:val="00862C8F"/>
    <w:rsid w:val="0086325C"/>
    <w:rsid w:val="00863599"/>
    <w:rsid w:val="008635BA"/>
    <w:rsid w:val="00863E49"/>
    <w:rsid w:val="00865614"/>
    <w:rsid w:val="008679FB"/>
    <w:rsid w:val="00871231"/>
    <w:rsid w:val="008717A0"/>
    <w:rsid w:val="00872195"/>
    <w:rsid w:val="008730B4"/>
    <w:rsid w:val="00873A6F"/>
    <w:rsid w:val="00874600"/>
    <w:rsid w:val="0087546F"/>
    <w:rsid w:val="008805CF"/>
    <w:rsid w:val="008833CC"/>
    <w:rsid w:val="008863BB"/>
    <w:rsid w:val="0088649D"/>
    <w:rsid w:val="0088746A"/>
    <w:rsid w:val="00887645"/>
    <w:rsid w:val="00890CD9"/>
    <w:rsid w:val="00891071"/>
    <w:rsid w:val="0089662E"/>
    <w:rsid w:val="0089697E"/>
    <w:rsid w:val="00896DA8"/>
    <w:rsid w:val="008A0393"/>
    <w:rsid w:val="008A2818"/>
    <w:rsid w:val="008A61B7"/>
    <w:rsid w:val="008B2EAE"/>
    <w:rsid w:val="008B554C"/>
    <w:rsid w:val="008B6D8B"/>
    <w:rsid w:val="008C0923"/>
    <w:rsid w:val="008C42A4"/>
    <w:rsid w:val="008C4B5A"/>
    <w:rsid w:val="008C4B9C"/>
    <w:rsid w:val="008C5C40"/>
    <w:rsid w:val="008D1ADC"/>
    <w:rsid w:val="008D1FB1"/>
    <w:rsid w:val="008D2F09"/>
    <w:rsid w:val="008D4B1B"/>
    <w:rsid w:val="008D565E"/>
    <w:rsid w:val="008D5C7B"/>
    <w:rsid w:val="008D5FEB"/>
    <w:rsid w:val="008D639C"/>
    <w:rsid w:val="008D6B04"/>
    <w:rsid w:val="008E34F6"/>
    <w:rsid w:val="008E604C"/>
    <w:rsid w:val="008F18D1"/>
    <w:rsid w:val="008F2566"/>
    <w:rsid w:val="008F2ADC"/>
    <w:rsid w:val="008F5BEC"/>
    <w:rsid w:val="008F6C20"/>
    <w:rsid w:val="008F7656"/>
    <w:rsid w:val="008F7838"/>
    <w:rsid w:val="009017C2"/>
    <w:rsid w:val="00901967"/>
    <w:rsid w:val="00902DB9"/>
    <w:rsid w:val="00906784"/>
    <w:rsid w:val="00910164"/>
    <w:rsid w:val="009102FA"/>
    <w:rsid w:val="00911F6A"/>
    <w:rsid w:val="00915AD1"/>
    <w:rsid w:val="00916E92"/>
    <w:rsid w:val="00917304"/>
    <w:rsid w:val="009179EB"/>
    <w:rsid w:val="00920DC1"/>
    <w:rsid w:val="00921D0D"/>
    <w:rsid w:val="00922559"/>
    <w:rsid w:val="00922E90"/>
    <w:rsid w:val="00924F62"/>
    <w:rsid w:val="0092542D"/>
    <w:rsid w:val="00925DD7"/>
    <w:rsid w:val="00931641"/>
    <w:rsid w:val="009319B5"/>
    <w:rsid w:val="00932048"/>
    <w:rsid w:val="00934285"/>
    <w:rsid w:val="009363C8"/>
    <w:rsid w:val="009364D5"/>
    <w:rsid w:val="00937DF4"/>
    <w:rsid w:val="0094008E"/>
    <w:rsid w:val="0094553A"/>
    <w:rsid w:val="00946012"/>
    <w:rsid w:val="00947893"/>
    <w:rsid w:val="0095622F"/>
    <w:rsid w:val="009564E0"/>
    <w:rsid w:val="009565AA"/>
    <w:rsid w:val="009606B9"/>
    <w:rsid w:val="00966724"/>
    <w:rsid w:val="009667E9"/>
    <w:rsid w:val="0096736D"/>
    <w:rsid w:val="00971C17"/>
    <w:rsid w:val="00972C6C"/>
    <w:rsid w:val="009739EE"/>
    <w:rsid w:val="00973E90"/>
    <w:rsid w:val="009778D0"/>
    <w:rsid w:val="00982CB8"/>
    <w:rsid w:val="009878FB"/>
    <w:rsid w:val="009908CC"/>
    <w:rsid w:val="00990E17"/>
    <w:rsid w:val="009927F2"/>
    <w:rsid w:val="00992D96"/>
    <w:rsid w:val="00992F58"/>
    <w:rsid w:val="0099504C"/>
    <w:rsid w:val="009950E4"/>
    <w:rsid w:val="009970CD"/>
    <w:rsid w:val="009A05AA"/>
    <w:rsid w:val="009A1F18"/>
    <w:rsid w:val="009A2074"/>
    <w:rsid w:val="009A2208"/>
    <w:rsid w:val="009B01E1"/>
    <w:rsid w:val="009B0CE9"/>
    <w:rsid w:val="009B19AB"/>
    <w:rsid w:val="009B54A7"/>
    <w:rsid w:val="009B677B"/>
    <w:rsid w:val="009B6A46"/>
    <w:rsid w:val="009C1C34"/>
    <w:rsid w:val="009C4A12"/>
    <w:rsid w:val="009C4C02"/>
    <w:rsid w:val="009C77C0"/>
    <w:rsid w:val="009D2166"/>
    <w:rsid w:val="009D2C81"/>
    <w:rsid w:val="009D6B38"/>
    <w:rsid w:val="009E1456"/>
    <w:rsid w:val="009E2AA5"/>
    <w:rsid w:val="009E44C0"/>
    <w:rsid w:val="009E4AA8"/>
    <w:rsid w:val="009F24E1"/>
    <w:rsid w:val="009F25A5"/>
    <w:rsid w:val="009F2936"/>
    <w:rsid w:val="009F35D5"/>
    <w:rsid w:val="009F6A35"/>
    <w:rsid w:val="00A0120C"/>
    <w:rsid w:val="00A019E1"/>
    <w:rsid w:val="00A0375C"/>
    <w:rsid w:val="00A045DD"/>
    <w:rsid w:val="00A04812"/>
    <w:rsid w:val="00A118C5"/>
    <w:rsid w:val="00A1579E"/>
    <w:rsid w:val="00A217B7"/>
    <w:rsid w:val="00A240C2"/>
    <w:rsid w:val="00A2438D"/>
    <w:rsid w:val="00A250F8"/>
    <w:rsid w:val="00A26044"/>
    <w:rsid w:val="00A26316"/>
    <w:rsid w:val="00A26848"/>
    <w:rsid w:val="00A31ECC"/>
    <w:rsid w:val="00A403C5"/>
    <w:rsid w:val="00A41900"/>
    <w:rsid w:val="00A4299E"/>
    <w:rsid w:val="00A444D3"/>
    <w:rsid w:val="00A46FEA"/>
    <w:rsid w:val="00A5246F"/>
    <w:rsid w:val="00A524F9"/>
    <w:rsid w:val="00A529A4"/>
    <w:rsid w:val="00A52F20"/>
    <w:rsid w:val="00A54F95"/>
    <w:rsid w:val="00A55B1F"/>
    <w:rsid w:val="00A57240"/>
    <w:rsid w:val="00A57D34"/>
    <w:rsid w:val="00A61C10"/>
    <w:rsid w:val="00A65D27"/>
    <w:rsid w:val="00A6778E"/>
    <w:rsid w:val="00A71DDE"/>
    <w:rsid w:val="00A72B24"/>
    <w:rsid w:val="00A73494"/>
    <w:rsid w:val="00A7667E"/>
    <w:rsid w:val="00A76B2C"/>
    <w:rsid w:val="00A82D34"/>
    <w:rsid w:val="00A8405A"/>
    <w:rsid w:val="00A9017B"/>
    <w:rsid w:val="00A974F1"/>
    <w:rsid w:val="00AA2A73"/>
    <w:rsid w:val="00AA5974"/>
    <w:rsid w:val="00AA6FAC"/>
    <w:rsid w:val="00AB31B7"/>
    <w:rsid w:val="00AB4A58"/>
    <w:rsid w:val="00AB512F"/>
    <w:rsid w:val="00AB6652"/>
    <w:rsid w:val="00AB7696"/>
    <w:rsid w:val="00AC0469"/>
    <w:rsid w:val="00AC0B1E"/>
    <w:rsid w:val="00AC1C6C"/>
    <w:rsid w:val="00AC1E99"/>
    <w:rsid w:val="00AC2FE5"/>
    <w:rsid w:val="00AC435D"/>
    <w:rsid w:val="00AC5920"/>
    <w:rsid w:val="00AC5A46"/>
    <w:rsid w:val="00AC64B4"/>
    <w:rsid w:val="00AC64D3"/>
    <w:rsid w:val="00AD3CB4"/>
    <w:rsid w:val="00AD4B40"/>
    <w:rsid w:val="00AD627C"/>
    <w:rsid w:val="00AE0343"/>
    <w:rsid w:val="00AE0834"/>
    <w:rsid w:val="00AE1FB7"/>
    <w:rsid w:val="00AE263F"/>
    <w:rsid w:val="00AE51A6"/>
    <w:rsid w:val="00AF44FD"/>
    <w:rsid w:val="00AF78F5"/>
    <w:rsid w:val="00B00201"/>
    <w:rsid w:val="00B00B74"/>
    <w:rsid w:val="00B02929"/>
    <w:rsid w:val="00B03517"/>
    <w:rsid w:val="00B03BCC"/>
    <w:rsid w:val="00B05452"/>
    <w:rsid w:val="00B11651"/>
    <w:rsid w:val="00B12C73"/>
    <w:rsid w:val="00B12E16"/>
    <w:rsid w:val="00B16E0F"/>
    <w:rsid w:val="00B20D4D"/>
    <w:rsid w:val="00B21DB8"/>
    <w:rsid w:val="00B23CF0"/>
    <w:rsid w:val="00B24F5D"/>
    <w:rsid w:val="00B2676F"/>
    <w:rsid w:val="00B30B9B"/>
    <w:rsid w:val="00B31F13"/>
    <w:rsid w:val="00B37E38"/>
    <w:rsid w:val="00B43003"/>
    <w:rsid w:val="00B45189"/>
    <w:rsid w:val="00B46686"/>
    <w:rsid w:val="00B467BA"/>
    <w:rsid w:val="00B476F5"/>
    <w:rsid w:val="00B47FF6"/>
    <w:rsid w:val="00B513F7"/>
    <w:rsid w:val="00B51820"/>
    <w:rsid w:val="00B54570"/>
    <w:rsid w:val="00B55C39"/>
    <w:rsid w:val="00B627FC"/>
    <w:rsid w:val="00B66BFF"/>
    <w:rsid w:val="00B71D2C"/>
    <w:rsid w:val="00B75841"/>
    <w:rsid w:val="00B76719"/>
    <w:rsid w:val="00B76BE0"/>
    <w:rsid w:val="00B812A4"/>
    <w:rsid w:val="00B83417"/>
    <w:rsid w:val="00B83923"/>
    <w:rsid w:val="00B873CF"/>
    <w:rsid w:val="00B90E63"/>
    <w:rsid w:val="00B91597"/>
    <w:rsid w:val="00B91840"/>
    <w:rsid w:val="00B91CA2"/>
    <w:rsid w:val="00B9546F"/>
    <w:rsid w:val="00B95576"/>
    <w:rsid w:val="00BA298B"/>
    <w:rsid w:val="00BA4809"/>
    <w:rsid w:val="00BB1488"/>
    <w:rsid w:val="00BB30FB"/>
    <w:rsid w:val="00BB358F"/>
    <w:rsid w:val="00BB376A"/>
    <w:rsid w:val="00BB384E"/>
    <w:rsid w:val="00BB4B5F"/>
    <w:rsid w:val="00BB5E38"/>
    <w:rsid w:val="00BB67D8"/>
    <w:rsid w:val="00BC0730"/>
    <w:rsid w:val="00BC423E"/>
    <w:rsid w:val="00BC4829"/>
    <w:rsid w:val="00BC57BD"/>
    <w:rsid w:val="00BC5BF3"/>
    <w:rsid w:val="00BC62D6"/>
    <w:rsid w:val="00BD1DE8"/>
    <w:rsid w:val="00BD1FAE"/>
    <w:rsid w:val="00BD2484"/>
    <w:rsid w:val="00BD2A0C"/>
    <w:rsid w:val="00BD3EC6"/>
    <w:rsid w:val="00BD41E9"/>
    <w:rsid w:val="00BD49DF"/>
    <w:rsid w:val="00BD70CE"/>
    <w:rsid w:val="00BD7C89"/>
    <w:rsid w:val="00BE11C2"/>
    <w:rsid w:val="00BF1AA5"/>
    <w:rsid w:val="00BF1D43"/>
    <w:rsid w:val="00BF2ABE"/>
    <w:rsid w:val="00BF2D66"/>
    <w:rsid w:val="00BF7BCC"/>
    <w:rsid w:val="00C01AD7"/>
    <w:rsid w:val="00C0318E"/>
    <w:rsid w:val="00C04CA9"/>
    <w:rsid w:val="00C05D8C"/>
    <w:rsid w:val="00C05F03"/>
    <w:rsid w:val="00C1187B"/>
    <w:rsid w:val="00C13224"/>
    <w:rsid w:val="00C17723"/>
    <w:rsid w:val="00C2065A"/>
    <w:rsid w:val="00C20DC2"/>
    <w:rsid w:val="00C24FE6"/>
    <w:rsid w:val="00C25BC0"/>
    <w:rsid w:val="00C32983"/>
    <w:rsid w:val="00C33E35"/>
    <w:rsid w:val="00C35519"/>
    <w:rsid w:val="00C36AEC"/>
    <w:rsid w:val="00C4093E"/>
    <w:rsid w:val="00C4207E"/>
    <w:rsid w:val="00C43C91"/>
    <w:rsid w:val="00C45756"/>
    <w:rsid w:val="00C457DF"/>
    <w:rsid w:val="00C45C7B"/>
    <w:rsid w:val="00C46C37"/>
    <w:rsid w:val="00C47335"/>
    <w:rsid w:val="00C50BD7"/>
    <w:rsid w:val="00C51CBC"/>
    <w:rsid w:val="00C51E53"/>
    <w:rsid w:val="00C54613"/>
    <w:rsid w:val="00C60B8C"/>
    <w:rsid w:val="00C65BD4"/>
    <w:rsid w:val="00C70364"/>
    <w:rsid w:val="00C727A2"/>
    <w:rsid w:val="00C75B0F"/>
    <w:rsid w:val="00C81D1B"/>
    <w:rsid w:val="00C821FE"/>
    <w:rsid w:val="00C826AE"/>
    <w:rsid w:val="00C8704B"/>
    <w:rsid w:val="00C91B7B"/>
    <w:rsid w:val="00CA053D"/>
    <w:rsid w:val="00CA15CD"/>
    <w:rsid w:val="00CA17CE"/>
    <w:rsid w:val="00CA5DBA"/>
    <w:rsid w:val="00CB0884"/>
    <w:rsid w:val="00CB0D3C"/>
    <w:rsid w:val="00CB174C"/>
    <w:rsid w:val="00CB2283"/>
    <w:rsid w:val="00CB259B"/>
    <w:rsid w:val="00CB26C4"/>
    <w:rsid w:val="00CB32F1"/>
    <w:rsid w:val="00CB39CE"/>
    <w:rsid w:val="00CB43DA"/>
    <w:rsid w:val="00CB4526"/>
    <w:rsid w:val="00CB51A1"/>
    <w:rsid w:val="00CB5692"/>
    <w:rsid w:val="00CB578E"/>
    <w:rsid w:val="00CB6085"/>
    <w:rsid w:val="00CB68D1"/>
    <w:rsid w:val="00CC151F"/>
    <w:rsid w:val="00CC2098"/>
    <w:rsid w:val="00CC2E79"/>
    <w:rsid w:val="00CC4DED"/>
    <w:rsid w:val="00CC5A9B"/>
    <w:rsid w:val="00CC5FAA"/>
    <w:rsid w:val="00CC7F38"/>
    <w:rsid w:val="00CD1090"/>
    <w:rsid w:val="00CD390F"/>
    <w:rsid w:val="00CD5C95"/>
    <w:rsid w:val="00CE3178"/>
    <w:rsid w:val="00CE3EDC"/>
    <w:rsid w:val="00CE46F9"/>
    <w:rsid w:val="00CE627C"/>
    <w:rsid w:val="00CE6915"/>
    <w:rsid w:val="00CF162E"/>
    <w:rsid w:val="00CF2A13"/>
    <w:rsid w:val="00CF44F9"/>
    <w:rsid w:val="00CF4A02"/>
    <w:rsid w:val="00CF6225"/>
    <w:rsid w:val="00D044C0"/>
    <w:rsid w:val="00D04E1A"/>
    <w:rsid w:val="00D0507A"/>
    <w:rsid w:val="00D101A1"/>
    <w:rsid w:val="00D17464"/>
    <w:rsid w:val="00D17F50"/>
    <w:rsid w:val="00D21C1B"/>
    <w:rsid w:val="00D2342A"/>
    <w:rsid w:val="00D243B3"/>
    <w:rsid w:val="00D25388"/>
    <w:rsid w:val="00D25E1F"/>
    <w:rsid w:val="00D317AF"/>
    <w:rsid w:val="00D31B1A"/>
    <w:rsid w:val="00D35907"/>
    <w:rsid w:val="00D44292"/>
    <w:rsid w:val="00D44B78"/>
    <w:rsid w:val="00D44D63"/>
    <w:rsid w:val="00D51AB9"/>
    <w:rsid w:val="00D6412B"/>
    <w:rsid w:val="00D64381"/>
    <w:rsid w:val="00D670B9"/>
    <w:rsid w:val="00D72049"/>
    <w:rsid w:val="00D77933"/>
    <w:rsid w:val="00D77FB0"/>
    <w:rsid w:val="00D827D1"/>
    <w:rsid w:val="00D82D4C"/>
    <w:rsid w:val="00D8461A"/>
    <w:rsid w:val="00D84A66"/>
    <w:rsid w:val="00D84DE0"/>
    <w:rsid w:val="00D8611A"/>
    <w:rsid w:val="00D90F3D"/>
    <w:rsid w:val="00D92231"/>
    <w:rsid w:val="00D954AD"/>
    <w:rsid w:val="00D96BCC"/>
    <w:rsid w:val="00DA070F"/>
    <w:rsid w:val="00DA2FBC"/>
    <w:rsid w:val="00DA44F3"/>
    <w:rsid w:val="00DA4B6C"/>
    <w:rsid w:val="00DA7013"/>
    <w:rsid w:val="00DB1C3D"/>
    <w:rsid w:val="00DB3278"/>
    <w:rsid w:val="00DB4B7A"/>
    <w:rsid w:val="00DB5C02"/>
    <w:rsid w:val="00DC347A"/>
    <w:rsid w:val="00DC3F26"/>
    <w:rsid w:val="00DC4CE6"/>
    <w:rsid w:val="00DC60EA"/>
    <w:rsid w:val="00DC62EB"/>
    <w:rsid w:val="00DC7188"/>
    <w:rsid w:val="00DC7CFC"/>
    <w:rsid w:val="00DD0A5C"/>
    <w:rsid w:val="00DD0BEC"/>
    <w:rsid w:val="00DD4898"/>
    <w:rsid w:val="00DD6E5B"/>
    <w:rsid w:val="00DE0AC9"/>
    <w:rsid w:val="00DE1E9A"/>
    <w:rsid w:val="00DE26B3"/>
    <w:rsid w:val="00DE6CD6"/>
    <w:rsid w:val="00DE6D07"/>
    <w:rsid w:val="00DE79FA"/>
    <w:rsid w:val="00DF197A"/>
    <w:rsid w:val="00DF1CF3"/>
    <w:rsid w:val="00DF3D15"/>
    <w:rsid w:val="00DF45E6"/>
    <w:rsid w:val="00DF59D9"/>
    <w:rsid w:val="00DF64F3"/>
    <w:rsid w:val="00DF679C"/>
    <w:rsid w:val="00E003CB"/>
    <w:rsid w:val="00E006FF"/>
    <w:rsid w:val="00E01FB2"/>
    <w:rsid w:val="00E02D5E"/>
    <w:rsid w:val="00E06C5B"/>
    <w:rsid w:val="00E07233"/>
    <w:rsid w:val="00E10536"/>
    <w:rsid w:val="00E106FB"/>
    <w:rsid w:val="00E12A95"/>
    <w:rsid w:val="00E12F06"/>
    <w:rsid w:val="00E13097"/>
    <w:rsid w:val="00E14034"/>
    <w:rsid w:val="00E15B30"/>
    <w:rsid w:val="00E170D0"/>
    <w:rsid w:val="00E20B18"/>
    <w:rsid w:val="00E21DE2"/>
    <w:rsid w:val="00E24FDA"/>
    <w:rsid w:val="00E250F1"/>
    <w:rsid w:val="00E26B4E"/>
    <w:rsid w:val="00E26CFD"/>
    <w:rsid w:val="00E26E1C"/>
    <w:rsid w:val="00E30150"/>
    <w:rsid w:val="00E30BFA"/>
    <w:rsid w:val="00E32C15"/>
    <w:rsid w:val="00E3417B"/>
    <w:rsid w:val="00E359E2"/>
    <w:rsid w:val="00E40AE3"/>
    <w:rsid w:val="00E41218"/>
    <w:rsid w:val="00E4323B"/>
    <w:rsid w:val="00E438B9"/>
    <w:rsid w:val="00E46409"/>
    <w:rsid w:val="00E50E2C"/>
    <w:rsid w:val="00E51DC9"/>
    <w:rsid w:val="00E521A0"/>
    <w:rsid w:val="00E525DF"/>
    <w:rsid w:val="00E52F8B"/>
    <w:rsid w:val="00E531F9"/>
    <w:rsid w:val="00E54FC1"/>
    <w:rsid w:val="00E56CD9"/>
    <w:rsid w:val="00E577CF"/>
    <w:rsid w:val="00E6182A"/>
    <w:rsid w:val="00E657E0"/>
    <w:rsid w:val="00E678E0"/>
    <w:rsid w:val="00E77B76"/>
    <w:rsid w:val="00E80091"/>
    <w:rsid w:val="00E81721"/>
    <w:rsid w:val="00E822D7"/>
    <w:rsid w:val="00E829C3"/>
    <w:rsid w:val="00E851E1"/>
    <w:rsid w:val="00E85C21"/>
    <w:rsid w:val="00E87376"/>
    <w:rsid w:val="00E87750"/>
    <w:rsid w:val="00E90CCF"/>
    <w:rsid w:val="00E939C8"/>
    <w:rsid w:val="00E94069"/>
    <w:rsid w:val="00E9622E"/>
    <w:rsid w:val="00EA1DA3"/>
    <w:rsid w:val="00EA3191"/>
    <w:rsid w:val="00EA4EEB"/>
    <w:rsid w:val="00EA6681"/>
    <w:rsid w:val="00EA6D41"/>
    <w:rsid w:val="00EB02A9"/>
    <w:rsid w:val="00EB3CF4"/>
    <w:rsid w:val="00EB5BEE"/>
    <w:rsid w:val="00EB7E59"/>
    <w:rsid w:val="00EC2560"/>
    <w:rsid w:val="00EC3335"/>
    <w:rsid w:val="00EC3A5E"/>
    <w:rsid w:val="00EC3BA4"/>
    <w:rsid w:val="00EC4510"/>
    <w:rsid w:val="00EC676B"/>
    <w:rsid w:val="00EC7B28"/>
    <w:rsid w:val="00ED0C8E"/>
    <w:rsid w:val="00ED1372"/>
    <w:rsid w:val="00ED4770"/>
    <w:rsid w:val="00ED6223"/>
    <w:rsid w:val="00ED673C"/>
    <w:rsid w:val="00ED6874"/>
    <w:rsid w:val="00ED79EB"/>
    <w:rsid w:val="00EE0701"/>
    <w:rsid w:val="00EE0E6D"/>
    <w:rsid w:val="00EE1DA4"/>
    <w:rsid w:val="00EE3429"/>
    <w:rsid w:val="00EE694C"/>
    <w:rsid w:val="00EF08CB"/>
    <w:rsid w:val="00EF193D"/>
    <w:rsid w:val="00EF35F1"/>
    <w:rsid w:val="00EF47B2"/>
    <w:rsid w:val="00EF4AD3"/>
    <w:rsid w:val="00EF5474"/>
    <w:rsid w:val="00EF5C49"/>
    <w:rsid w:val="00F00872"/>
    <w:rsid w:val="00F022C5"/>
    <w:rsid w:val="00F03335"/>
    <w:rsid w:val="00F055AA"/>
    <w:rsid w:val="00F06715"/>
    <w:rsid w:val="00F11A04"/>
    <w:rsid w:val="00F12C2F"/>
    <w:rsid w:val="00F14E5B"/>
    <w:rsid w:val="00F16513"/>
    <w:rsid w:val="00F16BA4"/>
    <w:rsid w:val="00F17395"/>
    <w:rsid w:val="00F20DC8"/>
    <w:rsid w:val="00F24360"/>
    <w:rsid w:val="00F25853"/>
    <w:rsid w:val="00F25F2F"/>
    <w:rsid w:val="00F264F9"/>
    <w:rsid w:val="00F30A60"/>
    <w:rsid w:val="00F3120F"/>
    <w:rsid w:val="00F33080"/>
    <w:rsid w:val="00F33E94"/>
    <w:rsid w:val="00F40723"/>
    <w:rsid w:val="00F419C3"/>
    <w:rsid w:val="00F42BF8"/>
    <w:rsid w:val="00F43916"/>
    <w:rsid w:val="00F45BF1"/>
    <w:rsid w:val="00F46AC1"/>
    <w:rsid w:val="00F47EB3"/>
    <w:rsid w:val="00F50393"/>
    <w:rsid w:val="00F523ED"/>
    <w:rsid w:val="00F52DAD"/>
    <w:rsid w:val="00F53AD8"/>
    <w:rsid w:val="00F55D5F"/>
    <w:rsid w:val="00F57F70"/>
    <w:rsid w:val="00F63B67"/>
    <w:rsid w:val="00F7274B"/>
    <w:rsid w:val="00F7293B"/>
    <w:rsid w:val="00F74763"/>
    <w:rsid w:val="00F7669D"/>
    <w:rsid w:val="00F769C0"/>
    <w:rsid w:val="00F76FD1"/>
    <w:rsid w:val="00F77D5D"/>
    <w:rsid w:val="00F80B1B"/>
    <w:rsid w:val="00F816FA"/>
    <w:rsid w:val="00F81C49"/>
    <w:rsid w:val="00F83EA5"/>
    <w:rsid w:val="00F90CE7"/>
    <w:rsid w:val="00F936A3"/>
    <w:rsid w:val="00F9690A"/>
    <w:rsid w:val="00FA0FDC"/>
    <w:rsid w:val="00FA2551"/>
    <w:rsid w:val="00FA39D9"/>
    <w:rsid w:val="00FA449C"/>
    <w:rsid w:val="00FA46FE"/>
    <w:rsid w:val="00FA4809"/>
    <w:rsid w:val="00FA7177"/>
    <w:rsid w:val="00FB12F4"/>
    <w:rsid w:val="00FB259C"/>
    <w:rsid w:val="00FB4EB8"/>
    <w:rsid w:val="00FB659C"/>
    <w:rsid w:val="00FC664F"/>
    <w:rsid w:val="00FD063D"/>
    <w:rsid w:val="00FD50A2"/>
    <w:rsid w:val="00FE135D"/>
    <w:rsid w:val="00FE1BCE"/>
    <w:rsid w:val="00FE2D99"/>
    <w:rsid w:val="00FE3B5A"/>
    <w:rsid w:val="00FE3E3D"/>
    <w:rsid w:val="00FE4D4B"/>
    <w:rsid w:val="00FE59B7"/>
    <w:rsid w:val="00FE6789"/>
    <w:rsid w:val="00FE752C"/>
    <w:rsid w:val="00FF7882"/>
    <w:rsid w:val="00FF7C82"/>
    <w:rsid w:val="011C626C"/>
    <w:rsid w:val="01771533"/>
    <w:rsid w:val="01840F42"/>
    <w:rsid w:val="01E31D8D"/>
    <w:rsid w:val="024320C4"/>
    <w:rsid w:val="02B85E09"/>
    <w:rsid w:val="03AE3AF3"/>
    <w:rsid w:val="03BC5793"/>
    <w:rsid w:val="04014AA1"/>
    <w:rsid w:val="047C1F3C"/>
    <w:rsid w:val="0482082B"/>
    <w:rsid w:val="04E10FFA"/>
    <w:rsid w:val="05012B9D"/>
    <w:rsid w:val="0572479F"/>
    <w:rsid w:val="05840A44"/>
    <w:rsid w:val="059D43E6"/>
    <w:rsid w:val="05ED6C82"/>
    <w:rsid w:val="05F81C46"/>
    <w:rsid w:val="062968B0"/>
    <w:rsid w:val="07591FC7"/>
    <w:rsid w:val="07664AF4"/>
    <w:rsid w:val="077F7532"/>
    <w:rsid w:val="078D7EC3"/>
    <w:rsid w:val="081E2BA2"/>
    <w:rsid w:val="084357B7"/>
    <w:rsid w:val="084B416F"/>
    <w:rsid w:val="088E0696"/>
    <w:rsid w:val="0ABA0430"/>
    <w:rsid w:val="0ABA2D7D"/>
    <w:rsid w:val="0ABC3FED"/>
    <w:rsid w:val="0AC92FC0"/>
    <w:rsid w:val="0B3A28D9"/>
    <w:rsid w:val="0B8E7D66"/>
    <w:rsid w:val="0B93523A"/>
    <w:rsid w:val="0BCD5023"/>
    <w:rsid w:val="0BE917DA"/>
    <w:rsid w:val="0C6566B2"/>
    <w:rsid w:val="0CA27F6D"/>
    <w:rsid w:val="0D057601"/>
    <w:rsid w:val="0D0E32C5"/>
    <w:rsid w:val="0D710BAA"/>
    <w:rsid w:val="0D7A633E"/>
    <w:rsid w:val="0D9A32EA"/>
    <w:rsid w:val="0DB27E17"/>
    <w:rsid w:val="0DE654AC"/>
    <w:rsid w:val="0E96765D"/>
    <w:rsid w:val="0E98558A"/>
    <w:rsid w:val="0EAA310B"/>
    <w:rsid w:val="0EF71D53"/>
    <w:rsid w:val="0F7A6F82"/>
    <w:rsid w:val="0F854215"/>
    <w:rsid w:val="0FC348B5"/>
    <w:rsid w:val="0FCD487B"/>
    <w:rsid w:val="10376492"/>
    <w:rsid w:val="10C05FF9"/>
    <w:rsid w:val="10D97B6A"/>
    <w:rsid w:val="11924CBD"/>
    <w:rsid w:val="11E572B8"/>
    <w:rsid w:val="12423F05"/>
    <w:rsid w:val="127B44EE"/>
    <w:rsid w:val="12B560A5"/>
    <w:rsid w:val="1331143C"/>
    <w:rsid w:val="14353475"/>
    <w:rsid w:val="145E4A00"/>
    <w:rsid w:val="14BE164A"/>
    <w:rsid w:val="14BF3EB0"/>
    <w:rsid w:val="14CB202B"/>
    <w:rsid w:val="152E2381"/>
    <w:rsid w:val="1615355E"/>
    <w:rsid w:val="162A44F8"/>
    <w:rsid w:val="16D3488F"/>
    <w:rsid w:val="17AC7EF2"/>
    <w:rsid w:val="188370A5"/>
    <w:rsid w:val="188C387F"/>
    <w:rsid w:val="18F559EC"/>
    <w:rsid w:val="19020A55"/>
    <w:rsid w:val="19256250"/>
    <w:rsid w:val="19997756"/>
    <w:rsid w:val="19C32D03"/>
    <w:rsid w:val="1A3A2EBC"/>
    <w:rsid w:val="1A4975C8"/>
    <w:rsid w:val="1A710F7F"/>
    <w:rsid w:val="1AB439FF"/>
    <w:rsid w:val="1C995A43"/>
    <w:rsid w:val="1D084F95"/>
    <w:rsid w:val="1D3249F5"/>
    <w:rsid w:val="1D7A13AA"/>
    <w:rsid w:val="1DA27617"/>
    <w:rsid w:val="1DCC619C"/>
    <w:rsid w:val="1E361F19"/>
    <w:rsid w:val="1E37693A"/>
    <w:rsid w:val="1E8E577A"/>
    <w:rsid w:val="1EA86B7A"/>
    <w:rsid w:val="1EAB6969"/>
    <w:rsid w:val="1F056C46"/>
    <w:rsid w:val="1FE0798F"/>
    <w:rsid w:val="1FFC76EB"/>
    <w:rsid w:val="2069769F"/>
    <w:rsid w:val="212F6D9E"/>
    <w:rsid w:val="21A93B1B"/>
    <w:rsid w:val="21D87D1E"/>
    <w:rsid w:val="235B5B3B"/>
    <w:rsid w:val="236C49D9"/>
    <w:rsid w:val="23CC031E"/>
    <w:rsid w:val="24D9609E"/>
    <w:rsid w:val="256F54C5"/>
    <w:rsid w:val="259C6AD2"/>
    <w:rsid w:val="25BC39F6"/>
    <w:rsid w:val="26964247"/>
    <w:rsid w:val="26B80661"/>
    <w:rsid w:val="26DE4A87"/>
    <w:rsid w:val="26E74AA2"/>
    <w:rsid w:val="270B4022"/>
    <w:rsid w:val="27191B95"/>
    <w:rsid w:val="27BC3A6C"/>
    <w:rsid w:val="27D165A2"/>
    <w:rsid w:val="27EA51A6"/>
    <w:rsid w:val="29197C56"/>
    <w:rsid w:val="293E0F68"/>
    <w:rsid w:val="29587394"/>
    <w:rsid w:val="29696FCC"/>
    <w:rsid w:val="29893861"/>
    <w:rsid w:val="2AC5291C"/>
    <w:rsid w:val="2AE24E28"/>
    <w:rsid w:val="2B261911"/>
    <w:rsid w:val="2B6A1DAD"/>
    <w:rsid w:val="2B9201B7"/>
    <w:rsid w:val="2BB32BCB"/>
    <w:rsid w:val="2CA74074"/>
    <w:rsid w:val="2CAE1D69"/>
    <w:rsid w:val="2CBF1329"/>
    <w:rsid w:val="2CC97F56"/>
    <w:rsid w:val="2CE26E1D"/>
    <w:rsid w:val="2D3E014B"/>
    <w:rsid w:val="2D975420"/>
    <w:rsid w:val="2E1F2371"/>
    <w:rsid w:val="2E4627D4"/>
    <w:rsid w:val="2E764C99"/>
    <w:rsid w:val="2E852654"/>
    <w:rsid w:val="2EAE5968"/>
    <w:rsid w:val="2EBE3FF9"/>
    <w:rsid w:val="2EE13B47"/>
    <w:rsid w:val="2F6F2F2E"/>
    <w:rsid w:val="2F7D5E6B"/>
    <w:rsid w:val="2FC41F0A"/>
    <w:rsid w:val="302325FB"/>
    <w:rsid w:val="30CA30C1"/>
    <w:rsid w:val="312428F2"/>
    <w:rsid w:val="312A7DC4"/>
    <w:rsid w:val="31967F88"/>
    <w:rsid w:val="320F5E87"/>
    <w:rsid w:val="32904FFC"/>
    <w:rsid w:val="32E034E8"/>
    <w:rsid w:val="334A0512"/>
    <w:rsid w:val="336851BD"/>
    <w:rsid w:val="339662FF"/>
    <w:rsid w:val="33A3357F"/>
    <w:rsid w:val="33BB799C"/>
    <w:rsid w:val="33F73134"/>
    <w:rsid w:val="34276D26"/>
    <w:rsid w:val="34C712D9"/>
    <w:rsid w:val="3518001A"/>
    <w:rsid w:val="35A7289B"/>
    <w:rsid w:val="35C339D4"/>
    <w:rsid w:val="35F03CD8"/>
    <w:rsid w:val="360C02A2"/>
    <w:rsid w:val="36A02E2B"/>
    <w:rsid w:val="36C1706E"/>
    <w:rsid w:val="36DE5455"/>
    <w:rsid w:val="3780436F"/>
    <w:rsid w:val="37CB5D1A"/>
    <w:rsid w:val="37E22162"/>
    <w:rsid w:val="385F3650"/>
    <w:rsid w:val="38E86458"/>
    <w:rsid w:val="39934CA7"/>
    <w:rsid w:val="3999711F"/>
    <w:rsid w:val="39B4157B"/>
    <w:rsid w:val="39D126C6"/>
    <w:rsid w:val="39DF2271"/>
    <w:rsid w:val="3A120C1D"/>
    <w:rsid w:val="3AF410E4"/>
    <w:rsid w:val="3B2F3164"/>
    <w:rsid w:val="3C4F6F1A"/>
    <w:rsid w:val="3CFD0719"/>
    <w:rsid w:val="3D5F08B1"/>
    <w:rsid w:val="3D9B0FDA"/>
    <w:rsid w:val="3DE715D1"/>
    <w:rsid w:val="3E0C635B"/>
    <w:rsid w:val="3E983C99"/>
    <w:rsid w:val="3EA1086B"/>
    <w:rsid w:val="3EF2616B"/>
    <w:rsid w:val="3F96020B"/>
    <w:rsid w:val="3FB96101"/>
    <w:rsid w:val="40203753"/>
    <w:rsid w:val="402D7BDC"/>
    <w:rsid w:val="40D56462"/>
    <w:rsid w:val="40F728B6"/>
    <w:rsid w:val="40F90670"/>
    <w:rsid w:val="413C5988"/>
    <w:rsid w:val="4180314C"/>
    <w:rsid w:val="41847666"/>
    <w:rsid w:val="41B56A67"/>
    <w:rsid w:val="42434B7A"/>
    <w:rsid w:val="42490E1A"/>
    <w:rsid w:val="42BB7450"/>
    <w:rsid w:val="438F7721"/>
    <w:rsid w:val="43973E8B"/>
    <w:rsid w:val="43CF0940"/>
    <w:rsid w:val="43DF4E9A"/>
    <w:rsid w:val="444A7FC7"/>
    <w:rsid w:val="445A24AC"/>
    <w:rsid w:val="446B25C1"/>
    <w:rsid w:val="44890AEF"/>
    <w:rsid w:val="458233D1"/>
    <w:rsid w:val="45975184"/>
    <w:rsid w:val="46235D12"/>
    <w:rsid w:val="46686840"/>
    <w:rsid w:val="467E01F8"/>
    <w:rsid w:val="467E1365"/>
    <w:rsid w:val="46876EFC"/>
    <w:rsid w:val="46AD0F3A"/>
    <w:rsid w:val="46B6715B"/>
    <w:rsid w:val="47032FAD"/>
    <w:rsid w:val="473108D5"/>
    <w:rsid w:val="47B71E17"/>
    <w:rsid w:val="47B93B7E"/>
    <w:rsid w:val="47CD3A85"/>
    <w:rsid w:val="482D3E87"/>
    <w:rsid w:val="48D16567"/>
    <w:rsid w:val="48F0693B"/>
    <w:rsid w:val="49235D7F"/>
    <w:rsid w:val="4977360C"/>
    <w:rsid w:val="4A283001"/>
    <w:rsid w:val="4A3976E9"/>
    <w:rsid w:val="4AC1073B"/>
    <w:rsid w:val="4B5E3124"/>
    <w:rsid w:val="4BDC0CE4"/>
    <w:rsid w:val="4C682DCD"/>
    <w:rsid w:val="4C787FE8"/>
    <w:rsid w:val="4CE0771A"/>
    <w:rsid w:val="4D026F65"/>
    <w:rsid w:val="4D07114B"/>
    <w:rsid w:val="4D535AFA"/>
    <w:rsid w:val="4D5D469D"/>
    <w:rsid w:val="4E3E739E"/>
    <w:rsid w:val="4E5C6E33"/>
    <w:rsid w:val="4E5D6DDE"/>
    <w:rsid w:val="4EDA3DD4"/>
    <w:rsid w:val="4F8B3C2D"/>
    <w:rsid w:val="503C4702"/>
    <w:rsid w:val="50C114AC"/>
    <w:rsid w:val="513200D9"/>
    <w:rsid w:val="52BE4C92"/>
    <w:rsid w:val="52C54F5B"/>
    <w:rsid w:val="53501E46"/>
    <w:rsid w:val="53AA4F24"/>
    <w:rsid w:val="54532AE7"/>
    <w:rsid w:val="546436BF"/>
    <w:rsid w:val="54CE0935"/>
    <w:rsid w:val="54D61FB2"/>
    <w:rsid w:val="55532A26"/>
    <w:rsid w:val="559F0D0D"/>
    <w:rsid w:val="572C2786"/>
    <w:rsid w:val="575449EC"/>
    <w:rsid w:val="57596A47"/>
    <w:rsid w:val="580021A1"/>
    <w:rsid w:val="58512FF2"/>
    <w:rsid w:val="586616BE"/>
    <w:rsid w:val="58AB4FA6"/>
    <w:rsid w:val="58CF5AF8"/>
    <w:rsid w:val="59517685"/>
    <w:rsid w:val="59C046C9"/>
    <w:rsid w:val="5A0F3736"/>
    <w:rsid w:val="5A31148F"/>
    <w:rsid w:val="5A4518FC"/>
    <w:rsid w:val="5AAA6B08"/>
    <w:rsid w:val="5ABA5A4E"/>
    <w:rsid w:val="5ADF6E59"/>
    <w:rsid w:val="5BA31793"/>
    <w:rsid w:val="5BC264D0"/>
    <w:rsid w:val="5BD81DF8"/>
    <w:rsid w:val="5C007491"/>
    <w:rsid w:val="5C0C6478"/>
    <w:rsid w:val="5C105AC0"/>
    <w:rsid w:val="5CD9499E"/>
    <w:rsid w:val="5D414205"/>
    <w:rsid w:val="5D75252F"/>
    <w:rsid w:val="5D76373B"/>
    <w:rsid w:val="5E2C0E52"/>
    <w:rsid w:val="5E5E5B7C"/>
    <w:rsid w:val="5EA441E4"/>
    <w:rsid w:val="5F075B53"/>
    <w:rsid w:val="5F0925E6"/>
    <w:rsid w:val="5F1523D2"/>
    <w:rsid w:val="5F181747"/>
    <w:rsid w:val="5F531E59"/>
    <w:rsid w:val="5F6E54B0"/>
    <w:rsid w:val="6022461F"/>
    <w:rsid w:val="602B45EE"/>
    <w:rsid w:val="603C3AF1"/>
    <w:rsid w:val="607765E1"/>
    <w:rsid w:val="60FA7BC7"/>
    <w:rsid w:val="60FC519A"/>
    <w:rsid w:val="611E77FA"/>
    <w:rsid w:val="61363D34"/>
    <w:rsid w:val="62D81168"/>
    <w:rsid w:val="6392629A"/>
    <w:rsid w:val="63A80D4A"/>
    <w:rsid w:val="63F672D6"/>
    <w:rsid w:val="64025217"/>
    <w:rsid w:val="6451149D"/>
    <w:rsid w:val="645C727C"/>
    <w:rsid w:val="645F4D82"/>
    <w:rsid w:val="64981A56"/>
    <w:rsid w:val="64BE010E"/>
    <w:rsid w:val="650224CC"/>
    <w:rsid w:val="65287FBB"/>
    <w:rsid w:val="652A1C00"/>
    <w:rsid w:val="652E33B3"/>
    <w:rsid w:val="65946E6D"/>
    <w:rsid w:val="65FC2F35"/>
    <w:rsid w:val="66050CCA"/>
    <w:rsid w:val="661C0D48"/>
    <w:rsid w:val="663D488E"/>
    <w:rsid w:val="66F20969"/>
    <w:rsid w:val="670D7BA8"/>
    <w:rsid w:val="674E14F3"/>
    <w:rsid w:val="69BF6EB2"/>
    <w:rsid w:val="69CA30B8"/>
    <w:rsid w:val="69CD1331"/>
    <w:rsid w:val="6A0522C8"/>
    <w:rsid w:val="6B092761"/>
    <w:rsid w:val="6BF52EE2"/>
    <w:rsid w:val="6C7812C6"/>
    <w:rsid w:val="6C8C2F85"/>
    <w:rsid w:val="6C910103"/>
    <w:rsid w:val="6C97174C"/>
    <w:rsid w:val="6CC65CBE"/>
    <w:rsid w:val="6D4308A7"/>
    <w:rsid w:val="6D7D4DE5"/>
    <w:rsid w:val="6E405E13"/>
    <w:rsid w:val="6E646091"/>
    <w:rsid w:val="6E8715F1"/>
    <w:rsid w:val="6E8C2A19"/>
    <w:rsid w:val="6E8F2563"/>
    <w:rsid w:val="6E91666F"/>
    <w:rsid w:val="6EBB335E"/>
    <w:rsid w:val="6F4D5330"/>
    <w:rsid w:val="6FB6737C"/>
    <w:rsid w:val="6FBB68F4"/>
    <w:rsid w:val="6FD827A7"/>
    <w:rsid w:val="700A02F3"/>
    <w:rsid w:val="709C00B9"/>
    <w:rsid w:val="711C1F1A"/>
    <w:rsid w:val="712B4B58"/>
    <w:rsid w:val="714D6473"/>
    <w:rsid w:val="71A31EFA"/>
    <w:rsid w:val="722C3345"/>
    <w:rsid w:val="727F422E"/>
    <w:rsid w:val="72C13BD3"/>
    <w:rsid w:val="737A26C1"/>
    <w:rsid w:val="74323737"/>
    <w:rsid w:val="74551352"/>
    <w:rsid w:val="748112D1"/>
    <w:rsid w:val="74AD37C7"/>
    <w:rsid w:val="75F84FBF"/>
    <w:rsid w:val="76104D5D"/>
    <w:rsid w:val="764D1BC2"/>
    <w:rsid w:val="76C40769"/>
    <w:rsid w:val="770B6B94"/>
    <w:rsid w:val="771D13D6"/>
    <w:rsid w:val="78423357"/>
    <w:rsid w:val="78523A62"/>
    <w:rsid w:val="785C57B6"/>
    <w:rsid w:val="789B7FE8"/>
    <w:rsid w:val="791478A4"/>
    <w:rsid w:val="79914AD5"/>
    <w:rsid w:val="79974795"/>
    <w:rsid w:val="79B31B8F"/>
    <w:rsid w:val="79E32474"/>
    <w:rsid w:val="79EA26E9"/>
    <w:rsid w:val="7A4B20FB"/>
    <w:rsid w:val="7A6C2163"/>
    <w:rsid w:val="7A751048"/>
    <w:rsid w:val="7A8F0E56"/>
    <w:rsid w:val="7AA15298"/>
    <w:rsid w:val="7B0F68F1"/>
    <w:rsid w:val="7C3570AE"/>
    <w:rsid w:val="7C715320"/>
    <w:rsid w:val="7C8E608F"/>
    <w:rsid w:val="7D01060F"/>
    <w:rsid w:val="7D231913"/>
    <w:rsid w:val="7D3C67E0"/>
    <w:rsid w:val="7D620078"/>
    <w:rsid w:val="7DF924EE"/>
    <w:rsid w:val="7E9D2C38"/>
    <w:rsid w:val="7F08472B"/>
    <w:rsid w:val="7F13447F"/>
    <w:rsid w:val="7F1F7B84"/>
    <w:rsid w:val="7FC243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0" w:semiHidden="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qFormat/>
    <w:uiPriority w:val="0"/>
    <w:pPr>
      <w:keepNext/>
      <w:jc w:val="center"/>
      <w:outlineLvl w:val="0"/>
    </w:pPr>
    <w:rPr>
      <w:rFonts w:ascii="隶书" w:eastAsia="隶书"/>
      <w:b/>
      <w:bCs/>
    </w:rPr>
  </w:style>
  <w:style w:type="paragraph" w:styleId="7">
    <w:name w:val="heading 2"/>
    <w:basedOn w:val="1"/>
    <w:next w:val="1"/>
    <w:link w:val="66"/>
    <w:qFormat/>
    <w:uiPriority w:val="0"/>
    <w:pPr>
      <w:keepNext/>
      <w:keepLines/>
      <w:spacing w:before="260" w:after="260" w:line="415" w:lineRule="auto"/>
      <w:outlineLvl w:val="1"/>
    </w:pPr>
    <w:rPr>
      <w:rFonts w:ascii="PMingLiU" w:hAnsi="PMingLiU" w:eastAsia="Helvetica"/>
      <w:b/>
      <w:bCs/>
      <w:sz w:val="32"/>
      <w:szCs w:val="32"/>
    </w:rPr>
  </w:style>
  <w:style w:type="paragraph" w:styleId="8">
    <w:name w:val="heading 3"/>
    <w:basedOn w:val="1"/>
    <w:next w:val="1"/>
    <w:link w:val="67"/>
    <w:qFormat/>
    <w:uiPriority w:val="0"/>
    <w:pPr>
      <w:keepNext/>
      <w:keepLines/>
      <w:spacing w:before="260" w:after="260" w:line="415" w:lineRule="auto"/>
      <w:outlineLvl w:val="2"/>
    </w:pPr>
    <w:rPr>
      <w:rFonts w:eastAsia="Helvetica"/>
      <w:b/>
      <w:bCs/>
      <w:sz w:val="32"/>
      <w:szCs w:val="32"/>
    </w:rPr>
  </w:style>
  <w:style w:type="paragraph" w:styleId="9">
    <w:name w:val="heading 4"/>
    <w:basedOn w:val="1"/>
    <w:next w:val="1"/>
    <w:link w:val="68"/>
    <w:qFormat/>
    <w:uiPriority w:val="0"/>
    <w:pPr>
      <w:keepNext/>
      <w:keepLines/>
      <w:spacing w:before="280" w:after="290" w:line="374" w:lineRule="auto"/>
      <w:outlineLvl w:val="3"/>
    </w:pPr>
    <w:rPr>
      <w:rFonts w:ascii="PMingLiU" w:hAnsi="PMingLiU" w:eastAsia="Helvetica"/>
      <w:b/>
      <w:bCs/>
      <w:sz w:val="28"/>
      <w:szCs w:val="28"/>
    </w:rPr>
  </w:style>
  <w:style w:type="paragraph" w:styleId="10">
    <w:name w:val="heading 5"/>
    <w:basedOn w:val="1"/>
    <w:next w:val="1"/>
    <w:link w:val="69"/>
    <w:qFormat/>
    <w:uiPriority w:val="0"/>
    <w:pPr>
      <w:keepNext/>
      <w:keepLines/>
      <w:spacing w:before="280" w:after="290" w:line="374" w:lineRule="auto"/>
      <w:outlineLvl w:val="4"/>
    </w:pPr>
    <w:rPr>
      <w:rFonts w:eastAsia="Helvetica"/>
      <w:b/>
      <w:bCs/>
      <w:sz w:val="28"/>
      <w:szCs w:val="28"/>
    </w:rPr>
  </w:style>
  <w:style w:type="paragraph" w:styleId="11">
    <w:name w:val="heading 6"/>
    <w:basedOn w:val="1"/>
    <w:next w:val="1"/>
    <w:link w:val="70"/>
    <w:qFormat/>
    <w:uiPriority w:val="0"/>
    <w:pPr>
      <w:widowControl/>
      <w:tabs>
        <w:tab w:val="left" w:pos="765"/>
      </w:tabs>
      <w:autoSpaceDE w:val="0"/>
      <w:autoSpaceDN w:val="0"/>
      <w:adjustRightInd w:val="0"/>
      <w:spacing w:line="360" w:lineRule="auto"/>
      <w:ind w:left="1134" w:hanging="680"/>
      <w:jc w:val="left"/>
      <w:outlineLvl w:val="5"/>
    </w:pPr>
    <w:rPr>
      <w:rFonts w:ascii="宋体,Verdana,Arial" w:hAnsi="宋体,Verdana,Arial" w:eastAsia="黑体"/>
      <w:kern w:val="0"/>
      <w:szCs w:val="21"/>
    </w:rPr>
  </w:style>
  <w:style w:type="paragraph" w:styleId="12">
    <w:name w:val="heading 7"/>
    <w:basedOn w:val="1"/>
    <w:next w:val="1"/>
    <w:link w:val="71"/>
    <w:qFormat/>
    <w:uiPriority w:val="0"/>
    <w:pPr>
      <w:widowControl/>
      <w:tabs>
        <w:tab w:val="left" w:pos="765"/>
      </w:tabs>
      <w:autoSpaceDE w:val="0"/>
      <w:autoSpaceDN w:val="0"/>
      <w:adjustRightInd w:val="0"/>
      <w:spacing w:line="360" w:lineRule="auto"/>
      <w:ind w:left="1134" w:hanging="680"/>
      <w:jc w:val="left"/>
      <w:outlineLvl w:val="6"/>
    </w:pPr>
    <w:rPr>
      <w:rFonts w:ascii="宋体,Verdana,Arial" w:hAnsi="宋体,Verdana,Arial" w:eastAsia="黑体"/>
      <w:kern w:val="0"/>
      <w:szCs w:val="21"/>
    </w:rPr>
  </w:style>
  <w:style w:type="paragraph" w:styleId="13">
    <w:name w:val="heading 8"/>
    <w:basedOn w:val="1"/>
    <w:next w:val="1"/>
    <w:link w:val="72"/>
    <w:qFormat/>
    <w:uiPriority w:val="0"/>
    <w:pPr>
      <w:keepLines/>
      <w:tabs>
        <w:tab w:val="left" w:pos="1638"/>
      </w:tabs>
      <w:autoSpaceDE w:val="0"/>
      <w:autoSpaceDN w:val="0"/>
      <w:adjustRightInd w:val="0"/>
      <w:spacing w:before="240" w:after="64" w:line="319" w:lineRule="auto"/>
      <w:ind w:left="1638" w:hanging="1440"/>
      <w:jc w:val="left"/>
      <w:outlineLvl w:val="7"/>
    </w:pPr>
    <w:rPr>
      <w:rFonts w:ascii="宋体,Verdana,Arial" w:hAnsi="宋体,Verdana,Arial" w:eastAsia="黑体"/>
      <w:kern w:val="0"/>
      <w:sz w:val="24"/>
      <w:szCs w:val="20"/>
    </w:rPr>
  </w:style>
  <w:style w:type="paragraph" w:styleId="14">
    <w:name w:val="heading 9"/>
    <w:basedOn w:val="1"/>
    <w:next w:val="1"/>
    <w:link w:val="73"/>
    <w:qFormat/>
    <w:uiPriority w:val="0"/>
    <w:pPr>
      <w:keepLines/>
      <w:tabs>
        <w:tab w:val="left" w:pos="1782"/>
      </w:tabs>
      <w:autoSpaceDE w:val="0"/>
      <w:autoSpaceDN w:val="0"/>
      <w:adjustRightInd w:val="0"/>
      <w:spacing w:before="240" w:after="64" w:line="319" w:lineRule="auto"/>
      <w:ind w:left="1782" w:hanging="1584"/>
      <w:jc w:val="left"/>
      <w:outlineLvl w:val="8"/>
    </w:pPr>
    <w:rPr>
      <w:rFonts w:ascii="宋体,Verdana,Arial" w:hAnsi="宋体,Verdana,Arial" w:eastAsia="黑体"/>
      <w:kern w:val="0"/>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link w:val="63"/>
    <w:qFormat/>
    <w:uiPriority w:val="0"/>
    <w:pPr>
      <w:spacing w:after="120"/>
    </w:pPr>
    <w:rPr>
      <w:rFonts w:eastAsia="Helvetica"/>
    </w:r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5">
    <w:name w:val="macro"/>
    <w:link w:val="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Vijaya" w:hAnsi="Vijaya" w:eastAsia="宋体" w:cs="Times New Roman"/>
      <w:kern w:val="2"/>
      <w:sz w:val="24"/>
      <w:szCs w:val="24"/>
      <w:lang w:val="en-US" w:eastAsia="zh-CN" w:bidi="ar-SA"/>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next w:val="1"/>
    <w:link w:val="74"/>
    <w:qFormat/>
    <w:uiPriority w:val="99"/>
    <w:pPr>
      <w:adjustRightInd w:val="0"/>
      <w:spacing w:line="312" w:lineRule="atLeast"/>
      <w:ind w:firstLine="420"/>
      <w:textAlignment w:val="baseline"/>
    </w:pPr>
    <w:rPr>
      <w:rFonts w:eastAsia="Helvetica"/>
      <w:kern w:val="0"/>
      <w:szCs w:val="20"/>
    </w:rPr>
  </w:style>
  <w:style w:type="paragraph" w:styleId="18">
    <w:name w:val="caption"/>
    <w:basedOn w:val="1"/>
    <w:next w:val="1"/>
    <w:qFormat/>
    <w:uiPriority w:val="0"/>
    <w:pPr>
      <w:autoSpaceDE w:val="0"/>
      <w:autoSpaceDN w:val="0"/>
      <w:adjustRightInd w:val="0"/>
      <w:jc w:val="left"/>
    </w:pPr>
    <w:rPr>
      <w:rFonts w:ascii="宋体,Verdana,Arial" w:hAnsi="宋体,Verdana,Arial" w:eastAsia="黑体" w:cs="宋体,Verdana,Arial"/>
      <w:kern w:val="0"/>
      <w:sz w:val="20"/>
      <w:szCs w:val="20"/>
    </w:rPr>
  </w:style>
  <w:style w:type="paragraph" w:styleId="19">
    <w:name w:val="List Bullet"/>
    <w:basedOn w:val="1"/>
    <w:qFormat/>
    <w:uiPriority w:val="0"/>
    <w:pPr>
      <w:tabs>
        <w:tab w:val="left" w:pos="360"/>
      </w:tabs>
      <w:ind w:left="360" w:hanging="360"/>
    </w:pPr>
    <w:rPr>
      <w:rFonts w:ascii="Century Gothic" w:hAnsi="Century Gothic"/>
      <w:szCs w:val="22"/>
    </w:rPr>
  </w:style>
  <w:style w:type="paragraph" w:styleId="20">
    <w:name w:val="Document Map"/>
    <w:basedOn w:val="1"/>
    <w:link w:val="75"/>
    <w:qFormat/>
    <w:uiPriority w:val="0"/>
    <w:pPr>
      <w:shd w:val="clear" w:color="auto" w:fill="000080"/>
    </w:pPr>
    <w:rPr>
      <w:rFonts w:eastAsia="Helvetica"/>
    </w:rPr>
  </w:style>
  <w:style w:type="paragraph" w:styleId="21">
    <w:name w:val="annotation text"/>
    <w:basedOn w:val="1"/>
    <w:link w:val="76"/>
    <w:qFormat/>
    <w:uiPriority w:val="0"/>
    <w:pPr>
      <w:jc w:val="left"/>
    </w:pPr>
    <w:rPr>
      <w:rFonts w:eastAsia="Helvetica"/>
    </w:rPr>
  </w:style>
  <w:style w:type="paragraph" w:styleId="22">
    <w:name w:val="Salutation"/>
    <w:basedOn w:val="1"/>
    <w:next w:val="1"/>
    <w:qFormat/>
    <w:uiPriority w:val="0"/>
    <w:pPr>
      <w:tabs>
        <w:tab w:val="left" w:pos="840"/>
      </w:tabs>
      <w:autoSpaceDE w:val="0"/>
      <w:autoSpaceDN w:val="0"/>
      <w:adjustRightInd w:val="0"/>
      <w:jc w:val="left"/>
    </w:pPr>
    <w:rPr>
      <w:kern w:val="0"/>
      <w:sz w:val="24"/>
      <w:szCs w:val="20"/>
    </w:rPr>
  </w:style>
  <w:style w:type="paragraph" w:styleId="23">
    <w:name w:val="Body Text 3"/>
    <w:basedOn w:val="1"/>
    <w:qFormat/>
    <w:uiPriority w:val="0"/>
    <w:pPr>
      <w:autoSpaceDE w:val="0"/>
      <w:autoSpaceDN w:val="0"/>
      <w:adjustRightInd w:val="0"/>
      <w:jc w:val="center"/>
    </w:pPr>
    <w:rPr>
      <w:kern w:val="0"/>
      <w:sz w:val="20"/>
      <w:szCs w:val="20"/>
    </w:rPr>
  </w:style>
  <w:style w:type="paragraph" w:styleId="24">
    <w:name w:val="Body Text Indent"/>
    <w:basedOn w:val="1"/>
    <w:link w:val="77"/>
    <w:qFormat/>
    <w:uiPriority w:val="0"/>
    <w:pPr>
      <w:ind w:left="480" w:hanging="480" w:hangingChars="200"/>
    </w:pPr>
    <w:rPr>
      <w:rFonts w:eastAsia="Helvetica"/>
      <w:sz w:val="24"/>
    </w:rPr>
  </w:style>
  <w:style w:type="paragraph" w:styleId="25">
    <w:name w:val="List Number 3"/>
    <w:basedOn w:val="1"/>
    <w:qFormat/>
    <w:uiPriority w:val="0"/>
    <w:pPr>
      <w:tabs>
        <w:tab w:val="left" w:pos="1200"/>
      </w:tabs>
      <w:ind w:left="1200" w:leftChars="400" w:hanging="360" w:hangingChars="200"/>
    </w:p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30"/>
    <w:link w:val="78"/>
    <w:qFormat/>
    <w:uiPriority w:val="0"/>
    <w:pPr>
      <w:widowControl/>
      <w:overflowPunct w:val="0"/>
      <w:autoSpaceDE w:val="0"/>
      <w:autoSpaceDN w:val="0"/>
      <w:adjustRightInd w:val="0"/>
      <w:jc w:val="left"/>
      <w:textAlignment w:val="baseline"/>
    </w:pPr>
    <w:rPr>
      <w:rFonts w:ascii="Helvetica" w:hAnsi="Vijaya" w:eastAsia="Helvetica"/>
      <w:kern w:val="0"/>
      <w:szCs w:val="21"/>
    </w:rPr>
  </w:style>
  <w:style w:type="paragraph" w:styleId="30">
    <w:name w:val="toc 2"/>
    <w:basedOn w:val="1"/>
    <w:next w:val="1"/>
    <w:qFormat/>
    <w:uiPriority w:val="39"/>
    <w:pPr>
      <w:ind w:left="420" w:leftChars="200"/>
    </w:p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79"/>
    <w:qFormat/>
    <w:uiPriority w:val="0"/>
    <w:pPr>
      <w:ind w:left="100" w:leftChars="2500"/>
    </w:pPr>
    <w:rPr>
      <w:rFonts w:eastAsia="Helvetica"/>
    </w:rPr>
  </w:style>
  <w:style w:type="paragraph" w:styleId="34">
    <w:name w:val="Body Text Indent 2"/>
    <w:basedOn w:val="1"/>
    <w:next w:val="35"/>
    <w:link w:val="80"/>
    <w:qFormat/>
    <w:uiPriority w:val="0"/>
    <w:pPr>
      <w:spacing w:line="500" w:lineRule="exact"/>
      <w:ind w:firstLine="511" w:firstLineChars="213"/>
    </w:pPr>
    <w:rPr>
      <w:rFonts w:eastAsia="Helvetica"/>
      <w:sz w:val="24"/>
    </w:rPr>
  </w:style>
  <w:style w:type="paragraph" w:customStyle="1" w:styleId="35">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36">
    <w:name w:val="Balloon Text"/>
    <w:basedOn w:val="1"/>
    <w:link w:val="81"/>
    <w:qFormat/>
    <w:uiPriority w:val="0"/>
    <w:rPr>
      <w:rFonts w:eastAsia="Helvetica"/>
      <w:sz w:val="18"/>
      <w:szCs w:val="18"/>
    </w:rPr>
  </w:style>
  <w:style w:type="paragraph" w:styleId="37">
    <w:name w:val="footer"/>
    <w:basedOn w:val="1"/>
    <w:link w:val="82"/>
    <w:qFormat/>
    <w:uiPriority w:val="0"/>
    <w:pPr>
      <w:tabs>
        <w:tab w:val="center" w:pos="4153"/>
        <w:tab w:val="right" w:pos="8306"/>
      </w:tabs>
      <w:snapToGrid w:val="0"/>
      <w:jc w:val="left"/>
    </w:pPr>
    <w:rPr>
      <w:rFonts w:eastAsia="Helvetica"/>
      <w:sz w:val="18"/>
      <w:szCs w:val="18"/>
    </w:rPr>
  </w:style>
  <w:style w:type="paragraph" w:styleId="38">
    <w:name w:val="header"/>
    <w:basedOn w:val="1"/>
    <w:link w:val="83"/>
    <w:qFormat/>
    <w:uiPriority w:val="0"/>
    <w:pPr>
      <w:pBdr>
        <w:bottom w:val="single" w:color="auto" w:sz="6" w:space="1"/>
      </w:pBdr>
      <w:tabs>
        <w:tab w:val="center" w:pos="4153"/>
        <w:tab w:val="right" w:pos="8306"/>
      </w:tabs>
      <w:snapToGrid w:val="0"/>
      <w:jc w:val="center"/>
    </w:pPr>
    <w:rPr>
      <w:rFonts w:eastAsia="Helvetica"/>
      <w:sz w:val="18"/>
      <w:szCs w:val="18"/>
    </w:rPr>
  </w:style>
  <w:style w:type="paragraph" w:styleId="39">
    <w:name w:val="Signature"/>
    <w:basedOn w:val="1"/>
    <w:qFormat/>
    <w:uiPriority w:val="0"/>
    <w:pPr>
      <w:autoSpaceDE w:val="0"/>
      <w:autoSpaceDN w:val="0"/>
      <w:adjustRightInd w:val="0"/>
      <w:spacing w:after="600" w:line="312" w:lineRule="atLeast"/>
      <w:jc w:val="center"/>
      <w:textAlignment w:val="baseline"/>
    </w:pPr>
    <w:rPr>
      <w:rFonts w:eastAsia="Tahoma"/>
      <w:kern w:val="0"/>
      <w:sz w:val="24"/>
      <w:szCs w:val="20"/>
    </w:rPr>
  </w:style>
  <w:style w:type="paragraph" w:styleId="40">
    <w:name w:val="toc 1"/>
    <w:basedOn w:val="1"/>
    <w:next w:val="1"/>
    <w:qFormat/>
    <w:uiPriority w:val="39"/>
    <w:pPr>
      <w:tabs>
        <w:tab w:val="right" w:leader="dot" w:pos="9628"/>
      </w:tabs>
      <w:spacing w:line="480" w:lineRule="auto"/>
    </w:pPr>
    <w:rPr>
      <w:rFonts w:ascii="宋体,Verdana,Arial" w:hAnsi="宋体,Verdana,Arial" w:eastAsia="Arial Unicode MS" w:cs="宋体,Verdana,Arial"/>
      <w:bCs/>
      <w:sz w:val="24"/>
    </w:rPr>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84"/>
    <w:qFormat/>
    <w:uiPriority w:val="0"/>
    <w:pPr>
      <w:spacing w:before="240" w:after="60" w:line="312" w:lineRule="auto"/>
      <w:jc w:val="center"/>
      <w:outlineLvl w:val="1"/>
    </w:pPr>
    <w:rPr>
      <w:rFonts w:ascii="PMingLiU" w:hAnsi="PMingLiU" w:eastAsia="Helvetic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Body Text Indent 3"/>
    <w:basedOn w:val="1"/>
    <w:link w:val="85"/>
    <w:qFormat/>
    <w:uiPriority w:val="0"/>
    <w:pPr>
      <w:spacing w:line="500" w:lineRule="exact"/>
      <w:ind w:left="511" w:hanging="511" w:hangingChars="213"/>
    </w:pPr>
    <w:rPr>
      <w:rFonts w:eastAsia="Helvetica"/>
      <w:sz w:val="24"/>
    </w:r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after="120" w:line="480" w:lineRule="auto"/>
      <w:jc w:val="left"/>
    </w:pPr>
    <w:rPr>
      <w:kern w:val="0"/>
      <w:sz w:val="20"/>
      <w:szCs w:val="20"/>
    </w:rPr>
  </w:style>
  <w:style w:type="paragraph" w:styleId="47">
    <w:name w:val="Normal (Web)"/>
    <w:basedOn w:val="1"/>
    <w:qFormat/>
    <w:uiPriority w:val="0"/>
    <w:pPr>
      <w:widowControl/>
      <w:spacing w:before="100" w:beforeAutospacing="1" w:after="100" w:afterAutospacing="1"/>
      <w:jc w:val="left"/>
    </w:pPr>
    <w:rPr>
      <w:rFonts w:ascii="Helvetica" w:hAnsi="Helvetica" w:cs="Helvetica"/>
      <w:kern w:val="0"/>
      <w:sz w:val="24"/>
    </w:rPr>
  </w:style>
  <w:style w:type="paragraph" w:styleId="48">
    <w:name w:val="Title"/>
    <w:basedOn w:val="1"/>
    <w:link w:val="86"/>
    <w:qFormat/>
    <w:uiPriority w:val="0"/>
    <w:pPr>
      <w:autoSpaceDE w:val="0"/>
      <w:autoSpaceDN w:val="0"/>
      <w:adjustRightInd w:val="0"/>
      <w:spacing w:before="240" w:after="60"/>
      <w:jc w:val="center"/>
      <w:outlineLvl w:val="0"/>
    </w:pPr>
    <w:rPr>
      <w:rFonts w:ascii="PMingLiU" w:hAnsi="PMingLiU" w:eastAsia="Helvetica"/>
      <w:b/>
      <w:bCs/>
      <w:kern w:val="0"/>
      <w:sz w:val="32"/>
      <w:szCs w:val="32"/>
    </w:rPr>
  </w:style>
  <w:style w:type="paragraph" w:styleId="49">
    <w:name w:val="annotation subject"/>
    <w:basedOn w:val="21"/>
    <w:next w:val="21"/>
    <w:link w:val="87"/>
    <w:qFormat/>
    <w:uiPriority w:val="0"/>
    <w:rPr>
      <w:b/>
      <w:bCs/>
    </w:rPr>
  </w:style>
  <w:style w:type="paragraph" w:styleId="50">
    <w:name w:val="Body Text First Indent 2"/>
    <w:basedOn w:val="24"/>
    <w:qFormat/>
    <w:uiPriority w:val="0"/>
    <w:pPr>
      <w:spacing w:after="120"/>
      <w:ind w:left="420" w:leftChars="200" w:firstLine="420" w:firstLineChars="200"/>
    </w:pPr>
    <w:rPr>
      <w:rFonts w:ascii="等线" w:hAnsi="等线" w:eastAsia="Arial Unicode MS" w:cs="等线"/>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line number"/>
    <w:qFormat/>
    <w:uiPriority w:val="0"/>
  </w:style>
  <w:style w:type="character" w:styleId="59">
    <w:name w:val="Hyperlink"/>
    <w:qFormat/>
    <w:uiPriority w:val="99"/>
    <w:rPr>
      <w:color w:val="000000"/>
      <w:sz w:val="20"/>
      <w:szCs w:val="20"/>
      <w:u w:val="none"/>
    </w:rPr>
  </w:style>
  <w:style w:type="character" w:styleId="60">
    <w:name w:val="annotation reference"/>
    <w:qFormat/>
    <w:uiPriority w:val="0"/>
    <w:rPr>
      <w:sz w:val="21"/>
      <w:szCs w:val="21"/>
    </w:rPr>
  </w:style>
  <w:style w:type="character" w:styleId="61">
    <w:name w:val="HTML Cite"/>
    <w:qFormat/>
    <w:uiPriority w:val="0"/>
    <w:rPr>
      <w:color w:val="008000"/>
    </w:rPr>
  </w:style>
  <w:style w:type="paragraph" w:customStyle="1" w:styleId="62">
    <w:name w:val="Default"/>
    <w:next w:val="1"/>
    <w:qFormat/>
    <w:uiPriority w:val="0"/>
    <w:pPr>
      <w:widowControl w:val="0"/>
      <w:autoSpaceDE w:val="0"/>
      <w:autoSpaceDN w:val="0"/>
      <w:adjustRightInd w:val="0"/>
    </w:pPr>
    <w:rPr>
      <w:rFonts w:ascii="Helvetica" w:hAnsi="Times New Roman" w:eastAsia="宋体" w:cs="Helvetica"/>
      <w:color w:val="000000"/>
      <w:sz w:val="24"/>
      <w:szCs w:val="24"/>
      <w:lang w:val="en-US" w:eastAsia="zh-CN" w:bidi="ar-SA"/>
    </w:rPr>
  </w:style>
  <w:style w:type="character" w:customStyle="1" w:styleId="63">
    <w:name w:val="正文文本 字符"/>
    <w:link w:val="3"/>
    <w:qFormat/>
    <w:uiPriority w:val="0"/>
    <w:rPr>
      <w:rFonts w:eastAsia="Helvetica"/>
      <w:kern w:val="2"/>
      <w:sz w:val="21"/>
      <w:szCs w:val="24"/>
      <w:lang w:val="en-US" w:eastAsia="zh-CN" w:bidi="ar-SA"/>
    </w:rPr>
  </w:style>
  <w:style w:type="character" w:customStyle="1" w:styleId="64">
    <w:name w:val="宏文本 字符"/>
    <w:link w:val="5"/>
    <w:qFormat/>
    <w:uiPriority w:val="0"/>
    <w:rPr>
      <w:rFonts w:ascii="Vijaya" w:hAnsi="Vijaya"/>
      <w:kern w:val="2"/>
      <w:sz w:val="24"/>
      <w:szCs w:val="24"/>
      <w:lang w:val="en-US" w:eastAsia="zh-CN" w:bidi="ar-SA"/>
    </w:rPr>
  </w:style>
  <w:style w:type="character" w:customStyle="1" w:styleId="65">
    <w:name w:val="标题 1 字符"/>
    <w:link w:val="6"/>
    <w:qFormat/>
    <w:uiPriority w:val="0"/>
    <w:rPr>
      <w:rFonts w:ascii="隶书" w:eastAsia="隶书"/>
      <w:b/>
      <w:bCs/>
      <w:kern w:val="2"/>
      <w:sz w:val="21"/>
      <w:szCs w:val="24"/>
      <w:lang w:val="en-US" w:eastAsia="zh-CN" w:bidi="ar-SA"/>
    </w:rPr>
  </w:style>
  <w:style w:type="character" w:customStyle="1" w:styleId="66">
    <w:name w:val="标题 2 字符"/>
    <w:link w:val="7"/>
    <w:qFormat/>
    <w:uiPriority w:val="0"/>
    <w:rPr>
      <w:rFonts w:ascii="PMingLiU" w:hAnsi="PMingLiU" w:eastAsia="Helvetica"/>
      <w:b/>
      <w:bCs/>
      <w:kern w:val="2"/>
      <w:sz w:val="32"/>
      <w:szCs w:val="32"/>
      <w:lang w:val="en-US" w:eastAsia="zh-CN" w:bidi="ar-SA"/>
    </w:rPr>
  </w:style>
  <w:style w:type="character" w:customStyle="1" w:styleId="67">
    <w:name w:val="标题 3 字符"/>
    <w:link w:val="8"/>
    <w:qFormat/>
    <w:uiPriority w:val="0"/>
    <w:rPr>
      <w:rFonts w:eastAsia="Helvetica"/>
      <w:b/>
      <w:bCs/>
      <w:kern w:val="2"/>
      <w:sz w:val="32"/>
      <w:szCs w:val="32"/>
      <w:lang w:val="en-US" w:eastAsia="zh-CN" w:bidi="ar-SA"/>
    </w:rPr>
  </w:style>
  <w:style w:type="character" w:customStyle="1" w:styleId="68">
    <w:name w:val="标题 4 字符"/>
    <w:link w:val="9"/>
    <w:qFormat/>
    <w:uiPriority w:val="0"/>
    <w:rPr>
      <w:rFonts w:ascii="PMingLiU" w:hAnsi="PMingLiU" w:eastAsia="Helvetica"/>
      <w:b/>
      <w:bCs/>
      <w:kern w:val="2"/>
      <w:sz w:val="28"/>
      <w:szCs w:val="28"/>
      <w:lang w:val="en-US" w:eastAsia="zh-CN" w:bidi="ar-SA"/>
    </w:rPr>
  </w:style>
  <w:style w:type="character" w:customStyle="1" w:styleId="69">
    <w:name w:val="标题 5 字符"/>
    <w:link w:val="10"/>
    <w:qFormat/>
    <w:uiPriority w:val="0"/>
    <w:rPr>
      <w:rFonts w:eastAsia="Helvetica"/>
      <w:b/>
      <w:bCs/>
      <w:kern w:val="2"/>
      <w:sz w:val="28"/>
      <w:szCs w:val="28"/>
      <w:lang w:val="en-US" w:eastAsia="zh-CN" w:bidi="ar-SA"/>
    </w:rPr>
  </w:style>
  <w:style w:type="character" w:customStyle="1" w:styleId="70">
    <w:name w:val="标题 6 字符"/>
    <w:link w:val="11"/>
    <w:qFormat/>
    <w:uiPriority w:val="0"/>
    <w:rPr>
      <w:rFonts w:ascii="宋体,Verdana,Arial" w:hAnsi="宋体,Verdana,Arial" w:eastAsia="黑体"/>
      <w:sz w:val="21"/>
      <w:szCs w:val="21"/>
      <w:lang w:val="en-US" w:eastAsia="zh-CN" w:bidi="ar-SA"/>
    </w:rPr>
  </w:style>
  <w:style w:type="character" w:customStyle="1" w:styleId="71">
    <w:name w:val="标题 7 字符"/>
    <w:link w:val="12"/>
    <w:qFormat/>
    <w:uiPriority w:val="0"/>
    <w:rPr>
      <w:rFonts w:ascii="宋体,Verdana,Arial" w:hAnsi="宋体,Verdana,Arial" w:eastAsia="黑体"/>
      <w:sz w:val="21"/>
      <w:szCs w:val="21"/>
      <w:lang w:val="en-US" w:eastAsia="zh-CN" w:bidi="ar-SA"/>
    </w:rPr>
  </w:style>
  <w:style w:type="character" w:customStyle="1" w:styleId="72">
    <w:name w:val="标题 8 字符"/>
    <w:link w:val="13"/>
    <w:qFormat/>
    <w:uiPriority w:val="0"/>
    <w:rPr>
      <w:rFonts w:ascii="宋体,Verdana,Arial" w:hAnsi="宋体,Verdana,Arial" w:eastAsia="黑体"/>
      <w:sz w:val="24"/>
      <w:lang w:val="en-US" w:eastAsia="zh-CN" w:bidi="ar-SA"/>
    </w:rPr>
  </w:style>
  <w:style w:type="character" w:customStyle="1" w:styleId="73">
    <w:name w:val="标题 9 字符"/>
    <w:link w:val="14"/>
    <w:qFormat/>
    <w:uiPriority w:val="0"/>
    <w:rPr>
      <w:rFonts w:ascii="宋体,Verdana,Arial" w:hAnsi="宋体,Verdana,Arial" w:eastAsia="黑体"/>
      <w:sz w:val="21"/>
      <w:lang w:val="en-US" w:eastAsia="zh-CN" w:bidi="ar-SA"/>
    </w:rPr>
  </w:style>
  <w:style w:type="character" w:customStyle="1" w:styleId="74">
    <w:name w:val="正文缩进 字符"/>
    <w:link w:val="17"/>
    <w:qFormat/>
    <w:uiPriority w:val="0"/>
    <w:rPr>
      <w:rFonts w:eastAsia="Helvetica"/>
      <w:sz w:val="21"/>
      <w:lang w:val="en-US" w:eastAsia="zh-CN" w:bidi="ar-SA"/>
    </w:rPr>
  </w:style>
  <w:style w:type="character" w:customStyle="1" w:styleId="75">
    <w:name w:val="文档结构图 字符"/>
    <w:link w:val="20"/>
    <w:qFormat/>
    <w:uiPriority w:val="0"/>
    <w:rPr>
      <w:rFonts w:eastAsia="Helvetica"/>
      <w:kern w:val="2"/>
      <w:sz w:val="21"/>
      <w:szCs w:val="24"/>
      <w:lang w:val="en-US" w:eastAsia="zh-CN" w:bidi="ar-SA"/>
    </w:rPr>
  </w:style>
  <w:style w:type="character" w:customStyle="1" w:styleId="76">
    <w:name w:val="批注文字 字符"/>
    <w:link w:val="21"/>
    <w:qFormat/>
    <w:uiPriority w:val="0"/>
    <w:rPr>
      <w:rFonts w:eastAsia="Helvetica"/>
      <w:kern w:val="2"/>
      <w:sz w:val="21"/>
      <w:szCs w:val="24"/>
      <w:lang w:val="en-US" w:eastAsia="zh-CN" w:bidi="ar-SA"/>
    </w:rPr>
  </w:style>
  <w:style w:type="character" w:customStyle="1" w:styleId="77">
    <w:name w:val="正文文本缩进 字符"/>
    <w:link w:val="24"/>
    <w:qFormat/>
    <w:uiPriority w:val="0"/>
    <w:rPr>
      <w:rFonts w:eastAsia="Helvetica"/>
      <w:kern w:val="2"/>
      <w:sz w:val="24"/>
      <w:szCs w:val="24"/>
      <w:lang w:val="en-US" w:eastAsia="zh-CN" w:bidi="ar-SA"/>
    </w:rPr>
  </w:style>
  <w:style w:type="character" w:customStyle="1" w:styleId="78">
    <w:name w:val="纯文本 字符1"/>
    <w:link w:val="29"/>
    <w:qFormat/>
    <w:uiPriority w:val="0"/>
    <w:rPr>
      <w:rFonts w:ascii="Helvetica" w:hAnsi="Vijaya" w:eastAsia="Helvetica"/>
      <w:sz w:val="21"/>
      <w:szCs w:val="21"/>
      <w:lang w:val="en-US" w:eastAsia="zh-CN" w:bidi="ar-SA"/>
    </w:rPr>
  </w:style>
  <w:style w:type="character" w:customStyle="1" w:styleId="79">
    <w:name w:val="日期 字符"/>
    <w:link w:val="33"/>
    <w:qFormat/>
    <w:uiPriority w:val="0"/>
    <w:rPr>
      <w:rFonts w:eastAsia="Helvetica"/>
      <w:kern w:val="2"/>
      <w:sz w:val="21"/>
      <w:szCs w:val="24"/>
      <w:lang w:val="en-US" w:eastAsia="zh-CN" w:bidi="ar-SA"/>
    </w:rPr>
  </w:style>
  <w:style w:type="character" w:customStyle="1" w:styleId="80">
    <w:name w:val="正文文本缩进 2 字符"/>
    <w:link w:val="34"/>
    <w:qFormat/>
    <w:uiPriority w:val="0"/>
    <w:rPr>
      <w:rFonts w:eastAsia="Helvetica"/>
      <w:kern w:val="2"/>
      <w:sz w:val="24"/>
      <w:szCs w:val="24"/>
      <w:lang w:val="en-US" w:eastAsia="zh-CN" w:bidi="ar-SA"/>
    </w:rPr>
  </w:style>
  <w:style w:type="character" w:customStyle="1" w:styleId="81">
    <w:name w:val="批注框文本 字符"/>
    <w:link w:val="36"/>
    <w:qFormat/>
    <w:uiPriority w:val="0"/>
    <w:rPr>
      <w:rFonts w:eastAsia="Helvetica"/>
      <w:kern w:val="2"/>
      <w:sz w:val="18"/>
      <w:szCs w:val="18"/>
      <w:lang w:val="en-US" w:eastAsia="zh-CN" w:bidi="ar-SA"/>
    </w:rPr>
  </w:style>
  <w:style w:type="character" w:customStyle="1" w:styleId="82">
    <w:name w:val="页脚 字符"/>
    <w:link w:val="37"/>
    <w:qFormat/>
    <w:uiPriority w:val="0"/>
    <w:rPr>
      <w:rFonts w:eastAsia="Helvetica"/>
      <w:kern w:val="2"/>
      <w:sz w:val="18"/>
      <w:szCs w:val="18"/>
      <w:lang w:val="en-US" w:eastAsia="zh-CN" w:bidi="ar-SA"/>
    </w:rPr>
  </w:style>
  <w:style w:type="character" w:customStyle="1" w:styleId="83">
    <w:name w:val="页眉 字符"/>
    <w:link w:val="38"/>
    <w:qFormat/>
    <w:uiPriority w:val="0"/>
    <w:rPr>
      <w:rFonts w:eastAsia="Helvetica"/>
      <w:kern w:val="2"/>
      <w:sz w:val="18"/>
      <w:szCs w:val="18"/>
      <w:lang w:val="en-US" w:eastAsia="zh-CN" w:bidi="ar-SA"/>
    </w:rPr>
  </w:style>
  <w:style w:type="character" w:customStyle="1" w:styleId="84">
    <w:name w:val="副标题 字符"/>
    <w:link w:val="42"/>
    <w:qFormat/>
    <w:uiPriority w:val="0"/>
    <w:rPr>
      <w:rFonts w:ascii="PMingLiU" w:hAnsi="PMingLiU" w:eastAsia="Helvetica"/>
      <w:b/>
      <w:bCs/>
      <w:kern w:val="28"/>
      <w:sz w:val="32"/>
      <w:szCs w:val="32"/>
      <w:lang w:val="en-US" w:eastAsia="zh-CN" w:bidi="ar-SA"/>
    </w:rPr>
  </w:style>
  <w:style w:type="character" w:customStyle="1" w:styleId="85">
    <w:name w:val="正文文本缩进 3 字符"/>
    <w:link w:val="44"/>
    <w:qFormat/>
    <w:uiPriority w:val="0"/>
    <w:rPr>
      <w:rFonts w:eastAsia="Helvetica"/>
      <w:kern w:val="2"/>
      <w:sz w:val="24"/>
      <w:szCs w:val="24"/>
      <w:lang w:val="en-US" w:eastAsia="zh-CN" w:bidi="ar-SA"/>
    </w:rPr>
  </w:style>
  <w:style w:type="character" w:customStyle="1" w:styleId="86">
    <w:name w:val="标题 字符"/>
    <w:link w:val="48"/>
    <w:qFormat/>
    <w:uiPriority w:val="0"/>
    <w:rPr>
      <w:rFonts w:ascii="PMingLiU" w:hAnsi="PMingLiU" w:eastAsia="Helvetica"/>
      <w:b/>
      <w:bCs/>
      <w:sz w:val="32"/>
      <w:szCs w:val="32"/>
      <w:lang w:bidi="ar-SA"/>
    </w:rPr>
  </w:style>
  <w:style w:type="character" w:customStyle="1" w:styleId="87">
    <w:name w:val="批注主题 字符"/>
    <w:link w:val="49"/>
    <w:qFormat/>
    <w:uiPriority w:val="0"/>
    <w:rPr>
      <w:rFonts w:eastAsia="Helvetica"/>
      <w:b/>
      <w:bCs/>
      <w:kern w:val="2"/>
      <w:sz w:val="21"/>
      <w:szCs w:val="24"/>
      <w:lang w:val="en-US" w:eastAsia="zh-CN" w:bidi="ar-SA"/>
    </w:rPr>
  </w:style>
  <w:style w:type="character" w:customStyle="1" w:styleId="88">
    <w:name w:val="正文文本首行缩进 字符"/>
    <w:link w:val="2"/>
    <w:qFormat/>
    <w:uiPriority w:val="0"/>
    <w:rPr>
      <w:rFonts w:eastAsia="Helvetica"/>
      <w:lang w:val="en-US" w:eastAsia="zh-CN" w:bidi="ar-SA"/>
    </w:rPr>
  </w:style>
  <w:style w:type="character" w:customStyle="1" w:styleId="89">
    <w:name w:val="Char Char201"/>
    <w:qFormat/>
    <w:uiPriority w:val="0"/>
    <w:rPr>
      <w:rFonts w:ascii="PMingLiU" w:hAnsi="PMingLiU" w:eastAsia="Helvetica" w:cs="Verdana"/>
      <w:b/>
      <w:bCs/>
      <w:sz w:val="32"/>
      <w:szCs w:val="32"/>
    </w:rPr>
  </w:style>
  <w:style w:type="character" w:customStyle="1" w:styleId="90">
    <w:name w:val="注释正文"/>
    <w:qFormat/>
    <w:uiPriority w:val="0"/>
    <w:rPr>
      <w:rFonts w:eastAsia="Arial Unicode MS"/>
      <w:sz w:val="28"/>
      <w:u w:val="single"/>
    </w:rPr>
  </w:style>
  <w:style w:type="character" w:customStyle="1" w:styleId="91">
    <w:name w:val="heading 6 Char1"/>
    <w:qFormat/>
    <w:uiPriority w:val="0"/>
    <w:rPr>
      <w:rFonts w:ascii="宋体,Verdana,Arial" w:hAnsi="宋体,Verdana,Arial" w:eastAsia="黑体"/>
      <w:kern w:val="2"/>
      <w:sz w:val="24"/>
      <w:szCs w:val="24"/>
      <w:lang w:val="en-US" w:eastAsia="zh-CN" w:bidi="ar-SA"/>
    </w:rPr>
  </w:style>
  <w:style w:type="character" w:customStyle="1" w:styleId="92">
    <w:name w:val="heading 9 Char1"/>
    <w:qFormat/>
    <w:uiPriority w:val="0"/>
    <w:rPr>
      <w:rFonts w:ascii="宋体,Verdana,Arial" w:hAnsi="宋体,Verdana,Arial" w:eastAsia="黑体"/>
      <w:sz w:val="21"/>
      <w:lang w:val="en-US" w:eastAsia="zh-CN" w:bidi="ar-SA"/>
    </w:rPr>
  </w:style>
  <w:style w:type="character" w:customStyle="1" w:styleId="93">
    <w:name w:val="Char Char17"/>
    <w:qFormat/>
    <w:uiPriority w:val="0"/>
    <w:rPr>
      <w:rFonts w:ascii="PMingLiU" w:hAnsi="PMingLiU"/>
      <w:b/>
      <w:bCs/>
      <w:kern w:val="2"/>
      <w:sz w:val="28"/>
      <w:szCs w:val="28"/>
    </w:rPr>
  </w:style>
  <w:style w:type="character" w:customStyle="1" w:styleId="94">
    <w:name w:val="Char Char Char Char Char Char Char Char Char Char Char Char Char Char Char"/>
    <w:qFormat/>
    <w:uiPriority w:val="0"/>
    <w:rPr>
      <w:rFonts w:ascii="Helvetica" w:hAnsi="Vijaya" w:eastAsia="Helvetica"/>
      <w:sz w:val="21"/>
      <w:szCs w:val="21"/>
      <w:lang w:val="en-US" w:eastAsia="zh-CN" w:bidi="ar-SA"/>
    </w:rPr>
  </w:style>
  <w:style w:type="character" w:customStyle="1" w:styleId="95">
    <w:name w:val="引用 字符"/>
    <w:link w:val="96"/>
    <w:qFormat/>
    <w:uiPriority w:val="0"/>
    <w:rPr>
      <w:rFonts w:ascii="Century Gothic" w:hAnsi="Century Gothic" w:eastAsia="Helvetica"/>
      <w:i/>
      <w:iCs/>
      <w:color w:val="000000"/>
      <w:lang w:val="en-US" w:eastAsia="zh-CN" w:bidi="ar-SA"/>
    </w:rPr>
  </w:style>
  <w:style w:type="paragraph" w:styleId="96">
    <w:name w:val="Quote"/>
    <w:basedOn w:val="1"/>
    <w:next w:val="1"/>
    <w:link w:val="95"/>
    <w:qFormat/>
    <w:uiPriority w:val="0"/>
    <w:rPr>
      <w:rFonts w:ascii="Century Gothic" w:hAnsi="Century Gothic" w:eastAsia="Helvetica"/>
      <w:i/>
      <w:iCs/>
      <w:color w:val="000000"/>
      <w:kern w:val="0"/>
      <w:sz w:val="20"/>
      <w:szCs w:val="20"/>
    </w:rPr>
  </w:style>
  <w:style w:type="character" w:customStyle="1" w:styleId="97">
    <w:name w:val="Body text|2 + Times New Roman"/>
    <w:unhideWhenUsed/>
    <w:qFormat/>
    <w:uiPriority w:val="0"/>
    <w:rPr>
      <w:rFonts w:ascii="Arial" w:hAnsi="Arial" w:eastAsia="Arial" w:cs="Arial"/>
      <w:color w:val="000000"/>
      <w:spacing w:val="10"/>
      <w:w w:val="60"/>
      <w:position w:val="0"/>
      <w:sz w:val="24"/>
      <w:szCs w:val="24"/>
      <w:u w:val="none"/>
      <w:lang w:val="en-US" w:eastAsia="en-US" w:bidi="en-US"/>
    </w:rPr>
  </w:style>
  <w:style w:type="character" w:customStyle="1" w:styleId="98">
    <w:name w:val="Style1"/>
    <w:qFormat/>
    <w:uiPriority w:val="0"/>
    <w:rPr>
      <w:rFonts w:ascii="Century Gothic" w:hAnsi="Helvetica" w:eastAsia="Helvetica" w:cs="Verdana"/>
      <w:sz w:val="22"/>
      <w:szCs w:val="22"/>
      <w:lang w:eastAsia="zh-CN"/>
    </w:rPr>
  </w:style>
  <w:style w:type="character" w:customStyle="1" w:styleId="99">
    <w:name w:val="样式 宋体"/>
    <w:qFormat/>
    <w:uiPriority w:val="0"/>
    <w:rPr>
      <w:rFonts w:ascii="Helvetica" w:hAnsi="Helvetica" w:eastAsia="Helvetica"/>
      <w:sz w:val="24"/>
      <w:szCs w:val="24"/>
    </w:rPr>
  </w:style>
  <w:style w:type="character" w:customStyle="1" w:styleId="100">
    <w:name w:val="Char Char16"/>
    <w:qFormat/>
    <w:uiPriority w:val="0"/>
    <w:rPr>
      <w:b/>
      <w:bCs/>
      <w:kern w:val="2"/>
      <w:sz w:val="28"/>
      <w:szCs w:val="28"/>
    </w:rPr>
  </w:style>
  <w:style w:type="character" w:customStyle="1" w:styleId="101">
    <w:name w:val="Heading #3|1_"/>
    <w:link w:val="102"/>
    <w:qFormat/>
    <w:uiPriority w:val="0"/>
    <w:rPr>
      <w:rFonts w:ascii="Myriad Pro" w:hAnsi="Myriad Pro" w:eastAsia="Myriad Pro" w:cs="Myriad Pro"/>
      <w:b/>
      <w:bCs/>
      <w:spacing w:val="30"/>
      <w:u w:val="none"/>
    </w:rPr>
  </w:style>
  <w:style w:type="paragraph" w:customStyle="1" w:styleId="102">
    <w:name w:val="Heading #3|1"/>
    <w:basedOn w:val="1"/>
    <w:link w:val="101"/>
    <w:qFormat/>
    <w:uiPriority w:val="0"/>
    <w:pPr>
      <w:shd w:val="clear" w:color="auto" w:fill="FFFFFF"/>
      <w:spacing w:after="140" w:line="240" w:lineRule="exact"/>
      <w:ind w:hanging="460"/>
      <w:jc w:val="distribute"/>
      <w:outlineLvl w:val="2"/>
    </w:pPr>
    <w:rPr>
      <w:rFonts w:ascii="Myriad Pro" w:hAnsi="Myriad Pro" w:eastAsia="Myriad Pro"/>
      <w:b/>
      <w:bCs/>
      <w:spacing w:val="30"/>
      <w:kern w:val="0"/>
      <w:sz w:val="20"/>
      <w:szCs w:val="20"/>
    </w:rPr>
  </w:style>
  <w:style w:type="character" w:customStyle="1" w:styleId="103">
    <w:name w:val="Header or footer|1 + Times New Roman"/>
    <w:unhideWhenUsed/>
    <w:qFormat/>
    <w:uiPriority w:val="0"/>
    <w:rPr>
      <w:rFonts w:ascii="Arial" w:hAnsi="Arial" w:eastAsia="Arial" w:cs="Arial"/>
      <w:color w:val="000000"/>
      <w:spacing w:val="0"/>
      <w:w w:val="100"/>
      <w:position w:val="0"/>
      <w:sz w:val="18"/>
      <w:szCs w:val="18"/>
      <w:u w:val="none"/>
      <w:lang w:val="zh-CN" w:eastAsia="zh-CN" w:bidi="zh-CN"/>
    </w:rPr>
  </w:style>
  <w:style w:type="character" w:customStyle="1" w:styleId="104">
    <w:name w:val="heading 1 Char"/>
    <w:qFormat/>
    <w:uiPriority w:val="0"/>
    <w:rPr>
      <w:rFonts w:ascii="宋体,Verdana,Arial" w:hAnsi="宋体,Verdana,Arial" w:eastAsia="黑体"/>
      <w:b/>
      <w:sz w:val="36"/>
      <w:szCs w:val="36"/>
    </w:rPr>
  </w:style>
  <w:style w:type="character" w:customStyle="1" w:styleId="105">
    <w:name w:val="Table of contents|1_"/>
    <w:link w:val="106"/>
    <w:qFormat/>
    <w:uiPriority w:val="0"/>
    <w:rPr>
      <w:rFonts w:ascii="Myriad Pro" w:hAnsi="Myriad Pro" w:eastAsia="Myriad Pro" w:cs="Myriad Pro"/>
      <w:spacing w:val="10"/>
      <w:sz w:val="20"/>
      <w:szCs w:val="20"/>
      <w:u w:val="none"/>
    </w:rPr>
  </w:style>
  <w:style w:type="paragraph" w:customStyle="1" w:styleId="106">
    <w:name w:val="Table of contents|1"/>
    <w:basedOn w:val="1"/>
    <w:link w:val="105"/>
    <w:qFormat/>
    <w:uiPriority w:val="0"/>
    <w:pPr>
      <w:shd w:val="clear" w:color="auto" w:fill="FFFFFF"/>
      <w:spacing w:before="500" w:after="100" w:line="200" w:lineRule="exact"/>
      <w:jc w:val="distribute"/>
    </w:pPr>
    <w:rPr>
      <w:rFonts w:ascii="Myriad Pro" w:hAnsi="Myriad Pro" w:eastAsia="Myriad Pro"/>
      <w:spacing w:val="10"/>
      <w:kern w:val="0"/>
      <w:sz w:val="20"/>
      <w:szCs w:val="20"/>
    </w:rPr>
  </w:style>
  <w:style w:type="character" w:customStyle="1" w:styleId="107">
    <w:name w:val="style111"/>
    <w:qFormat/>
    <w:uiPriority w:val="0"/>
    <w:rPr>
      <w:sz w:val="27"/>
      <w:szCs w:val="27"/>
    </w:rPr>
  </w:style>
  <w:style w:type="character" w:customStyle="1" w:styleId="108">
    <w:name w:val="heading 4 Char"/>
    <w:qFormat/>
    <w:uiPriority w:val="0"/>
    <w:rPr>
      <w:rFonts w:ascii="宋体,Verdana,Arial" w:hAnsi="宋体,Verdana,Arial" w:eastAsia="黑体" w:cs="Verdana"/>
      <w:sz w:val="21"/>
      <w:szCs w:val="21"/>
    </w:rPr>
  </w:style>
  <w:style w:type="character" w:customStyle="1" w:styleId="109">
    <w:name w:val="heading 5 Char"/>
    <w:qFormat/>
    <w:uiPriority w:val="0"/>
    <w:rPr>
      <w:rFonts w:ascii="宋体,Verdana,Arial" w:hAnsi="宋体,Verdana,Arial" w:eastAsia="黑体"/>
      <w:sz w:val="21"/>
      <w:szCs w:val="21"/>
    </w:rPr>
  </w:style>
  <w:style w:type="character" w:customStyle="1" w:styleId="110">
    <w:name w:val="!我的正文 Ctr+Q Char Char"/>
    <w:link w:val="111"/>
    <w:qFormat/>
    <w:uiPriority w:val="0"/>
    <w:rPr>
      <w:rFonts w:ascii="楷体" w:hAnsi="楷体"/>
      <w:kern w:val="2"/>
      <w:sz w:val="24"/>
      <w:szCs w:val="21"/>
      <w:lang w:bidi="ar-SA"/>
    </w:rPr>
  </w:style>
  <w:style w:type="paragraph" w:customStyle="1" w:styleId="111">
    <w:name w:val="!我的正文 Ctr+Q"/>
    <w:basedOn w:val="1"/>
    <w:link w:val="110"/>
    <w:qFormat/>
    <w:uiPriority w:val="0"/>
    <w:pPr>
      <w:adjustRightInd w:val="0"/>
      <w:snapToGrid w:val="0"/>
      <w:spacing w:beforeLines="50" w:afterLines="50" w:line="360" w:lineRule="auto"/>
      <w:ind w:firstLine="480" w:firstLineChars="200"/>
      <w:jc w:val="left"/>
    </w:pPr>
    <w:rPr>
      <w:rFonts w:ascii="楷体" w:hAnsi="楷体"/>
      <w:sz w:val="24"/>
      <w:szCs w:val="21"/>
    </w:rPr>
  </w:style>
  <w:style w:type="character" w:customStyle="1" w:styleId="112">
    <w:name w:val="Char Char21"/>
    <w:qFormat/>
    <w:uiPriority w:val="0"/>
    <w:rPr>
      <w:rFonts w:ascii="Verdana" w:hAnsi="Verdana" w:eastAsia="Helvetica" w:cs="Verdana"/>
      <w:b/>
      <w:bCs/>
      <w:kern w:val="44"/>
      <w:sz w:val="44"/>
      <w:szCs w:val="44"/>
    </w:rPr>
  </w:style>
  <w:style w:type="character" w:customStyle="1" w:styleId="113">
    <w:name w:val="dandyren_title1"/>
    <w:qFormat/>
    <w:uiPriority w:val="0"/>
    <w:rPr>
      <w:b/>
      <w:bCs/>
      <w:color w:val="FF6633"/>
      <w:sz w:val="18"/>
      <w:szCs w:val="18"/>
    </w:rPr>
  </w:style>
  <w:style w:type="character" w:customStyle="1" w:styleId="114">
    <w:name w:val="不明显强调1"/>
    <w:qFormat/>
    <w:uiPriority w:val="0"/>
    <w:rPr>
      <w:i/>
      <w:iCs/>
      <w:color w:val="808080"/>
    </w:rPr>
  </w:style>
  <w:style w:type="character" w:customStyle="1" w:styleId="115">
    <w:name w:val="Body text|2 + 11 pt"/>
    <w:unhideWhenUsed/>
    <w:qFormat/>
    <w:uiPriority w:val="0"/>
    <w:rPr>
      <w:rFonts w:ascii="Myriad Pro" w:hAnsi="Myriad Pro" w:eastAsia="Myriad Pro" w:cs="Myriad Pro"/>
      <w:i/>
      <w:iCs/>
      <w:color w:val="000000"/>
      <w:spacing w:val="0"/>
      <w:w w:val="100"/>
      <w:position w:val="0"/>
      <w:sz w:val="22"/>
      <w:szCs w:val="22"/>
      <w:u w:val="none"/>
      <w:lang w:val="en-US" w:eastAsia="en-US" w:bidi="en-US"/>
    </w:rPr>
  </w:style>
  <w:style w:type="character" w:customStyle="1" w:styleId="116">
    <w:name w:val="表格 Char Char"/>
    <w:link w:val="117"/>
    <w:qFormat/>
    <w:uiPriority w:val="0"/>
    <w:rPr>
      <w:rFonts w:ascii="Helvetica" w:hAnsi="Helvetica" w:eastAsia="Helvetica"/>
      <w:lang w:val="en-US" w:eastAsia="zh-CN" w:bidi="ar-SA"/>
    </w:rPr>
  </w:style>
  <w:style w:type="paragraph" w:customStyle="1" w:styleId="117">
    <w:name w:val="表格"/>
    <w:basedOn w:val="1"/>
    <w:link w:val="116"/>
    <w:qFormat/>
    <w:uiPriority w:val="0"/>
    <w:pPr>
      <w:autoSpaceDE w:val="0"/>
      <w:autoSpaceDN w:val="0"/>
      <w:adjustRightInd w:val="0"/>
      <w:snapToGrid w:val="0"/>
      <w:ind w:firstLine="42" w:firstLineChars="21"/>
      <w:jc w:val="left"/>
    </w:pPr>
    <w:rPr>
      <w:rFonts w:ascii="Helvetica" w:hAnsi="Helvetica" w:eastAsia="Helvetica"/>
      <w:kern w:val="0"/>
      <w:sz w:val="20"/>
      <w:szCs w:val="20"/>
    </w:rPr>
  </w:style>
  <w:style w:type="character" w:customStyle="1" w:styleId="118">
    <w:name w:val="Header or footer|1"/>
    <w:unhideWhenUsed/>
    <w:qFormat/>
    <w:uiPriority w:val="0"/>
    <w:rPr>
      <w:rFonts w:ascii="Myriad Pro" w:hAnsi="Myriad Pro" w:eastAsia="Myriad Pro" w:cs="Myriad Pro"/>
      <w:color w:val="000000"/>
      <w:spacing w:val="0"/>
      <w:w w:val="100"/>
      <w:position w:val="0"/>
      <w:sz w:val="17"/>
      <w:szCs w:val="17"/>
      <w:u w:val="none"/>
      <w:lang w:val="zh-CN" w:eastAsia="zh-CN" w:bidi="zh-CN"/>
    </w:rPr>
  </w:style>
  <w:style w:type="character" w:customStyle="1" w:styleId="119">
    <w:name w:val="编号正文缩进 Char Char"/>
    <w:link w:val="120"/>
    <w:qFormat/>
    <w:uiPriority w:val="0"/>
    <w:rPr>
      <w:sz w:val="24"/>
    </w:rPr>
  </w:style>
  <w:style w:type="paragraph" w:customStyle="1" w:styleId="120">
    <w:name w:val="编号正文缩进"/>
    <w:basedOn w:val="17"/>
    <w:link w:val="119"/>
    <w:qFormat/>
    <w:uiPriority w:val="0"/>
    <w:pPr>
      <w:tabs>
        <w:tab w:val="left" w:pos="1497"/>
      </w:tabs>
      <w:spacing w:line="400" w:lineRule="atLeast"/>
      <w:ind w:left="360" w:hanging="360"/>
    </w:pPr>
    <w:rPr>
      <w:rFonts w:eastAsia="Wingdings"/>
      <w:sz w:val="24"/>
    </w:rPr>
  </w:style>
  <w:style w:type="character" w:customStyle="1" w:styleId="121">
    <w:name w:val="Style2"/>
    <w:qFormat/>
    <w:uiPriority w:val="0"/>
    <w:rPr>
      <w:rFonts w:ascii="Century Gothic" w:hAnsi="Helvetica" w:eastAsia="Helvetica" w:cs="Verdana"/>
      <w:sz w:val="22"/>
      <w:szCs w:val="22"/>
      <w:lang w:eastAsia="zh-CN"/>
    </w:rPr>
  </w:style>
  <w:style w:type="character" w:customStyle="1" w:styleId="122">
    <w:name w:val="正文1 Char Char"/>
    <w:link w:val="123"/>
    <w:qFormat/>
    <w:uiPriority w:val="0"/>
    <w:rPr>
      <w:rFonts w:ascii="Helvetica" w:hAnsi="Helvetica" w:eastAsia="Helvetica" w:cs="Helvetica"/>
      <w:sz w:val="21"/>
      <w:lang w:val="en-US" w:eastAsia="zh-CN" w:bidi="ar-SA"/>
    </w:rPr>
  </w:style>
  <w:style w:type="paragraph" w:customStyle="1" w:styleId="123">
    <w:name w:val="正文1"/>
    <w:basedOn w:val="1"/>
    <w:link w:val="122"/>
    <w:qFormat/>
    <w:uiPriority w:val="0"/>
    <w:pPr>
      <w:widowControl/>
      <w:spacing w:line="360" w:lineRule="auto"/>
      <w:ind w:left="360" w:firstLine="420"/>
      <w:jc w:val="left"/>
    </w:pPr>
    <w:rPr>
      <w:rFonts w:ascii="Helvetica" w:hAnsi="Helvetica" w:eastAsia="Helvetica" w:cs="Helvetica"/>
      <w:kern w:val="0"/>
      <w:szCs w:val="20"/>
    </w:rPr>
  </w:style>
  <w:style w:type="character" w:customStyle="1" w:styleId="124">
    <w:name w:val="heading 1 Char1"/>
    <w:qFormat/>
    <w:uiPriority w:val="0"/>
    <w:rPr>
      <w:rFonts w:eastAsia="Helvetica"/>
      <w:b/>
      <w:bCs/>
      <w:kern w:val="44"/>
      <w:sz w:val="44"/>
      <w:szCs w:val="44"/>
      <w:lang w:val="en-US" w:eastAsia="zh-CN" w:bidi="ar-SA"/>
    </w:rPr>
  </w:style>
  <w:style w:type="character" w:customStyle="1" w:styleId="125">
    <w:name w:val="heading 7 Char1"/>
    <w:qFormat/>
    <w:uiPriority w:val="0"/>
    <w:rPr>
      <w:rFonts w:ascii="宋体,Verdana,Arial" w:hAnsi="宋体,Verdana,Arial" w:eastAsia="黑体"/>
      <w:sz w:val="21"/>
      <w:szCs w:val="21"/>
      <w:lang w:val="en-US" w:eastAsia="zh-CN" w:bidi="ar-SA"/>
    </w:rPr>
  </w:style>
  <w:style w:type="character" w:customStyle="1" w:styleId="126">
    <w:name w:val="heading 2 Char1"/>
    <w:qFormat/>
    <w:uiPriority w:val="0"/>
    <w:rPr>
      <w:rFonts w:ascii="PMingLiU" w:hAnsi="PMingLiU" w:eastAsia="Helvetica"/>
      <w:b/>
      <w:bCs/>
      <w:kern w:val="2"/>
      <w:sz w:val="32"/>
      <w:szCs w:val="32"/>
      <w:lang w:val="en-US" w:eastAsia="zh-CN" w:bidi="ar-SA"/>
    </w:rPr>
  </w:style>
  <w:style w:type="character" w:customStyle="1" w:styleId="127">
    <w:name w:val="heading 4 Char1"/>
    <w:qFormat/>
    <w:uiPriority w:val="0"/>
    <w:rPr>
      <w:rFonts w:ascii="PMingLiU" w:hAnsi="PMingLiU" w:eastAsia="Helvetica"/>
      <w:b/>
      <w:bCs/>
      <w:kern w:val="2"/>
      <w:sz w:val="28"/>
      <w:szCs w:val="28"/>
      <w:lang w:val="en-US" w:eastAsia="zh-CN" w:bidi="ar-SA"/>
    </w:rPr>
  </w:style>
  <w:style w:type="character" w:customStyle="1" w:styleId="128">
    <w:name w:val="blue1"/>
    <w:qFormat/>
    <w:uiPriority w:val="0"/>
  </w:style>
  <w:style w:type="character" w:customStyle="1" w:styleId="129">
    <w:name w:val="目录标题 Char Char"/>
    <w:link w:val="130"/>
    <w:qFormat/>
    <w:uiPriority w:val="0"/>
    <w:rPr>
      <w:rFonts w:eastAsia="Tahoma"/>
      <w:b/>
      <w:bCs/>
      <w:kern w:val="2"/>
      <w:sz w:val="44"/>
      <w:szCs w:val="44"/>
      <w:lang w:bidi="ar-SA"/>
    </w:rPr>
  </w:style>
  <w:style w:type="paragraph" w:customStyle="1" w:styleId="130">
    <w:name w:val="目录标题"/>
    <w:basedOn w:val="1"/>
    <w:link w:val="129"/>
    <w:qFormat/>
    <w:uiPriority w:val="0"/>
    <w:pPr>
      <w:jc w:val="center"/>
    </w:pPr>
    <w:rPr>
      <w:rFonts w:eastAsia="Tahoma"/>
      <w:b/>
      <w:bCs/>
      <w:sz w:val="44"/>
      <w:szCs w:val="44"/>
    </w:rPr>
  </w:style>
  <w:style w:type="character" w:customStyle="1" w:styleId="131">
    <w:name w:val="Body text|2 + Spacing 2 pt"/>
    <w:unhideWhenUsed/>
    <w:qFormat/>
    <w:uiPriority w:val="0"/>
    <w:rPr>
      <w:rFonts w:ascii="Myriad Pro" w:hAnsi="Myriad Pro" w:eastAsia="Myriad Pro" w:cs="Myriad Pro"/>
      <w:color w:val="000000"/>
      <w:spacing w:val="50"/>
      <w:w w:val="100"/>
      <w:position w:val="0"/>
      <w:sz w:val="24"/>
      <w:szCs w:val="24"/>
      <w:u w:val="none"/>
      <w:lang w:val="zh-CN" w:eastAsia="zh-CN" w:bidi="zh-CN"/>
    </w:rPr>
  </w:style>
  <w:style w:type="character" w:customStyle="1" w:styleId="132">
    <w:name w:val="pt141"/>
    <w:qFormat/>
    <w:uiPriority w:val="0"/>
    <w:rPr>
      <w:color w:val="330066"/>
      <w:spacing w:val="450"/>
      <w:sz w:val="22"/>
      <w:szCs w:val="22"/>
    </w:rPr>
  </w:style>
  <w:style w:type="character" w:customStyle="1" w:styleId="133">
    <w:name w:val="heading 2 Char2"/>
    <w:qFormat/>
    <w:uiPriority w:val="0"/>
    <w:rPr>
      <w:rFonts w:ascii="PMingLiU" w:hAnsi="PMingLiU"/>
      <w:b/>
      <w:bCs/>
      <w:kern w:val="2"/>
      <w:sz w:val="32"/>
      <w:szCs w:val="32"/>
    </w:rPr>
  </w:style>
  <w:style w:type="character" w:customStyle="1" w:styleId="134">
    <w:name w:val="符号正文缩进 Char Char"/>
    <w:link w:val="135"/>
    <w:qFormat/>
    <w:uiPriority w:val="0"/>
    <w:rPr>
      <w:sz w:val="24"/>
    </w:rPr>
  </w:style>
  <w:style w:type="paragraph" w:customStyle="1" w:styleId="135">
    <w:name w:val="符号正文缩进"/>
    <w:basedOn w:val="17"/>
    <w:link w:val="134"/>
    <w:qFormat/>
    <w:uiPriority w:val="0"/>
    <w:pPr>
      <w:tabs>
        <w:tab w:val="left" w:pos="1497"/>
      </w:tabs>
      <w:spacing w:line="400" w:lineRule="atLeast"/>
      <w:ind w:left="420" w:hanging="420"/>
    </w:pPr>
    <w:rPr>
      <w:rFonts w:eastAsia="Wingdings"/>
      <w:sz w:val="24"/>
    </w:rPr>
  </w:style>
  <w:style w:type="character" w:customStyle="1" w:styleId="136">
    <w:name w:val="Heading #3|1 + Spacing 3 pt"/>
    <w:unhideWhenUsed/>
    <w:qFormat/>
    <w:uiPriority w:val="0"/>
    <w:rPr>
      <w:rFonts w:ascii="Myriad Pro" w:hAnsi="Myriad Pro" w:eastAsia="Myriad Pro" w:cs="Myriad Pro"/>
      <w:b/>
      <w:bCs/>
      <w:color w:val="000000"/>
      <w:spacing w:val="70"/>
      <w:w w:val="100"/>
      <w:position w:val="0"/>
      <w:sz w:val="24"/>
      <w:szCs w:val="24"/>
      <w:u w:val="none"/>
      <w:lang w:val="zh-CN" w:eastAsia="zh-CN" w:bidi="zh-CN"/>
    </w:rPr>
  </w:style>
  <w:style w:type="character" w:customStyle="1" w:styleId="137">
    <w:name w:val="heading 5 Char1"/>
    <w:qFormat/>
    <w:uiPriority w:val="0"/>
    <w:rPr>
      <w:rFonts w:eastAsia="Helvetica"/>
      <w:b/>
      <w:bCs/>
      <w:kern w:val="2"/>
      <w:sz w:val="28"/>
      <w:szCs w:val="28"/>
      <w:lang w:val="en-US" w:eastAsia="zh-CN" w:bidi="ar-SA"/>
    </w:rPr>
  </w:style>
  <w:style w:type="character" w:customStyle="1" w:styleId="138">
    <w:name w:val="style21"/>
    <w:qFormat/>
    <w:uiPriority w:val="0"/>
    <w:rPr>
      <w:sz w:val="15"/>
      <w:szCs w:val="15"/>
    </w:rPr>
  </w:style>
  <w:style w:type="character" w:customStyle="1" w:styleId="139">
    <w:name w:val="PI Char1"/>
    <w:qFormat/>
    <w:uiPriority w:val="0"/>
    <w:rPr>
      <w:rFonts w:eastAsia="Helvetica"/>
      <w:kern w:val="2"/>
      <w:sz w:val="24"/>
      <w:szCs w:val="24"/>
      <w:lang w:val="en-US" w:eastAsia="zh-CN" w:bidi="ar-SA"/>
    </w:rPr>
  </w:style>
  <w:style w:type="character" w:customStyle="1" w:styleId="140">
    <w:name w:val="Char Char18"/>
    <w:qFormat/>
    <w:uiPriority w:val="0"/>
    <w:rPr>
      <w:b/>
      <w:bCs/>
      <w:kern w:val="2"/>
      <w:sz w:val="32"/>
      <w:szCs w:val="32"/>
    </w:rPr>
  </w:style>
  <w:style w:type="character" w:customStyle="1" w:styleId="141">
    <w:name w:val="heading 3 Char"/>
    <w:qFormat/>
    <w:uiPriority w:val="0"/>
    <w:rPr>
      <w:rFonts w:ascii="宋体,Verdana,Arial" w:hAnsi="宋体,Verdana,Arial" w:eastAsia="黑体"/>
      <w:sz w:val="28"/>
      <w:szCs w:val="24"/>
    </w:rPr>
  </w:style>
  <w:style w:type="character" w:customStyle="1" w:styleId="142">
    <w:name w:val="heading 5 Char2"/>
    <w:qFormat/>
    <w:uiPriority w:val="0"/>
    <w:rPr>
      <w:b/>
      <w:bCs/>
      <w:kern w:val="2"/>
      <w:sz w:val="28"/>
      <w:szCs w:val="28"/>
    </w:rPr>
  </w:style>
  <w:style w:type="character" w:customStyle="1" w:styleId="143">
    <w:name w:val="表正文 Char2"/>
    <w:qFormat/>
    <w:uiPriority w:val="0"/>
    <w:rPr>
      <w:rFonts w:ascii="Verdana" w:hAnsi="Verdana" w:eastAsia="Helvetica" w:cs="Verdana"/>
      <w:szCs w:val="24"/>
    </w:rPr>
  </w:style>
  <w:style w:type="character" w:customStyle="1" w:styleId="144">
    <w:name w:val="heading 8 Char1"/>
    <w:qFormat/>
    <w:uiPriority w:val="0"/>
    <w:rPr>
      <w:rFonts w:ascii="宋体,Verdana,Arial" w:hAnsi="宋体,Verdana,Arial" w:eastAsia="黑体"/>
      <w:sz w:val="24"/>
      <w:lang w:val="en-US" w:eastAsia="zh-CN" w:bidi="ar-SA"/>
    </w:rPr>
  </w:style>
  <w:style w:type="character" w:customStyle="1" w:styleId="145">
    <w:name w:val="栏目标题 Char Char"/>
    <w:link w:val="146"/>
    <w:qFormat/>
    <w:uiPriority w:val="0"/>
    <w:rPr>
      <w:rFonts w:ascii="Tahoma" w:hAnsi="Tahoma" w:eastAsia="Tahoma"/>
      <w:b/>
      <w:kern w:val="2"/>
      <w:sz w:val="21"/>
      <w:szCs w:val="24"/>
      <w:lang w:bidi="ar-SA"/>
    </w:rPr>
  </w:style>
  <w:style w:type="paragraph" w:customStyle="1" w:styleId="146">
    <w:name w:val="栏目标题"/>
    <w:basedOn w:val="1"/>
    <w:link w:val="145"/>
    <w:qFormat/>
    <w:uiPriority w:val="0"/>
    <w:pPr>
      <w:jc w:val="center"/>
    </w:pPr>
    <w:rPr>
      <w:rFonts w:ascii="Tahoma" w:hAnsi="Tahoma" w:eastAsia="Tahoma"/>
      <w:b/>
    </w:rPr>
  </w:style>
  <w:style w:type="character" w:customStyle="1" w:styleId="147">
    <w:name w:val="无间隔 字符"/>
    <w:link w:val="148"/>
    <w:qFormat/>
    <w:uiPriority w:val="0"/>
    <w:rPr>
      <w:rFonts w:ascii="Century Gothic" w:hAnsi="Century Gothic"/>
      <w:sz w:val="22"/>
      <w:szCs w:val="22"/>
      <w:lang w:val="en-US" w:eastAsia="zh-CN" w:bidi="ar-SA"/>
    </w:rPr>
  </w:style>
  <w:style w:type="paragraph" w:styleId="148">
    <w:name w:val="No Spacing"/>
    <w:link w:val="147"/>
    <w:qFormat/>
    <w:uiPriority w:val="0"/>
    <w:rPr>
      <w:rFonts w:ascii="Century Gothic" w:hAnsi="Century Gothic" w:eastAsia="宋体" w:cs="Times New Roman"/>
      <w:sz w:val="22"/>
      <w:szCs w:val="22"/>
      <w:lang w:val="en-US" w:eastAsia="zh-CN" w:bidi="ar-SA"/>
    </w:rPr>
  </w:style>
  <w:style w:type="character" w:customStyle="1" w:styleId="149">
    <w:name w:val="Char Char19"/>
    <w:qFormat/>
    <w:uiPriority w:val="0"/>
    <w:rPr>
      <w:rFonts w:ascii="PMingLiU" w:hAnsi="PMingLiU"/>
      <w:b/>
      <w:bCs/>
      <w:kern w:val="2"/>
      <w:sz w:val="32"/>
      <w:szCs w:val="32"/>
    </w:rPr>
  </w:style>
  <w:style w:type="character" w:customStyle="1" w:styleId="150">
    <w:name w:val="Char Char61"/>
    <w:qFormat/>
    <w:uiPriority w:val="0"/>
    <w:rPr>
      <w:rFonts w:ascii="Verdana" w:hAnsi="Verdana" w:eastAsia="Helvetica" w:cs="Verdana"/>
      <w:szCs w:val="24"/>
    </w:rPr>
  </w:style>
  <w:style w:type="character" w:customStyle="1" w:styleId="151">
    <w:name w:val="页眉注释 Char Char"/>
    <w:link w:val="152"/>
    <w:qFormat/>
    <w:uiPriority w:val="0"/>
    <w:rPr>
      <w:rFonts w:ascii="等线 Light" w:hAnsi="等线 Light" w:eastAsia="等线 Light"/>
      <w:b/>
      <w:color w:val="FFFFFF"/>
      <w:kern w:val="2"/>
      <w:sz w:val="18"/>
      <w:szCs w:val="18"/>
      <w:lang w:bidi="ar-SA"/>
    </w:rPr>
  </w:style>
  <w:style w:type="paragraph" w:customStyle="1" w:styleId="152">
    <w:name w:val="页眉注释"/>
    <w:basedOn w:val="1"/>
    <w:link w:val="151"/>
    <w:qFormat/>
    <w:uiPriority w:val="0"/>
    <w:pPr>
      <w:spacing w:line="0" w:lineRule="atLeast"/>
      <w:jc w:val="center"/>
    </w:pPr>
    <w:rPr>
      <w:rFonts w:ascii="等线 Light" w:hAnsi="等线 Light" w:eastAsia="等线 Light"/>
      <w:b/>
      <w:color w:val="FFFFFF"/>
      <w:sz w:val="18"/>
      <w:szCs w:val="18"/>
    </w:rPr>
  </w:style>
  <w:style w:type="character" w:customStyle="1" w:styleId="153">
    <w:name w:val="PI Char2"/>
    <w:qFormat/>
    <w:uiPriority w:val="0"/>
    <w:rPr>
      <w:kern w:val="2"/>
      <w:sz w:val="24"/>
      <w:szCs w:val="24"/>
    </w:rPr>
  </w:style>
  <w:style w:type="character" w:customStyle="1" w:styleId="154">
    <w:name w:val="书籍标题1"/>
    <w:qFormat/>
    <w:uiPriority w:val="0"/>
    <w:rPr>
      <w:b/>
      <w:bCs/>
      <w:smallCaps/>
      <w:spacing w:val="5"/>
    </w:rPr>
  </w:style>
  <w:style w:type="character" w:customStyle="1" w:styleId="155">
    <w:name w:val="Ò³Ã¼ Char Char"/>
    <w:qFormat/>
    <w:uiPriority w:val="0"/>
    <w:rPr>
      <w:sz w:val="18"/>
      <w:szCs w:val="18"/>
    </w:rPr>
  </w:style>
  <w:style w:type="character" w:customStyle="1" w:styleId="156">
    <w:name w:val="Footer-Even Char"/>
    <w:qFormat/>
    <w:uiPriority w:val="0"/>
    <w:rPr>
      <w:sz w:val="18"/>
      <w:szCs w:val="18"/>
    </w:rPr>
  </w:style>
  <w:style w:type="character" w:customStyle="1" w:styleId="157">
    <w:name w:val="heading 3 Char2"/>
    <w:qFormat/>
    <w:uiPriority w:val="0"/>
    <w:rPr>
      <w:b/>
      <w:bCs/>
      <w:kern w:val="2"/>
      <w:sz w:val="32"/>
      <w:szCs w:val="32"/>
    </w:rPr>
  </w:style>
  <w:style w:type="character" w:customStyle="1" w:styleId="158">
    <w:name w:val="Ò³Ã¼ Char Char2"/>
    <w:qFormat/>
    <w:uiPriority w:val="0"/>
    <w:rPr>
      <w:kern w:val="2"/>
      <w:sz w:val="18"/>
      <w:szCs w:val="18"/>
    </w:rPr>
  </w:style>
  <w:style w:type="character" w:customStyle="1" w:styleId="159">
    <w:name w:val="Header or footer|1 + Spacing 2 pt"/>
    <w:unhideWhenUsed/>
    <w:qFormat/>
    <w:uiPriority w:val="0"/>
    <w:rPr>
      <w:rFonts w:ascii="Myriad Pro" w:hAnsi="Myriad Pro" w:eastAsia="Myriad Pro" w:cs="Myriad Pro"/>
      <w:color w:val="000000"/>
      <w:spacing w:val="50"/>
      <w:w w:val="100"/>
      <w:position w:val="0"/>
      <w:sz w:val="17"/>
      <w:szCs w:val="17"/>
      <w:u w:val="none"/>
      <w:lang w:val="zh-CN" w:eastAsia="zh-CN" w:bidi="zh-CN"/>
    </w:rPr>
  </w:style>
  <w:style w:type="character" w:customStyle="1" w:styleId="160">
    <w:name w:val="No Spacing Char Char"/>
    <w:link w:val="161"/>
    <w:qFormat/>
    <w:uiPriority w:val="0"/>
    <w:rPr>
      <w:rFonts w:ascii="Arial Unicode MS" w:hAnsi="Arial Unicode MS" w:eastAsia="Arial Unicode MS"/>
      <w:sz w:val="22"/>
      <w:szCs w:val="22"/>
      <w:lang w:val="en-US" w:eastAsia="en-US" w:bidi="ar-SA"/>
    </w:rPr>
  </w:style>
  <w:style w:type="paragraph" w:customStyle="1" w:styleId="161">
    <w:name w:val="无间隔1"/>
    <w:link w:val="160"/>
    <w:qFormat/>
    <w:uiPriority w:val="0"/>
    <w:rPr>
      <w:rFonts w:ascii="Arial Unicode MS" w:hAnsi="Arial Unicode MS" w:eastAsia="Arial Unicode MS" w:cs="Times New Roman"/>
      <w:sz w:val="22"/>
      <w:szCs w:val="22"/>
      <w:lang w:val="en-US" w:eastAsia="en-US" w:bidi="ar-SA"/>
    </w:rPr>
  </w:style>
  <w:style w:type="character" w:customStyle="1" w:styleId="162">
    <w:name w:val="H4-1 字符"/>
    <w:link w:val="163"/>
    <w:qFormat/>
    <w:uiPriority w:val="0"/>
    <w:rPr>
      <w:rFonts w:ascii="仿宋_GB2312" w:eastAsia="仿宋_GB2312"/>
      <w:b/>
      <w:bCs/>
      <w:kern w:val="2"/>
      <w:sz w:val="24"/>
      <w:szCs w:val="28"/>
    </w:rPr>
  </w:style>
  <w:style w:type="paragraph" w:customStyle="1" w:styleId="163">
    <w:name w:val="H4-1"/>
    <w:basedOn w:val="9"/>
    <w:link w:val="162"/>
    <w:qFormat/>
    <w:uiPriority w:val="0"/>
    <w:pPr>
      <w:spacing w:before="60" w:after="60" w:line="360" w:lineRule="auto"/>
      <w:ind w:left="864" w:hanging="864"/>
    </w:pPr>
    <w:rPr>
      <w:rFonts w:ascii="仿宋_GB2312" w:hAnsi="Arial" w:eastAsia="仿宋_GB2312"/>
      <w:sz w:val="24"/>
    </w:rPr>
  </w:style>
  <w:style w:type="character" w:customStyle="1" w:styleId="164">
    <w:name w:val="Table caption|1_"/>
    <w:link w:val="165"/>
    <w:qFormat/>
    <w:uiPriority w:val="0"/>
    <w:rPr>
      <w:rFonts w:ascii="Myriad Pro" w:hAnsi="Myriad Pro" w:eastAsia="Myriad Pro" w:cs="Myriad Pro"/>
      <w:spacing w:val="20"/>
      <w:u w:val="none"/>
    </w:rPr>
  </w:style>
  <w:style w:type="paragraph" w:customStyle="1" w:styleId="165">
    <w:name w:val="Table caption|1"/>
    <w:basedOn w:val="1"/>
    <w:link w:val="164"/>
    <w:qFormat/>
    <w:uiPriority w:val="0"/>
    <w:pPr>
      <w:shd w:val="clear" w:color="auto" w:fill="FFFFFF"/>
      <w:spacing w:line="240" w:lineRule="exact"/>
    </w:pPr>
    <w:rPr>
      <w:rFonts w:ascii="Myriad Pro" w:hAnsi="Myriad Pro" w:eastAsia="Myriad Pro"/>
      <w:spacing w:val="20"/>
      <w:kern w:val="0"/>
      <w:sz w:val="20"/>
      <w:szCs w:val="20"/>
    </w:rPr>
  </w:style>
  <w:style w:type="character" w:customStyle="1" w:styleId="166">
    <w:name w:val="表格标题 Char Char"/>
    <w:link w:val="167"/>
    <w:qFormat/>
    <w:uiPriority w:val="0"/>
    <w:rPr>
      <w:rFonts w:ascii="Tahoma" w:hAnsi="Tahoma" w:eastAsia="Tahoma"/>
      <w:b/>
      <w:color w:val="FFFFFF"/>
      <w:kern w:val="2"/>
      <w:sz w:val="21"/>
      <w:szCs w:val="24"/>
      <w:lang w:bidi="ar-SA"/>
    </w:rPr>
  </w:style>
  <w:style w:type="paragraph" w:customStyle="1" w:styleId="167">
    <w:name w:val="表格标题"/>
    <w:basedOn w:val="1"/>
    <w:link w:val="166"/>
    <w:qFormat/>
    <w:uiPriority w:val="0"/>
    <w:rPr>
      <w:rFonts w:ascii="Tahoma" w:hAnsi="Tahoma" w:eastAsia="Tahoma"/>
      <w:b/>
      <w:color w:val="FFFFFF"/>
    </w:rPr>
  </w:style>
  <w:style w:type="character" w:customStyle="1" w:styleId="168">
    <w:name w:val="style41"/>
    <w:qFormat/>
    <w:uiPriority w:val="0"/>
    <w:rPr>
      <w:color w:val="auto"/>
    </w:rPr>
  </w:style>
  <w:style w:type="character" w:customStyle="1" w:styleId="169">
    <w:name w:val="Char Char11"/>
    <w:qFormat/>
    <w:uiPriority w:val="0"/>
    <w:rPr>
      <w:rFonts w:ascii="Verdana" w:hAnsi="Verdana" w:eastAsia="Helvetica" w:cs="Verdana"/>
      <w:sz w:val="18"/>
      <w:szCs w:val="18"/>
    </w:rPr>
  </w:style>
  <w:style w:type="character" w:customStyle="1" w:styleId="170">
    <w:name w:val="Body text|2 + Spacing 2 pt1"/>
    <w:unhideWhenUsed/>
    <w:qFormat/>
    <w:uiPriority w:val="0"/>
    <w:rPr>
      <w:rFonts w:ascii="Myriad Pro" w:hAnsi="Myriad Pro" w:eastAsia="Myriad Pro" w:cs="Myriad Pro"/>
      <w:color w:val="000000"/>
      <w:spacing w:val="50"/>
      <w:w w:val="100"/>
      <w:position w:val="0"/>
      <w:sz w:val="24"/>
      <w:szCs w:val="24"/>
      <w:u w:val="single"/>
      <w:lang w:val="zh-CN" w:eastAsia="zh-CN" w:bidi="zh-CN"/>
    </w:rPr>
  </w:style>
  <w:style w:type="character" w:customStyle="1" w:styleId="171">
    <w:name w:val="Table Text Char Char"/>
    <w:link w:val="172"/>
    <w:qFormat/>
    <w:uiPriority w:val="0"/>
    <w:rPr>
      <w:rFonts w:eastAsia="Helvetica"/>
      <w:sz w:val="24"/>
      <w:lang w:bidi="ar-SA"/>
    </w:rPr>
  </w:style>
  <w:style w:type="paragraph" w:customStyle="1" w:styleId="172">
    <w:name w:val="Table Text"/>
    <w:basedOn w:val="1"/>
    <w:link w:val="171"/>
    <w:qFormat/>
    <w:uiPriority w:val="0"/>
    <w:pPr>
      <w:widowControl/>
      <w:autoSpaceDE w:val="0"/>
      <w:autoSpaceDN w:val="0"/>
      <w:adjustRightInd w:val="0"/>
      <w:spacing w:before="60" w:after="60"/>
      <w:jc w:val="left"/>
    </w:pPr>
    <w:rPr>
      <w:rFonts w:eastAsia="Helvetica"/>
      <w:kern w:val="0"/>
      <w:sz w:val="24"/>
      <w:szCs w:val="20"/>
    </w:rPr>
  </w:style>
  <w:style w:type="character" w:customStyle="1" w:styleId="173">
    <w:name w:val="Style4"/>
    <w:qFormat/>
    <w:uiPriority w:val="0"/>
    <w:rPr>
      <w:rFonts w:ascii="Century Gothic" w:hAnsi="Helvetica" w:eastAsia="Helvetica" w:cs="Verdana"/>
      <w:szCs w:val="22"/>
      <w:lang w:eastAsia="zh-CN"/>
    </w:rPr>
  </w:style>
  <w:style w:type="character" w:customStyle="1" w:styleId="174">
    <w:name w:val="Style5"/>
    <w:qFormat/>
    <w:uiPriority w:val="0"/>
    <w:rPr>
      <w:rFonts w:ascii="Century Gothic" w:hAnsi="Helvetica" w:eastAsia="Helvetica" w:cs="Verdana"/>
      <w:sz w:val="22"/>
      <w:szCs w:val="22"/>
      <w:lang w:eastAsia="zh-CN"/>
    </w:rPr>
  </w:style>
  <w:style w:type="character" w:customStyle="1" w:styleId="175">
    <w:name w:val="强调划线"/>
    <w:qFormat/>
    <w:uiPriority w:val="0"/>
    <w:rPr>
      <w:u w:val="single"/>
    </w:rPr>
  </w:style>
  <w:style w:type="character" w:customStyle="1" w:styleId="176">
    <w:name w:val="Style3"/>
    <w:qFormat/>
    <w:uiPriority w:val="0"/>
    <w:rPr>
      <w:rFonts w:ascii="Century Gothic" w:hAnsi="Helvetica" w:eastAsia="Helvetica" w:cs="Verdana"/>
      <w:szCs w:val="22"/>
      <w:lang w:eastAsia="zh-CN"/>
    </w:rPr>
  </w:style>
  <w:style w:type="character" w:customStyle="1" w:styleId="177">
    <w:name w:val="A4 Char Char"/>
    <w:link w:val="178"/>
    <w:qFormat/>
    <w:uiPriority w:val="0"/>
    <w:rPr>
      <w:rFonts w:ascii="楷体_GB2312" w:hAnsi="楷体_GB2312" w:eastAsia="Arial Unicode MS"/>
      <w:b/>
      <w:bCs/>
      <w:sz w:val="28"/>
      <w:szCs w:val="28"/>
    </w:rPr>
  </w:style>
  <w:style w:type="paragraph" w:customStyle="1" w:styleId="178">
    <w:name w:val="A4"/>
    <w:basedOn w:val="9"/>
    <w:link w:val="177"/>
    <w:qFormat/>
    <w:uiPriority w:val="0"/>
    <w:pPr>
      <w:spacing w:line="377" w:lineRule="auto"/>
      <w:jc w:val="left"/>
    </w:pPr>
    <w:rPr>
      <w:rFonts w:ascii="楷体_GB2312" w:hAnsi="楷体_GB2312" w:eastAsia="Arial Unicode MS"/>
      <w:kern w:val="0"/>
    </w:rPr>
  </w:style>
  <w:style w:type="character" w:customStyle="1" w:styleId="179">
    <w:name w:val="Char Char"/>
    <w:qFormat/>
    <w:uiPriority w:val="0"/>
    <w:rPr>
      <w:rFonts w:ascii="Wingdings" w:hAnsi="宋体,Verdana,Arial" w:eastAsia="Wingdings"/>
      <w:sz w:val="21"/>
      <w:szCs w:val="21"/>
      <w:lang w:val="en-US" w:eastAsia="zh-CN" w:bidi="ar-SA"/>
    </w:rPr>
  </w:style>
  <w:style w:type="character" w:customStyle="1" w:styleId="180">
    <w:name w:val="Body text|2 + Bold"/>
    <w:unhideWhenUsed/>
    <w:qFormat/>
    <w:uiPriority w:val="0"/>
    <w:rPr>
      <w:rFonts w:ascii="Myriad Pro" w:hAnsi="Myriad Pro" w:eastAsia="Myriad Pro" w:cs="Myriad Pro"/>
      <w:b/>
      <w:bCs/>
      <w:color w:val="000000"/>
      <w:spacing w:val="30"/>
      <w:w w:val="100"/>
      <w:position w:val="0"/>
      <w:sz w:val="24"/>
      <w:szCs w:val="24"/>
      <w:u w:val="none"/>
      <w:lang w:val="zh-CN" w:eastAsia="zh-CN" w:bidi="zh-CN"/>
    </w:rPr>
  </w:style>
  <w:style w:type="character" w:customStyle="1" w:styleId="181">
    <w:name w:val="注释题目"/>
    <w:qFormat/>
    <w:uiPriority w:val="0"/>
    <w:rPr>
      <w:rFonts w:eastAsia="Tahoma"/>
      <w:sz w:val="28"/>
      <w:u w:val="none"/>
    </w:rPr>
  </w:style>
  <w:style w:type="character" w:customStyle="1" w:styleId="182">
    <w:name w:val="哈哈正文 Char Char"/>
    <w:link w:val="183"/>
    <w:qFormat/>
    <w:uiPriority w:val="0"/>
    <w:rPr>
      <w:rFonts w:ascii="Arial Unicode MS" w:hAnsi="Arial Unicode MS"/>
      <w:kern w:val="2"/>
      <w:sz w:val="24"/>
      <w:lang w:bidi="ar-SA"/>
    </w:rPr>
  </w:style>
  <w:style w:type="paragraph" w:customStyle="1" w:styleId="183">
    <w:name w:val="哈哈正文"/>
    <w:basedOn w:val="1"/>
    <w:link w:val="182"/>
    <w:qFormat/>
    <w:uiPriority w:val="0"/>
    <w:pPr>
      <w:spacing w:line="360" w:lineRule="auto"/>
      <w:ind w:firstLine="200" w:firstLineChars="200"/>
    </w:pPr>
    <w:rPr>
      <w:rFonts w:ascii="Arial Unicode MS" w:hAnsi="Arial Unicode MS"/>
      <w:sz w:val="24"/>
      <w:szCs w:val="20"/>
    </w:rPr>
  </w:style>
  <w:style w:type="character" w:customStyle="1" w:styleId="184">
    <w:name w:val="Char Char22"/>
    <w:qFormat/>
    <w:uiPriority w:val="0"/>
    <w:rPr>
      <w:rFonts w:ascii="宋体,Verdana,Arial" w:hAnsi="宋体,Verdana,Arial" w:eastAsia="黑体"/>
      <w:b/>
      <w:bCs/>
      <w:kern w:val="44"/>
      <w:sz w:val="30"/>
      <w:szCs w:val="44"/>
      <w:lang w:val="en-US" w:eastAsia="zh-CN" w:bidi="ar-SA"/>
    </w:rPr>
  </w:style>
  <w:style w:type="character" w:customStyle="1" w:styleId="185">
    <w:name w:val="smalltxt1"/>
    <w:qFormat/>
    <w:uiPriority w:val="0"/>
    <w:rPr>
      <w:rFonts w:hint="default" w:ascii="Cambria Math" w:hAnsi="Cambria Math"/>
      <w:sz w:val="24"/>
      <w:szCs w:val="24"/>
    </w:rPr>
  </w:style>
  <w:style w:type="character" w:customStyle="1" w:styleId="186">
    <w:name w:val="纯文本 字符"/>
    <w:qFormat/>
    <w:uiPriority w:val="0"/>
    <w:rPr>
      <w:rFonts w:ascii="Wingdings" w:hAnsi="宋体,Verdana,Arial" w:eastAsia="Wingdings"/>
      <w:kern w:val="2"/>
      <w:sz w:val="21"/>
      <w:lang w:val="en-US" w:eastAsia="zh-CN" w:bidi="ar-SA"/>
    </w:rPr>
  </w:style>
  <w:style w:type="character" w:customStyle="1" w:styleId="187">
    <w:name w:val="A6"/>
    <w:qFormat/>
    <w:uiPriority w:val="0"/>
    <w:rPr>
      <w:rFonts w:cs="方正楷体"/>
      <w:color w:val="000000"/>
      <w:sz w:val="16"/>
      <w:szCs w:val="16"/>
    </w:rPr>
  </w:style>
  <w:style w:type="character" w:customStyle="1" w:styleId="188">
    <w:name w:val="列出段落 Char2"/>
    <w:qFormat/>
    <w:uiPriority w:val="34"/>
  </w:style>
  <w:style w:type="character" w:customStyle="1" w:styleId="189">
    <w:name w:val="PI Char"/>
    <w:qFormat/>
    <w:uiPriority w:val="0"/>
    <w:rPr>
      <w:rFonts w:ascii="Helvetica" w:hAnsi="Helvetica"/>
      <w:sz w:val="24"/>
    </w:rPr>
  </w:style>
  <w:style w:type="character" w:customStyle="1" w:styleId="190">
    <w:name w:val="heading 2 Char"/>
    <w:qFormat/>
    <w:uiPriority w:val="0"/>
    <w:rPr>
      <w:rFonts w:ascii="宋体,Verdana,Arial" w:hAnsi="宋体,Verdana,Arial" w:eastAsia="黑体" w:cs="Verdana"/>
      <w:sz w:val="30"/>
      <w:szCs w:val="24"/>
    </w:rPr>
  </w:style>
  <w:style w:type="character" w:customStyle="1" w:styleId="191">
    <w:name w:val="明显参考1"/>
    <w:qFormat/>
    <w:uiPriority w:val="0"/>
    <w:rPr>
      <w:b/>
      <w:bCs/>
      <w:smallCaps/>
      <w:color w:val="C0504D"/>
      <w:spacing w:val="5"/>
      <w:u w:val="single"/>
    </w:rPr>
  </w:style>
  <w:style w:type="character" w:customStyle="1" w:styleId="192">
    <w:name w:val="Ò³Ã¼ Char Char1"/>
    <w:qFormat/>
    <w:uiPriority w:val="0"/>
    <w:rPr>
      <w:rFonts w:eastAsia="Helvetica"/>
      <w:kern w:val="2"/>
      <w:sz w:val="18"/>
      <w:szCs w:val="18"/>
      <w:lang w:val="en-US" w:eastAsia="zh-CN" w:bidi="ar-SA"/>
    </w:rPr>
  </w:style>
  <w:style w:type="character" w:customStyle="1" w:styleId="193">
    <w:name w:val="Body text|21"/>
    <w:unhideWhenUsed/>
    <w:qFormat/>
    <w:uiPriority w:val="0"/>
    <w:rPr>
      <w:rFonts w:ascii="Myriad Pro" w:hAnsi="Myriad Pro" w:eastAsia="Myriad Pro" w:cs="Myriad Pro"/>
      <w:color w:val="000000"/>
      <w:spacing w:val="20"/>
      <w:w w:val="100"/>
      <w:position w:val="0"/>
      <w:sz w:val="24"/>
      <w:szCs w:val="24"/>
      <w:u w:val="none"/>
      <w:lang w:val="zh-CN" w:eastAsia="zh-CN" w:bidi="zh-CN"/>
    </w:rPr>
  </w:style>
  <w:style w:type="character" w:customStyle="1" w:styleId="194">
    <w:name w:val="不明显参考1"/>
    <w:qFormat/>
    <w:uiPriority w:val="0"/>
    <w:rPr>
      <w:smallCaps/>
      <w:color w:val="C0504D"/>
      <w:u w:val="single"/>
    </w:rPr>
  </w:style>
  <w:style w:type="character" w:customStyle="1" w:styleId="195">
    <w:name w:val="Texte Char Char"/>
    <w:qFormat/>
    <w:uiPriority w:val="0"/>
    <w:rPr>
      <w:rFonts w:ascii="Helvetica" w:hAnsi="Vijaya" w:eastAsia="Helvetica"/>
      <w:sz w:val="21"/>
      <w:szCs w:val="21"/>
      <w:lang w:val="en-US" w:eastAsia="zh-CN" w:bidi="ar-SA"/>
    </w:rPr>
  </w:style>
  <w:style w:type="character" w:customStyle="1" w:styleId="196">
    <w:name w:val="大标题 Char Char"/>
    <w:link w:val="197"/>
    <w:qFormat/>
    <w:uiPriority w:val="0"/>
    <w:rPr>
      <w:rFonts w:ascii="Tahoma" w:hAnsi="Tahoma" w:eastAsia="Tahoma"/>
      <w:b/>
      <w:bCs/>
      <w:kern w:val="2"/>
      <w:sz w:val="72"/>
      <w:szCs w:val="72"/>
      <w:lang w:bidi="ar-SA"/>
    </w:rPr>
  </w:style>
  <w:style w:type="paragraph" w:customStyle="1" w:styleId="197">
    <w:name w:val="大标题"/>
    <w:basedOn w:val="1"/>
    <w:link w:val="196"/>
    <w:qFormat/>
    <w:uiPriority w:val="0"/>
    <w:pPr>
      <w:spacing w:line="40" w:lineRule="atLeast"/>
    </w:pPr>
    <w:rPr>
      <w:rFonts w:ascii="Tahoma" w:hAnsi="Tahoma" w:eastAsia="Tahoma"/>
      <w:b/>
      <w:bCs/>
      <w:sz w:val="72"/>
      <w:szCs w:val="72"/>
    </w:rPr>
  </w:style>
  <w:style w:type="character" w:customStyle="1" w:styleId="198">
    <w:name w:val="小标题 Char Char"/>
    <w:link w:val="199"/>
    <w:qFormat/>
    <w:uiPriority w:val="0"/>
    <w:rPr>
      <w:rFonts w:ascii="Verdana" w:hAnsi="Verdana" w:eastAsia="黑体" w:cs="Verdana"/>
      <w:lang w:val="en-US" w:eastAsia="zh-CN" w:bidi="ar-SA"/>
    </w:rPr>
  </w:style>
  <w:style w:type="paragraph" w:customStyle="1" w:styleId="199">
    <w:name w:val="小标题"/>
    <w:basedOn w:val="1"/>
    <w:link w:val="198"/>
    <w:qFormat/>
    <w:uiPriority w:val="0"/>
    <w:pPr>
      <w:autoSpaceDE w:val="0"/>
      <w:autoSpaceDN w:val="0"/>
      <w:adjustRightInd w:val="0"/>
      <w:spacing w:before="120" w:line="360" w:lineRule="atLeast"/>
      <w:ind w:left="1134"/>
      <w:jc w:val="left"/>
      <w:textAlignment w:val="baseline"/>
    </w:pPr>
    <w:rPr>
      <w:rFonts w:ascii="Verdana" w:hAnsi="Verdana" w:eastAsia="黑体" w:cs="Verdana"/>
      <w:kern w:val="0"/>
      <w:sz w:val="20"/>
      <w:szCs w:val="20"/>
    </w:rPr>
  </w:style>
  <w:style w:type="character" w:customStyle="1" w:styleId="200">
    <w:name w:val="Footer-Even Char2"/>
    <w:qFormat/>
    <w:uiPriority w:val="0"/>
    <w:rPr>
      <w:kern w:val="2"/>
      <w:sz w:val="18"/>
      <w:szCs w:val="18"/>
    </w:rPr>
  </w:style>
  <w:style w:type="character" w:customStyle="1" w:styleId="201">
    <w:name w:val="Char Char6"/>
    <w:qFormat/>
    <w:uiPriority w:val="0"/>
    <w:rPr>
      <w:rFonts w:ascii="Verdana" w:hAnsi="Verdana" w:eastAsia="Helvetica" w:cs="Verdana"/>
      <w:szCs w:val="24"/>
    </w:rPr>
  </w:style>
  <w:style w:type="character" w:customStyle="1" w:styleId="202">
    <w:name w:val="Body text|2_"/>
    <w:link w:val="203"/>
    <w:qFormat/>
    <w:uiPriority w:val="0"/>
    <w:rPr>
      <w:rFonts w:ascii="Myriad Pro" w:hAnsi="Myriad Pro" w:eastAsia="Myriad Pro" w:cs="Myriad Pro"/>
      <w:spacing w:val="20"/>
      <w:u w:val="none"/>
    </w:rPr>
  </w:style>
  <w:style w:type="paragraph" w:customStyle="1" w:styleId="203">
    <w:name w:val="Body text|22"/>
    <w:basedOn w:val="1"/>
    <w:link w:val="202"/>
    <w:qFormat/>
    <w:uiPriority w:val="0"/>
    <w:pPr>
      <w:shd w:val="clear" w:color="auto" w:fill="FFFFFF"/>
      <w:spacing w:before="140" w:line="403" w:lineRule="exact"/>
      <w:ind w:hanging="580"/>
    </w:pPr>
    <w:rPr>
      <w:rFonts w:ascii="Myriad Pro" w:hAnsi="Myriad Pro" w:eastAsia="Myriad Pro"/>
      <w:spacing w:val="20"/>
      <w:kern w:val="0"/>
      <w:sz w:val="20"/>
      <w:szCs w:val="20"/>
    </w:rPr>
  </w:style>
  <w:style w:type="character" w:customStyle="1" w:styleId="204">
    <w:name w:val="纯文本 Char1"/>
    <w:semiHidden/>
    <w:qFormat/>
    <w:locked/>
    <w:uiPriority w:val="0"/>
    <w:rPr>
      <w:rFonts w:ascii="Wingdings" w:hAnsi="宋体,Verdana,Arial"/>
      <w:color w:val="000000"/>
      <w:sz w:val="21"/>
    </w:rPr>
  </w:style>
  <w:style w:type="character" w:customStyle="1" w:styleId="205">
    <w:name w:val="ändrad Char"/>
    <w:qFormat/>
    <w:uiPriority w:val="0"/>
    <w:rPr>
      <w:rFonts w:eastAsia="Helvetica"/>
      <w:kern w:val="2"/>
      <w:sz w:val="21"/>
      <w:szCs w:val="24"/>
      <w:lang w:val="en-US" w:eastAsia="zh-CN" w:bidi="ar-SA"/>
    </w:rPr>
  </w:style>
  <w:style w:type="character" w:customStyle="1" w:styleId="206">
    <w:name w:val="Char Char111"/>
    <w:qFormat/>
    <w:uiPriority w:val="0"/>
    <w:rPr>
      <w:rFonts w:ascii="Verdana" w:hAnsi="Verdana" w:eastAsia="Helvetica" w:cs="Verdana"/>
      <w:sz w:val="18"/>
      <w:szCs w:val="18"/>
    </w:rPr>
  </w:style>
  <w:style w:type="character" w:customStyle="1" w:styleId="207">
    <w:name w:val="正文居中 Char Char"/>
    <w:link w:val="208"/>
    <w:qFormat/>
    <w:uiPriority w:val="0"/>
    <w:rPr>
      <w:kern w:val="2"/>
      <w:sz w:val="21"/>
      <w:szCs w:val="24"/>
      <w:lang w:bidi="ar-SA"/>
    </w:rPr>
  </w:style>
  <w:style w:type="paragraph" w:customStyle="1" w:styleId="208">
    <w:name w:val="正文居中"/>
    <w:basedOn w:val="1"/>
    <w:link w:val="207"/>
    <w:qFormat/>
    <w:uiPriority w:val="0"/>
    <w:pPr>
      <w:jc w:val="center"/>
    </w:pPr>
  </w:style>
  <w:style w:type="character" w:customStyle="1" w:styleId="209">
    <w:name w:val="heading 1 Char2"/>
    <w:qFormat/>
    <w:uiPriority w:val="0"/>
    <w:rPr>
      <w:b/>
      <w:bCs/>
      <w:kern w:val="44"/>
      <w:sz w:val="44"/>
      <w:szCs w:val="44"/>
    </w:rPr>
  </w:style>
  <w:style w:type="character" w:customStyle="1" w:styleId="210">
    <w:name w:val="Body text|2 + 10 pt"/>
    <w:unhideWhenUsed/>
    <w:qFormat/>
    <w:uiPriority w:val="0"/>
    <w:rPr>
      <w:rFonts w:ascii="Myriad Pro" w:hAnsi="Myriad Pro" w:eastAsia="Myriad Pro" w:cs="Myriad Pro"/>
      <w:color w:val="000000"/>
      <w:spacing w:val="0"/>
      <w:w w:val="100"/>
      <w:position w:val="0"/>
      <w:sz w:val="20"/>
      <w:szCs w:val="20"/>
      <w:u w:val="none"/>
      <w:lang w:val="zh-CN" w:eastAsia="zh-CN" w:bidi="zh-CN"/>
    </w:rPr>
  </w:style>
  <w:style w:type="character" w:customStyle="1" w:styleId="211">
    <w:name w:val="列表段落 字符"/>
    <w:link w:val="212"/>
    <w:qFormat/>
    <w:uiPriority w:val="0"/>
    <w:rPr>
      <w:rFonts w:ascii="Century Gothic" w:hAnsi="Century Gothic" w:eastAsia="Helvetica" w:cs="Verdana"/>
      <w:kern w:val="2"/>
      <w:sz w:val="21"/>
      <w:szCs w:val="22"/>
      <w:lang w:val="en-US" w:eastAsia="zh-CN" w:bidi="ar-SA"/>
    </w:rPr>
  </w:style>
  <w:style w:type="paragraph" w:styleId="212">
    <w:name w:val="List Paragraph"/>
    <w:basedOn w:val="1"/>
    <w:link w:val="211"/>
    <w:qFormat/>
    <w:uiPriority w:val="0"/>
    <w:pPr>
      <w:ind w:firstLine="420" w:firstLineChars="200"/>
    </w:pPr>
    <w:rPr>
      <w:rFonts w:ascii="Century Gothic" w:hAnsi="Century Gothic" w:eastAsia="Helvetica" w:cs="Verdana"/>
      <w:szCs w:val="22"/>
    </w:rPr>
  </w:style>
  <w:style w:type="character" w:customStyle="1" w:styleId="213">
    <w:name w:val="Table of contents|1 + Spacing 3 pt"/>
    <w:unhideWhenUsed/>
    <w:qFormat/>
    <w:uiPriority w:val="0"/>
    <w:rPr>
      <w:rFonts w:ascii="Myriad Pro" w:hAnsi="Myriad Pro" w:eastAsia="Myriad Pro" w:cs="Myriad Pro"/>
      <w:color w:val="000000"/>
      <w:spacing w:val="60"/>
      <w:w w:val="100"/>
      <w:position w:val="0"/>
      <w:sz w:val="20"/>
      <w:szCs w:val="20"/>
      <w:u w:val="none"/>
      <w:lang w:val="zh-CN" w:eastAsia="zh-CN" w:bidi="zh-CN"/>
    </w:rPr>
  </w:style>
  <w:style w:type="character" w:customStyle="1" w:styleId="214">
    <w:name w:val="Body text|2"/>
    <w:unhideWhenUsed/>
    <w:qFormat/>
    <w:uiPriority w:val="0"/>
    <w:rPr>
      <w:rFonts w:ascii="Myriad Pro" w:hAnsi="Myriad Pro" w:eastAsia="Myriad Pro" w:cs="Myriad Pro"/>
      <w:color w:val="000000"/>
      <w:spacing w:val="20"/>
      <w:w w:val="100"/>
      <w:position w:val="0"/>
      <w:sz w:val="24"/>
      <w:szCs w:val="24"/>
      <w:u w:val="single"/>
      <w:lang w:val="zh-CN" w:eastAsia="zh-CN" w:bidi="zh-CN"/>
    </w:rPr>
  </w:style>
  <w:style w:type="character" w:customStyle="1" w:styleId="215">
    <w:name w:val="Body text|2 + 7.5 pt"/>
    <w:unhideWhenUsed/>
    <w:qFormat/>
    <w:uiPriority w:val="0"/>
    <w:rPr>
      <w:rFonts w:ascii="Myriad Pro" w:hAnsi="Myriad Pro" w:eastAsia="Myriad Pro" w:cs="Myriad Pro"/>
      <w:i/>
      <w:iCs/>
      <w:color w:val="000000"/>
      <w:spacing w:val="0"/>
      <w:w w:val="100"/>
      <w:position w:val="0"/>
      <w:sz w:val="15"/>
      <w:szCs w:val="15"/>
      <w:u w:val="none"/>
      <w:lang w:val="en-US" w:eastAsia="en-US" w:bidi="en-US"/>
    </w:rPr>
  </w:style>
  <w:style w:type="character" w:customStyle="1" w:styleId="216">
    <w:name w:val="表格用 Char Char"/>
    <w:link w:val="217"/>
    <w:qFormat/>
    <w:locked/>
    <w:uiPriority w:val="0"/>
    <w:rPr>
      <w:rFonts w:ascii="Wingdings" w:hAnsi="Wingdings"/>
      <w:sz w:val="24"/>
      <w:szCs w:val="24"/>
    </w:rPr>
  </w:style>
  <w:style w:type="paragraph" w:customStyle="1" w:styleId="217">
    <w:name w:val="表格用"/>
    <w:basedOn w:val="1"/>
    <w:link w:val="216"/>
    <w:qFormat/>
    <w:uiPriority w:val="0"/>
    <w:pPr>
      <w:widowControl/>
      <w:spacing w:line="360" w:lineRule="auto"/>
    </w:pPr>
    <w:rPr>
      <w:rFonts w:ascii="Wingdings" w:hAnsi="Wingdings"/>
      <w:kern w:val="0"/>
      <w:sz w:val="24"/>
    </w:rPr>
  </w:style>
  <w:style w:type="character" w:customStyle="1" w:styleId="218">
    <w:name w:val="1Text Char Char"/>
    <w:link w:val="219"/>
    <w:qFormat/>
    <w:uiPriority w:val="0"/>
    <w:rPr>
      <w:rFonts w:ascii="Arial Unicode MS" w:hAnsi="Arial Unicode MS" w:eastAsia="Arial Unicode MS"/>
      <w:sz w:val="24"/>
      <w:szCs w:val="24"/>
      <w:lang w:bidi="ar-SA"/>
    </w:rPr>
  </w:style>
  <w:style w:type="paragraph" w:customStyle="1" w:styleId="219">
    <w:name w:val="1Text"/>
    <w:basedOn w:val="1"/>
    <w:link w:val="218"/>
    <w:qFormat/>
    <w:uiPriority w:val="0"/>
    <w:pPr>
      <w:spacing w:beforeLines="50" w:afterLines="50" w:line="360" w:lineRule="auto"/>
      <w:ind w:firstLine="480" w:firstLineChars="200"/>
      <w:jc w:val="left"/>
    </w:pPr>
    <w:rPr>
      <w:rFonts w:ascii="Arial Unicode MS" w:hAnsi="Arial Unicode MS" w:eastAsia="Arial Unicode MS"/>
      <w:kern w:val="0"/>
      <w:sz w:val="24"/>
    </w:rPr>
  </w:style>
  <w:style w:type="character" w:customStyle="1" w:styleId="220">
    <w:name w:val="Header or footer|1_"/>
    <w:link w:val="221"/>
    <w:qFormat/>
    <w:uiPriority w:val="0"/>
    <w:rPr>
      <w:rFonts w:ascii="Myriad Pro" w:hAnsi="Myriad Pro" w:eastAsia="Myriad Pro" w:cs="Myriad Pro"/>
      <w:sz w:val="17"/>
      <w:szCs w:val="17"/>
      <w:u w:val="none"/>
    </w:rPr>
  </w:style>
  <w:style w:type="paragraph" w:customStyle="1" w:styleId="221">
    <w:name w:val="Header or footer|11"/>
    <w:basedOn w:val="1"/>
    <w:link w:val="220"/>
    <w:qFormat/>
    <w:uiPriority w:val="0"/>
    <w:pPr>
      <w:shd w:val="clear" w:color="auto" w:fill="FFFFFF"/>
      <w:spacing w:line="200" w:lineRule="exact"/>
    </w:pPr>
    <w:rPr>
      <w:rFonts w:ascii="Myriad Pro" w:hAnsi="Myriad Pro" w:eastAsia="Myriad Pro"/>
      <w:kern w:val="0"/>
      <w:sz w:val="17"/>
      <w:szCs w:val="17"/>
    </w:rPr>
  </w:style>
  <w:style w:type="character" w:customStyle="1" w:styleId="222">
    <w:name w:val="A3 Char Char"/>
    <w:link w:val="223"/>
    <w:qFormat/>
    <w:uiPriority w:val="0"/>
    <w:rPr>
      <w:rFonts w:eastAsia="Arial Unicode MS"/>
      <w:b/>
      <w:bCs/>
      <w:sz w:val="32"/>
      <w:szCs w:val="32"/>
      <w:lang w:bidi="ar-SA"/>
    </w:rPr>
  </w:style>
  <w:style w:type="paragraph" w:customStyle="1" w:styleId="223">
    <w:name w:val="A3"/>
    <w:basedOn w:val="8"/>
    <w:link w:val="222"/>
    <w:qFormat/>
    <w:uiPriority w:val="0"/>
    <w:pPr>
      <w:ind w:left="720" w:hanging="720"/>
      <w:jc w:val="left"/>
    </w:pPr>
    <w:rPr>
      <w:rFonts w:eastAsia="Arial Unicode MS"/>
      <w:kern w:val="0"/>
    </w:rPr>
  </w:style>
  <w:style w:type="character" w:customStyle="1" w:styleId="224">
    <w:name w:val="gray6"/>
    <w:qFormat/>
    <w:uiPriority w:val="0"/>
  </w:style>
  <w:style w:type="character" w:customStyle="1" w:styleId="225">
    <w:name w:val="明显强调1"/>
    <w:qFormat/>
    <w:uiPriority w:val="0"/>
    <w:rPr>
      <w:b/>
      <w:bCs/>
      <w:i/>
      <w:iCs/>
      <w:color w:val="4F81BD"/>
    </w:rPr>
  </w:style>
  <w:style w:type="character" w:customStyle="1" w:styleId="226">
    <w:name w:val="样式2 Char Char"/>
    <w:link w:val="227"/>
    <w:qFormat/>
    <w:uiPriority w:val="0"/>
    <w:rPr>
      <w:rFonts w:ascii="Helvetica" w:hAnsi="Helvetica" w:eastAsia="Helvetica"/>
      <w:bCs/>
      <w:kern w:val="2"/>
      <w:sz w:val="28"/>
      <w:szCs w:val="28"/>
      <w:lang w:val="en-US" w:eastAsia="zh-CN" w:bidi="ar-SA"/>
    </w:rPr>
  </w:style>
  <w:style w:type="paragraph" w:customStyle="1" w:styleId="227">
    <w:name w:val="样式2"/>
    <w:basedOn w:val="7"/>
    <w:link w:val="226"/>
    <w:qFormat/>
    <w:uiPriority w:val="0"/>
    <w:pPr>
      <w:snapToGrid w:val="0"/>
      <w:spacing w:afterLines="50" w:line="480" w:lineRule="exact"/>
      <w:ind w:firstLine="556"/>
    </w:pPr>
    <w:rPr>
      <w:rFonts w:ascii="Helvetica" w:hAnsi="Helvetica"/>
      <w:b w:val="0"/>
      <w:sz w:val="28"/>
      <w:szCs w:val="28"/>
    </w:rPr>
  </w:style>
  <w:style w:type="character" w:customStyle="1" w:styleId="228">
    <w:name w:val="明显引用 字符"/>
    <w:link w:val="229"/>
    <w:qFormat/>
    <w:uiPriority w:val="0"/>
    <w:rPr>
      <w:rFonts w:ascii="Century Gothic" w:hAnsi="Century Gothic" w:eastAsia="Helvetica"/>
      <w:b/>
      <w:bCs/>
      <w:i/>
      <w:iCs/>
      <w:color w:val="4F81BD"/>
      <w:lang w:val="en-US" w:eastAsia="zh-CN" w:bidi="ar-SA"/>
    </w:rPr>
  </w:style>
  <w:style w:type="paragraph" w:styleId="229">
    <w:name w:val="Intense Quote"/>
    <w:basedOn w:val="1"/>
    <w:next w:val="1"/>
    <w:link w:val="228"/>
    <w:qFormat/>
    <w:uiPriority w:val="0"/>
    <w:pPr>
      <w:pBdr>
        <w:bottom w:val="single" w:color="4F81BD" w:sz="4" w:space="4"/>
      </w:pBdr>
      <w:spacing w:before="200" w:after="280"/>
      <w:ind w:left="936" w:right="936"/>
    </w:pPr>
    <w:rPr>
      <w:rFonts w:ascii="Century Gothic" w:hAnsi="Century Gothic" w:eastAsia="Helvetica"/>
      <w:b/>
      <w:bCs/>
      <w:i/>
      <w:iCs/>
      <w:color w:val="4F81BD"/>
      <w:kern w:val="0"/>
      <w:sz w:val="20"/>
      <w:szCs w:val="20"/>
    </w:rPr>
  </w:style>
  <w:style w:type="character" w:customStyle="1" w:styleId="230">
    <w:name w:val="Char Char15"/>
    <w:qFormat/>
    <w:uiPriority w:val="0"/>
    <w:rPr>
      <w:rFonts w:ascii="宋体,Verdana,Arial" w:hAnsi="宋体,Verdana,Arial" w:eastAsia="黑体"/>
      <w:sz w:val="24"/>
      <w:szCs w:val="24"/>
    </w:rPr>
  </w:style>
  <w:style w:type="character" w:customStyle="1" w:styleId="231">
    <w:name w:val="正文4 Char Char"/>
    <w:link w:val="232"/>
    <w:qFormat/>
    <w:uiPriority w:val="0"/>
    <w:rPr>
      <w:rFonts w:eastAsia="Arial Unicode MS"/>
      <w:kern w:val="2"/>
      <w:sz w:val="24"/>
      <w:szCs w:val="24"/>
    </w:rPr>
  </w:style>
  <w:style w:type="paragraph" w:customStyle="1" w:styleId="232">
    <w:name w:val="正文4"/>
    <w:basedOn w:val="1"/>
    <w:link w:val="231"/>
    <w:qFormat/>
    <w:uiPriority w:val="0"/>
    <w:pPr>
      <w:tabs>
        <w:tab w:val="left" w:pos="425"/>
      </w:tabs>
      <w:spacing w:before="60" w:after="60" w:line="360" w:lineRule="auto"/>
      <w:ind w:left="425"/>
    </w:pPr>
    <w:rPr>
      <w:rFonts w:eastAsia="Arial Unicode MS"/>
      <w:sz w:val="24"/>
    </w:rPr>
  </w:style>
  <w:style w:type="character" w:customStyle="1" w:styleId="233">
    <w:name w:val="样式 标题 3 + 黑体 小四 Char Char"/>
    <w:link w:val="234"/>
    <w:qFormat/>
    <w:uiPriority w:val="0"/>
    <w:rPr>
      <w:rFonts w:ascii="黑体" w:hAnsi="宋体,Verdana,Arial" w:eastAsia="黑体"/>
      <w:bCs/>
      <w:sz w:val="24"/>
      <w:szCs w:val="24"/>
      <w:lang w:bidi="ar-SA"/>
    </w:rPr>
  </w:style>
  <w:style w:type="paragraph" w:customStyle="1" w:styleId="234">
    <w:name w:val="样式 标题 3 + 黑体 小四"/>
    <w:basedOn w:val="8"/>
    <w:link w:val="233"/>
    <w:qFormat/>
    <w:uiPriority w:val="0"/>
    <w:rPr>
      <w:rFonts w:ascii="黑体" w:hAnsi="宋体,Verdana,Arial" w:eastAsia="黑体"/>
      <w:b w:val="0"/>
      <w:kern w:val="0"/>
      <w:sz w:val="24"/>
      <w:szCs w:val="24"/>
    </w:rPr>
  </w:style>
  <w:style w:type="character" w:customStyle="1" w:styleId="235">
    <w:name w:val="Footer-Even Char1"/>
    <w:qFormat/>
    <w:uiPriority w:val="0"/>
    <w:rPr>
      <w:rFonts w:eastAsia="Helvetica"/>
      <w:kern w:val="2"/>
      <w:sz w:val="18"/>
      <w:szCs w:val="18"/>
      <w:lang w:val="en-US" w:eastAsia="zh-CN" w:bidi="ar-SA"/>
    </w:rPr>
  </w:style>
  <w:style w:type="character" w:customStyle="1" w:styleId="236">
    <w:name w:val="heading 4 Char2"/>
    <w:qFormat/>
    <w:uiPriority w:val="0"/>
    <w:rPr>
      <w:rFonts w:ascii="PMingLiU" w:hAnsi="PMingLiU"/>
      <w:b/>
      <w:bCs/>
      <w:kern w:val="2"/>
      <w:sz w:val="28"/>
      <w:szCs w:val="28"/>
    </w:rPr>
  </w:style>
  <w:style w:type="character" w:customStyle="1" w:styleId="237">
    <w:name w:val="Plain Text Char"/>
    <w:qFormat/>
    <w:uiPriority w:val="0"/>
    <w:rPr>
      <w:rFonts w:ascii="Helvetica" w:hAnsi="Vijaya" w:eastAsia="Helvetica" w:cs="Verdana"/>
      <w:sz w:val="21"/>
      <w:szCs w:val="21"/>
    </w:rPr>
  </w:style>
  <w:style w:type="character" w:customStyle="1" w:styleId="238">
    <w:name w:val="Char Char211"/>
    <w:qFormat/>
    <w:uiPriority w:val="0"/>
    <w:rPr>
      <w:rFonts w:ascii="Verdana" w:hAnsi="Verdana" w:eastAsia="Helvetica" w:cs="Verdana"/>
      <w:b/>
      <w:bCs/>
      <w:kern w:val="44"/>
      <w:sz w:val="44"/>
      <w:szCs w:val="44"/>
    </w:rPr>
  </w:style>
  <w:style w:type="character" w:customStyle="1" w:styleId="239">
    <w:name w:val="Char Char20"/>
    <w:qFormat/>
    <w:uiPriority w:val="0"/>
    <w:rPr>
      <w:b/>
      <w:bCs/>
      <w:kern w:val="44"/>
      <w:sz w:val="44"/>
      <w:szCs w:val="44"/>
    </w:rPr>
  </w:style>
  <w:style w:type="character" w:customStyle="1" w:styleId="240">
    <w:name w:val="apple-converted-space"/>
    <w:qFormat/>
    <w:uiPriority w:val="0"/>
  </w:style>
  <w:style w:type="character" w:customStyle="1" w:styleId="241">
    <w:name w:val="Char Char2"/>
    <w:qFormat/>
    <w:uiPriority w:val="0"/>
    <w:rPr>
      <w:rFonts w:ascii="宋体,Verdana,Arial" w:hAnsi="宋体,Verdana,Arial" w:eastAsia="黑体"/>
      <w:b/>
      <w:bCs/>
      <w:kern w:val="44"/>
      <w:sz w:val="30"/>
      <w:szCs w:val="44"/>
      <w:lang w:val="en-US" w:eastAsia="zh-CN" w:bidi="ar-SA"/>
    </w:rPr>
  </w:style>
  <w:style w:type="character" w:customStyle="1" w:styleId="242">
    <w:name w:val="Char Char Char1"/>
    <w:qFormat/>
    <w:uiPriority w:val="0"/>
    <w:rPr>
      <w:rFonts w:ascii="Helvetica" w:hAnsi="Vijaya"/>
      <w:sz w:val="21"/>
      <w:szCs w:val="21"/>
    </w:rPr>
  </w:style>
  <w:style w:type="character" w:customStyle="1" w:styleId="243">
    <w:name w:val="heading 3 Char1"/>
    <w:qFormat/>
    <w:uiPriority w:val="0"/>
    <w:rPr>
      <w:rFonts w:eastAsia="Helvetica"/>
      <w:b/>
      <w:bCs/>
      <w:kern w:val="2"/>
      <w:sz w:val="32"/>
      <w:szCs w:val="32"/>
      <w:lang w:val="en-US" w:eastAsia="zh-CN" w:bidi="ar-SA"/>
    </w:rPr>
  </w:style>
  <w:style w:type="character" w:customStyle="1" w:styleId="244">
    <w:name w:val="正文靠右 Char Char"/>
    <w:link w:val="245"/>
    <w:qFormat/>
    <w:uiPriority w:val="0"/>
    <w:rPr>
      <w:kern w:val="2"/>
      <w:sz w:val="21"/>
      <w:szCs w:val="24"/>
      <w:lang w:bidi="ar-SA"/>
    </w:rPr>
  </w:style>
  <w:style w:type="paragraph" w:customStyle="1" w:styleId="245">
    <w:name w:val="正文靠右"/>
    <w:basedOn w:val="1"/>
    <w:link w:val="244"/>
    <w:qFormat/>
    <w:uiPriority w:val="0"/>
    <w:pPr>
      <w:jc w:val="right"/>
    </w:pPr>
  </w:style>
  <w:style w:type="character" w:customStyle="1" w:styleId="246">
    <w:name w:val="linkgray"/>
    <w:qFormat/>
    <w:uiPriority w:val="0"/>
  </w:style>
  <w:style w:type="character" w:customStyle="1" w:styleId="247">
    <w:name w:val="Table caption|1 + Spacing 2 pt"/>
    <w:unhideWhenUsed/>
    <w:qFormat/>
    <w:uiPriority w:val="0"/>
    <w:rPr>
      <w:rFonts w:ascii="Myriad Pro" w:hAnsi="Myriad Pro" w:eastAsia="Myriad Pro" w:cs="Myriad Pro"/>
      <w:color w:val="000000"/>
      <w:spacing w:val="50"/>
      <w:w w:val="100"/>
      <w:position w:val="0"/>
      <w:sz w:val="24"/>
      <w:szCs w:val="24"/>
      <w:u w:val="none"/>
      <w:lang w:val="zh-CN" w:eastAsia="zh-CN" w:bidi="zh-CN"/>
    </w:rPr>
  </w:style>
  <w:style w:type="character" w:customStyle="1" w:styleId="248">
    <w:name w:val="H5-1 字符"/>
    <w:link w:val="249"/>
    <w:qFormat/>
    <w:uiPriority w:val="0"/>
    <w:rPr>
      <w:rFonts w:ascii="仿宋_GB2312" w:hAnsi="仿宋_GB2312" w:eastAsia="仿宋_GB2312"/>
      <w:b/>
      <w:bCs/>
      <w:kern w:val="2"/>
      <w:sz w:val="24"/>
      <w:szCs w:val="28"/>
    </w:rPr>
  </w:style>
  <w:style w:type="paragraph" w:customStyle="1" w:styleId="249">
    <w:name w:val="H5-1"/>
    <w:basedOn w:val="10"/>
    <w:link w:val="248"/>
    <w:qFormat/>
    <w:uiPriority w:val="0"/>
    <w:pPr>
      <w:spacing w:before="0" w:after="0" w:line="360" w:lineRule="auto"/>
      <w:ind w:left="1008" w:hanging="1008"/>
    </w:pPr>
    <w:rPr>
      <w:rFonts w:ascii="仿宋_GB2312" w:hAnsi="仿宋_GB2312" w:eastAsia="仿宋_GB2312"/>
      <w:sz w:val="24"/>
    </w:rPr>
  </w:style>
  <w:style w:type="character" w:customStyle="1" w:styleId="250">
    <w:name w:val="qowt-font5-gb2312"/>
    <w:qFormat/>
    <w:uiPriority w:val="0"/>
  </w:style>
  <w:style w:type="paragraph" w:customStyle="1" w:styleId="251">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i/>
      <w:iCs/>
      <w:kern w:val="0"/>
      <w:sz w:val="24"/>
    </w:rPr>
  </w:style>
  <w:style w:type="paragraph" w:customStyle="1" w:styleId="252">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253">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54">
    <w:name w:val="Body text|3"/>
    <w:basedOn w:val="1"/>
    <w:qFormat/>
    <w:uiPriority w:val="0"/>
    <w:pPr>
      <w:shd w:val="clear" w:color="auto" w:fill="FFFFFF"/>
      <w:spacing w:before="500" w:after="2360" w:line="280" w:lineRule="exact"/>
    </w:pPr>
    <w:rPr>
      <w:rFonts w:ascii="Myriad Pro" w:hAnsi="Myriad Pro" w:eastAsia="Myriad Pro" w:cs="Myriad Pro"/>
      <w:b/>
      <w:bCs/>
      <w:spacing w:val="20"/>
      <w:sz w:val="28"/>
      <w:szCs w:val="28"/>
    </w:rPr>
  </w:style>
  <w:style w:type="paragraph" w:customStyle="1" w:styleId="2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256">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257">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58">
    <w:name w:val="font10"/>
    <w:basedOn w:val="1"/>
    <w:qFormat/>
    <w:uiPriority w:val="0"/>
    <w:pPr>
      <w:widowControl/>
      <w:spacing w:before="100" w:beforeAutospacing="1" w:after="100" w:afterAutospacing="1"/>
      <w:jc w:val="left"/>
    </w:pPr>
    <w:rPr>
      <w:rFonts w:ascii="Wingdings" w:hAnsi="Wingdings" w:cs="Wingdings"/>
      <w:kern w:val="0"/>
      <w:sz w:val="18"/>
      <w:szCs w:val="18"/>
    </w:rPr>
  </w:style>
  <w:style w:type="paragraph" w:customStyle="1" w:styleId="259">
    <w:name w:val="font26"/>
    <w:basedOn w:val="1"/>
    <w:qFormat/>
    <w:uiPriority w:val="0"/>
    <w:pPr>
      <w:widowControl/>
      <w:spacing w:before="100" w:beforeAutospacing="1" w:after="100" w:afterAutospacing="1"/>
      <w:jc w:val="left"/>
    </w:pPr>
    <w:rPr>
      <w:rFonts w:ascii="Wingdings" w:hAnsi="Wingdings" w:cs="Wingdings"/>
      <w:kern w:val="0"/>
      <w:sz w:val="24"/>
    </w:rPr>
  </w:style>
  <w:style w:type="paragraph" w:customStyle="1" w:styleId="260">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b/>
      <w:bCs/>
      <w:kern w:val="0"/>
      <w:sz w:val="24"/>
    </w:rPr>
  </w:style>
  <w:style w:type="paragraph" w:customStyle="1" w:styleId="26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Verdana"/>
      <w:kern w:val="0"/>
      <w:sz w:val="20"/>
      <w:szCs w:val="20"/>
    </w:rPr>
  </w:style>
  <w:style w:type="paragraph" w:customStyle="1" w:styleId="262">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63">
    <w:name w:val="三级条标题"/>
    <w:basedOn w:val="264"/>
    <w:next w:val="1"/>
    <w:qFormat/>
    <w:uiPriority w:val="0"/>
    <w:pPr>
      <w:outlineLvl w:val="4"/>
    </w:pPr>
  </w:style>
  <w:style w:type="paragraph" w:customStyle="1" w:styleId="264">
    <w:name w:val="二级条标题"/>
    <w:basedOn w:val="265"/>
    <w:next w:val="1"/>
    <w:qFormat/>
    <w:uiPriority w:val="0"/>
    <w:pPr>
      <w:outlineLvl w:val="3"/>
    </w:pPr>
  </w:style>
  <w:style w:type="paragraph" w:customStyle="1" w:styleId="265">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266">
    <w:name w:val="xl31866"/>
    <w:basedOn w:val="1"/>
    <w:qFormat/>
    <w:uiPriority w:val="0"/>
    <w:pPr>
      <w:widowControl/>
      <w:spacing w:before="100" w:beforeAutospacing="1" w:after="100" w:afterAutospacing="1"/>
      <w:jc w:val="center"/>
    </w:pPr>
    <w:rPr>
      <w:rFonts w:ascii="Cambria" w:hAnsi="Cambria" w:cs="Cambria"/>
      <w:kern w:val="0"/>
      <w:sz w:val="24"/>
    </w:rPr>
  </w:style>
  <w:style w:type="paragraph" w:customStyle="1" w:styleId="267">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68">
    <w:name w:val="font6"/>
    <w:basedOn w:val="1"/>
    <w:qFormat/>
    <w:uiPriority w:val="0"/>
    <w:pPr>
      <w:widowControl/>
      <w:spacing w:before="100" w:beforeAutospacing="1" w:after="100" w:afterAutospacing="1"/>
      <w:jc w:val="left"/>
    </w:pPr>
    <w:rPr>
      <w:rFonts w:ascii="Helvetica" w:hAnsi="Helvetica" w:cs="Helvetica"/>
      <w:kern w:val="0"/>
      <w:sz w:val="18"/>
      <w:szCs w:val="18"/>
    </w:rPr>
  </w:style>
  <w:style w:type="paragraph" w:customStyle="1" w:styleId="269">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270">
    <w:name w:val="数字级连标题3"/>
    <w:basedOn w:val="8"/>
    <w:next w:val="1"/>
    <w:qFormat/>
    <w:uiPriority w:val="0"/>
    <w:pPr>
      <w:suppressAutoHyphens/>
      <w:spacing w:before="0" w:after="0" w:line="360" w:lineRule="auto"/>
    </w:pPr>
    <w:rPr>
      <w:rFonts w:ascii="等线" w:hAnsi="等线" w:eastAsia="Arial Unicode MS" w:cs="等线"/>
      <w:bCs w:val="0"/>
      <w:sz w:val="28"/>
      <w:szCs w:val="20"/>
      <w:lang w:eastAsia="ar-SA"/>
    </w:rPr>
  </w:style>
  <w:style w:type="paragraph" w:customStyle="1" w:styleId="271">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272">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Arial Unicode MS" w:hAnsi="Arial Unicode MS" w:eastAsia="Arial Unicode MS" w:cs="Arial Unicode MS"/>
      <w:sz w:val="24"/>
    </w:rPr>
  </w:style>
  <w:style w:type="paragraph" w:customStyle="1" w:styleId="273">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7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75">
    <w:name w:val="样式7"/>
    <w:basedOn w:val="9"/>
    <w:qFormat/>
    <w:uiPriority w:val="0"/>
    <w:pPr>
      <w:spacing w:line="376" w:lineRule="auto"/>
    </w:pPr>
    <w:rPr>
      <w:rFonts w:ascii="楷体_GB2312" w:hAnsi="楷体_GB2312" w:eastAsia="Arial Unicode MS" w:cs="等线"/>
    </w:rPr>
  </w:style>
  <w:style w:type="paragraph" w:customStyle="1" w:styleId="276">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7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Arial Unicode MS" w:hAnsi="Arial Unicode MS" w:eastAsia="Arial Unicode MS" w:cs="Helvetica"/>
      <w:b/>
      <w:bCs/>
      <w:color w:val="000000"/>
      <w:kern w:val="0"/>
      <w:sz w:val="24"/>
    </w:rPr>
  </w:style>
  <w:style w:type="paragraph" w:customStyle="1" w:styleId="278">
    <w:name w:val="font21"/>
    <w:basedOn w:val="1"/>
    <w:qFormat/>
    <w:uiPriority w:val="0"/>
    <w:pPr>
      <w:widowControl/>
      <w:spacing w:before="100" w:beforeAutospacing="1" w:after="100" w:afterAutospacing="1"/>
      <w:jc w:val="left"/>
    </w:pPr>
    <w:rPr>
      <w:rFonts w:ascii="Tahoma" w:hAnsi="Tahoma" w:cs="Wingdings"/>
      <w:kern w:val="0"/>
      <w:sz w:val="24"/>
    </w:rPr>
  </w:style>
  <w:style w:type="paragraph" w:customStyle="1" w:styleId="279">
    <w:name w:val="表头文本"/>
    <w:basedOn w:val="1"/>
    <w:qFormat/>
    <w:uiPriority w:val="0"/>
    <w:pPr>
      <w:autoSpaceDE w:val="0"/>
      <w:autoSpaceDN w:val="0"/>
      <w:adjustRightInd w:val="0"/>
      <w:jc w:val="center"/>
    </w:pPr>
    <w:rPr>
      <w:rFonts w:ascii="楷体" w:hAnsi="楷体" w:cs="楷体"/>
      <w:b/>
      <w:kern w:val="0"/>
      <w:sz w:val="24"/>
      <w:szCs w:val="20"/>
    </w:rPr>
  </w:style>
  <w:style w:type="paragraph" w:customStyle="1" w:styleId="280">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i/>
      <w:iCs/>
      <w:kern w:val="0"/>
      <w:sz w:val="24"/>
    </w:rPr>
  </w:style>
  <w:style w:type="paragraph" w:customStyle="1" w:styleId="281">
    <w:name w:val="font12"/>
    <w:basedOn w:val="1"/>
    <w:qFormat/>
    <w:uiPriority w:val="0"/>
    <w:pPr>
      <w:widowControl/>
      <w:spacing w:before="100" w:beforeAutospacing="1" w:after="100" w:afterAutospacing="1"/>
      <w:jc w:val="left"/>
    </w:pPr>
    <w:rPr>
      <w:rFonts w:ascii="Wingdings" w:hAnsi="Wingdings" w:cs="Wingdings"/>
      <w:kern w:val="0"/>
      <w:sz w:val="18"/>
      <w:szCs w:val="18"/>
    </w:rPr>
  </w:style>
  <w:style w:type="paragraph" w:customStyle="1" w:styleId="282">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28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隶书" w:hAnsi="Helvetica" w:eastAsia="隶书"/>
      <w:kern w:val="0"/>
      <w:sz w:val="24"/>
      <w:szCs w:val="20"/>
    </w:rPr>
  </w:style>
  <w:style w:type="paragraph" w:customStyle="1" w:styleId="284">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8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8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87">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88">
    <w:name w:val="正文 New"/>
    <w:qFormat/>
    <w:uiPriority w:val="0"/>
    <w:pPr>
      <w:widowControl w:val="0"/>
      <w:jc w:val="both"/>
    </w:pPr>
    <w:rPr>
      <w:rFonts w:ascii="等线" w:hAnsi="等线" w:eastAsia="Arial Unicode MS" w:cs="等线"/>
      <w:kern w:val="2"/>
      <w:sz w:val="21"/>
      <w:szCs w:val="24"/>
      <w:lang w:val="en-US" w:eastAsia="zh-CN" w:bidi="ar-SA"/>
    </w:rPr>
  </w:style>
  <w:style w:type="paragraph" w:customStyle="1" w:styleId="289">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9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91">
    <w:name w:val="_Style 10"/>
    <w:basedOn w:val="1"/>
    <w:qFormat/>
    <w:uiPriority w:val="0"/>
  </w:style>
  <w:style w:type="paragraph" w:customStyle="1" w:styleId="292">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293">
    <w:name w:val="font19"/>
    <w:basedOn w:val="1"/>
    <w:qFormat/>
    <w:uiPriority w:val="0"/>
    <w:pPr>
      <w:widowControl/>
      <w:spacing w:before="100" w:beforeAutospacing="1" w:after="100" w:afterAutospacing="1"/>
      <w:jc w:val="left"/>
    </w:pPr>
    <w:rPr>
      <w:rFonts w:ascii="Wingdings" w:hAnsi="Wingdings" w:cs="Wingdings"/>
      <w:kern w:val="0"/>
      <w:sz w:val="18"/>
      <w:szCs w:val="18"/>
    </w:rPr>
  </w:style>
  <w:style w:type="paragraph" w:customStyle="1" w:styleId="294">
    <w:name w:val="font0"/>
    <w:basedOn w:val="1"/>
    <w:qFormat/>
    <w:uiPriority w:val="0"/>
    <w:pPr>
      <w:widowControl/>
      <w:spacing w:before="100" w:beforeAutospacing="1" w:after="100" w:afterAutospacing="1"/>
      <w:jc w:val="left"/>
    </w:pPr>
    <w:rPr>
      <w:rFonts w:ascii="Wingdings" w:hAnsi="Wingdings" w:cs="Wingdings"/>
      <w:color w:val="000000"/>
      <w:kern w:val="0"/>
      <w:sz w:val="22"/>
      <w:szCs w:val="22"/>
    </w:rPr>
  </w:style>
  <w:style w:type="paragraph" w:customStyle="1" w:styleId="295">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Helvetica" w:hAnsi="宋体,Verdana,Arial"/>
      <w:b w:val="0"/>
      <w:bCs w:val="0"/>
      <w:snapToGrid w:val="0"/>
      <w:kern w:val="0"/>
      <w:sz w:val="28"/>
    </w:rPr>
  </w:style>
  <w:style w:type="paragraph" w:customStyle="1" w:styleId="296">
    <w:name w:val="文档正文"/>
    <w:basedOn w:val="1"/>
    <w:qFormat/>
    <w:uiPriority w:val="0"/>
    <w:pPr>
      <w:adjustRightInd w:val="0"/>
      <w:spacing w:line="300" w:lineRule="auto"/>
      <w:ind w:firstLine="567"/>
      <w:textAlignment w:val="baseline"/>
    </w:pPr>
    <w:rPr>
      <w:kern w:val="0"/>
      <w:sz w:val="24"/>
      <w:szCs w:val="20"/>
    </w:rPr>
  </w:style>
  <w:style w:type="paragraph" w:customStyle="1" w:styleId="297">
    <w:name w:val="Char Char Char Char Char Char Char Char Char Char Char Char Char Char Char Char Char Char Char"/>
    <w:basedOn w:val="1"/>
    <w:qFormat/>
    <w:uiPriority w:val="0"/>
    <w:rPr>
      <w:rFonts w:ascii="Tahoma" w:eastAsia="Tahoma"/>
      <w:b/>
      <w:sz w:val="32"/>
      <w:szCs w:val="32"/>
    </w:rPr>
  </w:style>
  <w:style w:type="paragraph" w:customStyle="1" w:styleId="298">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299">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30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0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02">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03">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304">
    <w:name w:val="Heading #2|2"/>
    <w:basedOn w:val="1"/>
    <w:qFormat/>
    <w:uiPriority w:val="0"/>
    <w:pPr>
      <w:shd w:val="clear" w:color="auto" w:fill="FFFFFF"/>
      <w:spacing w:before="620" w:line="320" w:lineRule="exact"/>
      <w:jc w:val="center"/>
      <w:outlineLvl w:val="1"/>
    </w:pPr>
    <w:rPr>
      <w:rFonts w:ascii="Myriad Pro" w:hAnsi="Myriad Pro" w:eastAsia="Myriad Pro" w:cs="Myriad Pro"/>
      <w:sz w:val="32"/>
      <w:szCs w:val="32"/>
    </w:rPr>
  </w:style>
  <w:style w:type="paragraph" w:customStyle="1" w:styleId="305">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306">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07">
    <w:name w:val="单位"/>
    <w:basedOn w:val="1"/>
    <w:qFormat/>
    <w:uiPriority w:val="0"/>
    <w:pPr>
      <w:adjustRightInd w:val="0"/>
      <w:jc w:val="center"/>
      <w:textAlignment w:val="baseline"/>
    </w:pPr>
    <w:rPr>
      <w:rFonts w:ascii="Wingdings"/>
      <w:b/>
      <w:kern w:val="0"/>
      <w:sz w:val="32"/>
      <w:szCs w:val="20"/>
    </w:rPr>
  </w:style>
  <w:style w:type="paragraph" w:customStyle="1" w:styleId="308">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309">
    <w:name w:val="排列"/>
    <w:basedOn w:val="1"/>
    <w:qFormat/>
    <w:uiPriority w:val="0"/>
    <w:pPr>
      <w:widowControl/>
      <w:autoSpaceDE w:val="0"/>
      <w:autoSpaceDN w:val="0"/>
      <w:adjustRightInd w:val="0"/>
      <w:spacing w:line="360" w:lineRule="auto"/>
      <w:jc w:val="left"/>
    </w:pPr>
    <w:rPr>
      <w:rFonts w:ascii="Helvetica" w:hAnsi="Helvetica"/>
      <w:kern w:val="0"/>
      <w:sz w:val="20"/>
      <w:szCs w:val="20"/>
      <w:lang w:val="zh-CN"/>
    </w:rPr>
  </w:style>
  <w:style w:type="paragraph" w:customStyle="1" w:styleId="310">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11">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b/>
      <w:bCs/>
      <w:kern w:val="0"/>
      <w:sz w:val="24"/>
    </w:rPr>
  </w:style>
  <w:style w:type="paragraph" w:customStyle="1" w:styleId="312">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314">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i/>
      <w:iCs/>
      <w:kern w:val="0"/>
      <w:sz w:val="24"/>
    </w:rPr>
  </w:style>
  <w:style w:type="paragraph" w:customStyle="1" w:styleId="3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Helvetica"/>
      <w:color w:val="000000"/>
      <w:kern w:val="0"/>
      <w:sz w:val="24"/>
    </w:rPr>
  </w:style>
  <w:style w:type="paragraph" w:customStyle="1" w:styleId="316">
    <w:name w:val="正文缩进HS-正文1"/>
    <w:basedOn w:val="1"/>
    <w:qFormat/>
    <w:uiPriority w:val="0"/>
    <w:pPr>
      <w:jc w:val="center"/>
    </w:pPr>
    <w:rPr>
      <w:rFonts w:ascii="Arial Unicode MS" w:hAnsi="Arial Unicode MS" w:eastAsia="Arial Unicode MS" w:cs="等线"/>
      <w:color w:val="000000"/>
      <w:szCs w:val="21"/>
    </w:rPr>
  </w:style>
  <w:style w:type="paragraph" w:customStyle="1" w:styleId="317">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318">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Helvetica"/>
      <w:color w:val="000000"/>
      <w:kern w:val="0"/>
      <w:sz w:val="24"/>
    </w:rPr>
  </w:style>
  <w:style w:type="paragraph" w:customStyle="1" w:styleId="320">
    <w:name w:val="Char Char Char Char Char Char Char Char Char Char Char Char Char1"/>
    <w:basedOn w:val="1"/>
    <w:qFormat/>
    <w:uiPriority w:val="0"/>
  </w:style>
  <w:style w:type="paragraph" w:customStyle="1" w:styleId="3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322">
    <w:name w:val="xl83"/>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323">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color w:val="000000"/>
      <w:kern w:val="0"/>
      <w:sz w:val="24"/>
    </w:rPr>
  </w:style>
  <w:style w:type="paragraph" w:customStyle="1" w:styleId="324">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325">
    <w:name w:val="font14"/>
    <w:basedOn w:val="1"/>
    <w:qFormat/>
    <w:uiPriority w:val="0"/>
    <w:pPr>
      <w:widowControl/>
      <w:spacing w:before="100" w:beforeAutospacing="1" w:after="100" w:afterAutospacing="1"/>
      <w:jc w:val="left"/>
    </w:pPr>
    <w:rPr>
      <w:rFonts w:ascii="Cambria" w:hAnsi="Cambria" w:cs="Cambria"/>
      <w:b/>
      <w:bCs/>
      <w:color w:val="000000"/>
      <w:kern w:val="0"/>
      <w:sz w:val="24"/>
    </w:rPr>
  </w:style>
  <w:style w:type="paragraph" w:customStyle="1" w:styleId="326">
    <w:name w:val="List Paragraph1"/>
    <w:basedOn w:val="1"/>
    <w:qFormat/>
    <w:uiPriority w:val="99"/>
    <w:pPr>
      <w:ind w:firstLine="420"/>
    </w:pPr>
  </w:style>
  <w:style w:type="paragraph" w:customStyle="1" w:styleId="327">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28">
    <w:name w:val="样式 标题 1"/>
    <w:basedOn w:val="6"/>
    <w:next w:val="1"/>
    <w:qFormat/>
    <w:uiPriority w:val="0"/>
    <w:pPr>
      <w:keepNext w:val="0"/>
      <w:pageBreakBefore/>
      <w:tabs>
        <w:tab w:val="left" w:pos="584"/>
      </w:tabs>
      <w:adjustRightInd w:val="0"/>
      <w:snapToGrid w:val="0"/>
      <w:spacing w:beforeLines="100" w:after="120" w:line="480" w:lineRule="exact"/>
      <w:ind w:left="360"/>
    </w:pPr>
    <w:rPr>
      <w:rFonts w:ascii="Tahoma" w:hAnsi="Arial Unicode MS" w:eastAsia="Tahoma" w:cs="Arial Unicode MS"/>
      <w:color w:val="000000"/>
      <w:sz w:val="36"/>
      <w:szCs w:val="36"/>
    </w:rPr>
  </w:style>
  <w:style w:type="paragraph" w:customStyle="1" w:styleId="329">
    <w:name w:val="正文－恩普"/>
    <w:basedOn w:val="17"/>
    <w:qFormat/>
    <w:uiPriority w:val="0"/>
    <w:pPr>
      <w:adjustRightInd/>
      <w:spacing w:line="360" w:lineRule="auto"/>
      <w:ind w:firstLine="200" w:firstLineChars="200"/>
      <w:textAlignment w:val="auto"/>
    </w:pPr>
    <w:rPr>
      <w:kern w:val="2"/>
      <w:sz w:val="24"/>
      <w:szCs w:val="24"/>
    </w:rPr>
  </w:style>
  <w:style w:type="paragraph" w:customStyle="1" w:styleId="330">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31">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332">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333">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b/>
      <w:bCs/>
      <w:kern w:val="0"/>
      <w:sz w:val="28"/>
      <w:szCs w:val="28"/>
    </w:rPr>
  </w:style>
  <w:style w:type="paragraph" w:customStyle="1" w:styleId="335">
    <w:name w:val="简单回函地址"/>
    <w:basedOn w:val="1"/>
    <w:qFormat/>
    <w:uiPriority w:val="0"/>
  </w:style>
  <w:style w:type="paragraph" w:customStyle="1" w:styleId="33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37">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33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339">
    <w:name w:val="p0"/>
    <w:basedOn w:val="1"/>
    <w:qFormat/>
    <w:uiPriority w:val="0"/>
    <w:pPr>
      <w:widowControl/>
      <w:jc w:val="left"/>
    </w:pPr>
    <w:rPr>
      <w:kern w:val="0"/>
      <w:sz w:val="20"/>
      <w:szCs w:val="20"/>
    </w:rPr>
  </w:style>
  <w:style w:type="paragraph" w:customStyle="1" w:styleId="340">
    <w:name w:val="_Style 1"/>
    <w:basedOn w:val="1"/>
    <w:qFormat/>
    <w:uiPriority w:val="0"/>
    <w:pPr>
      <w:ind w:firstLine="420" w:firstLineChars="200"/>
    </w:pPr>
    <w:rPr>
      <w:rFonts w:ascii="隶书" w:hAnsi="隶书"/>
      <w:kern w:val="0"/>
      <w:sz w:val="20"/>
      <w:szCs w:val="20"/>
    </w:rPr>
  </w:style>
  <w:style w:type="paragraph" w:customStyle="1" w:styleId="341">
    <w:name w:val="Char"/>
    <w:basedOn w:val="1"/>
    <w:qFormat/>
    <w:uiPriority w:val="0"/>
    <w:pPr>
      <w:widowControl/>
      <w:spacing w:line="400" w:lineRule="exact"/>
      <w:jc w:val="center"/>
    </w:pPr>
    <w:rPr>
      <w:rFonts w:ascii="楷体" w:hAnsi="楷体"/>
      <w:kern w:val="0"/>
      <w:szCs w:val="20"/>
      <w:lang w:eastAsia="en-US"/>
    </w:rPr>
  </w:style>
  <w:style w:type="paragraph" w:customStyle="1" w:styleId="342">
    <w:name w:val="标书正文格式"/>
    <w:qFormat/>
    <w:uiPriority w:val="0"/>
    <w:pPr>
      <w:spacing w:line="360" w:lineRule="auto"/>
      <w:ind w:firstLine="200" w:firstLineChars="200"/>
    </w:pPr>
    <w:rPr>
      <w:rFonts w:ascii="Times New Roman" w:hAnsi="Times New Roman" w:eastAsia="隶书" w:cs="Times New Roman"/>
      <w:kern w:val="2"/>
      <w:sz w:val="24"/>
      <w:szCs w:val="24"/>
      <w:lang w:val="en-US" w:eastAsia="zh-CN" w:bidi="ar-SA"/>
    </w:rPr>
  </w:style>
  <w:style w:type="paragraph" w:customStyle="1" w:styleId="343">
    <w:name w:val="样式"/>
    <w:basedOn w:val="1"/>
    <w:qFormat/>
    <w:uiPriority w:val="0"/>
    <w:pPr>
      <w:autoSpaceDE w:val="0"/>
      <w:autoSpaceDN w:val="0"/>
      <w:adjustRightInd w:val="0"/>
      <w:snapToGrid w:val="0"/>
      <w:spacing w:before="120" w:after="120" w:line="360" w:lineRule="auto"/>
      <w:jc w:val="left"/>
    </w:pPr>
    <w:rPr>
      <w:rFonts w:ascii="Helvetica"/>
      <w:kern w:val="0"/>
      <w:sz w:val="24"/>
      <w:szCs w:val="20"/>
    </w:rPr>
  </w:style>
  <w:style w:type="paragraph" w:customStyle="1" w:styleId="344">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45">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46">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47">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48">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49">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50">
    <w:name w:val="普通(网站)1"/>
    <w:basedOn w:val="1"/>
    <w:qFormat/>
    <w:uiPriority w:val="0"/>
    <w:pPr>
      <w:widowControl/>
      <w:spacing w:before="100" w:beforeAutospacing="1" w:after="100" w:afterAutospacing="1"/>
      <w:jc w:val="left"/>
    </w:pPr>
    <w:rPr>
      <w:rFonts w:ascii="Wingdings" w:hAnsi="Wingdings" w:cs="Wingdings"/>
      <w:kern w:val="0"/>
      <w:sz w:val="24"/>
    </w:rPr>
  </w:style>
  <w:style w:type="paragraph" w:customStyle="1" w:styleId="351">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i/>
      <w:iCs/>
      <w:kern w:val="0"/>
      <w:sz w:val="24"/>
    </w:rPr>
  </w:style>
  <w:style w:type="paragraph" w:customStyle="1" w:styleId="352">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53">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3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etica" w:hAnsi="Helvetica" w:cs="Helvetica"/>
      <w:kern w:val="0"/>
      <w:sz w:val="24"/>
    </w:rPr>
  </w:style>
  <w:style w:type="paragraph" w:customStyle="1" w:styleId="355">
    <w:name w:val="xl31865"/>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356">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57">
    <w:name w:val="表格文字（大）"/>
    <w:basedOn w:val="1"/>
    <w:qFormat/>
    <w:uiPriority w:val="0"/>
    <w:pPr>
      <w:autoSpaceDE w:val="0"/>
      <w:autoSpaceDN w:val="0"/>
      <w:adjustRightInd w:val="0"/>
      <w:spacing w:before="20" w:after="20"/>
      <w:jc w:val="left"/>
    </w:pPr>
    <w:rPr>
      <w:rFonts w:ascii="隶书" w:hAnsi="隶书" w:cs="隶书"/>
      <w:kern w:val="0"/>
      <w:sz w:val="24"/>
      <w:szCs w:val="20"/>
    </w:rPr>
  </w:style>
  <w:style w:type="paragraph" w:customStyle="1" w:styleId="358">
    <w:name w:val="Char Char Char"/>
    <w:basedOn w:val="1"/>
    <w:qFormat/>
    <w:uiPriority w:val="0"/>
    <w:rPr>
      <w:rFonts w:ascii="宋体,Verdana,Arial" w:hAnsi="宋体,Verdana,Arial" w:eastAsia="Arial Unicode MS" w:cs="等线"/>
      <w:sz w:val="24"/>
      <w:szCs w:val="20"/>
    </w:rPr>
  </w:style>
  <w:style w:type="paragraph" w:customStyle="1" w:styleId="35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360">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6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Helvetica"/>
      <w:b/>
      <w:bCs/>
      <w:color w:val="FF0000"/>
      <w:kern w:val="0"/>
      <w:sz w:val="24"/>
    </w:rPr>
  </w:style>
  <w:style w:type="paragraph" w:customStyle="1" w:styleId="362">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363">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64">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365">
    <w:name w:val="标书正文带编号"/>
    <w:basedOn w:val="1"/>
    <w:qFormat/>
    <w:uiPriority w:val="0"/>
    <w:pPr>
      <w:tabs>
        <w:tab w:val="left" w:pos="397"/>
      </w:tabs>
      <w:autoSpaceDE w:val="0"/>
      <w:autoSpaceDN w:val="0"/>
      <w:adjustRightInd w:val="0"/>
      <w:ind w:firstLine="397"/>
      <w:jc w:val="left"/>
    </w:pPr>
    <w:rPr>
      <w:rFonts w:cs="Helvetica"/>
      <w:kern w:val="0"/>
      <w:sz w:val="20"/>
      <w:szCs w:val="21"/>
    </w:rPr>
  </w:style>
  <w:style w:type="paragraph" w:customStyle="1" w:styleId="366">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36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68">
    <w:name w:val="font8"/>
    <w:basedOn w:val="1"/>
    <w:qFormat/>
    <w:uiPriority w:val="0"/>
    <w:pPr>
      <w:widowControl/>
      <w:spacing w:before="100" w:beforeAutospacing="1" w:after="100" w:afterAutospacing="1"/>
      <w:jc w:val="left"/>
    </w:pPr>
    <w:rPr>
      <w:rFonts w:ascii="Wingdings" w:hAnsi="Wingdings" w:cs="Wingdings"/>
      <w:kern w:val="0"/>
      <w:sz w:val="24"/>
    </w:rPr>
  </w:style>
  <w:style w:type="paragraph" w:customStyle="1" w:styleId="36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370">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37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72">
    <w:name w:val="Heading #2|1"/>
    <w:basedOn w:val="1"/>
    <w:qFormat/>
    <w:uiPriority w:val="0"/>
    <w:pPr>
      <w:shd w:val="clear" w:color="auto" w:fill="FFFFFF"/>
      <w:spacing w:line="280" w:lineRule="exact"/>
      <w:outlineLvl w:val="1"/>
    </w:pPr>
    <w:rPr>
      <w:rFonts w:ascii="Myriad Pro" w:hAnsi="Myriad Pro" w:eastAsia="Myriad Pro" w:cs="Myriad Pro"/>
      <w:b/>
      <w:bCs/>
      <w:spacing w:val="20"/>
      <w:sz w:val="28"/>
      <w:szCs w:val="28"/>
    </w:rPr>
  </w:style>
  <w:style w:type="paragraph" w:customStyle="1" w:styleId="373">
    <w:name w:val="_Style 49"/>
    <w:basedOn w:val="1"/>
    <w:next w:val="29"/>
    <w:qFormat/>
    <w:uiPriority w:val="0"/>
    <w:rPr>
      <w:rFonts w:ascii="Wingdings" w:hAnsi="宋体,Verdana,Arial"/>
      <w:kern w:val="0"/>
      <w:sz w:val="24"/>
    </w:rPr>
  </w:style>
  <w:style w:type="paragraph" w:customStyle="1" w:styleId="374">
    <w:name w:val="数字级连标题1"/>
    <w:basedOn w:val="6"/>
    <w:next w:val="1"/>
    <w:qFormat/>
    <w:uiPriority w:val="0"/>
    <w:pPr>
      <w:keepLines/>
      <w:tabs>
        <w:tab w:val="left" w:pos="390"/>
      </w:tabs>
      <w:spacing w:line="360" w:lineRule="auto"/>
      <w:ind w:left="390" w:hanging="390"/>
      <w:jc w:val="both"/>
    </w:pPr>
    <w:rPr>
      <w:rFonts w:ascii="等线" w:hAnsi="等线" w:eastAsia="Arial Unicode MS" w:cs="等线"/>
      <w:bCs w:val="0"/>
      <w:sz w:val="28"/>
      <w:szCs w:val="20"/>
      <w:lang w:eastAsia="ar-SA"/>
    </w:rPr>
  </w:style>
  <w:style w:type="paragraph" w:customStyle="1" w:styleId="375">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mbria" w:hAnsi="Cambria" w:cs="Cambria"/>
      <w:b/>
      <w:bCs/>
      <w:kern w:val="0"/>
      <w:sz w:val="24"/>
    </w:rPr>
  </w:style>
  <w:style w:type="paragraph" w:customStyle="1" w:styleId="376">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377">
    <w:name w:val="font15"/>
    <w:basedOn w:val="1"/>
    <w:qFormat/>
    <w:uiPriority w:val="0"/>
    <w:pPr>
      <w:widowControl/>
      <w:spacing w:before="100" w:beforeAutospacing="1" w:after="100" w:afterAutospacing="1"/>
      <w:jc w:val="left"/>
    </w:pPr>
    <w:rPr>
      <w:rFonts w:ascii="Wingdings" w:hAnsi="Wingdings" w:cs="Wingdings"/>
      <w:b/>
      <w:bCs/>
      <w:color w:val="000000"/>
      <w:kern w:val="0"/>
      <w:sz w:val="24"/>
    </w:rPr>
  </w:style>
  <w:style w:type="paragraph" w:customStyle="1" w:styleId="378">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79">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80">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etica" w:hAnsi="Helvetica" w:cs="Helvetica"/>
      <w:kern w:val="0"/>
      <w:sz w:val="24"/>
    </w:rPr>
  </w:style>
  <w:style w:type="paragraph" w:customStyle="1" w:styleId="382">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383">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color w:val="000000"/>
      <w:kern w:val="0"/>
      <w:sz w:val="24"/>
    </w:rPr>
  </w:style>
  <w:style w:type="paragraph" w:customStyle="1" w:styleId="38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5">
    <w:name w:val="xl31867"/>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386">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b/>
      <w:bCs/>
      <w:kern w:val="0"/>
      <w:sz w:val="24"/>
    </w:rPr>
  </w:style>
  <w:style w:type="paragraph" w:customStyle="1" w:styleId="387">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38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Tahoma" w:eastAsia="Arial Unicode MS"/>
      <w:kern w:val="0"/>
      <w:sz w:val="24"/>
      <w:szCs w:val="20"/>
    </w:rPr>
  </w:style>
  <w:style w:type="paragraph" w:customStyle="1" w:styleId="389">
    <w:name w:val="Table Heading"/>
    <w:qFormat/>
    <w:uiPriority w:val="0"/>
    <w:pPr>
      <w:keepNext/>
      <w:snapToGrid w:val="0"/>
      <w:spacing w:before="80" w:after="80"/>
      <w:jc w:val="center"/>
    </w:pPr>
    <w:rPr>
      <w:rFonts w:ascii="Century Gothic" w:hAnsi="Century Gothic" w:eastAsia="黑体" w:cs="宋体,Verdana,Arial"/>
      <w:kern w:val="2"/>
      <w:sz w:val="18"/>
      <w:szCs w:val="18"/>
      <w:lang w:val="en-US" w:eastAsia="zh-CN" w:bidi="ar-SA"/>
    </w:rPr>
  </w:style>
  <w:style w:type="paragraph" w:customStyle="1" w:styleId="390">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color w:val="000000"/>
      <w:kern w:val="0"/>
      <w:sz w:val="24"/>
    </w:rPr>
  </w:style>
  <w:style w:type="paragraph" w:customStyle="1" w:styleId="391">
    <w:name w:val="默认段落字体 Para Char Char Char Char Char Char Char"/>
    <w:basedOn w:val="1"/>
    <w:qFormat/>
    <w:uiPriority w:val="0"/>
    <w:rPr>
      <w:rFonts w:eastAsia="Tahoma"/>
      <w:sz w:val="28"/>
    </w:rPr>
  </w:style>
  <w:style w:type="paragraph" w:customStyle="1" w:styleId="392">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93">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94">
    <w:name w:val="保留正文"/>
    <w:basedOn w:val="3"/>
    <w:qFormat/>
    <w:uiPriority w:val="0"/>
    <w:pPr>
      <w:keepNext/>
      <w:spacing w:after="160"/>
    </w:pPr>
  </w:style>
  <w:style w:type="paragraph" w:customStyle="1" w:styleId="395">
    <w:name w:val="样式 左侧:  0.85 厘米 首行缩进:  0.85 厘米"/>
    <w:basedOn w:val="1"/>
    <w:qFormat/>
    <w:uiPriority w:val="0"/>
    <w:pPr>
      <w:autoSpaceDE w:val="0"/>
      <w:autoSpaceDN w:val="0"/>
      <w:adjustRightInd w:val="0"/>
      <w:spacing w:line="360" w:lineRule="auto"/>
      <w:ind w:firstLine="482"/>
      <w:jc w:val="left"/>
    </w:pPr>
    <w:rPr>
      <w:rFonts w:cs="Helvetica"/>
      <w:kern w:val="0"/>
      <w:sz w:val="24"/>
      <w:szCs w:val="20"/>
    </w:rPr>
  </w:style>
  <w:style w:type="paragraph" w:customStyle="1" w:styleId="396">
    <w:name w:val="内文正文"/>
    <w:basedOn w:val="29"/>
    <w:qFormat/>
    <w:uiPriority w:val="0"/>
    <w:pPr>
      <w:widowControl w:val="0"/>
      <w:overflowPunct/>
      <w:autoSpaceDE/>
      <w:autoSpaceDN/>
      <w:snapToGrid w:val="0"/>
      <w:spacing w:line="400" w:lineRule="exact"/>
      <w:ind w:firstLine="200" w:firstLineChars="200"/>
      <w:jc w:val="both"/>
      <w:textAlignment w:val="auto"/>
    </w:pPr>
    <w:rPr>
      <w:rFonts w:ascii="Cambria" w:hAnsi="Cambria" w:cs="宋体,Verdana,Arial"/>
      <w:color w:val="000000"/>
      <w:kern w:val="2"/>
    </w:rPr>
  </w:style>
  <w:style w:type="paragraph" w:customStyle="1" w:styleId="39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9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9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Helvetica" w:hAnsi="Helvetica" w:cs="Helvetica"/>
      <w:b/>
      <w:bCs/>
      <w:color w:val="000000"/>
      <w:kern w:val="0"/>
      <w:sz w:val="24"/>
    </w:rPr>
  </w:style>
  <w:style w:type="paragraph" w:customStyle="1" w:styleId="400">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01">
    <w:name w:val="纯文本1"/>
    <w:basedOn w:val="1"/>
    <w:qFormat/>
    <w:uiPriority w:val="0"/>
    <w:pPr>
      <w:spacing w:beforeLines="50" w:afterLines="50" w:line="400" w:lineRule="atLeast"/>
    </w:pPr>
    <w:rPr>
      <w:rFonts w:ascii="Wingdings" w:hAnsi="宋体,Verdana,Arial"/>
      <w:sz w:val="24"/>
      <w:szCs w:val="20"/>
    </w:rPr>
  </w:style>
  <w:style w:type="paragraph" w:customStyle="1" w:styleId="402">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b/>
      <w:bCs/>
      <w:kern w:val="0"/>
      <w:sz w:val="24"/>
    </w:rPr>
  </w:style>
  <w:style w:type="paragraph" w:customStyle="1" w:styleId="403">
    <w:name w:val="1 Char"/>
    <w:basedOn w:val="17"/>
    <w:qFormat/>
    <w:uiPriority w:val="0"/>
    <w:pPr>
      <w:adjustRightInd/>
      <w:spacing w:line="360" w:lineRule="auto"/>
      <w:ind w:firstLine="200" w:firstLineChars="200"/>
      <w:textAlignment w:val="auto"/>
    </w:pPr>
    <w:rPr>
      <w:kern w:val="2"/>
    </w:rPr>
  </w:style>
  <w:style w:type="paragraph" w:customStyle="1" w:styleId="404">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405">
    <w:name w:val="四级条标题"/>
    <w:basedOn w:val="263"/>
    <w:next w:val="1"/>
    <w:qFormat/>
    <w:uiPriority w:val="0"/>
    <w:pPr>
      <w:outlineLvl w:val="5"/>
    </w:pPr>
  </w:style>
  <w:style w:type="paragraph" w:customStyle="1" w:styleId="406">
    <w:name w:val="Char Char Char Char Char Char Char Char Char Char Char Char Char Char Char Char Char Char Char1"/>
    <w:basedOn w:val="1"/>
    <w:qFormat/>
    <w:uiPriority w:val="0"/>
    <w:rPr>
      <w:rFonts w:ascii="Tahoma" w:eastAsia="Tahoma"/>
      <w:b/>
      <w:sz w:val="32"/>
      <w:szCs w:val="32"/>
    </w:rPr>
  </w:style>
  <w:style w:type="paragraph" w:customStyle="1" w:styleId="407">
    <w:name w:val="Item List in Table"/>
    <w:qFormat/>
    <w:uiPriority w:val="0"/>
    <w:pPr>
      <w:tabs>
        <w:tab w:val="left" w:pos="284"/>
        <w:tab w:val="left" w:pos="720"/>
      </w:tabs>
      <w:spacing w:before="40" w:after="40"/>
      <w:ind w:left="720" w:hanging="720"/>
      <w:jc w:val="both"/>
    </w:pPr>
    <w:rPr>
      <w:rFonts w:ascii="Century Gothic" w:hAnsi="Century Gothic" w:eastAsia="宋体" w:cs="宋体,Verdana,Arial"/>
      <w:kern w:val="2"/>
      <w:sz w:val="18"/>
      <w:szCs w:val="18"/>
      <w:lang w:val="en-US" w:eastAsia="zh-CN" w:bidi="ar-SA"/>
    </w:rPr>
  </w:style>
  <w:style w:type="paragraph" w:customStyle="1" w:styleId="408">
    <w:name w:val="Char2"/>
    <w:basedOn w:val="1"/>
    <w:qFormat/>
    <w:uiPriority w:val="0"/>
    <w:pPr>
      <w:autoSpaceDE w:val="0"/>
      <w:autoSpaceDN w:val="0"/>
      <w:adjustRightInd w:val="0"/>
      <w:jc w:val="left"/>
    </w:pPr>
    <w:rPr>
      <w:rFonts w:ascii="Tahoma" w:eastAsia="Tahoma"/>
      <w:b/>
      <w:kern w:val="0"/>
      <w:sz w:val="32"/>
      <w:szCs w:val="32"/>
    </w:rPr>
  </w:style>
  <w:style w:type="paragraph" w:customStyle="1" w:styleId="409">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410">
    <w:name w:val="2级"/>
    <w:basedOn w:val="7"/>
    <w:next w:val="50"/>
    <w:qFormat/>
    <w:uiPriority w:val="0"/>
    <w:pPr>
      <w:ind w:left="420"/>
    </w:pPr>
    <w:rPr>
      <w:rFonts w:ascii="楷体_GB2312" w:hAnsi="楷体_GB2312" w:eastAsia="Tahoma" w:cs="等线"/>
      <w:kern w:val="0"/>
      <w:sz w:val="30"/>
    </w:rPr>
  </w:style>
  <w:style w:type="paragraph" w:customStyle="1" w:styleId="411">
    <w:name w:val="表内文字"/>
    <w:basedOn w:val="1"/>
    <w:qFormat/>
    <w:uiPriority w:val="0"/>
    <w:pPr>
      <w:spacing w:line="240" w:lineRule="atLeast"/>
      <w:jc w:val="center"/>
    </w:pPr>
    <w:rPr>
      <w:rFonts w:ascii="PMingLiU" w:hAnsi="PMingLiU" w:eastAsia="Arial Unicode MS" w:cs="PMingLiU"/>
      <w:b/>
      <w:bCs/>
    </w:rPr>
  </w:style>
  <w:style w:type="paragraph" w:customStyle="1" w:styleId="412">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13">
    <w:name w:val="Char1"/>
    <w:basedOn w:val="1"/>
    <w:qFormat/>
    <w:uiPriority w:val="0"/>
    <w:pPr>
      <w:autoSpaceDE w:val="0"/>
      <w:autoSpaceDN w:val="0"/>
      <w:adjustRightInd w:val="0"/>
      <w:jc w:val="left"/>
    </w:pPr>
    <w:rPr>
      <w:rFonts w:ascii="Tahoma" w:eastAsia="Tahoma"/>
      <w:b/>
      <w:kern w:val="0"/>
      <w:sz w:val="32"/>
      <w:szCs w:val="32"/>
    </w:rPr>
  </w:style>
  <w:style w:type="paragraph" w:customStyle="1" w:styleId="414">
    <w:name w:val="样式 标题 1Level 1Level 11h1II+IHeading1H1-Heading 1Header 1..."/>
    <w:basedOn w:val="6"/>
    <w:qFormat/>
    <w:uiPriority w:val="0"/>
    <w:pPr>
      <w:keepLines/>
      <w:pageBreakBefore/>
      <w:spacing w:before="100" w:after="100" w:line="360" w:lineRule="auto"/>
      <w:ind w:left="1680" w:hanging="420"/>
      <w:jc w:val="left"/>
    </w:pPr>
    <w:rPr>
      <w:rFonts w:ascii="宋体,Verdana,Arial" w:hAnsi="宋体,Verdana,Arial" w:eastAsia="黑体" w:cs="Helvetica"/>
      <w:kern w:val="44"/>
      <w:sz w:val="44"/>
      <w:szCs w:val="20"/>
    </w:rPr>
  </w:style>
  <w:style w:type="paragraph" w:customStyle="1" w:styleId="415">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16">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b/>
      <w:bCs/>
      <w:kern w:val="0"/>
      <w:sz w:val="24"/>
    </w:rPr>
  </w:style>
  <w:style w:type="paragraph" w:customStyle="1" w:styleId="41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18">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419">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b/>
      <w:bCs/>
      <w:kern w:val="0"/>
      <w:sz w:val="24"/>
    </w:rPr>
  </w:style>
  <w:style w:type="paragraph" w:customStyle="1" w:styleId="420">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21">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i/>
      <w:iCs/>
      <w:color w:val="FF0000"/>
      <w:kern w:val="0"/>
      <w:sz w:val="24"/>
    </w:rPr>
  </w:style>
  <w:style w:type="paragraph" w:customStyle="1" w:styleId="4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Helvetica"/>
      <w:color w:val="000000"/>
      <w:kern w:val="0"/>
      <w:sz w:val="24"/>
    </w:rPr>
  </w:style>
  <w:style w:type="paragraph" w:customStyle="1" w:styleId="42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24">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25">
    <w:name w:val="Char Char Char Char Char Char Char"/>
    <w:basedOn w:val="1"/>
    <w:qFormat/>
    <w:uiPriority w:val="0"/>
    <w:rPr>
      <w:rFonts w:ascii="Tahoma" w:eastAsia="Tahoma"/>
      <w:b/>
      <w:sz w:val="32"/>
      <w:szCs w:val="32"/>
    </w:rPr>
  </w:style>
  <w:style w:type="paragraph" w:customStyle="1" w:styleId="426">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27">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28">
    <w:name w:val="6"/>
    <w:basedOn w:val="1"/>
    <w:qFormat/>
    <w:uiPriority w:val="0"/>
    <w:pPr>
      <w:tabs>
        <w:tab w:val="left" w:pos="360"/>
      </w:tabs>
    </w:pPr>
    <w:rPr>
      <w:rFonts w:ascii="等线" w:hAnsi="等线" w:eastAsia="Arial Unicode MS" w:cs="等线"/>
      <w:szCs w:val="20"/>
    </w:rPr>
  </w:style>
  <w:style w:type="paragraph" w:customStyle="1" w:styleId="42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0">
    <w:name w:val="五级条标题"/>
    <w:basedOn w:val="405"/>
    <w:next w:val="1"/>
    <w:qFormat/>
    <w:uiPriority w:val="0"/>
    <w:pPr>
      <w:outlineLvl w:val="6"/>
    </w:pPr>
  </w:style>
  <w:style w:type="paragraph" w:customStyle="1" w:styleId="431">
    <w:name w:val="默认段落字体 Para Char Char Char Char Char Char Char Char Char Char"/>
    <w:basedOn w:val="1"/>
    <w:qFormat/>
    <w:uiPriority w:val="0"/>
    <w:pPr>
      <w:widowControl/>
      <w:spacing w:after="200"/>
      <w:jc w:val="left"/>
    </w:pPr>
    <w:rPr>
      <w:rFonts w:ascii="宋体,Verdana,Arial" w:hAnsi="宋体,Verdana,Arial" w:eastAsia="Arial Unicode MS" w:cs="等线"/>
      <w:kern w:val="0"/>
      <w:sz w:val="22"/>
      <w:szCs w:val="20"/>
      <w:lang w:eastAsia="en-US" w:bidi="en-US"/>
    </w:rPr>
  </w:style>
  <w:style w:type="paragraph" w:customStyle="1" w:styleId="432">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b/>
      <w:bCs/>
      <w:kern w:val="0"/>
      <w:sz w:val="24"/>
    </w:rPr>
  </w:style>
  <w:style w:type="paragraph" w:customStyle="1" w:styleId="4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Helvetica" w:hAnsi="Helvetica" w:cs="Helvetica"/>
      <w:b/>
      <w:bCs/>
      <w:color w:val="000000"/>
      <w:kern w:val="0"/>
      <w:sz w:val="24"/>
    </w:rPr>
  </w:style>
  <w:style w:type="paragraph" w:customStyle="1" w:styleId="434">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35">
    <w:name w:val="font5"/>
    <w:basedOn w:val="1"/>
    <w:qFormat/>
    <w:uiPriority w:val="0"/>
    <w:pPr>
      <w:widowControl/>
      <w:spacing w:before="100" w:beforeAutospacing="1" w:after="100" w:afterAutospacing="1"/>
      <w:jc w:val="left"/>
    </w:pPr>
    <w:rPr>
      <w:rFonts w:ascii="Helvetica" w:hAnsi="Helvetica" w:cs="Helvetica"/>
      <w:kern w:val="0"/>
      <w:sz w:val="18"/>
      <w:szCs w:val="18"/>
    </w:rPr>
  </w:style>
  <w:style w:type="paragraph" w:customStyle="1" w:styleId="436">
    <w:name w:val="正文样式 首行缩进:  0.74 厘米"/>
    <w:basedOn w:val="1"/>
    <w:qFormat/>
    <w:uiPriority w:val="0"/>
    <w:pPr>
      <w:autoSpaceDE w:val="0"/>
      <w:autoSpaceDN w:val="0"/>
      <w:adjustRightInd w:val="0"/>
      <w:spacing w:beforeLines="50" w:line="360" w:lineRule="auto"/>
      <w:ind w:firstLine="420"/>
      <w:jc w:val="left"/>
    </w:pPr>
    <w:rPr>
      <w:rFonts w:cs="Helvetica"/>
      <w:kern w:val="0"/>
      <w:sz w:val="24"/>
      <w:szCs w:val="20"/>
    </w:rPr>
  </w:style>
  <w:style w:type="paragraph" w:customStyle="1" w:styleId="437">
    <w:name w:val="font18"/>
    <w:basedOn w:val="1"/>
    <w:qFormat/>
    <w:uiPriority w:val="0"/>
    <w:pPr>
      <w:widowControl/>
      <w:spacing w:before="100" w:beforeAutospacing="1" w:after="100" w:afterAutospacing="1"/>
      <w:jc w:val="left"/>
    </w:pPr>
    <w:rPr>
      <w:rFonts w:ascii="Wingdings" w:hAnsi="Wingdings" w:cs="Wingdings"/>
      <w:color w:val="000000"/>
      <w:kern w:val="0"/>
      <w:sz w:val="24"/>
    </w:rPr>
  </w:style>
  <w:style w:type="paragraph" w:customStyle="1" w:styleId="438">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39">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FF0000"/>
      <w:kern w:val="0"/>
      <w:sz w:val="24"/>
    </w:rPr>
  </w:style>
  <w:style w:type="paragraph" w:customStyle="1" w:styleId="440">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41">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42">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b/>
      <w:bCs/>
      <w:kern w:val="0"/>
      <w:sz w:val="24"/>
    </w:rPr>
  </w:style>
  <w:style w:type="paragraph" w:customStyle="1" w:styleId="443">
    <w:name w:val="目录"/>
    <w:basedOn w:val="40"/>
    <w:qFormat/>
    <w:uiPriority w:val="0"/>
    <w:pPr>
      <w:tabs>
        <w:tab w:val="right" w:leader="dot" w:pos="7937"/>
      </w:tabs>
      <w:adjustRightInd w:val="0"/>
      <w:spacing w:before="120" w:after="120" w:line="360" w:lineRule="auto"/>
      <w:jc w:val="center"/>
      <w:textAlignment w:val="baseline"/>
    </w:pPr>
    <w:rPr>
      <w:rFonts w:ascii="Wingdings" w:hAnsi="Arial" w:eastAsia="Verdana" w:cs="Arial"/>
      <w:b/>
      <w:bCs w:val="0"/>
      <w:caps/>
      <w:kern w:val="0"/>
      <w:sz w:val="30"/>
      <w:szCs w:val="20"/>
    </w:rPr>
  </w:style>
  <w:style w:type="paragraph" w:customStyle="1" w:styleId="444">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45">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46">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447">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48">
    <w:name w:val="列出段落1"/>
    <w:basedOn w:val="1"/>
    <w:qFormat/>
    <w:uiPriority w:val="0"/>
    <w:pPr>
      <w:ind w:firstLine="420" w:firstLineChars="200"/>
    </w:pPr>
    <w:rPr>
      <w:szCs w:val="20"/>
    </w:rPr>
  </w:style>
  <w:style w:type="paragraph" w:customStyle="1" w:styleId="449">
    <w:name w:val="Char Char1"/>
    <w:basedOn w:val="1"/>
    <w:qFormat/>
    <w:uiPriority w:val="0"/>
    <w:pPr>
      <w:widowControl/>
      <w:spacing w:after="160" w:line="240" w:lineRule="exact"/>
      <w:jc w:val="left"/>
    </w:pPr>
    <w:rPr>
      <w:rFonts w:ascii="楷体" w:hAnsi="楷体" w:eastAsia="隶书"/>
      <w:b/>
      <w:i/>
      <w:iCs/>
      <w:color w:val="000000"/>
      <w:kern w:val="0"/>
      <w:sz w:val="20"/>
      <w:szCs w:val="20"/>
      <w:lang w:eastAsia="en-US"/>
    </w:rPr>
  </w:style>
  <w:style w:type="paragraph" w:customStyle="1" w:styleId="450">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51">
    <w:name w:val="font13"/>
    <w:basedOn w:val="1"/>
    <w:qFormat/>
    <w:uiPriority w:val="0"/>
    <w:pPr>
      <w:widowControl/>
      <w:spacing w:before="100" w:beforeAutospacing="1" w:after="100" w:afterAutospacing="1"/>
      <w:jc w:val="left"/>
    </w:pPr>
    <w:rPr>
      <w:rFonts w:ascii="Wingdings" w:hAnsi="Wingdings" w:cs="Wingdings"/>
      <w:color w:val="000000"/>
      <w:kern w:val="0"/>
      <w:sz w:val="24"/>
    </w:rPr>
  </w:style>
  <w:style w:type="paragraph" w:customStyle="1" w:styleId="452">
    <w:name w:val="样式5"/>
    <w:basedOn w:val="17"/>
    <w:qFormat/>
    <w:uiPriority w:val="0"/>
    <w:pPr>
      <w:adjustRightInd/>
      <w:spacing w:line="360" w:lineRule="auto"/>
      <w:ind w:firstLine="200" w:firstLineChars="200"/>
      <w:textAlignment w:val="auto"/>
    </w:pPr>
    <w:rPr>
      <w:kern w:val="2"/>
      <w:sz w:val="28"/>
      <w:szCs w:val="21"/>
    </w:rPr>
  </w:style>
  <w:style w:type="paragraph" w:customStyle="1" w:styleId="453">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54">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455">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56">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5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45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59">
    <w:name w:val="Char Char Char Char Char Char Char Char Char"/>
    <w:basedOn w:val="1"/>
    <w:qFormat/>
    <w:uiPriority w:val="0"/>
    <w:pPr>
      <w:widowControl/>
      <w:spacing w:before="100" w:beforeAutospacing="1" w:after="100" w:afterAutospacing="1" w:line="360" w:lineRule="auto"/>
      <w:ind w:left="357"/>
      <w:jc w:val="left"/>
    </w:pPr>
    <w:rPr>
      <w:rFonts w:ascii="等线 Light" w:hAnsi="等线 Light" w:eastAsia="Arial Unicode MS" w:cs="Arial Unicode MS"/>
      <w:color w:val="51585D"/>
      <w:kern w:val="0"/>
      <w:sz w:val="24"/>
      <w:szCs w:val="18"/>
    </w:rPr>
  </w:style>
  <w:style w:type="paragraph" w:customStyle="1" w:styleId="460">
    <w:name w:val="xl29"/>
    <w:basedOn w:val="1"/>
    <w:qFormat/>
    <w:uiPriority w:val="0"/>
    <w:pPr>
      <w:widowControl/>
      <w:autoSpaceDE w:val="0"/>
      <w:autoSpaceDN w:val="0"/>
      <w:adjustRightInd w:val="0"/>
      <w:spacing w:before="100" w:beforeAutospacing="1" w:after="100" w:afterAutospacing="1"/>
      <w:jc w:val="center"/>
    </w:pPr>
    <w:rPr>
      <w:rFonts w:ascii="等线" w:hAnsi="等线" w:eastAsia="等线"/>
      <w:kern w:val="0"/>
      <w:sz w:val="24"/>
      <w:szCs w:val="20"/>
    </w:rPr>
  </w:style>
  <w:style w:type="paragraph" w:customStyle="1" w:styleId="461">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463">
    <w:name w:val="font23"/>
    <w:basedOn w:val="1"/>
    <w:qFormat/>
    <w:uiPriority w:val="0"/>
    <w:pPr>
      <w:widowControl/>
      <w:spacing w:before="100" w:beforeAutospacing="1" w:after="100" w:afterAutospacing="1"/>
      <w:jc w:val="left"/>
    </w:pPr>
    <w:rPr>
      <w:rFonts w:ascii="Wingdings" w:hAnsi="Wingdings" w:cs="Wingdings"/>
      <w:kern w:val="0"/>
      <w:sz w:val="24"/>
    </w:rPr>
  </w:style>
  <w:style w:type="paragraph" w:customStyle="1" w:styleId="464">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65">
    <w:name w:val="font17"/>
    <w:basedOn w:val="1"/>
    <w:qFormat/>
    <w:uiPriority w:val="0"/>
    <w:pPr>
      <w:widowControl/>
      <w:spacing w:before="100" w:beforeAutospacing="1" w:after="100" w:afterAutospacing="1"/>
      <w:jc w:val="left"/>
    </w:pPr>
    <w:rPr>
      <w:rFonts w:ascii="Wingdings" w:hAnsi="Wingdings" w:cs="Wingdings"/>
      <w:color w:val="000000"/>
      <w:kern w:val="0"/>
      <w:sz w:val="24"/>
    </w:rPr>
  </w:style>
  <w:style w:type="paragraph" w:customStyle="1" w:styleId="466">
    <w:name w:val="xl31868"/>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467">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468">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4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Arial Unicode MS" w:hAnsi="Arial Unicode MS" w:eastAsia="Arial Unicode MS" w:cs="Helvetica"/>
      <w:b/>
      <w:bCs/>
      <w:color w:val="000000"/>
      <w:kern w:val="0"/>
      <w:sz w:val="24"/>
    </w:rPr>
  </w:style>
  <w:style w:type="paragraph" w:customStyle="1" w:styleId="470">
    <w:name w:val="button"/>
    <w:basedOn w:val="1"/>
    <w:qFormat/>
    <w:uiPriority w:val="0"/>
    <w:pPr>
      <w:widowControl/>
      <w:autoSpaceDE w:val="0"/>
      <w:autoSpaceDN w:val="0"/>
      <w:adjustRightInd w:val="0"/>
      <w:spacing w:before="100" w:beforeAutospacing="1" w:after="100" w:afterAutospacing="1"/>
      <w:jc w:val="left"/>
    </w:pPr>
    <w:rPr>
      <w:rFonts w:ascii="等线" w:hAnsi="等线"/>
      <w:color w:val="000000"/>
      <w:kern w:val="0"/>
      <w:sz w:val="24"/>
      <w:szCs w:val="20"/>
    </w:rPr>
  </w:style>
  <w:style w:type="paragraph" w:customStyle="1" w:styleId="47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472">
    <w:name w:val="font25"/>
    <w:basedOn w:val="1"/>
    <w:qFormat/>
    <w:uiPriority w:val="0"/>
    <w:pPr>
      <w:widowControl/>
      <w:spacing w:before="100" w:beforeAutospacing="1" w:after="100" w:afterAutospacing="1"/>
      <w:jc w:val="left"/>
    </w:pPr>
    <w:rPr>
      <w:kern w:val="0"/>
      <w:sz w:val="18"/>
      <w:szCs w:val="18"/>
    </w:rPr>
  </w:style>
  <w:style w:type="paragraph" w:customStyle="1" w:styleId="473">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FF0000"/>
      <w:kern w:val="0"/>
      <w:sz w:val="24"/>
    </w:rPr>
  </w:style>
  <w:style w:type="paragraph" w:customStyle="1" w:styleId="474">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47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76">
    <w:name w:val="style3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77">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478">
    <w:name w:val="font7"/>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479">
    <w:name w:val="表正文黑体"/>
    <w:basedOn w:val="1"/>
    <w:qFormat/>
    <w:uiPriority w:val="0"/>
    <w:pPr>
      <w:jc w:val="left"/>
    </w:pPr>
    <w:rPr>
      <w:rFonts w:ascii="隶书" w:hAnsi="隶书" w:eastAsia="Verdana"/>
    </w:rPr>
  </w:style>
  <w:style w:type="paragraph" w:customStyle="1" w:styleId="480">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81">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b/>
      <w:bCs/>
      <w:kern w:val="0"/>
      <w:sz w:val="24"/>
    </w:rPr>
  </w:style>
  <w:style w:type="paragraph" w:customStyle="1" w:styleId="482">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83">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84">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85">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86">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487">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88">
    <w:name w:val="TOC 标题1"/>
    <w:basedOn w:val="6"/>
    <w:next w:val="1"/>
    <w:qFormat/>
    <w:uiPriority w:val="0"/>
    <w:pPr>
      <w:keepLines/>
      <w:widowControl/>
      <w:spacing w:before="480" w:line="276" w:lineRule="auto"/>
      <w:jc w:val="left"/>
      <w:outlineLvl w:val="9"/>
    </w:pPr>
    <w:rPr>
      <w:rFonts w:ascii="PMingLiU" w:hAnsi="PMingLiU" w:eastAsia="Helvetica"/>
      <w:color w:val="365F91"/>
      <w:kern w:val="0"/>
      <w:sz w:val="28"/>
      <w:szCs w:val="28"/>
    </w:rPr>
  </w:style>
  <w:style w:type="paragraph" w:customStyle="1" w:styleId="489">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9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491">
    <w:name w:val="正文 首行缩进:  2 字符 Char"/>
    <w:basedOn w:val="1"/>
    <w:qFormat/>
    <w:uiPriority w:val="0"/>
    <w:pPr>
      <w:spacing w:line="360" w:lineRule="auto"/>
      <w:ind w:firstLine="480"/>
    </w:pPr>
    <w:rPr>
      <w:rFonts w:cs="Helvetica"/>
      <w:sz w:val="24"/>
      <w:szCs w:val="20"/>
    </w:rPr>
  </w:style>
  <w:style w:type="paragraph" w:customStyle="1" w:styleId="492">
    <w:name w:val="14"/>
    <w:basedOn w:val="1"/>
    <w:qFormat/>
    <w:uiPriority w:val="0"/>
    <w:pPr>
      <w:snapToGrid w:val="0"/>
      <w:spacing w:beforeLines="30" w:line="288" w:lineRule="auto"/>
      <w:ind w:left="852" w:leftChars="355" w:firstLine="420" w:firstLineChars="175"/>
    </w:pPr>
    <w:rPr>
      <w:rFonts w:ascii="Arial Unicode MS" w:hAnsi="Arial Unicode MS"/>
      <w:sz w:val="24"/>
      <w:szCs w:val="20"/>
    </w:rPr>
  </w:style>
  <w:style w:type="paragraph" w:customStyle="1" w:styleId="4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etica" w:hAnsi="Helvetica" w:cs="Helvetica"/>
      <w:color w:val="000000"/>
      <w:kern w:val="0"/>
      <w:sz w:val="24"/>
    </w:rPr>
  </w:style>
  <w:style w:type="paragraph" w:customStyle="1" w:styleId="494">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6">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497">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98">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499">
    <w:name w:val="正文字缩2字"/>
    <w:basedOn w:val="1"/>
    <w:qFormat/>
    <w:uiPriority w:val="0"/>
    <w:pPr>
      <w:spacing w:before="60" w:after="60" w:line="360" w:lineRule="auto"/>
      <w:ind w:left="200" w:leftChars="200" w:firstLine="200" w:firstLineChars="200"/>
    </w:pPr>
    <w:rPr>
      <w:sz w:val="24"/>
    </w:rPr>
  </w:style>
  <w:style w:type="paragraph" w:customStyle="1" w:styleId="500">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01">
    <w:name w:val="表格内容"/>
    <w:basedOn w:val="1"/>
    <w:qFormat/>
    <w:uiPriority w:val="2"/>
    <w:pPr>
      <w:jc w:val="center"/>
    </w:pPr>
    <w:rPr>
      <w:rFonts w:ascii="隶书" w:hAnsi="隶书"/>
    </w:rPr>
  </w:style>
  <w:style w:type="paragraph" w:customStyle="1" w:styleId="502">
    <w:name w:val="font22"/>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503">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04">
    <w:name w:val="样式 四号 首行缩进:  1 厘米"/>
    <w:basedOn w:val="1"/>
    <w:qFormat/>
    <w:uiPriority w:val="0"/>
    <w:pPr>
      <w:spacing w:line="440" w:lineRule="exact"/>
      <w:ind w:firstLine="567"/>
    </w:pPr>
    <w:rPr>
      <w:rFonts w:ascii="等线" w:hAnsi="等线" w:eastAsia="Arial Unicode MS" w:cs="Arial Unicode MS"/>
      <w:sz w:val="28"/>
      <w:szCs w:val="20"/>
    </w:rPr>
  </w:style>
  <w:style w:type="paragraph" w:customStyle="1" w:styleId="50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06">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507">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508">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09">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510">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mbria" w:hAnsi="Cambria" w:cs="Cambria"/>
      <w:kern w:val="0"/>
      <w:sz w:val="24"/>
    </w:rPr>
  </w:style>
  <w:style w:type="paragraph" w:customStyle="1" w:styleId="511">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12">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13">
    <w:name w:val="xl31872"/>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514">
    <w:name w:val="xl7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515">
    <w:name w:val="xl31873"/>
    <w:basedOn w:val="1"/>
    <w:qFormat/>
    <w:uiPriority w:val="0"/>
    <w:pPr>
      <w:widowControl/>
      <w:spacing w:before="100" w:beforeAutospacing="1" w:after="100" w:afterAutospacing="1"/>
      <w:jc w:val="left"/>
    </w:pPr>
    <w:rPr>
      <w:rFonts w:ascii="Cambria" w:hAnsi="Cambria" w:cs="Cambria"/>
      <w:b/>
      <w:bCs/>
      <w:kern w:val="0"/>
      <w:sz w:val="24"/>
    </w:rPr>
  </w:style>
  <w:style w:type="paragraph" w:customStyle="1" w:styleId="516">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517">
    <w:name w:val="xl55"/>
    <w:basedOn w:val="1"/>
    <w:qFormat/>
    <w:uiPriority w:val="0"/>
    <w:pPr>
      <w:widowControl/>
      <w:spacing w:before="100" w:beforeAutospacing="1" w:after="100" w:afterAutospacing="1"/>
      <w:jc w:val="center"/>
      <w:textAlignment w:val="center"/>
    </w:pPr>
    <w:rPr>
      <w:rFonts w:ascii="等线 Light" w:hAnsi="等线 Light" w:eastAsia="Arial Unicode MS" w:cs="Vijaya"/>
      <w:kern w:val="0"/>
      <w:sz w:val="24"/>
    </w:rPr>
  </w:style>
  <w:style w:type="paragraph" w:customStyle="1" w:styleId="518">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19">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20">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21">
    <w:name w:val="Char Char Char Char"/>
    <w:basedOn w:val="20"/>
    <w:qFormat/>
    <w:uiPriority w:val="0"/>
    <w:rPr>
      <w:rFonts w:ascii="等线" w:hAnsi="等线" w:eastAsia="Wingdings"/>
      <w:sz w:val="24"/>
    </w:rPr>
  </w:style>
  <w:style w:type="paragraph" w:customStyle="1" w:styleId="5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etica" w:hAnsi="Helvetica" w:cs="Helvetica"/>
      <w:kern w:val="0"/>
      <w:sz w:val="24"/>
    </w:rPr>
  </w:style>
  <w:style w:type="paragraph" w:customStyle="1" w:styleId="523">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524">
    <w:name w:val="Char Char Char Char Char Char Char1"/>
    <w:basedOn w:val="1"/>
    <w:qFormat/>
    <w:uiPriority w:val="0"/>
    <w:rPr>
      <w:rFonts w:ascii="Tahoma" w:eastAsia="Tahoma"/>
      <w:b/>
      <w:sz w:val="32"/>
      <w:szCs w:val="32"/>
    </w:rPr>
  </w:style>
  <w:style w:type="paragraph" w:customStyle="1" w:styleId="525">
    <w:name w:val="Char Char Char Char Char Char Char2"/>
    <w:basedOn w:val="1"/>
    <w:qFormat/>
    <w:uiPriority w:val="0"/>
    <w:pPr>
      <w:widowControl/>
      <w:spacing w:after="160" w:line="240" w:lineRule="exact"/>
      <w:ind w:firstLine="200" w:firstLineChars="200"/>
      <w:jc w:val="left"/>
    </w:pPr>
    <w:rPr>
      <w:rFonts w:ascii="宋体,Verdana,Arial" w:hAnsi="宋体,Verdana,Arial" w:eastAsia="Arial Unicode MS" w:cs="等线"/>
      <w:sz w:val="24"/>
      <w:szCs w:val="20"/>
    </w:rPr>
  </w:style>
  <w:style w:type="paragraph" w:customStyle="1" w:styleId="526">
    <w:name w:val="Char1 Char Char Char Char"/>
    <w:basedOn w:val="20"/>
    <w:qFormat/>
    <w:uiPriority w:val="0"/>
    <w:rPr>
      <w:rFonts w:ascii="宋体,Verdana,Arial" w:hAnsi="宋体,Verdana,Arial" w:eastAsia="Arial Unicode MS" w:cs="宋体,Verdana,Arial"/>
      <w:kern w:val="0"/>
      <w:sz w:val="18"/>
    </w:rPr>
  </w:style>
  <w:style w:type="paragraph" w:customStyle="1" w:styleId="527">
    <w:name w:val="正文段"/>
    <w:basedOn w:val="1"/>
    <w:qFormat/>
    <w:uiPriority w:val="0"/>
    <w:pPr>
      <w:widowControl/>
      <w:snapToGrid w:val="0"/>
      <w:spacing w:afterLines="50"/>
      <w:ind w:firstLine="200" w:firstLineChars="200"/>
    </w:pPr>
    <w:rPr>
      <w:kern w:val="0"/>
      <w:sz w:val="24"/>
      <w:szCs w:val="20"/>
    </w:rPr>
  </w:style>
  <w:style w:type="paragraph" w:customStyle="1" w:styleId="528">
    <w:name w:val="标题小四"/>
    <w:basedOn w:val="7"/>
    <w:qFormat/>
    <w:uiPriority w:val="0"/>
    <w:pPr>
      <w:keepNext w:val="0"/>
      <w:keepLines w:val="0"/>
      <w:spacing w:before="0" w:after="0" w:line="360" w:lineRule="auto"/>
      <w:ind w:right="90"/>
      <w:outlineLvl w:val="9"/>
    </w:pPr>
    <w:rPr>
      <w:rFonts w:ascii="Helvetica" w:hAnsi="Arial Unicode MS" w:cs="隶书"/>
      <w:b w:val="0"/>
      <w:bCs w:val="0"/>
      <w:color w:val="000000"/>
      <w:sz w:val="21"/>
      <w:szCs w:val="21"/>
    </w:rPr>
  </w:style>
  <w:style w:type="paragraph" w:customStyle="1" w:styleId="529">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30">
    <w:name w:val="正文首行缩进1"/>
    <w:basedOn w:val="3"/>
    <w:qFormat/>
    <w:uiPriority w:val="0"/>
    <w:pPr>
      <w:suppressAutoHyphens/>
      <w:ind w:firstLine="420"/>
      <w:jc w:val="left"/>
    </w:pPr>
    <w:rPr>
      <w:rFonts w:ascii="等线" w:hAnsi="等线" w:eastAsia="Arial Unicode MS" w:cs="等线"/>
      <w:kern w:val="1"/>
      <w:sz w:val="28"/>
      <w:lang w:eastAsia="ar-SA"/>
    </w:rPr>
  </w:style>
  <w:style w:type="paragraph" w:customStyle="1" w:styleId="5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532">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Wingdings" w:hAnsi="Wingdings" w:cs="Wingdings"/>
      <w:kern w:val="0"/>
      <w:sz w:val="24"/>
    </w:rPr>
  </w:style>
  <w:style w:type="paragraph" w:customStyle="1" w:styleId="533">
    <w:name w:val="Char Char Char Char Char Char Char Char Char Char Char Char Char"/>
    <w:basedOn w:val="1"/>
    <w:qFormat/>
    <w:uiPriority w:val="0"/>
    <w:rPr>
      <w:rFonts w:ascii="楷体_GB2312" w:hAnsi="楷体_GB2312"/>
      <w:sz w:val="24"/>
      <w:szCs w:val="20"/>
    </w:rPr>
  </w:style>
  <w:style w:type="paragraph" w:customStyle="1" w:styleId="534">
    <w:name w:val="Table of contents|2"/>
    <w:basedOn w:val="1"/>
    <w:qFormat/>
    <w:uiPriority w:val="0"/>
    <w:pPr>
      <w:shd w:val="clear" w:color="auto" w:fill="FFFFFF"/>
      <w:spacing w:line="398" w:lineRule="exact"/>
      <w:jc w:val="distribute"/>
    </w:pPr>
    <w:rPr>
      <w:rFonts w:ascii="Myriad Pro" w:hAnsi="Myriad Pro" w:eastAsia="Myriad Pro" w:cs="Myriad Pro"/>
      <w:spacing w:val="20"/>
    </w:rPr>
  </w:style>
  <w:style w:type="paragraph" w:customStyle="1" w:styleId="535">
    <w:name w:val="段"/>
    <w:qFormat/>
    <w:uiPriority w:val="0"/>
    <w:pPr>
      <w:autoSpaceDE w:val="0"/>
      <w:autoSpaceDN w:val="0"/>
      <w:ind w:firstLine="200" w:firstLineChars="200"/>
      <w:jc w:val="both"/>
    </w:pPr>
    <w:rPr>
      <w:rFonts w:ascii="Helvetica" w:hAnsi="Times New Roman" w:eastAsia="宋体" w:cs="Times New Roman"/>
      <w:sz w:val="21"/>
      <w:lang w:val="en-US" w:eastAsia="zh-CN" w:bidi="ar-SA"/>
    </w:rPr>
  </w:style>
  <w:style w:type="paragraph" w:customStyle="1" w:styleId="536">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37">
    <w:name w:val="Char13"/>
    <w:basedOn w:val="1"/>
    <w:qFormat/>
    <w:uiPriority w:val="0"/>
    <w:pPr>
      <w:widowControl/>
      <w:spacing w:after="160" w:line="240" w:lineRule="exact"/>
      <w:jc w:val="left"/>
    </w:pPr>
    <w:rPr>
      <w:rFonts w:ascii="楷体" w:hAnsi="楷体"/>
      <w:kern w:val="0"/>
      <w:sz w:val="20"/>
      <w:szCs w:val="20"/>
      <w:lang w:eastAsia="en-US"/>
    </w:rPr>
  </w:style>
  <w:style w:type="paragraph" w:customStyle="1" w:styleId="538">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39">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40">
    <w:name w:val="Mao 标题2"/>
    <w:basedOn w:val="1"/>
    <w:qFormat/>
    <w:uiPriority w:val="0"/>
    <w:pPr>
      <w:keepNext/>
      <w:keepLines/>
      <w:numPr>
        <w:ilvl w:val="1"/>
        <w:numId w:val="1"/>
      </w:numPr>
      <w:tabs>
        <w:tab w:val="left" w:pos="567"/>
        <w:tab w:val="left" w:pos="840"/>
      </w:tabs>
      <w:spacing w:before="260" w:after="260" w:line="360" w:lineRule="auto"/>
      <w:ind w:left="840" w:hanging="420"/>
      <w:outlineLvl w:val="1"/>
    </w:pPr>
    <w:rPr>
      <w:b/>
      <w:bCs/>
      <w:sz w:val="30"/>
      <w:szCs w:val="28"/>
    </w:rPr>
  </w:style>
  <w:style w:type="paragraph" w:customStyle="1" w:styleId="541">
    <w:name w:val="样式 标题 3 + 黑色 段前: 5 磅 段后: 5 磅 行距: 1.5 倍行距"/>
    <w:basedOn w:val="1"/>
    <w:qFormat/>
    <w:uiPriority w:val="0"/>
    <w:pPr>
      <w:ind w:left="855" w:hanging="855"/>
    </w:pPr>
    <w:rPr>
      <w:sz w:val="24"/>
      <w:szCs w:val="20"/>
    </w:rPr>
  </w:style>
  <w:style w:type="paragraph" w:customStyle="1" w:styleId="542">
    <w:name w:val="技术报告正文"/>
    <w:basedOn w:val="1"/>
    <w:qFormat/>
    <w:uiPriority w:val="0"/>
    <w:pPr>
      <w:autoSpaceDE w:val="0"/>
      <w:autoSpaceDN w:val="0"/>
      <w:adjustRightInd w:val="0"/>
      <w:spacing w:beforeLines="50" w:line="440" w:lineRule="exact"/>
      <w:ind w:firstLine="538" w:firstLineChars="192"/>
      <w:jc w:val="left"/>
    </w:pPr>
    <w:rPr>
      <w:rFonts w:cs="宋体,Verdana,Arial"/>
      <w:bCs/>
      <w:kern w:val="0"/>
      <w:sz w:val="28"/>
      <w:szCs w:val="20"/>
    </w:rPr>
  </w:style>
  <w:style w:type="paragraph" w:customStyle="1" w:styleId="543">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i/>
      <w:iCs/>
      <w:color w:val="FF0000"/>
      <w:kern w:val="0"/>
      <w:sz w:val="24"/>
    </w:rPr>
  </w:style>
  <w:style w:type="paragraph" w:customStyle="1" w:styleId="544">
    <w:name w:val="font20"/>
    <w:basedOn w:val="1"/>
    <w:qFormat/>
    <w:uiPriority w:val="0"/>
    <w:pPr>
      <w:widowControl/>
      <w:spacing w:before="100" w:beforeAutospacing="1" w:after="100" w:afterAutospacing="1"/>
      <w:jc w:val="left"/>
    </w:pPr>
    <w:rPr>
      <w:kern w:val="0"/>
      <w:sz w:val="18"/>
      <w:szCs w:val="18"/>
    </w:rPr>
  </w:style>
  <w:style w:type="paragraph" w:customStyle="1" w:styleId="545">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4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Helvetica"/>
      <w:color w:val="000000"/>
      <w:kern w:val="0"/>
      <w:sz w:val="24"/>
    </w:rPr>
  </w:style>
  <w:style w:type="paragraph" w:customStyle="1" w:styleId="547">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kern w:val="0"/>
      <w:szCs w:val="22"/>
    </w:rPr>
  </w:style>
  <w:style w:type="paragraph" w:customStyle="1" w:styleId="549">
    <w:name w:val="样式 标题 3 + 黑体 小四 非加粗"/>
    <w:basedOn w:val="8"/>
    <w:qFormat/>
    <w:uiPriority w:val="0"/>
    <w:rPr>
      <w:rFonts w:ascii="黑体" w:hAnsi="黑体" w:eastAsia="黑体"/>
      <w:b w:val="0"/>
      <w:bCs w:val="0"/>
      <w:kern w:val="0"/>
      <w:sz w:val="24"/>
    </w:rPr>
  </w:style>
  <w:style w:type="paragraph" w:customStyle="1" w:styleId="550">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551">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2">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53">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554">
    <w:name w:val="文字"/>
    <w:basedOn w:val="1"/>
    <w:qFormat/>
    <w:uiPriority w:val="0"/>
    <w:pPr>
      <w:tabs>
        <w:tab w:val="left" w:pos="8520"/>
      </w:tabs>
      <w:spacing w:line="312" w:lineRule="auto"/>
      <w:ind w:right="-210" w:firstLine="556"/>
    </w:pPr>
    <w:rPr>
      <w:rFonts w:ascii="Helvetica"/>
      <w:sz w:val="28"/>
      <w:szCs w:val="20"/>
    </w:rPr>
  </w:style>
  <w:style w:type="paragraph" w:customStyle="1" w:styleId="555">
    <w:name w:val="_Style 5"/>
    <w:basedOn w:val="20"/>
    <w:qFormat/>
    <w:uiPriority w:val="0"/>
    <w:rPr>
      <w:rFonts w:eastAsia="Wingdings"/>
    </w:rPr>
  </w:style>
  <w:style w:type="paragraph" w:customStyle="1" w:styleId="556">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57">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58">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59">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560">
    <w:name w:val="Table Contents"/>
    <w:basedOn w:val="1"/>
    <w:qFormat/>
    <w:uiPriority w:val="0"/>
    <w:pPr>
      <w:suppressAutoHyphens/>
      <w:autoSpaceDE w:val="0"/>
      <w:autoSpaceDN w:val="0"/>
      <w:adjustRightInd w:val="0"/>
      <w:spacing w:after="120"/>
      <w:jc w:val="left"/>
    </w:pPr>
    <w:rPr>
      <w:rFonts w:ascii="等线 Light" w:hAnsi="等线 Light"/>
      <w:kern w:val="1"/>
      <w:sz w:val="20"/>
      <w:szCs w:val="20"/>
    </w:rPr>
  </w:style>
  <w:style w:type="paragraph" w:customStyle="1" w:styleId="561">
    <w:name w:val="font16"/>
    <w:basedOn w:val="1"/>
    <w:qFormat/>
    <w:uiPriority w:val="0"/>
    <w:pPr>
      <w:widowControl/>
      <w:spacing w:before="100" w:beforeAutospacing="1" w:after="100" w:afterAutospacing="1"/>
      <w:jc w:val="left"/>
    </w:pPr>
    <w:rPr>
      <w:rFonts w:ascii="宋体,Verdana,Arial" w:hAnsi="宋体,Verdana,Arial" w:cs="宋体,Verdana,Arial"/>
      <w:kern w:val="0"/>
      <w:sz w:val="12"/>
      <w:szCs w:val="12"/>
    </w:rPr>
  </w:style>
  <w:style w:type="paragraph" w:customStyle="1" w:styleId="562">
    <w:name w:val="font9"/>
    <w:basedOn w:val="1"/>
    <w:qFormat/>
    <w:uiPriority w:val="0"/>
    <w:pPr>
      <w:widowControl/>
      <w:spacing w:before="100" w:beforeAutospacing="1" w:after="100" w:afterAutospacing="1"/>
      <w:jc w:val="left"/>
    </w:pPr>
    <w:rPr>
      <w:rFonts w:ascii="Wingdings" w:hAnsi="Wingdings" w:cs="Wingdings"/>
      <w:b/>
      <w:bCs/>
      <w:kern w:val="0"/>
      <w:sz w:val="24"/>
    </w:rPr>
  </w:style>
  <w:style w:type="paragraph" w:customStyle="1" w:styleId="56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564">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565">
    <w:name w:val="默认段落字体 Para Char"/>
    <w:basedOn w:val="1"/>
    <w:qFormat/>
    <w:uiPriority w:val="0"/>
    <w:pPr>
      <w:adjustRightInd w:val="0"/>
      <w:spacing w:line="360" w:lineRule="auto"/>
    </w:pPr>
    <w:rPr>
      <w:rFonts w:ascii="等线" w:hAnsi="等线" w:eastAsia="Arial Unicode MS" w:cs="等线"/>
      <w:kern w:val="0"/>
      <w:sz w:val="24"/>
      <w:szCs w:val="20"/>
    </w:rPr>
  </w:style>
  <w:style w:type="paragraph" w:customStyle="1" w:styleId="566">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67">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68">
    <w:name w:val="列项——（一级）"/>
    <w:qFormat/>
    <w:uiPriority w:val="0"/>
    <w:pPr>
      <w:widowControl w:val="0"/>
      <w:tabs>
        <w:tab w:val="left" w:pos="854"/>
        <w:tab w:val="left" w:pos="1260"/>
      </w:tabs>
      <w:ind w:left="1260" w:hanging="420"/>
      <w:jc w:val="both"/>
    </w:pPr>
    <w:rPr>
      <w:rFonts w:ascii="Helvetica" w:hAnsi="Times New Roman" w:eastAsia="宋体" w:cs="Times New Roman"/>
      <w:sz w:val="21"/>
      <w:lang w:val="en-US" w:eastAsia="zh-CN" w:bidi="ar-SA"/>
    </w:rPr>
  </w:style>
  <w:style w:type="paragraph" w:customStyle="1" w:styleId="569">
    <w:name w:val="font11"/>
    <w:basedOn w:val="1"/>
    <w:qFormat/>
    <w:uiPriority w:val="0"/>
    <w:pPr>
      <w:widowControl/>
      <w:spacing w:before="100" w:beforeAutospacing="1" w:after="100" w:afterAutospacing="1"/>
      <w:jc w:val="left"/>
    </w:pPr>
    <w:rPr>
      <w:rFonts w:ascii="Cambria" w:hAnsi="Cambria" w:cs="Cambria"/>
      <w:color w:val="000000"/>
      <w:kern w:val="0"/>
      <w:sz w:val="24"/>
    </w:rPr>
  </w:style>
  <w:style w:type="paragraph" w:customStyle="1" w:styleId="570">
    <w:name w:val="_Style 569"/>
    <w:semiHidden/>
    <w:qFormat/>
    <w:uiPriority w:val="99"/>
    <w:rPr>
      <w:rFonts w:ascii="Times New Roman" w:hAnsi="Times New Roman" w:eastAsia="宋体" w:cs="Times New Roman"/>
      <w:kern w:val="2"/>
      <w:sz w:val="21"/>
      <w:szCs w:val="24"/>
      <w:lang w:val="en-US" w:eastAsia="zh-CN" w:bidi="ar-SA"/>
    </w:rPr>
  </w:style>
  <w:style w:type="paragraph" w:customStyle="1" w:styleId="571">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i/>
      <w:iCs/>
      <w:color w:val="FF0000"/>
      <w:kern w:val="0"/>
      <w:sz w:val="24"/>
    </w:rPr>
  </w:style>
  <w:style w:type="paragraph" w:customStyle="1" w:styleId="57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Helvetica"/>
      <w:color w:val="000000"/>
      <w:kern w:val="0"/>
      <w:sz w:val="24"/>
    </w:rPr>
  </w:style>
  <w:style w:type="paragraph" w:customStyle="1" w:styleId="573">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4"/>
    </w:rPr>
  </w:style>
  <w:style w:type="paragraph" w:customStyle="1" w:styleId="574">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75">
    <w:name w:val="正文文字表格居中"/>
    <w:basedOn w:val="1"/>
    <w:next w:val="46"/>
    <w:qFormat/>
    <w:uiPriority w:val="0"/>
    <w:pPr>
      <w:autoSpaceDE w:val="0"/>
      <w:autoSpaceDN w:val="0"/>
      <w:adjustRightInd w:val="0"/>
      <w:snapToGrid w:val="0"/>
      <w:spacing w:line="360" w:lineRule="auto"/>
      <w:jc w:val="left"/>
    </w:pPr>
    <w:rPr>
      <w:rFonts w:ascii="Helvetica"/>
      <w:b/>
      <w:kern w:val="0"/>
      <w:sz w:val="24"/>
      <w:szCs w:val="20"/>
    </w:rPr>
  </w:style>
  <w:style w:type="paragraph" w:customStyle="1" w:styleId="576">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77">
    <w:name w:val="features1"/>
    <w:basedOn w:val="1"/>
    <w:qFormat/>
    <w:uiPriority w:val="0"/>
    <w:pPr>
      <w:widowControl/>
      <w:spacing w:before="100" w:beforeAutospacing="1" w:after="100" w:afterAutospacing="1"/>
      <w:jc w:val="left"/>
    </w:pPr>
    <w:rPr>
      <w:rFonts w:ascii="Helvetica" w:hAnsi="Helvetica" w:cs="Helvetica"/>
      <w:b/>
      <w:bCs/>
      <w:kern w:val="0"/>
      <w:sz w:val="18"/>
      <w:szCs w:val="18"/>
    </w:rPr>
  </w:style>
  <w:style w:type="paragraph" w:customStyle="1" w:styleId="578">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79">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580">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81">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82">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cs="Wingdings"/>
      <w:kern w:val="0"/>
      <w:sz w:val="24"/>
    </w:rPr>
  </w:style>
  <w:style w:type="paragraph" w:customStyle="1" w:styleId="583">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84">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85">
    <w:name w:val="xl31962"/>
    <w:basedOn w:val="1"/>
    <w:qFormat/>
    <w:uiPriority w:val="0"/>
    <w:pPr>
      <w:widowControl/>
      <w:spacing w:before="100" w:beforeAutospacing="1" w:after="100" w:afterAutospacing="1"/>
      <w:jc w:val="center"/>
    </w:pPr>
    <w:rPr>
      <w:rFonts w:ascii="Wingdings" w:hAnsi="Wingdings" w:cs="Wingdings"/>
      <w:b/>
      <w:bCs/>
      <w:kern w:val="0"/>
      <w:sz w:val="28"/>
      <w:szCs w:val="28"/>
    </w:rPr>
  </w:style>
  <w:style w:type="paragraph" w:customStyle="1" w:styleId="586">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87">
    <w:name w:val="_Style 445"/>
    <w:basedOn w:val="1"/>
    <w:next w:val="212"/>
    <w:qFormat/>
    <w:uiPriority w:val="34"/>
    <w:pPr>
      <w:ind w:firstLine="420" w:firstLineChars="200"/>
    </w:pPr>
    <w:rPr>
      <w:rFonts w:ascii="隶书" w:hAnsi="隶书"/>
      <w:szCs w:val="22"/>
    </w:rPr>
  </w:style>
  <w:style w:type="paragraph" w:customStyle="1" w:styleId="588">
    <w:name w:val="数字级连标题2"/>
    <w:basedOn w:val="7"/>
    <w:next w:val="1"/>
    <w:qFormat/>
    <w:uiPriority w:val="0"/>
    <w:pPr>
      <w:tabs>
        <w:tab w:val="left" w:pos="0"/>
      </w:tabs>
      <w:spacing w:before="0" w:after="0" w:line="360" w:lineRule="auto"/>
      <w:ind w:left="567" w:hanging="567"/>
    </w:pPr>
    <w:rPr>
      <w:rFonts w:ascii="等线" w:hAnsi="等线" w:eastAsia="Arial Unicode MS" w:cs="等线"/>
      <w:bCs w:val="0"/>
      <w:sz w:val="28"/>
      <w:szCs w:val="20"/>
      <w:lang w:eastAsia="ar-SA"/>
    </w:rPr>
  </w:style>
  <w:style w:type="paragraph" w:customStyle="1" w:styleId="589">
    <w:name w:val="font24"/>
    <w:basedOn w:val="1"/>
    <w:qFormat/>
    <w:uiPriority w:val="0"/>
    <w:pPr>
      <w:widowControl/>
      <w:spacing w:before="100" w:beforeAutospacing="1" w:after="100" w:afterAutospacing="1"/>
      <w:jc w:val="left"/>
    </w:pPr>
    <w:rPr>
      <w:rFonts w:ascii="Cambria" w:hAnsi="Cambria" w:cs="Cambria"/>
      <w:kern w:val="0"/>
      <w:sz w:val="12"/>
      <w:szCs w:val="12"/>
    </w:rPr>
  </w:style>
  <w:style w:type="paragraph" w:customStyle="1" w:styleId="590">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591">
    <w:name w:val="样式 首行缩进:  0 字符"/>
    <w:basedOn w:val="1"/>
    <w:qFormat/>
    <w:uiPriority w:val="0"/>
    <w:pPr>
      <w:spacing w:line="360" w:lineRule="auto"/>
      <w:ind w:firstLine="200" w:firstLineChars="200"/>
    </w:pPr>
    <w:rPr>
      <w:rFonts w:ascii="Cambria" w:hAnsi="Cambria" w:cs="Wingdings"/>
      <w:sz w:val="24"/>
      <w:szCs w:val="20"/>
    </w:rPr>
  </w:style>
  <w:style w:type="paragraph" w:customStyle="1" w:styleId="592">
    <w:name w:val="xl31870"/>
    <w:basedOn w:val="1"/>
    <w:qFormat/>
    <w:uiPriority w:val="0"/>
    <w:pPr>
      <w:widowControl/>
      <w:spacing w:before="100" w:beforeAutospacing="1" w:after="100" w:afterAutospacing="1"/>
      <w:jc w:val="left"/>
    </w:pPr>
    <w:rPr>
      <w:rFonts w:ascii="Cambria" w:hAnsi="Cambria" w:cs="Cambria"/>
      <w:color w:val="FF0000"/>
      <w:kern w:val="0"/>
      <w:sz w:val="24"/>
    </w:rPr>
  </w:style>
  <w:style w:type="paragraph" w:customStyle="1" w:styleId="593">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b/>
      <w:bCs/>
      <w:kern w:val="0"/>
      <w:sz w:val="24"/>
    </w:rPr>
  </w:style>
  <w:style w:type="paragraph" w:customStyle="1" w:styleId="594">
    <w:name w:val="xl89"/>
    <w:basedOn w:val="1"/>
    <w:qFormat/>
    <w:uiPriority w:val="0"/>
    <w:pPr>
      <w:widowControl/>
      <w:spacing w:before="100" w:beforeAutospacing="1" w:after="100" w:afterAutospacing="1"/>
      <w:jc w:val="left"/>
    </w:pPr>
    <w:rPr>
      <w:rFonts w:ascii="Helvetica" w:hAnsi="Helvetica" w:cs="Helvetica"/>
      <w:kern w:val="0"/>
      <w:sz w:val="24"/>
    </w:rPr>
  </w:style>
  <w:style w:type="paragraph" w:customStyle="1" w:styleId="595">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9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597">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598">
    <w:name w:val="正文 New New"/>
    <w:qFormat/>
    <w:uiPriority w:val="0"/>
    <w:pPr>
      <w:widowControl w:val="0"/>
      <w:jc w:val="both"/>
    </w:pPr>
    <w:rPr>
      <w:rFonts w:ascii="等线" w:hAnsi="等线" w:eastAsia="Arial Unicode MS" w:cs="等线"/>
      <w:kern w:val="2"/>
      <w:sz w:val="21"/>
      <w:szCs w:val="24"/>
      <w:lang w:val="en-US" w:eastAsia="zh-CN" w:bidi="ar-SA"/>
    </w:rPr>
  </w:style>
  <w:style w:type="paragraph" w:customStyle="1" w:styleId="599">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600">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601">
    <w:name w:val="列表段落1"/>
    <w:basedOn w:val="1"/>
    <w:qFormat/>
    <w:uiPriority w:val="0"/>
    <w:pPr>
      <w:ind w:firstLine="420" w:firstLineChars="200"/>
    </w:pPr>
    <w:rPr>
      <w:rFonts w:ascii="Arial Unicode MS" w:hAnsi="Arial Unicode MS" w:eastAsia="Arial Unicode MS" w:cs="等线"/>
      <w:szCs w:val="22"/>
    </w:rPr>
  </w:style>
  <w:style w:type="paragraph" w:customStyle="1" w:styleId="602">
    <w:name w:val="标准小四"/>
    <w:basedOn w:val="1"/>
    <w:qFormat/>
    <w:uiPriority w:val="0"/>
    <w:pPr>
      <w:autoSpaceDE w:val="0"/>
      <w:autoSpaceDN w:val="0"/>
      <w:adjustRightInd w:val="0"/>
      <w:spacing w:line="360" w:lineRule="auto"/>
      <w:ind w:firstLine="480" w:firstLineChars="200"/>
      <w:jc w:val="left"/>
    </w:pPr>
    <w:rPr>
      <w:rFonts w:ascii="宋体,Verdana,Arial" w:hAnsi="宋体,Verdana,Arial"/>
      <w:kern w:val="0"/>
      <w:sz w:val="24"/>
      <w:szCs w:val="21"/>
    </w:rPr>
  </w:style>
  <w:style w:type="paragraph" w:customStyle="1" w:styleId="603">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604">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6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6">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4"/>
    </w:rPr>
  </w:style>
  <w:style w:type="paragraph" w:customStyle="1" w:styleId="607">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b/>
      <w:bCs/>
      <w:kern w:val="0"/>
      <w:sz w:val="24"/>
    </w:rPr>
  </w:style>
  <w:style w:type="paragraph" w:customStyle="1" w:styleId="608">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609">
    <w:name w:val="标准段落"/>
    <w:basedOn w:val="1"/>
    <w:qFormat/>
    <w:uiPriority w:val="0"/>
    <w:pPr>
      <w:spacing w:after="120" w:line="360" w:lineRule="auto"/>
      <w:ind w:firstLine="420"/>
    </w:pPr>
    <w:rPr>
      <w:rFonts w:ascii="黑体" w:hAnsi="Helvetica" w:eastAsia="黑体"/>
      <w:b/>
      <w:spacing w:val="6"/>
      <w:szCs w:val="22"/>
    </w:rPr>
  </w:style>
  <w:style w:type="paragraph" w:customStyle="1" w:styleId="610">
    <w:name w:val="Pa0"/>
    <w:basedOn w:val="1"/>
    <w:next w:val="1"/>
    <w:qFormat/>
    <w:uiPriority w:val="0"/>
    <w:pPr>
      <w:autoSpaceDE w:val="0"/>
      <w:autoSpaceDN w:val="0"/>
      <w:adjustRightInd w:val="0"/>
      <w:spacing w:line="241" w:lineRule="atLeast"/>
      <w:jc w:val="left"/>
    </w:pPr>
    <w:rPr>
      <w:rFonts w:ascii="方正楷体" w:hAnsi="方正楷体"/>
      <w:kern w:val="0"/>
      <w:sz w:val="24"/>
    </w:rPr>
  </w:style>
  <w:style w:type="paragraph" w:customStyle="1" w:styleId="61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mbria" w:hAnsi="Cambria" w:cs="Cambria"/>
      <w:kern w:val="0"/>
      <w:sz w:val="24"/>
    </w:rPr>
  </w:style>
  <w:style w:type="paragraph" w:customStyle="1" w:styleId="612">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cs="Wingdings"/>
      <w:kern w:val="0"/>
      <w:sz w:val="24"/>
    </w:rPr>
  </w:style>
  <w:style w:type="paragraph" w:customStyle="1" w:styleId="613">
    <w:name w:val="Table Paragraph"/>
    <w:basedOn w:val="1"/>
    <w:qFormat/>
    <w:uiPriority w:val="0"/>
    <w:pPr>
      <w:autoSpaceDE w:val="0"/>
      <w:autoSpaceDN w:val="0"/>
      <w:jc w:val="left"/>
    </w:pPr>
    <w:rPr>
      <w:rFonts w:ascii="宋体" w:hAnsi="宋体" w:eastAsia="宋体" w:cs="宋体"/>
      <w:kern w:val="0"/>
      <w:sz w:val="22"/>
      <w:szCs w:val="22"/>
    </w:rPr>
  </w:style>
  <w:style w:type="table" w:customStyle="1" w:styleId="614">
    <w:name w:val="网格型1"/>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2"/>
    <w:basedOn w:val="5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6">
    <w:name w:val="List Paragraph2"/>
    <w:basedOn w:val="1"/>
    <w:qFormat/>
    <w:uiPriority w:val="0"/>
    <w:pPr>
      <w:ind w:firstLine="420" w:firstLineChars="200"/>
    </w:pPr>
  </w:style>
  <w:style w:type="paragraph" w:customStyle="1" w:styleId="617">
    <w:name w:val="[Normal]"/>
    <w:qFormat/>
    <w:uiPriority w:val="0"/>
    <w:rPr>
      <w:rFonts w:ascii="宋体" w:hAnsi="宋体" w:eastAsia="宋体" w:cs="Times New Roman"/>
      <w:sz w:val="24"/>
      <w:szCs w:val="22"/>
      <w:lang w:val="zh-CN" w:eastAsia="zh-CN" w:bidi="ar-SA"/>
    </w:rPr>
  </w:style>
  <w:style w:type="character" w:customStyle="1" w:styleId="618">
    <w:name w:val="NormalCharacter"/>
    <w:semiHidden/>
    <w:qFormat/>
    <w:uiPriority w:val="0"/>
  </w:style>
  <w:style w:type="character" w:customStyle="1" w:styleId="619">
    <w:name w:val="font61"/>
    <w:qFormat/>
    <w:uiPriority w:val="0"/>
    <w:rPr>
      <w:rFonts w:hint="default" w:ascii="Times New Roman" w:hAnsi="Times New Roman" w:cs="Times New Roman"/>
      <w:color w:val="000000"/>
      <w:sz w:val="28"/>
      <w:szCs w:val="28"/>
      <w:u w:val="none"/>
    </w:rPr>
  </w:style>
  <w:style w:type="character" w:customStyle="1" w:styleId="620">
    <w:name w:val="font8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21636</Words>
  <Characters>22678</Characters>
  <Lines>194</Lines>
  <Paragraphs>54</Paragraphs>
  <TotalTime>4</TotalTime>
  <ScaleCrop>false</ScaleCrop>
  <LinksUpToDate>false</LinksUpToDate>
  <CharactersWithSpaces>24279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2021-03-19T01:37:00Z</dcterms:created>
  <dc:creator>LCMZX</dc:creator>
  <cp:lastModifiedBy>黄小茹</cp:lastModifiedBy>
  <cp:lastPrinted>2021-03-12T06:39:00Z</cp:lastPrinted>
  <dcterms:modified xsi:type="dcterms:W3CDTF">2023-12-01T04:03:15Z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43D11025FA2D41EFA2B1F16FF92ACC54_13</vt:lpwstr>
  </property>
</Properties>
</file>