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right="105"/>
        <w:rPr>
          <w:rFonts w:ascii="仿宋" w:hAnsi="仿宋" w:eastAsia="仿宋" w:cs="仿宋"/>
          <w:sz w:val="30"/>
          <w:szCs w:val="30"/>
          <w:highlight w:val="none"/>
        </w:rPr>
      </w:pPr>
    </w:p>
    <w:p>
      <w:pPr>
        <w:spacing w:line="360" w:lineRule="auto"/>
        <w:ind w:right="105"/>
        <w:jc w:val="center"/>
        <w:rPr>
          <w:rFonts w:ascii="仿宋" w:hAnsi="仿宋" w:eastAsia="仿宋" w:cs="仿宋"/>
          <w:b/>
          <w:bCs/>
          <w:sz w:val="30"/>
          <w:szCs w:val="30"/>
          <w:highlight w:val="none"/>
        </w:rPr>
      </w:pPr>
    </w:p>
    <w:p>
      <w:pPr>
        <w:jc w:val="center"/>
        <w:outlineLvl w:val="0"/>
        <w:rPr>
          <w:rFonts w:ascii="仿宋" w:hAnsi="仿宋" w:eastAsia="仿宋" w:cs="仿宋"/>
          <w:b/>
          <w:sz w:val="44"/>
          <w:szCs w:val="44"/>
          <w:highlight w:val="none"/>
        </w:rPr>
      </w:pPr>
      <w:bookmarkStart w:id="0" w:name="_Toc14961"/>
      <w:bookmarkStart w:id="1" w:name="_Toc11282"/>
      <w:r>
        <w:rPr>
          <w:rFonts w:hint="eastAsia" w:ascii="仿宋" w:hAnsi="仿宋" w:eastAsia="仿宋" w:cs="仿宋"/>
          <w:b/>
          <w:sz w:val="44"/>
          <w:szCs w:val="44"/>
          <w:highlight w:val="none"/>
        </w:rPr>
        <w:t>杭州市能源集团工程科技有限公司</w:t>
      </w:r>
      <w:bookmarkEnd w:id="0"/>
      <w:bookmarkEnd w:id="1"/>
    </w:p>
    <w:p>
      <w:pPr>
        <w:jc w:val="center"/>
        <w:outlineLvl w:val="0"/>
        <w:rPr>
          <w:rFonts w:hint="eastAsia" w:ascii="仿宋" w:hAnsi="仿宋" w:eastAsia="仿宋" w:cs="仿宋"/>
          <w:b/>
          <w:sz w:val="52"/>
          <w:szCs w:val="52"/>
          <w:highlight w:val="none"/>
        </w:rPr>
      </w:pPr>
      <w:bookmarkStart w:id="2" w:name="_Toc7601"/>
      <w:bookmarkStart w:id="3" w:name="_Toc3575"/>
      <w:r>
        <w:rPr>
          <w:rFonts w:hint="eastAsia" w:ascii="仿宋" w:hAnsi="仿宋" w:eastAsia="仿宋" w:cs="仿宋"/>
          <w:b/>
          <w:sz w:val="44"/>
          <w:szCs w:val="44"/>
          <w:highlight w:val="none"/>
          <w:lang w:val="en-US" w:eastAsia="zh-CN"/>
        </w:rPr>
        <w:t>临安清凉峰、火车东站东广场等工程充电桩采购项目</w:t>
      </w:r>
    </w:p>
    <w:p>
      <w:pPr>
        <w:jc w:val="center"/>
        <w:outlineLvl w:val="0"/>
        <w:rPr>
          <w:rFonts w:hint="eastAsia" w:ascii="仿宋" w:hAnsi="仿宋" w:eastAsia="仿宋" w:cs="仿宋"/>
          <w:b/>
          <w:sz w:val="52"/>
          <w:szCs w:val="52"/>
          <w:highlight w:val="none"/>
        </w:rPr>
      </w:pPr>
    </w:p>
    <w:p>
      <w:pPr>
        <w:jc w:val="center"/>
        <w:outlineLvl w:val="0"/>
        <w:rPr>
          <w:rFonts w:hint="eastAsia" w:ascii="仿宋" w:hAnsi="仿宋" w:eastAsia="仿宋" w:cs="仿宋"/>
          <w:b/>
          <w:sz w:val="52"/>
          <w:szCs w:val="52"/>
          <w:highlight w:val="none"/>
        </w:rPr>
      </w:pPr>
      <w:r>
        <w:rPr>
          <w:rFonts w:hint="eastAsia" w:ascii="仿宋" w:hAnsi="仿宋" w:eastAsia="仿宋" w:cs="仿宋"/>
          <w:b/>
          <w:sz w:val="52"/>
          <w:szCs w:val="52"/>
          <w:highlight w:val="none"/>
        </w:rPr>
        <w:t>询</w:t>
      </w:r>
      <w:bookmarkEnd w:id="2"/>
      <w:bookmarkEnd w:id="3"/>
    </w:p>
    <w:p>
      <w:pPr>
        <w:pStyle w:val="21"/>
        <w:rPr>
          <w:highlight w:val="none"/>
        </w:rPr>
      </w:pPr>
    </w:p>
    <w:p>
      <w:pPr>
        <w:jc w:val="center"/>
        <w:outlineLvl w:val="0"/>
        <w:rPr>
          <w:rFonts w:hint="eastAsia" w:ascii="仿宋" w:hAnsi="仿宋" w:eastAsia="仿宋" w:cs="仿宋"/>
          <w:b/>
          <w:sz w:val="52"/>
          <w:szCs w:val="52"/>
          <w:highlight w:val="none"/>
        </w:rPr>
      </w:pPr>
      <w:bookmarkStart w:id="4" w:name="_Toc31318"/>
      <w:bookmarkStart w:id="5" w:name="_Toc16074"/>
      <w:r>
        <w:rPr>
          <w:rFonts w:hint="eastAsia" w:ascii="仿宋" w:hAnsi="仿宋" w:eastAsia="仿宋" w:cs="仿宋"/>
          <w:b/>
          <w:sz w:val="52"/>
          <w:szCs w:val="52"/>
          <w:highlight w:val="none"/>
        </w:rPr>
        <w:t>价</w:t>
      </w:r>
      <w:bookmarkEnd w:id="4"/>
      <w:bookmarkEnd w:id="5"/>
    </w:p>
    <w:p>
      <w:pPr>
        <w:pStyle w:val="21"/>
        <w:rPr>
          <w:highlight w:val="none"/>
        </w:rPr>
      </w:pPr>
    </w:p>
    <w:p>
      <w:pPr>
        <w:jc w:val="center"/>
        <w:outlineLvl w:val="0"/>
        <w:rPr>
          <w:rFonts w:hint="eastAsia" w:ascii="仿宋" w:hAnsi="仿宋" w:eastAsia="仿宋" w:cs="仿宋"/>
          <w:b/>
          <w:sz w:val="52"/>
          <w:szCs w:val="52"/>
          <w:highlight w:val="none"/>
        </w:rPr>
      </w:pPr>
      <w:bookmarkStart w:id="6" w:name="_Toc31929"/>
      <w:bookmarkStart w:id="7" w:name="_Toc7946"/>
      <w:r>
        <w:rPr>
          <w:rFonts w:hint="eastAsia" w:ascii="仿宋" w:hAnsi="仿宋" w:eastAsia="仿宋" w:cs="仿宋"/>
          <w:b/>
          <w:sz w:val="52"/>
          <w:szCs w:val="52"/>
          <w:highlight w:val="none"/>
        </w:rPr>
        <w:t>文</w:t>
      </w:r>
      <w:bookmarkEnd w:id="6"/>
      <w:bookmarkEnd w:id="7"/>
    </w:p>
    <w:p>
      <w:pPr>
        <w:pStyle w:val="21"/>
        <w:rPr>
          <w:highlight w:val="none"/>
        </w:rPr>
      </w:pPr>
    </w:p>
    <w:p>
      <w:pPr>
        <w:jc w:val="center"/>
        <w:outlineLvl w:val="0"/>
        <w:rPr>
          <w:rFonts w:ascii="仿宋" w:hAnsi="仿宋" w:eastAsia="仿宋" w:cs="仿宋"/>
          <w:b/>
          <w:sz w:val="52"/>
          <w:szCs w:val="52"/>
          <w:highlight w:val="none"/>
        </w:rPr>
      </w:pPr>
      <w:bookmarkStart w:id="8" w:name="_Toc15118"/>
      <w:bookmarkStart w:id="9" w:name="_Toc30351"/>
      <w:r>
        <w:rPr>
          <w:rFonts w:hint="eastAsia" w:ascii="仿宋" w:hAnsi="仿宋" w:eastAsia="仿宋" w:cs="仿宋"/>
          <w:b/>
          <w:sz w:val="52"/>
          <w:szCs w:val="52"/>
          <w:highlight w:val="none"/>
        </w:rPr>
        <w:t>件</w:t>
      </w:r>
      <w:bookmarkEnd w:id="8"/>
      <w:bookmarkEnd w:id="9"/>
    </w:p>
    <w:p>
      <w:pPr>
        <w:pStyle w:val="12"/>
        <w:rPr>
          <w:rFonts w:ascii="仿宋" w:hAnsi="仿宋" w:eastAsia="仿宋" w:cs="仿宋"/>
          <w:b/>
          <w:bCs/>
          <w:color w:val="0000FF"/>
          <w:sz w:val="48"/>
          <w:szCs w:val="48"/>
          <w:highlight w:val="none"/>
          <w:u w:val="single"/>
        </w:rPr>
      </w:pPr>
    </w:p>
    <w:p>
      <w:pPr>
        <w:pStyle w:val="12"/>
        <w:rPr>
          <w:rFonts w:ascii="仿宋" w:hAnsi="仿宋" w:eastAsia="仿宋" w:cs="仿宋"/>
          <w:b/>
          <w:bCs/>
          <w:color w:val="0000FF"/>
          <w:sz w:val="48"/>
          <w:szCs w:val="48"/>
          <w:highlight w:val="none"/>
          <w:u w:val="single"/>
        </w:rPr>
      </w:pPr>
    </w:p>
    <w:p>
      <w:pPr>
        <w:pStyle w:val="12"/>
        <w:rPr>
          <w:rFonts w:ascii="仿宋" w:hAnsi="仿宋" w:eastAsia="仿宋" w:cs="仿宋"/>
          <w:b/>
          <w:bCs/>
          <w:color w:val="0000FF"/>
          <w:sz w:val="48"/>
          <w:szCs w:val="48"/>
          <w:highlight w:val="none"/>
          <w:u w:val="single"/>
        </w:rPr>
      </w:pPr>
    </w:p>
    <w:p>
      <w:pPr>
        <w:jc w:val="center"/>
        <w:outlineLvl w:val="0"/>
        <w:rPr>
          <w:rFonts w:ascii="仿宋" w:hAnsi="仿宋" w:eastAsia="仿宋" w:cs="仿宋"/>
          <w:b/>
          <w:bCs/>
          <w:sz w:val="44"/>
          <w:szCs w:val="44"/>
          <w:highlight w:val="none"/>
        </w:rPr>
      </w:pPr>
      <w:bookmarkStart w:id="10" w:name="_Toc21987"/>
      <w:bookmarkStart w:id="11" w:name="_Toc17477"/>
      <w:r>
        <w:rPr>
          <w:rFonts w:hint="eastAsia" w:ascii="仿宋" w:hAnsi="仿宋" w:eastAsia="仿宋" w:cs="仿宋"/>
          <w:b/>
          <w:bCs/>
          <w:sz w:val="44"/>
          <w:szCs w:val="44"/>
          <w:highlight w:val="none"/>
          <w:lang w:eastAsia="zh-CN"/>
        </w:rPr>
        <w:t>询价人</w:t>
      </w:r>
      <w:r>
        <w:rPr>
          <w:rFonts w:hint="eastAsia" w:ascii="仿宋" w:hAnsi="仿宋" w:eastAsia="仿宋" w:cs="仿宋"/>
          <w:b/>
          <w:bCs/>
          <w:sz w:val="44"/>
          <w:szCs w:val="44"/>
          <w:highlight w:val="none"/>
        </w:rPr>
        <w:t>：杭州市能源集团工程科技有限公司</w:t>
      </w:r>
      <w:bookmarkEnd w:id="10"/>
      <w:bookmarkEnd w:id="11"/>
    </w:p>
    <w:p>
      <w:pPr>
        <w:jc w:val="center"/>
        <w:rPr>
          <w:rFonts w:ascii="仿宋" w:hAnsi="仿宋" w:eastAsia="仿宋" w:cs="仿宋"/>
          <w:b/>
          <w:bCs/>
          <w:color w:val="0000FF"/>
          <w:sz w:val="44"/>
          <w:szCs w:val="44"/>
          <w:highlight w:val="none"/>
        </w:rPr>
      </w:pPr>
      <w:r>
        <w:rPr>
          <w:rFonts w:hint="eastAsia" w:ascii="仿宋" w:hAnsi="仿宋" w:eastAsia="仿宋" w:cs="仿宋"/>
          <w:b/>
          <w:bCs/>
          <w:sz w:val="44"/>
          <w:szCs w:val="44"/>
          <w:highlight w:val="none"/>
          <w:lang w:val="en-US" w:eastAsia="zh-CN"/>
        </w:rPr>
        <w:t>2024</w:t>
      </w:r>
      <w:r>
        <w:rPr>
          <w:rFonts w:hint="eastAsia" w:ascii="仿宋" w:hAnsi="仿宋" w:eastAsia="仿宋" w:cs="仿宋"/>
          <w:b/>
          <w:bCs/>
          <w:sz w:val="44"/>
          <w:szCs w:val="44"/>
          <w:highlight w:val="none"/>
        </w:rPr>
        <w:t>年</w:t>
      </w:r>
      <w:r>
        <w:rPr>
          <w:rFonts w:hint="eastAsia" w:ascii="仿宋" w:hAnsi="仿宋" w:eastAsia="仿宋" w:cs="仿宋"/>
          <w:b/>
          <w:bCs/>
          <w:sz w:val="44"/>
          <w:szCs w:val="44"/>
          <w:highlight w:val="none"/>
          <w:lang w:val="en-US" w:eastAsia="zh-CN"/>
        </w:rPr>
        <w:t>5</w:t>
      </w:r>
      <w:r>
        <w:rPr>
          <w:rFonts w:hint="eastAsia" w:ascii="仿宋" w:hAnsi="仿宋" w:eastAsia="仿宋" w:cs="仿宋"/>
          <w:b/>
          <w:bCs/>
          <w:color w:val="0000FF"/>
          <w:sz w:val="44"/>
          <w:szCs w:val="44"/>
          <w:highlight w:val="none"/>
        </w:rPr>
        <w:t>月</w:t>
      </w:r>
      <w:r>
        <w:rPr>
          <w:rFonts w:hint="eastAsia" w:ascii="仿宋" w:hAnsi="仿宋" w:eastAsia="仿宋" w:cs="仿宋"/>
          <w:b/>
          <w:bCs/>
          <w:color w:val="0000FF"/>
          <w:sz w:val="44"/>
          <w:szCs w:val="44"/>
          <w:highlight w:val="none"/>
          <w:lang w:val="en-US" w:eastAsia="zh-CN"/>
        </w:rPr>
        <w:t>25</w:t>
      </w:r>
      <w:r>
        <w:rPr>
          <w:rFonts w:hint="eastAsia" w:ascii="仿宋" w:hAnsi="仿宋" w:eastAsia="仿宋" w:cs="仿宋"/>
          <w:b/>
          <w:bCs/>
          <w:color w:val="0000FF"/>
          <w:sz w:val="44"/>
          <w:szCs w:val="44"/>
          <w:highlight w:val="none"/>
        </w:rPr>
        <w:t>日</w:t>
      </w:r>
    </w:p>
    <w:p>
      <w:pPr>
        <w:rPr>
          <w:rStyle w:val="27"/>
          <w:rFonts w:hint="eastAsia" w:ascii="仿宋" w:hAnsi="仿宋" w:eastAsia="仿宋" w:cs="仿宋"/>
          <w:b/>
          <w:color w:val="000000"/>
          <w:sz w:val="36"/>
          <w:szCs w:val="36"/>
          <w:highlight w:val="none"/>
        </w:rPr>
      </w:pPr>
      <w:r>
        <w:rPr>
          <w:rFonts w:hint="eastAsia" w:ascii="仿宋" w:hAnsi="仿宋" w:eastAsia="仿宋" w:cs="仿宋"/>
          <w:sz w:val="44"/>
          <w:szCs w:val="44"/>
          <w:highlight w:val="none"/>
        </w:rPr>
        <w:br w:type="page"/>
      </w:r>
      <w:bookmarkStart w:id="12" w:name="_Toc24043"/>
      <w:bookmarkStart w:id="13" w:name="_Toc18742"/>
      <w:bookmarkStart w:id="14" w:name="_Toc10940"/>
    </w:p>
    <w:p>
      <w:pPr>
        <w:numPr>
          <w:ilvl w:val="0"/>
          <w:numId w:val="2"/>
        </w:numPr>
        <w:jc w:val="center"/>
        <w:outlineLvl w:val="0"/>
        <w:rPr>
          <w:rStyle w:val="27"/>
          <w:rFonts w:hint="eastAsia" w:ascii="仿宋" w:hAnsi="仿宋" w:eastAsia="仿宋" w:cs="仿宋"/>
          <w:b/>
          <w:color w:val="000000"/>
          <w:sz w:val="44"/>
          <w:szCs w:val="44"/>
          <w:highlight w:val="none"/>
        </w:rPr>
      </w:pPr>
      <w:r>
        <w:rPr>
          <w:rStyle w:val="27"/>
          <w:rFonts w:hint="eastAsia" w:ascii="仿宋" w:hAnsi="仿宋" w:eastAsia="仿宋" w:cs="仿宋"/>
          <w:b/>
          <w:color w:val="000000"/>
          <w:sz w:val="44"/>
          <w:szCs w:val="44"/>
          <w:highlight w:val="none"/>
        </w:rPr>
        <w:t>询价公告</w:t>
      </w:r>
      <w:bookmarkEnd w:id="12"/>
      <w:bookmarkEnd w:id="13"/>
      <w:bookmarkEnd w:id="14"/>
    </w:p>
    <w:p>
      <w:pPr>
        <w:keepNext w:val="0"/>
        <w:keepLines w:val="0"/>
        <w:pageBreakBefore w:val="0"/>
        <w:kinsoku/>
        <w:overflowPunct/>
        <w:topLinePunct/>
        <w:autoSpaceDE/>
        <w:autoSpaceDN/>
        <w:bidi w:val="0"/>
        <w:adjustRightInd/>
        <w:spacing w:line="360" w:lineRule="auto"/>
        <w:ind w:firstLine="480" w:firstLineChars="200"/>
        <w:textAlignment w:val="auto"/>
        <w:rPr>
          <w:sz w:val="24"/>
          <w:szCs w:val="24"/>
          <w:highlight w:val="none"/>
        </w:rPr>
      </w:pPr>
      <w:r>
        <w:rPr>
          <w:rFonts w:hint="eastAsia" w:ascii="仿宋" w:hAnsi="仿宋" w:eastAsia="仿宋" w:cs="仿宋"/>
          <w:sz w:val="24"/>
          <w:szCs w:val="24"/>
          <w:highlight w:val="none"/>
          <w:lang w:eastAsia="zh-CN"/>
        </w:rPr>
        <w:t>杭州市能源集团工程科技有限公司</w:t>
      </w:r>
      <w:r>
        <w:rPr>
          <w:rFonts w:hint="eastAsia" w:ascii="仿宋" w:hAnsi="仿宋" w:eastAsia="仿宋" w:cs="仿宋"/>
          <w:sz w:val="24"/>
          <w:szCs w:val="24"/>
          <w:highlight w:val="none"/>
        </w:rPr>
        <w:t>就</w:t>
      </w:r>
      <w:r>
        <w:rPr>
          <w:rFonts w:hint="eastAsia" w:ascii="仿宋" w:hAnsi="仿宋" w:eastAsia="仿宋" w:cs="仿宋"/>
          <w:sz w:val="24"/>
          <w:szCs w:val="24"/>
          <w:highlight w:val="none"/>
          <w:u w:val="single"/>
          <w:lang w:val="en-US" w:eastAsia="zh-CN"/>
        </w:rPr>
        <w:t xml:space="preserve">    临安清凉峰、火车东站东广场等工程充电桩采购项目   </w:t>
      </w:r>
      <w:r>
        <w:rPr>
          <w:rFonts w:hint="eastAsia" w:ascii="仿宋" w:hAnsi="仿宋" w:eastAsia="仿宋" w:cs="仿宋"/>
          <w:sz w:val="24"/>
          <w:szCs w:val="24"/>
          <w:highlight w:val="none"/>
        </w:rPr>
        <w:t>进行公开</w:t>
      </w:r>
      <w:r>
        <w:rPr>
          <w:rFonts w:hint="eastAsia" w:ascii="仿宋" w:hAnsi="仿宋" w:eastAsia="仿宋" w:cs="仿宋"/>
          <w:sz w:val="24"/>
          <w:szCs w:val="24"/>
          <w:highlight w:val="none"/>
          <w:lang w:eastAsia="zh-CN"/>
        </w:rPr>
        <w:t>询价</w:t>
      </w:r>
      <w:r>
        <w:rPr>
          <w:rFonts w:hint="eastAsia" w:ascii="仿宋" w:hAnsi="仿宋" w:eastAsia="仿宋" w:cs="仿宋"/>
          <w:sz w:val="24"/>
          <w:szCs w:val="24"/>
          <w:highlight w:val="none"/>
        </w:rPr>
        <w:t>，欢迎符合资格条件的</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前来</w:t>
      </w:r>
      <w:r>
        <w:rPr>
          <w:rFonts w:hint="eastAsia" w:ascii="仿宋" w:hAnsi="仿宋" w:eastAsia="仿宋" w:cs="仿宋"/>
          <w:sz w:val="24"/>
          <w:szCs w:val="24"/>
          <w:highlight w:val="none"/>
          <w:lang w:val="en-US" w:eastAsia="zh-CN"/>
        </w:rPr>
        <w:t>报价</w:t>
      </w:r>
      <w:r>
        <w:rPr>
          <w:rFonts w:hint="eastAsia" w:ascii="仿宋" w:hAnsi="仿宋" w:eastAsia="仿宋" w:cs="仿宋"/>
          <w:sz w:val="24"/>
          <w:szCs w:val="24"/>
          <w:highlight w:val="none"/>
        </w:rPr>
        <w:t>。</w:t>
      </w:r>
    </w:p>
    <w:p>
      <w:pPr>
        <w:keepNext w:val="0"/>
        <w:keepLines w:val="0"/>
        <w:pageBreakBefore w:val="0"/>
        <w:kinsoku/>
        <w:wordWrap/>
        <w:overflowPunct/>
        <w:topLinePunct w:val="0"/>
        <w:autoSpaceDE/>
        <w:autoSpaceDN/>
        <w:bidi w:val="0"/>
        <w:adjustRightInd/>
        <w:spacing w:line="360" w:lineRule="auto"/>
        <w:textAlignment w:val="auto"/>
        <w:rPr>
          <w:rStyle w:val="27"/>
          <w:rFonts w:hint="eastAsia" w:ascii="仿宋" w:hAnsi="仿宋" w:eastAsia="仿宋" w:cs="仿宋"/>
          <w:color w:val="000000"/>
          <w:sz w:val="24"/>
          <w:szCs w:val="24"/>
          <w:highlight w:val="none"/>
          <w:u w:val="none"/>
          <w:lang w:eastAsia="zh-CN"/>
        </w:rPr>
      </w:pPr>
      <w:r>
        <w:rPr>
          <w:rFonts w:hint="eastAsia" w:ascii="仿宋" w:hAnsi="仿宋" w:eastAsia="仿宋" w:cs="仿宋"/>
          <w:b/>
          <w:kern w:val="2"/>
          <w:sz w:val="24"/>
          <w:szCs w:val="24"/>
          <w:highlight w:val="none"/>
          <w:lang w:val="en-US" w:eastAsia="zh-CN" w:bidi="ar-SA"/>
        </w:rPr>
        <w:t>一、</w:t>
      </w:r>
      <w:r>
        <w:rPr>
          <w:rStyle w:val="25"/>
          <w:rFonts w:hint="eastAsia" w:ascii="仿宋" w:hAnsi="仿宋" w:eastAsia="仿宋" w:cs="仿宋"/>
          <w:color w:val="000000"/>
          <w:kern w:val="0"/>
          <w:sz w:val="24"/>
          <w:szCs w:val="24"/>
          <w:highlight w:val="none"/>
        </w:rPr>
        <w:t>项目名称</w:t>
      </w:r>
      <w:r>
        <w:rPr>
          <w:rStyle w:val="27"/>
          <w:rFonts w:hint="eastAsia" w:ascii="仿宋" w:hAnsi="仿宋" w:eastAsia="仿宋" w:cs="仿宋"/>
          <w:color w:val="000000"/>
          <w:sz w:val="24"/>
          <w:szCs w:val="24"/>
          <w:highlight w:val="none"/>
        </w:rPr>
        <w:t>：</w:t>
      </w:r>
      <w:r>
        <w:rPr>
          <w:rFonts w:hint="eastAsia" w:ascii="仿宋" w:hAnsi="仿宋" w:eastAsia="仿宋" w:cs="仿宋"/>
          <w:sz w:val="24"/>
          <w:szCs w:val="24"/>
          <w:highlight w:val="none"/>
          <w:lang w:val="en-US" w:eastAsia="zh-CN"/>
        </w:rPr>
        <w:t>临安清凉峰、火车东站东广场等工程充电桩采购项目</w:t>
      </w:r>
    </w:p>
    <w:p>
      <w:pPr>
        <w:keepNext w:val="0"/>
        <w:keepLines w:val="0"/>
        <w:pageBreakBefore w:val="0"/>
        <w:kinsoku/>
        <w:wordWrap/>
        <w:overflowPunct/>
        <w:topLinePunct w:val="0"/>
        <w:autoSpaceDE/>
        <w:autoSpaceDN/>
        <w:bidi w:val="0"/>
        <w:adjustRightInd/>
        <w:spacing w:line="360" w:lineRule="auto"/>
        <w:textAlignment w:val="auto"/>
        <w:rPr>
          <w:rFonts w:hint="default" w:ascii="仿宋" w:hAnsi="仿宋" w:eastAsia="仿宋" w:cs="仿宋"/>
          <w:sz w:val="24"/>
          <w:szCs w:val="24"/>
          <w:highlight w:val="none"/>
          <w:u w:val="none"/>
          <w:lang w:val="en-US" w:eastAsia="zh-CN"/>
        </w:rPr>
      </w:pPr>
      <w:r>
        <w:rPr>
          <w:rFonts w:hint="eastAsia" w:ascii="仿宋" w:hAnsi="仿宋" w:eastAsia="仿宋" w:cs="仿宋"/>
          <w:b/>
          <w:kern w:val="2"/>
          <w:sz w:val="24"/>
          <w:szCs w:val="24"/>
          <w:highlight w:val="none"/>
          <w:lang w:val="en-US" w:eastAsia="zh-CN" w:bidi="ar-SA"/>
        </w:rPr>
        <w:t>二、</w:t>
      </w:r>
      <w:r>
        <w:rPr>
          <w:rStyle w:val="25"/>
          <w:rFonts w:hint="eastAsia" w:ascii="仿宋" w:hAnsi="仿宋" w:eastAsia="仿宋" w:cs="仿宋"/>
          <w:color w:val="000000"/>
          <w:kern w:val="0"/>
          <w:sz w:val="24"/>
          <w:szCs w:val="24"/>
          <w:highlight w:val="none"/>
          <w:lang w:val="en-US" w:eastAsia="zh-CN" w:bidi="ar-SA"/>
        </w:rPr>
        <w:t>项目编号</w:t>
      </w:r>
      <w:r>
        <w:rPr>
          <w:rFonts w:hint="eastAsia" w:ascii="仿宋" w:hAnsi="仿宋" w:eastAsia="仿宋" w:cs="仿宋"/>
          <w:sz w:val="24"/>
          <w:szCs w:val="24"/>
          <w:highlight w:val="none"/>
          <w:u w:val="none"/>
          <w:lang w:val="en-US" w:eastAsia="zh-CN"/>
        </w:rPr>
        <w:t>：GKXJ202405007</w:t>
      </w:r>
    </w:p>
    <w:p>
      <w:pPr>
        <w:pStyle w:val="20"/>
        <w:keepNext w:val="0"/>
        <w:keepLines w:val="0"/>
        <w:pageBreakBefore w:val="0"/>
        <w:widowControl/>
        <w:kinsoku/>
        <w:wordWrap/>
        <w:overflowPunct/>
        <w:topLinePunct w:val="0"/>
        <w:autoSpaceDE/>
        <w:autoSpaceDN/>
        <w:bidi w:val="0"/>
        <w:adjustRightInd/>
        <w:snapToGrid w:val="0"/>
        <w:spacing w:beforeAutospacing="0" w:afterAutospacing="0" w:line="360" w:lineRule="auto"/>
        <w:textAlignment w:val="auto"/>
        <w:rPr>
          <w:rStyle w:val="27"/>
          <w:rFonts w:ascii="仿宋" w:hAnsi="仿宋" w:eastAsia="仿宋" w:cs="仿宋"/>
          <w:color w:val="000000"/>
          <w:sz w:val="24"/>
          <w:szCs w:val="24"/>
          <w:highlight w:val="none"/>
        </w:rPr>
      </w:pPr>
      <w:r>
        <w:rPr>
          <w:rFonts w:hint="eastAsia" w:ascii="仿宋" w:hAnsi="仿宋" w:eastAsia="仿宋" w:cs="仿宋"/>
          <w:b/>
          <w:kern w:val="2"/>
          <w:sz w:val="24"/>
          <w:szCs w:val="24"/>
          <w:highlight w:val="none"/>
          <w:lang w:val="en-US" w:eastAsia="zh-CN" w:bidi="ar-SA"/>
        </w:rPr>
        <w:t>三、</w:t>
      </w:r>
      <w:r>
        <w:rPr>
          <w:rStyle w:val="25"/>
          <w:rFonts w:hint="eastAsia" w:ascii="仿宋" w:hAnsi="仿宋" w:eastAsia="仿宋" w:cs="仿宋"/>
          <w:color w:val="000000"/>
          <w:sz w:val="24"/>
          <w:szCs w:val="24"/>
          <w:highlight w:val="none"/>
        </w:rPr>
        <w:t>采购方式</w:t>
      </w:r>
      <w:r>
        <w:rPr>
          <w:rStyle w:val="27"/>
          <w:rFonts w:hint="eastAsia" w:ascii="仿宋" w:hAnsi="仿宋" w:eastAsia="仿宋" w:cs="仿宋"/>
          <w:color w:val="000000"/>
          <w:sz w:val="24"/>
          <w:szCs w:val="24"/>
          <w:highlight w:val="none"/>
        </w:rPr>
        <w:t>：公开询价</w:t>
      </w:r>
    </w:p>
    <w:p>
      <w:pPr>
        <w:pStyle w:val="20"/>
        <w:keepNext w:val="0"/>
        <w:keepLines w:val="0"/>
        <w:pageBreakBefore w:val="0"/>
        <w:widowControl/>
        <w:kinsoku/>
        <w:wordWrap/>
        <w:overflowPunct/>
        <w:topLinePunct w:val="0"/>
        <w:autoSpaceDE/>
        <w:autoSpaceDN/>
        <w:bidi w:val="0"/>
        <w:adjustRightInd/>
        <w:snapToGrid w:val="0"/>
        <w:spacing w:beforeAutospacing="0" w:afterAutospacing="0" w:line="360" w:lineRule="auto"/>
        <w:textAlignment w:val="auto"/>
        <w:rPr>
          <w:rStyle w:val="25"/>
          <w:rFonts w:hint="eastAsia" w:ascii="仿宋" w:hAnsi="仿宋" w:eastAsia="仿宋" w:cs="仿宋"/>
          <w:color w:val="000000"/>
          <w:sz w:val="24"/>
          <w:szCs w:val="24"/>
          <w:highlight w:val="none"/>
          <w:lang w:eastAsia="zh-CN"/>
        </w:rPr>
      </w:pPr>
      <w:bookmarkStart w:id="15" w:name="_Toc5187"/>
      <w:bookmarkStart w:id="16" w:name="_Toc16380"/>
      <w:r>
        <w:rPr>
          <w:rFonts w:hint="eastAsia" w:ascii="仿宋" w:hAnsi="仿宋" w:eastAsia="仿宋" w:cs="仿宋"/>
          <w:b/>
          <w:kern w:val="2"/>
          <w:sz w:val="24"/>
          <w:szCs w:val="24"/>
          <w:highlight w:val="none"/>
          <w:lang w:val="en-US" w:eastAsia="zh-CN" w:bidi="ar-SA"/>
        </w:rPr>
        <w:t>四、</w:t>
      </w:r>
      <w:bookmarkEnd w:id="15"/>
      <w:bookmarkEnd w:id="16"/>
      <w:r>
        <w:rPr>
          <w:rFonts w:hint="eastAsia" w:ascii="仿宋" w:hAnsi="仿宋" w:eastAsia="仿宋" w:cs="仿宋"/>
          <w:b/>
          <w:bCs/>
          <w:sz w:val="24"/>
          <w:szCs w:val="24"/>
          <w:highlight w:val="none"/>
        </w:rPr>
        <w:t>采购项目概况（内容、用途、数量、简要技术要求等）</w:t>
      </w:r>
      <w:r>
        <w:rPr>
          <w:rStyle w:val="25"/>
          <w:rFonts w:hint="eastAsia" w:ascii="仿宋" w:hAnsi="仿宋" w:eastAsia="仿宋" w:cs="仿宋"/>
          <w:color w:val="000000"/>
          <w:sz w:val="24"/>
          <w:szCs w:val="24"/>
          <w:highlight w:val="none"/>
          <w:lang w:eastAsia="zh-CN"/>
        </w:rPr>
        <w:t>：</w:t>
      </w: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highlight w:val="none"/>
          <w:lang w:val="en-US" w:eastAsia="zh-CN"/>
        </w:rPr>
      </w:pPr>
      <w:bookmarkStart w:id="17" w:name="_Toc1427"/>
      <w:bookmarkStart w:id="18" w:name="_Toc11175"/>
      <w:bookmarkStart w:id="19" w:name="_Toc10372"/>
      <w:r>
        <w:rPr>
          <w:rFonts w:hint="eastAsia" w:ascii="仿宋" w:hAnsi="仿宋" w:eastAsia="仿宋" w:cs="仿宋"/>
          <w:b w:val="0"/>
          <w:bCs w:val="0"/>
          <w:sz w:val="24"/>
          <w:szCs w:val="24"/>
          <w:highlight w:val="none"/>
          <w:lang w:val="en-US" w:eastAsia="zh-CN"/>
        </w:rPr>
        <w:t>1、采购概况：为确保</w:t>
      </w:r>
      <w:r>
        <w:rPr>
          <w:rFonts w:hint="eastAsia" w:ascii="仿宋" w:hAnsi="仿宋" w:eastAsia="仿宋" w:cs="仿宋"/>
          <w:highlight w:val="none"/>
          <w:lang w:eastAsia="zh-CN"/>
        </w:rPr>
        <w:t>杭州市能源集团工程科技有限公司</w:t>
      </w:r>
      <w:r>
        <w:rPr>
          <w:rFonts w:hint="eastAsia" w:ascii="仿宋" w:hAnsi="仿宋" w:eastAsia="仿宋" w:cs="仿宋"/>
          <w:highlight w:val="none"/>
          <w:lang w:val="en-US" w:eastAsia="zh-CN"/>
        </w:rPr>
        <w:t>承接的</w:t>
      </w:r>
      <w:r>
        <w:rPr>
          <w:rFonts w:hint="eastAsia" w:ascii="仿宋" w:hAnsi="仿宋" w:eastAsia="仿宋" w:cs="仿宋"/>
          <w:sz w:val="24"/>
          <w:szCs w:val="24"/>
          <w:highlight w:val="none"/>
          <w:lang w:val="en-US" w:eastAsia="zh-CN"/>
        </w:rPr>
        <w:t>临安清凉峰、火车东站东广场等工程</w:t>
      </w:r>
      <w:r>
        <w:rPr>
          <w:rFonts w:hint="eastAsia" w:ascii="仿宋" w:hAnsi="仿宋" w:eastAsia="仿宋" w:cs="仿宋"/>
          <w:highlight w:val="none"/>
          <w:lang w:val="en-US" w:eastAsia="zh-CN"/>
        </w:rPr>
        <w:t>的施工</w:t>
      </w:r>
      <w:r>
        <w:rPr>
          <w:rFonts w:hint="eastAsia" w:ascii="仿宋" w:hAnsi="仿宋" w:eastAsia="仿宋" w:cs="仿宋"/>
          <w:sz w:val="24"/>
          <w:szCs w:val="24"/>
          <w:highlight w:val="none"/>
          <w:lang w:val="en-US" w:eastAsia="zh-CN"/>
        </w:rPr>
        <w:t>质量、保障施工进度</w:t>
      </w:r>
      <w:r>
        <w:rPr>
          <w:rFonts w:hint="eastAsia" w:ascii="仿宋" w:hAnsi="仿宋" w:eastAsia="仿宋" w:cs="仿宋"/>
          <w:highlight w:val="none"/>
          <w:lang w:eastAsia="zh-CN"/>
        </w:rPr>
        <w:t>，</w:t>
      </w:r>
      <w:r>
        <w:rPr>
          <w:rFonts w:hint="eastAsia" w:ascii="仿宋" w:hAnsi="仿宋" w:eastAsia="仿宋" w:cs="仿宋"/>
          <w:highlight w:val="none"/>
          <w:lang w:val="en-US" w:eastAsia="zh-CN"/>
        </w:rPr>
        <w:t>现对</w:t>
      </w:r>
      <w:r>
        <w:rPr>
          <w:rFonts w:hint="eastAsia" w:ascii="仿宋" w:hAnsi="仿宋" w:eastAsia="仿宋" w:cs="仿宋"/>
          <w:sz w:val="24"/>
          <w:szCs w:val="24"/>
          <w:highlight w:val="none"/>
          <w:lang w:eastAsia="zh-CN"/>
        </w:rPr>
        <w:t>其所需充电桩</w:t>
      </w:r>
      <w:r>
        <w:rPr>
          <w:rFonts w:hint="eastAsia" w:ascii="仿宋" w:hAnsi="仿宋" w:eastAsia="仿宋" w:cs="仿宋"/>
          <w:sz w:val="24"/>
          <w:szCs w:val="24"/>
          <w:highlight w:val="none"/>
          <w:lang w:val="en-US" w:eastAsia="zh-CN"/>
        </w:rPr>
        <w:t>进行</w:t>
      </w:r>
      <w:r>
        <w:rPr>
          <w:rFonts w:hint="eastAsia" w:ascii="仿宋" w:hAnsi="仿宋" w:eastAsia="仿宋" w:cs="仿宋"/>
          <w:highlight w:val="none"/>
          <w:lang w:val="en-US" w:eastAsia="zh-CN"/>
        </w:rPr>
        <w:t>采购。</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2、采购内容：充电桩的</w:t>
      </w:r>
      <w:r>
        <w:rPr>
          <w:rFonts w:hint="eastAsia" w:ascii="仿宋" w:hAnsi="仿宋" w:eastAsia="仿宋" w:cs="仿宋"/>
          <w:sz w:val="24"/>
          <w:szCs w:val="24"/>
          <w:lang w:eastAsia="zh-CN"/>
        </w:rPr>
        <w:t>供货、运输、指导安装、</w:t>
      </w:r>
      <w:r>
        <w:rPr>
          <w:rFonts w:hint="eastAsia" w:ascii="仿宋" w:hAnsi="仿宋" w:eastAsia="仿宋" w:cs="仿宋"/>
          <w:sz w:val="24"/>
          <w:szCs w:val="24"/>
          <w:lang w:val="en-US" w:eastAsia="zh-CN"/>
        </w:rPr>
        <w:t>调试、试运行、</w:t>
      </w:r>
      <w:r>
        <w:rPr>
          <w:rFonts w:hint="eastAsia" w:ascii="仿宋" w:hAnsi="仿宋" w:eastAsia="仿宋" w:cs="仿宋"/>
          <w:sz w:val="24"/>
          <w:szCs w:val="24"/>
          <w:lang w:eastAsia="zh-CN"/>
        </w:rPr>
        <w:t>验收、售后及质保服务。</w:t>
      </w:r>
      <w:r>
        <w:rPr>
          <w:rFonts w:hint="eastAsia" w:ascii="仿宋" w:hAnsi="仿宋" w:eastAsia="仿宋" w:cs="仿宋"/>
          <w:sz w:val="24"/>
          <w:szCs w:val="24"/>
          <w:highlight w:val="none"/>
          <w:u w:val="none"/>
          <w:lang w:val="en-US" w:eastAsia="zh-CN"/>
        </w:rPr>
        <w:t>详见询价文件第二章“采购需求和技术要求”。</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lang w:val="en-US" w:eastAsia="zh-CN" w:bidi="ar-SA"/>
        </w:rPr>
        <w:t>3、最高含税总价限价：1604950</w:t>
      </w:r>
      <w:r>
        <w:rPr>
          <w:rFonts w:hint="eastAsia" w:ascii="仿宋" w:hAnsi="仿宋" w:eastAsia="仿宋" w:cs="仿宋"/>
          <w:kern w:val="0"/>
          <w:sz w:val="24"/>
          <w:szCs w:val="24"/>
          <w:highlight w:val="yellow"/>
          <w:lang w:val="en-US" w:eastAsia="zh-CN" w:bidi="ar-SA"/>
        </w:rPr>
        <w:t>元</w:t>
      </w:r>
      <w:r>
        <w:rPr>
          <w:rFonts w:hint="eastAsia" w:ascii="仿宋" w:hAnsi="仿宋" w:eastAsia="仿宋" w:cs="仿宋"/>
          <w:kern w:val="0"/>
          <w:sz w:val="24"/>
          <w:szCs w:val="24"/>
          <w:highlight w:val="none"/>
          <w:lang w:val="en-US" w:eastAsia="zh-CN" w:bidi="ar-SA"/>
        </w:rPr>
        <w:t>。</w:t>
      </w:r>
      <w:r>
        <w:rPr>
          <w:rFonts w:hint="eastAsia" w:ascii="仿宋" w:hAnsi="仿宋" w:eastAsia="仿宋" w:cs="仿宋"/>
          <w:b/>
          <w:bCs w:val="0"/>
          <w:kern w:val="0"/>
          <w:sz w:val="24"/>
          <w:szCs w:val="24"/>
          <w:highlight w:val="none"/>
        </w:rPr>
        <w:t>响应报价超过</w:t>
      </w:r>
      <w:r>
        <w:rPr>
          <w:rFonts w:hint="eastAsia" w:ascii="仿宋" w:hAnsi="仿宋" w:eastAsia="仿宋" w:cs="仿宋"/>
          <w:b/>
          <w:bCs w:val="0"/>
          <w:kern w:val="0"/>
          <w:sz w:val="24"/>
          <w:szCs w:val="24"/>
          <w:highlight w:val="none"/>
          <w:lang w:eastAsia="zh-CN"/>
        </w:rPr>
        <w:t>总价</w:t>
      </w:r>
      <w:r>
        <w:rPr>
          <w:rFonts w:hint="eastAsia" w:ascii="仿宋" w:hAnsi="仿宋" w:eastAsia="仿宋" w:cs="仿宋"/>
          <w:b/>
          <w:bCs w:val="0"/>
          <w:kern w:val="0"/>
          <w:sz w:val="24"/>
          <w:szCs w:val="24"/>
          <w:highlight w:val="none"/>
          <w:lang w:val="en-US" w:eastAsia="zh-CN" w:bidi="ar-SA"/>
        </w:rPr>
        <w:t>限价及单价限价</w:t>
      </w:r>
      <w:r>
        <w:rPr>
          <w:rFonts w:hint="eastAsia" w:ascii="仿宋" w:hAnsi="仿宋" w:eastAsia="仿宋" w:cs="仿宋"/>
          <w:b/>
          <w:bCs w:val="0"/>
          <w:kern w:val="0"/>
          <w:sz w:val="24"/>
          <w:szCs w:val="24"/>
          <w:highlight w:val="none"/>
        </w:rPr>
        <w:t>的按无效处理</w:t>
      </w:r>
      <w:r>
        <w:rPr>
          <w:rFonts w:hint="eastAsia" w:ascii="仿宋" w:hAnsi="仿宋" w:eastAsia="仿宋" w:cs="仿宋"/>
          <w:bCs/>
          <w:kern w:val="0"/>
          <w:sz w:val="24"/>
          <w:szCs w:val="24"/>
          <w:highlight w:val="none"/>
        </w:rPr>
        <w:t>。</w:t>
      </w:r>
    </w:p>
    <w:p>
      <w:pPr>
        <w:keepNext w:val="0"/>
        <w:keepLines w:val="0"/>
        <w:pageBreakBefore w:val="0"/>
        <w:kinsoku/>
        <w:overflowPunct/>
        <w:autoSpaceDE/>
        <w:autoSpaceDN/>
        <w:bidi w:val="0"/>
        <w:adjustRightInd/>
        <w:snapToGrid w:val="0"/>
        <w:spacing w:line="360" w:lineRule="auto"/>
        <w:textAlignment w:val="auto"/>
        <w:outlineLvl w:val="1"/>
        <w:rPr>
          <w:rStyle w:val="25"/>
          <w:rFonts w:ascii="仿宋" w:hAnsi="仿宋" w:eastAsia="仿宋" w:cs="仿宋"/>
          <w:color w:val="000000"/>
          <w:kern w:val="0"/>
          <w:sz w:val="24"/>
          <w:szCs w:val="24"/>
          <w:highlight w:val="none"/>
        </w:rPr>
      </w:pPr>
      <w:bookmarkStart w:id="20" w:name="_Toc1965"/>
      <w:r>
        <w:rPr>
          <w:rFonts w:hint="eastAsia" w:ascii="仿宋" w:hAnsi="仿宋" w:eastAsia="仿宋" w:cs="仿宋"/>
          <w:b/>
          <w:sz w:val="24"/>
          <w:szCs w:val="24"/>
          <w:highlight w:val="none"/>
          <w:lang w:eastAsia="zh-CN"/>
        </w:rPr>
        <w:t>五</w:t>
      </w:r>
      <w:r>
        <w:rPr>
          <w:rFonts w:hint="eastAsia" w:ascii="仿宋" w:hAnsi="仿宋" w:eastAsia="仿宋" w:cs="仿宋"/>
          <w:b/>
          <w:sz w:val="24"/>
          <w:szCs w:val="24"/>
          <w:highlight w:val="none"/>
        </w:rPr>
        <w:t>、</w:t>
      </w:r>
      <w:bookmarkEnd w:id="20"/>
      <w:bookmarkStart w:id="21" w:name="_Toc5881"/>
      <w:bookmarkStart w:id="22" w:name="_Toc11385"/>
      <w:r>
        <w:rPr>
          <w:rStyle w:val="25"/>
          <w:rFonts w:hint="eastAsia" w:ascii="仿宋" w:hAnsi="仿宋" w:eastAsia="仿宋" w:cs="仿宋"/>
          <w:color w:val="000000"/>
          <w:kern w:val="0"/>
          <w:sz w:val="24"/>
          <w:szCs w:val="24"/>
          <w:highlight w:val="none"/>
        </w:rPr>
        <w:t>供应商资格条件：</w:t>
      </w:r>
    </w:p>
    <w:p>
      <w:pPr>
        <w:keepNext w:val="0"/>
        <w:keepLines w:val="0"/>
        <w:pageBreakBefore w:val="0"/>
        <w:kinsoku/>
        <w:overflowPunct/>
        <w:autoSpaceDE/>
        <w:autoSpaceDN/>
        <w:bidi w:val="0"/>
        <w:adjustRightInd/>
        <w:snapToGrid w:val="0"/>
        <w:spacing w:line="360" w:lineRule="auto"/>
        <w:ind w:firstLine="480" w:firstLineChars="200"/>
        <w:textAlignment w:val="auto"/>
        <w:outlineLvl w:val="2"/>
        <w:rPr>
          <w:rFonts w:ascii="仿宋" w:hAnsi="仿宋" w:eastAsia="仿宋" w:cs="仿宋"/>
          <w:sz w:val="24"/>
          <w:szCs w:val="24"/>
          <w:highlight w:val="none"/>
        </w:rPr>
      </w:pPr>
      <w:bookmarkStart w:id="23" w:name="_Toc15144"/>
      <w:bookmarkStart w:id="24" w:name="_Toc30853"/>
      <w:r>
        <w:rPr>
          <w:rFonts w:hint="eastAsia" w:ascii="仿宋" w:hAnsi="仿宋" w:eastAsia="仿宋" w:cs="仿宋"/>
          <w:sz w:val="24"/>
          <w:szCs w:val="24"/>
          <w:highlight w:val="none"/>
        </w:rPr>
        <w:t>1、具有独立法人资格</w:t>
      </w:r>
      <w:bookmarkEnd w:id="23"/>
      <w:r>
        <w:rPr>
          <w:rFonts w:hint="eastAsia" w:ascii="仿宋" w:hAnsi="仿宋" w:eastAsia="仿宋" w:cs="仿宋"/>
          <w:sz w:val="24"/>
          <w:szCs w:val="24"/>
          <w:highlight w:val="none"/>
        </w:rPr>
        <w:t>企业；</w:t>
      </w:r>
      <w:bookmarkEnd w:id="24"/>
    </w:p>
    <w:p>
      <w:pPr>
        <w:keepNext w:val="0"/>
        <w:keepLines w:val="0"/>
        <w:pageBreakBefore w:val="0"/>
        <w:kinsoku/>
        <w:overflowPunct/>
        <w:autoSpaceDE/>
        <w:autoSpaceDN/>
        <w:bidi w:val="0"/>
        <w:adjustRightInd/>
        <w:snapToGrid w:val="0"/>
        <w:spacing w:line="360" w:lineRule="auto"/>
        <w:ind w:firstLine="480" w:firstLineChars="200"/>
        <w:textAlignment w:val="auto"/>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、单位负责人为同一人或者存在直接控股、管理关系的不同单位，不得同时参加本项目应价。（以开启当天询价人</w:t>
      </w:r>
      <w:r>
        <w:rPr>
          <w:rFonts w:hint="eastAsia" w:ascii="仿宋" w:hAnsi="仿宋" w:eastAsia="仿宋" w:cs="仿宋"/>
          <w:sz w:val="24"/>
          <w:szCs w:val="24"/>
          <w:highlight w:val="none"/>
          <w:lang w:val="zh-TW" w:eastAsia="zh-TW"/>
        </w:rPr>
        <w:t>通过</w:t>
      </w:r>
      <w:r>
        <w:rPr>
          <w:rFonts w:hint="eastAsia" w:ascii="仿宋" w:hAnsi="仿宋" w:eastAsia="仿宋" w:cs="仿宋"/>
          <w:sz w:val="24"/>
          <w:szCs w:val="24"/>
          <w:highlight w:val="none"/>
        </w:rPr>
        <w:t>“天眼查”网站查询结果为准）；</w:t>
      </w:r>
    </w:p>
    <w:p>
      <w:pPr>
        <w:keepNext w:val="0"/>
        <w:keepLines w:val="0"/>
        <w:pageBreakBefore w:val="0"/>
        <w:kinsoku/>
        <w:wordWrap w:val="0"/>
        <w:overflowPunct/>
        <w:autoSpaceDE/>
        <w:autoSpaceDN/>
        <w:bidi w:val="0"/>
        <w:adjustRightInd/>
        <w:spacing w:line="360" w:lineRule="auto"/>
        <w:ind w:firstLine="480" w:firstLineChars="200"/>
        <w:textAlignment w:val="auto"/>
        <w:outlineLvl w:val="1"/>
        <w:rPr>
          <w:rFonts w:hint="eastAsia" w:ascii="仿宋" w:hAnsi="仿宋" w:eastAsia="仿宋" w:cs="仿宋"/>
          <w:sz w:val="24"/>
          <w:szCs w:val="24"/>
          <w:highlight w:val="none"/>
        </w:rPr>
      </w:pPr>
      <w:bookmarkStart w:id="25" w:name="_Toc27642"/>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、不接受联合体应价。</w:t>
      </w:r>
      <w:bookmarkEnd w:id="25"/>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outlineLvl w:val="2"/>
        <w:rPr>
          <w:rFonts w:hint="eastAsia" w:ascii="仿宋" w:hAnsi="仿宋" w:eastAsia="仿宋" w:cs="仿宋"/>
          <w:sz w:val="24"/>
          <w:szCs w:val="24"/>
          <w:highlight w:val="none"/>
        </w:rPr>
      </w:pPr>
      <w:r>
        <w:rPr>
          <w:rFonts w:hint="eastAsia" w:ascii="仿宋" w:hAnsi="仿宋" w:eastAsia="仿宋" w:cs="仿宋"/>
          <w:sz w:val="24"/>
          <w:lang w:val="en-US" w:eastAsia="zh-CN"/>
        </w:rPr>
        <w:t>4、经销商或代理商参与报价的，需提供厂家的授权书。</w:t>
      </w:r>
    </w:p>
    <w:p>
      <w:pPr>
        <w:keepNext w:val="0"/>
        <w:keepLines w:val="0"/>
        <w:pageBreakBefore w:val="0"/>
        <w:kinsoku/>
        <w:wordWrap w:val="0"/>
        <w:overflowPunct/>
        <w:autoSpaceDE/>
        <w:autoSpaceDN/>
        <w:bidi w:val="0"/>
        <w:adjustRightInd/>
        <w:spacing w:line="360" w:lineRule="auto"/>
        <w:textAlignment w:val="auto"/>
        <w:outlineLvl w:val="1"/>
        <w:rPr>
          <w:rFonts w:hint="eastAsia" w:ascii="仿宋" w:hAnsi="仿宋" w:eastAsia="仿宋" w:cs="仿宋"/>
          <w:b/>
          <w:bCs/>
          <w:sz w:val="24"/>
          <w:szCs w:val="24"/>
          <w:highlight w:val="none"/>
        </w:rPr>
      </w:pPr>
      <w:r>
        <w:rPr>
          <w:rFonts w:hint="eastAsia" w:ascii="仿宋" w:hAnsi="仿宋" w:eastAsia="仿宋" w:cs="仿宋"/>
          <w:b/>
          <w:bCs/>
          <w:color w:val="auto"/>
          <w:sz w:val="24"/>
          <w:szCs w:val="24"/>
          <w:highlight w:val="none"/>
          <w:lang w:val="en-US" w:eastAsia="zh-CN"/>
        </w:rPr>
        <w:t>六、报价要求：</w:t>
      </w:r>
    </w:p>
    <w:p>
      <w:pPr>
        <w:keepNext w:val="0"/>
        <w:keepLines w:val="0"/>
        <w:pageBreakBefore w:val="0"/>
        <w:kinsoku/>
        <w:wordWrap w:val="0"/>
        <w:overflowPunct/>
        <w:topLinePunct w:val="0"/>
        <w:bidi w:val="0"/>
        <w:snapToGrid w:val="0"/>
        <w:spacing w:line="360" w:lineRule="auto"/>
        <w:ind w:firstLine="480" w:firstLineChars="200"/>
        <w:textAlignment w:val="auto"/>
        <w:outlineLvl w:val="9"/>
        <w:rPr>
          <w:rFonts w:hint="eastAsia" w:ascii="仿宋" w:hAnsi="仿宋" w:eastAsia="仿宋" w:cs="仿宋"/>
          <w:sz w:val="24"/>
          <w:szCs w:val="24"/>
          <w:highlight w:val="none"/>
          <w:lang w:eastAsia="zh-CN"/>
        </w:rPr>
      </w:pPr>
      <w:r>
        <w:rPr>
          <w:rFonts w:hint="eastAsia" w:ascii="仿宋" w:hAnsi="仿宋" w:eastAsia="仿宋" w:cs="仿宋"/>
          <w:b w:val="0"/>
          <w:bCs w:val="0"/>
          <w:sz w:val="24"/>
          <w:szCs w:val="24"/>
          <w:highlight w:val="none"/>
          <w:lang w:val="en-US" w:eastAsia="zh-CN"/>
        </w:rPr>
        <w:t>1、</w:t>
      </w:r>
      <w:r>
        <w:rPr>
          <w:rFonts w:hint="eastAsia" w:ascii="仿宋" w:hAnsi="仿宋" w:eastAsia="仿宋" w:cs="仿宋"/>
          <w:sz w:val="24"/>
          <w:szCs w:val="24"/>
          <w:highlight w:val="none"/>
        </w:rPr>
        <w:t>人民币报价</w:t>
      </w:r>
      <w:r>
        <w:rPr>
          <w:rFonts w:hint="eastAsia" w:ascii="仿宋" w:hAnsi="仿宋" w:eastAsia="仿宋" w:cs="仿宋"/>
          <w:sz w:val="24"/>
          <w:szCs w:val="24"/>
          <w:highlight w:val="none"/>
          <w:lang w:eastAsia="zh-CN"/>
        </w:rPr>
        <w:t>。</w:t>
      </w:r>
    </w:p>
    <w:p>
      <w:pPr>
        <w:keepNext w:val="0"/>
        <w:keepLines w:val="0"/>
        <w:pageBreakBefore w:val="0"/>
        <w:kinsoku/>
        <w:overflowPunct/>
        <w:topLinePunct w:val="0"/>
        <w:autoSpaceDE/>
        <w:autoSpaceDN/>
        <w:bidi w:val="0"/>
        <w:adjustRightInd/>
        <w:snapToGrid/>
        <w:spacing w:line="360" w:lineRule="auto"/>
        <w:ind w:firstLine="480" w:firstLineChars="200"/>
        <w:textAlignment w:val="auto"/>
        <w:outlineLvl w:val="2"/>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rPr>
        <w:t>报价包括但不限于</w:t>
      </w:r>
      <w:r>
        <w:rPr>
          <w:rFonts w:hint="eastAsia" w:ascii="仿宋" w:hAnsi="仿宋" w:eastAsia="仿宋" w:cs="仿宋"/>
          <w:color w:val="auto"/>
          <w:sz w:val="24"/>
          <w:szCs w:val="24"/>
          <w:highlight w:val="none"/>
        </w:rPr>
        <w:t>货物（材料设备）费、包装</w:t>
      </w:r>
      <w:r>
        <w:rPr>
          <w:rFonts w:hint="eastAsia" w:ascii="仿宋" w:hAnsi="仿宋" w:eastAsia="仿宋" w:cs="仿宋"/>
          <w:color w:val="auto"/>
          <w:sz w:val="24"/>
          <w:szCs w:val="24"/>
          <w:highlight w:val="none"/>
          <w:lang w:val="en-US" w:eastAsia="zh-CN"/>
        </w:rPr>
        <w:t>费、</w:t>
      </w:r>
      <w:r>
        <w:rPr>
          <w:rFonts w:hint="eastAsia" w:ascii="仿宋" w:hAnsi="仿宋" w:eastAsia="仿宋" w:cs="仿宋"/>
          <w:color w:val="auto"/>
          <w:sz w:val="24"/>
          <w:szCs w:val="24"/>
          <w:highlight w:val="none"/>
        </w:rPr>
        <w:t>运输费、</w:t>
      </w:r>
      <w:r>
        <w:rPr>
          <w:rFonts w:hint="eastAsia" w:ascii="仿宋" w:hAnsi="仿宋" w:eastAsia="仿宋" w:cs="仿宋"/>
          <w:color w:val="auto"/>
          <w:sz w:val="24"/>
          <w:szCs w:val="24"/>
          <w:highlight w:val="none"/>
          <w:lang w:eastAsia="zh-CN"/>
        </w:rPr>
        <w:t>运输保险费、调试费、试运行费、</w:t>
      </w:r>
      <w:r>
        <w:rPr>
          <w:rFonts w:hint="eastAsia" w:ascii="仿宋" w:hAnsi="仿宋" w:eastAsia="仿宋" w:cs="仿宋"/>
          <w:color w:val="auto"/>
          <w:sz w:val="24"/>
          <w:szCs w:val="24"/>
          <w:highlight w:val="none"/>
        </w:rPr>
        <w:t>验收费、质保费（含质保期内技术服务、所需的备品备件及专用工具）、售后服务费、技术支持费、企业管理费、利润、税金</w:t>
      </w:r>
      <w:r>
        <w:rPr>
          <w:rFonts w:hint="eastAsia" w:ascii="仿宋" w:hAnsi="仿宋" w:eastAsia="仿宋" w:cs="仿宋"/>
          <w:sz w:val="24"/>
          <w:szCs w:val="24"/>
        </w:rPr>
        <w:t>等完成本项目所需的全部费用。</w:t>
      </w:r>
      <w:r>
        <w:rPr>
          <w:rFonts w:hint="eastAsia" w:ascii="仿宋" w:hAnsi="仿宋" w:eastAsia="仿宋" w:cs="仿宋"/>
          <w:sz w:val="24"/>
          <w:szCs w:val="24"/>
          <w:highlight w:val="none"/>
          <w:lang w:eastAsia="zh-CN"/>
        </w:rPr>
        <w:t>应价人</w:t>
      </w:r>
      <w:r>
        <w:rPr>
          <w:rFonts w:hint="eastAsia" w:ascii="仿宋" w:hAnsi="仿宋" w:eastAsia="仿宋" w:cs="仿宋"/>
          <w:sz w:val="24"/>
          <w:szCs w:val="24"/>
          <w:highlight w:val="none"/>
          <w:lang w:val="en-US" w:eastAsia="zh-CN"/>
        </w:rPr>
        <w:t>须</w:t>
      </w:r>
      <w:r>
        <w:rPr>
          <w:rFonts w:hint="eastAsia" w:ascii="仿宋" w:hAnsi="仿宋" w:eastAsia="仿宋" w:cs="仿宋"/>
          <w:sz w:val="24"/>
          <w:szCs w:val="24"/>
          <w:highlight w:val="none"/>
        </w:rPr>
        <w:t>按</w:t>
      </w:r>
      <w:r>
        <w:rPr>
          <w:rFonts w:hint="eastAsia" w:ascii="仿宋" w:hAnsi="仿宋" w:eastAsia="仿宋" w:cs="仿宋"/>
          <w:sz w:val="24"/>
          <w:szCs w:val="24"/>
          <w:highlight w:val="none"/>
          <w:lang w:val="en-US" w:eastAsia="zh-CN"/>
        </w:rPr>
        <w:t>报价</w:t>
      </w:r>
      <w:r>
        <w:rPr>
          <w:rFonts w:hint="eastAsia" w:ascii="仿宋" w:hAnsi="仿宋" w:eastAsia="仿宋" w:cs="仿宋"/>
          <w:sz w:val="24"/>
          <w:szCs w:val="24"/>
          <w:highlight w:val="none"/>
        </w:rPr>
        <w:t>函中的</w:t>
      </w:r>
      <w:r>
        <w:rPr>
          <w:rFonts w:hint="eastAsia" w:ascii="仿宋" w:hAnsi="仿宋" w:eastAsia="仿宋" w:cs="仿宋"/>
          <w:sz w:val="24"/>
          <w:szCs w:val="24"/>
          <w:highlight w:val="none"/>
          <w:lang w:val="en-US" w:eastAsia="zh-CN"/>
        </w:rPr>
        <w:t>格式</w:t>
      </w:r>
      <w:r>
        <w:rPr>
          <w:rFonts w:hint="eastAsia" w:ascii="仿宋" w:hAnsi="仿宋" w:eastAsia="仿宋" w:cs="仿宋"/>
          <w:sz w:val="24"/>
          <w:szCs w:val="24"/>
          <w:highlight w:val="none"/>
        </w:rPr>
        <w:t>要求填写。</w:t>
      </w:r>
    </w:p>
    <w:p>
      <w:pPr>
        <w:keepNext w:val="0"/>
        <w:keepLines w:val="0"/>
        <w:pageBreakBefore w:val="0"/>
        <w:kinsoku/>
        <w:wordWrap/>
        <w:overflowPunct/>
        <w:topLinePunct w:val="0"/>
        <w:autoSpaceDE/>
        <w:autoSpaceDN/>
        <w:bidi w:val="0"/>
        <w:adjustRightInd/>
        <w:snapToGrid w:val="0"/>
        <w:spacing w:line="360" w:lineRule="auto"/>
        <w:ind w:firstLine="480" w:firstLineChars="200"/>
        <w:textAlignment w:val="auto"/>
        <w:outlineLvl w:val="1"/>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3、供应商开具增值税专票。</w:t>
      </w:r>
    </w:p>
    <w:p>
      <w:pPr>
        <w:keepNext w:val="0"/>
        <w:keepLines w:val="0"/>
        <w:pageBreakBefore w:val="0"/>
        <w:kinsoku/>
        <w:wordWrap w:val="0"/>
        <w:overflowPunct/>
        <w:topLinePunct w:val="0"/>
        <w:autoSpaceDE/>
        <w:autoSpaceDN/>
        <w:bidi w:val="0"/>
        <w:adjustRightInd/>
        <w:snapToGrid w:val="0"/>
        <w:spacing w:line="420" w:lineRule="exact"/>
        <w:jc w:val="left"/>
        <w:textAlignment w:val="auto"/>
        <w:outlineLvl w:val="1"/>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七、成交原则：</w:t>
      </w:r>
    </w:p>
    <w:p>
      <w:pPr>
        <w:keepNext w:val="0"/>
        <w:keepLines w:val="0"/>
        <w:pageBreakBefore w:val="0"/>
        <w:kinsoku/>
        <w:wordWrap w:val="0"/>
        <w:overflowPunct/>
        <w:topLinePunct w:val="0"/>
        <w:autoSpaceDE/>
        <w:autoSpaceDN/>
        <w:bidi w:val="0"/>
        <w:adjustRightInd/>
        <w:snapToGrid w:val="0"/>
        <w:spacing w:line="420" w:lineRule="exact"/>
        <w:ind w:firstLine="480" w:firstLineChars="200"/>
        <w:jc w:val="left"/>
        <w:textAlignment w:val="auto"/>
        <w:outlineLvl w:val="1"/>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1、采用最低总价成交（除税价）方式确定成交供应商。</w:t>
      </w:r>
    </w:p>
    <w:p>
      <w:pPr>
        <w:keepNext w:val="0"/>
        <w:keepLines w:val="0"/>
        <w:pageBreakBefore w:val="0"/>
        <w:kinsoku/>
        <w:wordWrap w:val="0"/>
        <w:overflowPunct/>
        <w:topLinePunct w:val="0"/>
        <w:autoSpaceDE/>
        <w:autoSpaceDN/>
        <w:bidi w:val="0"/>
        <w:adjustRightInd/>
        <w:snapToGrid w:val="0"/>
        <w:spacing w:line="420" w:lineRule="exact"/>
        <w:ind w:firstLine="480" w:firstLineChars="200"/>
        <w:jc w:val="left"/>
        <w:textAlignment w:val="auto"/>
        <w:outlineLvl w:val="1"/>
        <w:rPr>
          <w:rFonts w:hint="eastAsia" w:ascii="仿宋" w:hAnsi="仿宋" w:eastAsia="仿宋" w:cs="仿宋"/>
          <w:sz w:val="24"/>
          <w:szCs w:val="24"/>
          <w:highlight w:val="none"/>
        </w:rPr>
      </w:pPr>
      <w:r>
        <w:rPr>
          <w:rFonts w:hint="eastAsia" w:ascii="仿宋" w:hAnsi="仿宋" w:eastAsia="仿宋" w:cs="仿宋"/>
          <w:kern w:val="2"/>
          <w:sz w:val="24"/>
          <w:szCs w:val="24"/>
          <w:highlight w:val="none"/>
          <w:lang w:val="en-US" w:eastAsia="zh-CN" w:bidi="ar-SA"/>
        </w:rPr>
        <w:t>2、结算方式：</w:t>
      </w:r>
      <w:r>
        <w:rPr>
          <w:rFonts w:hint="eastAsia" w:ascii="仿宋" w:hAnsi="仿宋" w:eastAsia="仿宋" w:cs="仿宋"/>
          <w:sz w:val="24"/>
          <w:szCs w:val="24"/>
          <w:highlight w:val="none"/>
          <w:lang w:val="en-US" w:eastAsia="zh-CN"/>
        </w:rPr>
        <w:t>固定综合单价</w:t>
      </w:r>
      <w:r>
        <w:rPr>
          <w:rFonts w:hint="eastAsia" w:ascii="仿宋" w:hAnsi="仿宋" w:eastAsia="仿宋" w:cs="仿宋"/>
          <w:kern w:val="2"/>
          <w:sz w:val="24"/>
          <w:szCs w:val="24"/>
          <w:highlight w:val="none"/>
          <w:lang w:val="en-US" w:eastAsia="zh-CN" w:bidi="ar-SA"/>
        </w:rPr>
        <w:t>，数量按实结算。</w:t>
      </w:r>
    </w:p>
    <w:p>
      <w:pPr>
        <w:keepNext w:val="0"/>
        <w:keepLines w:val="0"/>
        <w:pageBreakBefore w:val="0"/>
        <w:kinsoku/>
        <w:wordWrap w:val="0"/>
        <w:overflowPunct/>
        <w:topLinePunct w:val="0"/>
        <w:autoSpaceDE/>
        <w:autoSpaceDN/>
        <w:bidi w:val="0"/>
        <w:adjustRightInd/>
        <w:snapToGrid w:val="0"/>
        <w:spacing w:line="420" w:lineRule="exact"/>
        <w:jc w:val="left"/>
        <w:textAlignment w:val="auto"/>
        <w:outlineLvl w:val="1"/>
        <w:rPr>
          <w:rFonts w:hint="eastAsia" w:ascii="仿宋" w:hAnsi="仿宋" w:eastAsia="仿宋" w:cs="仿宋"/>
          <w:b/>
          <w:bCs/>
          <w:color w:val="auto"/>
          <w:sz w:val="24"/>
          <w:szCs w:val="24"/>
          <w:highlight w:val="none"/>
          <w:lang w:val="en-US" w:eastAsia="zh-CN"/>
        </w:rPr>
      </w:pPr>
      <w:bookmarkStart w:id="26" w:name="_Toc13377"/>
      <w:bookmarkStart w:id="27" w:name="_Toc26036"/>
      <w:r>
        <w:rPr>
          <w:rFonts w:hint="eastAsia" w:ascii="仿宋" w:hAnsi="仿宋" w:eastAsia="仿宋" w:cs="仿宋"/>
          <w:b/>
          <w:bCs/>
          <w:color w:val="auto"/>
          <w:sz w:val="24"/>
          <w:szCs w:val="24"/>
          <w:highlight w:val="none"/>
          <w:lang w:val="en-US" w:eastAsia="zh-CN"/>
        </w:rPr>
        <w:t>八、报价文件：</w:t>
      </w:r>
    </w:p>
    <w:p>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1、报价文件包括报价函、报价明细表、营业执照、法定代表人授权委托书及代理人身份证（若报价代表为法人代表则无需提供，但需提供法人身份证复印件）。以上所有文件按询价文件格式要求提供，所有资料</w:t>
      </w:r>
      <w:r>
        <w:rPr>
          <w:rFonts w:hint="eastAsia" w:ascii="仿宋" w:hAnsi="仿宋" w:eastAsia="仿宋" w:cs="仿宋"/>
          <w:sz w:val="24"/>
          <w:szCs w:val="24"/>
          <w:highlight w:val="none"/>
        </w:rPr>
        <w:t>加盖公章</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严禁涂改，否则视为无效报价。</w:t>
      </w:r>
    </w:p>
    <w:p>
      <w:pPr>
        <w:keepNext w:val="0"/>
        <w:keepLines w:val="0"/>
        <w:pageBreakBefore w:val="0"/>
        <w:kinsoku/>
        <w:wordWrap w:val="0"/>
        <w:overflowPunct/>
        <w:autoSpaceDE/>
        <w:autoSpaceDN/>
        <w:bidi w:val="0"/>
        <w:adjustRightInd/>
        <w:spacing w:line="360" w:lineRule="auto"/>
        <w:ind w:firstLine="480" w:firstLineChars="200"/>
        <w:textAlignment w:val="auto"/>
        <w:outlineLvl w:val="1"/>
        <w:rPr>
          <w:rFonts w:hint="eastAsia" w:ascii="仿宋" w:hAnsi="仿宋" w:eastAsia="仿宋" w:cs="仿宋"/>
          <w:sz w:val="24"/>
          <w:lang w:eastAsia="zh-CN"/>
        </w:rPr>
      </w:pPr>
      <w:r>
        <w:rPr>
          <w:rFonts w:hint="eastAsia" w:ascii="仿宋" w:hAnsi="仿宋" w:eastAsia="仿宋" w:cs="仿宋"/>
          <w:sz w:val="24"/>
        </w:rPr>
        <w:t>2、报价文件</w:t>
      </w:r>
      <w:r>
        <w:rPr>
          <w:rFonts w:hint="eastAsia" w:ascii="仿宋" w:hAnsi="仿宋" w:eastAsia="仿宋" w:cs="仿宋"/>
          <w:sz w:val="24"/>
          <w:lang w:eastAsia="zh-CN"/>
        </w:rPr>
        <w:t>用文件袋</w:t>
      </w:r>
      <w:r>
        <w:rPr>
          <w:rFonts w:hint="eastAsia" w:ascii="仿宋" w:hAnsi="仿宋" w:eastAsia="仿宋" w:cs="仿宋"/>
          <w:sz w:val="24"/>
        </w:rPr>
        <w:t>密封包装，密封处应加盖单位公章</w:t>
      </w:r>
      <w:r>
        <w:rPr>
          <w:rFonts w:hint="eastAsia" w:ascii="仿宋" w:hAnsi="仿宋" w:eastAsia="仿宋" w:cs="仿宋"/>
          <w:sz w:val="24"/>
          <w:lang w:eastAsia="zh-CN"/>
        </w:rPr>
        <w:t>，</w:t>
      </w:r>
      <w:r>
        <w:rPr>
          <w:rFonts w:hint="eastAsia" w:ascii="仿宋" w:hAnsi="仿宋" w:eastAsia="仿宋" w:cs="仿宋"/>
          <w:sz w:val="24"/>
          <w:szCs w:val="24"/>
        </w:rPr>
        <w:t>包装封面上应注明</w:t>
      </w:r>
      <w:r>
        <w:rPr>
          <w:rFonts w:hint="eastAsia" w:ascii="仿宋" w:hAnsi="仿宋" w:eastAsia="仿宋" w:cs="仿宋"/>
          <w:sz w:val="24"/>
          <w:szCs w:val="24"/>
          <w:lang w:eastAsia="zh-CN"/>
        </w:rPr>
        <w:t>应价</w:t>
      </w:r>
      <w:r>
        <w:rPr>
          <w:rFonts w:hint="eastAsia" w:ascii="仿宋" w:hAnsi="仿宋" w:eastAsia="仿宋" w:cs="仿宋"/>
          <w:sz w:val="24"/>
          <w:szCs w:val="24"/>
        </w:rPr>
        <w:t>人名称、项目名称、项目编号</w:t>
      </w:r>
      <w:r>
        <w:rPr>
          <w:rFonts w:hint="eastAsia" w:ascii="仿宋" w:hAnsi="仿宋" w:eastAsia="仿宋" w:cs="仿宋"/>
          <w:sz w:val="24"/>
          <w:szCs w:val="24"/>
          <w:lang w:eastAsia="zh-CN"/>
        </w:rPr>
        <w:t>及</w:t>
      </w:r>
      <w:r>
        <w:rPr>
          <w:rFonts w:hint="eastAsia" w:ascii="仿宋" w:hAnsi="仿宋" w:eastAsia="仿宋" w:cs="仿宋"/>
          <w:sz w:val="24"/>
          <w:szCs w:val="24"/>
        </w:rPr>
        <w:t>“在</w:t>
      </w:r>
      <w:r>
        <w:rPr>
          <w:rFonts w:hint="eastAsia" w:ascii="仿宋" w:hAnsi="仿宋" w:eastAsia="仿宋" w:cs="仿宋"/>
          <w:color w:val="0000FF"/>
          <w:sz w:val="24"/>
          <w:lang w:val="en-US" w:eastAsia="zh-CN"/>
        </w:rPr>
        <w:t xml:space="preserve"> 2024年5月28日17时</w:t>
      </w:r>
      <w:r>
        <w:rPr>
          <w:rFonts w:hint="eastAsia" w:ascii="仿宋" w:hAnsi="仿宋" w:eastAsia="仿宋" w:cs="仿宋"/>
          <w:sz w:val="24"/>
          <w:szCs w:val="24"/>
        </w:rPr>
        <w:t>之前不得启封”字样。</w:t>
      </w:r>
      <w:r>
        <w:rPr>
          <w:rFonts w:hint="eastAsia" w:ascii="仿宋" w:hAnsi="仿宋" w:eastAsia="仿宋" w:cs="仿宋"/>
          <w:sz w:val="24"/>
          <w:lang w:eastAsia="zh-CN"/>
        </w:rPr>
        <w:t>未按要求包装导致询价人提前拆封的，后果由应价人负责。</w:t>
      </w:r>
    </w:p>
    <w:p>
      <w:pPr>
        <w:keepNext w:val="0"/>
        <w:keepLines w:val="0"/>
        <w:pageBreakBefore w:val="0"/>
        <w:kinsoku/>
        <w:wordWrap w:val="0"/>
        <w:overflowPunct/>
        <w:topLinePunct w:val="0"/>
        <w:autoSpaceDE/>
        <w:autoSpaceDN/>
        <w:bidi w:val="0"/>
        <w:adjustRightInd/>
        <w:snapToGrid w:val="0"/>
        <w:spacing w:line="420" w:lineRule="exact"/>
        <w:jc w:val="left"/>
        <w:textAlignment w:val="auto"/>
        <w:outlineLvl w:val="1"/>
        <w:rPr>
          <w:rFonts w:hint="eastAsia" w:ascii="仿宋" w:hAnsi="仿宋" w:eastAsia="仿宋" w:cs="仿宋"/>
          <w:b/>
          <w:bCs/>
          <w:color w:val="auto"/>
          <w:sz w:val="24"/>
          <w:szCs w:val="24"/>
          <w:highlight w:val="none"/>
          <w:lang w:val="en-US" w:eastAsia="zh-CN"/>
        </w:rPr>
      </w:pPr>
      <w:r>
        <w:rPr>
          <w:rFonts w:hint="eastAsia" w:ascii="仿宋" w:hAnsi="仿宋" w:eastAsia="仿宋" w:cs="仿宋"/>
          <w:b/>
          <w:sz w:val="24"/>
          <w:szCs w:val="24"/>
          <w:highlight w:val="none"/>
          <w:lang w:val="en-US" w:eastAsia="zh-CN"/>
        </w:rPr>
        <w:t>九、</w:t>
      </w:r>
      <w:r>
        <w:rPr>
          <w:rFonts w:hint="eastAsia" w:ascii="仿宋" w:hAnsi="仿宋" w:eastAsia="仿宋" w:cs="仿宋"/>
          <w:b/>
          <w:bCs/>
          <w:color w:val="auto"/>
          <w:sz w:val="24"/>
          <w:szCs w:val="24"/>
          <w:highlight w:val="none"/>
          <w:lang w:val="en-US" w:eastAsia="zh-CN"/>
        </w:rPr>
        <w:t>报价文件递交：</w:t>
      </w:r>
    </w:p>
    <w:p>
      <w:pPr>
        <w:keepNext w:val="0"/>
        <w:keepLines w:val="0"/>
        <w:pageBreakBefore w:val="0"/>
        <w:kinsoku/>
        <w:wordWrap w:val="0"/>
        <w:overflowPunct/>
        <w:topLinePunct w:val="0"/>
        <w:autoSpaceDE/>
        <w:autoSpaceDN/>
        <w:bidi w:val="0"/>
        <w:adjustRightInd/>
        <w:snapToGrid w:val="0"/>
        <w:spacing w:line="420" w:lineRule="exact"/>
        <w:ind w:firstLine="480" w:firstLineChars="200"/>
        <w:textAlignment w:val="auto"/>
        <w:outlineLvl w:val="9"/>
        <w:rPr>
          <w:rFonts w:hint="eastAsia" w:ascii="仿宋" w:hAnsi="仿宋" w:eastAsia="仿宋" w:cs="仿宋"/>
          <w:color w:val="auto"/>
          <w:sz w:val="24"/>
          <w:szCs w:val="24"/>
          <w:highlight w:val="none"/>
          <w:lang w:val="en-US" w:eastAsia="zh-CN"/>
        </w:rPr>
      </w:pPr>
      <w:bookmarkStart w:id="28" w:name="_Toc9068"/>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截止</w:t>
      </w:r>
      <w:r>
        <w:rPr>
          <w:rFonts w:hint="eastAsia" w:ascii="仿宋" w:hAnsi="仿宋" w:eastAsia="仿宋" w:cs="仿宋"/>
          <w:color w:val="auto"/>
          <w:sz w:val="24"/>
          <w:szCs w:val="24"/>
          <w:highlight w:val="none"/>
          <w:lang w:val="en-US" w:eastAsia="zh-CN"/>
        </w:rPr>
        <w:t>时间：</w:t>
      </w:r>
      <w:bookmarkEnd w:id="28"/>
      <w:r>
        <w:rPr>
          <w:rFonts w:hint="eastAsia" w:ascii="仿宋" w:hAnsi="仿宋" w:eastAsia="仿宋" w:cs="仿宋"/>
          <w:color w:val="0000FF"/>
          <w:sz w:val="24"/>
          <w:szCs w:val="24"/>
          <w:highlight w:val="none"/>
          <w:lang w:val="en-US" w:eastAsia="zh-CN"/>
        </w:rPr>
        <w:t>2024年5月28 日17:00时</w:t>
      </w:r>
    </w:p>
    <w:p>
      <w:pPr>
        <w:keepNext w:val="0"/>
        <w:keepLines w:val="0"/>
        <w:pageBreakBefore w:val="0"/>
        <w:kinsoku/>
        <w:wordWrap w:val="0"/>
        <w:overflowPunct/>
        <w:topLinePunct w:val="0"/>
        <w:autoSpaceDE/>
        <w:autoSpaceDN/>
        <w:bidi w:val="0"/>
        <w:adjustRightInd/>
        <w:snapToGrid w:val="0"/>
        <w:spacing w:line="42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2、地点：杭州市上城区复兴南街266号杭州市能源集团工程科技有限公司成本管理部。</w:t>
      </w:r>
    </w:p>
    <w:p>
      <w:pPr>
        <w:keepNext w:val="0"/>
        <w:keepLines w:val="0"/>
        <w:pageBreakBefore w:val="0"/>
        <w:kinsoku/>
        <w:wordWrap w:val="0"/>
        <w:overflowPunct/>
        <w:topLinePunct w:val="0"/>
        <w:autoSpaceDE/>
        <w:autoSpaceDN/>
        <w:bidi w:val="0"/>
        <w:adjustRightInd/>
        <w:snapToGrid w:val="0"/>
        <w:spacing w:line="420" w:lineRule="exact"/>
        <w:ind w:firstLine="480" w:firstLineChars="200"/>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3、未在规定时间内送到的应价文件不予接受。若快递方式递交的，则以快递送达时间为准。</w:t>
      </w:r>
    </w:p>
    <w:p>
      <w:pPr>
        <w:keepNext w:val="0"/>
        <w:keepLines w:val="0"/>
        <w:pageBreakBefore w:val="0"/>
        <w:kinsoku/>
        <w:wordWrap w:val="0"/>
        <w:overflowPunct/>
        <w:topLinePunct w:val="0"/>
        <w:autoSpaceDE/>
        <w:autoSpaceDN/>
        <w:bidi w:val="0"/>
        <w:adjustRightInd/>
        <w:snapToGrid w:val="0"/>
        <w:spacing w:line="420" w:lineRule="exact"/>
        <w:ind w:firstLine="480" w:firstLineChars="200"/>
        <w:textAlignment w:val="auto"/>
        <w:outlineLvl w:val="9"/>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4、快递单上备注项目名称。</w:t>
      </w:r>
    </w:p>
    <w:p>
      <w:pPr>
        <w:spacing w:line="360" w:lineRule="auto"/>
        <w:rPr>
          <w:rFonts w:hint="eastAsia" w:ascii="仿宋" w:hAnsi="仿宋" w:eastAsia="仿宋" w:cs="仿宋"/>
          <w:b/>
          <w:bCs/>
          <w:sz w:val="24"/>
          <w:lang w:eastAsia="zh-CN"/>
        </w:rPr>
      </w:pPr>
      <w:r>
        <w:rPr>
          <w:rFonts w:hint="eastAsia" w:ascii="仿宋" w:hAnsi="仿宋" w:eastAsia="仿宋" w:cs="仿宋"/>
          <w:b/>
          <w:bCs/>
          <w:sz w:val="24"/>
          <w:lang w:eastAsia="zh-CN"/>
        </w:rPr>
        <w:t>十、错误修正</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报价</w:t>
      </w:r>
      <w:r>
        <w:rPr>
          <w:rFonts w:hint="eastAsia" w:ascii="仿宋" w:hAnsi="仿宋" w:eastAsia="仿宋" w:cs="仿宋"/>
          <w:sz w:val="24"/>
        </w:rPr>
        <w:t>文件如果出现计算或表达上的错误，修正错误的原则如下：</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lang w:eastAsia="zh-CN"/>
        </w:rPr>
        <w:t>评审</w:t>
      </w:r>
      <w:r>
        <w:rPr>
          <w:rFonts w:hint="eastAsia" w:ascii="仿宋" w:hAnsi="仿宋" w:eastAsia="仿宋" w:cs="仿宋"/>
          <w:sz w:val="24"/>
        </w:rPr>
        <w:t>小组对</w:t>
      </w:r>
      <w:r>
        <w:rPr>
          <w:rFonts w:hint="eastAsia" w:ascii="仿宋" w:hAnsi="仿宋" w:eastAsia="仿宋" w:cs="仿宋"/>
          <w:sz w:val="24"/>
          <w:lang w:eastAsia="zh-CN"/>
        </w:rPr>
        <w:t>响应</w:t>
      </w:r>
      <w:r>
        <w:rPr>
          <w:rFonts w:hint="eastAsia" w:ascii="仿宋" w:hAnsi="仿宋" w:eastAsia="仿宋" w:cs="仿宋"/>
          <w:sz w:val="24"/>
        </w:rPr>
        <w:t>文件的报价文件进行审核，对发现计算、书写等错误的，按以下原则进行修正：</w:t>
      </w:r>
    </w:p>
    <w:p>
      <w:pPr>
        <w:tabs>
          <w:tab w:val="left" w:pos="852"/>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1</w:t>
      </w:r>
      <w:r>
        <w:rPr>
          <w:rFonts w:hint="eastAsia" w:ascii="仿宋" w:hAnsi="仿宋" w:eastAsia="仿宋" w:cs="仿宋"/>
          <w:sz w:val="24"/>
        </w:rPr>
        <w:t>）报价</w:t>
      </w:r>
      <w:r>
        <w:rPr>
          <w:rFonts w:hint="eastAsia" w:ascii="仿宋" w:hAnsi="仿宋" w:eastAsia="仿宋" w:cs="仿宋"/>
          <w:sz w:val="24"/>
          <w:lang w:eastAsia="zh-CN"/>
        </w:rPr>
        <w:t>明细表</w:t>
      </w:r>
      <w:r>
        <w:rPr>
          <w:rFonts w:hint="eastAsia" w:ascii="仿宋" w:hAnsi="仿宋" w:eastAsia="仿宋" w:cs="仿宋"/>
          <w:sz w:val="24"/>
        </w:rPr>
        <w:t>与响应文件其他报价内容不一致的，以</w:t>
      </w:r>
      <w:r>
        <w:rPr>
          <w:rFonts w:hint="eastAsia" w:ascii="仿宋" w:hAnsi="仿宋" w:eastAsia="仿宋" w:cs="仿宋"/>
          <w:sz w:val="24"/>
          <w:lang w:eastAsia="zh-CN"/>
        </w:rPr>
        <w:t>报价明细表</w:t>
      </w:r>
      <w:r>
        <w:rPr>
          <w:rFonts w:hint="eastAsia" w:ascii="仿宋" w:hAnsi="仿宋" w:eastAsia="仿宋" w:cs="仿宋"/>
          <w:sz w:val="24"/>
        </w:rPr>
        <w:t>为准。</w:t>
      </w:r>
      <w:r>
        <w:rPr>
          <w:rFonts w:hint="eastAsia" w:ascii="仿宋" w:hAnsi="仿宋" w:eastAsia="仿宋" w:cs="仿宋"/>
          <w:kern w:val="0"/>
          <w:sz w:val="24"/>
          <w:lang w:bidi="ar"/>
        </w:rPr>
        <w:t>但</w:t>
      </w:r>
      <w:r>
        <w:rPr>
          <w:rFonts w:hint="eastAsia" w:ascii="仿宋" w:hAnsi="仿宋" w:eastAsia="仿宋" w:cs="仿宋"/>
          <w:sz w:val="24"/>
        </w:rPr>
        <w:t>报价</w:t>
      </w:r>
      <w:r>
        <w:rPr>
          <w:rFonts w:hint="eastAsia" w:ascii="仿宋" w:hAnsi="仿宋" w:eastAsia="仿宋" w:cs="仿宋"/>
          <w:sz w:val="24"/>
          <w:lang w:eastAsia="zh-CN"/>
        </w:rPr>
        <w:t>明细表</w:t>
      </w:r>
      <w:r>
        <w:rPr>
          <w:rFonts w:hint="eastAsia" w:ascii="仿宋" w:hAnsi="仿宋" w:eastAsia="仿宋" w:cs="仿宋"/>
          <w:kern w:val="0"/>
          <w:sz w:val="24"/>
          <w:lang w:bidi="ar"/>
        </w:rPr>
        <w:t>存在明显错误的</w:t>
      </w:r>
      <w:r>
        <w:rPr>
          <w:rFonts w:hint="eastAsia" w:ascii="仿宋" w:hAnsi="仿宋" w:eastAsia="仿宋" w:cs="仿宋"/>
          <w:color w:val="000000"/>
          <w:kern w:val="0"/>
          <w:sz w:val="24"/>
          <w:lang w:bidi="ar"/>
        </w:rPr>
        <w:t>，则澄清、说明、补正；</w:t>
      </w:r>
    </w:p>
    <w:p>
      <w:pPr>
        <w:tabs>
          <w:tab w:val="left" w:pos="852"/>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（3）如果用数字表示的数额与用文字表示的数额不一致时，以文字数额为准；</w:t>
      </w:r>
    </w:p>
    <w:p>
      <w:pPr>
        <w:tabs>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w:t>
      </w:r>
      <w:r>
        <w:rPr>
          <w:rFonts w:hint="eastAsia" w:ascii="仿宋" w:hAnsi="仿宋" w:eastAsia="仿宋" w:cs="仿宋"/>
          <w:kern w:val="0"/>
          <w:sz w:val="24"/>
          <w:lang w:bidi="ar"/>
        </w:rPr>
        <w:t>除</w:t>
      </w:r>
      <w:r>
        <w:rPr>
          <w:rFonts w:hint="eastAsia" w:ascii="仿宋" w:hAnsi="仿宋" w:eastAsia="仿宋" w:cs="仿宋"/>
          <w:color w:val="000000"/>
          <w:kern w:val="0"/>
          <w:sz w:val="24"/>
          <w:lang w:bidi="ar"/>
        </w:rPr>
        <w:t>明显文字错误外，</w:t>
      </w:r>
      <w:r>
        <w:rPr>
          <w:rFonts w:hint="eastAsia" w:ascii="仿宋" w:hAnsi="仿宋" w:eastAsia="仿宋" w:cs="仿宋"/>
          <w:sz w:val="24"/>
        </w:rPr>
        <w:t>响应文件的大写金额和小写金额不一致的，以大写金额为准；</w:t>
      </w:r>
    </w:p>
    <w:p>
      <w:pPr>
        <w:tabs>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（5）总价金额与按单价汇总金额不一致的，以单价金额计算结果为准；</w:t>
      </w:r>
    </w:p>
    <w:p>
      <w:pPr>
        <w:tabs>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w:t>
      </w:r>
      <w:r>
        <w:rPr>
          <w:rFonts w:hint="eastAsia" w:ascii="仿宋" w:hAnsi="仿宋" w:eastAsia="仿宋" w:cs="仿宋"/>
          <w:kern w:val="0"/>
          <w:sz w:val="24"/>
          <w:lang w:bidi="ar"/>
        </w:rPr>
        <w:t>单价金额小数点或者百分比有明显错位的，以报价</w:t>
      </w:r>
      <w:r>
        <w:rPr>
          <w:rFonts w:hint="eastAsia" w:ascii="仿宋" w:hAnsi="仿宋" w:eastAsia="仿宋" w:cs="仿宋"/>
          <w:kern w:val="0"/>
          <w:sz w:val="24"/>
          <w:lang w:eastAsia="zh-CN" w:bidi="ar"/>
        </w:rPr>
        <w:t>明细表</w:t>
      </w:r>
      <w:r>
        <w:rPr>
          <w:rFonts w:hint="eastAsia" w:ascii="仿宋" w:hAnsi="仿宋" w:eastAsia="仿宋" w:cs="仿宋"/>
          <w:kern w:val="0"/>
          <w:sz w:val="24"/>
          <w:lang w:bidi="ar"/>
        </w:rPr>
        <w:t>的总价为准，并修改单价；</w:t>
      </w:r>
    </w:p>
    <w:p>
      <w:pPr>
        <w:tabs>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（7）对不同文字文本响应文件的解释发生异议的，以中文文本为准。</w:t>
      </w:r>
    </w:p>
    <w:p>
      <w:pPr>
        <w:tabs>
          <w:tab w:val="left" w:pos="900"/>
        </w:tabs>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8）对漏（缺）报项、多报项的处理：采购文件中要求列入报价的费用（含配置、功能），漏（缺）报的视同已含在响应总价中，但在评审时取有效响应供应商中该项最高报价计入报价评审。对多报及赠送项的价格，评审时不予核减，全部进入评审。</w:t>
      </w:r>
    </w:p>
    <w:p>
      <w:pPr>
        <w:tabs>
          <w:tab w:val="left" w:pos="900"/>
        </w:tabs>
        <w:snapToGrid w:val="0"/>
        <w:spacing w:line="360" w:lineRule="auto"/>
        <w:ind w:firstLine="480" w:firstLineChars="200"/>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sz w:val="24"/>
        </w:rPr>
        <w:t xml:space="preserve"> 同时出现两种以上不一致的，按照前款规定的顺序修正。按上述修正错误的原则及方法由评审小组调整或修正响应文件的响应报价，修正后的报价经供应商确认后产生约束力，供应商不确认的，其响应无效。但根据第（5）条款调整后的总价如果超过报价一览表总价的以报价一览表的总价为准,采购人不接受调高后的总价,高出部分的价格供应商按优惠条件给予采购人;如果调整后的总价比响应函总价低的,采购人接受调整总价。</w:t>
      </w:r>
    </w:p>
    <w:p>
      <w:pPr>
        <w:pStyle w:val="20"/>
        <w:keepNext w:val="0"/>
        <w:keepLines w:val="0"/>
        <w:pageBreakBefore w:val="0"/>
        <w:widowControl/>
        <w:kinsoku/>
        <w:overflowPunct/>
        <w:autoSpaceDE/>
        <w:autoSpaceDN/>
        <w:bidi w:val="0"/>
        <w:adjustRightInd/>
        <w:snapToGrid w:val="0"/>
        <w:spacing w:beforeAutospacing="0" w:afterAutospacing="0" w:line="360" w:lineRule="auto"/>
        <w:textAlignment w:val="auto"/>
        <w:outlineLvl w:val="1"/>
        <w:rPr>
          <w:rStyle w:val="25"/>
          <w:rFonts w:ascii="仿宋" w:hAnsi="仿宋" w:eastAsia="仿宋" w:cs="仿宋"/>
          <w:color w:val="000000"/>
          <w:sz w:val="24"/>
          <w:szCs w:val="24"/>
          <w:highlight w:val="none"/>
        </w:rPr>
      </w:pPr>
      <w:r>
        <w:rPr>
          <w:rStyle w:val="25"/>
          <w:rFonts w:hint="eastAsia" w:ascii="仿宋" w:hAnsi="仿宋" w:eastAsia="仿宋" w:cs="仿宋"/>
          <w:color w:val="000000"/>
          <w:sz w:val="24"/>
          <w:szCs w:val="24"/>
          <w:highlight w:val="none"/>
          <w:lang w:eastAsia="zh-CN"/>
        </w:rPr>
        <w:t>十一</w:t>
      </w:r>
      <w:r>
        <w:rPr>
          <w:rStyle w:val="25"/>
          <w:rFonts w:hint="eastAsia" w:ascii="仿宋" w:hAnsi="仿宋" w:eastAsia="仿宋" w:cs="仿宋"/>
          <w:color w:val="000000"/>
          <w:sz w:val="24"/>
          <w:szCs w:val="24"/>
          <w:highlight w:val="none"/>
        </w:rPr>
        <w:t>、联系方式</w:t>
      </w:r>
      <w:bookmarkEnd w:id="26"/>
      <w:r>
        <w:rPr>
          <w:rStyle w:val="25"/>
          <w:rFonts w:hint="eastAsia" w:ascii="仿宋" w:hAnsi="仿宋" w:eastAsia="仿宋" w:cs="仿宋"/>
          <w:color w:val="000000"/>
          <w:sz w:val="24"/>
          <w:szCs w:val="24"/>
          <w:highlight w:val="none"/>
        </w:rPr>
        <w:t>：</w:t>
      </w:r>
      <w:bookmarkEnd w:id="27"/>
    </w:p>
    <w:p>
      <w:pPr>
        <w:keepNext w:val="0"/>
        <w:keepLines w:val="0"/>
        <w:pageBreakBefore w:val="0"/>
        <w:kinsoku/>
        <w:overflowPunct/>
        <w:autoSpaceDE/>
        <w:autoSpaceDN/>
        <w:bidi w:val="0"/>
        <w:adjustRightInd/>
        <w:snapToGrid w:val="0"/>
        <w:spacing w:line="360" w:lineRule="auto"/>
        <w:ind w:firstLine="482" w:firstLineChars="200"/>
        <w:textAlignment w:val="auto"/>
        <w:outlineLvl w:val="2"/>
        <w:rPr>
          <w:rFonts w:ascii="仿宋" w:hAnsi="仿宋" w:eastAsia="仿宋" w:cs="仿宋"/>
          <w:sz w:val="24"/>
          <w:szCs w:val="24"/>
          <w:highlight w:val="none"/>
        </w:rPr>
      </w:pPr>
      <w:bookmarkStart w:id="29" w:name="_Toc22977"/>
      <w:bookmarkStart w:id="30" w:name="_Toc21453"/>
      <w:r>
        <w:rPr>
          <w:rFonts w:hint="eastAsia" w:ascii="仿宋" w:hAnsi="仿宋" w:eastAsia="仿宋" w:cs="仿宋"/>
          <w:b/>
          <w:sz w:val="24"/>
          <w:szCs w:val="24"/>
          <w:highlight w:val="none"/>
        </w:rPr>
        <w:t>询价人：</w:t>
      </w:r>
      <w:r>
        <w:rPr>
          <w:rFonts w:hint="eastAsia" w:ascii="仿宋" w:hAnsi="仿宋" w:eastAsia="仿宋" w:cs="仿宋"/>
          <w:sz w:val="24"/>
          <w:szCs w:val="24"/>
          <w:highlight w:val="none"/>
        </w:rPr>
        <w:t>杭州市能源集团工程科技有限公司</w:t>
      </w:r>
      <w:bookmarkEnd w:id="29"/>
      <w:bookmarkEnd w:id="30"/>
    </w:p>
    <w:p>
      <w:pPr>
        <w:keepNext w:val="0"/>
        <w:keepLines w:val="0"/>
        <w:pageBreakBefore w:val="0"/>
        <w:kinsoku/>
        <w:overflowPunct/>
        <w:autoSpaceDE/>
        <w:autoSpaceDN/>
        <w:bidi w:val="0"/>
        <w:adjustRightInd/>
        <w:snapToGrid w:val="0"/>
        <w:spacing w:line="360" w:lineRule="auto"/>
        <w:ind w:firstLine="482" w:firstLineChars="200"/>
        <w:textAlignment w:val="auto"/>
        <w:rPr>
          <w:rFonts w:ascii="仿宋" w:hAnsi="仿宋" w:eastAsia="仿宋" w:cs="仿宋"/>
          <w:b/>
          <w:sz w:val="24"/>
          <w:szCs w:val="24"/>
          <w:highlight w:val="none"/>
        </w:rPr>
      </w:pPr>
      <w:r>
        <w:rPr>
          <w:rFonts w:hint="eastAsia" w:ascii="仿宋" w:hAnsi="仿宋" w:eastAsia="仿宋" w:cs="仿宋"/>
          <w:b/>
          <w:sz w:val="24"/>
          <w:szCs w:val="24"/>
          <w:highlight w:val="none"/>
        </w:rPr>
        <w:t>地址：</w:t>
      </w:r>
      <w:r>
        <w:rPr>
          <w:rFonts w:hint="eastAsia" w:ascii="仿宋" w:hAnsi="仿宋" w:eastAsia="仿宋" w:cs="仿宋"/>
          <w:sz w:val="24"/>
          <w:szCs w:val="24"/>
          <w:highlight w:val="none"/>
        </w:rPr>
        <w:t>杭州市上城区复兴南街266号</w:t>
      </w:r>
    </w:p>
    <w:p>
      <w:pPr>
        <w:keepNext w:val="0"/>
        <w:keepLines w:val="0"/>
        <w:pageBreakBefore w:val="0"/>
        <w:kinsoku/>
        <w:overflowPunct/>
        <w:autoSpaceDE/>
        <w:autoSpaceDN/>
        <w:bidi w:val="0"/>
        <w:adjustRightInd/>
        <w:snapToGrid w:val="0"/>
        <w:spacing w:line="360" w:lineRule="auto"/>
        <w:ind w:firstLine="482"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b/>
          <w:sz w:val="24"/>
          <w:szCs w:val="24"/>
          <w:highlight w:val="none"/>
        </w:rPr>
        <w:t>联系人：</w:t>
      </w:r>
      <w:r>
        <w:rPr>
          <w:rFonts w:hint="eastAsia" w:ascii="仿宋" w:hAnsi="仿宋" w:eastAsia="仿宋" w:cs="仿宋"/>
          <w:sz w:val="24"/>
          <w:szCs w:val="24"/>
          <w:highlight w:val="none"/>
          <w:lang w:eastAsia="zh-CN"/>
        </w:rPr>
        <w:t>周旻、王磊</w:t>
      </w:r>
    </w:p>
    <w:p>
      <w:pPr>
        <w:keepNext w:val="0"/>
        <w:keepLines w:val="0"/>
        <w:pageBreakBefore w:val="0"/>
        <w:kinsoku/>
        <w:overflowPunct/>
        <w:autoSpaceDE/>
        <w:autoSpaceDN/>
        <w:bidi w:val="0"/>
        <w:adjustRightInd/>
        <w:snapToGrid w:val="0"/>
        <w:spacing w:line="360" w:lineRule="auto"/>
        <w:ind w:firstLine="482"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b/>
          <w:sz w:val="24"/>
          <w:szCs w:val="24"/>
          <w:highlight w:val="none"/>
        </w:rPr>
        <w:t>联系电话：</w:t>
      </w:r>
      <w:r>
        <w:rPr>
          <w:rFonts w:hint="eastAsia" w:ascii="仿宋" w:hAnsi="仿宋" w:eastAsia="仿宋" w:cs="仿宋"/>
          <w:sz w:val="24"/>
          <w:szCs w:val="24"/>
          <w:highlight w:val="none"/>
          <w:lang w:val="en-US" w:eastAsia="zh-CN"/>
        </w:rPr>
        <w:t>13666675370</w:t>
      </w:r>
      <w:r>
        <w:rPr>
          <w:rFonts w:hint="eastAsia" w:ascii="仿宋" w:hAnsi="仿宋" w:eastAsia="仿宋" w:cs="仿宋"/>
          <w:sz w:val="24"/>
          <w:szCs w:val="24"/>
          <w:highlight w:val="none"/>
          <w:lang w:eastAsia="zh-CN"/>
        </w:rPr>
        <w:t>、15805812090</w:t>
      </w:r>
    </w:p>
    <w:p>
      <w:pPr>
        <w:keepNext w:val="0"/>
        <w:keepLines w:val="0"/>
        <w:pageBreakBefore w:val="0"/>
        <w:kinsoku/>
        <w:overflowPunct/>
        <w:autoSpaceDE/>
        <w:autoSpaceDN/>
        <w:bidi w:val="0"/>
        <w:adjustRightInd/>
        <w:snapToGrid w:val="0"/>
        <w:spacing w:line="360" w:lineRule="auto"/>
        <w:ind w:firstLine="482" w:firstLineChars="200"/>
        <w:textAlignment w:val="auto"/>
        <w:rPr>
          <w:rFonts w:ascii="仿宋" w:hAnsi="仿宋" w:eastAsia="仿宋" w:cs="仿宋"/>
          <w:sz w:val="24"/>
          <w:szCs w:val="24"/>
          <w:highlight w:val="none"/>
        </w:rPr>
      </w:pPr>
      <w:r>
        <w:rPr>
          <w:rFonts w:hint="eastAsia" w:ascii="仿宋" w:hAnsi="仿宋" w:eastAsia="仿宋" w:cs="仿宋"/>
          <w:b/>
          <w:bCs/>
          <w:sz w:val="24"/>
          <w:szCs w:val="24"/>
          <w:highlight w:val="none"/>
        </w:rPr>
        <w:t>监督人：</w:t>
      </w:r>
      <w:r>
        <w:rPr>
          <w:rFonts w:hint="eastAsia" w:ascii="仿宋" w:hAnsi="仿宋" w:eastAsia="仿宋" w:cs="仿宋"/>
          <w:sz w:val="24"/>
          <w:szCs w:val="24"/>
          <w:highlight w:val="none"/>
        </w:rPr>
        <w:t>吕燕</w:t>
      </w:r>
    </w:p>
    <w:p>
      <w:pPr>
        <w:keepNext w:val="0"/>
        <w:keepLines w:val="0"/>
        <w:pageBreakBefore w:val="0"/>
        <w:kinsoku/>
        <w:overflowPunct/>
        <w:autoSpaceDE/>
        <w:autoSpaceDN/>
        <w:bidi w:val="0"/>
        <w:adjustRightInd/>
        <w:snapToGrid w:val="0"/>
        <w:spacing w:line="360" w:lineRule="auto"/>
        <w:ind w:firstLine="482" w:firstLineChars="200"/>
        <w:textAlignment w:val="auto"/>
        <w:rPr>
          <w:rFonts w:ascii="仿宋" w:hAnsi="仿宋" w:eastAsia="仿宋" w:cs="仿宋"/>
          <w:sz w:val="24"/>
          <w:szCs w:val="24"/>
          <w:highlight w:val="none"/>
        </w:rPr>
      </w:pPr>
      <w:r>
        <w:rPr>
          <w:rFonts w:hint="eastAsia" w:ascii="仿宋" w:hAnsi="仿宋" w:eastAsia="仿宋" w:cs="仿宋"/>
          <w:b/>
          <w:bCs/>
          <w:sz w:val="24"/>
          <w:szCs w:val="24"/>
          <w:highlight w:val="none"/>
        </w:rPr>
        <w:t>联系电话</w:t>
      </w:r>
      <w:r>
        <w:rPr>
          <w:rFonts w:hint="eastAsia" w:ascii="仿宋" w:hAnsi="仿宋" w:eastAsia="仿宋" w:cs="仿宋"/>
          <w:sz w:val="24"/>
          <w:szCs w:val="24"/>
          <w:highlight w:val="none"/>
        </w:rPr>
        <w:t>：19357616361</w:t>
      </w:r>
    </w:p>
    <w:p>
      <w:pPr>
        <w:snapToGrid w:val="0"/>
        <w:spacing w:line="420" w:lineRule="exact"/>
        <w:ind w:firstLine="480" w:firstLineChars="200"/>
        <w:rPr>
          <w:rFonts w:ascii="仿宋" w:hAnsi="仿宋" w:eastAsia="仿宋" w:cs="仿宋"/>
          <w:sz w:val="24"/>
          <w:szCs w:val="24"/>
          <w:highlight w:val="none"/>
        </w:rPr>
      </w:pPr>
    </w:p>
    <w:p>
      <w:pPr>
        <w:jc w:val="right"/>
        <w:rPr>
          <w:rFonts w:hint="eastAsia" w:ascii="仿宋" w:hAnsi="仿宋" w:eastAsia="仿宋" w:cs="仿宋"/>
          <w:bCs/>
          <w:color w:val="0000FF"/>
          <w:sz w:val="24"/>
          <w:szCs w:val="24"/>
          <w:highlight w:val="none"/>
          <w:lang w:eastAsia="zh-CN"/>
        </w:rPr>
      </w:pPr>
      <w:r>
        <w:rPr>
          <w:rFonts w:hint="eastAsia" w:ascii="仿宋" w:hAnsi="仿宋" w:eastAsia="仿宋" w:cs="仿宋"/>
          <w:bCs/>
          <w:color w:val="0000FF"/>
          <w:sz w:val="24"/>
          <w:szCs w:val="24"/>
          <w:highlight w:val="none"/>
          <w:lang w:eastAsia="zh-CN"/>
        </w:rPr>
        <w:t>杭州市能源集团工程科技有限公司</w:t>
      </w:r>
    </w:p>
    <w:p>
      <w:pPr>
        <w:jc w:val="center"/>
        <w:rPr>
          <w:rFonts w:hint="eastAsia" w:ascii="仿宋" w:hAnsi="仿宋" w:eastAsia="仿宋" w:cs="仿宋"/>
          <w:highlight w:val="none"/>
          <w:lang w:val="en-US" w:eastAsia="zh-CN"/>
        </w:rPr>
      </w:pPr>
      <w:r>
        <w:rPr>
          <w:rFonts w:hint="eastAsia" w:ascii="仿宋" w:hAnsi="仿宋" w:eastAsia="仿宋" w:cs="仿宋"/>
          <w:bCs/>
          <w:color w:val="0000FF"/>
          <w:sz w:val="24"/>
          <w:szCs w:val="24"/>
          <w:highlight w:val="none"/>
          <w:lang w:val="en-US" w:eastAsia="zh-CN"/>
        </w:rPr>
        <w:t xml:space="preserve">                                            </w:t>
      </w:r>
      <w:r>
        <w:rPr>
          <w:rFonts w:hint="eastAsia" w:ascii="仿宋" w:hAnsi="仿宋" w:eastAsia="仿宋" w:cs="仿宋"/>
          <w:bCs/>
          <w:color w:val="0000FF"/>
          <w:sz w:val="24"/>
          <w:szCs w:val="24"/>
          <w:highlight w:val="none"/>
        </w:rPr>
        <w:t>日期：</w:t>
      </w:r>
      <w:r>
        <w:rPr>
          <w:rFonts w:hint="eastAsia" w:ascii="仿宋" w:hAnsi="仿宋" w:eastAsia="仿宋" w:cs="仿宋"/>
          <w:bCs/>
          <w:color w:val="0000FF"/>
          <w:sz w:val="24"/>
          <w:szCs w:val="24"/>
          <w:highlight w:val="none"/>
          <w:lang w:val="en-US" w:eastAsia="zh-CN"/>
        </w:rPr>
        <w:t>2024</w:t>
      </w:r>
      <w:r>
        <w:rPr>
          <w:rFonts w:hint="eastAsia" w:ascii="仿宋" w:hAnsi="仿宋" w:eastAsia="仿宋" w:cs="仿宋"/>
          <w:bCs/>
          <w:color w:val="0000FF"/>
          <w:sz w:val="24"/>
          <w:szCs w:val="24"/>
          <w:highlight w:val="none"/>
        </w:rPr>
        <w:t>年</w:t>
      </w:r>
      <w:r>
        <w:rPr>
          <w:rFonts w:hint="eastAsia" w:ascii="仿宋" w:hAnsi="仿宋" w:eastAsia="仿宋" w:cs="仿宋"/>
          <w:bCs/>
          <w:color w:val="0000FF"/>
          <w:sz w:val="24"/>
          <w:szCs w:val="24"/>
          <w:highlight w:val="none"/>
          <w:lang w:val="en-US" w:eastAsia="zh-CN"/>
        </w:rPr>
        <w:t>5月25</w:t>
      </w:r>
      <w:bookmarkStart w:id="34" w:name="_GoBack"/>
      <w:bookmarkEnd w:id="34"/>
      <w:r>
        <w:rPr>
          <w:rFonts w:hint="eastAsia" w:ascii="仿宋" w:hAnsi="仿宋" w:eastAsia="仿宋" w:cs="仿宋"/>
          <w:bCs/>
          <w:color w:val="0000FF"/>
          <w:sz w:val="24"/>
          <w:szCs w:val="24"/>
          <w:highlight w:val="none"/>
        </w:rPr>
        <w:t>日</w:t>
      </w:r>
    </w:p>
    <w:p>
      <w:pPr>
        <w:pStyle w:val="2"/>
        <w:keepNext/>
        <w:keepLines/>
        <w:pageBreakBefore w:val="0"/>
        <w:widowControl w:val="0"/>
        <w:kinsoku/>
        <w:wordWrap/>
        <w:overflowPunct/>
        <w:topLinePunct w:val="0"/>
        <w:autoSpaceDE/>
        <w:autoSpaceDN/>
        <w:bidi w:val="0"/>
        <w:adjustRightInd/>
        <w:snapToGrid/>
        <w:spacing w:line="240" w:lineRule="auto"/>
        <w:jc w:val="both"/>
        <w:textAlignment w:val="auto"/>
        <w:rPr>
          <w:rFonts w:hint="eastAsia" w:ascii="仿宋" w:hAnsi="仿宋" w:eastAsia="仿宋" w:cs="仿宋"/>
          <w:highlight w:val="none"/>
          <w:lang w:val="en-US" w:eastAsia="zh-CN"/>
        </w:rPr>
      </w:pPr>
    </w:p>
    <w:p>
      <w:pPr>
        <w:pStyle w:val="2"/>
        <w:keepNext/>
        <w:keepLines/>
        <w:pageBreakBefore w:val="0"/>
        <w:widowControl w:val="0"/>
        <w:kinsoku/>
        <w:wordWrap/>
        <w:overflowPunct/>
        <w:topLinePunct w:val="0"/>
        <w:autoSpaceDE/>
        <w:autoSpaceDN/>
        <w:bidi w:val="0"/>
        <w:adjustRightInd/>
        <w:snapToGrid/>
        <w:spacing w:line="240" w:lineRule="auto"/>
        <w:jc w:val="center"/>
        <w:textAlignment w:val="auto"/>
        <w:rPr>
          <w:rFonts w:hint="eastAsia" w:ascii="仿宋" w:hAnsi="仿宋" w:eastAsia="仿宋" w:cs="仿宋"/>
          <w:highlight w:val="none"/>
        </w:rPr>
      </w:pPr>
      <w:r>
        <w:rPr>
          <w:rFonts w:hint="eastAsia" w:ascii="仿宋" w:hAnsi="仿宋" w:eastAsia="仿宋" w:cs="仿宋"/>
          <w:highlight w:val="none"/>
          <w:lang w:val="en-US" w:eastAsia="zh-CN"/>
        </w:rPr>
        <w:t>第二章、采购需求和技术要求</w:t>
      </w:r>
    </w:p>
    <w:p>
      <w:pPr>
        <w:pageBreakBefore w:val="0"/>
        <w:widowControl w:val="0"/>
        <w:kinsoku/>
        <w:wordWrap/>
        <w:overflowPunct/>
        <w:topLinePunct w:val="0"/>
        <w:autoSpaceDE/>
        <w:autoSpaceDN/>
        <w:bidi w:val="0"/>
        <w:adjustRightInd/>
        <w:snapToGrid w:val="0"/>
        <w:spacing w:line="240" w:lineRule="auto"/>
        <w:textAlignment w:val="auto"/>
        <w:outlineLvl w:val="1"/>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一、采购需求</w:t>
      </w: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highlight w:val="none"/>
          <w:lang w:val="en-US" w:eastAsia="zh-CN"/>
        </w:rPr>
      </w:pPr>
      <w:r>
        <w:rPr>
          <w:rFonts w:hint="eastAsia" w:ascii="仿宋" w:hAnsi="仿宋" w:eastAsia="仿宋" w:cs="仿宋"/>
          <w:b w:val="0"/>
          <w:bCs w:val="0"/>
          <w:sz w:val="24"/>
          <w:szCs w:val="24"/>
          <w:highlight w:val="none"/>
          <w:lang w:val="en-US" w:eastAsia="zh-CN"/>
        </w:rPr>
        <w:t>1、采购概况：为确保</w:t>
      </w:r>
      <w:r>
        <w:rPr>
          <w:rFonts w:hint="eastAsia" w:ascii="仿宋" w:hAnsi="仿宋" w:eastAsia="仿宋" w:cs="仿宋"/>
          <w:highlight w:val="none"/>
          <w:lang w:eastAsia="zh-CN"/>
        </w:rPr>
        <w:t>杭州市能源集团工程科技有限公司</w:t>
      </w:r>
      <w:r>
        <w:rPr>
          <w:rFonts w:hint="eastAsia" w:ascii="仿宋" w:hAnsi="仿宋" w:eastAsia="仿宋" w:cs="仿宋"/>
          <w:highlight w:val="none"/>
          <w:lang w:val="en-US" w:eastAsia="zh-CN"/>
        </w:rPr>
        <w:t>承接的</w:t>
      </w:r>
      <w:r>
        <w:rPr>
          <w:rFonts w:hint="eastAsia" w:ascii="仿宋" w:hAnsi="仿宋" w:eastAsia="仿宋" w:cs="仿宋"/>
          <w:sz w:val="24"/>
          <w:szCs w:val="24"/>
          <w:highlight w:val="none"/>
          <w:lang w:val="en-US" w:eastAsia="zh-CN"/>
        </w:rPr>
        <w:t>临安清凉峰、火车东站东广场等工程</w:t>
      </w:r>
      <w:r>
        <w:rPr>
          <w:rFonts w:hint="eastAsia" w:ascii="仿宋" w:hAnsi="仿宋" w:eastAsia="仿宋" w:cs="仿宋"/>
          <w:highlight w:val="none"/>
          <w:lang w:val="en-US" w:eastAsia="zh-CN"/>
        </w:rPr>
        <w:t>的施工</w:t>
      </w:r>
      <w:r>
        <w:rPr>
          <w:rFonts w:hint="eastAsia" w:ascii="仿宋" w:hAnsi="仿宋" w:eastAsia="仿宋" w:cs="仿宋"/>
          <w:sz w:val="24"/>
          <w:szCs w:val="24"/>
          <w:highlight w:val="none"/>
          <w:lang w:val="en-US" w:eastAsia="zh-CN"/>
        </w:rPr>
        <w:t>质量、保障施工进度</w:t>
      </w:r>
      <w:r>
        <w:rPr>
          <w:rFonts w:hint="eastAsia" w:ascii="仿宋" w:hAnsi="仿宋" w:eastAsia="仿宋" w:cs="仿宋"/>
          <w:highlight w:val="none"/>
          <w:lang w:eastAsia="zh-CN"/>
        </w:rPr>
        <w:t>，</w:t>
      </w:r>
      <w:r>
        <w:rPr>
          <w:rFonts w:hint="eastAsia" w:ascii="仿宋" w:hAnsi="仿宋" w:eastAsia="仿宋" w:cs="仿宋"/>
          <w:highlight w:val="none"/>
          <w:lang w:val="en-US" w:eastAsia="zh-CN"/>
        </w:rPr>
        <w:t>现对</w:t>
      </w:r>
      <w:r>
        <w:rPr>
          <w:rFonts w:hint="eastAsia" w:ascii="仿宋" w:hAnsi="仿宋" w:eastAsia="仿宋" w:cs="仿宋"/>
          <w:sz w:val="24"/>
          <w:szCs w:val="24"/>
          <w:highlight w:val="none"/>
          <w:lang w:eastAsia="zh-CN"/>
        </w:rPr>
        <w:t>其所需充电桩</w:t>
      </w:r>
      <w:r>
        <w:rPr>
          <w:rFonts w:hint="eastAsia" w:ascii="仿宋" w:hAnsi="仿宋" w:eastAsia="仿宋" w:cs="仿宋"/>
          <w:sz w:val="24"/>
          <w:szCs w:val="24"/>
          <w:highlight w:val="none"/>
          <w:lang w:val="en-US" w:eastAsia="zh-CN"/>
        </w:rPr>
        <w:t>进行</w:t>
      </w:r>
      <w:r>
        <w:rPr>
          <w:rFonts w:hint="eastAsia" w:ascii="仿宋" w:hAnsi="仿宋" w:eastAsia="仿宋" w:cs="仿宋"/>
          <w:highlight w:val="none"/>
          <w:lang w:val="en-US" w:eastAsia="zh-CN"/>
        </w:rPr>
        <w:t>采购。</w:t>
      </w: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sz w:val="24"/>
          <w:szCs w:val="24"/>
          <w:highlight w:val="none"/>
          <w:u w:val="none"/>
          <w:lang w:val="en-US" w:eastAsia="zh-CN"/>
        </w:rPr>
      </w:pPr>
      <w:r>
        <w:rPr>
          <w:rFonts w:hint="eastAsia" w:ascii="仿宋" w:hAnsi="仿宋" w:eastAsia="仿宋" w:cs="仿宋"/>
          <w:kern w:val="0"/>
          <w:sz w:val="24"/>
          <w:szCs w:val="24"/>
          <w:highlight w:val="none"/>
          <w:lang w:val="en-US" w:eastAsia="zh-CN" w:bidi="ar-SA"/>
        </w:rPr>
        <w:t>2、采购内容：充电桩的</w:t>
      </w:r>
      <w:r>
        <w:rPr>
          <w:rFonts w:hint="eastAsia" w:ascii="仿宋" w:hAnsi="仿宋" w:eastAsia="仿宋" w:cs="仿宋"/>
          <w:sz w:val="24"/>
          <w:szCs w:val="24"/>
          <w:lang w:eastAsia="zh-CN"/>
        </w:rPr>
        <w:t>供货、运输、指导安装、</w:t>
      </w:r>
      <w:r>
        <w:rPr>
          <w:rFonts w:hint="eastAsia" w:ascii="仿宋" w:hAnsi="仿宋" w:eastAsia="仿宋" w:cs="仿宋"/>
          <w:sz w:val="24"/>
          <w:szCs w:val="24"/>
          <w:lang w:val="en-US" w:eastAsia="zh-CN"/>
        </w:rPr>
        <w:t>调试、试运行、</w:t>
      </w:r>
      <w:r>
        <w:rPr>
          <w:rFonts w:hint="eastAsia" w:ascii="仿宋" w:hAnsi="仿宋" w:eastAsia="仿宋" w:cs="仿宋"/>
          <w:sz w:val="24"/>
          <w:szCs w:val="24"/>
          <w:lang w:eastAsia="zh-CN"/>
        </w:rPr>
        <w:t>验收、售后</w:t>
      </w:r>
      <w:r>
        <w:rPr>
          <w:rFonts w:hint="eastAsia" w:ascii="仿宋" w:hAnsi="仿宋" w:eastAsia="仿宋" w:cs="仿宋"/>
          <w:sz w:val="24"/>
          <w:szCs w:val="24"/>
          <w:highlight w:val="none"/>
          <w:u w:val="none"/>
          <w:lang w:val="en-US" w:eastAsia="zh-CN"/>
        </w:rPr>
        <w:t>及质保服务。</w:t>
      </w: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479" w:leftChars="228" w:firstLine="0" w:firstLineChars="0"/>
        <w:textAlignment w:val="auto"/>
        <w:rPr>
          <w:rFonts w:hint="eastAsia" w:ascii="仿宋" w:hAnsi="仿宋" w:eastAsia="仿宋" w:cs="仿宋"/>
          <w:sz w:val="24"/>
          <w:szCs w:val="24"/>
          <w:highlight w:val="none"/>
          <w:u w:val="none"/>
          <w:lang w:val="en-US" w:eastAsia="zh-CN"/>
        </w:rPr>
      </w:pPr>
      <w:r>
        <w:rPr>
          <w:rFonts w:hint="eastAsia" w:ascii="仿宋" w:hAnsi="仿宋" w:eastAsia="仿宋" w:cs="仿宋"/>
          <w:sz w:val="24"/>
          <w:szCs w:val="24"/>
          <w:highlight w:val="none"/>
          <w:u w:val="none"/>
          <w:lang w:val="en-US" w:eastAsia="zh-CN"/>
        </w:rPr>
        <w:t>3、最高含税总价限价：</w:t>
      </w:r>
      <w:r>
        <w:rPr>
          <w:rFonts w:hint="eastAsia" w:ascii="仿宋" w:hAnsi="仿宋" w:eastAsia="仿宋" w:cs="仿宋"/>
          <w:kern w:val="0"/>
          <w:sz w:val="24"/>
          <w:szCs w:val="24"/>
          <w:highlight w:val="none"/>
          <w:lang w:val="en-US" w:eastAsia="zh-CN" w:bidi="ar-SA"/>
        </w:rPr>
        <w:t>1604950</w:t>
      </w:r>
      <w:r>
        <w:rPr>
          <w:rFonts w:hint="eastAsia" w:ascii="仿宋" w:hAnsi="仿宋" w:eastAsia="仿宋" w:cs="仿宋"/>
          <w:sz w:val="24"/>
          <w:szCs w:val="24"/>
          <w:highlight w:val="yellow"/>
          <w:u w:val="none"/>
          <w:lang w:val="en-US" w:eastAsia="zh-CN"/>
        </w:rPr>
        <w:t>元</w:t>
      </w:r>
      <w:r>
        <w:rPr>
          <w:rFonts w:hint="eastAsia" w:ascii="仿宋" w:hAnsi="仿宋" w:eastAsia="仿宋" w:cs="仿宋"/>
          <w:sz w:val="24"/>
          <w:szCs w:val="24"/>
          <w:highlight w:val="none"/>
          <w:u w:val="none"/>
          <w:lang w:val="en-US" w:eastAsia="zh-CN"/>
        </w:rPr>
        <w:t>。</w:t>
      </w:r>
      <w:r>
        <w:rPr>
          <w:rFonts w:hint="eastAsia" w:ascii="仿宋" w:hAnsi="仿宋" w:eastAsia="仿宋" w:cs="仿宋"/>
          <w:b/>
          <w:bCs/>
          <w:sz w:val="24"/>
          <w:szCs w:val="24"/>
          <w:highlight w:val="none"/>
          <w:u w:val="none"/>
          <w:lang w:val="en-US" w:eastAsia="zh-CN"/>
        </w:rPr>
        <w:t>响应报价超过总价限价及单价限价的按无效处理</w:t>
      </w:r>
      <w:r>
        <w:rPr>
          <w:rFonts w:hint="eastAsia" w:ascii="仿宋" w:hAnsi="仿宋" w:eastAsia="仿宋" w:cs="仿宋"/>
          <w:sz w:val="24"/>
          <w:szCs w:val="24"/>
          <w:highlight w:val="none"/>
          <w:u w:val="none"/>
          <w:lang w:val="en-US" w:eastAsia="zh-CN"/>
        </w:rPr>
        <w:t>。</w:t>
      </w: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sz w:val="24"/>
          <w:szCs w:val="24"/>
          <w:highlight w:val="none"/>
          <w:u w:val="none"/>
          <w:lang w:val="en-US" w:eastAsia="zh-CN"/>
        </w:rPr>
      </w:pP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sz w:val="24"/>
          <w:szCs w:val="24"/>
          <w:highlight w:val="none"/>
          <w:u w:val="none"/>
          <w:lang w:val="en-US" w:eastAsia="zh-CN"/>
        </w:rPr>
      </w:pP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sz w:val="24"/>
          <w:szCs w:val="24"/>
          <w:highlight w:val="none"/>
          <w:u w:val="none"/>
          <w:lang w:val="en-US" w:eastAsia="zh-CN"/>
        </w:rPr>
      </w:pP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sz w:val="24"/>
          <w:szCs w:val="24"/>
          <w:highlight w:val="none"/>
          <w:u w:val="none"/>
          <w:lang w:val="en-US" w:eastAsia="zh-CN"/>
        </w:rPr>
      </w:pP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仿宋" w:hAnsi="仿宋" w:eastAsia="仿宋" w:cs="仿宋"/>
          <w:sz w:val="24"/>
          <w:szCs w:val="24"/>
          <w:highlight w:val="none"/>
          <w:u w:val="none"/>
          <w:lang w:val="en-US" w:eastAsia="zh-CN"/>
        </w:rPr>
      </w:pPr>
    </w:p>
    <w:p>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仿宋" w:hAnsi="仿宋" w:eastAsia="仿宋" w:cs="仿宋"/>
          <w:sz w:val="24"/>
          <w:szCs w:val="24"/>
          <w:highlight w:val="none"/>
          <w:u w:val="none"/>
          <w:lang w:val="en-US" w:eastAsia="zh-CN"/>
        </w:rPr>
      </w:pPr>
      <w:r>
        <w:rPr>
          <w:rFonts w:hint="eastAsia" w:ascii="仿宋" w:hAnsi="仿宋" w:eastAsia="仿宋" w:cs="仿宋"/>
          <w:sz w:val="24"/>
          <w:szCs w:val="24"/>
          <w:highlight w:val="none"/>
          <w:u w:val="none"/>
          <w:lang w:val="en-US" w:eastAsia="zh-CN"/>
        </w:rPr>
        <w:t>4、采购清单：</w:t>
      </w:r>
    </w:p>
    <w:tbl>
      <w:tblPr>
        <w:tblStyle w:val="22"/>
        <w:tblW w:w="10418" w:type="dxa"/>
        <w:jc w:val="center"/>
        <w:tblLayout w:type="fixed"/>
        <w:tblCellMar>
          <w:top w:w="0" w:type="dxa"/>
          <w:left w:w="108" w:type="dxa"/>
          <w:bottom w:w="0" w:type="dxa"/>
          <w:right w:w="108" w:type="dxa"/>
        </w:tblCellMar>
      </w:tblPr>
      <w:tblGrid>
        <w:gridCol w:w="702"/>
        <w:gridCol w:w="1532"/>
        <w:gridCol w:w="2938"/>
        <w:gridCol w:w="780"/>
        <w:gridCol w:w="920"/>
        <w:gridCol w:w="1812"/>
        <w:gridCol w:w="1734"/>
      </w:tblGrid>
      <w:tr>
        <w:tblPrEx>
          <w:tblCellMar>
            <w:top w:w="0" w:type="dxa"/>
            <w:left w:w="108" w:type="dxa"/>
            <w:bottom w:w="0" w:type="dxa"/>
            <w:right w:w="108" w:type="dxa"/>
          </w:tblCellMar>
        </w:tblPrEx>
        <w:trPr>
          <w:trHeight w:val="426" w:hRule="exact"/>
          <w:jc w:val="center"/>
        </w:trPr>
        <w:tc>
          <w:tcPr>
            <w:tcW w:w="70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53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名称</w:t>
            </w:r>
          </w:p>
        </w:tc>
        <w:tc>
          <w:tcPr>
            <w:tcW w:w="29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规格</w:t>
            </w:r>
          </w:p>
        </w:tc>
        <w:tc>
          <w:tcPr>
            <w:tcW w:w="78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单位</w:t>
            </w:r>
          </w:p>
        </w:tc>
        <w:tc>
          <w:tcPr>
            <w:tcW w:w="9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数量</w:t>
            </w:r>
          </w:p>
        </w:tc>
        <w:tc>
          <w:tcPr>
            <w:tcW w:w="1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综合单价限价</w:t>
            </w:r>
          </w:p>
        </w:tc>
        <w:tc>
          <w:tcPr>
            <w:tcW w:w="1734"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pacing w:line="360" w:lineRule="auto"/>
              <w:jc w:val="center"/>
              <w:textAlignment w:val="center"/>
              <w:rPr>
                <w:rFonts w:hint="default"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推荐品牌</w:t>
            </w:r>
          </w:p>
        </w:tc>
      </w:tr>
      <w:tr>
        <w:tblPrEx>
          <w:tblCellMar>
            <w:top w:w="0" w:type="dxa"/>
            <w:left w:w="108" w:type="dxa"/>
            <w:bottom w:w="0" w:type="dxa"/>
            <w:right w:w="108" w:type="dxa"/>
          </w:tblCellMar>
        </w:tblPrEx>
        <w:trPr>
          <w:trHeight w:val="1067" w:hRule="exact"/>
          <w:jc w:val="center"/>
        </w:trPr>
        <w:tc>
          <w:tcPr>
            <w:tcW w:w="702"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532"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直流充电桩</w:t>
            </w:r>
          </w:p>
        </w:tc>
        <w:tc>
          <w:tcPr>
            <w:tcW w:w="2938"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120kW双枪快充</w:t>
            </w:r>
          </w:p>
        </w:tc>
        <w:tc>
          <w:tcPr>
            <w:tcW w:w="780"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920" w:type="dxa"/>
            <w:tcBorders>
              <w:top w:val="single" w:color="000000"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1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45000</w:t>
            </w:r>
          </w:p>
        </w:tc>
        <w:tc>
          <w:tcPr>
            <w:tcW w:w="1734" w:type="dxa"/>
            <w:vMerge w:val="restart"/>
            <w:tcBorders>
              <w:top w:val="single" w:color="000000" w:sz="4" w:space="0"/>
              <w:left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sz w:val="24"/>
                <w:szCs w:val="24"/>
                <w:highlight w:val="none"/>
                <w:lang w:val="en-US" w:eastAsia="zh-CN"/>
              </w:rPr>
              <w:t>特来电、星星、中恒或相当于</w:t>
            </w:r>
          </w:p>
        </w:tc>
      </w:tr>
      <w:tr>
        <w:tblPrEx>
          <w:tblCellMar>
            <w:top w:w="0" w:type="dxa"/>
            <w:left w:w="108" w:type="dxa"/>
            <w:bottom w:w="0" w:type="dxa"/>
            <w:right w:w="108" w:type="dxa"/>
          </w:tblCellMar>
        </w:tblPrEx>
        <w:trPr>
          <w:trHeight w:val="878" w:hRule="exact"/>
          <w:jc w:val="center"/>
        </w:trPr>
        <w:tc>
          <w:tcPr>
            <w:tcW w:w="702"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0"/>
                <w:sz w:val="24"/>
                <w:szCs w:val="24"/>
                <w:highlight w:val="none"/>
              </w:rPr>
            </w:pPr>
            <w:r>
              <w:rPr>
                <w:rFonts w:hint="eastAsia" w:ascii="仿宋" w:hAnsi="仿宋" w:eastAsia="仿宋" w:cs="仿宋"/>
                <w:i w:val="0"/>
                <w:iCs w:val="0"/>
                <w:color w:val="000000"/>
                <w:kern w:val="0"/>
                <w:sz w:val="24"/>
                <w:szCs w:val="24"/>
                <w:highlight w:val="none"/>
                <w:u w:val="none"/>
                <w:lang w:val="en-US" w:eastAsia="zh-CN" w:bidi="ar"/>
              </w:rPr>
              <w:t>2</w:t>
            </w:r>
          </w:p>
        </w:tc>
        <w:tc>
          <w:tcPr>
            <w:tcW w:w="1532"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直流充电桩</w:t>
            </w:r>
          </w:p>
        </w:tc>
        <w:tc>
          <w:tcPr>
            <w:tcW w:w="2938"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120kW双枪快充(加长枪线至10米）</w:t>
            </w:r>
          </w:p>
        </w:tc>
        <w:tc>
          <w:tcPr>
            <w:tcW w:w="780"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920"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w:t>
            </w:r>
          </w:p>
        </w:tc>
        <w:tc>
          <w:tcPr>
            <w:tcW w:w="1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49500</w:t>
            </w:r>
          </w:p>
        </w:tc>
        <w:tc>
          <w:tcPr>
            <w:tcW w:w="1734" w:type="dxa"/>
            <w:vMerge w:val="continue"/>
            <w:tcBorders>
              <w:left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lang w:val="en-US" w:eastAsia="zh-CN" w:bidi="ar-SA"/>
              </w:rPr>
            </w:pPr>
          </w:p>
        </w:tc>
      </w:tr>
      <w:tr>
        <w:tblPrEx>
          <w:tblCellMar>
            <w:top w:w="0" w:type="dxa"/>
            <w:left w:w="108" w:type="dxa"/>
            <w:bottom w:w="0" w:type="dxa"/>
            <w:right w:w="108" w:type="dxa"/>
          </w:tblCellMar>
        </w:tblPrEx>
        <w:trPr>
          <w:trHeight w:val="878" w:hRule="exact"/>
          <w:jc w:val="center"/>
        </w:trPr>
        <w:tc>
          <w:tcPr>
            <w:tcW w:w="702"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w:t>
            </w:r>
          </w:p>
        </w:tc>
        <w:tc>
          <w:tcPr>
            <w:tcW w:w="1532"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kern w:val="0"/>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2938"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80kW双枪快充</w:t>
            </w:r>
          </w:p>
        </w:tc>
        <w:tc>
          <w:tcPr>
            <w:tcW w:w="780"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920"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27500</w:t>
            </w:r>
          </w:p>
        </w:tc>
        <w:tc>
          <w:tcPr>
            <w:tcW w:w="1734" w:type="dxa"/>
            <w:vMerge w:val="continue"/>
            <w:tcBorders>
              <w:left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lang w:val="en-US" w:eastAsia="zh-CN" w:bidi="ar-SA"/>
              </w:rPr>
            </w:pPr>
          </w:p>
        </w:tc>
      </w:tr>
      <w:tr>
        <w:tblPrEx>
          <w:tblCellMar>
            <w:top w:w="0" w:type="dxa"/>
            <w:left w:w="108" w:type="dxa"/>
            <w:bottom w:w="0" w:type="dxa"/>
            <w:right w:w="108" w:type="dxa"/>
          </w:tblCellMar>
        </w:tblPrEx>
        <w:trPr>
          <w:trHeight w:val="878" w:hRule="exact"/>
          <w:jc w:val="center"/>
        </w:trPr>
        <w:tc>
          <w:tcPr>
            <w:tcW w:w="702"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p>
        </w:tc>
        <w:tc>
          <w:tcPr>
            <w:tcW w:w="1532"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交流充电桩</w:t>
            </w:r>
          </w:p>
        </w:tc>
        <w:tc>
          <w:tcPr>
            <w:tcW w:w="2938"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7kW单枪慢充</w:t>
            </w:r>
          </w:p>
        </w:tc>
        <w:tc>
          <w:tcPr>
            <w:tcW w:w="780"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920" w:type="dxa"/>
            <w:tcBorders>
              <w:top w:val="single" w:color="auto" w:sz="4" w:space="0"/>
              <w:left w:val="single" w:color="000000" w:sz="4" w:space="0"/>
              <w:bottom w:val="single" w:color="auto"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23</w:t>
            </w:r>
          </w:p>
        </w:tc>
        <w:tc>
          <w:tcPr>
            <w:tcW w:w="1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1650</w:t>
            </w:r>
          </w:p>
        </w:tc>
        <w:tc>
          <w:tcPr>
            <w:tcW w:w="1734" w:type="dxa"/>
            <w:vMerge w:val="continue"/>
            <w:tcBorders>
              <w:left w:val="single" w:color="000000" w:sz="4" w:space="0"/>
              <w:bottom w:val="single" w:color="auto"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lang w:val="en-US" w:eastAsia="zh-CN" w:bidi="ar-SA"/>
              </w:rPr>
            </w:pPr>
          </w:p>
        </w:tc>
      </w:tr>
    </w:tbl>
    <w:p>
      <w:pPr>
        <w:keepNext w:val="0"/>
        <w:keepLines w:val="0"/>
        <w:pageBreakBefore w:val="0"/>
        <w:widowControl/>
        <w:numPr>
          <w:ilvl w:val="0"/>
          <w:numId w:val="0"/>
        </w:numPr>
        <w:suppressLineNumbers w:val="0"/>
        <w:kinsoku/>
        <w:wordWrap/>
        <w:overflowPunct/>
        <w:topLinePunct w:val="0"/>
        <w:autoSpaceDE/>
        <w:autoSpaceDN/>
        <w:bidi w:val="0"/>
        <w:adjustRightInd/>
        <w:spacing w:line="360" w:lineRule="auto"/>
        <w:jc w:val="left"/>
        <w:rPr>
          <w:rFonts w:hint="eastAsia" w:ascii="仿宋" w:hAnsi="仿宋" w:eastAsia="仿宋" w:cs="仿宋"/>
          <w:b/>
          <w:bCs/>
          <w:sz w:val="24"/>
          <w:szCs w:val="24"/>
          <w:highlight w:val="none"/>
          <w:lang w:val="en-US" w:eastAsia="zh-CN"/>
        </w:rPr>
      </w:pPr>
      <w:r>
        <w:rPr>
          <w:rFonts w:hint="eastAsia" w:ascii="仿宋" w:hAnsi="仿宋" w:eastAsia="仿宋" w:cs="仿宋"/>
          <w:b/>
          <w:sz w:val="24"/>
          <w:szCs w:val="24"/>
          <w:highlight w:val="none"/>
          <w:lang w:val="en-US" w:eastAsia="zh-CN"/>
        </w:rPr>
        <w:t>注：</w:t>
      </w:r>
      <w:r>
        <w:rPr>
          <w:rFonts w:hint="eastAsia" w:ascii="仿宋" w:hAnsi="仿宋" w:eastAsia="仿宋" w:cs="仿宋"/>
          <w:b/>
          <w:bCs/>
          <w:sz w:val="24"/>
          <w:szCs w:val="24"/>
          <w:highlight w:val="none"/>
          <w:lang w:val="en-US" w:eastAsia="zh-CN"/>
        </w:rPr>
        <w:t>固定综合单价，数量按实结算</w:t>
      </w:r>
    </w:p>
    <w:p>
      <w:pPr>
        <w:keepNext w:val="0"/>
        <w:keepLines w:val="0"/>
        <w:pageBreakBefore w:val="0"/>
        <w:widowControl/>
        <w:numPr>
          <w:ilvl w:val="0"/>
          <w:numId w:val="3"/>
        </w:numPr>
        <w:suppressLineNumbers w:val="0"/>
        <w:kinsoku/>
        <w:wordWrap/>
        <w:overflowPunct/>
        <w:topLinePunct w:val="0"/>
        <w:autoSpaceDE/>
        <w:autoSpaceDN/>
        <w:bidi w:val="0"/>
        <w:adjustRightInd/>
        <w:spacing w:line="360" w:lineRule="auto"/>
        <w:ind w:left="120" w:leftChars="0" w:firstLine="0" w:firstLineChars="0"/>
        <w:jc w:val="left"/>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技术要求、设备要求、集采方式</w:t>
      </w:r>
    </w:p>
    <w:p>
      <w:pPr>
        <w:pStyle w:val="19"/>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hd w:val="clear" w:fill="FFFFFF"/>
        <w:wordWrap w:val="0"/>
        <w:spacing w:before="0" w:beforeAutospacing="0" w:after="0" w:afterAutospacing="0"/>
        <w:ind w:left="0" w:right="0" w:firstLine="480" w:firstLineChars="20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充电桩生产执行标准采用国家标准GB/T18487.1-2023。</w:t>
      </w:r>
    </w:p>
    <w:p>
      <w:pPr>
        <w:numPr>
          <w:ilvl w:val="0"/>
          <w:numId w:val="4"/>
        </w:numPr>
        <w:spacing w:line="360" w:lineRule="auto"/>
        <w:ind w:left="0" w:leftChars="0" w:firstLine="480" w:firstLineChars="200"/>
        <w:jc w:val="both"/>
        <w:rPr>
          <w:rFonts w:hint="default" w:ascii="仿宋" w:hAnsi="仿宋" w:eastAsia="仿宋" w:cs="仿宋"/>
          <w:color w:val="auto"/>
          <w:kern w:val="2"/>
          <w:sz w:val="24"/>
          <w:szCs w:val="24"/>
          <w:highlight w:val="none"/>
          <w:lang w:val="en-US" w:eastAsia="zh-CN" w:bidi="ar-SA"/>
        </w:rPr>
      </w:pPr>
      <w:r>
        <w:rPr>
          <w:rFonts w:hint="default" w:ascii="仿宋" w:hAnsi="仿宋" w:eastAsia="仿宋" w:cs="仿宋"/>
          <w:color w:val="auto"/>
          <w:kern w:val="2"/>
          <w:sz w:val="24"/>
          <w:szCs w:val="24"/>
          <w:highlight w:val="none"/>
          <w:lang w:val="en-US" w:eastAsia="zh-CN" w:bidi="ar-SA"/>
        </w:rPr>
        <w:t>充电桩主控制器应预留485接口，支持与通讯管理机连接，上传全数据给第三方平台，必须开放通讯协议。</w:t>
      </w:r>
    </w:p>
    <w:p>
      <w:pPr>
        <w:numPr>
          <w:ilvl w:val="0"/>
          <w:numId w:val="4"/>
        </w:numPr>
        <w:spacing w:line="360" w:lineRule="auto"/>
        <w:ind w:left="0" w:leftChars="0"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支持</w:t>
      </w:r>
      <w:r>
        <w:rPr>
          <w:rFonts w:hint="default" w:ascii="仿宋" w:hAnsi="仿宋" w:eastAsia="仿宋" w:cs="仿宋"/>
          <w:color w:val="auto"/>
          <w:kern w:val="2"/>
          <w:sz w:val="24"/>
          <w:szCs w:val="24"/>
          <w:highlight w:val="none"/>
          <w:lang w:val="en-US" w:eastAsia="zh-CN" w:bidi="ar-SA"/>
        </w:rPr>
        <w:t>直传，包括有线或</w:t>
      </w:r>
      <w:r>
        <w:rPr>
          <w:rFonts w:hint="eastAsia" w:ascii="仿宋" w:hAnsi="仿宋" w:eastAsia="仿宋" w:cs="仿宋"/>
          <w:color w:val="auto"/>
          <w:kern w:val="2"/>
          <w:sz w:val="24"/>
          <w:szCs w:val="24"/>
          <w:highlight w:val="none"/>
          <w:lang w:val="en-US" w:eastAsia="zh-CN" w:bidi="ar-SA"/>
        </w:rPr>
        <w:t>无线接入第三方平台</w:t>
      </w:r>
      <w:r>
        <w:rPr>
          <w:rFonts w:hint="default" w:ascii="仿宋" w:hAnsi="仿宋" w:eastAsia="仿宋" w:cs="仿宋"/>
          <w:color w:val="auto"/>
          <w:kern w:val="2"/>
          <w:sz w:val="24"/>
          <w:szCs w:val="24"/>
          <w:highlight w:val="none"/>
          <w:lang w:val="en-US" w:eastAsia="zh-CN" w:bidi="ar-SA"/>
        </w:rPr>
        <w:t>，能</w:t>
      </w:r>
      <w:r>
        <w:rPr>
          <w:rFonts w:hint="eastAsia" w:ascii="仿宋" w:hAnsi="仿宋" w:eastAsia="仿宋" w:cs="仿宋"/>
          <w:color w:val="auto"/>
          <w:kern w:val="2"/>
          <w:sz w:val="24"/>
          <w:szCs w:val="24"/>
          <w:highlight w:val="none"/>
          <w:lang w:val="en-US" w:eastAsia="zh-CN" w:bidi="ar-SA"/>
        </w:rPr>
        <w:t>监控充电桩数据</w:t>
      </w:r>
      <w:r>
        <w:rPr>
          <w:rFonts w:hint="default" w:ascii="仿宋" w:hAnsi="仿宋" w:eastAsia="仿宋" w:cs="仿宋"/>
          <w:color w:val="auto"/>
          <w:kern w:val="2"/>
          <w:sz w:val="24"/>
          <w:szCs w:val="24"/>
          <w:highlight w:val="none"/>
          <w:lang w:val="en-US" w:eastAsia="zh-CN" w:bidi="ar-SA"/>
        </w:rPr>
        <w:t>、能</w:t>
      </w:r>
      <w:r>
        <w:rPr>
          <w:rFonts w:hint="eastAsia" w:ascii="仿宋" w:hAnsi="仿宋" w:eastAsia="仿宋" w:cs="仿宋"/>
          <w:color w:val="auto"/>
          <w:kern w:val="2"/>
          <w:sz w:val="24"/>
          <w:szCs w:val="24"/>
          <w:highlight w:val="none"/>
          <w:lang w:val="en-US" w:eastAsia="zh-CN" w:bidi="ar-SA"/>
        </w:rPr>
        <w:t>控制充电桩充电等；</w:t>
      </w:r>
      <w:r>
        <w:rPr>
          <w:rFonts w:hint="default" w:ascii="仿宋" w:hAnsi="仿宋" w:eastAsia="仿宋" w:cs="仿宋"/>
          <w:color w:val="auto"/>
          <w:kern w:val="2"/>
          <w:sz w:val="24"/>
          <w:szCs w:val="24"/>
          <w:highlight w:val="none"/>
          <w:lang w:val="en-US" w:eastAsia="zh-CN" w:bidi="ar-SA"/>
        </w:rPr>
        <w:t>可修改</w:t>
      </w:r>
      <w:r>
        <w:rPr>
          <w:rFonts w:hint="eastAsia" w:ascii="仿宋" w:hAnsi="仿宋" w:eastAsia="仿宋" w:cs="仿宋"/>
          <w:color w:val="auto"/>
          <w:kern w:val="2"/>
          <w:sz w:val="24"/>
          <w:szCs w:val="24"/>
          <w:highlight w:val="none"/>
          <w:lang w:val="en-US" w:eastAsia="zh-CN" w:bidi="ar-SA"/>
        </w:rPr>
        <w:t>波特率地址等参数</w:t>
      </w:r>
      <w:r>
        <w:rPr>
          <w:rFonts w:hint="default" w:ascii="仿宋" w:hAnsi="仿宋" w:eastAsia="仿宋" w:cs="仿宋"/>
          <w:color w:val="auto"/>
          <w:kern w:val="2"/>
          <w:sz w:val="24"/>
          <w:szCs w:val="24"/>
          <w:highlight w:val="none"/>
          <w:lang w:val="en-US" w:eastAsia="zh-CN" w:bidi="ar-SA"/>
        </w:rPr>
        <w:t>。</w:t>
      </w:r>
    </w:p>
    <w:p>
      <w:pPr>
        <w:numPr>
          <w:ilvl w:val="0"/>
          <w:numId w:val="4"/>
        </w:numPr>
        <w:spacing w:line="360" w:lineRule="auto"/>
        <w:ind w:left="0" w:leftChars="0" w:firstLine="480" w:firstLineChars="200"/>
        <w:jc w:val="both"/>
        <w:rPr>
          <w:rFonts w:hint="default" w:ascii="仿宋" w:hAnsi="仿宋" w:eastAsia="仿宋" w:cs="仿宋"/>
          <w:color w:val="auto"/>
          <w:kern w:val="2"/>
          <w:sz w:val="24"/>
          <w:szCs w:val="24"/>
          <w:highlight w:val="none"/>
          <w:lang w:val="en-US" w:eastAsia="zh-CN" w:bidi="ar-SA"/>
        </w:rPr>
      </w:pPr>
      <w:r>
        <w:rPr>
          <w:rFonts w:hint="default" w:ascii="仿宋" w:hAnsi="仿宋" w:eastAsia="仿宋" w:cs="仿宋"/>
          <w:color w:val="auto"/>
          <w:kern w:val="2"/>
          <w:sz w:val="24"/>
          <w:szCs w:val="24"/>
          <w:highlight w:val="none"/>
          <w:lang w:val="en-US" w:eastAsia="zh-CN" w:bidi="ar-SA"/>
        </w:rPr>
        <w:t>单桩采集：</w:t>
      </w:r>
      <w:r>
        <w:rPr>
          <w:rFonts w:hint="eastAsia" w:ascii="仿宋" w:hAnsi="仿宋" w:eastAsia="仿宋" w:cs="仿宋"/>
          <w:color w:val="auto"/>
          <w:kern w:val="2"/>
          <w:sz w:val="24"/>
          <w:szCs w:val="24"/>
          <w:highlight w:val="none"/>
          <w:lang w:val="en-US" w:eastAsia="zh-CN" w:bidi="ar-SA"/>
        </w:rPr>
        <w:t>充电桩内部</w:t>
      </w:r>
      <w:r>
        <w:rPr>
          <w:rFonts w:hint="default" w:ascii="仿宋" w:hAnsi="仿宋" w:eastAsia="仿宋" w:cs="仿宋"/>
          <w:color w:val="auto"/>
          <w:kern w:val="2"/>
          <w:sz w:val="24"/>
          <w:szCs w:val="24"/>
          <w:highlight w:val="none"/>
          <w:lang w:val="en-US" w:eastAsia="zh-CN" w:bidi="ar-SA"/>
        </w:rPr>
        <w:t>需要有</w:t>
      </w:r>
      <w:r>
        <w:rPr>
          <w:rFonts w:hint="eastAsia" w:ascii="仿宋" w:hAnsi="仿宋" w:eastAsia="仿宋" w:cs="仿宋"/>
          <w:color w:val="auto"/>
          <w:kern w:val="2"/>
          <w:sz w:val="24"/>
          <w:szCs w:val="24"/>
          <w:highlight w:val="none"/>
          <w:lang w:val="en-US" w:eastAsia="zh-CN" w:bidi="ar-SA"/>
        </w:rPr>
        <w:t>预留空间，</w:t>
      </w:r>
      <w:r>
        <w:rPr>
          <w:rFonts w:hint="default" w:ascii="仿宋" w:hAnsi="仿宋" w:eastAsia="仿宋" w:cs="仿宋"/>
          <w:color w:val="auto"/>
          <w:kern w:val="2"/>
          <w:sz w:val="24"/>
          <w:szCs w:val="24"/>
          <w:highlight w:val="none"/>
          <w:lang w:val="en-US" w:eastAsia="zh-CN" w:bidi="ar-SA"/>
        </w:rPr>
        <w:t>能安装</w:t>
      </w:r>
      <w:r>
        <w:rPr>
          <w:rFonts w:hint="eastAsia" w:ascii="仿宋" w:hAnsi="仿宋" w:eastAsia="仿宋" w:cs="仿宋"/>
          <w:color w:val="auto"/>
          <w:kern w:val="2"/>
          <w:sz w:val="24"/>
          <w:szCs w:val="24"/>
          <w:highlight w:val="none"/>
          <w:lang w:val="en-US" w:eastAsia="zh-CN" w:bidi="ar-SA"/>
        </w:rPr>
        <w:t>导轨</w:t>
      </w:r>
      <w:r>
        <w:rPr>
          <w:rFonts w:hint="default" w:ascii="仿宋" w:hAnsi="仿宋" w:eastAsia="仿宋" w:cs="仿宋"/>
          <w:color w:val="auto"/>
          <w:kern w:val="2"/>
          <w:sz w:val="24"/>
          <w:szCs w:val="24"/>
          <w:highlight w:val="none"/>
          <w:lang w:val="en-US" w:eastAsia="zh-CN" w:bidi="ar-SA"/>
        </w:rPr>
        <w:t>、提供</w:t>
      </w:r>
      <w:r>
        <w:rPr>
          <w:rFonts w:hint="eastAsia" w:ascii="仿宋" w:hAnsi="仿宋" w:eastAsia="仿宋" w:cs="仿宋"/>
          <w:color w:val="auto"/>
          <w:kern w:val="2"/>
          <w:sz w:val="24"/>
          <w:szCs w:val="24"/>
          <w:highlight w:val="none"/>
          <w:lang w:val="en-US" w:eastAsia="zh-CN" w:bidi="ar-SA"/>
        </w:rPr>
        <w:t>交流电源，</w:t>
      </w:r>
      <w:r>
        <w:rPr>
          <w:rFonts w:hint="default" w:ascii="仿宋" w:hAnsi="仿宋" w:eastAsia="仿宋" w:cs="仿宋"/>
          <w:color w:val="auto"/>
          <w:kern w:val="2"/>
          <w:sz w:val="24"/>
          <w:szCs w:val="24"/>
          <w:highlight w:val="none"/>
          <w:lang w:val="en-US" w:eastAsia="zh-CN" w:bidi="ar-SA"/>
        </w:rPr>
        <w:t>便于</w:t>
      </w:r>
      <w:r>
        <w:rPr>
          <w:rFonts w:hint="eastAsia" w:ascii="仿宋" w:hAnsi="仿宋" w:eastAsia="仿宋" w:cs="仿宋"/>
          <w:color w:val="auto"/>
          <w:kern w:val="2"/>
          <w:sz w:val="24"/>
          <w:szCs w:val="24"/>
          <w:highlight w:val="none"/>
          <w:lang w:val="en-US" w:eastAsia="zh-CN" w:bidi="ar-SA"/>
        </w:rPr>
        <w:t>通讯管理机（20*20*5左右空间）</w:t>
      </w:r>
      <w:r>
        <w:rPr>
          <w:rFonts w:hint="default" w:ascii="仿宋" w:hAnsi="仿宋" w:eastAsia="仿宋" w:cs="仿宋"/>
          <w:color w:val="auto"/>
          <w:kern w:val="2"/>
          <w:sz w:val="24"/>
          <w:szCs w:val="24"/>
          <w:highlight w:val="none"/>
          <w:lang w:val="en-US" w:eastAsia="zh-CN" w:bidi="ar-SA"/>
        </w:rPr>
        <w:t>安装和调试。</w:t>
      </w:r>
    </w:p>
    <w:p>
      <w:pPr>
        <w:numPr>
          <w:ilvl w:val="0"/>
          <w:numId w:val="4"/>
        </w:numPr>
        <w:spacing w:line="360" w:lineRule="auto"/>
        <w:ind w:left="0" w:leftChars="0" w:firstLine="480" w:firstLineChars="200"/>
        <w:jc w:val="both"/>
        <w:rPr>
          <w:rFonts w:hint="default" w:ascii="仿宋" w:hAnsi="仿宋" w:eastAsia="仿宋" w:cs="仿宋"/>
          <w:color w:val="auto"/>
          <w:kern w:val="2"/>
          <w:sz w:val="24"/>
          <w:szCs w:val="24"/>
          <w:highlight w:val="none"/>
          <w:lang w:val="en-US" w:eastAsia="zh-CN" w:bidi="ar-SA"/>
        </w:rPr>
      </w:pPr>
      <w:r>
        <w:rPr>
          <w:rFonts w:hint="default" w:ascii="仿宋" w:hAnsi="仿宋" w:eastAsia="仿宋" w:cs="仿宋"/>
          <w:color w:val="auto"/>
          <w:kern w:val="2"/>
          <w:sz w:val="24"/>
          <w:szCs w:val="24"/>
          <w:highlight w:val="none"/>
          <w:lang w:val="en-US" w:eastAsia="zh-CN" w:bidi="ar-SA"/>
        </w:rPr>
        <w:t>集中采集：各桩统一铺设485线至通讯管理机(通讯箱中)，统一上传至第三方平台</w:t>
      </w:r>
      <w:r>
        <w:rPr>
          <w:rFonts w:hint="eastAsia" w:ascii="仿宋" w:hAnsi="仿宋" w:eastAsia="仿宋" w:cs="仿宋"/>
          <w:color w:val="auto"/>
          <w:kern w:val="2"/>
          <w:sz w:val="24"/>
          <w:szCs w:val="24"/>
          <w:highlight w:val="none"/>
          <w:lang w:val="en-US" w:eastAsia="zh-CN" w:bidi="ar-SA"/>
        </w:rPr>
        <w:t>。</w:t>
      </w:r>
    </w:p>
    <w:p>
      <w:pPr>
        <w:numPr>
          <w:ilvl w:val="0"/>
          <w:numId w:val="4"/>
        </w:numPr>
        <w:spacing w:line="360" w:lineRule="auto"/>
        <w:ind w:left="0" w:leftChars="0" w:firstLine="480" w:firstLineChars="200"/>
        <w:jc w:val="both"/>
        <w:rPr>
          <w:rFonts w:hint="eastAsia" w:ascii="仿宋" w:hAnsi="仿宋" w:eastAsia="仿宋" w:cs="仿宋"/>
          <w:color w:val="auto"/>
          <w:kern w:val="2"/>
          <w:sz w:val="24"/>
          <w:szCs w:val="24"/>
          <w:highlight w:val="none"/>
          <w:lang w:val="en-US" w:eastAsia="zh-CN" w:bidi="ar-SA"/>
        </w:rPr>
      </w:pPr>
      <w:r>
        <w:rPr>
          <w:rFonts w:hint="default" w:ascii="仿宋" w:hAnsi="仿宋" w:eastAsia="仿宋" w:cs="仿宋"/>
          <w:color w:val="auto"/>
          <w:kern w:val="2"/>
          <w:sz w:val="24"/>
          <w:szCs w:val="24"/>
          <w:highlight w:val="none"/>
          <w:lang w:val="en-US" w:eastAsia="zh-CN" w:bidi="ar-SA"/>
        </w:rPr>
        <w:t>数据直传：设置服务器外网ip和端口，数据直传至通讯服务。</w:t>
      </w:r>
    </w:p>
    <w:p>
      <w:pPr>
        <w:keepNext w:val="0"/>
        <w:keepLines w:val="0"/>
        <w:pageBreakBefore w:val="0"/>
        <w:widowControl/>
        <w:suppressLineNumbers w:val="0"/>
        <w:kinsoku/>
        <w:wordWrap/>
        <w:overflowPunct/>
        <w:topLinePunct w:val="0"/>
        <w:autoSpaceDE/>
        <w:autoSpaceDN/>
        <w:bidi w:val="0"/>
        <w:adjustRightInd/>
        <w:spacing w:line="360" w:lineRule="auto"/>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 xml:space="preserve"> 三、商务要求</w:t>
      </w:r>
      <w:r>
        <w:rPr>
          <w:rFonts w:hint="eastAsia" w:ascii="仿宋" w:hAnsi="仿宋" w:eastAsia="仿宋" w:cs="仿宋"/>
          <w:color w:val="auto"/>
          <w:kern w:val="2"/>
          <w:sz w:val="24"/>
          <w:szCs w:val="24"/>
          <w:highlight w:val="none"/>
          <w:lang w:val="en-US" w:eastAsia="zh-CN" w:bidi="ar-SA"/>
        </w:rPr>
        <w:t xml:space="preserve"> </w:t>
      </w:r>
    </w:p>
    <w:p>
      <w:pPr>
        <w:autoSpaceDE w:val="0"/>
        <w:autoSpaceDN w:val="0"/>
        <w:snapToGrid w:val="0"/>
        <w:spacing w:line="360" w:lineRule="auto"/>
        <w:ind w:firstLine="480" w:firstLineChars="200"/>
        <w:textAlignment w:val="bottom"/>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1、</w:t>
      </w:r>
      <w:r>
        <w:rPr>
          <w:rFonts w:hint="eastAsia" w:ascii="仿宋" w:hAnsi="仿宋" w:eastAsia="仿宋" w:cs="仿宋"/>
          <w:sz w:val="24"/>
          <w:szCs w:val="24"/>
        </w:rPr>
        <w:t>报价包括但不限于</w:t>
      </w:r>
      <w:r>
        <w:rPr>
          <w:rFonts w:hint="eastAsia" w:ascii="仿宋" w:hAnsi="仿宋" w:eastAsia="仿宋" w:cs="仿宋"/>
          <w:color w:val="auto"/>
          <w:sz w:val="24"/>
          <w:szCs w:val="24"/>
          <w:highlight w:val="none"/>
        </w:rPr>
        <w:t>货物（材料设备）费、包装</w:t>
      </w:r>
      <w:r>
        <w:rPr>
          <w:rFonts w:hint="eastAsia" w:ascii="仿宋" w:hAnsi="仿宋" w:eastAsia="仿宋" w:cs="仿宋"/>
          <w:color w:val="auto"/>
          <w:sz w:val="24"/>
          <w:szCs w:val="24"/>
          <w:highlight w:val="none"/>
          <w:lang w:val="en-US" w:eastAsia="zh-CN"/>
        </w:rPr>
        <w:t>费、</w:t>
      </w:r>
      <w:r>
        <w:rPr>
          <w:rFonts w:hint="eastAsia" w:ascii="仿宋" w:hAnsi="仿宋" w:eastAsia="仿宋" w:cs="仿宋"/>
          <w:color w:val="auto"/>
          <w:sz w:val="24"/>
          <w:szCs w:val="24"/>
          <w:highlight w:val="none"/>
        </w:rPr>
        <w:t>运输费、</w:t>
      </w:r>
      <w:r>
        <w:rPr>
          <w:rFonts w:hint="eastAsia" w:ascii="仿宋" w:hAnsi="仿宋" w:eastAsia="仿宋" w:cs="仿宋"/>
          <w:color w:val="auto"/>
          <w:sz w:val="24"/>
          <w:szCs w:val="24"/>
          <w:highlight w:val="none"/>
          <w:lang w:eastAsia="zh-CN"/>
        </w:rPr>
        <w:t>运输保险费、调试费、试运行费、</w:t>
      </w:r>
      <w:r>
        <w:rPr>
          <w:rFonts w:hint="eastAsia" w:ascii="仿宋" w:hAnsi="仿宋" w:eastAsia="仿宋" w:cs="仿宋"/>
          <w:color w:val="auto"/>
          <w:sz w:val="24"/>
          <w:szCs w:val="24"/>
          <w:highlight w:val="none"/>
        </w:rPr>
        <w:t>验收费、质保费（含质保期内技术服务、所需的备品备件及专用工具）、售后服务费、技术支持费、企业管理费、利润、税金</w:t>
      </w:r>
      <w:r>
        <w:rPr>
          <w:rFonts w:hint="eastAsia" w:ascii="仿宋" w:hAnsi="仿宋" w:eastAsia="仿宋" w:cs="仿宋"/>
          <w:sz w:val="24"/>
          <w:szCs w:val="24"/>
        </w:rPr>
        <w:t>等完成本项目所需的全部费用</w:t>
      </w:r>
      <w:r>
        <w:rPr>
          <w:rFonts w:hint="eastAsia" w:ascii="仿宋" w:hAnsi="仿宋" w:eastAsia="仿宋" w:cs="仿宋"/>
          <w:sz w:val="24"/>
          <w:szCs w:val="24"/>
          <w:highlight w:val="none"/>
          <w:lang w:eastAsia="zh-CN"/>
        </w:rPr>
        <w:t>。</w:t>
      </w:r>
    </w:p>
    <w:p>
      <w:pPr>
        <w:keepNext w:val="0"/>
        <w:keepLines w:val="0"/>
        <w:pageBreakBefore w:val="0"/>
        <w:widowControl/>
        <w:suppressLineNumbers w:val="0"/>
        <w:kinsoku/>
        <w:wordWrap/>
        <w:overflowPunct/>
        <w:topLinePunct w:val="0"/>
        <w:autoSpaceDE/>
        <w:autoSpaceDN/>
        <w:bidi w:val="0"/>
        <w:adjustRightInd/>
        <w:spacing w:line="360" w:lineRule="auto"/>
        <w:ind w:firstLine="480" w:firstLineChars="200"/>
        <w:jc w:val="left"/>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2、结算方式：</w:t>
      </w:r>
      <w:r>
        <w:rPr>
          <w:rFonts w:hint="eastAsia" w:ascii="仿宋" w:hAnsi="仿宋" w:eastAsia="仿宋" w:cs="仿宋"/>
          <w:sz w:val="24"/>
          <w:szCs w:val="24"/>
          <w:highlight w:val="none"/>
          <w:lang w:val="en-US" w:eastAsia="zh-CN"/>
        </w:rPr>
        <w:t>固定综合单价</w:t>
      </w:r>
      <w:r>
        <w:rPr>
          <w:rFonts w:hint="eastAsia" w:ascii="仿宋" w:hAnsi="仿宋" w:eastAsia="仿宋" w:cs="仿宋"/>
          <w:kern w:val="2"/>
          <w:sz w:val="24"/>
          <w:szCs w:val="24"/>
          <w:highlight w:val="none"/>
          <w:lang w:val="en-US" w:eastAsia="zh-CN" w:bidi="ar-SA"/>
        </w:rPr>
        <w:t>，数量按实结算。</w:t>
      </w:r>
    </w:p>
    <w:p>
      <w:pPr>
        <w:keepNext w:val="0"/>
        <w:keepLines w:val="0"/>
        <w:pageBreakBefore w:val="0"/>
        <w:kinsoku/>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3、付款方式：</w:t>
      </w:r>
    </w:p>
    <w:p>
      <w:pPr>
        <w:autoSpaceDE w:val="0"/>
        <w:autoSpaceDN w:val="0"/>
        <w:snapToGrid w:val="0"/>
        <w:spacing w:line="360" w:lineRule="auto"/>
        <w:ind w:firstLine="480" w:firstLineChars="200"/>
        <w:textAlignment w:val="bottom"/>
        <w:rPr>
          <w:rFonts w:hint="eastAsia" w:ascii="仿宋" w:hAnsi="仿宋" w:eastAsia="仿宋" w:cs="仿宋"/>
          <w:sz w:val="24"/>
          <w:szCs w:val="24"/>
          <w:lang w:val="en-US" w:eastAsia="zh-CN"/>
        </w:rPr>
      </w:pPr>
      <w:r>
        <w:rPr>
          <w:rFonts w:hint="eastAsia" w:ascii="仿宋" w:hAnsi="仿宋" w:eastAsia="仿宋" w:cs="仿宋"/>
          <w:sz w:val="24"/>
          <w:szCs w:val="24"/>
        </w:rPr>
        <w:t>合同有效期内综合单价固定不变（若合同有效期内国家税率调整的，则相应调整），结算价=实际到货验收合格数量×综合单价。</w:t>
      </w:r>
      <w:r>
        <w:rPr>
          <w:rFonts w:hint="eastAsia" w:ascii="仿宋" w:hAnsi="仿宋" w:eastAsia="仿宋" w:cs="仿宋"/>
          <w:sz w:val="24"/>
          <w:szCs w:val="24"/>
          <w:lang w:val="en-US" w:eastAsia="zh-CN"/>
        </w:rPr>
        <w:t>货到验收合格后支付100%款项。</w:t>
      </w:r>
      <w:r>
        <w:rPr>
          <w:rFonts w:hint="eastAsia" w:ascii="仿宋" w:hAnsi="仿宋" w:eastAsia="仿宋" w:cs="仿宋"/>
          <w:sz w:val="24"/>
          <w:szCs w:val="24"/>
        </w:rPr>
        <w:t>乙方应到货验收合格后开具货款的全额增值税专用发票，甲方收到乙方发票后30日历天内支付至100%，否则甲方有权拒绝付款且不视为甲方违约</w:t>
      </w:r>
      <w:r>
        <w:rPr>
          <w:rFonts w:hint="eastAsia" w:ascii="仿宋" w:hAnsi="仿宋" w:eastAsia="仿宋" w:cs="仿宋"/>
          <w:sz w:val="24"/>
          <w:szCs w:val="24"/>
          <w:lang w:eastAsia="zh-CN"/>
        </w:rPr>
        <w:t>。</w:t>
      </w:r>
    </w:p>
    <w:p>
      <w:pPr>
        <w:keepNext w:val="0"/>
        <w:keepLines w:val="0"/>
        <w:pageBreakBefore w:val="0"/>
        <w:kinsoku/>
        <w:overflowPunct/>
        <w:topLinePunct w:val="0"/>
        <w:autoSpaceDE/>
        <w:autoSpaceDN/>
        <w:bidi w:val="0"/>
        <w:adjustRightInd/>
        <w:snapToGrid/>
        <w:spacing w:line="360" w:lineRule="auto"/>
        <w:ind w:firstLine="480" w:firstLineChars="200"/>
        <w:textAlignment w:val="auto"/>
        <w:rPr>
          <w:rFonts w:hint="default" w:ascii="仿宋" w:hAnsi="仿宋" w:eastAsia="仿宋" w:cs="仿宋"/>
          <w:color w:val="000000"/>
          <w:kern w:val="0"/>
          <w:sz w:val="24"/>
          <w:szCs w:val="24"/>
          <w:highlight w:val="none"/>
          <w:lang w:val="en-US" w:eastAsia="zh-CN" w:bidi="ar"/>
        </w:rPr>
      </w:pPr>
      <w:r>
        <w:rPr>
          <w:rFonts w:hint="eastAsia" w:ascii="仿宋" w:hAnsi="仿宋" w:eastAsia="仿宋" w:cs="仿宋"/>
          <w:color w:val="000000"/>
          <w:kern w:val="0"/>
          <w:sz w:val="24"/>
          <w:szCs w:val="24"/>
          <w:highlight w:val="none"/>
          <w:lang w:val="en-US" w:eastAsia="zh-CN" w:bidi="ar"/>
        </w:rPr>
        <w:t>4、履约保证金：</w:t>
      </w:r>
      <w:r>
        <w:rPr>
          <w:rFonts w:hint="eastAsia" w:ascii="仿宋" w:hAnsi="仿宋" w:eastAsia="仿宋" w:cs="仿宋"/>
          <w:color w:val="000000"/>
          <w:kern w:val="0"/>
          <w:sz w:val="24"/>
          <w:szCs w:val="24"/>
          <w:highlight w:val="yellow"/>
          <w:lang w:val="en-US" w:eastAsia="zh-CN" w:bidi="ar"/>
        </w:rPr>
        <w:t>3</w:t>
      </w:r>
      <w:r>
        <w:rPr>
          <w:rFonts w:hint="eastAsia" w:ascii="仿宋" w:hAnsi="仿宋" w:eastAsia="仿宋" w:cs="仿宋"/>
          <w:color w:val="000000"/>
          <w:kern w:val="0"/>
          <w:sz w:val="24"/>
          <w:szCs w:val="24"/>
          <w:highlight w:val="none"/>
          <w:lang w:val="en-US" w:eastAsia="zh-CN" w:bidi="ar"/>
        </w:rPr>
        <w:t>万元。</w:t>
      </w:r>
    </w:p>
    <w:p>
      <w:pPr>
        <w:keepNext w:val="0"/>
        <w:keepLines w:val="0"/>
        <w:pageBreakBefore w:val="0"/>
        <w:kinsoku/>
        <w:overflowPunct/>
        <w:topLinePunct w:val="0"/>
        <w:autoSpaceDE/>
        <w:autoSpaceDN/>
        <w:bidi w:val="0"/>
        <w:adjustRightInd/>
        <w:snapToGrid/>
        <w:spacing w:line="360" w:lineRule="auto"/>
        <w:ind w:firstLine="480" w:firstLineChars="2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5、质量保证金：履约保证金在框架协议有效期内所有订单货物通过验收后转为质量保证金</w:t>
      </w:r>
      <w:r>
        <w:rPr>
          <w:rFonts w:hint="eastAsia" w:ascii="仿宋" w:hAnsi="仿宋" w:eastAsia="仿宋" w:cs="仿宋"/>
          <w:color w:val="auto"/>
          <w:sz w:val="24"/>
          <w:szCs w:val="24"/>
          <w:highlight w:val="none"/>
          <w:lang w:val="en-US" w:eastAsia="zh-CN"/>
        </w:rPr>
        <w:t>（若合同履约过程中扣款不足</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none"/>
          <w:lang w:val="en-US" w:eastAsia="zh-CN"/>
        </w:rPr>
        <w:t>万元，则应在【7】日内补足至</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none"/>
          <w:lang w:val="en-US" w:eastAsia="zh-CN"/>
        </w:rPr>
        <w:t>万元）</w:t>
      </w:r>
      <w:r>
        <w:rPr>
          <w:rFonts w:hint="eastAsia" w:ascii="仿宋" w:hAnsi="仿宋" w:eastAsia="仿宋" w:cs="仿宋"/>
          <w:sz w:val="24"/>
          <w:szCs w:val="24"/>
          <w:lang w:val="en-US" w:eastAsia="zh-CN"/>
        </w:rPr>
        <w:t>。退还时间：</w:t>
      </w:r>
      <w:r>
        <w:rPr>
          <w:rFonts w:hint="eastAsia" w:ascii="仿宋" w:hAnsi="仿宋" w:eastAsia="仿宋" w:cs="仿宋"/>
          <w:sz w:val="24"/>
          <w:szCs w:val="24"/>
          <w:highlight w:val="none"/>
          <w:lang w:val="en-US" w:eastAsia="zh-CN"/>
        </w:rPr>
        <w:t>保修期结束后15个日历天内无息退还</w:t>
      </w:r>
      <w:r>
        <w:rPr>
          <w:rFonts w:hint="eastAsia" w:ascii="仿宋" w:hAnsi="仿宋" w:eastAsia="仿宋" w:cs="仿宋"/>
          <w:sz w:val="24"/>
          <w:szCs w:val="24"/>
          <w:highlight w:val="none"/>
          <w:lang w:eastAsia="zh-CN"/>
        </w:rPr>
        <w:t>。</w:t>
      </w:r>
    </w:p>
    <w:p>
      <w:pPr>
        <w:keepNext w:val="0"/>
        <w:keepLines w:val="0"/>
        <w:pageBreakBefore w:val="0"/>
        <w:widowControl/>
        <w:suppressLineNumbers w:val="0"/>
        <w:kinsoku/>
        <w:wordWrap/>
        <w:overflowPunct/>
        <w:topLinePunct w:val="0"/>
        <w:autoSpaceDE/>
        <w:autoSpaceDN/>
        <w:bidi w:val="0"/>
        <w:adjustRightInd/>
        <w:spacing w:line="360" w:lineRule="auto"/>
        <w:ind w:firstLine="482" w:firstLineChars="200"/>
        <w:jc w:val="left"/>
        <w:rPr>
          <w:rFonts w:hint="eastAsia" w:ascii="仿宋" w:hAnsi="仿宋" w:eastAsia="仿宋" w:cs="仿宋"/>
          <w:b/>
          <w:sz w:val="24"/>
          <w:szCs w:val="24"/>
          <w:highlight w:val="none"/>
          <w:lang w:val="en-US" w:eastAsia="zh-CN"/>
        </w:rPr>
      </w:pPr>
      <w:r>
        <w:rPr>
          <w:rFonts w:hint="eastAsia" w:ascii="仿宋" w:hAnsi="仿宋" w:eastAsia="仿宋" w:cs="仿宋"/>
          <w:b/>
          <w:sz w:val="24"/>
          <w:szCs w:val="24"/>
          <w:highlight w:val="none"/>
          <w:lang w:val="en-US" w:eastAsia="zh-CN"/>
        </w:rPr>
        <w:t>四、服务要求</w:t>
      </w:r>
    </w:p>
    <w:p>
      <w:pPr>
        <w:keepNext w:val="0"/>
        <w:keepLines w:val="0"/>
        <w:pageBreakBefore w:val="0"/>
        <w:widowControl/>
        <w:suppressLineNumbers w:val="0"/>
        <w:kinsoku/>
        <w:wordWrap/>
        <w:overflowPunct/>
        <w:topLinePunct w:val="0"/>
        <w:autoSpaceDE/>
        <w:autoSpaceDN/>
        <w:bidi w:val="0"/>
        <w:adjustRightInd/>
        <w:spacing w:line="360" w:lineRule="auto"/>
        <w:ind w:firstLine="480" w:firstLineChars="200"/>
        <w:jc w:val="left"/>
        <w:rPr>
          <w:rFonts w:hint="eastAsia" w:ascii="仿宋" w:hAnsi="仿宋" w:eastAsia="仿宋" w:cs="仿宋"/>
          <w:b/>
          <w:bCs/>
          <w:color w:val="auto"/>
          <w:kern w:val="0"/>
          <w:sz w:val="24"/>
          <w:szCs w:val="24"/>
          <w:highlight w:val="none"/>
          <w:lang w:eastAsia="zh-CN"/>
        </w:rPr>
      </w:pPr>
      <w:r>
        <w:rPr>
          <w:rFonts w:hint="eastAsia" w:ascii="仿宋" w:hAnsi="仿宋" w:eastAsia="仿宋" w:cs="仿宋"/>
          <w:color w:val="000000"/>
          <w:kern w:val="0"/>
          <w:sz w:val="24"/>
          <w:szCs w:val="24"/>
          <w:highlight w:val="none"/>
          <w:lang w:val="en-US" w:eastAsia="zh-CN" w:bidi="ar"/>
        </w:rPr>
        <w:t>1、供货方式：</w:t>
      </w:r>
      <w:r>
        <w:rPr>
          <w:rFonts w:hint="eastAsia" w:ascii="仿宋" w:hAnsi="仿宋" w:eastAsia="仿宋" w:cs="仿宋"/>
          <w:b w:val="0"/>
          <w:bCs w:val="0"/>
          <w:sz w:val="24"/>
          <w:szCs w:val="24"/>
          <w:highlight w:val="none"/>
          <w:lang w:val="en-US" w:eastAsia="zh-CN"/>
        </w:rPr>
        <w:t>甲方根据各项目工程施工进度下达供货订单，</w:t>
      </w:r>
      <w:r>
        <w:rPr>
          <w:rFonts w:hint="eastAsia" w:ascii="仿宋" w:hAnsi="仿宋" w:eastAsia="仿宋" w:cs="仿宋"/>
          <w:b w:val="0"/>
          <w:bCs w:val="0"/>
          <w:sz w:val="24"/>
          <w:szCs w:val="24"/>
          <w:highlight w:val="none"/>
        </w:rPr>
        <w:t>具体各批交货数量和交货时间</w:t>
      </w:r>
      <w:r>
        <w:rPr>
          <w:rFonts w:hint="eastAsia" w:ascii="仿宋" w:hAnsi="仿宋" w:eastAsia="仿宋" w:cs="仿宋"/>
          <w:b w:val="0"/>
          <w:bCs w:val="0"/>
          <w:sz w:val="24"/>
          <w:szCs w:val="24"/>
          <w:highlight w:val="none"/>
          <w:lang w:eastAsia="zh-CN"/>
        </w:rPr>
        <w:t>、</w:t>
      </w:r>
      <w:r>
        <w:rPr>
          <w:rFonts w:hint="eastAsia" w:ascii="仿宋" w:hAnsi="仿宋" w:eastAsia="仿宋" w:cs="仿宋"/>
          <w:b w:val="0"/>
          <w:bCs w:val="0"/>
          <w:sz w:val="24"/>
          <w:szCs w:val="24"/>
          <w:highlight w:val="none"/>
          <w:lang w:val="en-US" w:eastAsia="zh-CN"/>
        </w:rPr>
        <w:t>地点</w:t>
      </w:r>
      <w:r>
        <w:rPr>
          <w:rFonts w:hint="eastAsia" w:ascii="仿宋" w:hAnsi="仿宋" w:eastAsia="仿宋" w:cs="仿宋"/>
          <w:b w:val="0"/>
          <w:bCs w:val="0"/>
          <w:sz w:val="24"/>
          <w:szCs w:val="24"/>
          <w:highlight w:val="none"/>
        </w:rPr>
        <w:t>以</w:t>
      </w:r>
      <w:r>
        <w:rPr>
          <w:rFonts w:hint="eastAsia" w:ascii="仿宋" w:hAnsi="仿宋" w:eastAsia="仿宋" w:cs="仿宋"/>
          <w:b w:val="0"/>
          <w:bCs w:val="0"/>
          <w:sz w:val="24"/>
          <w:szCs w:val="24"/>
          <w:highlight w:val="none"/>
          <w:lang w:eastAsia="zh-CN"/>
        </w:rPr>
        <w:t>甲方</w:t>
      </w:r>
      <w:r>
        <w:rPr>
          <w:rFonts w:hint="eastAsia" w:ascii="仿宋" w:hAnsi="仿宋" w:eastAsia="仿宋" w:cs="仿宋"/>
          <w:b w:val="0"/>
          <w:bCs w:val="0"/>
          <w:sz w:val="24"/>
          <w:szCs w:val="24"/>
          <w:highlight w:val="none"/>
        </w:rPr>
        <w:t>书面</w:t>
      </w:r>
      <w:r>
        <w:rPr>
          <w:rFonts w:hint="eastAsia" w:ascii="仿宋" w:hAnsi="仿宋" w:eastAsia="仿宋" w:cs="仿宋"/>
          <w:b w:val="0"/>
          <w:bCs w:val="0"/>
          <w:sz w:val="24"/>
          <w:szCs w:val="24"/>
          <w:highlight w:val="none"/>
          <w:lang w:eastAsia="zh-CN"/>
        </w:rPr>
        <w:t>采购订单</w:t>
      </w:r>
      <w:r>
        <w:rPr>
          <w:rFonts w:hint="eastAsia" w:ascii="仿宋" w:hAnsi="仿宋" w:eastAsia="仿宋" w:cs="仿宋"/>
          <w:b w:val="0"/>
          <w:bCs w:val="0"/>
          <w:sz w:val="24"/>
          <w:szCs w:val="24"/>
          <w:highlight w:val="none"/>
        </w:rPr>
        <w:t>为准</w:t>
      </w:r>
      <w:r>
        <w:rPr>
          <w:rFonts w:hint="eastAsia" w:ascii="仿宋" w:hAnsi="仿宋" w:eastAsia="仿宋" w:cs="仿宋"/>
          <w:b w:val="0"/>
          <w:bCs w:val="0"/>
          <w:sz w:val="24"/>
          <w:szCs w:val="24"/>
          <w:highlight w:val="none"/>
          <w:lang w:eastAsia="zh-CN"/>
        </w:rPr>
        <w:t>。</w:t>
      </w:r>
    </w:p>
    <w:p>
      <w:pPr>
        <w:pStyle w:val="8"/>
        <w:keepNext w:val="0"/>
        <w:keepLines w:val="0"/>
        <w:pageBreakBefore w:val="0"/>
        <w:kinsoku/>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b w:val="0"/>
          <w:bCs w:val="0"/>
          <w:sz w:val="24"/>
          <w:szCs w:val="24"/>
        </w:rPr>
      </w:pPr>
      <w:r>
        <w:rPr>
          <w:rFonts w:hint="eastAsia" w:ascii="仿宋" w:hAnsi="仿宋" w:eastAsia="仿宋" w:cs="仿宋"/>
          <w:sz w:val="24"/>
          <w:szCs w:val="24"/>
          <w:highlight w:val="none"/>
          <w:lang w:val="en-US" w:eastAsia="zh-CN"/>
        </w:rPr>
        <w:t>2、</w:t>
      </w:r>
      <w:r>
        <w:rPr>
          <w:rFonts w:hint="eastAsia" w:ascii="仿宋" w:hAnsi="仿宋" w:eastAsia="仿宋" w:cs="仿宋"/>
          <w:b w:val="0"/>
          <w:bCs w:val="0"/>
          <w:sz w:val="24"/>
          <w:szCs w:val="24"/>
        </w:rPr>
        <w:t>供货期</w:t>
      </w:r>
      <w:r>
        <w:rPr>
          <w:rFonts w:hint="eastAsia" w:ascii="仿宋" w:hAnsi="仿宋" w:eastAsia="仿宋" w:cs="仿宋"/>
          <w:b w:val="0"/>
          <w:bCs w:val="0"/>
          <w:kern w:val="2"/>
          <w:sz w:val="24"/>
          <w:szCs w:val="24"/>
          <w:highlight w:val="none"/>
          <w:lang w:val="en-US" w:eastAsia="zh-CN" w:bidi="ar-SA"/>
        </w:rPr>
        <w:t>：乙方收到甲方订单之日起10个工作日内完成供货。供货地点：甲方指定地点（施工现场）。</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val="en-US" w:eastAsia="zh-CN"/>
        </w:rPr>
        <w:t>3、</w:t>
      </w:r>
      <w:r>
        <w:rPr>
          <w:rFonts w:hint="eastAsia" w:ascii="仿宋" w:hAnsi="仿宋" w:eastAsia="仿宋" w:cs="仿宋"/>
          <w:color w:val="auto"/>
          <w:sz w:val="24"/>
          <w:szCs w:val="24"/>
          <w:highlight w:val="none"/>
          <w:lang w:eastAsia="zh-CN"/>
        </w:rPr>
        <w:t>保修期</w:t>
      </w:r>
      <w:r>
        <w:rPr>
          <w:rFonts w:hint="eastAsia" w:ascii="仿宋" w:hAnsi="仿宋" w:eastAsia="仿宋" w:cs="仿宋"/>
          <w:color w:val="auto"/>
          <w:sz w:val="24"/>
          <w:szCs w:val="24"/>
          <w:highlight w:val="none"/>
        </w:rPr>
        <w:t>：</w:t>
      </w:r>
      <w:r>
        <w:rPr>
          <w:rFonts w:hint="eastAsia" w:ascii="仿宋" w:hAnsi="仿宋" w:eastAsia="仿宋" w:cs="仿宋"/>
          <w:sz w:val="24"/>
          <w:szCs w:val="24"/>
          <w:highlight w:val="none"/>
          <w:lang w:eastAsia="zh-CN"/>
        </w:rPr>
        <w:t>合同期限内所有货物</w:t>
      </w:r>
      <w:r>
        <w:rPr>
          <w:rFonts w:hint="eastAsia" w:ascii="仿宋" w:hAnsi="仿宋" w:eastAsia="仿宋" w:cs="仿宋"/>
          <w:sz w:val="24"/>
          <w:szCs w:val="24"/>
          <w:highlight w:val="none"/>
        </w:rPr>
        <w:t>验收合格之日起</w:t>
      </w:r>
      <w:r>
        <w:rPr>
          <w:rFonts w:hint="eastAsia" w:ascii="仿宋" w:hAnsi="仿宋" w:eastAsia="仿宋" w:cs="仿宋"/>
          <w:sz w:val="24"/>
          <w:szCs w:val="24"/>
          <w:highlight w:val="none"/>
          <w:shd w:val="clear" w:fill="FFFF00"/>
          <w:lang w:val="en-US" w:eastAsia="zh-CN"/>
        </w:rPr>
        <w:t>3</w:t>
      </w:r>
      <w:r>
        <w:rPr>
          <w:rFonts w:hint="eastAsia" w:ascii="仿宋" w:hAnsi="仿宋" w:eastAsia="仿宋" w:cs="仿宋"/>
          <w:sz w:val="24"/>
          <w:szCs w:val="24"/>
          <w:highlight w:val="none"/>
        </w:rPr>
        <w:t>年</w:t>
      </w:r>
      <w:r>
        <w:rPr>
          <w:rFonts w:hint="eastAsia" w:ascii="仿宋" w:hAnsi="仿宋" w:eastAsia="仿宋" w:cs="仿宋"/>
          <w:sz w:val="24"/>
          <w:szCs w:val="24"/>
          <w:highlight w:val="none"/>
          <w:lang w:eastAsia="zh-CN"/>
        </w:rPr>
        <w:t>。</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4、服务期：合同签订之日起至工程结束。</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sz w:val="24"/>
          <w:szCs w:val="24"/>
          <w:highlight w:val="none"/>
          <w:lang w:val="en-US" w:eastAsia="zh-CN"/>
        </w:rPr>
        <w:t>供应商必须自行完成采购项目，严禁分包、转包，一经发现，询价人有权单方提前解除协议，供应商应当赔偿由此造成询价人的一切损失。</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6.协议履行过程中，若有以次充好、不响应询价人需求或其他违反协议履行的情况，询价人有权单方提前解除协议，并没收履约保证金，情节严重的，赔偿由此引发的一切损失，并承担相应的法律责任。</w:t>
      </w:r>
    </w:p>
    <w:bookmarkEnd w:id="17"/>
    <w:bookmarkEnd w:id="18"/>
    <w:bookmarkEnd w:id="19"/>
    <w:bookmarkEnd w:id="21"/>
    <w:bookmarkEnd w:id="22"/>
    <w:p>
      <w:pPr>
        <w:pageBreakBefore w:val="0"/>
        <w:kinsoku/>
        <w:wordWrap/>
        <w:overflowPunct/>
        <w:topLinePunct w:val="0"/>
        <w:autoSpaceDE/>
        <w:autoSpaceDN/>
        <w:bidi w:val="0"/>
        <w:adjustRightInd/>
        <w:spacing w:line="360" w:lineRule="auto"/>
        <w:jc w:val="left"/>
        <w:rPr>
          <w:rFonts w:ascii="仿宋" w:hAnsi="仿宋" w:eastAsia="仿宋" w:cs="仿宋"/>
          <w:b/>
          <w:sz w:val="24"/>
          <w:szCs w:val="24"/>
          <w:highlight w:val="none"/>
        </w:rPr>
      </w:pPr>
      <w:bookmarkStart w:id="31" w:name="_Toc21836"/>
      <w:bookmarkStart w:id="32" w:name="_Toc2408"/>
    </w:p>
    <w:p>
      <w:pPr>
        <w:numPr>
          <w:ilvl w:val="0"/>
          <w:numId w:val="0"/>
        </w:numPr>
        <w:jc w:val="center"/>
        <w:outlineLvl w:val="0"/>
        <w:rPr>
          <w:rFonts w:hint="eastAsia" w:ascii="仿宋" w:hAnsi="仿宋" w:eastAsia="仿宋" w:cs="仿宋"/>
          <w:b/>
          <w:bCs/>
          <w:kern w:val="44"/>
          <w:sz w:val="44"/>
          <w:szCs w:val="44"/>
          <w:highlight w:val="none"/>
          <w:lang w:val="en-US" w:eastAsia="zh-CN" w:bidi="ar-SA"/>
        </w:rPr>
      </w:pPr>
      <w:bookmarkStart w:id="33" w:name="_Toc7546"/>
      <w:r>
        <w:rPr>
          <w:rFonts w:hint="eastAsia" w:ascii="仿宋" w:hAnsi="仿宋" w:eastAsia="仿宋" w:cs="仿宋"/>
          <w:b/>
          <w:bCs/>
          <w:kern w:val="44"/>
          <w:sz w:val="44"/>
          <w:szCs w:val="44"/>
          <w:highlight w:val="none"/>
          <w:lang w:val="en-US" w:eastAsia="zh-CN" w:bidi="ar-SA"/>
        </w:rPr>
        <w:t>第三章、合同的主要条款</w:t>
      </w:r>
    </w:p>
    <w:p>
      <w:pPr>
        <w:numPr>
          <w:ilvl w:val="0"/>
          <w:numId w:val="0"/>
        </w:numPr>
        <w:jc w:val="center"/>
        <w:outlineLvl w:val="0"/>
        <w:rPr>
          <w:rFonts w:hint="eastAsia" w:ascii="仿宋" w:hAnsi="仿宋" w:eastAsia="仿宋" w:cs="仿宋"/>
          <w:color w:val="auto"/>
          <w:sz w:val="24"/>
          <w:szCs w:val="24"/>
          <w:highlight w:val="none"/>
        </w:rPr>
      </w:pPr>
      <w:r>
        <w:rPr>
          <w:rStyle w:val="27"/>
          <w:rFonts w:hint="eastAsia" w:ascii="仿宋" w:hAnsi="仿宋" w:eastAsia="仿宋" w:cs="仿宋"/>
          <w:b/>
          <w:color w:val="000000"/>
          <w:sz w:val="32"/>
          <w:szCs w:val="32"/>
          <w:highlight w:val="none"/>
          <w:lang w:val="en-US" w:eastAsia="zh-CN"/>
        </w:rPr>
        <w:t>材料</w:t>
      </w:r>
      <w:r>
        <w:rPr>
          <w:rStyle w:val="27"/>
          <w:rFonts w:hint="eastAsia" w:ascii="仿宋" w:hAnsi="仿宋" w:eastAsia="仿宋" w:cs="仿宋"/>
          <w:b/>
          <w:color w:val="000000"/>
          <w:sz w:val="32"/>
          <w:szCs w:val="32"/>
          <w:highlight w:val="none"/>
          <w:lang w:eastAsia="zh-CN"/>
        </w:rPr>
        <w:t>采购合同</w:t>
      </w:r>
      <w:r>
        <w:rPr>
          <w:rFonts w:hint="eastAsia" w:ascii="仿宋" w:hAnsi="仿宋" w:eastAsia="仿宋" w:cs="仿宋"/>
          <w:color w:val="auto"/>
          <w:sz w:val="32"/>
          <w:szCs w:val="32"/>
          <w:highlight w:val="none"/>
        </w:rPr>
        <w:t xml:space="preserve">  </w:t>
      </w:r>
      <w:r>
        <w:rPr>
          <w:rFonts w:hint="eastAsia" w:ascii="仿宋" w:hAnsi="仿宋" w:eastAsia="仿宋" w:cs="仿宋"/>
          <w:color w:val="auto"/>
          <w:sz w:val="24"/>
          <w:szCs w:val="24"/>
          <w:highlight w:val="none"/>
        </w:rPr>
        <w:t xml:space="preserve">         </w:t>
      </w:r>
    </w:p>
    <w:p>
      <w:pPr>
        <w:keepNext w:val="0"/>
        <w:keepLines w:val="0"/>
        <w:pageBreakBefore w:val="0"/>
        <w:kinsoku/>
        <w:overflowPunct/>
        <w:topLinePunct w:val="0"/>
        <w:autoSpaceDE/>
        <w:autoSpaceDN/>
        <w:bidi w:val="0"/>
        <w:spacing w:line="6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甲方：杭州市能源集团工程科技有限公司                                   </w:t>
      </w:r>
    </w:p>
    <w:p>
      <w:pPr>
        <w:keepNext w:val="0"/>
        <w:keepLines w:val="0"/>
        <w:pageBreakBefore w:val="0"/>
        <w:kinsoku/>
        <w:overflowPunct/>
        <w:topLinePunct w:val="0"/>
        <w:autoSpaceDE/>
        <w:autoSpaceDN/>
        <w:bidi w:val="0"/>
        <w:spacing w:line="600" w:lineRule="exact"/>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 xml:space="preserve">乙方： </w:t>
      </w:r>
    </w:p>
    <w:p>
      <w:pPr>
        <w:keepNext w:val="0"/>
        <w:keepLines w:val="0"/>
        <w:pageBreakBefore w:val="0"/>
        <w:widowControl/>
        <w:kinsoku/>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根据《中华人民共和国民法典》及其他适用的法律法规，</w:t>
      </w:r>
      <w:r>
        <w:rPr>
          <w:rFonts w:hint="eastAsia" w:ascii="仿宋" w:hAnsi="仿宋" w:eastAsia="仿宋" w:cs="仿宋"/>
          <w:color w:val="auto"/>
          <w:kern w:val="0"/>
          <w:sz w:val="24"/>
          <w:szCs w:val="24"/>
          <w:highlight w:val="none"/>
        </w:rPr>
        <w:t>经</w:t>
      </w:r>
      <w:r>
        <w:rPr>
          <w:rFonts w:hint="eastAsia" w:ascii="仿宋" w:hAnsi="仿宋" w:eastAsia="仿宋" w:cs="仿宋"/>
          <w:color w:val="auto"/>
          <w:sz w:val="24"/>
          <w:szCs w:val="24"/>
          <w:highlight w:val="none"/>
        </w:rPr>
        <w:t>甲乙双方</w:t>
      </w:r>
      <w:r>
        <w:rPr>
          <w:rFonts w:hint="eastAsia" w:ascii="仿宋" w:hAnsi="仿宋" w:eastAsia="仿宋" w:cs="仿宋"/>
          <w:color w:val="auto"/>
          <w:kern w:val="0"/>
          <w:sz w:val="24"/>
          <w:szCs w:val="24"/>
          <w:highlight w:val="none"/>
        </w:rPr>
        <w:t>协商一致，签订本合同。</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一、采购内容</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kern w:val="0"/>
          <w:sz w:val="24"/>
          <w:szCs w:val="24"/>
          <w:highlight w:val="none"/>
          <w:lang w:val="en-US" w:eastAsia="zh-CN" w:bidi="ar-SA"/>
        </w:rPr>
        <w:t>充电桩的</w:t>
      </w:r>
      <w:r>
        <w:rPr>
          <w:rFonts w:hint="eastAsia" w:ascii="仿宋" w:hAnsi="仿宋" w:eastAsia="仿宋" w:cs="仿宋"/>
          <w:sz w:val="24"/>
          <w:szCs w:val="24"/>
          <w:lang w:eastAsia="zh-CN"/>
        </w:rPr>
        <w:t>供货、运输、指导安装、</w:t>
      </w:r>
      <w:r>
        <w:rPr>
          <w:rFonts w:hint="eastAsia" w:ascii="仿宋" w:hAnsi="仿宋" w:eastAsia="仿宋" w:cs="仿宋"/>
          <w:sz w:val="24"/>
          <w:szCs w:val="24"/>
          <w:lang w:val="en-US" w:eastAsia="zh-CN"/>
        </w:rPr>
        <w:t>调试、试运行、</w:t>
      </w:r>
      <w:r>
        <w:rPr>
          <w:rFonts w:hint="eastAsia" w:ascii="仿宋" w:hAnsi="仿宋" w:eastAsia="仿宋" w:cs="仿宋"/>
          <w:sz w:val="24"/>
          <w:szCs w:val="24"/>
          <w:lang w:eastAsia="zh-CN"/>
        </w:rPr>
        <w:t>验收、售后及质保服务。</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二、</w:t>
      </w:r>
      <w:r>
        <w:rPr>
          <w:rFonts w:hint="eastAsia" w:ascii="仿宋" w:hAnsi="仿宋" w:eastAsia="仿宋" w:cs="仿宋"/>
          <w:color w:val="auto"/>
          <w:sz w:val="24"/>
          <w:szCs w:val="24"/>
          <w:highlight w:val="none"/>
          <w:lang w:val="en-US" w:eastAsia="zh-CN"/>
        </w:rPr>
        <w:t>规范及技术要求</w:t>
      </w:r>
    </w:p>
    <w:p>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val="0"/>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rPr>
        <w:t>乙方应依据</w:t>
      </w:r>
      <w:r>
        <w:rPr>
          <w:rFonts w:hint="eastAsia" w:ascii="仿宋" w:hAnsi="仿宋" w:eastAsia="仿宋" w:cs="仿宋"/>
          <w:sz w:val="24"/>
          <w:szCs w:val="24"/>
          <w:lang w:eastAsia="zh-CN"/>
        </w:rPr>
        <w:t>询价文件</w:t>
      </w:r>
      <w:r>
        <w:rPr>
          <w:rFonts w:hint="eastAsia" w:ascii="仿宋" w:hAnsi="仿宋" w:eastAsia="仿宋" w:cs="仿宋"/>
          <w:sz w:val="24"/>
          <w:szCs w:val="24"/>
        </w:rPr>
        <w:t>“第</w:t>
      </w:r>
      <w:r>
        <w:rPr>
          <w:rFonts w:hint="eastAsia" w:ascii="仿宋" w:hAnsi="仿宋" w:eastAsia="仿宋" w:cs="仿宋"/>
          <w:sz w:val="24"/>
          <w:szCs w:val="24"/>
          <w:lang w:eastAsia="zh-CN"/>
        </w:rPr>
        <w:t>二</w:t>
      </w:r>
      <w:r>
        <w:rPr>
          <w:rFonts w:hint="eastAsia" w:ascii="仿宋" w:hAnsi="仿宋" w:eastAsia="仿宋" w:cs="仿宋"/>
          <w:sz w:val="24"/>
          <w:szCs w:val="24"/>
        </w:rPr>
        <w:t>部分 采购需求和技术要求”所规定的规范和技术要求进行</w:t>
      </w:r>
      <w:r>
        <w:rPr>
          <w:rFonts w:hint="eastAsia" w:ascii="仿宋" w:hAnsi="仿宋" w:eastAsia="仿宋" w:cs="仿宋"/>
          <w:sz w:val="24"/>
          <w:szCs w:val="24"/>
          <w:lang w:eastAsia="zh-CN"/>
        </w:rPr>
        <w:t>协议</w:t>
      </w:r>
      <w:r>
        <w:rPr>
          <w:rFonts w:hint="eastAsia" w:ascii="仿宋" w:hAnsi="仿宋" w:eastAsia="仿宋" w:cs="仿宋"/>
          <w:sz w:val="24"/>
          <w:szCs w:val="24"/>
        </w:rPr>
        <w:t>货物的</w:t>
      </w:r>
      <w:r>
        <w:rPr>
          <w:rFonts w:hint="eastAsia" w:ascii="仿宋" w:hAnsi="仿宋" w:eastAsia="仿宋" w:cs="仿宋"/>
          <w:sz w:val="24"/>
          <w:szCs w:val="24"/>
          <w:lang w:eastAsia="zh-CN"/>
        </w:rPr>
        <w:t>供货</w:t>
      </w:r>
      <w:r>
        <w:rPr>
          <w:rFonts w:hint="eastAsia" w:ascii="仿宋" w:hAnsi="仿宋" w:eastAsia="仿宋" w:cs="仿宋"/>
          <w:sz w:val="24"/>
          <w:szCs w:val="24"/>
        </w:rPr>
        <w:t>、运输</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且不得低于其他强制性国家标准、推荐性国家标准、行业标准和交易习惯的规范和技术要求</w:t>
      </w:r>
      <w:r>
        <w:rPr>
          <w:rFonts w:hint="eastAsia" w:ascii="仿宋" w:hAnsi="仿宋" w:eastAsia="仿宋" w:cs="仿宋"/>
          <w:color w:val="auto"/>
          <w:sz w:val="24"/>
          <w:szCs w:val="24"/>
          <w:highlight w:val="none"/>
          <w:lang w:eastAsia="zh-CN"/>
        </w:rPr>
        <w:t>。</w:t>
      </w:r>
    </w:p>
    <w:p>
      <w:pPr>
        <w:keepNext w:val="0"/>
        <w:keepLines w:val="0"/>
        <w:pageBreakBefore w:val="0"/>
        <w:kinsoku/>
        <w:overflowPunct/>
        <w:topLinePunct w:val="0"/>
        <w:autoSpaceDE/>
        <w:autoSpaceDN/>
        <w:bidi w:val="0"/>
        <w:spacing w:line="360" w:lineRule="auto"/>
        <w:ind w:firstLine="480" w:firstLineChars="200"/>
        <w:textAlignment w:val="auto"/>
        <w:outlineLvl w:val="1"/>
        <w:rPr>
          <w:rFonts w:hint="eastAsia" w:ascii="仿宋" w:hAnsi="仿宋" w:eastAsia="仿宋" w:cs="仿宋"/>
          <w:b w:val="0"/>
          <w:bCs/>
          <w:color w:val="auto"/>
          <w:sz w:val="24"/>
          <w:szCs w:val="24"/>
          <w:highlight w:val="none"/>
        </w:rPr>
      </w:pPr>
      <w:r>
        <w:rPr>
          <w:rFonts w:hint="eastAsia" w:ascii="仿宋" w:hAnsi="仿宋" w:eastAsia="仿宋" w:cs="仿宋"/>
          <w:color w:val="auto"/>
          <w:sz w:val="24"/>
          <w:szCs w:val="24"/>
          <w:highlight w:val="none"/>
          <w:vertAlign w:val="baseline"/>
          <w:lang w:val="en-US" w:eastAsia="zh-CN"/>
        </w:rPr>
        <w:t xml:space="preserve"> </w:t>
      </w:r>
      <w:r>
        <w:rPr>
          <w:rFonts w:hint="eastAsia" w:ascii="仿宋" w:hAnsi="仿宋" w:eastAsia="仿宋" w:cs="仿宋"/>
          <w:b w:val="0"/>
          <w:bCs/>
          <w:color w:val="auto"/>
          <w:sz w:val="24"/>
          <w:szCs w:val="24"/>
          <w:highlight w:val="none"/>
        </w:rPr>
        <w:t>三、合同范围</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合同产品的名称、技术规范应与</w:t>
      </w:r>
      <w:r>
        <w:rPr>
          <w:rFonts w:hint="eastAsia" w:ascii="仿宋" w:hAnsi="仿宋" w:eastAsia="仿宋" w:cs="仿宋"/>
          <w:color w:val="auto"/>
          <w:sz w:val="24"/>
          <w:szCs w:val="24"/>
          <w:highlight w:val="none"/>
          <w:lang w:eastAsia="zh-CN"/>
        </w:rPr>
        <w:t>成交</w:t>
      </w:r>
      <w:r>
        <w:rPr>
          <w:rFonts w:hint="eastAsia" w:ascii="仿宋" w:hAnsi="仿宋" w:eastAsia="仿宋" w:cs="仿宋"/>
          <w:color w:val="auto"/>
          <w:sz w:val="24"/>
          <w:szCs w:val="24"/>
          <w:highlight w:val="none"/>
        </w:rPr>
        <w:t xml:space="preserve">通知书、 </w:t>
      </w:r>
      <w:r>
        <w:rPr>
          <w:rFonts w:hint="eastAsia" w:ascii="仿宋" w:hAnsi="仿宋" w:eastAsia="仿宋" w:cs="仿宋"/>
          <w:color w:val="auto"/>
          <w:sz w:val="24"/>
          <w:szCs w:val="24"/>
          <w:highlight w:val="none"/>
          <w:lang w:eastAsia="zh-CN"/>
        </w:rPr>
        <w:t>询价</w:t>
      </w:r>
      <w:r>
        <w:rPr>
          <w:rFonts w:hint="eastAsia" w:ascii="仿宋" w:hAnsi="仿宋" w:eastAsia="仿宋" w:cs="仿宋"/>
          <w:color w:val="auto"/>
          <w:sz w:val="24"/>
          <w:szCs w:val="24"/>
          <w:highlight w:val="none"/>
        </w:rPr>
        <w:t>文件及被甲方接受的技术商务规范相一致。乙方应保证其产品满足合同要求的技术指标和参数的条件下，由最好的材料和最精的工艺制造。其产品必须是新的，从没使用过的。</w:t>
      </w:r>
    </w:p>
    <w:p>
      <w:pPr>
        <w:keepNext w:val="0"/>
        <w:keepLines w:val="0"/>
        <w:pageBreakBefore w:val="0"/>
        <w:kinsoku/>
        <w:overflowPunct/>
        <w:topLinePunct w:val="0"/>
        <w:autoSpaceDE/>
        <w:autoSpaceDN/>
        <w:bidi w:val="0"/>
        <w:spacing w:line="360" w:lineRule="auto"/>
        <w:ind w:firstLine="480" w:firstLineChars="200"/>
        <w:textAlignment w:val="auto"/>
        <w:outlineLvl w:val="1"/>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val="en-US" w:eastAsia="zh-CN"/>
        </w:rPr>
        <w:t>四</w:t>
      </w:r>
      <w:r>
        <w:rPr>
          <w:rFonts w:hint="eastAsia" w:ascii="仿宋" w:hAnsi="仿宋" w:eastAsia="仿宋" w:cs="仿宋"/>
          <w:b w:val="0"/>
          <w:bCs/>
          <w:color w:val="auto"/>
          <w:sz w:val="24"/>
          <w:szCs w:val="24"/>
          <w:highlight w:val="none"/>
        </w:rPr>
        <w:t>、综合单价</w:t>
      </w:r>
    </w:p>
    <w:p>
      <w:pPr>
        <w:autoSpaceDE w:val="0"/>
        <w:autoSpaceDN w:val="0"/>
        <w:snapToGrid w:val="0"/>
        <w:spacing w:line="360" w:lineRule="auto"/>
        <w:ind w:firstLine="480" w:firstLineChars="200"/>
        <w:textAlignment w:val="bottom"/>
        <w:rPr>
          <w:rFonts w:hint="eastAsia" w:ascii="仿宋" w:hAnsi="仿宋" w:eastAsia="仿宋" w:cs="仿宋"/>
          <w:sz w:val="24"/>
          <w:szCs w:val="24"/>
          <w:highlight w:val="none"/>
          <w:lang w:val="zh-CN"/>
        </w:rPr>
      </w:pPr>
      <w:r>
        <w:rPr>
          <w:rFonts w:hint="eastAsia" w:ascii="仿宋" w:hAnsi="仿宋" w:eastAsia="仿宋" w:cs="仿宋"/>
          <w:color w:val="auto"/>
          <w:sz w:val="24"/>
          <w:szCs w:val="24"/>
          <w:highlight w:val="none"/>
        </w:rPr>
        <w:t>综合单价</w:t>
      </w:r>
      <w:r>
        <w:rPr>
          <w:rFonts w:hint="eastAsia" w:ascii="仿宋" w:hAnsi="仿宋" w:eastAsia="仿宋" w:cs="仿宋"/>
          <w:sz w:val="24"/>
          <w:szCs w:val="24"/>
        </w:rPr>
        <w:t>包括但不限于</w:t>
      </w:r>
      <w:r>
        <w:rPr>
          <w:rFonts w:hint="eastAsia" w:ascii="仿宋" w:hAnsi="仿宋" w:eastAsia="仿宋" w:cs="仿宋"/>
          <w:color w:val="auto"/>
          <w:sz w:val="24"/>
          <w:szCs w:val="24"/>
          <w:highlight w:val="none"/>
        </w:rPr>
        <w:t>货物（材料设备）费、包装</w:t>
      </w:r>
      <w:r>
        <w:rPr>
          <w:rFonts w:hint="eastAsia" w:ascii="仿宋" w:hAnsi="仿宋" w:eastAsia="仿宋" w:cs="仿宋"/>
          <w:color w:val="auto"/>
          <w:sz w:val="24"/>
          <w:szCs w:val="24"/>
          <w:highlight w:val="none"/>
          <w:lang w:val="en-US" w:eastAsia="zh-CN"/>
        </w:rPr>
        <w:t>费、</w:t>
      </w:r>
      <w:r>
        <w:rPr>
          <w:rFonts w:hint="eastAsia" w:ascii="仿宋" w:hAnsi="仿宋" w:eastAsia="仿宋" w:cs="仿宋"/>
          <w:color w:val="auto"/>
          <w:sz w:val="24"/>
          <w:szCs w:val="24"/>
          <w:highlight w:val="none"/>
        </w:rPr>
        <w:t>运输费、</w:t>
      </w:r>
      <w:r>
        <w:rPr>
          <w:rFonts w:hint="eastAsia" w:ascii="仿宋" w:hAnsi="仿宋" w:eastAsia="仿宋" w:cs="仿宋"/>
          <w:color w:val="auto"/>
          <w:sz w:val="24"/>
          <w:szCs w:val="24"/>
          <w:highlight w:val="none"/>
          <w:lang w:eastAsia="zh-CN"/>
        </w:rPr>
        <w:t>运输保险费、调试费、试运行费、</w:t>
      </w:r>
      <w:r>
        <w:rPr>
          <w:rFonts w:hint="eastAsia" w:ascii="仿宋" w:hAnsi="仿宋" w:eastAsia="仿宋" w:cs="仿宋"/>
          <w:color w:val="auto"/>
          <w:sz w:val="24"/>
          <w:szCs w:val="24"/>
          <w:highlight w:val="none"/>
        </w:rPr>
        <w:t>验收费、质保费（含质保期内技术服务、所需的备品备件及专用工具）、售后服务费、技术支持费、企业管理费、利润、税金</w:t>
      </w:r>
      <w:r>
        <w:rPr>
          <w:rFonts w:hint="eastAsia" w:ascii="仿宋" w:hAnsi="仿宋" w:eastAsia="仿宋" w:cs="仿宋"/>
          <w:sz w:val="24"/>
          <w:szCs w:val="24"/>
        </w:rPr>
        <w:t>等完成本项目所需的全部费用</w:t>
      </w:r>
      <w:r>
        <w:rPr>
          <w:rFonts w:hint="eastAsia" w:ascii="仿宋" w:hAnsi="仿宋" w:eastAsia="仿宋" w:cs="仿宋"/>
          <w:sz w:val="24"/>
          <w:szCs w:val="24"/>
          <w:highlight w:val="none"/>
          <w:lang w:eastAsia="zh-CN"/>
        </w:rPr>
        <w:t>。</w:t>
      </w:r>
      <w:r>
        <w:rPr>
          <w:rFonts w:hint="eastAsia" w:ascii="仿宋" w:hAnsi="仿宋" w:eastAsia="仿宋" w:cs="仿宋"/>
          <w:color w:val="auto"/>
          <w:sz w:val="24"/>
          <w:szCs w:val="24"/>
          <w:highlight w:val="none"/>
        </w:rPr>
        <w:t>合同有效期内综合单价固定不变，若合同有效期内国家税率调整的，则合同不含税价格不变，含税价相应调整。</w:t>
      </w:r>
    </w:p>
    <w:tbl>
      <w:tblPr>
        <w:tblStyle w:val="22"/>
        <w:tblW w:w="11191" w:type="dxa"/>
        <w:jc w:val="center"/>
        <w:tblLayout w:type="fixed"/>
        <w:tblCellMar>
          <w:top w:w="0" w:type="dxa"/>
          <w:left w:w="108" w:type="dxa"/>
          <w:bottom w:w="0" w:type="dxa"/>
          <w:right w:w="108" w:type="dxa"/>
        </w:tblCellMar>
      </w:tblPr>
      <w:tblGrid>
        <w:gridCol w:w="713"/>
        <w:gridCol w:w="1458"/>
        <w:gridCol w:w="2967"/>
        <w:gridCol w:w="780"/>
        <w:gridCol w:w="812"/>
        <w:gridCol w:w="1785"/>
        <w:gridCol w:w="1338"/>
        <w:gridCol w:w="1338"/>
      </w:tblGrid>
      <w:tr>
        <w:tblPrEx>
          <w:tblCellMar>
            <w:top w:w="0" w:type="dxa"/>
            <w:left w:w="108" w:type="dxa"/>
            <w:bottom w:w="0" w:type="dxa"/>
            <w:right w:w="108" w:type="dxa"/>
          </w:tblCellMar>
        </w:tblPrEx>
        <w:trPr>
          <w:trHeight w:val="567" w:hRule="exact"/>
          <w:jc w:val="center"/>
        </w:trPr>
        <w:tc>
          <w:tcPr>
            <w:tcW w:w="71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45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名称</w:t>
            </w:r>
          </w:p>
        </w:tc>
        <w:tc>
          <w:tcPr>
            <w:tcW w:w="296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规格</w:t>
            </w:r>
          </w:p>
        </w:tc>
        <w:tc>
          <w:tcPr>
            <w:tcW w:w="78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单位</w:t>
            </w:r>
          </w:p>
        </w:tc>
        <w:tc>
          <w:tcPr>
            <w:tcW w:w="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数量</w:t>
            </w:r>
          </w:p>
        </w:tc>
        <w:tc>
          <w:tcPr>
            <w:tcW w:w="17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综合单价（元）</w:t>
            </w:r>
          </w:p>
        </w:tc>
        <w:tc>
          <w:tcPr>
            <w:tcW w:w="13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小计（元）</w:t>
            </w:r>
          </w:p>
        </w:tc>
        <w:tc>
          <w:tcPr>
            <w:tcW w:w="13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备注</w:t>
            </w:r>
          </w:p>
        </w:tc>
      </w:tr>
      <w:tr>
        <w:tblPrEx>
          <w:tblCellMar>
            <w:top w:w="0" w:type="dxa"/>
            <w:left w:w="108" w:type="dxa"/>
            <w:bottom w:w="0" w:type="dxa"/>
            <w:right w:w="108" w:type="dxa"/>
          </w:tblCellMar>
        </w:tblPrEx>
        <w:trPr>
          <w:trHeight w:val="987" w:hRule="exact"/>
          <w:jc w:val="center"/>
        </w:trPr>
        <w:tc>
          <w:tcPr>
            <w:tcW w:w="71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1</w:t>
            </w:r>
          </w:p>
        </w:tc>
        <w:tc>
          <w:tcPr>
            <w:tcW w:w="145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296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120kW双枪快充</w:t>
            </w:r>
          </w:p>
        </w:tc>
        <w:tc>
          <w:tcPr>
            <w:tcW w:w="78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7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3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338" w:type="dxa"/>
            <w:vMerge w:val="restart"/>
            <w:tcBorders>
              <w:top w:val="single" w:color="000000" w:sz="4" w:space="0"/>
              <w:left w:val="single" w:color="000000" w:sz="4" w:space="0"/>
              <w:right w:val="single" w:color="000000" w:sz="4" w:space="0"/>
            </w:tcBorders>
            <w:vAlign w:val="top"/>
          </w:tcPr>
          <w:p>
            <w:pPr>
              <w:keepNext w:val="0"/>
              <w:keepLines w:val="0"/>
              <w:pageBreakBefore w:val="0"/>
              <w:kinsoku/>
              <w:overflowPunct/>
              <w:topLinePunct w:val="0"/>
              <w:autoSpaceDE/>
              <w:autoSpaceDN/>
              <w:bidi w:val="0"/>
              <w:spacing w:line="600" w:lineRule="exact"/>
              <w:jc w:val="both"/>
              <w:rPr>
                <w:rFonts w:hint="eastAsia" w:ascii="仿宋" w:hAnsi="仿宋" w:eastAsia="仿宋" w:cs="仿宋"/>
                <w:color w:val="auto"/>
                <w:sz w:val="24"/>
                <w:szCs w:val="24"/>
                <w:highlight w:val="none"/>
                <w:lang w:eastAsia="zh-CN"/>
              </w:rPr>
            </w:pPr>
            <w:r>
              <w:rPr>
                <w:rFonts w:hint="eastAsia" w:ascii="仿宋" w:hAnsi="仿宋" w:eastAsia="仿宋" w:cs="仿宋"/>
                <w:sz w:val="24"/>
                <w:szCs w:val="24"/>
                <w:highlight w:val="none"/>
                <w:lang w:val="en-US" w:eastAsia="zh-CN"/>
              </w:rPr>
              <w:t>固定综合单价，数量按实结算</w:t>
            </w:r>
          </w:p>
        </w:tc>
      </w:tr>
      <w:tr>
        <w:tblPrEx>
          <w:tblCellMar>
            <w:top w:w="0" w:type="dxa"/>
            <w:left w:w="108" w:type="dxa"/>
            <w:bottom w:w="0" w:type="dxa"/>
            <w:right w:w="108" w:type="dxa"/>
          </w:tblCellMar>
        </w:tblPrEx>
        <w:trPr>
          <w:trHeight w:val="927" w:hRule="exact"/>
          <w:jc w:val="center"/>
        </w:trPr>
        <w:tc>
          <w:tcPr>
            <w:tcW w:w="71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2</w:t>
            </w:r>
          </w:p>
        </w:tc>
        <w:tc>
          <w:tcPr>
            <w:tcW w:w="145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296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120kW双枪快充(加长枪线至10米）</w:t>
            </w:r>
          </w:p>
        </w:tc>
        <w:tc>
          <w:tcPr>
            <w:tcW w:w="78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7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3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338" w:type="dxa"/>
            <w:vMerge w:val="continue"/>
            <w:tcBorders>
              <w:left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927" w:hRule="exact"/>
          <w:jc w:val="center"/>
        </w:trPr>
        <w:tc>
          <w:tcPr>
            <w:tcW w:w="71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p>
        </w:tc>
        <w:tc>
          <w:tcPr>
            <w:tcW w:w="145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kern w:val="0"/>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296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80kW双枪快充</w:t>
            </w:r>
          </w:p>
        </w:tc>
        <w:tc>
          <w:tcPr>
            <w:tcW w:w="78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w:t>
            </w:r>
          </w:p>
        </w:tc>
        <w:tc>
          <w:tcPr>
            <w:tcW w:w="17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3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338" w:type="dxa"/>
            <w:vMerge w:val="continue"/>
            <w:tcBorders>
              <w:left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927" w:hRule="exact"/>
          <w:jc w:val="center"/>
        </w:trPr>
        <w:tc>
          <w:tcPr>
            <w:tcW w:w="713"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4</w:t>
            </w:r>
          </w:p>
        </w:tc>
        <w:tc>
          <w:tcPr>
            <w:tcW w:w="145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交流充电桩</w:t>
            </w:r>
          </w:p>
        </w:tc>
        <w:tc>
          <w:tcPr>
            <w:tcW w:w="296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7kW单枪慢充</w:t>
            </w:r>
          </w:p>
        </w:tc>
        <w:tc>
          <w:tcPr>
            <w:tcW w:w="78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12"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7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33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338" w:type="dxa"/>
            <w:vMerge w:val="continue"/>
            <w:tcBorders>
              <w:left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567" w:hRule="exact"/>
          <w:jc w:val="center"/>
        </w:trPr>
        <w:tc>
          <w:tcPr>
            <w:tcW w:w="11191" w:type="dxa"/>
            <w:gridSpan w:val="8"/>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合计：</w:t>
            </w:r>
          </w:p>
        </w:tc>
      </w:tr>
      <w:tr>
        <w:tblPrEx>
          <w:tblCellMar>
            <w:top w:w="0" w:type="dxa"/>
            <w:left w:w="108" w:type="dxa"/>
            <w:bottom w:w="0" w:type="dxa"/>
            <w:right w:w="108" w:type="dxa"/>
          </w:tblCellMar>
        </w:tblPrEx>
        <w:trPr>
          <w:trHeight w:val="567" w:hRule="exact"/>
          <w:jc w:val="center"/>
        </w:trPr>
        <w:tc>
          <w:tcPr>
            <w:tcW w:w="11191" w:type="dxa"/>
            <w:gridSpan w:val="8"/>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（大写）： </w:t>
            </w:r>
          </w:p>
        </w:tc>
      </w:tr>
    </w:tbl>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注：1.表中数量均为暂定，合同履约过程中具体数量以供货通知单为准，按实结算。</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、供货</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1.供货方式：</w:t>
      </w:r>
      <w:r>
        <w:rPr>
          <w:rFonts w:hint="eastAsia" w:ascii="仿宋" w:hAnsi="仿宋" w:eastAsia="仿宋" w:cs="仿宋"/>
          <w:color w:val="auto"/>
          <w:sz w:val="24"/>
          <w:szCs w:val="24"/>
          <w:highlight w:val="none"/>
          <w:lang w:val="en-US" w:eastAsia="zh-CN"/>
        </w:rPr>
        <w:t>甲方根据各项目工程施工进度下达供货订单，</w:t>
      </w:r>
      <w:r>
        <w:rPr>
          <w:rFonts w:hint="eastAsia" w:ascii="仿宋" w:hAnsi="仿宋" w:eastAsia="仿宋" w:cs="仿宋"/>
          <w:color w:val="auto"/>
          <w:sz w:val="24"/>
          <w:szCs w:val="24"/>
          <w:highlight w:val="none"/>
        </w:rPr>
        <w:t>具体各批交货数量和交货时间</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地点</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lang w:eastAsia="zh-CN"/>
        </w:rPr>
        <w:t>甲方</w:t>
      </w:r>
      <w:r>
        <w:rPr>
          <w:rFonts w:hint="eastAsia" w:ascii="仿宋" w:hAnsi="仿宋" w:eastAsia="仿宋" w:cs="仿宋"/>
          <w:color w:val="auto"/>
          <w:sz w:val="24"/>
          <w:szCs w:val="24"/>
          <w:highlight w:val="none"/>
        </w:rPr>
        <w:t>书面</w:t>
      </w:r>
      <w:r>
        <w:rPr>
          <w:rFonts w:hint="eastAsia" w:ascii="仿宋" w:hAnsi="仿宋" w:eastAsia="仿宋" w:cs="仿宋"/>
          <w:color w:val="auto"/>
          <w:sz w:val="24"/>
          <w:szCs w:val="24"/>
          <w:highlight w:val="none"/>
          <w:lang w:eastAsia="zh-CN"/>
        </w:rPr>
        <w:t>采购订单</w:t>
      </w:r>
      <w:r>
        <w:rPr>
          <w:rFonts w:hint="eastAsia" w:ascii="仿宋" w:hAnsi="仿宋" w:eastAsia="仿宋" w:cs="仿宋"/>
          <w:color w:val="auto"/>
          <w:sz w:val="24"/>
          <w:szCs w:val="24"/>
          <w:highlight w:val="none"/>
        </w:rPr>
        <w:t>为准</w:t>
      </w:r>
      <w:r>
        <w:rPr>
          <w:rFonts w:hint="eastAsia" w:ascii="仿宋" w:hAnsi="仿宋" w:eastAsia="仿宋" w:cs="仿宋"/>
          <w:color w:val="auto"/>
          <w:sz w:val="24"/>
          <w:szCs w:val="24"/>
          <w:highlight w:val="none"/>
          <w:lang w:eastAsia="zh-CN"/>
        </w:rPr>
        <w:t>。</w:t>
      </w:r>
    </w:p>
    <w:p>
      <w:pPr>
        <w:pStyle w:val="8"/>
        <w:keepNext w:val="0"/>
        <w:keepLines w:val="0"/>
        <w:pageBreakBefore w:val="0"/>
        <w:kinsoku/>
        <w:overflowPunct/>
        <w:topLinePunct w:val="0"/>
        <w:autoSpaceDE/>
        <w:autoSpaceDN/>
        <w:bidi w:val="0"/>
        <w:adjustRightInd/>
        <w:snapToGrid/>
        <w:spacing w:after="0" w:line="360" w:lineRule="auto"/>
        <w:ind w:firstLine="480" w:firstLineChars="200"/>
        <w:textAlignment w:val="auto"/>
        <w:rPr>
          <w:rFonts w:hint="eastAsia" w:ascii="仿宋" w:hAnsi="仿宋" w:eastAsia="仿宋" w:cs="仿宋"/>
          <w:b w:val="0"/>
          <w:bCs w:val="0"/>
          <w:sz w:val="24"/>
          <w:szCs w:val="24"/>
        </w:rPr>
      </w:pPr>
      <w:r>
        <w:rPr>
          <w:rFonts w:hint="eastAsia" w:ascii="仿宋" w:hAnsi="仿宋" w:eastAsia="仿宋" w:cs="仿宋"/>
          <w:color w:val="auto"/>
          <w:sz w:val="24"/>
          <w:szCs w:val="24"/>
          <w:highlight w:val="none"/>
        </w:rPr>
        <w:t>2.供货期、供货地点：</w:t>
      </w:r>
      <w:r>
        <w:rPr>
          <w:rFonts w:hint="eastAsia" w:ascii="仿宋" w:hAnsi="仿宋" w:eastAsia="仿宋" w:cs="仿宋"/>
          <w:b w:val="0"/>
          <w:bCs w:val="0"/>
          <w:kern w:val="2"/>
          <w:sz w:val="24"/>
          <w:szCs w:val="24"/>
          <w:highlight w:val="none"/>
          <w:lang w:val="en-US" w:eastAsia="zh-CN" w:bidi="ar-SA"/>
        </w:rPr>
        <w:t>乙方收到甲方订单之日起10个工作日内完成供货。供货地点：甲方指定地点（施工现场）。</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3.乙方将货物送达甲方指定地点并经甲方验收后完成交付，货物毁损、灭失的风险，在货物交付之前由乙方承担。</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、运输条款</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乙方负责运输并承担运杂费（运输费、装卸费、保险费、包装费、仓储费、清洁费等）。运输途中如有损失由乙方承担。</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七</w:t>
      </w:r>
      <w:r>
        <w:rPr>
          <w:rFonts w:hint="eastAsia" w:ascii="仿宋" w:hAnsi="仿宋" w:eastAsia="仿宋" w:cs="仿宋"/>
          <w:color w:val="auto"/>
          <w:sz w:val="24"/>
          <w:szCs w:val="24"/>
          <w:highlight w:val="none"/>
        </w:rPr>
        <w:t>、履约保证金</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金额：</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万元。</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提交形式：银行转账方式</w:t>
      </w:r>
      <w:r>
        <w:rPr>
          <w:rFonts w:hint="eastAsia" w:ascii="仿宋" w:hAnsi="仿宋" w:eastAsia="仿宋" w:cs="仿宋"/>
          <w:color w:val="auto"/>
          <w:sz w:val="24"/>
          <w:szCs w:val="24"/>
          <w:highlight w:val="none"/>
          <w:lang w:eastAsia="zh-CN"/>
        </w:rPr>
        <w:t>。</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提交时间：乙方在签订合同前向甲方提交履约保证金。</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八、质量保证金：</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履约保证金在合同有效期内所有货物验收合格后转为质量保证金（若合同履约过程中扣款不足</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none"/>
          <w:lang w:val="en-US" w:eastAsia="zh-CN"/>
        </w:rPr>
        <w:t>万元，则应在【7】日内补足至</w:t>
      </w:r>
      <w:r>
        <w:rPr>
          <w:rFonts w:hint="eastAsia" w:ascii="仿宋" w:hAnsi="仿宋" w:eastAsia="仿宋" w:cs="仿宋"/>
          <w:color w:val="auto"/>
          <w:sz w:val="24"/>
          <w:szCs w:val="24"/>
          <w:highlight w:val="yellow"/>
          <w:lang w:val="en-US" w:eastAsia="zh-CN"/>
        </w:rPr>
        <w:t>3</w:t>
      </w:r>
      <w:r>
        <w:rPr>
          <w:rFonts w:hint="eastAsia" w:ascii="仿宋" w:hAnsi="仿宋" w:eastAsia="仿宋" w:cs="仿宋"/>
          <w:color w:val="auto"/>
          <w:sz w:val="24"/>
          <w:szCs w:val="24"/>
          <w:highlight w:val="none"/>
          <w:lang w:val="en-US" w:eastAsia="zh-CN"/>
        </w:rPr>
        <w:t>万元）。合同期内所有货物保修期结束后15天内无息退还。</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九、付款</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有效期内综合单价固定不变（若合同有效期内国家税率调整的，则相应调整），结算价=实际到货验收合格数量×综合单价。货到验收合格后支付100%款项。乙方应到货验收合格后开具货款的全额增值税专用发票，甲方收到乙方发票后30日历天内支付至100%，否则甲方有权拒绝付款且不视为甲方违约。</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十、检验、验收</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（一）检验</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1.出厂检验按照国家相关技术规范及要求的规定进行。</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2.甲方将不定期到厂家对货物制作全过程进行全面质量监理。</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3.生产制作过程中或在交货之前，甲方有权到生产场地对原材料及工艺进行实地检验，检验合格费用由甲方负担，检验不合格费用则由乙方负担。</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（二）验收</w:t>
      </w:r>
    </w:p>
    <w:p>
      <w:pPr>
        <w:keepNext w:val="0"/>
        <w:keepLines w:val="0"/>
        <w:pageBreakBefore w:val="0"/>
        <w:tabs>
          <w:tab w:val="left" w:pos="3360"/>
        </w:tabs>
        <w:kinsoku/>
        <w:wordWrap w:val="0"/>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sz w:val="24"/>
          <w:szCs w:val="24"/>
          <w:highlight w:val="none"/>
          <w:lang w:val="en-US" w:eastAsia="zh-CN"/>
        </w:rPr>
        <w:t>货物</w:t>
      </w:r>
      <w:r>
        <w:rPr>
          <w:rFonts w:hint="eastAsia" w:ascii="仿宋" w:hAnsi="仿宋" w:eastAsia="仿宋" w:cs="仿宋"/>
          <w:sz w:val="24"/>
          <w:szCs w:val="24"/>
          <w:highlight w:val="none"/>
        </w:rPr>
        <w:t>到达现场后，</w:t>
      </w:r>
      <w:r>
        <w:rPr>
          <w:rFonts w:hint="eastAsia" w:ascii="仿宋" w:hAnsi="仿宋" w:eastAsia="仿宋" w:cs="仿宋"/>
          <w:sz w:val="24"/>
          <w:szCs w:val="24"/>
          <w:highlight w:val="none"/>
          <w:lang w:eastAsia="zh-CN"/>
        </w:rPr>
        <w:t>供应商</w:t>
      </w:r>
      <w:r>
        <w:rPr>
          <w:rFonts w:hint="eastAsia" w:ascii="仿宋" w:hAnsi="仿宋" w:eastAsia="仿宋" w:cs="仿宋"/>
          <w:sz w:val="24"/>
          <w:szCs w:val="24"/>
          <w:highlight w:val="none"/>
        </w:rPr>
        <w:t>应派人参与</w:t>
      </w:r>
      <w:r>
        <w:rPr>
          <w:rFonts w:hint="eastAsia" w:ascii="仿宋" w:hAnsi="仿宋" w:eastAsia="仿宋" w:cs="仿宋"/>
          <w:sz w:val="24"/>
          <w:szCs w:val="24"/>
          <w:highlight w:val="none"/>
          <w:lang w:eastAsia="zh-CN"/>
        </w:rPr>
        <w:t>招标人</w:t>
      </w:r>
      <w:r>
        <w:rPr>
          <w:rFonts w:hint="eastAsia" w:ascii="仿宋" w:hAnsi="仿宋" w:eastAsia="仿宋" w:cs="仿宋"/>
          <w:sz w:val="24"/>
          <w:szCs w:val="24"/>
          <w:highlight w:val="none"/>
        </w:rPr>
        <w:t>的开箱检验工作。</w:t>
      </w:r>
    </w:p>
    <w:p>
      <w:pPr>
        <w:keepNext w:val="0"/>
        <w:keepLines w:val="0"/>
        <w:pageBreakBefore w:val="0"/>
        <w:tabs>
          <w:tab w:val="left" w:pos="3360"/>
        </w:tabs>
        <w:kinsoku/>
        <w:wordWrap w:val="0"/>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sz w:val="24"/>
          <w:szCs w:val="24"/>
          <w:highlight w:val="none"/>
          <w:lang w:val="en-US" w:eastAsia="zh-CN"/>
        </w:rPr>
        <w:t>货物</w:t>
      </w:r>
      <w:r>
        <w:rPr>
          <w:rFonts w:hint="eastAsia" w:ascii="仿宋" w:hAnsi="仿宋" w:eastAsia="仿宋" w:cs="仿宋"/>
          <w:sz w:val="24"/>
          <w:szCs w:val="24"/>
          <w:highlight w:val="none"/>
        </w:rPr>
        <w:t>安装完成试运行结束后进行终验收。</w:t>
      </w:r>
    </w:p>
    <w:p>
      <w:pPr>
        <w:keepNext w:val="0"/>
        <w:keepLines w:val="0"/>
        <w:pageBreakBefore w:val="0"/>
        <w:tabs>
          <w:tab w:val="left" w:pos="3360"/>
        </w:tabs>
        <w:kinsoku/>
        <w:wordWrap w:val="0"/>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sz w:val="24"/>
          <w:szCs w:val="24"/>
          <w:highlight w:val="none"/>
          <w:lang w:eastAsia="zh-CN"/>
        </w:rPr>
        <w:t>甲方</w:t>
      </w:r>
      <w:r>
        <w:rPr>
          <w:rFonts w:hint="eastAsia" w:ascii="仿宋" w:hAnsi="仿宋" w:eastAsia="仿宋" w:cs="仿宋"/>
          <w:sz w:val="24"/>
          <w:szCs w:val="24"/>
          <w:highlight w:val="none"/>
        </w:rPr>
        <w:t>对</w:t>
      </w:r>
      <w:r>
        <w:rPr>
          <w:rFonts w:hint="eastAsia" w:ascii="仿宋" w:hAnsi="仿宋" w:eastAsia="仿宋" w:cs="仿宋"/>
          <w:sz w:val="24"/>
          <w:szCs w:val="24"/>
          <w:highlight w:val="none"/>
          <w:lang w:val="en-US" w:eastAsia="zh-CN"/>
        </w:rPr>
        <w:t>货物</w:t>
      </w:r>
      <w:r>
        <w:rPr>
          <w:rFonts w:hint="eastAsia" w:ascii="仿宋" w:hAnsi="仿宋" w:eastAsia="仿宋" w:cs="仿宋"/>
          <w:sz w:val="24"/>
          <w:szCs w:val="24"/>
          <w:highlight w:val="none"/>
        </w:rPr>
        <w:t>的任何检验或验收不免除</w:t>
      </w:r>
      <w:r>
        <w:rPr>
          <w:rFonts w:hint="eastAsia" w:ascii="仿宋" w:hAnsi="仿宋" w:eastAsia="仿宋" w:cs="仿宋"/>
          <w:sz w:val="24"/>
          <w:szCs w:val="24"/>
          <w:highlight w:val="none"/>
          <w:lang w:eastAsia="zh-CN"/>
        </w:rPr>
        <w:t>供应商对</w:t>
      </w:r>
      <w:r>
        <w:rPr>
          <w:rFonts w:hint="eastAsia" w:ascii="仿宋" w:hAnsi="仿宋" w:eastAsia="仿宋" w:cs="仿宋"/>
          <w:sz w:val="24"/>
          <w:szCs w:val="24"/>
          <w:highlight w:val="none"/>
        </w:rPr>
        <w:t>货物与安装、调试瑕疵担保义务。</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十一、 保修期</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1.保修期：合同期限内所有货物验收合格之日起3年。</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在保修期内，若发现产品内在质量、内部材料及加工工艺不合格或由此产生问题，甲方应立即以书面形式通知乙方，乙方在接到通知后，应在当天派有能力的人到达现场排除故障，或分批替换其产品，或对损坏情况折价赔偿，并负担由此产生的一切费用。若乙方未能及时派人到达现场，甲方可自行排除故障，费用由乙方承担。</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十二、索赔</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1.凡发生乙方有对甲方工作人员行贿的，双方同意立即终止合同，并由乙方承担赔偿因此造成损失的责任。</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2.如乙方或乙方的工作人员对甲方人员行贿的，就乙方该行为，甲方保留在相关媒体或网站等对外发布的权利。</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十三、逾期交货和违约索赔</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除不可抗力外，如乙方发生推迟合同规定的生产、不能按期交货或提供服务，甲方发生中途退货等情况，应及时以书面形式通知对方。买卖双方应本着友好的态度进行协商，妥善解决。如协商无效，按下列规定支付违约金。</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1.乙方逾期交货</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乙方交货每逾期一天，应按照逾期交货部分总价的千分之三（3‰）向甲方支付违约金。罚金不超过逾期部分货款总额。如乙方逾期交货超过二周（14天），则视为不能交货。</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2.乙方不能交货或甲方中途退货</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乙方不能交货，应向甲方偿付违约金，按不能交货部分货款总额的百分之三十（30%）向甲方支付违约金。甲方中途退货（因货物质量原因或其他因乙方违约而导致的退货除外），应向乙方偿付违约金。违约金金额与乙方违约相同。</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3.如乙方不能交货（包括视为不能交货的情形）</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甲方有权立即提前终止本合同。合同的提前终止不应影响甲方按照前款规定收取违约金的权利。如甲方中途退货（因货物质量原因或其他因乙方违约而导致的退货除外），乙方有权立即提前终止本合同。合同的提前终止不应影响乙方按照前款规定收取违约金的权利。</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4.如乙方不能交货（包括逾期交货的）</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甲方未提前终止本合同，则乙方应采取应急补救措施“采购高于此批规格同数量货物代替”，造成的差价等损失由乙方自行承担。如乙方不主动采取应急补救措施，甲方有权自行采取应急补救措施，造成的差价等损失由乙方承担。合同的继续有效不应影响甲方按照前款规定收取违约金的权利。</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5.如乙方发生违约或存在其他不诚信行为，甲方有权依照公司现行的供应商诚信管理相关规定，甲方有权通过企业门户网站或其他信息发布平台公示乙方的不诚信行为，且不视为甲方侵权。</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乙方支付的违约金不足以弥补甲方损失的，还应就违约金与损失之间的差额部分向甲方赔偿；乙方应就甲方的直接损失和间接损失进行全部赔偿，包括但不限于：本合同履行后甲方可以获得的利益；甲方与第三人订立合同可得的预期利益；因乙方违约导致甲方无法向第三人履行，而向第三人赔偿的损失；甲方为主张自身权益支出的诉讼、仲裁费用、律师费、保全担保费或者诉责险保险费、交通费、住宿费、差旅费、执行费及其他一切所有费用。</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7.前述乙方应承担的违约金或其他损失，乙方未及时支付的，甲方有权在应付乙方的货款中扣除对应金额。</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十四、不可抗力  </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对于在履行合同中发生的战争、严重火灾、水灾、地震等不可预见和不可控制的事件，影响合同义务履行时，任何一方都不承担责任。但是，遭遇以上不可抗力的一方应在发生上述事件后尽快通知另一方，并由有能力的机构或注册的公证人在不可抗力发生后14天内出具证书通知另一方。且延迟履行合同义务的期限相当于不可抗力事件影响的时间，但不能因为不可抗力事件的影响而调整综合单价。</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当不可抗力事件发生并持续10周以上时，任何一方都有权取消合同。</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十五、解决争议的方法</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凡有关本合同或执行本合同中发生的争端，双方应通过友好协商，妥善解决。如通过协商仍不能解决时，约定向甲方所在地人民法院依法起诉。</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十六、往来文件</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乙方同甲方之间的联系，如涉及合同实质性内容，乙方同甲方之间的联系，如涉及合同实质性内容，应通过合同补充协议方式，并加盖公章。</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十七、注明</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1.其它未尽事项，双方可协商解决。</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2.本合同自双方签订盖章之日起生效，有效期至工程结束。</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3.此合同一式4份，甲方执2份，乙方执2份。</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甲方（盖章）：                            乙方（盖章）：</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法定代表人（负责人）或                    法定代表人（负责人）或</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授权代理人（签字或盖章）：                授权代理人（签字或盖章）：</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单位地址：                                单位地址：</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联 系 人：                                联 系 人：</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电    话：                                电    话：</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开户银行：杭州银行闸口支行                开户银行：</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帐    号：09308100178905                  帐    号：</w:t>
      </w:r>
    </w:p>
    <w:p>
      <w:pPr>
        <w:keepNext w:val="0"/>
        <w:keepLines w:val="0"/>
        <w:pageBreakBefore w:val="0"/>
        <w:kinsoku/>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签订日期：                                签订日期：</w:t>
      </w:r>
    </w:p>
    <w:p>
      <w:pPr>
        <w:pStyle w:val="21"/>
        <w:rPr>
          <w:rFonts w:hint="eastAsia" w:ascii="仿宋" w:hAnsi="仿宋" w:eastAsia="仿宋" w:cs="仿宋"/>
          <w:color w:val="auto"/>
          <w:sz w:val="24"/>
          <w:szCs w:val="24"/>
          <w:highlight w:val="none"/>
        </w:rPr>
      </w:pPr>
    </w:p>
    <w:p>
      <w:pPr>
        <w:pStyle w:val="9"/>
        <w:rPr>
          <w:rFonts w:hint="eastAsia" w:ascii="仿宋" w:hAnsi="仿宋" w:eastAsia="仿宋" w:cs="仿宋"/>
          <w:color w:val="auto"/>
          <w:sz w:val="24"/>
          <w:szCs w:val="24"/>
          <w:highlight w:val="none"/>
        </w:rPr>
      </w:pPr>
    </w:p>
    <w:p>
      <w:pPr>
        <w:rPr>
          <w:rFonts w:hint="eastAsia" w:ascii="仿宋" w:hAnsi="仿宋" w:eastAsia="仿宋" w:cs="仿宋"/>
          <w:color w:val="auto"/>
          <w:sz w:val="24"/>
          <w:szCs w:val="24"/>
          <w:highlight w:val="none"/>
        </w:rPr>
      </w:pPr>
    </w:p>
    <w:p>
      <w:pPr>
        <w:pStyle w:val="21"/>
        <w:rPr>
          <w:rFonts w:hint="eastAsia"/>
          <w:highlight w:val="none"/>
        </w:rPr>
      </w:pPr>
    </w:p>
    <w:p>
      <w:pPr>
        <w:jc w:val="both"/>
        <w:rPr>
          <w:rFonts w:hint="eastAsia" w:ascii="仿宋" w:hAnsi="仿宋" w:eastAsia="仿宋" w:cs="仿宋"/>
          <w:sz w:val="30"/>
          <w:highlight w:val="none"/>
          <w:lang w:eastAsia="zh-CN"/>
        </w:rPr>
      </w:pPr>
    </w:p>
    <w:p>
      <w:pPr>
        <w:ind w:firstLine="300" w:firstLineChars="100"/>
        <w:jc w:val="center"/>
        <w:rPr>
          <w:rFonts w:hint="eastAsia" w:ascii="仿宋" w:hAnsi="仿宋" w:eastAsia="仿宋" w:cs="仿宋"/>
          <w:sz w:val="30"/>
          <w:highlight w:val="none"/>
          <w:lang w:eastAsia="zh-CN"/>
        </w:rPr>
      </w:pPr>
    </w:p>
    <w:p>
      <w:pPr>
        <w:jc w:val="both"/>
        <w:rPr>
          <w:rFonts w:hint="eastAsia" w:ascii="仿宋" w:hAnsi="仿宋" w:eastAsia="仿宋" w:cs="仿宋"/>
          <w:sz w:val="30"/>
          <w:highlight w:val="none"/>
          <w:lang w:eastAsia="zh-CN"/>
        </w:rPr>
      </w:pPr>
    </w:p>
    <w:p>
      <w:pPr>
        <w:ind w:firstLine="300" w:firstLineChars="100"/>
        <w:jc w:val="both"/>
        <w:rPr>
          <w:rFonts w:hint="eastAsia" w:ascii="仿宋" w:hAnsi="仿宋" w:eastAsia="仿宋" w:cs="仿宋"/>
          <w:sz w:val="30"/>
          <w:highlight w:val="none"/>
          <w:lang w:eastAsia="zh-CN"/>
        </w:rPr>
      </w:pPr>
    </w:p>
    <w:p>
      <w:pPr>
        <w:ind w:firstLine="300" w:firstLineChars="100"/>
        <w:jc w:val="both"/>
        <w:rPr>
          <w:rFonts w:hint="eastAsia" w:ascii="仿宋" w:hAnsi="仿宋" w:eastAsia="仿宋" w:cs="仿宋"/>
          <w:sz w:val="30"/>
          <w:highlight w:val="none"/>
          <w:lang w:eastAsia="zh-CN"/>
        </w:rPr>
      </w:pPr>
      <w:r>
        <w:rPr>
          <w:rFonts w:hint="eastAsia" w:ascii="仿宋" w:hAnsi="仿宋" w:eastAsia="仿宋" w:cs="仿宋"/>
          <w:sz w:val="30"/>
          <w:highlight w:val="none"/>
          <w:lang w:eastAsia="zh-CN"/>
        </w:rPr>
        <w:t>附件一</w:t>
      </w:r>
    </w:p>
    <w:p>
      <w:pPr>
        <w:ind w:firstLine="280" w:firstLineChars="100"/>
        <w:jc w:val="center"/>
        <w:rPr>
          <w:rFonts w:hint="eastAsia" w:eastAsia="宋体"/>
          <w:bCs/>
          <w:sz w:val="44"/>
          <w:szCs w:val="44"/>
          <w:lang w:eastAsia="zh-CN"/>
        </w:rPr>
      </w:pPr>
      <w:r>
        <w:rPr>
          <w:bCs/>
          <w:sz w:val="28"/>
          <w:szCs w:val="28"/>
        </w:rPr>
        <mc:AlternateContent>
          <mc:Choice Requires="wps">
            <w:drawing>
              <wp:anchor distT="0" distB="0" distL="114300" distR="114300" simplePos="0" relativeHeight="251659264" behindDoc="0" locked="0" layoutInCell="1" allowOverlap="1">
                <wp:simplePos x="0" y="0"/>
                <wp:positionH relativeFrom="column">
                  <wp:posOffset>-57785</wp:posOffset>
                </wp:positionH>
                <wp:positionV relativeFrom="paragraph">
                  <wp:posOffset>566420</wp:posOffset>
                </wp:positionV>
                <wp:extent cx="6022340" cy="1905"/>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flipV="1">
                          <a:off x="0" y="0"/>
                          <a:ext cx="6067425" cy="952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flip:y;margin-left:-4.55pt;margin-top:44.6pt;height:0.15pt;width:474.2pt;z-index:251659264;mso-width-relative:page;mso-height-relative:page;" filled="f" stroked="t" coordsize="21600,21600" o:gfxdata="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PF4FrNYAAAAIAQAADwAAAAAAAAABACAAAAAiAAAAZHJzL2Rvd25yZXYueG1sUEsBAhQAFAAAAAgA&#10;h07iQAqB1UTuAQAAxQMAAA4AAAAAAAAAAQAgAAAAJQEAAGRycy9lMm9Eb2MueG1sUEsFBgAAAAAG&#10;AAYAWQEAAIUFAAAAAA==&#10;">
                <v:fill on="f" focussize="0,0"/>
                <v:stroke color="#000000" joinstyle="round"/>
                <v:imagedata o:title=""/>
                <o:lock v:ext="edit" aspectratio="f"/>
              </v:line>
            </w:pict>
          </mc:Fallback>
        </mc:AlternateContent>
      </w:r>
      <w:r>
        <w:rPr>
          <w:rFonts w:hint="eastAsia"/>
          <w:b/>
          <w:sz w:val="52"/>
          <w:szCs w:val="52"/>
        </w:rPr>
        <w:t>报价</w:t>
      </w:r>
      <w:r>
        <w:rPr>
          <w:rFonts w:hint="eastAsia"/>
          <w:b/>
          <w:sz w:val="52"/>
          <w:szCs w:val="52"/>
          <w:lang w:val="en-US" w:eastAsia="zh-CN"/>
        </w:rPr>
        <w:t>函</w:t>
      </w:r>
    </w:p>
    <w:p>
      <w:pPr>
        <w:keepNext w:val="0"/>
        <w:keepLines w:val="0"/>
        <w:pageBreakBefore w:val="0"/>
        <w:widowControl w:val="0"/>
        <w:kinsoku/>
        <w:wordWrap/>
        <w:overflowPunct/>
        <w:topLinePunct w:val="0"/>
        <w:autoSpaceDE/>
        <w:autoSpaceDN/>
        <w:bidi w:val="0"/>
        <w:adjustRightInd/>
        <w:snapToGrid/>
        <w:spacing w:line="360" w:lineRule="auto"/>
        <w:jc w:val="both"/>
        <w:rPr>
          <w:bCs/>
          <w:sz w:val="28"/>
          <w:szCs w:val="28"/>
        </w:rPr>
      </w:pPr>
      <w:r>
        <w:rPr>
          <w:rFonts w:hint="eastAsia"/>
          <w:bCs/>
          <w:sz w:val="28"/>
          <w:szCs w:val="28"/>
        </w:rPr>
        <w:t>客户：杭州市能源集团工程科技有限公司</w:t>
      </w:r>
      <w:r>
        <w:rPr>
          <w:bCs/>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auto"/>
        <w:jc w:val="left"/>
        <w:textAlignment w:val="center"/>
        <w:rPr>
          <w:bCs/>
          <w:sz w:val="28"/>
          <w:szCs w:val="28"/>
        </w:rPr>
      </w:pPr>
      <w:r>
        <w:rPr>
          <w:szCs w:val="24"/>
        </w:rPr>
        <mc:AlternateContent>
          <mc:Choice Requires="wps">
            <w:drawing>
              <wp:anchor distT="0" distB="0" distL="114300" distR="114300" simplePos="0" relativeHeight="251660288" behindDoc="0" locked="0" layoutInCell="1" allowOverlap="1">
                <wp:simplePos x="0" y="0"/>
                <wp:positionH relativeFrom="column">
                  <wp:posOffset>-55245</wp:posOffset>
                </wp:positionH>
                <wp:positionV relativeFrom="paragraph">
                  <wp:posOffset>10795</wp:posOffset>
                </wp:positionV>
                <wp:extent cx="6067425" cy="9525"/>
                <wp:effectExtent l="0" t="0" r="0" b="0"/>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flipV="1">
                          <a:off x="0" y="0"/>
                          <a:ext cx="6067425" cy="952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flip:y;margin-left:-4.35pt;margin-top:0.85pt;height:0.75pt;width:477.75pt;z-index:251660288;mso-width-relative:page;mso-height-relative:page;" filled="f" stroked="t" coordsize="21600,21600" o:gfxdata="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w&#10;1Kmq1QAAAAYBAAAPAAAAAAAAAAEAIAAAACIAAABkcnMvZG93bnJldi54bWxQSwECFAAUAAAACACH&#10;TuJA2oyP+u4BAADFAwAADgAAAAAAAAABACAAAAAkAQAAZHJzL2Uyb0RvYy54bWxQSwUGAAAAAAYA&#10;BgBZAQAAhAUAAAAA&#10;">
                <v:fill on="f" focussize="0,0"/>
                <v:stroke color="#000000" joinstyle="round"/>
                <v:imagedata o:title=""/>
                <o:lock v:ext="edit" aspectratio="f"/>
              </v:line>
            </w:pict>
          </mc:Fallback>
        </mc:AlternateContent>
      </w:r>
      <w:r>
        <w:rPr>
          <w:rFonts w:hint="eastAsia"/>
          <w:bCs/>
          <w:sz w:val="28"/>
          <w:szCs w:val="28"/>
        </w:rPr>
        <w:t>收件人</w:t>
      </w:r>
      <w:r>
        <w:rPr>
          <w:bCs/>
          <w:sz w:val="28"/>
          <w:szCs w:val="28"/>
        </w:rPr>
        <w:t>:</w:t>
      </w:r>
      <w:r>
        <w:rPr>
          <w:rFonts w:hint="eastAsia"/>
          <w:bCs/>
          <w:sz w:val="28"/>
          <w:szCs w:val="28"/>
        </w:rPr>
        <w:t xml:space="preserve"> </w:t>
      </w:r>
      <w:r>
        <w:rPr>
          <w:rFonts w:hint="eastAsia"/>
          <w:bCs/>
          <w:sz w:val="28"/>
          <w:szCs w:val="28"/>
          <w:lang w:eastAsia="zh-CN"/>
        </w:rPr>
        <w:t>周旻</w:t>
      </w:r>
      <w:r>
        <w:rPr>
          <w:rFonts w:hint="eastAsia"/>
          <w:bCs/>
          <w:sz w:val="28"/>
          <w:szCs w:val="28"/>
        </w:rPr>
        <w:t xml:space="preserve">                    </w:t>
      </w:r>
      <w:r>
        <w:rPr>
          <w:rFonts w:hint="eastAsia"/>
          <w:bCs/>
          <w:sz w:val="28"/>
          <w:szCs w:val="28"/>
          <w:lang w:val="en-US" w:eastAsia="zh-CN"/>
        </w:rPr>
        <w:t xml:space="preserve">     </w:t>
      </w:r>
      <w:r>
        <w:rPr>
          <w:rFonts w:hint="eastAsia"/>
          <w:bCs/>
          <w:sz w:val="28"/>
          <w:szCs w:val="28"/>
        </w:rPr>
        <w:t>日期</w:t>
      </w:r>
      <w:r>
        <w:rPr>
          <w:bCs/>
          <w:sz w:val="28"/>
          <w:szCs w:val="28"/>
        </w:rPr>
        <w:t>:</w:t>
      </w:r>
      <w:r>
        <w:rPr>
          <w:rFonts w:hint="eastAsia"/>
          <w:bCs/>
          <w:color w:val="FF0000"/>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auto"/>
        <w:jc w:val="left"/>
        <w:textAlignment w:val="center"/>
        <w:rPr>
          <w:bCs/>
          <w:sz w:val="28"/>
          <w:szCs w:val="28"/>
        </w:rPr>
      </w:pPr>
      <w:r>
        <w:rPr>
          <w:szCs w:val="24"/>
        </w:rPr>
        <mc:AlternateContent>
          <mc:Choice Requires="wps">
            <w:drawing>
              <wp:anchor distT="0" distB="0" distL="114300" distR="114300" simplePos="0" relativeHeight="251662336" behindDoc="0" locked="0" layoutInCell="1" allowOverlap="1">
                <wp:simplePos x="0" y="0"/>
                <wp:positionH relativeFrom="column">
                  <wp:posOffset>-68580</wp:posOffset>
                </wp:positionH>
                <wp:positionV relativeFrom="paragraph">
                  <wp:posOffset>340360</wp:posOffset>
                </wp:positionV>
                <wp:extent cx="6067425" cy="9525"/>
                <wp:effectExtent l="0" t="0" r="0" b="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flipV="1">
                          <a:off x="0" y="0"/>
                          <a:ext cx="6067425" cy="952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flip:y;margin-left:-5.4pt;margin-top:26.8pt;height:0.75pt;width:477.75pt;z-index:251662336;mso-width-relative:page;mso-height-relative:page;" filled="f" stroked="t" coordsize="21600,21600" o:gfxdata="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5kFsb2AAAAAkBAAAPAAAAAAAAAAEAIAAAACIAAABkcnMvZG93bnJldi54bWxQSwECFAAUAAAA&#10;CACHTuJAuKyxye4BAADFAwAADgAAAAAAAAABACAAAAAnAQAAZHJzL2Uyb0RvYy54bWxQSwUGAAAA&#10;AAYABgBZAQAAhwUAAAAA&#10;">
                <v:fill on="f" focussize="0,0"/>
                <v:stroke color="#000000" joinstyle="round"/>
                <v:imagedata o:title=""/>
                <o:lock v:ext="edit" aspectratio="f"/>
              </v:line>
            </w:pict>
          </mc:Fallback>
        </mc:AlternateContent>
      </w:r>
      <w:r>
        <w:rPr>
          <w:szCs w:val="24"/>
        </w:rPr>
        <mc:AlternateContent>
          <mc:Choice Requires="wps">
            <w:drawing>
              <wp:anchor distT="0" distB="0" distL="114300" distR="114300" simplePos="0" relativeHeight="251661312" behindDoc="0" locked="0" layoutInCell="1" allowOverlap="1">
                <wp:simplePos x="0" y="0"/>
                <wp:positionH relativeFrom="column">
                  <wp:posOffset>-60960</wp:posOffset>
                </wp:positionH>
                <wp:positionV relativeFrom="paragraph">
                  <wp:posOffset>1270</wp:posOffset>
                </wp:positionV>
                <wp:extent cx="6067425" cy="9525"/>
                <wp:effectExtent l="0" t="0" r="0" b="0"/>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flipV="1">
                          <a:off x="0" y="0"/>
                          <a:ext cx="6067425" cy="952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flip:y;margin-left:-4.8pt;margin-top:0.1pt;height:0.75pt;width:477.75pt;z-index:251661312;mso-width-relative:page;mso-height-relative:page;" filled="f" stroked="t" coordsize="21600,21600" o:gfxdata="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BMd&#10;ciDTAAAABQEAAA8AAAAAAAAAAQAgAAAAIgAAAGRycy9kb3ducmV2LnhtbFBLAQIUABQAAAAIAIdO&#10;4kBooet37wEAAMUDAAAOAAAAAAAAAAEAIAAAACIBAABkcnMvZTJvRG9jLnhtbFBLBQYAAAAABgAG&#10;AFkBAACDBQAAAAA=&#10;">
                <v:fill on="f" focussize="0,0"/>
                <v:stroke color="#000000" joinstyle="round"/>
                <v:imagedata o:title=""/>
                <o:lock v:ext="edit" aspectratio="f"/>
              </v:line>
            </w:pict>
          </mc:Fallback>
        </mc:AlternateContent>
      </w:r>
      <w:r>
        <w:rPr>
          <w:rFonts w:hint="eastAsia"/>
          <w:bCs/>
          <w:sz w:val="28"/>
          <w:szCs w:val="28"/>
        </w:rPr>
        <w:t>发件人</w:t>
      </w:r>
      <w:r>
        <w:rPr>
          <w:bCs/>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auto"/>
        <w:jc w:val="left"/>
        <w:textAlignment w:val="center"/>
        <w:rPr>
          <w:rFonts w:ascii="宋体"/>
          <w:color w:val="FF0000"/>
          <w:sz w:val="28"/>
          <w:szCs w:val="28"/>
        </w:rPr>
      </w:pPr>
      <w:r>
        <w:rPr>
          <w:szCs w:val="24"/>
        </w:rPr>
        <mc:AlternateContent>
          <mc:Choice Requires="wps">
            <w:drawing>
              <wp:anchor distT="0" distB="0" distL="114300" distR="114300" simplePos="0" relativeHeight="251663360" behindDoc="0" locked="0" layoutInCell="1" allowOverlap="1">
                <wp:simplePos x="0" y="0"/>
                <wp:positionH relativeFrom="column">
                  <wp:posOffset>-55245</wp:posOffset>
                </wp:positionH>
                <wp:positionV relativeFrom="paragraph">
                  <wp:posOffset>307975</wp:posOffset>
                </wp:positionV>
                <wp:extent cx="6067425" cy="9525"/>
                <wp:effectExtent l="0" t="0" r="0" b="0"/>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flipV="1">
                          <a:off x="0" y="0"/>
                          <a:ext cx="6067425" cy="9525"/>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flip:y;margin-left:-4.35pt;margin-top:24.25pt;height:0.75pt;width:477.75pt;z-index:251663360;mso-width-relative:page;mso-height-relative:page;" filled="f" stroked="t" coordsize="21600,21600" o:gfxdata="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XTwyfXAAAACAEAAA8AAAAAAAAAAQAgAAAAIgAAAGRycy9kb3ducmV2LnhtbFBLAQIUABQAAAAI&#10;AIdO4kA7kUpd7gEAAMUDAAAOAAAAAAAAAAEAIAAAACYBAABkcnMvZTJvRG9jLnhtbFBLBQYAAAAA&#10;BgAGAFkBAACGBQAAAAA=&#10;">
                <v:fill on="f" focussize="0,0"/>
                <v:stroke color="#000000" joinstyle="round"/>
                <v:imagedata o:title=""/>
                <o:lock v:ext="edit" aspectratio="f"/>
              </v:line>
            </w:pict>
          </mc:Fallback>
        </mc:AlternateContent>
      </w:r>
      <w:r>
        <w:rPr>
          <w:rFonts w:hint="eastAsia"/>
          <w:bCs/>
          <w:sz w:val="28"/>
          <w:szCs w:val="28"/>
        </w:rPr>
        <w:t>联系电话：</w:t>
      </w:r>
    </w:p>
    <w:p>
      <w:pPr>
        <w:keepNext w:val="0"/>
        <w:keepLines w:val="0"/>
        <w:pageBreakBefore w:val="0"/>
        <w:widowControl w:val="0"/>
        <w:kinsoku/>
        <w:wordWrap/>
        <w:overflowPunct/>
        <w:topLinePunct w:val="0"/>
        <w:autoSpaceDE/>
        <w:autoSpaceDN/>
        <w:bidi w:val="0"/>
        <w:adjustRightInd/>
        <w:snapToGrid/>
        <w:spacing w:line="360" w:lineRule="auto"/>
        <w:jc w:val="left"/>
        <w:rPr>
          <w:rFonts w:hint="eastAsia" w:ascii="宋体" w:hAnsi="宋体"/>
          <w:sz w:val="28"/>
          <w:szCs w:val="28"/>
        </w:rPr>
      </w:pPr>
      <w:r>
        <w:rPr>
          <w:rFonts w:hint="eastAsia"/>
          <w:bCs/>
          <w:sz w:val="28"/>
          <w:szCs w:val="28"/>
        </w:rPr>
        <w:t>杭州市能源集团工程科技有限公司</w:t>
      </w:r>
      <w:r>
        <w:rPr>
          <w:rFonts w:hint="eastAsia" w:ascii="宋体" w:hAnsi="宋体"/>
          <w:sz w:val="28"/>
          <w:szCs w:val="28"/>
        </w:rPr>
        <w:t>：</w:t>
      </w:r>
    </w:p>
    <w:p>
      <w:pPr>
        <w:keepNext w:val="0"/>
        <w:keepLines w:val="0"/>
        <w:pageBreakBefore w:val="0"/>
        <w:kinsoku/>
        <w:wordWrap/>
        <w:overflowPunct/>
        <w:topLinePunct w:val="0"/>
        <w:autoSpaceDE/>
        <w:autoSpaceDN/>
        <w:bidi w:val="0"/>
        <w:adjustRightInd/>
        <w:spacing w:line="360" w:lineRule="auto"/>
        <w:ind w:firstLine="560" w:firstLineChars="200"/>
        <w:textAlignment w:val="auto"/>
        <w:rPr>
          <w:rFonts w:hint="eastAsia" w:ascii="宋体" w:hAnsi="宋体" w:eastAsia="宋体"/>
          <w:sz w:val="28"/>
          <w:szCs w:val="28"/>
          <w:lang w:eastAsia="zh-CN"/>
        </w:rPr>
      </w:pPr>
      <w:r>
        <w:rPr>
          <w:rFonts w:hint="eastAsia" w:ascii="宋体" w:hAnsi="宋体"/>
          <w:sz w:val="28"/>
          <w:szCs w:val="28"/>
        </w:rPr>
        <w:t>您好，现将关于</w:t>
      </w:r>
      <w:r>
        <w:rPr>
          <w:rFonts w:hint="eastAsia" w:ascii="宋体" w:hAnsi="宋体"/>
          <w:sz w:val="28"/>
          <w:szCs w:val="28"/>
          <w:u w:val="single"/>
          <w:lang w:val="en-US" w:eastAsia="zh-CN"/>
        </w:rPr>
        <w:t xml:space="preserve"> 临安清凉峰、火车东站东广场等工程充电桩采购项目 </w:t>
      </w:r>
      <w:r>
        <w:rPr>
          <w:rFonts w:hint="eastAsia" w:ascii="宋体" w:hAnsi="宋体"/>
          <w:sz w:val="28"/>
          <w:szCs w:val="28"/>
        </w:rPr>
        <w:t>的询价回复</w:t>
      </w:r>
      <w:r>
        <w:rPr>
          <w:rFonts w:hint="eastAsia" w:ascii="宋体" w:hAnsi="宋体"/>
          <w:sz w:val="28"/>
          <w:szCs w:val="28"/>
          <w:lang w:eastAsia="zh-CN"/>
        </w:rPr>
        <w:t>予</w:t>
      </w:r>
      <w:r>
        <w:rPr>
          <w:rFonts w:hint="eastAsia" w:ascii="宋体" w:hAnsi="宋体"/>
          <w:sz w:val="28"/>
          <w:szCs w:val="28"/>
        </w:rPr>
        <w:t>您，本次报价有效期为</w:t>
      </w:r>
      <w:r>
        <w:rPr>
          <w:rFonts w:hint="eastAsia" w:ascii="宋体" w:hAnsi="宋体"/>
          <w:sz w:val="28"/>
          <w:szCs w:val="28"/>
          <w:lang w:val="en-US" w:eastAsia="zh-CN"/>
        </w:rPr>
        <w:t>30</w:t>
      </w:r>
      <w:r>
        <w:rPr>
          <w:rFonts w:hint="eastAsia" w:ascii="宋体" w:hAnsi="宋体"/>
          <w:sz w:val="28"/>
          <w:szCs w:val="28"/>
        </w:rPr>
        <w:t>天</w:t>
      </w:r>
      <w:r>
        <w:rPr>
          <w:rFonts w:hint="eastAsia" w:ascii="宋体" w:hAnsi="宋体"/>
          <w:sz w:val="28"/>
          <w:szCs w:val="28"/>
          <w:lang w:eastAsia="zh-CN"/>
        </w:rPr>
        <w:t>。</w:t>
      </w:r>
      <w:r>
        <w:rPr>
          <w:rFonts w:hint="eastAsia" w:ascii="宋体" w:hAnsi="宋体"/>
          <w:sz w:val="28"/>
          <w:szCs w:val="28"/>
        </w:rPr>
        <w:t>如有不详之处请及时联系</w:t>
      </w:r>
      <w:r>
        <w:rPr>
          <w:rFonts w:hint="eastAsia" w:ascii="宋体" w:hAnsi="宋体"/>
          <w:sz w:val="28"/>
          <w:szCs w:val="28"/>
          <w:lang w:val="en-US" w:eastAsia="zh-CN"/>
        </w:rPr>
        <w:t>。</w:t>
      </w:r>
    </w:p>
    <w:tbl>
      <w:tblPr>
        <w:tblStyle w:val="22"/>
        <w:tblpPr w:leftFromText="180" w:rightFromText="180" w:vertAnchor="text" w:horzAnchor="page" w:tblpX="734" w:tblpY="154"/>
        <w:tblOverlap w:val="never"/>
        <w:tblW w:w="108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13"/>
        <w:gridCol w:w="55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13" w:type="dxa"/>
          </w:tcPr>
          <w:p>
            <w:pPr>
              <w:jc w:val="center"/>
              <w:rPr>
                <w:rFonts w:ascii="宋体" w:hAnsi="宋体"/>
                <w:sz w:val="28"/>
                <w:szCs w:val="28"/>
              </w:rPr>
            </w:pPr>
            <w:r>
              <w:rPr>
                <w:rFonts w:hint="eastAsia" w:ascii="宋体" w:hAnsi="宋体"/>
                <w:sz w:val="28"/>
                <w:szCs w:val="28"/>
              </w:rPr>
              <w:t>项目名称</w:t>
            </w:r>
          </w:p>
        </w:tc>
        <w:tc>
          <w:tcPr>
            <w:tcW w:w="5513" w:type="dxa"/>
          </w:tcPr>
          <w:p>
            <w:pPr>
              <w:jc w:val="center"/>
              <w:rPr>
                <w:rFonts w:ascii="宋体"/>
                <w:sz w:val="28"/>
                <w:szCs w:val="28"/>
              </w:rPr>
            </w:pPr>
            <w:r>
              <w:rPr>
                <w:rFonts w:hint="eastAsia" w:ascii="宋体"/>
                <w:sz w:val="28"/>
                <w:szCs w:val="28"/>
                <w:lang w:eastAsia="zh-CN"/>
              </w:rPr>
              <w:t>含税总</w:t>
            </w:r>
            <w:r>
              <w:rPr>
                <w:rFonts w:hint="eastAsia" w:ascii="宋体"/>
                <w:sz w:val="28"/>
                <w:szCs w:val="28"/>
              </w:rPr>
              <w:t>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2" w:hRule="atLeast"/>
        </w:trPr>
        <w:tc>
          <w:tcPr>
            <w:tcW w:w="5313" w:type="dxa"/>
            <w:vAlign w:val="center"/>
          </w:tcPr>
          <w:p>
            <w:pPr>
              <w:keepNext w:val="0"/>
              <w:keepLines w:val="0"/>
              <w:pageBreakBefore w:val="0"/>
              <w:kinsoku/>
              <w:wordWrap/>
              <w:overflowPunct/>
              <w:topLinePunct w:val="0"/>
              <w:autoSpaceDE/>
              <w:autoSpaceDN/>
              <w:bidi w:val="0"/>
              <w:adjustRightInd/>
              <w:spacing w:line="360" w:lineRule="auto"/>
              <w:textAlignment w:val="auto"/>
              <w:rPr>
                <w:rFonts w:hint="eastAsia" w:ascii="宋体" w:hAnsi="宋体"/>
                <w:sz w:val="28"/>
                <w:szCs w:val="28"/>
                <w:lang w:eastAsia="zh-CN"/>
              </w:rPr>
            </w:pPr>
            <w:r>
              <w:rPr>
                <w:rFonts w:hint="eastAsia" w:ascii="宋体" w:hAnsi="宋体"/>
                <w:sz w:val="28"/>
                <w:szCs w:val="28"/>
                <w:lang w:val="en-US" w:eastAsia="zh-CN"/>
              </w:rPr>
              <w:t>临安清凉峰、火车东站东广场等工程充电桩采购项目</w:t>
            </w:r>
          </w:p>
          <w:p>
            <w:pPr>
              <w:jc w:val="center"/>
              <w:rPr>
                <w:rFonts w:ascii="宋体" w:hAnsi="宋体" w:cs="宋体"/>
                <w:sz w:val="24"/>
              </w:rPr>
            </w:pPr>
          </w:p>
        </w:tc>
        <w:tc>
          <w:tcPr>
            <w:tcW w:w="5513" w:type="dxa"/>
            <w:vAlign w:val="center"/>
          </w:tcPr>
          <w:p>
            <w:pPr>
              <w:rPr>
                <w:rFonts w:ascii="宋体"/>
                <w:sz w:val="28"/>
                <w:szCs w:val="28"/>
                <w:u w:val="single"/>
              </w:rPr>
            </w:pPr>
            <w:r>
              <w:rPr>
                <w:rFonts w:ascii="Arial" w:hAnsi="Arial" w:cs="Arial"/>
                <w:sz w:val="28"/>
                <w:szCs w:val="28"/>
              </w:rPr>
              <w:t>¥</w:t>
            </w:r>
            <w:r>
              <w:rPr>
                <w:rFonts w:hint="eastAsia" w:ascii="宋体"/>
                <w:sz w:val="28"/>
                <w:szCs w:val="28"/>
                <w:u w:val="single"/>
              </w:rPr>
              <w:t xml:space="preserve">         元整</w:t>
            </w:r>
          </w:p>
          <w:p>
            <w:pPr>
              <w:rPr>
                <w:rFonts w:ascii="宋体"/>
                <w:sz w:val="28"/>
                <w:szCs w:val="28"/>
              </w:rPr>
            </w:pPr>
            <w:r>
              <w:rPr>
                <w:rFonts w:hint="eastAsia" w:ascii="宋体"/>
                <w:sz w:val="28"/>
                <w:szCs w:val="28"/>
              </w:rPr>
              <w:t>人民币</w:t>
            </w:r>
            <w:r>
              <w:rPr>
                <w:rFonts w:hint="eastAsia" w:ascii="宋体"/>
                <w:sz w:val="28"/>
                <w:szCs w:val="28"/>
                <w:u w:val="single"/>
              </w:rPr>
              <w:t>（大写：         元整）</w:t>
            </w:r>
          </w:p>
        </w:tc>
      </w:tr>
    </w:tbl>
    <w:p>
      <w:pPr>
        <w:jc w:val="left"/>
        <w:rPr>
          <w:rFonts w:hint="eastAsia" w:ascii="宋体" w:hAnsi="宋体"/>
          <w:sz w:val="28"/>
          <w:szCs w:val="28"/>
          <w:lang w:val="en-US" w:eastAsia="zh-CN"/>
        </w:rPr>
      </w:pPr>
      <w:r>
        <w:rPr>
          <w:rFonts w:hint="eastAsia" w:ascii="宋体" w:hAnsi="宋体"/>
          <w:sz w:val="28"/>
          <w:szCs w:val="28"/>
          <w:lang w:eastAsia="zh-CN"/>
        </w:rPr>
        <w:t>本项目报价含税，税率</w:t>
      </w:r>
      <w:r>
        <w:rPr>
          <w:rFonts w:hint="eastAsia" w:ascii="宋体" w:hAnsi="宋体"/>
          <w:sz w:val="28"/>
          <w:szCs w:val="28"/>
          <w:u w:val="single"/>
          <w:lang w:val="en-US" w:eastAsia="zh-CN"/>
        </w:rPr>
        <w:t xml:space="preserve">    </w:t>
      </w:r>
      <w:r>
        <w:rPr>
          <w:rFonts w:hint="eastAsia" w:ascii="宋体" w:hAnsi="宋体"/>
          <w:sz w:val="28"/>
          <w:szCs w:val="28"/>
          <w:lang w:val="en-US" w:eastAsia="zh-CN"/>
        </w:rPr>
        <w:t>%</w:t>
      </w:r>
    </w:p>
    <w:p>
      <w:pPr>
        <w:jc w:val="left"/>
        <w:rPr>
          <w:rFonts w:hint="eastAsia"/>
          <w:b/>
          <w:sz w:val="28"/>
          <w:szCs w:val="28"/>
        </w:rPr>
      </w:pPr>
    </w:p>
    <w:p>
      <w:pPr>
        <w:jc w:val="center"/>
        <w:rPr>
          <w:rFonts w:hint="eastAsia"/>
          <w:b/>
          <w:sz w:val="28"/>
          <w:szCs w:val="28"/>
          <w:lang w:eastAsia="zh-CN"/>
        </w:rPr>
      </w:pPr>
      <w:r>
        <w:rPr>
          <w:rFonts w:hint="eastAsia"/>
          <w:b/>
          <w:sz w:val="28"/>
          <w:szCs w:val="28"/>
          <w:lang w:val="en-US" w:eastAsia="zh-CN"/>
        </w:rPr>
        <w:t xml:space="preserve">                                         </w:t>
      </w:r>
      <w:r>
        <w:rPr>
          <w:rFonts w:hint="eastAsia"/>
          <w:b/>
          <w:sz w:val="28"/>
          <w:szCs w:val="28"/>
          <w:lang w:eastAsia="zh-CN"/>
        </w:rPr>
        <w:t>报价单位（盖公章）：</w:t>
      </w:r>
    </w:p>
    <w:p>
      <w:pPr>
        <w:ind w:firstLine="3654" w:firstLineChars="1300"/>
        <w:jc w:val="center"/>
        <w:rPr>
          <w:rFonts w:hint="eastAsia"/>
          <w:b/>
          <w:sz w:val="28"/>
          <w:szCs w:val="28"/>
        </w:rPr>
      </w:pPr>
      <w:r>
        <w:rPr>
          <w:rFonts w:hint="eastAsia"/>
          <w:b/>
          <w:sz w:val="28"/>
          <w:szCs w:val="28"/>
        </w:rPr>
        <w:t>日期：</w:t>
      </w:r>
    </w:p>
    <w:p>
      <w:pPr>
        <w:ind w:firstLine="3654" w:firstLineChars="1300"/>
        <w:jc w:val="center"/>
        <w:rPr>
          <w:rFonts w:hint="eastAsia"/>
          <w:b/>
          <w:sz w:val="28"/>
          <w:szCs w:val="28"/>
        </w:rPr>
      </w:pPr>
    </w:p>
    <w:p>
      <w:pPr>
        <w:snapToGrid w:val="0"/>
        <w:spacing w:line="420" w:lineRule="exact"/>
        <w:jc w:val="center"/>
        <w:rPr>
          <w:rStyle w:val="27"/>
          <w:rFonts w:hint="eastAsia" w:ascii="仿宋" w:hAnsi="仿宋" w:eastAsia="仿宋" w:cs="仿宋"/>
          <w:b/>
          <w:color w:val="000000"/>
          <w:sz w:val="36"/>
          <w:szCs w:val="36"/>
          <w:highlight w:val="none"/>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hint="eastAsia" w:ascii="仿宋" w:hAnsi="仿宋" w:eastAsia="仿宋" w:cs="仿宋"/>
          <w:b/>
          <w:sz w:val="30"/>
          <w:highlight w:val="none"/>
          <w:lang w:eastAsia="zh-CN"/>
        </w:rPr>
      </w:pPr>
      <w:r>
        <w:rPr>
          <w:rFonts w:hint="eastAsia" w:ascii="仿宋" w:hAnsi="仿宋" w:eastAsia="仿宋" w:cs="仿宋"/>
          <w:sz w:val="30"/>
          <w:highlight w:val="none"/>
        </w:rPr>
        <w:t>附件</w:t>
      </w:r>
      <w:r>
        <w:rPr>
          <w:rFonts w:hint="eastAsia" w:ascii="仿宋" w:hAnsi="仿宋" w:eastAsia="仿宋" w:cs="仿宋"/>
          <w:sz w:val="30"/>
          <w:highlight w:val="none"/>
          <w:lang w:eastAsia="zh-CN"/>
        </w:rPr>
        <w:t>二</w:t>
      </w:r>
    </w:p>
    <w:p>
      <w:pPr>
        <w:rPr>
          <w:rFonts w:hint="eastAsia"/>
        </w:rPr>
      </w:pPr>
    </w:p>
    <w:p>
      <w:pPr>
        <w:snapToGrid w:val="0"/>
        <w:spacing w:line="420" w:lineRule="exact"/>
        <w:jc w:val="center"/>
        <w:rPr>
          <w:rStyle w:val="27"/>
          <w:rFonts w:hint="eastAsia" w:ascii="仿宋" w:hAnsi="仿宋" w:eastAsia="仿宋" w:cs="仿宋"/>
          <w:b/>
          <w:color w:val="000000"/>
          <w:sz w:val="36"/>
          <w:szCs w:val="36"/>
          <w:highlight w:val="none"/>
        </w:rPr>
      </w:pPr>
      <w:r>
        <w:rPr>
          <w:rStyle w:val="27"/>
          <w:rFonts w:hint="eastAsia" w:ascii="仿宋" w:hAnsi="仿宋" w:eastAsia="仿宋" w:cs="仿宋"/>
          <w:b/>
          <w:color w:val="000000"/>
          <w:sz w:val="36"/>
          <w:szCs w:val="36"/>
          <w:highlight w:val="none"/>
        </w:rPr>
        <w:t>报价明细表</w:t>
      </w:r>
    </w:p>
    <w:tbl>
      <w:tblPr>
        <w:tblStyle w:val="22"/>
        <w:tblW w:w="11453" w:type="dxa"/>
        <w:jc w:val="center"/>
        <w:tblLayout w:type="fixed"/>
        <w:tblCellMar>
          <w:top w:w="0" w:type="dxa"/>
          <w:left w:w="108" w:type="dxa"/>
          <w:bottom w:w="0" w:type="dxa"/>
          <w:right w:w="108" w:type="dxa"/>
        </w:tblCellMar>
      </w:tblPr>
      <w:tblGrid>
        <w:gridCol w:w="679"/>
        <w:gridCol w:w="1278"/>
        <w:gridCol w:w="3120"/>
        <w:gridCol w:w="585"/>
        <w:gridCol w:w="825"/>
        <w:gridCol w:w="1470"/>
        <w:gridCol w:w="1107"/>
        <w:gridCol w:w="1099"/>
        <w:gridCol w:w="1290"/>
      </w:tblGrid>
      <w:tr>
        <w:tblPrEx>
          <w:tblCellMar>
            <w:top w:w="0" w:type="dxa"/>
            <w:left w:w="108" w:type="dxa"/>
            <w:bottom w:w="0" w:type="dxa"/>
            <w:right w:w="108" w:type="dxa"/>
          </w:tblCellMar>
        </w:tblPrEx>
        <w:trPr>
          <w:trHeight w:val="1167" w:hRule="exact"/>
          <w:jc w:val="center"/>
        </w:trPr>
        <w:tc>
          <w:tcPr>
            <w:tcW w:w="67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名称</w:t>
            </w:r>
          </w:p>
        </w:tc>
        <w:tc>
          <w:tcPr>
            <w:tcW w:w="31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规格</w:t>
            </w:r>
          </w:p>
        </w:tc>
        <w:tc>
          <w:tcPr>
            <w:tcW w:w="5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单位</w:t>
            </w:r>
          </w:p>
        </w:tc>
        <w:tc>
          <w:tcPr>
            <w:tcW w:w="82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数量</w:t>
            </w:r>
          </w:p>
        </w:tc>
        <w:tc>
          <w:tcPr>
            <w:tcW w:w="1470" w:type="dxa"/>
            <w:tcBorders>
              <w:top w:val="single" w:color="000000" w:sz="4" w:space="0"/>
              <w:left w:val="single" w:color="000000" w:sz="4" w:space="0"/>
              <w:bottom w:val="single" w:color="000000" w:sz="4" w:space="0"/>
              <w:right w:val="single" w:color="000000" w:sz="4" w:space="0"/>
            </w:tcBorders>
            <w:vAlign w:val="center"/>
          </w:tcPr>
          <w:p>
            <w:pPr>
              <w:pStyle w:val="4"/>
              <w:rPr>
                <w:rFonts w:hint="eastAsia"/>
              </w:rPr>
            </w:pPr>
            <w:r>
              <w:rPr>
                <w:rFonts w:hint="eastAsia" w:ascii="仿宋" w:hAnsi="仿宋" w:eastAsia="仿宋" w:cs="仿宋"/>
                <w:b/>
                <w:bCs/>
                <w:color w:val="auto"/>
                <w:kern w:val="0"/>
                <w:sz w:val="24"/>
                <w:szCs w:val="24"/>
                <w:highlight w:val="none"/>
                <w:lang w:eastAsia="zh-CN"/>
              </w:rPr>
              <w:t>综合单价限价（元）</w:t>
            </w:r>
          </w:p>
        </w:tc>
        <w:tc>
          <w:tcPr>
            <w:tcW w:w="110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eastAsia="zh-CN"/>
              </w:rPr>
              <w:t>综合单价（元）</w:t>
            </w:r>
          </w:p>
        </w:tc>
        <w:tc>
          <w:tcPr>
            <w:tcW w:w="109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小计（元）</w:t>
            </w:r>
          </w:p>
        </w:tc>
        <w:tc>
          <w:tcPr>
            <w:tcW w:w="129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lang w:eastAsia="zh-CN"/>
              </w:rPr>
            </w:pPr>
            <w:r>
              <w:rPr>
                <w:rFonts w:hint="eastAsia" w:ascii="仿宋" w:hAnsi="仿宋" w:eastAsia="仿宋" w:cs="仿宋"/>
                <w:b/>
                <w:bCs/>
                <w:color w:val="auto"/>
                <w:kern w:val="0"/>
                <w:sz w:val="24"/>
                <w:szCs w:val="24"/>
                <w:highlight w:val="none"/>
                <w:lang w:eastAsia="zh-CN"/>
              </w:rPr>
              <w:t>备注</w:t>
            </w:r>
          </w:p>
        </w:tc>
      </w:tr>
      <w:tr>
        <w:tblPrEx>
          <w:tblCellMar>
            <w:top w:w="0" w:type="dxa"/>
            <w:left w:w="108" w:type="dxa"/>
            <w:bottom w:w="0" w:type="dxa"/>
            <w:right w:w="108" w:type="dxa"/>
          </w:tblCellMar>
        </w:tblPrEx>
        <w:trPr>
          <w:trHeight w:val="907" w:hRule="exact"/>
          <w:jc w:val="center"/>
        </w:trPr>
        <w:tc>
          <w:tcPr>
            <w:tcW w:w="67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1</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31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120kW双枪快充</w:t>
            </w:r>
          </w:p>
        </w:tc>
        <w:tc>
          <w:tcPr>
            <w:tcW w:w="5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2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47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45000</w:t>
            </w:r>
          </w:p>
        </w:tc>
        <w:tc>
          <w:tcPr>
            <w:tcW w:w="110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09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290" w:type="dxa"/>
            <w:vMerge w:val="restart"/>
            <w:tcBorders>
              <w:top w:val="single" w:color="000000" w:sz="4" w:space="0"/>
              <w:left w:val="single" w:color="000000" w:sz="4" w:space="0"/>
              <w:right w:val="single" w:color="000000" w:sz="4" w:space="0"/>
            </w:tcBorders>
            <w:vAlign w:val="top"/>
          </w:tcPr>
          <w:p>
            <w:pPr>
              <w:keepNext w:val="0"/>
              <w:keepLines w:val="0"/>
              <w:pageBreakBefore w:val="0"/>
              <w:kinsoku/>
              <w:overflowPunct/>
              <w:topLinePunct w:val="0"/>
              <w:autoSpaceDE/>
              <w:autoSpaceDN/>
              <w:bidi w:val="0"/>
              <w:spacing w:line="600" w:lineRule="exact"/>
              <w:jc w:val="both"/>
              <w:rPr>
                <w:rFonts w:hint="eastAsia" w:ascii="仿宋" w:hAnsi="仿宋" w:eastAsia="仿宋" w:cs="仿宋"/>
                <w:color w:val="auto"/>
                <w:sz w:val="24"/>
                <w:szCs w:val="24"/>
                <w:highlight w:val="none"/>
                <w:lang w:eastAsia="zh-CN"/>
              </w:rPr>
            </w:pPr>
            <w:r>
              <w:rPr>
                <w:rFonts w:hint="eastAsia" w:ascii="仿宋" w:hAnsi="仿宋" w:eastAsia="仿宋" w:cs="仿宋"/>
                <w:sz w:val="24"/>
                <w:szCs w:val="24"/>
                <w:highlight w:val="none"/>
                <w:lang w:val="en-US" w:eastAsia="zh-CN"/>
              </w:rPr>
              <w:t>固定综合单价，数量按实结算</w:t>
            </w:r>
          </w:p>
        </w:tc>
      </w:tr>
      <w:tr>
        <w:tblPrEx>
          <w:tblCellMar>
            <w:top w:w="0" w:type="dxa"/>
            <w:left w:w="108" w:type="dxa"/>
            <w:bottom w:w="0" w:type="dxa"/>
            <w:right w:w="108" w:type="dxa"/>
          </w:tblCellMar>
        </w:tblPrEx>
        <w:trPr>
          <w:trHeight w:val="792" w:hRule="exact"/>
          <w:jc w:val="center"/>
        </w:trPr>
        <w:tc>
          <w:tcPr>
            <w:tcW w:w="67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2</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31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120kW双枪快充(加长枪线至10米）</w:t>
            </w:r>
          </w:p>
        </w:tc>
        <w:tc>
          <w:tcPr>
            <w:tcW w:w="5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2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47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default"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49500</w:t>
            </w:r>
          </w:p>
        </w:tc>
        <w:tc>
          <w:tcPr>
            <w:tcW w:w="110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09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290" w:type="dxa"/>
            <w:vMerge w:val="continue"/>
            <w:tcBorders>
              <w:left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852" w:hRule="exact"/>
          <w:jc w:val="center"/>
        </w:trPr>
        <w:tc>
          <w:tcPr>
            <w:tcW w:w="67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3</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kern w:val="0"/>
                <w:sz w:val="24"/>
                <w:szCs w:val="24"/>
                <w:highlight w:val="none"/>
                <w:lang w:val="en-US" w:eastAsia="zh-CN" w:bidi="ar-SA"/>
              </w:rPr>
            </w:pPr>
            <w:r>
              <w:rPr>
                <w:rFonts w:hint="eastAsia" w:ascii="仿宋" w:hAnsi="仿宋" w:eastAsia="仿宋" w:cs="仿宋"/>
                <w:color w:val="auto"/>
                <w:sz w:val="24"/>
                <w:szCs w:val="24"/>
                <w:highlight w:val="none"/>
                <w:lang w:eastAsia="zh-CN"/>
              </w:rPr>
              <w:t>直流充电桩</w:t>
            </w:r>
          </w:p>
        </w:tc>
        <w:tc>
          <w:tcPr>
            <w:tcW w:w="31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Style w:val="53"/>
                <w:rFonts w:hint="eastAsia" w:ascii="仿宋" w:hAnsi="仿宋" w:eastAsia="仿宋" w:cs="仿宋"/>
                <w:sz w:val="24"/>
                <w:szCs w:val="24"/>
                <w:lang w:val="en-US" w:bidi="ar"/>
              </w:rPr>
            </w:pPr>
            <w:r>
              <w:rPr>
                <w:rFonts w:hint="eastAsia" w:ascii="仿宋" w:hAnsi="仿宋" w:eastAsia="仿宋" w:cs="仿宋"/>
                <w:color w:val="auto"/>
                <w:sz w:val="24"/>
                <w:szCs w:val="24"/>
                <w:highlight w:val="none"/>
                <w:lang w:eastAsia="zh-CN"/>
              </w:rPr>
              <w:t>80kW双枪快充</w:t>
            </w:r>
          </w:p>
        </w:tc>
        <w:tc>
          <w:tcPr>
            <w:tcW w:w="5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2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47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27500</w:t>
            </w:r>
          </w:p>
        </w:tc>
        <w:tc>
          <w:tcPr>
            <w:tcW w:w="110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09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290" w:type="dxa"/>
            <w:vMerge w:val="continue"/>
            <w:tcBorders>
              <w:left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852" w:hRule="exact"/>
          <w:jc w:val="center"/>
        </w:trPr>
        <w:tc>
          <w:tcPr>
            <w:tcW w:w="67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4</w:t>
            </w:r>
          </w:p>
        </w:tc>
        <w:tc>
          <w:tcPr>
            <w:tcW w:w="1278"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交流充电桩</w:t>
            </w:r>
          </w:p>
        </w:tc>
        <w:tc>
          <w:tcPr>
            <w:tcW w:w="312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tabs>
                <w:tab w:val="left" w:pos="282"/>
              </w:tabs>
              <w:kinsoku/>
              <w:wordWrap/>
              <w:overflowPunct/>
              <w:topLinePunct w:val="0"/>
              <w:autoSpaceDE/>
              <w:autoSpaceDN/>
              <w:bidi w:val="0"/>
              <w:adjustRightInd/>
              <w:spacing w:line="360" w:lineRule="auto"/>
              <w:jc w:val="left"/>
              <w:textAlignment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7kW单枪慢充</w:t>
            </w:r>
          </w:p>
        </w:tc>
        <w:tc>
          <w:tcPr>
            <w:tcW w:w="58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825"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suppressLineNumbers w:val="0"/>
              <w:kinsoku/>
              <w:wordWrap/>
              <w:overflowPunct/>
              <w:topLinePunct w:val="0"/>
              <w:autoSpaceDE/>
              <w:autoSpaceDN/>
              <w:bidi w:val="0"/>
              <w:adjustRightInd/>
              <w:spacing w:line="360" w:lineRule="auto"/>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23</w:t>
            </w:r>
          </w:p>
        </w:tc>
        <w:tc>
          <w:tcPr>
            <w:tcW w:w="1470"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1650</w:t>
            </w:r>
          </w:p>
        </w:tc>
        <w:tc>
          <w:tcPr>
            <w:tcW w:w="1107"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color w:val="auto"/>
                <w:kern w:val="0"/>
                <w:sz w:val="24"/>
                <w:szCs w:val="24"/>
                <w:highlight w:val="none"/>
              </w:rPr>
            </w:pPr>
          </w:p>
        </w:tc>
        <w:tc>
          <w:tcPr>
            <w:tcW w:w="1099" w:type="dxa"/>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c>
          <w:tcPr>
            <w:tcW w:w="1290" w:type="dxa"/>
            <w:vMerge w:val="continue"/>
            <w:tcBorders>
              <w:left w:val="single" w:color="000000" w:sz="4" w:space="0"/>
              <w:right w:val="single" w:color="000000" w:sz="4" w:space="0"/>
            </w:tcBorders>
            <w:vAlign w:val="center"/>
          </w:tcPr>
          <w:p>
            <w:pPr>
              <w:keepNext w:val="0"/>
              <w:keepLines w:val="0"/>
              <w:pageBreakBefore w:val="0"/>
              <w:kinsoku/>
              <w:overflowPunct/>
              <w:topLinePunct w:val="0"/>
              <w:autoSpaceDE/>
              <w:autoSpaceDN/>
              <w:bidi w:val="0"/>
              <w:spacing w:line="600" w:lineRule="exact"/>
              <w:jc w:val="center"/>
              <w:rPr>
                <w:rFonts w:hint="eastAsia" w:ascii="仿宋" w:hAnsi="仿宋" w:eastAsia="仿宋" w:cs="仿宋"/>
                <w:color w:val="auto"/>
                <w:sz w:val="24"/>
                <w:szCs w:val="24"/>
                <w:highlight w:val="none"/>
              </w:rPr>
            </w:pPr>
          </w:p>
        </w:tc>
      </w:tr>
      <w:tr>
        <w:tblPrEx>
          <w:tblCellMar>
            <w:top w:w="0" w:type="dxa"/>
            <w:left w:w="108" w:type="dxa"/>
            <w:bottom w:w="0" w:type="dxa"/>
            <w:right w:w="108" w:type="dxa"/>
          </w:tblCellMar>
        </w:tblPrEx>
        <w:trPr>
          <w:trHeight w:val="567" w:hRule="exact"/>
          <w:jc w:val="center"/>
        </w:trPr>
        <w:tc>
          <w:tcPr>
            <w:tcW w:w="11453" w:type="dxa"/>
            <w:gridSpan w:val="9"/>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合计：</w:t>
            </w:r>
          </w:p>
        </w:tc>
      </w:tr>
      <w:tr>
        <w:tblPrEx>
          <w:tblCellMar>
            <w:top w:w="0" w:type="dxa"/>
            <w:left w:w="108" w:type="dxa"/>
            <w:bottom w:w="0" w:type="dxa"/>
            <w:right w:w="108" w:type="dxa"/>
          </w:tblCellMar>
        </w:tblPrEx>
        <w:trPr>
          <w:trHeight w:val="567" w:hRule="exact"/>
          <w:jc w:val="center"/>
        </w:trPr>
        <w:tc>
          <w:tcPr>
            <w:tcW w:w="11453" w:type="dxa"/>
            <w:gridSpan w:val="9"/>
            <w:tcBorders>
              <w:top w:val="single" w:color="000000" w:sz="4" w:space="0"/>
              <w:left w:val="single" w:color="000000" w:sz="4" w:space="0"/>
              <w:bottom w:val="single" w:color="000000" w:sz="4" w:space="0"/>
              <w:right w:val="single" w:color="000000" w:sz="4" w:space="0"/>
            </w:tcBorders>
            <w:vAlign w:val="center"/>
          </w:tcPr>
          <w:p>
            <w:pPr>
              <w:keepNext w:val="0"/>
              <w:keepLines w:val="0"/>
              <w:pageBreakBefore w:val="0"/>
              <w:widowControl/>
              <w:kinsoku/>
              <w:overflowPunct/>
              <w:topLinePunct w:val="0"/>
              <w:autoSpaceDE/>
              <w:autoSpaceDN/>
              <w:bidi w:val="0"/>
              <w:spacing w:line="600" w:lineRule="exact"/>
              <w:jc w:val="center"/>
              <w:textAlignment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（大写）： </w:t>
            </w:r>
          </w:p>
        </w:tc>
      </w:tr>
    </w:tbl>
    <w:p>
      <w:pPr>
        <w:pStyle w:val="4"/>
        <w:rPr>
          <w:rFonts w:hint="eastAsia"/>
          <w:highlight w:val="none"/>
        </w:rPr>
      </w:pPr>
    </w:p>
    <w:p>
      <w:pPr>
        <w:numPr>
          <w:ilvl w:val="0"/>
          <w:numId w:val="0"/>
        </w:numPr>
        <w:rPr>
          <w:rFonts w:hint="eastAsia" w:ascii="仿宋" w:hAnsi="仿宋" w:eastAsia="仿宋" w:cs="仿宋"/>
          <w:sz w:val="24"/>
          <w:highlight w:val="none"/>
          <w:lang w:val="en-US" w:eastAsia="zh-CN"/>
        </w:rPr>
      </w:pPr>
      <w:r>
        <w:rPr>
          <w:rFonts w:hint="eastAsia" w:ascii="仿宋" w:hAnsi="仿宋" w:eastAsia="仿宋" w:cs="仿宋"/>
          <w:sz w:val="24"/>
          <w:highlight w:val="none"/>
          <w:lang w:eastAsia="zh-CN"/>
        </w:rPr>
        <w:t>备注：</w:t>
      </w:r>
      <w:r>
        <w:rPr>
          <w:rFonts w:hint="eastAsia" w:ascii="仿宋" w:hAnsi="仿宋" w:eastAsia="仿宋" w:cs="仿宋"/>
          <w:sz w:val="24"/>
          <w:highlight w:val="none"/>
        </w:rPr>
        <w:t>报价</w:t>
      </w:r>
      <w:r>
        <w:rPr>
          <w:rFonts w:hint="eastAsia" w:ascii="仿宋" w:hAnsi="仿宋" w:eastAsia="仿宋" w:cs="仿宋"/>
          <w:sz w:val="24"/>
          <w:szCs w:val="24"/>
        </w:rPr>
        <w:t>包括但不限于</w:t>
      </w:r>
      <w:r>
        <w:rPr>
          <w:rFonts w:hint="eastAsia" w:ascii="仿宋" w:hAnsi="仿宋" w:eastAsia="仿宋" w:cs="仿宋"/>
          <w:color w:val="auto"/>
          <w:sz w:val="24"/>
          <w:szCs w:val="24"/>
          <w:highlight w:val="none"/>
        </w:rPr>
        <w:t>货物（材料设备）费、包装</w:t>
      </w:r>
      <w:r>
        <w:rPr>
          <w:rFonts w:hint="eastAsia" w:ascii="仿宋" w:hAnsi="仿宋" w:eastAsia="仿宋" w:cs="仿宋"/>
          <w:color w:val="auto"/>
          <w:sz w:val="24"/>
          <w:szCs w:val="24"/>
          <w:highlight w:val="none"/>
          <w:lang w:val="en-US" w:eastAsia="zh-CN"/>
        </w:rPr>
        <w:t>费、</w:t>
      </w:r>
      <w:r>
        <w:rPr>
          <w:rFonts w:hint="eastAsia" w:ascii="仿宋" w:hAnsi="仿宋" w:eastAsia="仿宋" w:cs="仿宋"/>
          <w:color w:val="auto"/>
          <w:sz w:val="24"/>
          <w:szCs w:val="24"/>
          <w:highlight w:val="none"/>
        </w:rPr>
        <w:t>运输费、</w:t>
      </w:r>
      <w:r>
        <w:rPr>
          <w:rFonts w:hint="eastAsia" w:ascii="仿宋" w:hAnsi="仿宋" w:eastAsia="仿宋" w:cs="仿宋"/>
          <w:color w:val="auto"/>
          <w:sz w:val="24"/>
          <w:szCs w:val="24"/>
          <w:highlight w:val="none"/>
          <w:lang w:eastAsia="zh-CN"/>
        </w:rPr>
        <w:t>运输保险费、调试费、试运行费、</w:t>
      </w:r>
      <w:r>
        <w:rPr>
          <w:rFonts w:hint="eastAsia" w:ascii="仿宋" w:hAnsi="仿宋" w:eastAsia="仿宋" w:cs="仿宋"/>
          <w:color w:val="auto"/>
          <w:sz w:val="24"/>
          <w:szCs w:val="24"/>
          <w:highlight w:val="none"/>
        </w:rPr>
        <w:t>验收费、质保费（含质保期内技术服务、所需的备品备件及专用工具）、售后服务费、技术支持费、企业管理费、利润、税金</w:t>
      </w:r>
      <w:r>
        <w:rPr>
          <w:rFonts w:hint="eastAsia" w:ascii="仿宋" w:hAnsi="仿宋" w:eastAsia="仿宋" w:cs="仿宋"/>
          <w:sz w:val="24"/>
          <w:highlight w:val="none"/>
          <w:lang w:eastAsia="zh-CN"/>
        </w:rPr>
        <w:t>（税率</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eastAsia="zh-CN"/>
        </w:rPr>
        <w:t>）</w:t>
      </w:r>
      <w:r>
        <w:rPr>
          <w:rFonts w:hint="eastAsia" w:ascii="仿宋" w:hAnsi="仿宋" w:eastAsia="仿宋" w:cs="仿宋"/>
          <w:sz w:val="24"/>
          <w:highlight w:val="none"/>
        </w:rPr>
        <w:t>等</w:t>
      </w:r>
      <w:r>
        <w:rPr>
          <w:rFonts w:hint="eastAsia" w:ascii="仿宋" w:hAnsi="仿宋" w:eastAsia="仿宋" w:cs="仿宋"/>
          <w:sz w:val="24"/>
          <w:szCs w:val="24"/>
          <w:highlight w:val="none"/>
        </w:rPr>
        <w:t>一切费用</w:t>
      </w:r>
      <w:r>
        <w:rPr>
          <w:rFonts w:hint="eastAsia" w:ascii="仿宋" w:hAnsi="仿宋" w:eastAsia="仿宋" w:cs="仿宋"/>
          <w:sz w:val="24"/>
          <w:szCs w:val="24"/>
          <w:highlight w:val="none"/>
          <w:lang w:eastAsia="zh-CN"/>
        </w:rPr>
        <w:t>。</w:t>
      </w:r>
    </w:p>
    <w:p>
      <w:pPr>
        <w:snapToGrid w:val="0"/>
        <w:spacing w:line="420" w:lineRule="exact"/>
        <w:ind w:firstLine="2880" w:firstLineChars="1200"/>
        <w:jc w:val="right"/>
        <w:rPr>
          <w:rFonts w:hint="eastAsia" w:ascii="仿宋" w:hAnsi="仿宋" w:eastAsia="仿宋" w:cs="仿宋"/>
          <w:sz w:val="24"/>
          <w:highlight w:val="none"/>
          <w:lang w:val="en-US" w:eastAsia="zh-CN"/>
        </w:rPr>
      </w:pPr>
    </w:p>
    <w:p>
      <w:pPr>
        <w:pStyle w:val="4"/>
        <w:rPr>
          <w:rFonts w:hint="eastAsia"/>
          <w:lang w:val="en-US" w:eastAsia="zh-CN"/>
        </w:rPr>
      </w:pPr>
    </w:p>
    <w:p>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报价人（盖公章）：</w:t>
      </w:r>
    </w:p>
    <w:p>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color w:val="000000"/>
          <w:kern w:val="0"/>
          <w:sz w:val="24"/>
          <w:szCs w:val="24"/>
          <w:lang w:val="zh-CN" w:eastAsia="zh-CN" w:bidi="ar"/>
        </w:rPr>
      </w:pPr>
      <w:r>
        <w:rPr>
          <w:rFonts w:hint="eastAsia" w:ascii="仿宋" w:hAnsi="仿宋" w:eastAsia="仿宋" w:cs="仿宋"/>
          <w:color w:val="000000"/>
          <w:kern w:val="0"/>
          <w:sz w:val="24"/>
          <w:szCs w:val="24"/>
          <w:lang w:val="zh-CN" w:eastAsia="zh-CN" w:bidi="ar"/>
        </w:rPr>
        <w:t>法定代表人或授权委托人(签字或盖章)：</w:t>
      </w:r>
    </w:p>
    <w:p>
      <w:pPr>
        <w:keepNext w:val="0"/>
        <w:keepLines w:val="0"/>
        <w:pageBreakBefore w:val="0"/>
        <w:widowControl/>
        <w:suppressLineNumbers w:val="0"/>
        <w:kinsoku/>
        <w:wordWrap/>
        <w:overflowPunct/>
        <w:topLinePunct w:val="0"/>
        <w:autoSpaceDE/>
        <w:autoSpaceDN/>
        <w:bidi w:val="0"/>
        <w:adjustRightInd/>
        <w:spacing w:line="360" w:lineRule="auto"/>
        <w:jc w:val="left"/>
        <w:textAlignment w:val="auto"/>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zh-CN" w:eastAsia="zh-CN" w:bidi="ar"/>
        </w:rPr>
        <w:t>日期</w:t>
      </w:r>
      <w:r>
        <w:rPr>
          <w:rFonts w:hint="eastAsia" w:ascii="仿宋" w:hAnsi="仿宋" w:eastAsia="仿宋" w:cs="仿宋"/>
          <w:color w:val="000000"/>
          <w:kern w:val="0"/>
          <w:sz w:val="24"/>
          <w:szCs w:val="24"/>
          <w:lang w:val="en-US" w:eastAsia="zh-CN" w:bidi="ar"/>
        </w:rPr>
        <w:t xml:space="preserve">：    年    </w:t>
      </w:r>
      <w:r>
        <w:rPr>
          <w:rFonts w:hint="eastAsia" w:ascii="仿宋" w:hAnsi="仿宋" w:eastAsia="仿宋" w:cs="仿宋"/>
          <w:color w:val="000000"/>
          <w:kern w:val="0"/>
          <w:sz w:val="24"/>
          <w:szCs w:val="24"/>
          <w:lang w:val="zh-CN" w:eastAsia="zh-CN" w:bidi="ar"/>
        </w:rPr>
        <w:t>月</w:t>
      </w:r>
      <w:r>
        <w:rPr>
          <w:rFonts w:hint="eastAsia" w:ascii="仿宋" w:hAnsi="仿宋" w:eastAsia="仿宋" w:cs="仿宋"/>
          <w:color w:val="000000"/>
          <w:kern w:val="0"/>
          <w:sz w:val="24"/>
          <w:szCs w:val="24"/>
          <w:lang w:val="en-US" w:eastAsia="zh-CN" w:bidi="ar"/>
        </w:rPr>
        <w:t xml:space="preserve">    </w:t>
      </w:r>
      <w:r>
        <w:rPr>
          <w:rFonts w:hint="eastAsia" w:ascii="仿宋" w:hAnsi="仿宋" w:eastAsia="仿宋" w:cs="仿宋"/>
          <w:color w:val="000000"/>
          <w:kern w:val="0"/>
          <w:sz w:val="24"/>
          <w:szCs w:val="24"/>
          <w:lang w:val="zh-CN" w:eastAsia="zh-CN" w:bidi="ar"/>
        </w:rPr>
        <w:t>日</w:t>
      </w:r>
    </w:p>
    <w:p>
      <w:pPr>
        <w:keepNext w:val="0"/>
        <w:keepLines w:val="0"/>
        <w:widowControl/>
        <w:suppressLineNumbers w:val="0"/>
        <w:jc w:val="left"/>
        <w:rPr>
          <w:rFonts w:ascii="仿宋" w:hAnsi="仿宋" w:eastAsia="仿宋" w:cs="仿宋"/>
          <w:b/>
          <w:bCs/>
          <w:color w:val="000000"/>
          <w:kern w:val="0"/>
          <w:sz w:val="31"/>
          <w:szCs w:val="31"/>
          <w:highlight w:val="none"/>
          <w:lang w:val="en-US" w:eastAsia="zh-CN" w:bidi="ar"/>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hint="eastAsia" w:ascii="仿宋" w:hAnsi="仿宋" w:eastAsia="仿宋" w:cs="仿宋"/>
          <w:sz w:val="30"/>
          <w:highlight w:val="none"/>
        </w:rPr>
      </w:pPr>
    </w:p>
    <w:p>
      <w:pPr>
        <w:pStyle w:val="12"/>
        <w:tabs>
          <w:tab w:val="left" w:pos="450"/>
        </w:tabs>
        <w:spacing w:line="360" w:lineRule="auto"/>
        <w:rPr>
          <w:rFonts w:ascii="仿宋" w:hAnsi="仿宋" w:eastAsia="仿宋" w:cs="仿宋"/>
          <w:b/>
          <w:bCs/>
          <w:color w:val="000000"/>
          <w:kern w:val="0"/>
          <w:sz w:val="31"/>
          <w:szCs w:val="31"/>
          <w:highlight w:val="none"/>
          <w:lang w:val="en-US" w:eastAsia="zh-CN" w:bidi="ar"/>
        </w:rPr>
      </w:pPr>
      <w:r>
        <w:rPr>
          <w:rFonts w:hint="eastAsia" w:ascii="仿宋" w:hAnsi="仿宋" w:eastAsia="仿宋" w:cs="仿宋"/>
          <w:sz w:val="30"/>
          <w:highlight w:val="none"/>
        </w:rPr>
        <w:t>附件</w:t>
      </w:r>
      <w:r>
        <w:rPr>
          <w:rFonts w:hint="eastAsia" w:ascii="仿宋" w:hAnsi="仿宋" w:eastAsia="仿宋" w:cs="仿宋"/>
          <w:sz w:val="30"/>
          <w:highlight w:val="none"/>
          <w:lang w:eastAsia="zh-CN"/>
        </w:rPr>
        <w:t>三</w:t>
      </w:r>
    </w:p>
    <w:p>
      <w:pPr>
        <w:keepNext w:val="0"/>
        <w:keepLines w:val="0"/>
        <w:widowControl/>
        <w:suppressLineNumbers w:val="0"/>
        <w:jc w:val="center"/>
        <w:rPr>
          <w:rFonts w:ascii="仿宋" w:hAnsi="仿宋" w:eastAsia="仿宋" w:cs="仿宋"/>
          <w:b/>
          <w:bCs/>
          <w:color w:val="000000"/>
          <w:kern w:val="0"/>
          <w:sz w:val="36"/>
          <w:szCs w:val="36"/>
          <w:lang w:val="en-US" w:eastAsia="zh-CN" w:bidi="ar"/>
        </w:rPr>
      </w:pPr>
      <w:r>
        <w:rPr>
          <w:rFonts w:ascii="仿宋" w:hAnsi="仿宋" w:eastAsia="仿宋" w:cs="仿宋"/>
          <w:b/>
          <w:bCs/>
          <w:color w:val="000000"/>
          <w:kern w:val="0"/>
          <w:sz w:val="36"/>
          <w:szCs w:val="36"/>
          <w:lang w:val="en-US" w:eastAsia="zh-CN" w:bidi="ar"/>
        </w:rPr>
        <w:t>法定代表人授权</w:t>
      </w:r>
      <w:r>
        <w:rPr>
          <w:rFonts w:hint="eastAsia" w:ascii="仿宋" w:hAnsi="仿宋" w:eastAsia="仿宋" w:cs="仿宋"/>
          <w:b/>
          <w:bCs/>
          <w:color w:val="000000"/>
          <w:kern w:val="0"/>
          <w:sz w:val="36"/>
          <w:szCs w:val="36"/>
          <w:lang w:val="en-US" w:eastAsia="zh-CN" w:bidi="ar"/>
        </w:rPr>
        <w:t>委托</w:t>
      </w:r>
      <w:r>
        <w:rPr>
          <w:rFonts w:ascii="仿宋" w:hAnsi="仿宋" w:eastAsia="仿宋" w:cs="仿宋"/>
          <w:b/>
          <w:bCs/>
          <w:color w:val="000000"/>
          <w:kern w:val="0"/>
          <w:sz w:val="36"/>
          <w:szCs w:val="36"/>
          <w:lang w:val="en-US" w:eastAsia="zh-CN" w:bidi="ar"/>
        </w:rPr>
        <w:t>书</w:t>
      </w:r>
    </w:p>
    <w:p>
      <w:pPr>
        <w:adjustRightInd w:val="0"/>
        <w:snapToGrid w:val="0"/>
        <w:spacing w:line="360" w:lineRule="auto"/>
        <w:rPr>
          <w:rFonts w:hint="eastAsia" w:ascii="仿宋" w:hAnsi="仿宋" w:eastAsia="仿宋" w:cs="仿宋"/>
          <w:kern w:val="0"/>
          <w:sz w:val="24"/>
          <w:szCs w:val="24"/>
          <w:highlight w:val="none"/>
          <w:lang w:val="zh-CN"/>
        </w:rPr>
      </w:pPr>
    </w:p>
    <w:p>
      <w:pPr>
        <w:pStyle w:val="12"/>
        <w:keepNext w:val="0"/>
        <w:keepLines w:val="0"/>
        <w:pageBreakBefore w:val="0"/>
        <w:widowControl w:val="0"/>
        <w:kinsoku/>
        <w:wordWrap/>
        <w:overflowPunct/>
        <w:topLinePunct w:val="0"/>
        <w:autoSpaceDE/>
        <w:autoSpaceDN/>
        <w:bidi w:val="0"/>
        <w:adjustRightInd/>
        <w:snapToGrid/>
        <w:spacing w:line="360" w:lineRule="auto"/>
        <w:textAlignment w:val="auto"/>
        <w:rPr>
          <w:rFonts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询价</w:t>
      </w:r>
      <w:r>
        <w:rPr>
          <w:rFonts w:hint="eastAsia" w:ascii="仿宋" w:hAnsi="仿宋" w:eastAsia="仿宋" w:cs="仿宋"/>
          <w:sz w:val="24"/>
          <w:szCs w:val="24"/>
          <w:highlight w:val="none"/>
          <w:u w:val="single"/>
        </w:rPr>
        <w:t xml:space="preserve">人）              </w:t>
      </w:r>
      <w:r>
        <w:rPr>
          <w:rFonts w:hint="eastAsia" w:ascii="仿宋" w:hAnsi="仿宋" w:eastAsia="仿宋" w:cs="仿宋"/>
          <w:sz w:val="24"/>
          <w:szCs w:val="24"/>
          <w:highlight w:val="none"/>
        </w:rPr>
        <w:t>：</w:t>
      </w:r>
    </w:p>
    <w:p>
      <w:pPr>
        <w:pStyle w:val="12"/>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仿宋" w:hAnsi="仿宋" w:eastAsia="仿宋" w:cs="仿宋"/>
          <w:sz w:val="24"/>
          <w:szCs w:val="24"/>
          <w:highlight w:val="none"/>
        </w:rPr>
      </w:pPr>
      <w:r>
        <w:rPr>
          <w:rFonts w:hint="eastAsia" w:ascii="仿宋" w:hAnsi="仿宋" w:eastAsia="仿宋" w:cs="仿宋"/>
          <w:sz w:val="24"/>
          <w:szCs w:val="24"/>
          <w:highlight w:val="none"/>
          <w:u w:val="single"/>
        </w:rPr>
        <w:t>（</w:t>
      </w:r>
      <w:r>
        <w:rPr>
          <w:rFonts w:hint="eastAsia" w:ascii="仿宋" w:hAnsi="仿宋" w:eastAsia="仿宋" w:cs="仿宋"/>
          <w:sz w:val="24"/>
          <w:szCs w:val="24"/>
          <w:highlight w:val="none"/>
          <w:u w:val="single"/>
          <w:lang w:eastAsia="zh-CN"/>
        </w:rPr>
        <w:t>报价</w:t>
      </w:r>
      <w:r>
        <w:rPr>
          <w:rFonts w:hint="eastAsia" w:ascii="仿宋" w:hAnsi="仿宋" w:eastAsia="仿宋" w:cs="仿宋"/>
          <w:sz w:val="24"/>
          <w:szCs w:val="24"/>
          <w:highlight w:val="none"/>
          <w:u w:val="single"/>
        </w:rPr>
        <w:t>人全称）</w:t>
      </w:r>
      <w:r>
        <w:rPr>
          <w:rFonts w:hint="eastAsia" w:ascii="仿宋" w:hAnsi="仿宋" w:eastAsia="仿宋" w:cs="仿宋"/>
          <w:sz w:val="24"/>
          <w:szCs w:val="24"/>
          <w:highlight w:val="none"/>
        </w:rPr>
        <w:t>法定代表人</w:t>
      </w:r>
      <w:r>
        <w:rPr>
          <w:rFonts w:hint="eastAsia" w:ascii="仿宋" w:hAnsi="仿宋" w:eastAsia="仿宋" w:cs="仿宋"/>
          <w:sz w:val="24"/>
          <w:szCs w:val="24"/>
          <w:highlight w:val="none"/>
          <w:u w:val="single"/>
        </w:rPr>
        <w:t>（法定代表人姓名）（身份证号）</w:t>
      </w:r>
      <w:r>
        <w:rPr>
          <w:rFonts w:hint="eastAsia" w:ascii="仿宋" w:hAnsi="仿宋" w:eastAsia="仿宋" w:cs="仿宋"/>
          <w:sz w:val="24"/>
          <w:szCs w:val="24"/>
          <w:highlight w:val="none"/>
        </w:rPr>
        <w:t>授权</w:t>
      </w:r>
      <w:r>
        <w:rPr>
          <w:rFonts w:hint="eastAsia" w:ascii="仿宋" w:hAnsi="仿宋" w:eastAsia="仿宋" w:cs="仿宋"/>
          <w:sz w:val="24"/>
          <w:szCs w:val="24"/>
          <w:highlight w:val="none"/>
          <w:u w:val="single"/>
        </w:rPr>
        <w:t xml:space="preserve"> （委托代理人姓名）                   （身份证号）</w:t>
      </w:r>
      <w:r>
        <w:rPr>
          <w:rFonts w:hint="eastAsia" w:ascii="仿宋" w:hAnsi="仿宋" w:eastAsia="仿宋" w:cs="仿宋"/>
          <w:sz w:val="24"/>
          <w:szCs w:val="24"/>
          <w:highlight w:val="none"/>
        </w:rPr>
        <w:t>为委托代理人，参加贵单位组织的</w:t>
      </w:r>
      <w:r>
        <w:rPr>
          <w:rFonts w:hint="eastAsia" w:ascii="仿宋" w:hAnsi="仿宋" w:eastAsia="仿宋" w:cs="仿宋"/>
          <w:sz w:val="24"/>
          <w:szCs w:val="24"/>
          <w:highlight w:val="none"/>
          <w:u w:val="single"/>
        </w:rPr>
        <w:t xml:space="preserve">（项目名称）、（项目编号） </w:t>
      </w:r>
      <w:r>
        <w:rPr>
          <w:rFonts w:hint="eastAsia" w:ascii="仿宋" w:hAnsi="仿宋" w:eastAsia="仿宋" w:cs="仿宋"/>
          <w:sz w:val="24"/>
          <w:szCs w:val="24"/>
          <w:highlight w:val="none"/>
        </w:rPr>
        <w:t>的</w:t>
      </w:r>
      <w:r>
        <w:rPr>
          <w:rFonts w:hint="eastAsia" w:ascii="仿宋" w:hAnsi="仿宋" w:eastAsia="仿宋" w:cs="仿宋"/>
          <w:sz w:val="24"/>
          <w:szCs w:val="24"/>
          <w:highlight w:val="none"/>
          <w:lang w:eastAsia="zh-CN"/>
        </w:rPr>
        <w:t>报价</w:t>
      </w:r>
      <w:r>
        <w:rPr>
          <w:rFonts w:hint="eastAsia" w:ascii="仿宋" w:hAnsi="仿宋" w:eastAsia="仿宋" w:cs="仿宋"/>
          <w:sz w:val="24"/>
          <w:szCs w:val="24"/>
          <w:highlight w:val="none"/>
        </w:rPr>
        <w:t>活动，并全权处理</w:t>
      </w:r>
      <w:r>
        <w:rPr>
          <w:rFonts w:hint="eastAsia" w:ascii="仿宋" w:hAnsi="仿宋" w:eastAsia="仿宋" w:cs="仿宋"/>
          <w:sz w:val="24"/>
          <w:szCs w:val="24"/>
          <w:highlight w:val="none"/>
          <w:lang w:eastAsia="zh-CN"/>
        </w:rPr>
        <w:t>报价</w:t>
      </w:r>
      <w:r>
        <w:rPr>
          <w:rFonts w:hint="eastAsia" w:ascii="仿宋" w:hAnsi="仿宋" w:eastAsia="仿宋" w:cs="仿宋"/>
          <w:sz w:val="24"/>
          <w:szCs w:val="24"/>
          <w:highlight w:val="none"/>
        </w:rPr>
        <w:t>活动中的一切事宜。</w:t>
      </w: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kern w:val="0"/>
          <w:sz w:val="24"/>
          <w:szCs w:val="24"/>
          <w:highlight w:val="none"/>
        </w:rPr>
      </w:pPr>
      <w:r>
        <w:rPr>
          <w:rFonts w:hint="eastAsia" w:ascii="仿宋" w:hAnsi="仿宋" w:eastAsia="仿宋" w:cs="仿宋"/>
          <w:kern w:val="0"/>
          <w:sz w:val="24"/>
          <w:szCs w:val="24"/>
          <w:highlight w:val="none"/>
          <w:lang w:val="zh-CN"/>
        </w:rPr>
        <w:t>报价人（</w:t>
      </w:r>
      <w:r>
        <w:rPr>
          <w:rFonts w:hint="eastAsia" w:ascii="仿宋" w:hAnsi="仿宋" w:eastAsia="仿宋" w:cs="仿宋"/>
          <w:kern w:val="0"/>
          <w:sz w:val="24"/>
          <w:szCs w:val="24"/>
          <w:highlight w:val="none"/>
          <w:lang w:val="en-US" w:eastAsia="zh-CN"/>
        </w:rPr>
        <w:t>盖公章</w:t>
      </w:r>
      <w:r>
        <w:rPr>
          <w:rFonts w:hint="eastAsia" w:ascii="仿宋" w:hAnsi="仿宋" w:eastAsia="仿宋" w:cs="仿宋"/>
          <w:kern w:val="0"/>
          <w:sz w:val="24"/>
          <w:szCs w:val="24"/>
          <w:highlight w:val="none"/>
          <w:lang w:val="zh-CN"/>
        </w:rPr>
        <w:t>)：</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kern w:val="0"/>
          <w:sz w:val="24"/>
          <w:szCs w:val="24"/>
          <w:highlight w:val="none"/>
        </w:rPr>
      </w:pPr>
      <w:r>
        <w:rPr>
          <w:rFonts w:hint="eastAsia" w:ascii="仿宋" w:hAnsi="仿宋" w:eastAsia="仿宋" w:cs="仿宋"/>
          <w:kern w:val="0"/>
          <w:sz w:val="24"/>
          <w:szCs w:val="24"/>
          <w:highlight w:val="none"/>
          <w:lang w:val="zh-CN"/>
        </w:rPr>
        <w:t>法定代表人或授权委托人(签字或盖章)：</w:t>
      </w:r>
    </w:p>
    <w:p>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ascii="仿宋" w:hAnsi="仿宋" w:eastAsia="仿宋" w:cs="仿宋"/>
          <w:kern w:val="0"/>
          <w:sz w:val="24"/>
          <w:szCs w:val="24"/>
          <w:highlight w:val="none"/>
        </w:rPr>
      </w:pPr>
      <w:r>
        <w:rPr>
          <w:rFonts w:hint="eastAsia" w:ascii="仿宋" w:hAnsi="仿宋" w:eastAsia="仿宋" w:cs="仿宋"/>
          <w:kern w:val="0"/>
          <w:sz w:val="24"/>
          <w:szCs w:val="24"/>
          <w:highlight w:val="none"/>
          <w:lang w:val="zh-CN"/>
        </w:rPr>
        <w:t>日期</w:t>
      </w:r>
      <w:r>
        <w:rPr>
          <w:rFonts w:hint="eastAsia" w:ascii="仿宋" w:hAnsi="仿宋" w:eastAsia="仿宋" w:cs="仿宋"/>
          <w:kern w:val="0"/>
          <w:sz w:val="24"/>
          <w:szCs w:val="24"/>
          <w:highlight w:val="none"/>
        </w:rPr>
        <w:t xml:space="preserve">：    年    </w:t>
      </w:r>
      <w:r>
        <w:rPr>
          <w:rFonts w:hint="eastAsia" w:ascii="仿宋" w:hAnsi="仿宋" w:eastAsia="仿宋" w:cs="仿宋"/>
          <w:kern w:val="0"/>
          <w:sz w:val="24"/>
          <w:szCs w:val="24"/>
          <w:highlight w:val="none"/>
          <w:lang w:val="zh-CN"/>
        </w:rPr>
        <w:t>月</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lang w:val="zh-CN"/>
        </w:rPr>
        <w:t>日</w:t>
      </w: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r>
        <w:rPr>
          <w:rFonts w:hint="eastAsia" w:ascii="仿宋" w:hAnsi="仿宋" w:eastAsia="仿宋" w:cs="仿宋"/>
          <w:sz w:val="24"/>
          <w:szCs w:val="24"/>
          <w:highlight w:val="none"/>
        </w:rPr>
        <w:t>附：</w:t>
      </w: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r>
        <w:rPr>
          <w:rFonts w:hint="eastAsia" w:ascii="仿宋" w:hAnsi="仿宋" w:eastAsia="仿宋" w:cs="仿宋"/>
          <w:sz w:val="24"/>
          <w:szCs w:val="24"/>
          <w:highlight w:val="none"/>
        </w:rPr>
        <w:t>委托代理人姓名：</w:t>
      </w: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r>
        <w:rPr>
          <w:rFonts w:hint="eastAsia" w:ascii="仿宋" w:hAnsi="仿宋" w:eastAsia="仿宋" w:cs="仿宋"/>
          <w:sz w:val="24"/>
          <w:szCs w:val="24"/>
          <w:highlight w:val="none"/>
        </w:rPr>
        <w:t>职务：</w:t>
      </w: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r>
        <w:rPr>
          <w:rFonts w:hint="eastAsia" w:ascii="仿宋" w:hAnsi="仿宋" w:eastAsia="仿宋" w:cs="仿宋"/>
          <w:sz w:val="24"/>
          <w:szCs w:val="24"/>
          <w:highlight w:val="none"/>
        </w:rPr>
        <w:t>详细通讯地址：</w:t>
      </w:r>
    </w:p>
    <w:p>
      <w:pPr>
        <w:pStyle w:val="12"/>
        <w:keepNext w:val="0"/>
        <w:keepLines w:val="0"/>
        <w:pageBreakBefore w:val="0"/>
        <w:widowControl w:val="0"/>
        <w:kinsoku/>
        <w:wordWrap/>
        <w:overflowPunct/>
        <w:topLinePunct w:val="0"/>
        <w:autoSpaceDE/>
        <w:autoSpaceDN/>
        <w:bidi w:val="0"/>
        <w:spacing w:line="360" w:lineRule="auto"/>
        <w:textAlignment w:val="auto"/>
        <w:rPr>
          <w:rFonts w:ascii="仿宋" w:hAnsi="仿宋" w:eastAsia="仿宋" w:cs="仿宋"/>
          <w:sz w:val="24"/>
          <w:szCs w:val="24"/>
          <w:highlight w:val="none"/>
        </w:rPr>
      </w:pPr>
      <w:r>
        <w:rPr>
          <w:rFonts w:hint="eastAsia" w:ascii="仿宋" w:hAnsi="仿宋" w:eastAsia="仿宋" w:cs="仿宋"/>
          <w:sz w:val="24"/>
          <w:szCs w:val="24"/>
          <w:highlight w:val="none"/>
        </w:rPr>
        <w:t>电话：</w:t>
      </w:r>
    </w:p>
    <w:p>
      <w:pPr>
        <w:pStyle w:val="12"/>
        <w:spacing w:line="360" w:lineRule="auto"/>
        <w:ind w:firstLine="420" w:firstLineChars="200"/>
        <w:rPr>
          <w:rFonts w:ascii="仿宋" w:hAnsi="仿宋" w:eastAsia="仿宋" w:cs="仿宋"/>
          <w:sz w:val="21"/>
          <w:highlight w:val="none"/>
        </w:rPr>
      </w:pPr>
    </w:p>
    <w:p>
      <w:pPr>
        <w:widowControl/>
        <w:spacing w:line="360" w:lineRule="auto"/>
        <w:rPr>
          <w:rFonts w:hint="eastAsia" w:ascii="仿宋" w:hAnsi="仿宋" w:eastAsia="仿宋" w:cs="仿宋"/>
          <w:sz w:val="24"/>
          <w:szCs w:val="24"/>
          <w:highlight w:val="none"/>
          <w:lang w:eastAsia="zh-CN"/>
        </w:rPr>
      </w:pPr>
      <w:r>
        <w:rPr>
          <w:rFonts w:hint="eastAsia" w:ascii="仿宋" w:hAnsi="仿宋" w:eastAsia="仿宋" w:cs="仿宋"/>
          <w:b/>
          <w:sz w:val="24"/>
          <w:szCs w:val="24"/>
          <w:highlight w:val="none"/>
        </w:rPr>
        <w:t>附：委托代理人身份证</w:t>
      </w:r>
      <w:r>
        <w:rPr>
          <w:rFonts w:hint="eastAsia" w:ascii="仿宋" w:hAnsi="仿宋" w:eastAsia="仿宋" w:cs="仿宋"/>
          <w:b/>
          <w:sz w:val="24"/>
          <w:szCs w:val="24"/>
          <w:highlight w:val="none"/>
          <w:lang w:val="en-US" w:eastAsia="zh-CN"/>
        </w:rPr>
        <w:t>（若报价代表为法人代表则无需提供，但需提供法人身份证复印件）</w:t>
      </w:r>
    </w:p>
    <w:p>
      <w:pPr>
        <w:pStyle w:val="12"/>
        <w:tabs>
          <w:tab w:val="left" w:pos="450"/>
        </w:tabs>
        <w:spacing w:line="360" w:lineRule="auto"/>
        <w:rPr>
          <w:rFonts w:hint="eastAsia" w:ascii="仿宋" w:hAnsi="仿宋" w:eastAsia="仿宋" w:cs="仿宋"/>
          <w:sz w:val="30"/>
          <w:highlight w:val="none"/>
        </w:rPr>
      </w:pPr>
    </w:p>
    <w:p>
      <w:pPr>
        <w:pStyle w:val="8"/>
        <w:rPr>
          <w:rFonts w:hint="eastAsia"/>
          <w:highlight w:val="none"/>
          <w:lang w:val="zh-CN"/>
        </w:rPr>
      </w:pPr>
    </w:p>
    <w:p>
      <w:pPr>
        <w:pStyle w:val="21"/>
        <w:ind w:left="0" w:leftChars="0" w:firstLine="0" w:firstLineChars="0"/>
        <w:rPr>
          <w:rFonts w:hint="default"/>
          <w:highlight w:val="none"/>
          <w:lang w:val="en-US" w:eastAsia="zh-CN"/>
        </w:rPr>
      </w:pPr>
    </w:p>
    <w:bookmarkEnd w:id="31"/>
    <w:bookmarkEnd w:id="32"/>
    <w:bookmarkEnd w:id="33"/>
    <w:p>
      <w:pPr>
        <w:pStyle w:val="21"/>
        <w:ind w:left="0" w:leftChars="0" w:firstLine="0" w:firstLineChars="0"/>
        <w:jc w:val="both"/>
        <w:rPr>
          <w:rFonts w:hint="default"/>
          <w:highlight w:val="none"/>
          <w:lang w:val="en-US" w:eastAsia="zh-CN"/>
        </w:rPr>
      </w:pPr>
    </w:p>
    <w:sectPr>
      <w:headerReference r:id="rId3" w:type="default"/>
      <w:footerReference r:id="rId4" w:type="default"/>
      <w:pgSz w:w="11906" w:h="16838"/>
      <w:pgMar w:top="1440" w:right="1474"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9DF4D9"/>
    <w:multiLevelType w:val="singleLevel"/>
    <w:tmpl w:val="889DF4D9"/>
    <w:lvl w:ilvl="0" w:tentative="0">
      <w:start w:val="1"/>
      <w:numFmt w:val="chineseCounting"/>
      <w:suff w:val="nothing"/>
      <w:lvlText w:val="第%1章、"/>
      <w:lvlJc w:val="left"/>
      <w:rPr>
        <w:rFonts w:hint="eastAsia"/>
      </w:rPr>
    </w:lvl>
  </w:abstractNum>
  <w:abstractNum w:abstractNumId="1">
    <w:nsid w:val="09CC2EE9"/>
    <w:multiLevelType w:val="singleLevel"/>
    <w:tmpl w:val="09CC2EE9"/>
    <w:lvl w:ilvl="0" w:tentative="0">
      <w:start w:val="1"/>
      <w:numFmt w:val="decimal"/>
      <w:suff w:val="nothing"/>
      <w:lvlText w:val="%1、"/>
      <w:lvlJc w:val="left"/>
    </w:lvl>
  </w:abstractNum>
  <w:abstractNum w:abstractNumId="2">
    <w:nsid w:val="315F41A3"/>
    <w:multiLevelType w:val="singleLevel"/>
    <w:tmpl w:val="315F41A3"/>
    <w:lvl w:ilvl="0" w:tentative="0">
      <w:start w:val="2"/>
      <w:numFmt w:val="chineseCounting"/>
      <w:suff w:val="nothing"/>
      <w:lvlText w:val="%1、"/>
      <w:lvlJc w:val="left"/>
      <w:pPr>
        <w:ind w:left="120" w:leftChars="0" w:firstLine="0" w:firstLineChars="0"/>
      </w:pPr>
      <w:rPr>
        <w:rFonts w:hint="eastAsia"/>
      </w:rPr>
    </w:lvl>
  </w:abstractNum>
  <w:abstractNum w:abstractNumId="3">
    <w:nsid w:val="73B2D766"/>
    <w:multiLevelType w:val="singleLevel"/>
    <w:tmpl w:val="73B2D766"/>
    <w:lvl w:ilvl="0" w:tentative="0">
      <w:start w:val="1"/>
      <w:numFmt w:val="decimal"/>
      <w:pStyle w:val="5"/>
      <w:lvlText w:val="%1."/>
      <w:lvlJc w:val="left"/>
      <w:pPr>
        <w:tabs>
          <w:tab w:val="left" w:pos="360"/>
        </w:tabs>
        <w:ind w:left="360" w:hanging="36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0NGNhYWYyNmM0ZjQ0ZDIzZjIyNjBlYTRkMDA0NzAifQ=="/>
  </w:docVars>
  <w:rsids>
    <w:rsidRoot w:val="085C146E"/>
    <w:rsid w:val="00095A52"/>
    <w:rsid w:val="000B452F"/>
    <w:rsid w:val="001A440D"/>
    <w:rsid w:val="001F217F"/>
    <w:rsid w:val="00234E51"/>
    <w:rsid w:val="003C28DE"/>
    <w:rsid w:val="00414D39"/>
    <w:rsid w:val="004161EF"/>
    <w:rsid w:val="00482C12"/>
    <w:rsid w:val="00486286"/>
    <w:rsid w:val="00496DA9"/>
    <w:rsid w:val="004B1415"/>
    <w:rsid w:val="0050500D"/>
    <w:rsid w:val="0052098D"/>
    <w:rsid w:val="00580EAC"/>
    <w:rsid w:val="00624AF7"/>
    <w:rsid w:val="00626702"/>
    <w:rsid w:val="00663250"/>
    <w:rsid w:val="006A2358"/>
    <w:rsid w:val="006D48D3"/>
    <w:rsid w:val="008E3702"/>
    <w:rsid w:val="00950D24"/>
    <w:rsid w:val="0097016D"/>
    <w:rsid w:val="009A68E2"/>
    <w:rsid w:val="009C337D"/>
    <w:rsid w:val="009D1838"/>
    <w:rsid w:val="00A668A2"/>
    <w:rsid w:val="00A815EB"/>
    <w:rsid w:val="00BD2F7F"/>
    <w:rsid w:val="00BD2F81"/>
    <w:rsid w:val="00C02E7A"/>
    <w:rsid w:val="00C23AE1"/>
    <w:rsid w:val="00CB423D"/>
    <w:rsid w:val="00CB61A3"/>
    <w:rsid w:val="00D70B22"/>
    <w:rsid w:val="00E01457"/>
    <w:rsid w:val="00F358A3"/>
    <w:rsid w:val="00F75052"/>
    <w:rsid w:val="00FA6EED"/>
    <w:rsid w:val="010F2D06"/>
    <w:rsid w:val="011022A4"/>
    <w:rsid w:val="011A24F4"/>
    <w:rsid w:val="015772A4"/>
    <w:rsid w:val="015B6D94"/>
    <w:rsid w:val="01626374"/>
    <w:rsid w:val="01747E56"/>
    <w:rsid w:val="018067FB"/>
    <w:rsid w:val="01AB50E7"/>
    <w:rsid w:val="01AC3A93"/>
    <w:rsid w:val="01AD5116"/>
    <w:rsid w:val="01B3097E"/>
    <w:rsid w:val="01B6046E"/>
    <w:rsid w:val="01C83BFC"/>
    <w:rsid w:val="01C901A1"/>
    <w:rsid w:val="01C936B6"/>
    <w:rsid w:val="01CF7782"/>
    <w:rsid w:val="01F2496E"/>
    <w:rsid w:val="01F250BA"/>
    <w:rsid w:val="022E44A8"/>
    <w:rsid w:val="025C7268"/>
    <w:rsid w:val="02805E54"/>
    <w:rsid w:val="02B35C23"/>
    <w:rsid w:val="02BE582C"/>
    <w:rsid w:val="02C10E79"/>
    <w:rsid w:val="03084CFA"/>
    <w:rsid w:val="03100052"/>
    <w:rsid w:val="03115D87"/>
    <w:rsid w:val="03411FB9"/>
    <w:rsid w:val="03836A76"/>
    <w:rsid w:val="03942A31"/>
    <w:rsid w:val="03B36119"/>
    <w:rsid w:val="03C230FA"/>
    <w:rsid w:val="03FD2384"/>
    <w:rsid w:val="044A1F24"/>
    <w:rsid w:val="04966335"/>
    <w:rsid w:val="04B52C5F"/>
    <w:rsid w:val="05096B07"/>
    <w:rsid w:val="05151950"/>
    <w:rsid w:val="051623D5"/>
    <w:rsid w:val="058645FB"/>
    <w:rsid w:val="05A83FFE"/>
    <w:rsid w:val="05B175DA"/>
    <w:rsid w:val="05E27A84"/>
    <w:rsid w:val="060077E8"/>
    <w:rsid w:val="06B17456"/>
    <w:rsid w:val="06D504DD"/>
    <w:rsid w:val="06DF3FC3"/>
    <w:rsid w:val="070C4022"/>
    <w:rsid w:val="075C4678"/>
    <w:rsid w:val="078A124A"/>
    <w:rsid w:val="07932296"/>
    <w:rsid w:val="07FD7F28"/>
    <w:rsid w:val="080123A9"/>
    <w:rsid w:val="08030185"/>
    <w:rsid w:val="08443C22"/>
    <w:rsid w:val="084F0A5C"/>
    <w:rsid w:val="08577C79"/>
    <w:rsid w:val="085C146E"/>
    <w:rsid w:val="08742A60"/>
    <w:rsid w:val="089C5093"/>
    <w:rsid w:val="08C056F2"/>
    <w:rsid w:val="08C6543B"/>
    <w:rsid w:val="08CE42EF"/>
    <w:rsid w:val="08D51B22"/>
    <w:rsid w:val="08D538D0"/>
    <w:rsid w:val="08F5187C"/>
    <w:rsid w:val="0913361B"/>
    <w:rsid w:val="09172F66"/>
    <w:rsid w:val="092263E9"/>
    <w:rsid w:val="09374C23"/>
    <w:rsid w:val="096C36E7"/>
    <w:rsid w:val="09770078"/>
    <w:rsid w:val="098D41AA"/>
    <w:rsid w:val="09AF5ECF"/>
    <w:rsid w:val="09C728D0"/>
    <w:rsid w:val="09CF47C3"/>
    <w:rsid w:val="0A0D52EB"/>
    <w:rsid w:val="0A743A8E"/>
    <w:rsid w:val="0A816E64"/>
    <w:rsid w:val="0ABF2205"/>
    <w:rsid w:val="0AF55D55"/>
    <w:rsid w:val="0AF67B2D"/>
    <w:rsid w:val="0B18726F"/>
    <w:rsid w:val="0B46415D"/>
    <w:rsid w:val="0BA21D04"/>
    <w:rsid w:val="0C1530ED"/>
    <w:rsid w:val="0C5E1728"/>
    <w:rsid w:val="0C5E3BDC"/>
    <w:rsid w:val="0C663E38"/>
    <w:rsid w:val="0C692927"/>
    <w:rsid w:val="0C932545"/>
    <w:rsid w:val="0C9D615F"/>
    <w:rsid w:val="0CA75583"/>
    <w:rsid w:val="0CAC0DEC"/>
    <w:rsid w:val="0CFC169C"/>
    <w:rsid w:val="0D244E26"/>
    <w:rsid w:val="0D2E1801"/>
    <w:rsid w:val="0D4C1C87"/>
    <w:rsid w:val="0D535AD6"/>
    <w:rsid w:val="0D690A8B"/>
    <w:rsid w:val="0D7F02AE"/>
    <w:rsid w:val="0DB22432"/>
    <w:rsid w:val="0DC857B1"/>
    <w:rsid w:val="0DCE0689"/>
    <w:rsid w:val="0DD56120"/>
    <w:rsid w:val="0DEE4D5D"/>
    <w:rsid w:val="0DF931A1"/>
    <w:rsid w:val="0E1E68C5"/>
    <w:rsid w:val="0E216BB9"/>
    <w:rsid w:val="0E5F7CF3"/>
    <w:rsid w:val="0EAC21F5"/>
    <w:rsid w:val="0EB36461"/>
    <w:rsid w:val="0EC434F4"/>
    <w:rsid w:val="0EE02FCE"/>
    <w:rsid w:val="0F130CAE"/>
    <w:rsid w:val="0F513F8A"/>
    <w:rsid w:val="0F5D63CD"/>
    <w:rsid w:val="0F847DFE"/>
    <w:rsid w:val="0FB90A3C"/>
    <w:rsid w:val="0FBB68AA"/>
    <w:rsid w:val="0FD94711"/>
    <w:rsid w:val="0FF54858"/>
    <w:rsid w:val="101E5B5C"/>
    <w:rsid w:val="10765998"/>
    <w:rsid w:val="108103ED"/>
    <w:rsid w:val="108C6F6A"/>
    <w:rsid w:val="108D0033"/>
    <w:rsid w:val="10A342B4"/>
    <w:rsid w:val="10A5002C"/>
    <w:rsid w:val="114C1D44"/>
    <w:rsid w:val="114E31DF"/>
    <w:rsid w:val="115B18F1"/>
    <w:rsid w:val="118D78D1"/>
    <w:rsid w:val="11A71B81"/>
    <w:rsid w:val="11AE5B1B"/>
    <w:rsid w:val="11B81FE1"/>
    <w:rsid w:val="11D566EF"/>
    <w:rsid w:val="11E21BB5"/>
    <w:rsid w:val="11FE68E6"/>
    <w:rsid w:val="12182DC6"/>
    <w:rsid w:val="12516230"/>
    <w:rsid w:val="12555A81"/>
    <w:rsid w:val="125F245C"/>
    <w:rsid w:val="12641821"/>
    <w:rsid w:val="129200A1"/>
    <w:rsid w:val="129B16E6"/>
    <w:rsid w:val="12ED5BA1"/>
    <w:rsid w:val="12F26374"/>
    <w:rsid w:val="12F4102F"/>
    <w:rsid w:val="13394A5B"/>
    <w:rsid w:val="13443C66"/>
    <w:rsid w:val="13456138"/>
    <w:rsid w:val="134E49AB"/>
    <w:rsid w:val="136C562E"/>
    <w:rsid w:val="13876A7E"/>
    <w:rsid w:val="13906D71"/>
    <w:rsid w:val="13A02D2C"/>
    <w:rsid w:val="14180B15"/>
    <w:rsid w:val="147C5547"/>
    <w:rsid w:val="14BC5944"/>
    <w:rsid w:val="14F055ED"/>
    <w:rsid w:val="14F43330"/>
    <w:rsid w:val="14FC0436"/>
    <w:rsid w:val="1518061A"/>
    <w:rsid w:val="1546345F"/>
    <w:rsid w:val="157C0DB1"/>
    <w:rsid w:val="15A44D56"/>
    <w:rsid w:val="15AA552C"/>
    <w:rsid w:val="15C40F54"/>
    <w:rsid w:val="15EC04AB"/>
    <w:rsid w:val="161C2B3E"/>
    <w:rsid w:val="163360DA"/>
    <w:rsid w:val="16677B31"/>
    <w:rsid w:val="167C35DD"/>
    <w:rsid w:val="16904303"/>
    <w:rsid w:val="169F376F"/>
    <w:rsid w:val="16A11295"/>
    <w:rsid w:val="16AA639C"/>
    <w:rsid w:val="17432C1D"/>
    <w:rsid w:val="177D6572"/>
    <w:rsid w:val="17852965"/>
    <w:rsid w:val="179529D8"/>
    <w:rsid w:val="17B04616"/>
    <w:rsid w:val="17E51656"/>
    <w:rsid w:val="17E97970"/>
    <w:rsid w:val="17FD15C9"/>
    <w:rsid w:val="18153CE9"/>
    <w:rsid w:val="185F0DD8"/>
    <w:rsid w:val="188E60F4"/>
    <w:rsid w:val="18BC23B6"/>
    <w:rsid w:val="18D019BE"/>
    <w:rsid w:val="19120228"/>
    <w:rsid w:val="19670704"/>
    <w:rsid w:val="196F53C0"/>
    <w:rsid w:val="197902A7"/>
    <w:rsid w:val="19921369"/>
    <w:rsid w:val="1992355B"/>
    <w:rsid w:val="19AF3CC9"/>
    <w:rsid w:val="19C57049"/>
    <w:rsid w:val="19D85BFC"/>
    <w:rsid w:val="19E576EB"/>
    <w:rsid w:val="19EB5CB3"/>
    <w:rsid w:val="19F636A6"/>
    <w:rsid w:val="1A385A6D"/>
    <w:rsid w:val="1AB01AA7"/>
    <w:rsid w:val="1AB55804"/>
    <w:rsid w:val="1AF2243E"/>
    <w:rsid w:val="1AFD25DA"/>
    <w:rsid w:val="1B1464DA"/>
    <w:rsid w:val="1B65124A"/>
    <w:rsid w:val="1B6F3710"/>
    <w:rsid w:val="1B95675B"/>
    <w:rsid w:val="1BAD1420"/>
    <w:rsid w:val="1BD143CB"/>
    <w:rsid w:val="1C16002F"/>
    <w:rsid w:val="1C8B457A"/>
    <w:rsid w:val="1C9553F8"/>
    <w:rsid w:val="1CAE2016"/>
    <w:rsid w:val="1CBD04AB"/>
    <w:rsid w:val="1CEB14BC"/>
    <w:rsid w:val="1D3D790D"/>
    <w:rsid w:val="1D3F5364"/>
    <w:rsid w:val="1D550F5D"/>
    <w:rsid w:val="1DD10302"/>
    <w:rsid w:val="1DD6282E"/>
    <w:rsid w:val="1DF83E91"/>
    <w:rsid w:val="1E2E0628"/>
    <w:rsid w:val="1E6547A8"/>
    <w:rsid w:val="1E673F2E"/>
    <w:rsid w:val="1E7A1416"/>
    <w:rsid w:val="1E892D3B"/>
    <w:rsid w:val="1EE525E6"/>
    <w:rsid w:val="1EE61F3B"/>
    <w:rsid w:val="1EE7179F"/>
    <w:rsid w:val="1F225E4B"/>
    <w:rsid w:val="1F240CB5"/>
    <w:rsid w:val="1F5614C8"/>
    <w:rsid w:val="1F60157F"/>
    <w:rsid w:val="1F8F25D3"/>
    <w:rsid w:val="1F9B42EE"/>
    <w:rsid w:val="1FEA3C61"/>
    <w:rsid w:val="200D45AF"/>
    <w:rsid w:val="202551C4"/>
    <w:rsid w:val="20344F28"/>
    <w:rsid w:val="20692E24"/>
    <w:rsid w:val="2080016D"/>
    <w:rsid w:val="20AC4939"/>
    <w:rsid w:val="20B00A53"/>
    <w:rsid w:val="20CF69FF"/>
    <w:rsid w:val="20D4386A"/>
    <w:rsid w:val="20ED01C9"/>
    <w:rsid w:val="20F41855"/>
    <w:rsid w:val="21074F74"/>
    <w:rsid w:val="213276BA"/>
    <w:rsid w:val="21350F58"/>
    <w:rsid w:val="2144119B"/>
    <w:rsid w:val="21667363"/>
    <w:rsid w:val="219226BE"/>
    <w:rsid w:val="22F61661"/>
    <w:rsid w:val="22F85AEA"/>
    <w:rsid w:val="23005595"/>
    <w:rsid w:val="2302130E"/>
    <w:rsid w:val="23181D34"/>
    <w:rsid w:val="23474F72"/>
    <w:rsid w:val="236E69A3"/>
    <w:rsid w:val="237D3DBF"/>
    <w:rsid w:val="23953F30"/>
    <w:rsid w:val="241412F8"/>
    <w:rsid w:val="24253506"/>
    <w:rsid w:val="247955FF"/>
    <w:rsid w:val="248B1E64"/>
    <w:rsid w:val="248F097F"/>
    <w:rsid w:val="249146F7"/>
    <w:rsid w:val="249B0138"/>
    <w:rsid w:val="24C0322E"/>
    <w:rsid w:val="253316A2"/>
    <w:rsid w:val="25445C0D"/>
    <w:rsid w:val="25490022"/>
    <w:rsid w:val="25754019"/>
    <w:rsid w:val="258316A5"/>
    <w:rsid w:val="25E44D6C"/>
    <w:rsid w:val="25F63656"/>
    <w:rsid w:val="26282E39"/>
    <w:rsid w:val="26451C3D"/>
    <w:rsid w:val="26795443"/>
    <w:rsid w:val="26B40B71"/>
    <w:rsid w:val="26DD1E76"/>
    <w:rsid w:val="26F15921"/>
    <w:rsid w:val="270A14E8"/>
    <w:rsid w:val="271E248E"/>
    <w:rsid w:val="275A1718"/>
    <w:rsid w:val="27A4483A"/>
    <w:rsid w:val="27C546A9"/>
    <w:rsid w:val="27C844E7"/>
    <w:rsid w:val="27D17500"/>
    <w:rsid w:val="27D52B4D"/>
    <w:rsid w:val="289A6C6D"/>
    <w:rsid w:val="28C57065"/>
    <w:rsid w:val="290C77E3"/>
    <w:rsid w:val="290D4F6D"/>
    <w:rsid w:val="291219CA"/>
    <w:rsid w:val="291E6775"/>
    <w:rsid w:val="29437F8A"/>
    <w:rsid w:val="29883BEF"/>
    <w:rsid w:val="29884FE5"/>
    <w:rsid w:val="29890093"/>
    <w:rsid w:val="299A22A0"/>
    <w:rsid w:val="2A1836DC"/>
    <w:rsid w:val="2A6401B8"/>
    <w:rsid w:val="2AA64697"/>
    <w:rsid w:val="2AE6324B"/>
    <w:rsid w:val="2B275DB5"/>
    <w:rsid w:val="2B3636D9"/>
    <w:rsid w:val="2B3758CC"/>
    <w:rsid w:val="2B3816CC"/>
    <w:rsid w:val="2B6A3EF4"/>
    <w:rsid w:val="2B7B3A0B"/>
    <w:rsid w:val="2B807273"/>
    <w:rsid w:val="2BB37649"/>
    <w:rsid w:val="2BB53D21"/>
    <w:rsid w:val="2BD80E5D"/>
    <w:rsid w:val="2BDA6CD9"/>
    <w:rsid w:val="2C116B4A"/>
    <w:rsid w:val="2C1A76C8"/>
    <w:rsid w:val="2C3818FC"/>
    <w:rsid w:val="2C5D5807"/>
    <w:rsid w:val="2C885629"/>
    <w:rsid w:val="2CAB0320"/>
    <w:rsid w:val="2CD535EF"/>
    <w:rsid w:val="2D041BDC"/>
    <w:rsid w:val="2D542766"/>
    <w:rsid w:val="2D7050C6"/>
    <w:rsid w:val="2D8A61D5"/>
    <w:rsid w:val="2D917516"/>
    <w:rsid w:val="2DA3549B"/>
    <w:rsid w:val="2DC23B73"/>
    <w:rsid w:val="2DED79EB"/>
    <w:rsid w:val="2E516871"/>
    <w:rsid w:val="2E5C6CD3"/>
    <w:rsid w:val="2E6331BE"/>
    <w:rsid w:val="2EBF6305"/>
    <w:rsid w:val="2EFF3E4D"/>
    <w:rsid w:val="2F204FF5"/>
    <w:rsid w:val="2F297A26"/>
    <w:rsid w:val="2F2A5E74"/>
    <w:rsid w:val="2F566C69"/>
    <w:rsid w:val="2F805A94"/>
    <w:rsid w:val="2FDB716E"/>
    <w:rsid w:val="2FEA73B1"/>
    <w:rsid w:val="30004D47"/>
    <w:rsid w:val="3025488D"/>
    <w:rsid w:val="308A7F6C"/>
    <w:rsid w:val="30D37E45"/>
    <w:rsid w:val="30E402A4"/>
    <w:rsid w:val="30F027A5"/>
    <w:rsid w:val="3135465C"/>
    <w:rsid w:val="316177A4"/>
    <w:rsid w:val="31997D9D"/>
    <w:rsid w:val="31AA329C"/>
    <w:rsid w:val="31CF4095"/>
    <w:rsid w:val="31E542D4"/>
    <w:rsid w:val="31F12C79"/>
    <w:rsid w:val="32473AFE"/>
    <w:rsid w:val="3257430D"/>
    <w:rsid w:val="32803FFD"/>
    <w:rsid w:val="32B63FCD"/>
    <w:rsid w:val="32C111DB"/>
    <w:rsid w:val="32E57C78"/>
    <w:rsid w:val="32FD564D"/>
    <w:rsid w:val="33095A11"/>
    <w:rsid w:val="3321758E"/>
    <w:rsid w:val="3330332D"/>
    <w:rsid w:val="33641229"/>
    <w:rsid w:val="33A34045"/>
    <w:rsid w:val="33EB1A0C"/>
    <w:rsid w:val="34282721"/>
    <w:rsid w:val="34545741"/>
    <w:rsid w:val="349618B6"/>
    <w:rsid w:val="35211654"/>
    <w:rsid w:val="352944D8"/>
    <w:rsid w:val="353E4427"/>
    <w:rsid w:val="35603226"/>
    <w:rsid w:val="35890036"/>
    <w:rsid w:val="35CE2CFC"/>
    <w:rsid w:val="35D501BC"/>
    <w:rsid w:val="35E6686D"/>
    <w:rsid w:val="364059DF"/>
    <w:rsid w:val="368D0A96"/>
    <w:rsid w:val="368F0788"/>
    <w:rsid w:val="36AE1D16"/>
    <w:rsid w:val="36C02C1A"/>
    <w:rsid w:val="36D6068F"/>
    <w:rsid w:val="36EE7787"/>
    <w:rsid w:val="37407B82"/>
    <w:rsid w:val="376C6090"/>
    <w:rsid w:val="37CA01F4"/>
    <w:rsid w:val="37CB7AC8"/>
    <w:rsid w:val="37CD285C"/>
    <w:rsid w:val="381C47C8"/>
    <w:rsid w:val="38635F53"/>
    <w:rsid w:val="3885411B"/>
    <w:rsid w:val="38D54DAF"/>
    <w:rsid w:val="3902576C"/>
    <w:rsid w:val="39137979"/>
    <w:rsid w:val="39426701"/>
    <w:rsid w:val="39861849"/>
    <w:rsid w:val="39893797"/>
    <w:rsid w:val="39A04F4D"/>
    <w:rsid w:val="39A809B9"/>
    <w:rsid w:val="39D76BF8"/>
    <w:rsid w:val="39E66E3B"/>
    <w:rsid w:val="39E7174C"/>
    <w:rsid w:val="39EB26A4"/>
    <w:rsid w:val="3A035D97"/>
    <w:rsid w:val="3A132A56"/>
    <w:rsid w:val="3A1F6EA6"/>
    <w:rsid w:val="3A804647"/>
    <w:rsid w:val="3A835357"/>
    <w:rsid w:val="3A916DA7"/>
    <w:rsid w:val="3A944AE9"/>
    <w:rsid w:val="3A9F5D6B"/>
    <w:rsid w:val="3AB724E1"/>
    <w:rsid w:val="3AC34131"/>
    <w:rsid w:val="3AE159CF"/>
    <w:rsid w:val="3AEC66D3"/>
    <w:rsid w:val="3AFF6DDB"/>
    <w:rsid w:val="3B4E2EEA"/>
    <w:rsid w:val="3B685B63"/>
    <w:rsid w:val="3BF9665A"/>
    <w:rsid w:val="3C025A83"/>
    <w:rsid w:val="3C252E16"/>
    <w:rsid w:val="3C263D51"/>
    <w:rsid w:val="3C35255E"/>
    <w:rsid w:val="3C616C4D"/>
    <w:rsid w:val="3C73394A"/>
    <w:rsid w:val="3C8C084B"/>
    <w:rsid w:val="3CFC0724"/>
    <w:rsid w:val="3D404D73"/>
    <w:rsid w:val="3D583BAC"/>
    <w:rsid w:val="3D5C1253"/>
    <w:rsid w:val="3D7B775B"/>
    <w:rsid w:val="3DA60DBB"/>
    <w:rsid w:val="3DB86D41"/>
    <w:rsid w:val="3DCD1A36"/>
    <w:rsid w:val="3DE736EF"/>
    <w:rsid w:val="3DE9514C"/>
    <w:rsid w:val="3E691DE9"/>
    <w:rsid w:val="3E7C7D6E"/>
    <w:rsid w:val="3E9415B0"/>
    <w:rsid w:val="3ED951C1"/>
    <w:rsid w:val="3EFC7E13"/>
    <w:rsid w:val="3F087854"/>
    <w:rsid w:val="3F093F8C"/>
    <w:rsid w:val="3F1C6E5B"/>
    <w:rsid w:val="3F2E1CBC"/>
    <w:rsid w:val="3F4553C3"/>
    <w:rsid w:val="3F4926B3"/>
    <w:rsid w:val="3F60708E"/>
    <w:rsid w:val="3FBE7F13"/>
    <w:rsid w:val="3FEC0F24"/>
    <w:rsid w:val="4004001B"/>
    <w:rsid w:val="40045B14"/>
    <w:rsid w:val="40272E37"/>
    <w:rsid w:val="40490124"/>
    <w:rsid w:val="40504ADC"/>
    <w:rsid w:val="407A02DD"/>
    <w:rsid w:val="407C22A8"/>
    <w:rsid w:val="40923879"/>
    <w:rsid w:val="40AD420F"/>
    <w:rsid w:val="40B21825"/>
    <w:rsid w:val="411C3143"/>
    <w:rsid w:val="41313092"/>
    <w:rsid w:val="416C231C"/>
    <w:rsid w:val="41945FEF"/>
    <w:rsid w:val="41962EF5"/>
    <w:rsid w:val="41A57F58"/>
    <w:rsid w:val="41C84587"/>
    <w:rsid w:val="41D8350E"/>
    <w:rsid w:val="41E33C60"/>
    <w:rsid w:val="41FB544E"/>
    <w:rsid w:val="41FD11C6"/>
    <w:rsid w:val="421F113C"/>
    <w:rsid w:val="422449A5"/>
    <w:rsid w:val="42621029"/>
    <w:rsid w:val="427D40B5"/>
    <w:rsid w:val="428042FE"/>
    <w:rsid w:val="42831016"/>
    <w:rsid w:val="429103F3"/>
    <w:rsid w:val="42925DB2"/>
    <w:rsid w:val="429622E7"/>
    <w:rsid w:val="42B15B0D"/>
    <w:rsid w:val="42DB075B"/>
    <w:rsid w:val="4326474D"/>
    <w:rsid w:val="4339622E"/>
    <w:rsid w:val="433C7ACC"/>
    <w:rsid w:val="43580E9D"/>
    <w:rsid w:val="438C0A54"/>
    <w:rsid w:val="439416B6"/>
    <w:rsid w:val="43B458B4"/>
    <w:rsid w:val="43C52384"/>
    <w:rsid w:val="444B42E5"/>
    <w:rsid w:val="447B69B3"/>
    <w:rsid w:val="4484719B"/>
    <w:rsid w:val="44873F3D"/>
    <w:rsid w:val="4493196E"/>
    <w:rsid w:val="44A72D0E"/>
    <w:rsid w:val="44B24FCB"/>
    <w:rsid w:val="44C46B14"/>
    <w:rsid w:val="45050ABD"/>
    <w:rsid w:val="4550785F"/>
    <w:rsid w:val="455E64E6"/>
    <w:rsid w:val="45A55DFD"/>
    <w:rsid w:val="45BB5620"/>
    <w:rsid w:val="45C115E2"/>
    <w:rsid w:val="45DD5596"/>
    <w:rsid w:val="45F823D0"/>
    <w:rsid w:val="46810624"/>
    <w:rsid w:val="46843C64"/>
    <w:rsid w:val="46875502"/>
    <w:rsid w:val="469A4F5E"/>
    <w:rsid w:val="46BF496E"/>
    <w:rsid w:val="470606AF"/>
    <w:rsid w:val="47074766"/>
    <w:rsid w:val="470D3C59"/>
    <w:rsid w:val="47460F19"/>
    <w:rsid w:val="475168EC"/>
    <w:rsid w:val="476615BC"/>
    <w:rsid w:val="47730AC0"/>
    <w:rsid w:val="47B47A51"/>
    <w:rsid w:val="47E56984"/>
    <w:rsid w:val="482150A6"/>
    <w:rsid w:val="48445776"/>
    <w:rsid w:val="48626132"/>
    <w:rsid w:val="486A5320"/>
    <w:rsid w:val="48B00D40"/>
    <w:rsid w:val="48F72730"/>
    <w:rsid w:val="49804BB7"/>
    <w:rsid w:val="49F96717"/>
    <w:rsid w:val="4A1D0657"/>
    <w:rsid w:val="4A1E05C8"/>
    <w:rsid w:val="4A1E617D"/>
    <w:rsid w:val="4A2F36BA"/>
    <w:rsid w:val="4A315EB1"/>
    <w:rsid w:val="4A8A3813"/>
    <w:rsid w:val="4A954692"/>
    <w:rsid w:val="4AB32D6A"/>
    <w:rsid w:val="4B35377F"/>
    <w:rsid w:val="4B551C66"/>
    <w:rsid w:val="4BBD5522"/>
    <w:rsid w:val="4BBD5601"/>
    <w:rsid w:val="4C043151"/>
    <w:rsid w:val="4C121D12"/>
    <w:rsid w:val="4C4023DB"/>
    <w:rsid w:val="4C416153"/>
    <w:rsid w:val="4C974B11"/>
    <w:rsid w:val="4C983FC5"/>
    <w:rsid w:val="4CE8007A"/>
    <w:rsid w:val="4D112F08"/>
    <w:rsid w:val="4D275349"/>
    <w:rsid w:val="4D302F75"/>
    <w:rsid w:val="4D5025EF"/>
    <w:rsid w:val="4D6172F1"/>
    <w:rsid w:val="4D983E55"/>
    <w:rsid w:val="4DAE5A6A"/>
    <w:rsid w:val="4E1D2C42"/>
    <w:rsid w:val="4E231F36"/>
    <w:rsid w:val="4E7B2BAB"/>
    <w:rsid w:val="4E944C60"/>
    <w:rsid w:val="4EA01857"/>
    <w:rsid w:val="4EBE7F2F"/>
    <w:rsid w:val="4EEA4880"/>
    <w:rsid w:val="4EF15C0F"/>
    <w:rsid w:val="4F070159"/>
    <w:rsid w:val="4F111C6C"/>
    <w:rsid w:val="4F241414"/>
    <w:rsid w:val="4F2A5A60"/>
    <w:rsid w:val="4F4E25D2"/>
    <w:rsid w:val="4F5E7002"/>
    <w:rsid w:val="4F81111C"/>
    <w:rsid w:val="4FC90675"/>
    <w:rsid w:val="4FD277EE"/>
    <w:rsid w:val="4FDA7EAF"/>
    <w:rsid w:val="4FE87012"/>
    <w:rsid w:val="4FF04118"/>
    <w:rsid w:val="500A342C"/>
    <w:rsid w:val="501C315F"/>
    <w:rsid w:val="502F2E92"/>
    <w:rsid w:val="50371D47"/>
    <w:rsid w:val="5066262C"/>
    <w:rsid w:val="50680152"/>
    <w:rsid w:val="509727E6"/>
    <w:rsid w:val="50A9645C"/>
    <w:rsid w:val="50D37AE4"/>
    <w:rsid w:val="50F73284"/>
    <w:rsid w:val="513B13C3"/>
    <w:rsid w:val="51475FBA"/>
    <w:rsid w:val="514B3CFC"/>
    <w:rsid w:val="514F2746"/>
    <w:rsid w:val="516F72BF"/>
    <w:rsid w:val="517D7C2E"/>
    <w:rsid w:val="51D4516C"/>
    <w:rsid w:val="51D94987"/>
    <w:rsid w:val="51D96682"/>
    <w:rsid w:val="51F7178E"/>
    <w:rsid w:val="5201085F"/>
    <w:rsid w:val="520E7E4A"/>
    <w:rsid w:val="522D3402"/>
    <w:rsid w:val="525E180D"/>
    <w:rsid w:val="526F57C8"/>
    <w:rsid w:val="52903990"/>
    <w:rsid w:val="52EC506B"/>
    <w:rsid w:val="52F97788"/>
    <w:rsid w:val="53201476"/>
    <w:rsid w:val="5334256E"/>
    <w:rsid w:val="53605111"/>
    <w:rsid w:val="537F5EDF"/>
    <w:rsid w:val="53B042EA"/>
    <w:rsid w:val="53B51901"/>
    <w:rsid w:val="53C25DCC"/>
    <w:rsid w:val="53C92399"/>
    <w:rsid w:val="53CE651E"/>
    <w:rsid w:val="53D0531B"/>
    <w:rsid w:val="54280325"/>
    <w:rsid w:val="543B415A"/>
    <w:rsid w:val="543E18F6"/>
    <w:rsid w:val="549A0AF6"/>
    <w:rsid w:val="54CC6A7F"/>
    <w:rsid w:val="54D538DD"/>
    <w:rsid w:val="54E7647B"/>
    <w:rsid w:val="55574570"/>
    <w:rsid w:val="558275C0"/>
    <w:rsid w:val="5664316A"/>
    <w:rsid w:val="56A143BE"/>
    <w:rsid w:val="56BA5480"/>
    <w:rsid w:val="56C1680E"/>
    <w:rsid w:val="56C26C4F"/>
    <w:rsid w:val="56F543F6"/>
    <w:rsid w:val="573E7E5F"/>
    <w:rsid w:val="575E5E0B"/>
    <w:rsid w:val="57677F3F"/>
    <w:rsid w:val="57686C8A"/>
    <w:rsid w:val="57725F22"/>
    <w:rsid w:val="578B08F8"/>
    <w:rsid w:val="57B8595B"/>
    <w:rsid w:val="57F549C2"/>
    <w:rsid w:val="58313520"/>
    <w:rsid w:val="58366D88"/>
    <w:rsid w:val="585E74A3"/>
    <w:rsid w:val="588C0756"/>
    <w:rsid w:val="58D140EF"/>
    <w:rsid w:val="590F3861"/>
    <w:rsid w:val="591F15CA"/>
    <w:rsid w:val="5955323E"/>
    <w:rsid w:val="599E4BE5"/>
    <w:rsid w:val="59B12B6A"/>
    <w:rsid w:val="59BA0405"/>
    <w:rsid w:val="59D2488F"/>
    <w:rsid w:val="59FD7B5D"/>
    <w:rsid w:val="5A186745"/>
    <w:rsid w:val="5A2805D1"/>
    <w:rsid w:val="5A533C21"/>
    <w:rsid w:val="5A6374E1"/>
    <w:rsid w:val="5A9F6E67"/>
    <w:rsid w:val="5AA4622B"/>
    <w:rsid w:val="5B062A42"/>
    <w:rsid w:val="5B791466"/>
    <w:rsid w:val="5BFD122A"/>
    <w:rsid w:val="5C1271C4"/>
    <w:rsid w:val="5C2515ED"/>
    <w:rsid w:val="5C4C1393"/>
    <w:rsid w:val="5C520359"/>
    <w:rsid w:val="5CAA3CE2"/>
    <w:rsid w:val="5CC0100E"/>
    <w:rsid w:val="5CEE378D"/>
    <w:rsid w:val="5D0B433F"/>
    <w:rsid w:val="5D301FF8"/>
    <w:rsid w:val="5DA86032"/>
    <w:rsid w:val="5E225DE5"/>
    <w:rsid w:val="5E4044BD"/>
    <w:rsid w:val="5E435D5B"/>
    <w:rsid w:val="5E7D301B"/>
    <w:rsid w:val="5E8B1BDC"/>
    <w:rsid w:val="5E8E5228"/>
    <w:rsid w:val="5EA031AD"/>
    <w:rsid w:val="5EA92062"/>
    <w:rsid w:val="5EDC2437"/>
    <w:rsid w:val="5EDD7F5D"/>
    <w:rsid w:val="5F5D5216"/>
    <w:rsid w:val="5F695B06"/>
    <w:rsid w:val="5F7478C5"/>
    <w:rsid w:val="5F8623A3"/>
    <w:rsid w:val="5F8B357A"/>
    <w:rsid w:val="5FB72CCC"/>
    <w:rsid w:val="5FC56A5A"/>
    <w:rsid w:val="5FC609F2"/>
    <w:rsid w:val="5FC61673"/>
    <w:rsid w:val="60031C46"/>
    <w:rsid w:val="60082DB8"/>
    <w:rsid w:val="60255718"/>
    <w:rsid w:val="603A1875"/>
    <w:rsid w:val="60883EF9"/>
    <w:rsid w:val="60A54AAB"/>
    <w:rsid w:val="610F48DD"/>
    <w:rsid w:val="613C747E"/>
    <w:rsid w:val="615F6CE1"/>
    <w:rsid w:val="617F6075"/>
    <w:rsid w:val="617F744A"/>
    <w:rsid w:val="61AF0A3F"/>
    <w:rsid w:val="61DE64C6"/>
    <w:rsid w:val="61E86C9C"/>
    <w:rsid w:val="61EE5FDE"/>
    <w:rsid w:val="61FC4B9F"/>
    <w:rsid w:val="620A72BB"/>
    <w:rsid w:val="622163B3"/>
    <w:rsid w:val="62967E64"/>
    <w:rsid w:val="62B334AF"/>
    <w:rsid w:val="62B9483E"/>
    <w:rsid w:val="636C180B"/>
    <w:rsid w:val="639A466F"/>
    <w:rsid w:val="63C90AB0"/>
    <w:rsid w:val="63D556A7"/>
    <w:rsid w:val="63F024E1"/>
    <w:rsid w:val="6417181C"/>
    <w:rsid w:val="64281CB1"/>
    <w:rsid w:val="64382927"/>
    <w:rsid w:val="6477139D"/>
    <w:rsid w:val="647F308A"/>
    <w:rsid w:val="64A56887"/>
    <w:rsid w:val="64C80818"/>
    <w:rsid w:val="64F61D79"/>
    <w:rsid w:val="653B778C"/>
    <w:rsid w:val="654A5C21"/>
    <w:rsid w:val="654C1999"/>
    <w:rsid w:val="658E1C06"/>
    <w:rsid w:val="65A17F37"/>
    <w:rsid w:val="65CD2ADA"/>
    <w:rsid w:val="65DA197A"/>
    <w:rsid w:val="65E240AB"/>
    <w:rsid w:val="660404C6"/>
    <w:rsid w:val="663A7A43"/>
    <w:rsid w:val="66617944"/>
    <w:rsid w:val="66A27DC6"/>
    <w:rsid w:val="66BC3023"/>
    <w:rsid w:val="66C11F13"/>
    <w:rsid w:val="66F66060"/>
    <w:rsid w:val="66F978FF"/>
    <w:rsid w:val="670F2C7E"/>
    <w:rsid w:val="672506F4"/>
    <w:rsid w:val="6740552D"/>
    <w:rsid w:val="678E6299"/>
    <w:rsid w:val="67D1715A"/>
    <w:rsid w:val="67D227DF"/>
    <w:rsid w:val="67DD2D7C"/>
    <w:rsid w:val="681A5D7E"/>
    <w:rsid w:val="682D7860"/>
    <w:rsid w:val="686B65DA"/>
    <w:rsid w:val="686F6420"/>
    <w:rsid w:val="68774F7F"/>
    <w:rsid w:val="688E4077"/>
    <w:rsid w:val="68F6059A"/>
    <w:rsid w:val="690B22CE"/>
    <w:rsid w:val="691B1DAE"/>
    <w:rsid w:val="69262A75"/>
    <w:rsid w:val="6942733B"/>
    <w:rsid w:val="696230A8"/>
    <w:rsid w:val="697E40EB"/>
    <w:rsid w:val="69BD10B7"/>
    <w:rsid w:val="69C60FDA"/>
    <w:rsid w:val="6A535AFD"/>
    <w:rsid w:val="6A5A6906"/>
    <w:rsid w:val="6A5C61DA"/>
    <w:rsid w:val="6A652D62"/>
    <w:rsid w:val="6B166CD1"/>
    <w:rsid w:val="6B4355EC"/>
    <w:rsid w:val="6B652D49"/>
    <w:rsid w:val="6B721A2E"/>
    <w:rsid w:val="6B9E0C86"/>
    <w:rsid w:val="6BA20565"/>
    <w:rsid w:val="6BE506F0"/>
    <w:rsid w:val="6C044D7B"/>
    <w:rsid w:val="6C0E79A8"/>
    <w:rsid w:val="6C0F54CE"/>
    <w:rsid w:val="6C207DD7"/>
    <w:rsid w:val="6C327B3B"/>
    <w:rsid w:val="6C382C77"/>
    <w:rsid w:val="6C533B6F"/>
    <w:rsid w:val="6C9A123C"/>
    <w:rsid w:val="6CDA47B7"/>
    <w:rsid w:val="6CF272CA"/>
    <w:rsid w:val="6D0668D1"/>
    <w:rsid w:val="6D082C5F"/>
    <w:rsid w:val="6D18471A"/>
    <w:rsid w:val="6D1A412B"/>
    <w:rsid w:val="6D3D2026"/>
    <w:rsid w:val="6DA73C10"/>
    <w:rsid w:val="6DDD7632"/>
    <w:rsid w:val="6DE259A9"/>
    <w:rsid w:val="6DF66946"/>
    <w:rsid w:val="6E7855AD"/>
    <w:rsid w:val="6E895A0C"/>
    <w:rsid w:val="6EA168B2"/>
    <w:rsid w:val="6EA939B8"/>
    <w:rsid w:val="6EAB5982"/>
    <w:rsid w:val="6EAC5256"/>
    <w:rsid w:val="6EB0191F"/>
    <w:rsid w:val="6EE25597"/>
    <w:rsid w:val="6F601862"/>
    <w:rsid w:val="6FB10D76"/>
    <w:rsid w:val="70025DD9"/>
    <w:rsid w:val="70671D7D"/>
    <w:rsid w:val="70B2124A"/>
    <w:rsid w:val="70D30E52"/>
    <w:rsid w:val="710F5CA8"/>
    <w:rsid w:val="711D243B"/>
    <w:rsid w:val="711E068D"/>
    <w:rsid w:val="712B2DAA"/>
    <w:rsid w:val="71C42E35"/>
    <w:rsid w:val="71D93287"/>
    <w:rsid w:val="71DE16D4"/>
    <w:rsid w:val="721F290F"/>
    <w:rsid w:val="72595CB6"/>
    <w:rsid w:val="72691DDC"/>
    <w:rsid w:val="726F7E98"/>
    <w:rsid w:val="72884900"/>
    <w:rsid w:val="729A5190"/>
    <w:rsid w:val="72B12672"/>
    <w:rsid w:val="72C963D7"/>
    <w:rsid w:val="72D109E6"/>
    <w:rsid w:val="73045123"/>
    <w:rsid w:val="731E2BC7"/>
    <w:rsid w:val="739805A3"/>
    <w:rsid w:val="73A40BF2"/>
    <w:rsid w:val="73E21E46"/>
    <w:rsid w:val="7460720F"/>
    <w:rsid w:val="74B5795D"/>
    <w:rsid w:val="74D6127F"/>
    <w:rsid w:val="75137FBD"/>
    <w:rsid w:val="753541F8"/>
    <w:rsid w:val="75660855"/>
    <w:rsid w:val="75A60C51"/>
    <w:rsid w:val="75C02056"/>
    <w:rsid w:val="75CE68BE"/>
    <w:rsid w:val="760A5684"/>
    <w:rsid w:val="763444AF"/>
    <w:rsid w:val="76544B51"/>
    <w:rsid w:val="76660B3A"/>
    <w:rsid w:val="76C05D43"/>
    <w:rsid w:val="76D417EE"/>
    <w:rsid w:val="76EE0B02"/>
    <w:rsid w:val="77521889"/>
    <w:rsid w:val="77594071"/>
    <w:rsid w:val="77690189"/>
    <w:rsid w:val="7782124A"/>
    <w:rsid w:val="77933457"/>
    <w:rsid w:val="77B37783"/>
    <w:rsid w:val="77C17FC5"/>
    <w:rsid w:val="77D575CC"/>
    <w:rsid w:val="78694678"/>
    <w:rsid w:val="7880542D"/>
    <w:rsid w:val="78B24E6F"/>
    <w:rsid w:val="78B83176"/>
    <w:rsid w:val="78DB3308"/>
    <w:rsid w:val="78E459E7"/>
    <w:rsid w:val="79004B1D"/>
    <w:rsid w:val="79065C5A"/>
    <w:rsid w:val="790E6985"/>
    <w:rsid w:val="794E5888"/>
    <w:rsid w:val="795135CA"/>
    <w:rsid w:val="7956298E"/>
    <w:rsid w:val="79C475AD"/>
    <w:rsid w:val="79E918DC"/>
    <w:rsid w:val="7A0C4B7F"/>
    <w:rsid w:val="7A494117"/>
    <w:rsid w:val="7A4A23B1"/>
    <w:rsid w:val="7A613399"/>
    <w:rsid w:val="7A6F1F5A"/>
    <w:rsid w:val="7A946DA5"/>
    <w:rsid w:val="7AB6249B"/>
    <w:rsid w:val="7AC5600F"/>
    <w:rsid w:val="7AEC7106"/>
    <w:rsid w:val="7AF040E4"/>
    <w:rsid w:val="7B2E5971"/>
    <w:rsid w:val="7B7A0BB6"/>
    <w:rsid w:val="7BBE3D26"/>
    <w:rsid w:val="7BBF0CBF"/>
    <w:rsid w:val="7BC77B74"/>
    <w:rsid w:val="7BED75DA"/>
    <w:rsid w:val="7BFF0E4A"/>
    <w:rsid w:val="7C091F3A"/>
    <w:rsid w:val="7C0B7A60"/>
    <w:rsid w:val="7C1A7CA3"/>
    <w:rsid w:val="7C3832C5"/>
    <w:rsid w:val="7C417926"/>
    <w:rsid w:val="7C4D62CB"/>
    <w:rsid w:val="7C66738C"/>
    <w:rsid w:val="7C6F7841"/>
    <w:rsid w:val="7C743857"/>
    <w:rsid w:val="7C7D3495"/>
    <w:rsid w:val="7C831CEC"/>
    <w:rsid w:val="7CBC0D5A"/>
    <w:rsid w:val="7CBE2D25"/>
    <w:rsid w:val="7CC52305"/>
    <w:rsid w:val="7CE6522A"/>
    <w:rsid w:val="7D613D04"/>
    <w:rsid w:val="7D9B3066"/>
    <w:rsid w:val="7D9D0B8C"/>
    <w:rsid w:val="7D9F457C"/>
    <w:rsid w:val="7DD04693"/>
    <w:rsid w:val="7DE60785"/>
    <w:rsid w:val="7DFA4230"/>
    <w:rsid w:val="7E7654DB"/>
    <w:rsid w:val="7EAA7A04"/>
    <w:rsid w:val="7EB4200C"/>
    <w:rsid w:val="7EC16AFC"/>
    <w:rsid w:val="7F4514DB"/>
    <w:rsid w:val="7F601E71"/>
    <w:rsid w:val="7F98243F"/>
    <w:rsid w:val="7FB623D9"/>
    <w:rsid w:val="7FBA3C77"/>
    <w:rsid w:val="7FBB79EF"/>
    <w:rsid w:val="7FBC0693"/>
    <w:rsid w:val="7FDF72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0" w:name="toc 2"/>
    <w:lsdException w:uiPriority="0" w:name="toc 3"/>
    <w:lsdException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qFormat="1"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iPriority="0" w:name="HTML Preformatted"/>
    <w:lsdException w:qFormat="1" w:unhideWhenUsed="0" w:uiPriority="0" w:semiHidden="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autoRedefine/>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46"/>
    <w:autoRedefine/>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1"/>
    <w:pPr>
      <w:keepNext/>
      <w:keepLines/>
      <w:adjustRightInd w:val="0"/>
      <w:snapToGrid w:val="0"/>
      <w:spacing w:line="360" w:lineRule="auto"/>
      <w:jc w:val="left"/>
      <w:outlineLvl w:val="2"/>
    </w:pPr>
    <w:rPr>
      <w:rFonts w:ascii="宋体" w:hAnsi="宋体" w:eastAsia="宋体" w:cs="Times New Roman"/>
      <w:b/>
      <w:bCs/>
      <w:kern w:val="0"/>
      <w:sz w:val="20"/>
      <w:szCs w:val="21"/>
    </w:rPr>
  </w:style>
  <w:style w:type="character" w:default="1" w:styleId="24">
    <w:name w:val="Default Paragraph Font"/>
    <w:autoRedefine/>
    <w:semiHidden/>
    <w:unhideWhenUsed/>
    <w:qFormat/>
    <w:uiPriority w:val="1"/>
  </w:style>
  <w:style w:type="table" w:default="1" w:styleId="22">
    <w:name w:val="Normal Table"/>
    <w:autoRedefine/>
    <w:semiHidden/>
    <w:unhideWhenUsed/>
    <w:qFormat/>
    <w:uiPriority w:val="99"/>
    <w:tblPr>
      <w:tblCellMar>
        <w:top w:w="0" w:type="dxa"/>
        <w:left w:w="108" w:type="dxa"/>
        <w:bottom w:w="0" w:type="dxa"/>
        <w:right w:w="108" w:type="dxa"/>
      </w:tblCellMar>
    </w:tblPr>
  </w:style>
  <w:style w:type="paragraph" w:styleId="5">
    <w:name w:val="List Number"/>
    <w:basedOn w:val="1"/>
    <w:autoRedefine/>
    <w:semiHidden/>
    <w:unhideWhenUsed/>
    <w:qFormat/>
    <w:uiPriority w:val="0"/>
    <w:pPr>
      <w:numPr>
        <w:ilvl w:val="0"/>
        <w:numId w:val="1"/>
      </w:numPr>
    </w:pPr>
  </w:style>
  <w:style w:type="paragraph" w:styleId="6">
    <w:name w:val="Normal Indent"/>
    <w:basedOn w:val="1"/>
    <w:next w:val="1"/>
    <w:autoRedefine/>
    <w:qFormat/>
    <w:uiPriority w:val="0"/>
    <w:pPr>
      <w:ind w:firstLine="420"/>
    </w:pPr>
  </w:style>
  <w:style w:type="paragraph" w:styleId="7">
    <w:name w:val="annotation text"/>
    <w:basedOn w:val="1"/>
    <w:autoRedefine/>
    <w:semiHidden/>
    <w:unhideWhenUsed/>
    <w:qFormat/>
    <w:uiPriority w:val="0"/>
    <w:pPr>
      <w:jc w:val="left"/>
    </w:pPr>
  </w:style>
  <w:style w:type="paragraph" w:styleId="8">
    <w:name w:val="Body Text"/>
    <w:basedOn w:val="1"/>
    <w:next w:val="9"/>
    <w:autoRedefine/>
    <w:qFormat/>
    <w:uiPriority w:val="0"/>
    <w:pPr>
      <w:autoSpaceDE w:val="0"/>
      <w:autoSpaceDN w:val="0"/>
      <w:adjustRightInd w:val="0"/>
      <w:spacing w:line="360" w:lineRule="auto"/>
    </w:pPr>
    <w:rPr>
      <w:rFonts w:ascii="宋体"/>
      <w:sz w:val="24"/>
      <w:lang w:val="zh-CN"/>
    </w:rPr>
  </w:style>
  <w:style w:type="paragraph" w:styleId="9">
    <w:name w:val="Body Text First Indent"/>
    <w:basedOn w:val="8"/>
    <w:next w:val="10"/>
    <w:autoRedefine/>
    <w:qFormat/>
    <w:uiPriority w:val="0"/>
    <w:pPr>
      <w:ind w:firstLine="420"/>
    </w:pPr>
  </w:style>
  <w:style w:type="paragraph" w:styleId="10">
    <w:name w:val="toc 6"/>
    <w:basedOn w:val="1"/>
    <w:next w:val="1"/>
    <w:autoRedefine/>
    <w:qFormat/>
    <w:uiPriority w:val="0"/>
    <w:pPr>
      <w:ind w:left="2100" w:leftChars="1000"/>
    </w:pPr>
    <w:rPr>
      <w:rFonts w:ascii="Calibri" w:hAnsi="Calibri" w:eastAsia="微软雅黑"/>
    </w:rPr>
  </w:style>
  <w:style w:type="paragraph" w:styleId="11">
    <w:name w:val="Body Text Indent"/>
    <w:basedOn w:val="1"/>
    <w:next w:val="6"/>
    <w:autoRedefine/>
    <w:qFormat/>
    <w:uiPriority w:val="99"/>
    <w:pPr>
      <w:adjustRightInd w:val="0"/>
      <w:spacing w:line="360" w:lineRule="auto"/>
      <w:ind w:firstLine="490"/>
      <w:jc w:val="left"/>
    </w:pPr>
    <w:rPr>
      <w:rFonts w:hint="eastAsia" w:ascii="宋体" w:hAnsi="宋体"/>
      <w:sz w:val="24"/>
      <w:szCs w:val="20"/>
    </w:rPr>
  </w:style>
  <w:style w:type="paragraph" w:styleId="12">
    <w:name w:val="Plain Text"/>
    <w:basedOn w:val="1"/>
    <w:next w:val="13"/>
    <w:autoRedefine/>
    <w:qFormat/>
    <w:uiPriority w:val="0"/>
    <w:rPr>
      <w:rFonts w:ascii="宋体" w:hAnsi="Courier New"/>
    </w:rPr>
  </w:style>
  <w:style w:type="paragraph" w:styleId="13">
    <w:name w:val="Date"/>
    <w:basedOn w:val="1"/>
    <w:next w:val="1"/>
    <w:autoRedefine/>
    <w:qFormat/>
    <w:uiPriority w:val="0"/>
    <w:rPr>
      <w:spacing w:val="20"/>
      <w:sz w:val="28"/>
      <w:szCs w:val="20"/>
    </w:rPr>
  </w:style>
  <w:style w:type="paragraph" w:styleId="14">
    <w:name w:val="Balloon Text"/>
    <w:basedOn w:val="1"/>
    <w:autoRedefine/>
    <w:semiHidden/>
    <w:qFormat/>
    <w:uiPriority w:val="0"/>
    <w:rPr>
      <w:sz w:val="18"/>
      <w:szCs w:val="18"/>
    </w:rPr>
  </w:style>
  <w:style w:type="paragraph" w:styleId="15">
    <w:name w:val="footer"/>
    <w:basedOn w:val="1"/>
    <w:link w:val="34"/>
    <w:autoRedefine/>
    <w:qFormat/>
    <w:uiPriority w:val="0"/>
    <w:pPr>
      <w:tabs>
        <w:tab w:val="center" w:pos="4153"/>
        <w:tab w:val="right" w:pos="8306"/>
      </w:tabs>
      <w:snapToGrid w:val="0"/>
      <w:jc w:val="left"/>
    </w:pPr>
    <w:rPr>
      <w:sz w:val="18"/>
      <w:szCs w:val="18"/>
    </w:rPr>
  </w:style>
  <w:style w:type="paragraph" w:styleId="16">
    <w:name w:val="header"/>
    <w:basedOn w:val="1"/>
    <w:link w:val="33"/>
    <w:autoRedefine/>
    <w:qFormat/>
    <w:uiPriority w:val="0"/>
    <w:pPr>
      <w:pBdr>
        <w:bottom w:val="single" w:color="auto" w:sz="6" w:space="1"/>
      </w:pBdr>
      <w:tabs>
        <w:tab w:val="center" w:pos="4153"/>
        <w:tab w:val="right" w:pos="8306"/>
      </w:tabs>
      <w:snapToGrid w:val="0"/>
      <w:jc w:val="center"/>
    </w:pPr>
    <w:rPr>
      <w:sz w:val="18"/>
      <w:szCs w:val="18"/>
    </w:rPr>
  </w:style>
  <w:style w:type="paragraph" w:styleId="17">
    <w:name w:val="toc 1"/>
    <w:basedOn w:val="1"/>
    <w:next w:val="1"/>
    <w:autoRedefine/>
    <w:qFormat/>
    <w:uiPriority w:val="39"/>
    <w:pPr>
      <w:tabs>
        <w:tab w:val="left" w:pos="840"/>
        <w:tab w:val="right" w:leader="dot" w:pos="8296"/>
      </w:tabs>
    </w:pPr>
  </w:style>
  <w:style w:type="paragraph" w:styleId="18">
    <w:name w:val="toc 2"/>
    <w:basedOn w:val="1"/>
    <w:next w:val="1"/>
    <w:autoRedefine/>
    <w:semiHidden/>
    <w:unhideWhenUsed/>
    <w:qFormat/>
    <w:uiPriority w:val="0"/>
    <w:pPr>
      <w:ind w:left="420" w:leftChars="200"/>
    </w:pPr>
  </w:style>
  <w:style w:type="paragraph" w:styleId="19">
    <w:name w:val="HTML Preformatted"/>
    <w:basedOn w:val="1"/>
    <w:autoRedefine/>
    <w:semiHidden/>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20">
    <w:name w:val="Normal (Web)"/>
    <w:basedOn w:val="1"/>
    <w:autoRedefine/>
    <w:qFormat/>
    <w:uiPriority w:val="0"/>
    <w:pPr>
      <w:spacing w:beforeAutospacing="1" w:afterAutospacing="1"/>
      <w:jc w:val="left"/>
    </w:pPr>
    <w:rPr>
      <w:kern w:val="0"/>
      <w:sz w:val="24"/>
    </w:rPr>
  </w:style>
  <w:style w:type="paragraph" w:styleId="21">
    <w:name w:val="Body Text First Indent 2"/>
    <w:basedOn w:val="11"/>
    <w:next w:val="1"/>
    <w:autoRedefine/>
    <w:qFormat/>
    <w:uiPriority w:val="0"/>
    <w:pPr>
      <w:adjustRightInd/>
      <w:spacing w:after="120" w:line="240" w:lineRule="auto"/>
      <w:ind w:left="420" w:leftChars="200" w:firstLine="210"/>
    </w:pPr>
    <w:rPr>
      <w:sz w:val="21"/>
    </w:rPr>
  </w:style>
  <w:style w:type="table" w:styleId="23">
    <w:name w:val="Table Grid"/>
    <w:basedOn w:val="22"/>
    <w:autoRedefine/>
    <w:qFormat/>
    <w:uiPriority w:val="0"/>
    <w:pPr>
      <w:widowControl w:val="0"/>
      <w:jc w:val="both"/>
    </w:pPr>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autoRedefine/>
    <w:qFormat/>
    <w:uiPriority w:val="0"/>
    <w:rPr>
      <w:b/>
    </w:rPr>
  </w:style>
  <w:style w:type="character" w:styleId="26">
    <w:name w:val="Hyperlink"/>
    <w:basedOn w:val="24"/>
    <w:autoRedefine/>
    <w:semiHidden/>
    <w:unhideWhenUsed/>
    <w:qFormat/>
    <w:uiPriority w:val="0"/>
    <w:rPr>
      <w:color w:val="0000FF"/>
      <w:u w:val="single"/>
    </w:rPr>
  </w:style>
  <w:style w:type="character" w:styleId="27">
    <w:name w:val="HTML Sample"/>
    <w:basedOn w:val="24"/>
    <w:autoRedefine/>
    <w:qFormat/>
    <w:uiPriority w:val="0"/>
    <w:rPr>
      <w:rFonts w:ascii="Courier New" w:hAnsi="Courier New"/>
    </w:rPr>
  </w:style>
  <w:style w:type="paragraph" w:customStyle="1" w:styleId="28">
    <w:name w:val="_Style 2"/>
    <w:basedOn w:val="1"/>
    <w:autoRedefine/>
    <w:qFormat/>
    <w:uiPriority w:val="0"/>
    <w:pPr>
      <w:ind w:firstLine="200" w:firstLineChars="200"/>
    </w:pPr>
    <w:rPr>
      <w:rFonts w:ascii="Calibri" w:hAnsi="Calibri"/>
      <w:sz w:val="28"/>
      <w:szCs w:val="22"/>
    </w:rPr>
  </w:style>
  <w:style w:type="paragraph" w:customStyle="1" w:styleId="29">
    <w:name w:val="表格文字"/>
    <w:basedOn w:val="30"/>
    <w:next w:val="8"/>
    <w:autoRedefine/>
    <w:qFormat/>
    <w:uiPriority w:val="99"/>
    <w:pPr>
      <w:adjustRightInd w:val="0"/>
      <w:spacing w:line="420" w:lineRule="atLeast"/>
      <w:jc w:val="left"/>
      <w:textAlignment w:val="baseline"/>
    </w:pPr>
    <w:rPr>
      <w:rFonts w:ascii="Times New Roman" w:hAnsi="Times New Roman"/>
      <w:kern w:val="0"/>
    </w:rPr>
  </w:style>
  <w:style w:type="paragraph" w:customStyle="1" w:styleId="30">
    <w:name w:val="正文11"/>
    <w:basedOn w:val="31"/>
    <w:next w:val="29"/>
    <w:autoRedefine/>
    <w:qFormat/>
    <w:uiPriority w:val="0"/>
    <w:pPr>
      <w:widowControl/>
      <w:spacing w:before="100" w:beforeAutospacing="1" w:after="100" w:afterAutospacing="1" w:line="360" w:lineRule="auto"/>
      <w:ind w:left="499" w:firstLine="499"/>
    </w:pPr>
    <w:rPr>
      <w:rFonts w:ascii="宋体" w:hAnsi="宋体" w:cs="Times New Roman"/>
      <w:kern w:val="21"/>
      <w:sz w:val="24"/>
      <w:szCs w:val="24"/>
    </w:rPr>
  </w:style>
  <w:style w:type="paragraph" w:customStyle="1" w:styleId="31">
    <w:name w:val="Normal_0"/>
    <w:basedOn w:val="32"/>
    <w:autoRedefine/>
    <w:qFormat/>
    <w:uiPriority w:val="99"/>
    <w:rPr>
      <w:rFonts w:ascii="Times New Roman" w:hAnsi="Times New Roman" w:cs="Calibri"/>
      <w:szCs w:val="21"/>
    </w:rPr>
  </w:style>
  <w:style w:type="paragraph" w:customStyle="1" w:styleId="32">
    <w:name w:val="正文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33">
    <w:name w:val="页眉 字符"/>
    <w:basedOn w:val="24"/>
    <w:link w:val="16"/>
    <w:autoRedefine/>
    <w:qFormat/>
    <w:uiPriority w:val="0"/>
    <w:rPr>
      <w:kern w:val="2"/>
      <w:sz w:val="18"/>
      <w:szCs w:val="18"/>
    </w:rPr>
  </w:style>
  <w:style w:type="character" w:customStyle="1" w:styleId="34">
    <w:name w:val="页脚 字符"/>
    <w:basedOn w:val="24"/>
    <w:link w:val="15"/>
    <w:autoRedefine/>
    <w:qFormat/>
    <w:uiPriority w:val="0"/>
    <w:rPr>
      <w:kern w:val="2"/>
      <w:sz w:val="18"/>
      <w:szCs w:val="18"/>
    </w:rPr>
  </w:style>
  <w:style w:type="paragraph" w:customStyle="1" w:styleId="35">
    <w:name w:val="纯文本1"/>
    <w:basedOn w:val="1"/>
    <w:autoRedefine/>
    <w:unhideWhenUsed/>
    <w:qFormat/>
    <w:uiPriority w:val="99"/>
    <w:rPr>
      <w:rFonts w:ascii="宋体" w:hAnsi="Courier New"/>
    </w:rPr>
  </w:style>
  <w:style w:type="paragraph" w:customStyle="1" w:styleId="36">
    <w:name w:val="Other|1"/>
    <w:basedOn w:val="1"/>
    <w:autoRedefine/>
    <w:qFormat/>
    <w:uiPriority w:val="0"/>
    <w:rPr>
      <w:rFonts w:ascii="宋体" w:hAnsi="宋体" w:cs="宋体"/>
      <w:sz w:val="20"/>
      <w:szCs w:val="20"/>
      <w:lang w:val="zh-TW" w:eastAsia="zh-TW" w:bidi="zh-TW"/>
    </w:rPr>
  </w:style>
  <w:style w:type="paragraph" w:customStyle="1" w:styleId="37">
    <w:name w:val="Body text|1"/>
    <w:basedOn w:val="1"/>
    <w:autoRedefine/>
    <w:qFormat/>
    <w:uiPriority w:val="0"/>
    <w:pPr>
      <w:spacing w:after="240"/>
      <w:jc w:val="center"/>
    </w:pPr>
    <w:rPr>
      <w:rFonts w:ascii="宋体" w:hAnsi="宋体" w:cs="宋体"/>
      <w:sz w:val="28"/>
      <w:szCs w:val="28"/>
      <w:lang w:val="zh-TW" w:eastAsia="zh-TW" w:bidi="zh-TW"/>
    </w:rPr>
  </w:style>
  <w:style w:type="paragraph" w:customStyle="1" w:styleId="38">
    <w:name w:val="列出段落1"/>
    <w:basedOn w:val="1"/>
    <w:autoRedefine/>
    <w:qFormat/>
    <w:uiPriority w:val="0"/>
    <w:pPr>
      <w:ind w:firstLine="420" w:firstLineChars="200"/>
    </w:pPr>
    <w:rPr>
      <w:rFonts w:ascii="Calibri" w:hAnsi="Calibri" w:eastAsia="微软雅黑"/>
    </w:rPr>
  </w:style>
  <w:style w:type="paragraph" w:customStyle="1" w:styleId="39">
    <w:name w:val="列出段落2"/>
    <w:basedOn w:val="1"/>
    <w:autoRedefine/>
    <w:qFormat/>
    <w:uiPriority w:val="99"/>
    <w:pPr>
      <w:ind w:firstLine="420" w:firstLineChars="200"/>
    </w:pPr>
  </w:style>
  <w:style w:type="paragraph" w:customStyle="1" w:styleId="40">
    <w:name w:val="表正文"/>
    <w:basedOn w:val="1"/>
    <w:next w:val="12"/>
    <w:autoRedefine/>
    <w:qFormat/>
    <w:uiPriority w:val="0"/>
    <w:rPr>
      <w:rFonts w:ascii="宋体" w:hAnsi="Courier New"/>
    </w:rPr>
  </w:style>
  <w:style w:type="paragraph" w:customStyle="1" w:styleId="41">
    <w:name w:val="WPSOffice手动目录 1"/>
    <w:autoRedefine/>
    <w:qFormat/>
    <w:uiPriority w:val="0"/>
    <w:rPr>
      <w:rFonts w:ascii="Times New Roman" w:hAnsi="Times New Roman" w:eastAsia="宋体" w:cs="Times New Roman"/>
      <w:lang w:val="en-US" w:eastAsia="zh-CN" w:bidi="ar-SA"/>
    </w:rPr>
  </w:style>
  <w:style w:type="paragraph" w:customStyle="1" w:styleId="42">
    <w:name w:val="WPSOffice手动目录 2"/>
    <w:autoRedefine/>
    <w:qFormat/>
    <w:uiPriority w:val="0"/>
    <w:pPr>
      <w:ind w:left="200" w:leftChars="200"/>
    </w:pPr>
    <w:rPr>
      <w:rFonts w:ascii="Times New Roman" w:hAnsi="Times New Roman" w:eastAsia="宋体" w:cs="Times New Roman"/>
      <w:lang w:val="en-US" w:eastAsia="zh-CN" w:bidi="ar-SA"/>
    </w:rPr>
  </w:style>
  <w:style w:type="paragraph" w:customStyle="1" w:styleId="43">
    <w:name w:val="正文2"/>
    <w:basedOn w:val="1"/>
    <w:autoRedefine/>
    <w:qFormat/>
    <w:uiPriority w:val="0"/>
    <w:pPr>
      <w:spacing w:before="156" w:line="360" w:lineRule="auto"/>
      <w:ind w:firstLine="510" w:firstLineChars="200"/>
    </w:pPr>
    <w:rPr>
      <w:sz w:val="24"/>
      <w:szCs w:val="20"/>
    </w:rPr>
  </w:style>
  <w:style w:type="paragraph" w:customStyle="1" w:styleId="44">
    <w:name w:val="样式 标题 1 + 四号 加粗"/>
    <w:basedOn w:val="2"/>
    <w:autoRedefine/>
    <w:qFormat/>
    <w:uiPriority w:val="0"/>
  </w:style>
  <w:style w:type="paragraph" w:customStyle="1" w:styleId="45">
    <w:name w:val="[Normal]"/>
    <w:autoRedefine/>
    <w:qFormat/>
    <w:uiPriority w:val="0"/>
    <w:rPr>
      <w:rFonts w:ascii="宋体" w:hAnsi="宋体" w:eastAsia="宋体" w:cs="Times New Roman"/>
      <w:sz w:val="24"/>
      <w:szCs w:val="22"/>
      <w:lang w:val="zh-CN" w:eastAsia="zh-CN" w:bidi="ar-SA"/>
    </w:rPr>
  </w:style>
  <w:style w:type="character" w:customStyle="1" w:styleId="46">
    <w:name w:val="标题 2 字符"/>
    <w:link w:val="3"/>
    <w:autoRedefine/>
    <w:qFormat/>
    <w:uiPriority w:val="0"/>
    <w:rPr>
      <w:rFonts w:ascii="仿宋_GB2312" w:hAnsi="仿宋" w:eastAsia="仿宋_GB2312"/>
      <w:b/>
      <w:bCs/>
      <w:sz w:val="32"/>
      <w:szCs w:val="32"/>
      <w:lang w:val="zh-CN"/>
    </w:rPr>
  </w:style>
  <w:style w:type="paragraph" w:customStyle="1" w:styleId="47">
    <w:name w:val="WPSOffice手动目录 3"/>
    <w:autoRedefine/>
    <w:qFormat/>
    <w:uiPriority w:val="0"/>
    <w:pPr>
      <w:ind w:left="400" w:leftChars="400"/>
    </w:pPr>
    <w:rPr>
      <w:rFonts w:ascii="Times New Roman" w:hAnsi="Times New Roman" w:eastAsia="宋体" w:cs="Times New Roman"/>
      <w:lang w:val="en-US" w:eastAsia="zh-CN" w:bidi="ar-SA"/>
    </w:rPr>
  </w:style>
  <w:style w:type="character" w:customStyle="1" w:styleId="48">
    <w:name w:val="font11"/>
    <w:basedOn w:val="24"/>
    <w:autoRedefine/>
    <w:qFormat/>
    <w:uiPriority w:val="0"/>
    <w:rPr>
      <w:rFonts w:hint="eastAsia" w:ascii="仿宋" w:hAnsi="仿宋" w:eastAsia="仿宋" w:cs="仿宋"/>
      <w:color w:val="000000"/>
      <w:sz w:val="24"/>
      <w:szCs w:val="24"/>
      <w:u w:val="none"/>
    </w:rPr>
  </w:style>
  <w:style w:type="character" w:customStyle="1" w:styleId="49">
    <w:name w:val="font61"/>
    <w:basedOn w:val="24"/>
    <w:autoRedefine/>
    <w:qFormat/>
    <w:uiPriority w:val="0"/>
    <w:rPr>
      <w:rFonts w:ascii="Arial" w:hAnsi="Arial" w:cs="Arial"/>
      <w:b/>
      <w:bCs/>
      <w:color w:val="000000"/>
      <w:sz w:val="22"/>
      <w:szCs w:val="22"/>
      <w:u w:val="none"/>
    </w:rPr>
  </w:style>
  <w:style w:type="character" w:customStyle="1" w:styleId="50">
    <w:name w:val="font31"/>
    <w:basedOn w:val="24"/>
    <w:autoRedefine/>
    <w:qFormat/>
    <w:uiPriority w:val="0"/>
    <w:rPr>
      <w:rFonts w:hint="eastAsia" w:ascii="楷体" w:hAnsi="楷体" w:eastAsia="楷体" w:cs="楷体"/>
      <w:b/>
      <w:bCs/>
      <w:color w:val="000000"/>
      <w:sz w:val="22"/>
      <w:szCs w:val="22"/>
      <w:u w:val="none"/>
    </w:rPr>
  </w:style>
  <w:style w:type="paragraph" w:styleId="51">
    <w:name w:val="List Paragraph"/>
    <w:basedOn w:val="1"/>
    <w:autoRedefine/>
    <w:qFormat/>
    <w:uiPriority w:val="0"/>
    <w:pPr>
      <w:widowControl/>
      <w:ind w:left="720" w:firstLine="360"/>
      <w:contextualSpacing/>
      <w:jc w:val="left"/>
    </w:pPr>
    <w:rPr>
      <w:rFonts w:ascii="Calibri" w:hAnsi="Calibri"/>
      <w:kern w:val="0"/>
      <w:sz w:val="22"/>
      <w:szCs w:val="22"/>
      <w:lang w:eastAsia="en-US" w:bidi="en-US"/>
    </w:rPr>
  </w:style>
  <w:style w:type="paragraph" w:customStyle="1" w:styleId="52">
    <w:name w:val="style1"/>
    <w:basedOn w:val="1"/>
    <w:autoRedefine/>
    <w:qFormat/>
    <w:uiPriority w:val="0"/>
    <w:pPr>
      <w:widowControl/>
      <w:spacing w:before="100" w:beforeAutospacing="1" w:after="100" w:afterAutospacing="1"/>
      <w:jc w:val="left"/>
    </w:pPr>
    <w:rPr>
      <w:rFonts w:ascii="Arial" w:hAnsi="Arial"/>
      <w:b/>
      <w:kern w:val="0"/>
      <w:sz w:val="27"/>
    </w:rPr>
  </w:style>
  <w:style w:type="character" w:customStyle="1" w:styleId="53">
    <w:name w:val="font21"/>
    <w:basedOn w:val="24"/>
    <w:autoRedefine/>
    <w:qFormat/>
    <w:uiPriority w:val="0"/>
    <w:rPr>
      <w:rFonts w:hint="eastAsia" w:ascii="仿宋" w:hAnsi="仿宋" w:eastAsia="仿宋" w:cs="仿宋"/>
      <w:color w:val="000000"/>
      <w:sz w:val="21"/>
      <w:szCs w:val="21"/>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14</Pages>
  <Words>264</Words>
  <Characters>1506</Characters>
  <Lines>12</Lines>
  <Paragraphs>3</Paragraphs>
  <TotalTime>4</TotalTime>
  <ScaleCrop>false</ScaleCrop>
  <LinksUpToDate>false</LinksUpToDate>
  <CharactersWithSpaces>1767</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2021-05-17T11:00:00Z</dcterms:created>
  <dc:creator>Administrator</dc:creator>
  <cp:lastModifiedBy>user</cp:lastModifiedBy>
  <cp:lastPrinted>2023-12-22T01:36:00Z</cp:lastPrinted>
  <dcterms:modified xsi:type="dcterms:W3CDTF">2024-05-24T13:36:30Z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1446FA5BD06B4ED8A8566BC030904F90_13</vt:lpwstr>
  </property>
</Properties>
</file>