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9A665">
      <w:pPr>
        <w:autoSpaceDE w:val="0"/>
        <w:autoSpaceDN w:val="0"/>
        <w:spacing w:line="600" w:lineRule="auto"/>
        <w:ind w:firstLine="1687" w:firstLineChars="200"/>
        <w:textAlignment w:val="bottom"/>
        <w:rPr>
          <w:rFonts w:ascii="宋体" w:hAnsi="宋体" w:cs="宋体"/>
          <w:b/>
          <w:color w:val="auto"/>
          <w:szCs w:val="4"/>
          <w:highlight w:val="none"/>
        </w:rPr>
      </w:pPr>
      <w:r>
        <w:rPr>
          <w:rFonts w:hint="eastAsia" w:ascii="宋体" w:hAnsi="宋体" w:cs="宋体"/>
          <w:b/>
          <w:color w:val="auto"/>
          <w:sz w:val="84"/>
          <w:highlight w:val="none"/>
        </w:rPr>
        <w:t xml:space="preserve"> </w:t>
      </w:r>
    </w:p>
    <w:p w14:paraId="611F35CA">
      <w:pPr>
        <w:autoSpaceDE w:val="0"/>
        <w:autoSpaceDN w:val="0"/>
        <w:spacing w:line="360" w:lineRule="auto"/>
        <w:jc w:val="center"/>
        <w:textAlignment w:val="bottom"/>
        <w:outlineLvl w:val="0"/>
        <w:rPr>
          <w:rFonts w:hint="eastAsia" w:ascii="宋体" w:hAnsi="宋体" w:cs="宋体"/>
          <w:b/>
          <w:color w:val="auto"/>
          <w:sz w:val="84"/>
          <w:highlight w:val="none"/>
        </w:rPr>
      </w:pPr>
      <w:bookmarkStart w:id="0" w:name="_Toc26731"/>
      <w:bookmarkStart w:id="1" w:name="_Toc4851"/>
      <w:r>
        <w:rPr>
          <w:rFonts w:hint="eastAsia" w:ascii="宋体" w:hAnsi="宋体" w:cs="宋体"/>
          <w:b/>
          <w:color w:val="auto"/>
          <w:sz w:val="84"/>
          <w:highlight w:val="none"/>
        </w:rPr>
        <w:t>公开招标文件</w:t>
      </w:r>
      <w:bookmarkEnd w:id="0"/>
      <w:bookmarkEnd w:id="1"/>
      <w:bookmarkStart w:id="207" w:name="_GoBack"/>
      <w:bookmarkEnd w:id="207"/>
    </w:p>
    <w:p w14:paraId="2DA75F80">
      <w:pPr>
        <w:pStyle w:val="22"/>
        <w:ind w:left="0" w:leftChars="0" w:firstLine="2530" w:firstLineChars="300"/>
        <w:jc w:val="both"/>
        <w:rPr>
          <w:rFonts w:hint="eastAsia" w:eastAsia="宋体"/>
          <w:color w:val="auto"/>
          <w:highlight w:val="none"/>
          <w:lang w:eastAsia="zh-CN"/>
        </w:rPr>
      </w:pPr>
      <w:r>
        <w:rPr>
          <w:rFonts w:hint="eastAsia" w:ascii="宋体" w:hAnsi="宋体" w:cs="宋体"/>
          <w:b/>
          <w:color w:val="auto"/>
          <w:sz w:val="84"/>
          <w:highlight w:val="none"/>
          <w:lang w:eastAsia="zh-CN"/>
        </w:rPr>
        <w:t>（</w:t>
      </w:r>
      <w:r>
        <w:rPr>
          <w:rFonts w:hint="eastAsia" w:ascii="宋体" w:hAnsi="宋体" w:cs="宋体"/>
          <w:b/>
          <w:color w:val="auto"/>
          <w:sz w:val="84"/>
          <w:highlight w:val="none"/>
          <w:lang w:val="en-US" w:eastAsia="zh-CN"/>
        </w:rPr>
        <w:t>国企采购</w:t>
      </w:r>
      <w:r>
        <w:rPr>
          <w:rFonts w:hint="eastAsia" w:ascii="宋体" w:hAnsi="宋体" w:cs="宋体"/>
          <w:b/>
          <w:color w:val="auto"/>
          <w:sz w:val="84"/>
          <w:highlight w:val="none"/>
          <w:lang w:eastAsia="zh-CN"/>
        </w:rPr>
        <w:t>）</w:t>
      </w:r>
    </w:p>
    <w:p w14:paraId="533BD562">
      <w:pPr>
        <w:pStyle w:val="4"/>
        <w:ind w:left="0" w:leftChars="0" w:firstLine="0" w:firstLineChars="0"/>
        <w:rPr>
          <w:color w:val="auto"/>
          <w:highlight w:val="none"/>
        </w:rPr>
      </w:pPr>
    </w:p>
    <w:p w14:paraId="21D0D8D9">
      <w:pPr>
        <w:rPr>
          <w:color w:val="auto"/>
          <w:highlight w:val="none"/>
        </w:rPr>
      </w:pPr>
    </w:p>
    <w:p w14:paraId="49A0D520">
      <w:pPr>
        <w:keepNext w:val="0"/>
        <w:keepLines w:val="0"/>
        <w:pageBreakBefore w:val="0"/>
        <w:widowControl w:val="0"/>
        <w:kinsoku/>
        <w:wordWrap/>
        <w:overflowPunct/>
        <w:topLinePunct w:val="0"/>
        <w:autoSpaceDE w:val="0"/>
        <w:autoSpaceDN w:val="0"/>
        <w:bidi w:val="0"/>
        <w:adjustRightInd/>
        <w:snapToGrid/>
        <w:spacing w:line="1400" w:lineRule="exact"/>
        <w:textAlignment w:val="bottom"/>
        <w:outlineLvl w:val="0"/>
        <w:rPr>
          <w:rFonts w:hint="eastAsia" w:ascii="宋体" w:hAnsi="宋体" w:eastAsia="宋体" w:cs="宋体"/>
          <w:b/>
          <w:color w:val="auto"/>
          <w:sz w:val="36"/>
          <w:highlight w:val="none"/>
          <w:lang w:eastAsia="zh-CN"/>
        </w:rPr>
      </w:pPr>
      <w:bookmarkStart w:id="2" w:name="_Toc2317"/>
      <w:bookmarkStart w:id="3" w:name="_Toc6358"/>
      <w:r>
        <w:rPr>
          <w:rFonts w:hint="eastAsia" w:ascii="宋体" w:hAnsi="宋体" w:cs="宋体"/>
          <w:b/>
          <w:color w:val="auto"/>
          <w:sz w:val="36"/>
          <w:highlight w:val="none"/>
        </w:rPr>
        <w:t xml:space="preserve">项目编号: </w:t>
      </w:r>
      <w:bookmarkEnd w:id="2"/>
      <w:bookmarkEnd w:id="3"/>
      <w:r>
        <w:rPr>
          <w:rFonts w:hint="eastAsia" w:ascii="宋体" w:hAnsi="宋体" w:cs="宋体"/>
          <w:b/>
          <w:color w:val="auto"/>
          <w:sz w:val="36"/>
          <w:highlight w:val="none"/>
          <w:lang w:eastAsia="zh-CN"/>
        </w:rPr>
        <w:t>浙大采招E2024055号</w:t>
      </w:r>
    </w:p>
    <w:p w14:paraId="07AD1E47">
      <w:pPr>
        <w:keepNext w:val="0"/>
        <w:keepLines w:val="0"/>
        <w:pageBreakBefore w:val="0"/>
        <w:widowControl w:val="0"/>
        <w:kinsoku/>
        <w:wordWrap/>
        <w:overflowPunct/>
        <w:topLinePunct w:val="0"/>
        <w:autoSpaceDE w:val="0"/>
        <w:autoSpaceDN w:val="0"/>
        <w:bidi w:val="0"/>
        <w:adjustRightInd/>
        <w:snapToGrid/>
        <w:spacing w:line="1400" w:lineRule="exact"/>
        <w:ind w:left="1807" w:leftChars="0" w:hanging="1807" w:hangingChars="500"/>
        <w:textAlignment w:val="bottom"/>
        <w:outlineLvl w:val="0"/>
        <w:rPr>
          <w:rFonts w:hint="default" w:ascii="宋体" w:hAnsi="宋体" w:cs="宋体"/>
          <w:b/>
          <w:color w:val="auto"/>
          <w:sz w:val="20"/>
          <w:szCs w:val="15"/>
          <w:highlight w:val="none"/>
          <w:lang w:val="en-US"/>
        </w:rPr>
      </w:pPr>
      <w:bookmarkStart w:id="4" w:name="_Toc15310"/>
      <w:bookmarkStart w:id="5" w:name="_Toc23201"/>
      <w:r>
        <w:rPr>
          <w:rFonts w:hint="eastAsia" w:ascii="宋体" w:hAnsi="宋体" w:cs="宋体"/>
          <w:b/>
          <w:color w:val="auto"/>
          <w:sz w:val="36"/>
          <w:highlight w:val="none"/>
        </w:rPr>
        <w:t>项目名称：</w:t>
      </w:r>
      <w:bookmarkEnd w:id="4"/>
      <w:bookmarkEnd w:id="5"/>
      <w:bookmarkStart w:id="6" w:name="_Toc12921"/>
      <w:bookmarkStart w:id="7" w:name="_Toc12093"/>
      <w:r>
        <w:rPr>
          <w:rFonts w:hint="eastAsia" w:ascii="宋体" w:hAnsi="宋体" w:cs="宋体"/>
          <w:b/>
          <w:color w:val="auto"/>
          <w:sz w:val="36"/>
          <w:highlight w:val="none"/>
          <w:lang w:eastAsia="zh-CN"/>
        </w:rPr>
        <w:t>云和县白水区块商住项目房产代销项目（</w:t>
      </w:r>
      <w:r>
        <w:rPr>
          <w:rFonts w:hint="eastAsia" w:ascii="宋体" w:hAnsi="宋体" w:cs="宋体"/>
          <w:b/>
          <w:color w:val="auto"/>
          <w:sz w:val="36"/>
          <w:highlight w:val="none"/>
          <w:lang w:val="en-US" w:eastAsia="zh-CN"/>
        </w:rPr>
        <w:t>第三次）</w:t>
      </w:r>
    </w:p>
    <w:p w14:paraId="075CACDC">
      <w:pPr>
        <w:keepNext w:val="0"/>
        <w:keepLines w:val="0"/>
        <w:pageBreakBefore w:val="0"/>
        <w:widowControl w:val="0"/>
        <w:kinsoku/>
        <w:wordWrap/>
        <w:overflowPunct/>
        <w:topLinePunct w:val="0"/>
        <w:autoSpaceDE w:val="0"/>
        <w:autoSpaceDN w:val="0"/>
        <w:bidi w:val="0"/>
        <w:adjustRightInd/>
        <w:snapToGrid/>
        <w:spacing w:line="1400" w:lineRule="exact"/>
        <w:textAlignment w:val="bottom"/>
        <w:outlineLvl w:val="0"/>
        <w:rPr>
          <w:rFonts w:ascii="宋体" w:hAnsi="宋体" w:cs="宋体"/>
          <w:b/>
          <w:color w:val="auto"/>
          <w:sz w:val="36"/>
          <w:highlight w:val="none"/>
        </w:rPr>
      </w:pPr>
      <w:r>
        <w:rPr>
          <w:rFonts w:hint="eastAsia" w:ascii="宋体" w:hAnsi="宋体" w:cs="宋体"/>
          <w:b/>
          <w:color w:val="auto"/>
          <w:sz w:val="36"/>
          <w:highlight w:val="none"/>
        </w:rPr>
        <w:t>采购方式：</w:t>
      </w:r>
      <w:bookmarkEnd w:id="6"/>
      <w:bookmarkEnd w:id="7"/>
      <w:r>
        <w:rPr>
          <w:rFonts w:hint="eastAsia" w:ascii="宋体" w:hAnsi="宋体" w:cs="宋体"/>
          <w:b/>
          <w:color w:val="auto"/>
          <w:sz w:val="36"/>
          <w:highlight w:val="none"/>
        </w:rPr>
        <w:t>公开招标</w:t>
      </w:r>
    </w:p>
    <w:p w14:paraId="15BA2A64">
      <w:pPr>
        <w:keepNext w:val="0"/>
        <w:keepLines w:val="0"/>
        <w:pageBreakBefore w:val="0"/>
        <w:widowControl w:val="0"/>
        <w:kinsoku/>
        <w:wordWrap/>
        <w:overflowPunct/>
        <w:topLinePunct w:val="0"/>
        <w:autoSpaceDE w:val="0"/>
        <w:autoSpaceDN w:val="0"/>
        <w:bidi w:val="0"/>
        <w:adjustRightInd/>
        <w:snapToGrid/>
        <w:spacing w:line="1400" w:lineRule="exact"/>
        <w:textAlignment w:val="bottom"/>
        <w:outlineLvl w:val="0"/>
        <w:rPr>
          <w:rFonts w:hint="eastAsia" w:ascii="宋体" w:hAnsi="宋体" w:eastAsia="宋体" w:cs="宋体"/>
          <w:b/>
          <w:color w:val="auto"/>
          <w:sz w:val="36"/>
          <w:highlight w:val="none"/>
          <w:lang w:eastAsia="zh-CN"/>
        </w:rPr>
      </w:pPr>
      <w:bookmarkStart w:id="8" w:name="_Toc4000"/>
      <w:bookmarkStart w:id="9" w:name="_Toc16171"/>
      <w:r>
        <w:rPr>
          <w:rFonts w:hint="eastAsia" w:ascii="宋体" w:hAnsi="宋体" w:cs="宋体"/>
          <w:b/>
          <w:color w:val="auto"/>
          <w:sz w:val="36"/>
          <w:highlight w:val="none"/>
        </w:rPr>
        <w:t>采 购 人：</w:t>
      </w:r>
      <w:bookmarkEnd w:id="8"/>
      <w:bookmarkEnd w:id="9"/>
      <w:r>
        <w:rPr>
          <w:rFonts w:hint="eastAsia" w:ascii="宋体" w:hAnsi="宋体" w:cs="宋体"/>
          <w:b/>
          <w:color w:val="auto"/>
          <w:sz w:val="36"/>
          <w:highlight w:val="none"/>
          <w:lang w:eastAsia="zh-CN"/>
        </w:rPr>
        <w:t>云和县城市建设投资集团有限公司</w:t>
      </w:r>
    </w:p>
    <w:p w14:paraId="7D8AC60A">
      <w:pPr>
        <w:keepNext w:val="0"/>
        <w:keepLines w:val="0"/>
        <w:pageBreakBefore w:val="0"/>
        <w:widowControl w:val="0"/>
        <w:kinsoku/>
        <w:wordWrap/>
        <w:overflowPunct/>
        <w:topLinePunct w:val="0"/>
        <w:autoSpaceDE w:val="0"/>
        <w:autoSpaceDN w:val="0"/>
        <w:bidi w:val="0"/>
        <w:adjustRightInd/>
        <w:snapToGrid/>
        <w:spacing w:line="1400" w:lineRule="exact"/>
        <w:textAlignment w:val="bottom"/>
        <w:outlineLvl w:val="0"/>
        <w:rPr>
          <w:rFonts w:ascii="宋体" w:hAnsi="宋体" w:cs="宋体"/>
          <w:b/>
          <w:color w:val="auto"/>
          <w:sz w:val="36"/>
          <w:highlight w:val="none"/>
        </w:rPr>
      </w:pPr>
      <w:bookmarkStart w:id="10" w:name="_Toc2279"/>
      <w:bookmarkStart w:id="11" w:name="_Toc3904"/>
      <w:r>
        <w:rPr>
          <w:rFonts w:hint="eastAsia" w:ascii="宋体" w:hAnsi="宋体" w:cs="宋体"/>
          <w:b/>
          <w:color w:val="auto"/>
          <w:sz w:val="36"/>
          <w:highlight w:val="none"/>
        </w:rPr>
        <w:t>招标代理机构：浙江大兴建设项目管理咨询有限公司</w:t>
      </w:r>
      <w:bookmarkEnd w:id="10"/>
      <w:bookmarkEnd w:id="11"/>
      <w:r>
        <w:rPr>
          <w:rFonts w:hint="eastAsia" w:ascii="宋体" w:hAnsi="宋体" w:cs="宋体"/>
          <w:b/>
          <w:color w:val="auto"/>
          <w:sz w:val="36"/>
          <w:highlight w:val="none"/>
        </w:rPr>
        <w:t xml:space="preserve"> </w:t>
      </w:r>
    </w:p>
    <w:p w14:paraId="39B686B0">
      <w:pPr>
        <w:keepNext w:val="0"/>
        <w:keepLines w:val="0"/>
        <w:pageBreakBefore w:val="0"/>
        <w:widowControl w:val="0"/>
        <w:kinsoku/>
        <w:wordWrap/>
        <w:overflowPunct/>
        <w:topLinePunct w:val="0"/>
        <w:autoSpaceDE w:val="0"/>
        <w:autoSpaceDN w:val="0"/>
        <w:bidi w:val="0"/>
        <w:adjustRightInd/>
        <w:snapToGrid/>
        <w:spacing w:line="1400" w:lineRule="exact"/>
        <w:jc w:val="left"/>
        <w:textAlignment w:val="bottom"/>
        <w:outlineLvl w:val="0"/>
        <w:rPr>
          <w:rFonts w:ascii="宋体" w:hAnsi="宋体" w:cs="宋体"/>
          <w:b/>
          <w:color w:val="auto"/>
          <w:sz w:val="36"/>
          <w:highlight w:val="none"/>
        </w:rPr>
      </w:pPr>
      <w:r>
        <w:rPr>
          <w:rFonts w:hint="eastAsia" w:ascii="宋体" w:hAnsi="宋体" w:cs="宋体"/>
          <w:b/>
          <w:color w:val="auto"/>
          <w:sz w:val="36"/>
          <w:highlight w:val="none"/>
          <w:lang w:eastAsia="zh-CN"/>
        </w:rPr>
        <w:t>编</w:t>
      </w:r>
      <w:r>
        <w:rPr>
          <w:rFonts w:hint="eastAsia" w:ascii="宋体" w:hAnsi="宋体" w:cs="宋体"/>
          <w:b/>
          <w:color w:val="auto"/>
          <w:sz w:val="36"/>
          <w:highlight w:val="none"/>
          <w:lang w:val="en-US" w:eastAsia="zh-CN"/>
        </w:rPr>
        <w:t xml:space="preserve"> </w:t>
      </w:r>
      <w:r>
        <w:rPr>
          <w:rFonts w:hint="eastAsia" w:ascii="宋体" w:hAnsi="宋体" w:cs="宋体"/>
          <w:b/>
          <w:color w:val="auto"/>
          <w:sz w:val="36"/>
          <w:highlight w:val="none"/>
          <w:lang w:eastAsia="zh-CN"/>
        </w:rPr>
        <w:t>制</w:t>
      </w:r>
      <w:r>
        <w:rPr>
          <w:rFonts w:hint="eastAsia" w:ascii="宋体" w:hAnsi="宋体" w:cs="宋体"/>
          <w:b/>
          <w:color w:val="auto"/>
          <w:sz w:val="36"/>
          <w:highlight w:val="none"/>
          <w:lang w:val="en-US" w:eastAsia="zh-CN"/>
        </w:rPr>
        <w:t xml:space="preserve"> </w:t>
      </w:r>
      <w:r>
        <w:rPr>
          <w:rFonts w:hint="eastAsia" w:ascii="宋体" w:hAnsi="宋体" w:cs="宋体"/>
          <w:b/>
          <w:color w:val="auto"/>
          <w:sz w:val="36"/>
          <w:highlight w:val="none"/>
        </w:rPr>
        <w:t>日 期：二〇二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rPr>
        <w:t>年</w:t>
      </w:r>
      <w:r>
        <w:rPr>
          <w:rFonts w:hint="eastAsia" w:ascii="宋体" w:hAnsi="宋体" w:cs="宋体"/>
          <w:b/>
          <w:color w:val="auto"/>
          <w:sz w:val="36"/>
          <w:highlight w:val="none"/>
          <w:lang w:val="en-US" w:eastAsia="zh-CN"/>
        </w:rPr>
        <w:t>十</w:t>
      </w:r>
      <w:r>
        <w:rPr>
          <w:rFonts w:hint="eastAsia" w:ascii="宋体" w:hAnsi="宋体" w:cs="宋体"/>
          <w:b/>
          <w:color w:val="auto"/>
          <w:sz w:val="36"/>
          <w:highlight w:val="none"/>
        </w:rPr>
        <w:t>月</w:t>
      </w:r>
    </w:p>
    <w:p w14:paraId="4E7FE085">
      <w:pPr>
        <w:rPr>
          <w:color w:val="auto"/>
          <w:highlight w:val="none"/>
        </w:rPr>
      </w:pPr>
    </w:p>
    <w:p w14:paraId="05A032FB">
      <w:pPr>
        <w:pStyle w:val="22"/>
        <w:rPr>
          <w:color w:val="auto"/>
          <w:highlight w:val="none"/>
        </w:rPr>
      </w:pPr>
    </w:p>
    <w:p w14:paraId="5FBCA316">
      <w:pPr>
        <w:rPr>
          <w:color w:val="auto"/>
          <w:highlight w:val="none"/>
        </w:rPr>
      </w:pPr>
    </w:p>
    <w:p w14:paraId="34D3750D">
      <w:pPr>
        <w:pStyle w:val="22"/>
        <w:rPr>
          <w:color w:val="auto"/>
          <w:highlight w:val="none"/>
        </w:rPr>
      </w:pPr>
    </w:p>
    <w:p w14:paraId="64811412">
      <w:pPr>
        <w:rPr>
          <w:color w:val="auto"/>
          <w:highlight w:val="none"/>
        </w:rPr>
        <w:sectPr>
          <w:headerReference r:id="rId3" w:type="default"/>
          <w:footerReference r:id="rId4" w:type="default"/>
          <w:pgSz w:w="11906" w:h="16838"/>
          <w:pgMar w:top="1276" w:right="1020" w:bottom="1276" w:left="1134" w:header="851" w:footer="992" w:gutter="0"/>
          <w:pgBorders>
            <w:top w:val="none" w:sz="0" w:space="0"/>
            <w:left w:val="none" w:sz="0" w:space="0"/>
            <w:bottom w:val="none" w:sz="0" w:space="0"/>
            <w:right w:val="none" w:sz="0" w:space="0"/>
          </w:pgBorders>
          <w:pgNumType w:start="1"/>
          <w:cols w:space="720" w:num="1"/>
          <w:titlePg/>
          <w:docGrid w:linePitch="312" w:charSpace="0"/>
        </w:sectPr>
      </w:pPr>
    </w:p>
    <w:p w14:paraId="719518DB">
      <w:pPr>
        <w:pStyle w:val="22"/>
        <w:rPr>
          <w:color w:val="auto"/>
          <w:highlight w:val="none"/>
        </w:rPr>
      </w:pPr>
    </w:p>
    <w:p w14:paraId="0CFC7FFC">
      <w:pPr>
        <w:pStyle w:val="22"/>
        <w:rPr>
          <w:color w:val="auto"/>
          <w:highlight w:val="none"/>
        </w:rPr>
      </w:pPr>
    </w:p>
    <w:p w14:paraId="4CBD11F0">
      <w:pPr>
        <w:jc w:val="center"/>
        <w:rPr>
          <w:rFonts w:ascii="宋体" w:hAnsi="宋体"/>
          <w:b/>
          <w:bCs/>
          <w:color w:val="auto"/>
          <w:sz w:val="32"/>
          <w:szCs w:val="32"/>
          <w:highlight w:val="none"/>
        </w:rPr>
      </w:pPr>
      <w:r>
        <w:rPr>
          <w:rFonts w:ascii="宋体" w:hAnsi="宋体"/>
          <w:b/>
          <w:bCs/>
          <w:color w:val="auto"/>
          <w:sz w:val="32"/>
          <w:szCs w:val="32"/>
          <w:highlight w:val="none"/>
        </w:rPr>
        <w:t>目</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 xml:space="preserve"> </w:t>
      </w:r>
      <w:r>
        <w:rPr>
          <w:rFonts w:ascii="宋体" w:hAnsi="宋体"/>
          <w:b/>
          <w:bCs/>
          <w:color w:val="auto"/>
          <w:sz w:val="32"/>
          <w:szCs w:val="32"/>
          <w:highlight w:val="none"/>
        </w:rPr>
        <w:t>录</w:t>
      </w:r>
    </w:p>
    <w:p w14:paraId="40DFB1EA">
      <w:pPr>
        <w:pStyle w:val="20"/>
        <w:rPr>
          <w:rFonts w:ascii="宋体" w:hAnsi="宋体"/>
          <w:b/>
          <w:bCs/>
          <w:color w:val="auto"/>
          <w:sz w:val="32"/>
          <w:szCs w:val="32"/>
          <w:highlight w:val="none"/>
        </w:rPr>
      </w:pPr>
    </w:p>
    <w:p w14:paraId="763342AB">
      <w:pPr>
        <w:rPr>
          <w:color w:val="auto"/>
          <w:highlight w:val="none"/>
        </w:rPr>
      </w:pPr>
    </w:p>
    <w:p w14:paraId="0DE2E422">
      <w:pPr>
        <w:pStyle w:val="37"/>
        <w:tabs>
          <w:tab w:val="right" w:leader="dot" w:pos="9752"/>
          <w:tab w:val="clear" w:pos="1470"/>
          <w:tab w:val="clear" w:pos="9016"/>
        </w:tabs>
        <w:spacing w:line="720" w:lineRule="auto"/>
        <w:rPr>
          <w:color w:val="auto"/>
          <w:sz w:val="28"/>
          <w:szCs w:val="28"/>
          <w:highlight w:val="none"/>
        </w:rPr>
      </w:pPr>
      <w:r>
        <w:rPr>
          <w:rFonts w:hint="eastAsia" w:eastAsia="宋体" w:cs="宋体"/>
          <w:bCs/>
          <w:color w:val="auto"/>
          <w:sz w:val="28"/>
          <w:szCs w:val="28"/>
          <w:highlight w:val="none"/>
        </w:rPr>
        <w:fldChar w:fldCharType="begin"/>
      </w:r>
      <w:r>
        <w:rPr>
          <w:rFonts w:hint="eastAsia" w:eastAsia="宋体" w:cs="宋体"/>
          <w:bCs/>
          <w:color w:val="auto"/>
          <w:sz w:val="28"/>
          <w:szCs w:val="28"/>
          <w:highlight w:val="none"/>
        </w:rPr>
        <w:instrText xml:space="preserve">TOC \o "1-1" \h \u </w:instrText>
      </w:r>
      <w:r>
        <w:rPr>
          <w:rFonts w:hint="eastAsia" w:eastAsia="宋体" w:cs="宋体"/>
          <w:bCs/>
          <w:color w:val="auto"/>
          <w:sz w:val="28"/>
          <w:szCs w:val="28"/>
          <w:highlight w:val="none"/>
        </w:rPr>
        <w:fldChar w:fldCharType="separate"/>
      </w:r>
      <w:r>
        <w:rPr>
          <w:color w:val="auto"/>
          <w:highlight w:val="none"/>
        </w:rPr>
        <w:fldChar w:fldCharType="begin"/>
      </w:r>
      <w:r>
        <w:rPr>
          <w:color w:val="auto"/>
          <w:highlight w:val="none"/>
        </w:rPr>
        <w:instrText xml:space="preserve"> HYPERLINK \l "_Toc6633" </w:instrText>
      </w:r>
      <w:r>
        <w:rPr>
          <w:color w:val="auto"/>
          <w:highlight w:val="none"/>
        </w:rPr>
        <w:fldChar w:fldCharType="separate"/>
      </w:r>
      <w:r>
        <w:rPr>
          <w:rFonts w:hint="eastAsia" w:eastAsia="宋体" w:cs="宋体"/>
          <w:bCs/>
          <w:color w:val="auto"/>
          <w:sz w:val="28"/>
          <w:szCs w:val="28"/>
          <w:highlight w:val="none"/>
        </w:rPr>
        <w:t>第一章 公开招标公告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_Toc6633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4D4B455B">
      <w:pPr>
        <w:pStyle w:val="37"/>
        <w:tabs>
          <w:tab w:val="right" w:leader="dot" w:pos="9752"/>
          <w:tab w:val="clear" w:pos="1470"/>
          <w:tab w:val="clear" w:pos="9016"/>
        </w:tabs>
        <w:spacing w:line="720" w:lineRule="auto"/>
        <w:rPr>
          <w:color w:val="auto"/>
          <w:sz w:val="28"/>
          <w:szCs w:val="28"/>
          <w:highlight w:val="none"/>
        </w:rPr>
      </w:pPr>
      <w:r>
        <w:rPr>
          <w:color w:val="auto"/>
          <w:highlight w:val="none"/>
        </w:rPr>
        <w:fldChar w:fldCharType="begin"/>
      </w:r>
      <w:r>
        <w:rPr>
          <w:color w:val="auto"/>
          <w:highlight w:val="none"/>
        </w:rPr>
        <w:instrText xml:space="preserve"> HYPERLINK \l "_Toc9012" </w:instrText>
      </w:r>
      <w:r>
        <w:rPr>
          <w:color w:val="auto"/>
          <w:highlight w:val="none"/>
        </w:rPr>
        <w:fldChar w:fldCharType="separate"/>
      </w:r>
      <w:r>
        <w:rPr>
          <w:rFonts w:hint="eastAsia" w:eastAsia="宋体" w:cs="宋体"/>
          <w:bCs/>
          <w:color w:val="auto"/>
          <w:sz w:val="28"/>
          <w:szCs w:val="28"/>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_Toc9012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7F51A9D6">
      <w:pPr>
        <w:pStyle w:val="37"/>
        <w:tabs>
          <w:tab w:val="right" w:leader="dot" w:pos="9752"/>
          <w:tab w:val="clear" w:pos="1470"/>
          <w:tab w:val="clear" w:pos="9016"/>
        </w:tabs>
        <w:spacing w:line="720" w:lineRule="auto"/>
        <w:rPr>
          <w:color w:val="auto"/>
          <w:sz w:val="28"/>
          <w:szCs w:val="28"/>
          <w:highlight w:val="none"/>
        </w:rPr>
      </w:pPr>
      <w:r>
        <w:rPr>
          <w:color w:val="auto"/>
          <w:highlight w:val="none"/>
        </w:rPr>
        <w:fldChar w:fldCharType="begin"/>
      </w:r>
      <w:r>
        <w:rPr>
          <w:color w:val="auto"/>
          <w:highlight w:val="none"/>
        </w:rPr>
        <w:instrText xml:space="preserve"> HYPERLINK \l "_Toc32143" </w:instrText>
      </w:r>
      <w:r>
        <w:rPr>
          <w:color w:val="auto"/>
          <w:highlight w:val="none"/>
        </w:rPr>
        <w:fldChar w:fldCharType="separate"/>
      </w:r>
      <w:r>
        <w:rPr>
          <w:rFonts w:hint="eastAsia" w:eastAsia="宋体" w:cs="宋体"/>
          <w:bCs/>
          <w:color w:val="auto"/>
          <w:sz w:val="28"/>
          <w:szCs w:val="28"/>
          <w:highlight w:val="none"/>
        </w:rPr>
        <w:t>第三章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_Toc32143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28"/>
          <w:highlight w:val="none"/>
        </w:rPr>
        <w:fldChar w:fldCharType="end"/>
      </w:r>
    </w:p>
    <w:p w14:paraId="2D18D329">
      <w:pPr>
        <w:pStyle w:val="37"/>
        <w:tabs>
          <w:tab w:val="right" w:leader="dot" w:pos="9752"/>
          <w:tab w:val="clear" w:pos="1470"/>
          <w:tab w:val="clear" w:pos="9016"/>
        </w:tabs>
        <w:spacing w:line="720" w:lineRule="auto"/>
        <w:rPr>
          <w:color w:val="auto"/>
          <w:sz w:val="28"/>
          <w:szCs w:val="28"/>
          <w:highlight w:val="none"/>
        </w:rPr>
      </w:pPr>
      <w:r>
        <w:rPr>
          <w:color w:val="auto"/>
          <w:highlight w:val="none"/>
        </w:rPr>
        <w:fldChar w:fldCharType="begin"/>
      </w:r>
      <w:r>
        <w:rPr>
          <w:color w:val="auto"/>
          <w:highlight w:val="none"/>
        </w:rPr>
        <w:instrText xml:space="preserve"> HYPERLINK \l "_Toc29235" </w:instrText>
      </w:r>
      <w:r>
        <w:rPr>
          <w:color w:val="auto"/>
          <w:highlight w:val="none"/>
        </w:rPr>
        <w:fldChar w:fldCharType="separate"/>
      </w:r>
      <w:r>
        <w:rPr>
          <w:rFonts w:hint="eastAsia" w:eastAsia="宋体" w:cs="宋体"/>
          <w:bCs/>
          <w:color w:val="auto"/>
          <w:sz w:val="28"/>
          <w:szCs w:val="28"/>
          <w:highlight w:val="none"/>
        </w:rPr>
        <w:t>第四章 拟签订的采购合同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_Toc29235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14:paraId="7A3BF5E0">
      <w:pPr>
        <w:pStyle w:val="37"/>
        <w:tabs>
          <w:tab w:val="right" w:leader="dot" w:pos="9752"/>
          <w:tab w:val="clear" w:pos="1470"/>
          <w:tab w:val="clear" w:pos="9016"/>
        </w:tabs>
        <w:spacing w:line="720" w:lineRule="auto"/>
        <w:rPr>
          <w:color w:val="auto"/>
          <w:sz w:val="28"/>
          <w:szCs w:val="28"/>
          <w:highlight w:val="none"/>
        </w:rPr>
      </w:pPr>
      <w:r>
        <w:rPr>
          <w:color w:val="auto"/>
          <w:highlight w:val="none"/>
        </w:rPr>
        <w:fldChar w:fldCharType="begin"/>
      </w:r>
      <w:r>
        <w:rPr>
          <w:color w:val="auto"/>
          <w:highlight w:val="none"/>
        </w:rPr>
        <w:instrText xml:space="preserve"> HYPERLINK \l "_Toc19710" </w:instrText>
      </w:r>
      <w:r>
        <w:rPr>
          <w:color w:val="auto"/>
          <w:highlight w:val="none"/>
        </w:rPr>
        <w:fldChar w:fldCharType="separate"/>
      </w:r>
      <w:r>
        <w:rPr>
          <w:rFonts w:hint="eastAsia" w:eastAsia="宋体" w:cs="宋体"/>
          <w:color w:val="auto"/>
          <w:sz w:val="28"/>
          <w:szCs w:val="28"/>
          <w:highlight w:val="none"/>
        </w:rPr>
        <w:t>第五章 投标相关文件格式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_Toc19710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color w:val="auto"/>
          <w:sz w:val="28"/>
          <w:szCs w:val="28"/>
          <w:highlight w:val="none"/>
        </w:rPr>
        <w:fldChar w:fldCharType="end"/>
      </w:r>
    </w:p>
    <w:p w14:paraId="7261B6AE">
      <w:pPr>
        <w:pStyle w:val="37"/>
        <w:tabs>
          <w:tab w:val="right" w:leader="dot" w:pos="9752"/>
          <w:tab w:val="clear" w:pos="1470"/>
          <w:tab w:val="clear" w:pos="9016"/>
        </w:tabs>
        <w:spacing w:line="720" w:lineRule="auto"/>
        <w:rPr>
          <w:color w:val="auto"/>
          <w:sz w:val="28"/>
          <w:szCs w:val="28"/>
          <w:highlight w:val="none"/>
        </w:rPr>
      </w:pPr>
      <w:r>
        <w:rPr>
          <w:color w:val="auto"/>
          <w:highlight w:val="none"/>
        </w:rPr>
        <w:fldChar w:fldCharType="begin"/>
      </w:r>
      <w:r>
        <w:rPr>
          <w:color w:val="auto"/>
          <w:highlight w:val="none"/>
        </w:rPr>
        <w:instrText xml:space="preserve"> HYPERLINK \l "_Toc31126" </w:instrText>
      </w:r>
      <w:r>
        <w:rPr>
          <w:color w:val="auto"/>
          <w:highlight w:val="none"/>
        </w:rPr>
        <w:fldChar w:fldCharType="separate"/>
      </w:r>
      <w:r>
        <w:rPr>
          <w:rFonts w:hint="eastAsia" w:eastAsia="宋体" w:cs="宋体"/>
          <w:color w:val="auto"/>
          <w:sz w:val="28"/>
          <w:szCs w:val="28"/>
          <w:highlight w:val="none"/>
        </w:rPr>
        <w:t>第六章 评标办法和细则（综合评分法）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_Toc31126 \h </w:instrText>
      </w:r>
      <w:r>
        <w:rPr>
          <w:color w:val="auto"/>
          <w:sz w:val="28"/>
          <w:szCs w:val="28"/>
          <w:highlight w:val="none"/>
        </w:rPr>
        <w:fldChar w:fldCharType="separate"/>
      </w:r>
      <w:r>
        <w:rPr>
          <w:color w:val="auto"/>
          <w:sz w:val="28"/>
          <w:szCs w:val="28"/>
          <w:highlight w:val="none"/>
        </w:rPr>
        <w:t>51</w:t>
      </w:r>
      <w:r>
        <w:rPr>
          <w:color w:val="auto"/>
          <w:sz w:val="28"/>
          <w:szCs w:val="28"/>
          <w:highlight w:val="none"/>
        </w:rPr>
        <w:fldChar w:fldCharType="end"/>
      </w:r>
      <w:r>
        <w:rPr>
          <w:color w:val="auto"/>
          <w:sz w:val="28"/>
          <w:szCs w:val="28"/>
          <w:highlight w:val="none"/>
        </w:rPr>
        <w:fldChar w:fldCharType="end"/>
      </w:r>
    </w:p>
    <w:p w14:paraId="685AA457">
      <w:pPr>
        <w:spacing w:line="720" w:lineRule="auto"/>
        <w:jc w:val="center"/>
        <w:rPr>
          <w:rFonts w:ascii="宋体" w:hAnsi="宋体" w:cs="宋体"/>
          <w:bCs/>
          <w:color w:val="auto"/>
          <w:sz w:val="28"/>
          <w:szCs w:val="28"/>
          <w:highlight w:val="none"/>
        </w:rPr>
      </w:pPr>
      <w:r>
        <w:rPr>
          <w:rFonts w:hint="eastAsia" w:ascii="宋体" w:hAnsi="宋体" w:cs="宋体"/>
          <w:bCs/>
          <w:color w:val="auto"/>
          <w:sz w:val="28"/>
          <w:szCs w:val="28"/>
          <w:highlight w:val="none"/>
        </w:rPr>
        <w:fldChar w:fldCharType="end"/>
      </w:r>
    </w:p>
    <w:p w14:paraId="34000392">
      <w:pPr>
        <w:pStyle w:val="22"/>
        <w:spacing w:line="720" w:lineRule="auto"/>
        <w:rPr>
          <w:rFonts w:ascii="宋体" w:hAnsi="宋体" w:cs="宋体"/>
          <w:bCs/>
          <w:color w:val="auto"/>
          <w:szCs w:val="28"/>
          <w:highlight w:val="none"/>
        </w:rPr>
      </w:pPr>
    </w:p>
    <w:p w14:paraId="41683D0A">
      <w:pPr>
        <w:rPr>
          <w:rFonts w:ascii="宋体" w:hAnsi="宋体" w:cs="宋体"/>
          <w:bCs/>
          <w:color w:val="auto"/>
          <w:szCs w:val="32"/>
          <w:highlight w:val="none"/>
        </w:rPr>
      </w:pPr>
    </w:p>
    <w:p w14:paraId="50E24F6B">
      <w:pPr>
        <w:pStyle w:val="22"/>
        <w:rPr>
          <w:rFonts w:ascii="宋体" w:hAnsi="宋体" w:cs="宋体"/>
          <w:bCs/>
          <w:color w:val="auto"/>
          <w:szCs w:val="32"/>
          <w:highlight w:val="none"/>
        </w:rPr>
      </w:pPr>
    </w:p>
    <w:p w14:paraId="660B39C5">
      <w:pPr>
        <w:rPr>
          <w:rFonts w:ascii="宋体" w:hAnsi="宋体" w:cs="宋体"/>
          <w:bCs/>
          <w:color w:val="auto"/>
          <w:szCs w:val="32"/>
          <w:highlight w:val="none"/>
        </w:rPr>
      </w:pPr>
    </w:p>
    <w:p w14:paraId="16A91842">
      <w:pPr>
        <w:pStyle w:val="22"/>
        <w:rPr>
          <w:rFonts w:ascii="宋体" w:hAnsi="宋体" w:cs="宋体"/>
          <w:bCs/>
          <w:color w:val="auto"/>
          <w:szCs w:val="32"/>
          <w:highlight w:val="none"/>
        </w:rPr>
      </w:pPr>
    </w:p>
    <w:p w14:paraId="01200D51">
      <w:pPr>
        <w:rPr>
          <w:color w:val="auto"/>
          <w:highlight w:val="none"/>
        </w:rPr>
      </w:pPr>
    </w:p>
    <w:p w14:paraId="59624679">
      <w:pPr>
        <w:rPr>
          <w:rFonts w:ascii="宋体" w:hAnsi="宋体" w:cs="宋体"/>
          <w:bCs/>
          <w:color w:val="auto"/>
          <w:szCs w:val="32"/>
          <w:highlight w:val="none"/>
        </w:rPr>
      </w:pPr>
    </w:p>
    <w:p w14:paraId="38ADEF7F">
      <w:pPr>
        <w:pStyle w:val="22"/>
        <w:rPr>
          <w:rFonts w:ascii="宋体" w:hAnsi="宋体" w:cs="宋体"/>
          <w:bCs/>
          <w:color w:val="auto"/>
          <w:szCs w:val="32"/>
          <w:highlight w:val="none"/>
        </w:rPr>
      </w:pPr>
    </w:p>
    <w:p w14:paraId="7CE216AF">
      <w:pPr>
        <w:rPr>
          <w:rFonts w:ascii="宋体" w:hAnsi="宋体" w:cs="宋体"/>
          <w:bCs/>
          <w:color w:val="auto"/>
          <w:szCs w:val="32"/>
          <w:highlight w:val="none"/>
        </w:rPr>
      </w:pPr>
    </w:p>
    <w:p w14:paraId="04188E75">
      <w:pPr>
        <w:pStyle w:val="22"/>
        <w:rPr>
          <w:rFonts w:ascii="宋体" w:hAnsi="宋体" w:cs="宋体"/>
          <w:bCs/>
          <w:color w:val="auto"/>
          <w:szCs w:val="32"/>
          <w:highlight w:val="none"/>
        </w:rPr>
      </w:pPr>
    </w:p>
    <w:p w14:paraId="74194E61">
      <w:pPr>
        <w:rPr>
          <w:rFonts w:ascii="宋体" w:hAnsi="宋体" w:cs="宋体"/>
          <w:bCs/>
          <w:color w:val="auto"/>
          <w:szCs w:val="32"/>
          <w:highlight w:val="none"/>
        </w:rPr>
      </w:pPr>
    </w:p>
    <w:p w14:paraId="5255CB9B">
      <w:pPr>
        <w:pStyle w:val="20"/>
        <w:rPr>
          <w:rFonts w:ascii="宋体" w:hAnsi="宋体" w:cs="宋体"/>
          <w:bCs/>
          <w:color w:val="auto"/>
          <w:szCs w:val="32"/>
          <w:highlight w:val="none"/>
        </w:rPr>
      </w:pPr>
    </w:p>
    <w:p w14:paraId="4C6937BA">
      <w:pPr>
        <w:rPr>
          <w:color w:val="auto"/>
          <w:highlight w:val="none"/>
        </w:rPr>
      </w:pPr>
    </w:p>
    <w:p w14:paraId="50EB5E7E">
      <w:pPr>
        <w:rPr>
          <w:rFonts w:ascii="宋体" w:hAnsi="宋体" w:cs="宋体"/>
          <w:bCs/>
          <w:color w:val="auto"/>
          <w:szCs w:val="32"/>
          <w:highlight w:val="none"/>
        </w:rPr>
      </w:pPr>
    </w:p>
    <w:p w14:paraId="7911E85A">
      <w:pPr>
        <w:pStyle w:val="27"/>
        <w:numPr>
          <w:ilvl w:val="0"/>
          <w:numId w:val="3"/>
        </w:numPr>
        <w:tabs>
          <w:tab w:val="left" w:pos="2740"/>
        </w:tabs>
        <w:ind w:leftChars="0" w:firstLine="851" w:firstLineChars="265"/>
        <w:outlineLvl w:val="0"/>
        <w:rPr>
          <w:rFonts w:ascii="宋体" w:hAnsi="宋体" w:eastAsia="宋体" w:cs="宋体"/>
          <w:b/>
          <w:bCs/>
          <w:color w:val="auto"/>
          <w:sz w:val="32"/>
          <w:highlight w:val="none"/>
        </w:rPr>
      </w:pPr>
      <w:bookmarkStart w:id="12" w:name="_Toc55212776"/>
      <w:r>
        <w:rPr>
          <w:rFonts w:hint="eastAsia" w:ascii="宋体" w:hAnsi="宋体" w:eastAsia="宋体" w:cs="宋体"/>
          <w:b/>
          <w:bCs/>
          <w:color w:val="auto"/>
          <w:sz w:val="32"/>
          <w:highlight w:val="none"/>
        </w:rPr>
        <w:t xml:space="preserve"> </w:t>
      </w:r>
      <w:bookmarkStart w:id="13" w:name="_Toc6633"/>
      <w:r>
        <w:rPr>
          <w:rFonts w:hint="eastAsia" w:ascii="宋体" w:hAnsi="宋体" w:eastAsia="宋体" w:cs="宋体"/>
          <w:b/>
          <w:bCs/>
          <w:color w:val="auto"/>
          <w:sz w:val="32"/>
          <w:highlight w:val="none"/>
        </w:rPr>
        <w:t>公开招标公告</w:t>
      </w:r>
      <w:bookmarkEnd w:id="12"/>
      <w:bookmarkEnd w:id="13"/>
    </w:p>
    <w:p w14:paraId="2938EDF6">
      <w:pPr>
        <w:rPr>
          <w:rFonts w:ascii="宋体" w:hAnsi="宋体" w:cs="宋体"/>
          <w:color w:val="auto"/>
          <w:highlight w:val="none"/>
        </w:rPr>
      </w:pPr>
    </w:p>
    <w:p w14:paraId="7413CD70">
      <w:pPr>
        <w:spacing w:line="480" w:lineRule="exact"/>
        <w:ind w:right="42" w:rightChars="20" w:firstLine="420" w:firstLineChars="200"/>
        <w:rPr>
          <w:rFonts w:ascii="宋体" w:hAnsi="宋体" w:cs="宋体"/>
          <w:color w:val="auto"/>
          <w:szCs w:val="21"/>
          <w:highlight w:val="none"/>
        </w:rPr>
      </w:pPr>
      <w:bookmarkStart w:id="14" w:name="_Toc35393798"/>
      <w:bookmarkStart w:id="15" w:name="_Toc45525443"/>
      <w:bookmarkStart w:id="16" w:name="_Toc45525492"/>
      <w:bookmarkStart w:id="17" w:name="_Toc28359089"/>
      <w:bookmarkStart w:id="18" w:name="_Toc51317767"/>
      <w:bookmarkStart w:id="19" w:name="_Toc17952"/>
      <w:bookmarkStart w:id="20" w:name="_Toc35393629"/>
      <w:bookmarkStart w:id="21" w:name="_Toc45640129"/>
      <w:bookmarkStart w:id="22" w:name="_Toc28359012"/>
      <w:bookmarkStart w:id="23" w:name="OLE_LINK4"/>
      <w:r>
        <w:rPr>
          <w:rFonts w:hint="eastAsia" w:ascii="宋体" w:hAnsi="宋体" w:cs="宋体"/>
          <w:color w:val="auto"/>
          <w:szCs w:val="21"/>
          <w:highlight w:val="none"/>
        </w:rPr>
        <w:t>浙江大兴建设项目管理咨询有限公司受</w:t>
      </w:r>
      <w:r>
        <w:rPr>
          <w:rFonts w:hint="eastAsia" w:ascii="宋体" w:hAnsi="宋体" w:cs="宋体"/>
          <w:b/>
          <w:bCs/>
          <w:color w:val="auto"/>
          <w:szCs w:val="21"/>
          <w:highlight w:val="none"/>
          <w:u w:val="single"/>
          <w:lang w:eastAsia="zh-CN"/>
        </w:rPr>
        <w:t>云和县城市建设投资集团有限公司</w:t>
      </w:r>
      <w:r>
        <w:rPr>
          <w:rFonts w:hint="eastAsia" w:ascii="宋体" w:hAnsi="宋体" w:cs="宋体"/>
          <w:color w:val="auto"/>
          <w:szCs w:val="21"/>
          <w:highlight w:val="none"/>
        </w:rPr>
        <w:t>的委托，对</w:t>
      </w:r>
      <w:r>
        <w:rPr>
          <w:rFonts w:hint="eastAsia" w:ascii="宋体" w:hAnsi="宋体" w:cs="宋体"/>
          <w:b/>
          <w:bCs/>
          <w:color w:val="auto"/>
          <w:szCs w:val="21"/>
          <w:highlight w:val="none"/>
          <w:u w:val="single"/>
          <w:lang w:eastAsia="zh-CN"/>
        </w:rPr>
        <w:t>云和县白水区块商住项目房产代销项目（</w:t>
      </w:r>
      <w:r>
        <w:rPr>
          <w:rFonts w:hint="eastAsia" w:ascii="宋体" w:hAnsi="宋体" w:cs="宋体"/>
          <w:b/>
          <w:bCs/>
          <w:color w:val="auto"/>
          <w:szCs w:val="21"/>
          <w:highlight w:val="none"/>
          <w:u w:val="single"/>
          <w:lang w:val="en-US" w:eastAsia="zh-CN"/>
        </w:rPr>
        <w:t>第三次）</w:t>
      </w:r>
      <w:r>
        <w:rPr>
          <w:rFonts w:hint="eastAsia" w:ascii="宋体" w:hAnsi="宋体" w:cs="宋体"/>
          <w:color w:val="auto"/>
          <w:szCs w:val="21"/>
          <w:highlight w:val="none"/>
        </w:rPr>
        <w:t>进行公开招标采购。欢迎国内符合条件的潜在投标人参加本项目投标。</w:t>
      </w:r>
    </w:p>
    <w:p w14:paraId="6FED16E5">
      <w:pPr>
        <w:pStyle w:val="3"/>
        <w:spacing w:line="480" w:lineRule="exact"/>
        <w:ind w:right="42" w:rightChars="2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一、项目基本情况</w:t>
      </w:r>
      <w:bookmarkEnd w:id="14"/>
      <w:bookmarkEnd w:id="15"/>
      <w:bookmarkEnd w:id="16"/>
      <w:bookmarkEnd w:id="17"/>
      <w:bookmarkEnd w:id="18"/>
      <w:bookmarkEnd w:id="19"/>
      <w:bookmarkEnd w:id="20"/>
      <w:bookmarkEnd w:id="21"/>
      <w:bookmarkEnd w:id="22"/>
    </w:p>
    <w:p w14:paraId="17A6E946">
      <w:pPr>
        <w:spacing w:line="440" w:lineRule="exact"/>
        <w:ind w:right="42" w:rightChars="2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浙大采招E2024055号；</w:t>
      </w:r>
    </w:p>
    <w:p w14:paraId="658A2B22">
      <w:pPr>
        <w:tabs>
          <w:tab w:val="left" w:pos="8316"/>
        </w:tabs>
        <w:snapToGrid w:val="0"/>
        <w:spacing w:line="440" w:lineRule="exact"/>
        <w:ind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2.项目名称：</w:t>
      </w:r>
      <w:r>
        <w:rPr>
          <w:color w:val="auto"/>
          <w:highlight w:val="none"/>
        </w:rPr>
        <w:fldChar w:fldCharType="begin"/>
      </w:r>
      <w:r>
        <w:rPr>
          <w:color w:val="auto"/>
          <w:highlight w:val="none"/>
        </w:rPr>
        <w:instrText xml:space="preserve"> HYPERLINK "https://bidding.zcygov.cn/xmgl/projectQuery/queryDetail?projectUuid=5c859e260a927c18" \l "/purchaseFileMake/_blank" \t "https://www.zcygov.cn/bidding-entrust/" </w:instrText>
      </w:r>
      <w:r>
        <w:rPr>
          <w:color w:val="auto"/>
          <w:highlight w:val="none"/>
        </w:rPr>
        <w:fldChar w:fldCharType="separate"/>
      </w:r>
      <w:r>
        <w:rPr>
          <w:rFonts w:hint="eastAsia" w:ascii="宋体" w:hAnsi="宋体" w:cs="宋体"/>
          <w:color w:val="auto"/>
          <w:szCs w:val="21"/>
          <w:highlight w:val="none"/>
          <w:lang w:eastAsia="zh-CN"/>
        </w:rPr>
        <w:t>云和县白水区块商住项目房产代销项目</w:t>
      </w:r>
      <w:r>
        <w:rPr>
          <w:rFonts w:hint="eastAsia" w:ascii="宋体" w:hAnsi="宋体" w:cs="宋体"/>
          <w:color w:val="auto"/>
          <w:szCs w:val="21"/>
          <w:highlight w:val="none"/>
        </w:rPr>
        <w:fldChar w:fldCharType="end"/>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第三次）</w:t>
      </w:r>
      <w:r>
        <w:rPr>
          <w:rFonts w:hint="eastAsia" w:ascii="宋体" w:hAnsi="宋体" w:cs="宋体"/>
          <w:color w:val="auto"/>
          <w:szCs w:val="21"/>
          <w:highlight w:val="none"/>
          <w:lang w:eastAsia="zh-CN"/>
        </w:rPr>
        <w:t>；</w:t>
      </w:r>
      <w:r>
        <w:rPr>
          <w:rFonts w:hint="eastAsia" w:ascii="宋体" w:hAnsi="宋体" w:cs="宋体"/>
          <w:color w:val="auto"/>
          <w:szCs w:val="21"/>
          <w:highlight w:val="none"/>
        </w:rPr>
        <w:tab/>
      </w:r>
    </w:p>
    <w:p w14:paraId="006F6437">
      <w:pPr>
        <w:tabs>
          <w:tab w:val="center" w:pos="4876"/>
        </w:tabs>
        <w:snapToGrid w:val="0"/>
        <w:spacing w:line="440" w:lineRule="exact"/>
        <w:ind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rPr>
        <w:t>3.最高限价：</w:t>
      </w:r>
      <w:r>
        <w:rPr>
          <w:rFonts w:hint="eastAsia" w:ascii="宋体" w:hAnsi="宋体" w:cs="宋体"/>
          <w:color w:val="auto"/>
          <w:szCs w:val="21"/>
          <w:highlight w:val="none"/>
        </w:rPr>
        <w:tab/>
      </w:r>
    </w:p>
    <w:tbl>
      <w:tblPr>
        <w:tblStyle w:val="51"/>
        <w:tblW w:w="4921"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3316"/>
        <w:gridCol w:w="1392"/>
        <w:gridCol w:w="856"/>
        <w:gridCol w:w="2020"/>
        <w:gridCol w:w="1583"/>
      </w:tblGrid>
      <w:tr w14:paraId="2CF5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28" w:type="pct"/>
            <w:noWrap w:val="0"/>
            <w:vAlign w:val="center"/>
          </w:tcPr>
          <w:p w14:paraId="55514F73">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1689" w:type="pct"/>
            <w:noWrap w:val="0"/>
            <w:vAlign w:val="center"/>
          </w:tcPr>
          <w:p w14:paraId="28759688">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采购内容</w:t>
            </w:r>
          </w:p>
        </w:tc>
        <w:tc>
          <w:tcPr>
            <w:tcW w:w="709" w:type="pct"/>
            <w:noWrap w:val="0"/>
            <w:vAlign w:val="center"/>
          </w:tcPr>
          <w:p w14:paraId="24233D74">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数量（暂定）</w:t>
            </w:r>
          </w:p>
        </w:tc>
        <w:tc>
          <w:tcPr>
            <w:tcW w:w="436" w:type="pct"/>
            <w:noWrap w:val="0"/>
            <w:vAlign w:val="center"/>
          </w:tcPr>
          <w:p w14:paraId="448E0BA5">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1029" w:type="pct"/>
            <w:noWrap w:val="0"/>
            <w:vAlign w:val="center"/>
          </w:tcPr>
          <w:p w14:paraId="1332AE90">
            <w:pPr>
              <w:keepNext w:val="0"/>
              <w:keepLines w:val="0"/>
              <w:suppressLineNumbers w:val="0"/>
              <w:spacing w:before="0" w:beforeAutospacing="0" w:after="0" w:afterAutospacing="0"/>
              <w:ind w:left="0" w:right="0"/>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最高限价</w:t>
            </w:r>
          </w:p>
        </w:tc>
        <w:tc>
          <w:tcPr>
            <w:tcW w:w="806" w:type="pct"/>
            <w:noWrap w:val="0"/>
            <w:vAlign w:val="center"/>
          </w:tcPr>
          <w:p w14:paraId="3A0F4353">
            <w:pPr>
              <w:keepNext w:val="0"/>
              <w:keepLines w:val="0"/>
              <w:suppressLineNumbers w:val="0"/>
              <w:spacing w:before="0" w:beforeAutospacing="0" w:after="0" w:afterAutospacing="0"/>
              <w:ind w:left="0" w:right="0"/>
              <w:jc w:val="center"/>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6390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28" w:type="pct"/>
            <w:noWrap w:val="0"/>
            <w:vAlign w:val="center"/>
          </w:tcPr>
          <w:p w14:paraId="7F7025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689" w:type="pct"/>
            <w:noWrap w:val="0"/>
            <w:vAlign w:val="center"/>
          </w:tcPr>
          <w:p w14:paraId="7EEEE665">
            <w:pPr>
              <w:pStyle w:val="5"/>
              <w:keepNext w:val="0"/>
              <w:keepLines w:val="0"/>
              <w:suppressLineNumbers w:val="0"/>
              <w:spacing w:before="0" w:beforeAutospacing="0" w:after="0" w:afterAutospacing="0"/>
              <w:ind w:left="0" w:right="0" w:firstLine="0"/>
              <w:jc w:val="center"/>
              <w:rPr>
                <w:rFonts w:hint="default" w:ascii="宋体" w:hAnsi="宋体" w:eastAsia="宋体" w:cs="宋体"/>
                <w:color w:val="auto"/>
                <w:sz w:val="21"/>
                <w:szCs w:val="21"/>
                <w:highlight w:val="none"/>
                <w:lang w:val="en-US" w:eastAsia="zh-CN"/>
              </w:rPr>
            </w:pPr>
            <w:r>
              <w:rPr>
                <w:rFonts w:hint="eastAsia" w:cs="Courier New"/>
                <w:b w:val="0"/>
                <w:bCs w:val="0"/>
                <w:color w:val="auto"/>
                <w:sz w:val="21"/>
                <w:szCs w:val="21"/>
                <w:highlight w:val="none"/>
                <w:lang w:val="en-US" w:eastAsia="zh-CN"/>
              </w:rPr>
              <w:t>大平层及排屋代理销售</w:t>
            </w:r>
            <w:r>
              <w:rPr>
                <w:rFonts w:hint="eastAsia" w:hAnsi="Times New Roman" w:cs="Courier New"/>
                <w:b w:val="0"/>
                <w:bCs w:val="0"/>
                <w:color w:val="auto"/>
                <w:sz w:val="21"/>
                <w:szCs w:val="21"/>
                <w:highlight w:val="none"/>
                <w:lang w:val="en-US" w:eastAsia="zh-CN"/>
              </w:rPr>
              <w:t>服务</w:t>
            </w:r>
            <w:r>
              <w:rPr>
                <w:rFonts w:hint="eastAsia" w:ascii="宋体" w:hAnsi="Times New Roman" w:eastAsia="宋体" w:cs="Courier New"/>
                <w:b w:val="0"/>
                <w:bCs w:val="0"/>
                <w:color w:val="auto"/>
                <w:sz w:val="21"/>
                <w:szCs w:val="21"/>
                <w:highlight w:val="none"/>
                <w:lang w:eastAsia="zh-CN"/>
              </w:rPr>
              <w:t>费</w:t>
            </w:r>
          </w:p>
        </w:tc>
        <w:tc>
          <w:tcPr>
            <w:tcW w:w="709" w:type="pct"/>
            <w:noWrap w:val="0"/>
            <w:vAlign w:val="center"/>
          </w:tcPr>
          <w:p w14:paraId="604EB77C">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36" w:type="pct"/>
            <w:noWrap w:val="0"/>
            <w:vAlign w:val="center"/>
          </w:tcPr>
          <w:p w14:paraId="3454AFA1">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亿元</w:t>
            </w:r>
          </w:p>
        </w:tc>
        <w:tc>
          <w:tcPr>
            <w:tcW w:w="1029" w:type="pct"/>
            <w:noWrap w:val="0"/>
            <w:vAlign w:val="center"/>
          </w:tcPr>
          <w:p w14:paraId="42444000">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该部分销售额的</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w:t>
            </w:r>
          </w:p>
        </w:tc>
        <w:tc>
          <w:tcPr>
            <w:tcW w:w="806" w:type="pct"/>
            <w:noWrap w:val="0"/>
            <w:vAlign w:val="center"/>
          </w:tcPr>
          <w:p w14:paraId="2CAAEBE9">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包含附属用房</w:t>
            </w:r>
          </w:p>
        </w:tc>
      </w:tr>
      <w:tr w14:paraId="3476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28" w:type="pct"/>
            <w:noWrap w:val="0"/>
            <w:vAlign w:val="center"/>
          </w:tcPr>
          <w:p w14:paraId="412182F0">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689" w:type="pct"/>
            <w:noWrap w:val="0"/>
            <w:vAlign w:val="center"/>
          </w:tcPr>
          <w:p w14:paraId="12C72B05">
            <w:pPr>
              <w:pStyle w:val="5"/>
              <w:keepNext w:val="0"/>
              <w:keepLines w:val="0"/>
              <w:suppressLineNumbers w:val="0"/>
              <w:spacing w:before="0" w:beforeAutospacing="0" w:after="0" w:afterAutospacing="0"/>
              <w:ind w:left="0" w:right="0" w:firstLine="0"/>
              <w:jc w:val="center"/>
              <w:rPr>
                <w:rFonts w:hint="default" w:cs="Courier New"/>
                <w:b w:val="0"/>
                <w:bCs w:val="0"/>
                <w:color w:val="auto"/>
                <w:sz w:val="21"/>
                <w:szCs w:val="21"/>
                <w:highlight w:val="none"/>
                <w:lang w:val="en-US" w:eastAsia="zh-CN"/>
              </w:rPr>
            </w:pPr>
            <w:r>
              <w:rPr>
                <w:rFonts w:hint="eastAsia" w:cs="Courier New"/>
                <w:b w:val="0"/>
                <w:bCs w:val="0"/>
                <w:color w:val="auto"/>
                <w:sz w:val="21"/>
                <w:szCs w:val="21"/>
                <w:highlight w:val="none"/>
                <w:lang w:val="en-US" w:eastAsia="zh-CN"/>
              </w:rPr>
              <w:t>高层住宅、商铺代理销售</w:t>
            </w:r>
            <w:r>
              <w:rPr>
                <w:rFonts w:hint="eastAsia" w:hAnsi="Times New Roman" w:cs="Courier New"/>
                <w:b w:val="0"/>
                <w:bCs w:val="0"/>
                <w:color w:val="auto"/>
                <w:sz w:val="21"/>
                <w:szCs w:val="21"/>
                <w:highlight w:val="none"/>
                <w:lang w:val="en-US" w:eastAsia="zh-CN"/>
              </w:rPr>
              <w:t>服务</w:t>
            </w:r>
            <w:r>
              <w:rPr>
                <w:rFonts w:hint="eastAsia" w:ascii="宋体" w:hAnsi="Times New Roman" w:eastAsia="宋体" w:cs="Courier New"/>
                <w:b w:val="0"/>
                <w:bCs w:val="0"/>
                <w:color w:val="auto"/>
                <w:sz w:val="21"/>
                <w:szCs w:val="21"/>
                <w:highlight w:val="none"/>
                <w:lang w:eastAsia="zh-CN"/>
              </w:rPr>
              <w:t>费</w:t>
            </w:r>
          </w:p>
        </w:tc>
        <w:tc>
          <w:tcPr>
            <w:tcW w:w="709" w:type="pct"/>
            <w:noWrap w:val="0"/>
            <w:vAlign w:val="center"/>
          </w:tcPr>
          <w:p w14:paraId="0627DB4F">
            <w:pPr>
              <w:keepNext w:val="0"/>
              <w:keepLines w:val="0"/>
              <w:widowControl/>
              <w:suppressLineNumbers w:val="0"/>
              <w:snapToGrid w:val="0"/>
              <w:spacing w:before="0" w:beforeAutospacing="0" w:after="0" w:afterAutospacing="0" w:line="32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436" w:type="pct"/>
            <w:noWrap w:val="0"/>
            <w:vAlign w:val="center"/>
          </w:tcPr>
          <w:p w14:paraId="4795B62E">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亿元</w:t>
            </w:r>
          </w:p>
        </w:tc>
        <w:tc>
          <w:tcPr>
            <w:tcW w:w="1029" w:type="pct"/>
            <w:noWrap w:val="0"/>
            <w:vAlign w:val="center"/>
          </w:tcPr>
          <w:p w14:paraId="45F5F1F5">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该部分销售额的5% </w:t>
            </w:r>
          </w:p>
        </w:tc>
        <w:tc>
          <w:tcPr>
            <w:tcW w:w="806" w:type="pct"/>
            <w:noWrap w:val="0"/>
            <w:vAlign w:val="center"/>
          </w:tcPr>
          <w:p w14:paraId="353EA0D5">
            <w:pPr>
              <w:keepNext w:val="0"/>
              <w:keepLines w:val="0"/>
              <w:widowControl/>
              <w:suppressLineNumbers w:val="0"/>
              <w:snapToGrid w:val="0"/>
              <w:spacing w:before="0" w:beforeAutospacing="0" w:after="0" w:afterAutospacing="0" w:line="32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包含附属用房</w:t>
            </w:r>
          </w:p>
        </w:tc>
      </w:tr>
      <w:tr w14:paraId="03B5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28" w:type="pct"/>
            <w:noWrap w:val="0"/>
            <w:vAlign w:val="center"/>
          </w:tcPr>
          <w:p w14:paraId="406F758E">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689" w:type="pct"/>
            <w:noWrap w:val="0"/>
            <w:vAlign w:val="center"/>
          </w:tcPr>
          <w:p w14:paraId="70FF39A4">
            <w:pPr>
              <w:pStyle w:val="5"/>
              <w:keepNext w:val="0"/>
              <w:keepLines w:val="0"/>
              <w:suppressLineNumbers w:val="0"/>
              <w:spacing w:before="0" w:beforeAutospacing="0" w:after="0" w:afterAutospacing="0"/>
              <w:ind w:left="0" w:right="0" w:firstLine="0"/>
              <w:jc w:val="center"/>
              <w:rPr>
                <w:rFonts w:hint="default" w:cs="Courier New"/>
                <w:b w:val="0"/>
                <w:bCs w:val="0"/>
                <w:color w:val="auto"/>
                <w:sz w:val="21"/>
                <w:szCs w:val="21"/>
                <w:highlight w:val="none"/>
                <w:lang w:val="en-US" w:eastAsia="zh-CN"/>
              </w:rPr>
            </w:pPr>
            <w:r>
              <w:rPr>
                <w:rFonts w:hint="default" w:cs="Courier New"/>
                <w:b w:val="0"/>
                <w:bCs w:val="0"/>
                <w:color w:val="auto"/>
                <w:sz w:val="21"/>
                <w:szCs w:val="21"/>
                <w:highlight w:val="none"/>
                <w:lang w:val="en-US" w:eastAsia="zh-CN"/>
              </w:rPr>
              <w:t>房票房源手续办理服务费</w:t>
            </w:r>
          </w:p>
        </w:tc>
        <w:tc>
          <w:tcPr>
            <w:tcW w:w="709" w:type="pct"/>
            <w:noWrap w:val="0"/>
            <w:vAlign w:val="center"/>
          </w:tcPr>
          <w:p w14:paraId="5BDB1FC0">
            <w:pPr>
              <w:keepNext w:val="0"/>
              <w:keepLines w:val="0"/>
              <w:widowControl/>
              <w:suppressLineNumbers w:val="0"/>
              <w:snapToGrid w:val="0"/>
              <w:spacing w:before="0" w:beforeAutospacing="0" w:after="0" w:afterAutospacing="0" w:line="320" w:lineRule="exact"/>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100 </w:t>
            </w:r>
          </w:p>
        </w:tc>
        <w:tc>
          <w:tcPr>
            <w:tcW w:w="436" w:type="pct"/>
            <w:noWrap w:val="0"/>
            <w:vAlign w:val="center"/>
          </w:tcPr>
          <w:p w14:paraId="0DC0200D">
            <w:pPr>
              <w:keepNext w:val="0"/>
              <w:keepLines w:val="0"/>
              <w:widowControl/>
              <w:suppressLineNumbers w:val="0"/>
              <w:snapToGrid w:val="0"/>
              <w:spacing w:before="0" w:beforeAutospacing="0" w:after="0" w:afterAutospacing="0" w:line="320" w:lineRule="exact"/>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1029" w:type="pct"/>
            <w:noWrap w:val="0"/>
            <w:vAlign w:val="center"/>
          </w:tcPr>
          <w:p w14:paraId="57542CB1">
            <w:pPr>
              <w:pStyle w:val="5"/>
              <w:keepNext w:val="0"/>
              <w:keepLines w:val="0"/>
              <w:suppressLineNumbers w:val="0"/>
              <w:spacing w:before="0" w:beforeAutospacing="0" w:after="0" w:afterAutospacing="0"/>
              <w:ind w:left="0" w:leftChars="0" w:right="0" w:rightChars="0" w:firstLine="0" w:firstLineChars="0"/>
              <w:jc w:val="center"/>
              <w:rPr>
                <w:rFonts w:hint="eastAsia" w:ascii="宋体" w:hAnsi="Times New Roman" w:eastAsia="宋体" w:cs="Courier New"/>
                <w:b w:val="0"/>
                <w:bCs w:val="0"/>
                <w:color w:val="auto"/>
                <w:sz w:val="21"/>
                <w:szCs w:val="21"/>
                <w:highlight w:val="none"/>
                <w:lang w:val="en-US" w:eastAsia="zh-CN"/>
              </w:rPr>
            </w:pPr>
            <w:r>
              <w:rPr>
                <w:rFonts w:hint="eastAsia" w:ascii="宋体" w:hAnsi="宋体" w:cs="宋体"/>
                <w:color w:val="auto"/>
                <w:sz w:val="21"/>
                <w:szCs w:val="21"/>
                <w:highlight w:val="none"/>
                <w:u w:val="single"/>
                <w:lang w:val="en-US" w:eastAsia="zh-CN"/>
              </w:rPr>
              <w:t>800</w:t>
            </w:r>
            <w:r>
              <w:rPr>
                <w:rFonts w:hint="eastAsia" w:ascii="宋体" w:hAnsi="宋体" w:eastAsia="宋体" w:cs="宋体"/>
                <w:color w:val="auto"/>
                <w:sz w:val="21"/>
                <w:szCs w:val="21"/>
                <w:highlight w:val="none"/>
                <w:u w:val="none"/>
                <w:lang w:val="en-US" w:eastAsia="zh-CN"/>
              </w:rPr>
              <w:t>元/套</w:t>
            </w:r>
          </w:p>
        </w:tc>
        <w:tc>
          <w:tcPr>
            <w:tcW w:w="806" w:type="pct"/>
            <w:noWrap w:val="0"/>
            <w:vAlign w:val="center"/>
          </w:tcPr>
          <w:p w14:paraId="6FDC1BE1">
            <w:pPr>
              <w:pStyle w:val="5"/>
              <w:keepNext w:val="0"/>
              <w:keepLines w:val="0"/>
              <w:suppressLineNumbers w:val="0"/>
              <w:spacing w:before="0" w:beforeAutospacing="0" w:after="0" w:afterAutospacing="0"/>
              <w:ind w:left="0" w:leftChars="0" w:right="0" w:rightChars="0" w:firstLine="0" w:firstLineChars="0"/>
              <w:jc w:val="center"/>
              <w:rPr>
                <w:rFonts w:hint="eastAsia" w:ascii="宋体" w:hAnsi="宋体" w:cs="宋体"/>
                <w:color w:val="auto"/>
                <w:sz w:val="21"/>
                <w:szCs w:val="21"/>
                <w:highlight w:val="none"/>
                <w:u w:val="single"/>
                <w:lang w:val="en-US" w:eastAsia="zh-CN"/>
              </w:rPr>
            </w:pPr>
          </w:p>
        </w:tc>
      </w:tr>
    </w:tbl>
    <w:p w14:paraId="640B2C50">
      <w:pPr>
        <w:pStyle w:val="20"/>
        <w:spacing w:line="44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投标人的投标报价不得超过最高限价，否则投标无效。</w:t>
      </w:r>
      <w:r>
        <w:rPr>
          <w:rFonts w:hint="eastAsia" w:ascii="宋体" w:hAnsi="宋体" w:eastAsia="宋体" w:cs="宋体"/>
          <w:color w:val="auto"/>
          <w:sz w:val="21"/>
          <w:szCs w:val="21"/>
          <w:highlight w:val="none"/>
          <w:lang w:val="en-US" w:eastAsia="zh-CN"/>
        </w:rPr>
        <w:t>（2）附属用房包括储藏室、工具间、摩托车库、车位等产品。</w:t>
      </w:r>
    </w:p>
    <w:p w14:paraId="3E20A051">
      <w:pPr>
        <w:pStyle w:val="20"/>
        <w:spacing w:line="440" w:lineRule="exact"/>
        <w:rPr>
          <w:rFonts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4.合同履行期限：具体详见招标文件第三章。</w:t>
      </w:r>
    </w:p>
    <w:p w14:paraId="679D5D83">
      <w:pPr>
        <w:pStyle w:val="3"/>
        <w:spacing w:line="480" w:lineRule="exact"/>
        <w:ind w:right="42" w:rightChars="20"/>
        <w:jc w:val="left"/>
        <w:rPr>
          <w:rFonts w:ascii="宋体" w:hAnsi="宋体" w:eastAsia="宋体" w:cs="宋体"/>
          <w:color w:val="auto"/>
          <w:sz w:val="21"/>
          <w:szCs w:val="21"/>
          <w:highlight w:val="none"/>
        </w:rPr>
      </w:pPr>
      <w:bookmarkStart w:id="24" w:name="_Toc35393799"/>
      <w:bookmarkStart w:id="25" w:name="_Toc505"/>
      <w:bookmarkStart w:id="26" w:name="_Toc28359090"/>
      <w:bookmarkStart w:id="27" w:name="_Toc45525444"/>
      <w:bookmarkStart w:id="28" w:name="_Toc51317768"/>
      <w:bookmarkStart w:id="29" w:name="_Toc45640130"/>
      <w:bookmarkStart w:id="30" w:name="_Toc35393630"/>
      <w:bookmarkStart w:id="31" w:name="_Toc45525493"/>
      <w:bookmarkStart w:id="32" w:name="_Toc28359013"/>
      <w:r>
        <w:rPr>
          <w:rFonts w:hint="eastAsia" w:ascii="宋体" w:hAnsi="宋体" w:eastAsia="宋体" w:cs="宋体"/>
          <w:color w:val="auto"/>
          <w:sz w:val="21"/>
          <w:szCs w:val="21"/>
          <w:highlight w:val="none"/>
        </w:rPr>
        <w:t>二、申请人的资格要求</w:t>
      </w:r>
      <w:bookmarkEnd w:id="24"/>
      <w:bookmarkEnd w:id="25"/>
      <w:bookmarkEnd w:id="26"/>
      <w:bookmarkEnd w:id="27"/>
      <w:bookmarkEnd w:id="28"/>
      <w:bookmarkEnd w:id="29"/>
      <w:bookmarkEnd w:id="30"/>
      <w:bookmarkEnd w:id="31"/>
      <w:bookmarkEnd w:id="32"/>
      <w:r>
        <w:rPr>
          <w:rFonts w:hint="eastAsia" w:ascii="宋体" w:hAnsi="宋体" w:eastAsia="宋体" w:cs="宋体"/>
          <w:color w:val="auto"/>
          <w:sz w:val="21"/>
          <w:szCs w:val="21"/>
          <w:highlight w:val="none"/>
        </w:rPr>
        <w:t>（合格投标人资格要求）</w:t>
      </w:r>
    </w:p>
    <w:p w14:paraId="3494815F">
      <w:pPr>
        <w:snapToGrid w:val="0"/>
        <w:spacing w:line="500" w:lineRule="exact"/>
        <w:ind w:firstLine="420" w:firstLineChars="200"/>
        <w:textAlignment w:val="baseline"/>
        <w:rPr>
          <w:rStyle w:val="102"/>
          <w:rFonts w:hint="eastAsia" w:ascii="宋体" w:hAnsi="宋体" w:eastAsia="宋体" w:cs="宋体"/>
          <w:bCs/>
          <w:color w:val="auto"/>
          <w:szCs w:val="21"/>
          <w:highlight w:val="none"/>
        </w:rPr>
      </w:pPr>
      <w:bookmarkStart w:id="33" w:name="_Toc28359014"/>
      <w:bookmarkStart w:id="34" w:name="_Toc28359091"/>
      <w:r>
        <w:rPr>
          <w:rStyle w:val="102"/>
          <w:rFonts w:hint="eastAsia" w:ascii="宋体" w:hAnsi="宋体" w:eastAsia="宋体" w:cs="宋体"/>
          <w:bCs/>
          <w:color w:val="auto"/>
          <w:szCs w:val="21"/>
          <w:highlight w:val="none"/>
        </w:rPr>
        <w:t>1.具有独立承担民事责任的能力；</w:t>
      </w:r>
    </w:p>
    <w:p w14:paraId="0B40518F">
      <w:pPr>
        <w:snapToGrid w:val="0"/>
        <w:spacing w:line="500" w:lineRule="exact"/>
        <w:ind w:firstLine="420" w:firstLineChars="200"/>
        <w:textAlignment w:val="baseline"/>
        <w:rPr>
          <w:rStyle w:val="102"/>
          <w:rFonts w:hint="eastAsia" w:ascii="宋体" w:hAnsi="宋体" w:eastAsia="宋体" w:cs="宋体"/>
          <w:bCs/>
          <w:color w:val="auto"/>
          <w:szCs w:val="21"/>
          <w:highlight w:val="none"/>
        </w:rPr>
      </w:pPr>
      <w:r>
        <w:rPr>
          <w:rStyle w:val="102"/>
          <w:rFonts w:hint="eastAsia" w:ascii="宋体" w:hAnsi="宋体" w:eastAsia="宋体" w:cs="宋体"/>
          <w:bCs/>
          <w:color w:val="auto"/>
          <w:szCs w:val="21"/>
          <w:highlight w:val="none"/>
        </w:rPr>
        <w:t>2.具有良好的商业信誉和健全的财务会计制度；</w:t>
      </w:r>
    </w:p>
    <w:p w14:paraId="5013537F">
      <w:pPr>
        <w:snapToGrid w:val="0"/>
        <w:spacing w:line="500" w:lineRule="exact"/>
        <w:ind w:firstLine="420" w:firstLineChars="200"/>
        <w:textAlignment w:val="baseline"/>
        <w:rPr>
          <w:rStyle w:val="102"/>
          <w:rFonts w:hint="eastAsia" w:ascii="宋体" w:hAnsi="宋体" w:eastAsia="宋体" w:cs="宋体"/>
          <w:bCs/>
          <w:color w:val="auto"/>
          <w:szCs w:val="21"/>
          <w:highlight w:val="none"/>
        </w:rPr>
      </w:pPr>
      <w:r>
        <w:rPr>
          <w:rStyle w:val="102"/>
          <w:rFonts w:hint="eastAsia" w:ascii="宋体" w:hAnsi="宋体" w:eastAsia="宋体" w:cs="宋体"/>
          <w:bCs/>
          <w:color w:val="auto"/>
          <w:szCs w:val="21"/>
          <w:highlight w:val="none"/>
        </w:rPr>
        <w:t>3.具有履行合同所必需的专业技术能力；</w:t>
      </w:r>
    </w:p>
    <w:p w14:paraId="21DB1131">
      <w:pPr>
        <w:snapToGrid w:val="0"/>
        <w:spacing w:line="500" w:lineRule="exact"/>
        <w:ind w:firstLine="420" w:firstLineChars="200"/>
        <w:textAlignment w:val="baseline"/>
        <w:rPr>
          <w:rStyle w:val="102"/>
          <w:rFonts w:hint="eastAsia" w:ascii="宋体" w:hAnsi="宋体" w:eastAsia="宋体" w:cs="宋体"/>
          <w:bCs/>
          <w:color w:val="auto"/>
          <w:szCs w:val="21"/>
          <w:highlight w:val="none"/>
        </w:rPr>
      </w:pPr>
      <w:r>
        <w:rPr>
          <w:rStyle w:val="102"/>
          <w:rFonts w:hint="eastAsia" w:ascii="宋体" w:hAnsi="宋体" w:cs="宋体"/>
          <w:bCs/>
          <w:color w:val="auto"/>
          <w:szCs w:val="21"/>
          <w:highlight w:val="none"/>
          <w:lang w:val="en-US"/>
        </w:rPr>
        <w:t>4</w:t>
      </w:r>
      <w:r>
        <w:rPr>
          <w:rStyle w:val="102"/>
          <w:rFonts w:hint="eastAsia" w:ascii="宋体" w:hAnsi="宋体" w:eastAsia="宋体" w:cs="宋体"/>
          <w:bCs/>
          <w:color w:val="auto"/>
          <w:szCs w:val="21"/>
          <w:highlight w:val="none"/>
        </w:rPr>
        <w:t>.有依法缴纳税收和社会保障资金的良好记录；</w:t>
      </w:r>
    </w:p>
    <w:p w14:paraId="0446E765">
      <w:pPr>
        <w:snapToGrid w:val="0"/>
        <w:spacing w:line="500" w:lineRule="exact"/>
        <w:ind w:firstLine="420" w:firstLineChars="200"/>
        <w:textAlignment w:val="baseline"/>
        <w:rPr>
          <w:rStyle w:val="102"/>
          <w:rFonts w:hint="eastAsia" w:ascii="宋体" w:hAnsi="宋体" w:eastAsia="宋体" w:cs="宋体"/>
          <w:bCs/>
          <w:color w:val="auto"/>
          <w:szCs w:val="21"/>
          <w:highlight w:val="none"/>
        </w:rPr>
      </w:pPr>
      <w:r>
        <w:rPr>
          <w:rStyle w:val="102"/>
          <w:rFonts w:hint="eastAsia" w:ascii="宋体" w:hAnsi="宋体" w:cs="宋体"/>
          <w:bCs/>
          <w:color w:val="auto"/>
          <w:szCs w:val="21"/>
          <w:highlight w:val="none"/>
          <w:lang w:val="en-US"/>
        </w:rPr>
        <w:t>5</w:t>
      </w:r>
      <w:r>
        <w:rPr>
          <w:rStyle w:val="102"/>
          <w:rFonts w:hint="eastAsia" w:ascii="宋体" w:hAnsi="宋体" w:eastAsia="宋体" w:cs="宋体"/>
          <w:bCs/>
          <w:color w:val="auto"/>
          <w:szCs w:val="21"/>
          <w:highlight w:val="none"/>
        </w:rPr>
        <w:t>.参加本项目采购活动前三年内，在经营活动中没有重大违法记录（包括行贿犯罪记录）；</w:t>
      </w:r>
    </w:p>
    <w:p w14:paraId="4814724F">
      <w:pPr>
        <w:snapToGrid w:val="0"/>
        <w:spacing w:line="500" w:lineRule="exact"/>
        <w:ind w:firstLine="420" w:firstLineChars="200"/>
        <w:textAlignment w:val="baseline"/>
        <w:rPr>
          <w:rStyle w:val="102"/>
          <w:rFonts w:hint="eastAsia" w:ascii="宋体" w:hAnsi="宋体" w:eastAsia="宋体" w:cs="宋体"/>
          <w:bCs/>
          <w:color w:val="auto"/>
          <w:szCs w:val="21"/>
          <w:highlight w:val="none"/>
        </w:rPr>
      </w:pPr>
      <w:r>
        <w:rPr>
          <w:rStyle w:val="102"/>
          <w:rFonts w:hint="eastAsia" w:ascii="宋体" w:hAnsi="宋体" w:cs="宋体"/>
          <w:bCs/>
          <w:color w:val="auto"/>
          <w:szCs w:val="21"/>
          <w:highlight w:val="none"/>
          <w:lang w:val="en-US"/>
        </w:rPr>
        <w:t>6</w:t>
      </w:r>
      <w:r>
        <w:rPr>
          <w:rStyle w:val="102"/>
          <w:rFonts w:hint="eastAsia" w:ascii="宋体" w:hAnsi="宋体" w:eastAsia="宋体" w:cs="宋体"/>
          <w:bCs/>
          <w:color w:val="auto"/>
          <w:szCs w:val="21"/>
          <w:highlight w:val="none"/>
        </w:rPr>
        <w:t>.未被“信用中国”（www.creditchina.gov.cn)、中国政府采购网（www.ccgp.gov.cn）列入失信被执行人、重大税收违法案件当事人名单、采购严重违法失信行为记录名单；</w:t>
      </w:r>
    </w:p>
    <w:p w14:paraId="626A8CC4">
      <w:pPr>
        <w:tabs>
          <w:tab w:val="left" w:pos="0"/>
        </w:tabs>
        <w:spacing w:line="440" w:lineRule="exact"/>
        <w:ind w:right="42" w:rightChars="20"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.单位负责人为同一人或者存在直接控股、管理关系的不同投标人，不得参加本项目同一合同项下的采购活动。</w:t>
      </w:r>
    </w:p>
    <w:p w14:paraId="2BA7BE23">
      <w:pPr>
        <w:snapToGrid w:val="0"/>
        <w:spacing w:line="480" w:lineRule="exact"/>
        <w:ind w:right="42" w:rightChars="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.本项目不接受联合体投标。</w:t>
      </w:r>
      <w:bookmarkStart w:id="35" w:name="_Toc45640131"/>
      <w:bookmarkStart w:id="36" w:name="_Toc22979"/>
      <w:bookmarkStart w:id="37" w:name="_Toc45525445"/>
      <w:bookmarkStart w:id="38" w:name="_Toc51317769"/>
      <w:bookmarkStart w:id="39" w:name="_Toc45525494"/>
      <w:bookmarkStart w:id="40" w:name="_Toc35393631"/>
      <w:bookmarkStart w:id="41" w:name="_Toc35393800"/>
    </w:p>
    <w:p w14:paraId="5E41B89B">
      <w:pPr>
        <w:snapToGrid w:val="0"/>
        <w:spacing w:line="480" w:lineRule="exact"/>
        <w:ind w:right="42" w:rightChars="20"/>
        <w:rPr>
          <w:rFonts w:ascii="宋体" w:hAnsi="宋体" w:cs="宋体"/>
          <w:b/>
          <w:color w:val="auto"/>
          <w:szCs w:val="21"/>
          <w:highlight w:val="none"/>
        </w:rPr>
      </w:pPr>
      <w:r>
        <w:rPr>
          <w:rFonts w:hint="eastAsia" w:ascii="宋体" w:hAnsi="宋体" w:cs="宋体"/>
          <w:b/>
          <w:color w:val="auto"/>
          <w:szCs w:val="21"/>
          <w:highlight w:val="none"/>
        </w:rPr>
        <w:t>三、获取招标文件</w:t>
      </w:r>
      <w:bookmarkEnd w:id="33"/>
      <w:bookmarkEnd w:id="34"/>
      <w:bookmarkEnd w:id="35"/>
      <w:bookmarkEnd w:id="36"/>
      <w:bookmarkEnd w:id="37"/>
      <w:bookmarkEnd w:id="38"/>
      <w:bookmarkEnd w:id="39"/>
      <w:bookmarkEnd w:id="40"/>
      <w:bookmarkEnd w:id="41"/>
    </w:p>
    <w:p w14:paraId="2AAA78E0">
      <w:pPr>
        <w:spacing w:line="480" w:lineRule="exact"/>
        <w:ind w:firstLine="422" w:firstLineChars="200"/>
        <w:rPr>
          <w:rFonts w:ascii="宋体" w:hAnsi="宋体" w:cs="宋体"/>
          <w:color w:val="auto"/>
          <w:kern w:val="0"/>
          <w:szCs w:val="21"/>
          <w:highlight w:val="none"/>
        </w:rPr>
      </w:pPr>
      <w:bookmarkStart w:id="42" w:name="_Toc28359015"/>
      <w:bookmarkStart w:id="43" w:name="_Toc28359092"/>
      <w:bookmarkStart w:id="44" w:name="_Toc35393632"/>
      <w:bookmarkStart w:id="45" w:name="_Toc35393801"/>
      <w:r>
        <w:rPr>
          <w:rFonts w:hint="eastAsia" w:ascii="宋体" w:hAnsi="宋体" w:cs="宋体"/>
          <w:b/>
          <w:bCs/>
          <w:color w:val="auto"/>
          <w:kern w:val="0"/>
          <w:szCs w:val="21"/>
          <w:highlight w:val="none"/>
        </w:rPr>
        <w:t>1.时间：</w:t>
      </w:r>
      <w:r>
        <w:rPr>
          <w:rFonts w:hint="eastAsia" w:ascii="宋体" w:hAnsi="宋体" w:cs="宋体"/>
          <w:color w:val="auto"/>
          <w:szCs w:val="21"/>
          <w:highlight w:val="none"/>
          <w:lang w:val="en-US" w:eastAsia="zh-CN"/>
        </w:rPr>
        <w:t>公告发布之日起至投标截止时间止</w:t>
      </w:r>
      <w:r>
        <w:rPr>
          <w:rFonts w:hint="eastAsia" w:ascii="宋体" w:hAnsi="宋体" w:cs="宋体"/>
          <w:color w:val="auto"/>
          <w:szCs w:val="21"/>
          <w:highlight w:val="none"/>
        </w:rPr>
        <w:t>；</w:t>
      </w:r>
    </w:p>
    <w:p w14:paraId="5A59434A">
      <w:pPr>
        <w:spacing w:line="480" w:lineRule="exact"/>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2.地址：</w:t>
      </w:r>
      <w:r>
        <w:rPr>
          <w:rFonts w:hint="eastAsia" w:ascii="宋体" w:hAnsi="宋体" w:cs="宋体"/>
          <w:color w:val="auto"/>
          <w:szCs w:val="21"/>
          <w:highlight w:val="none"/>
        </w:rPr>
        <w:t>浙江政府采购网（https://zfcg.czt.zj.gov.cn/）</w:t>
      </w:r>
      <w:r>
        <w:rPr>
          <w:rFonts w:hint="eastAsia" w:ascii="宋体" w:hAnsi="宋体" w:cs="宋体"/>
          <w:color w:val="auto"/>
          <w:szCs w:val="21"/>
          <w:highlight w:val="none"/>
          <w:lang w:eastAsia="zh-CN"/>
        </w:rPr>
        <w:t>、</w:t>
      </w:r>
      <w:r>
        <w:rPr>
          <w:rFonts w:hint="eastAsia" w:ascii="宋体" w:hAnsi="宋体" w:eastAsia="宋体" w:cs="宋体"/>
          <w:i w:val="0"/>
          <w:iCs w:val="0"/>
          <w:caps w:val="0"/>
          <w:color w:val="auto"/>
          <w:spacing w:val="0"/>
          <w:sz w:val="21"/>
          <w:szCs w:val="21"/>
          <w:highlight w:val="none"/>
          <w:shd w:val="clear" w:fill="FFFFFF"/>
        </w:rPr>
        <w:t>丽水市公共资源交易网</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cs="宋体"/>
          <w:i w:val="0"/>
          <w:iCs w:val="0"/>
          <w:caps w:val="0"/>
          <w:color w:val="auto"/>
          <w:spacing w:val="0"/>
          <w:sz w:val="21"/>
          <w:szCs w:val="21"/>
          <w:highlight w:val="none"/>
          <w:shd w:val="clear" w:fill="FFFFFF"/>
          <w:lang w:val="en-US" w:eastAsia="zh-CN"/>
        </w:rPr>
        <w:t>云和）</w:t>
      </w:r>
      <w:r>
        <w:rPr>
          <w:rFonts w:hint="eastAsia" w:ascii="宋体" w:hAnsi="宋体" w:eastAsia="宋体" w:cs="宋体"/>
          <w:i w:val="0"/>
          <w:iCs w:val="0"/>
          <w:caps w:val="0"/>
          <w:color w:val="auto"/>
          <w:spacing w:val="0"/>
          <w:sz w:val="21"/>
          <w:szCs w:val="21"/>
          <w:highlight w:val="none"/>
          <w:shd w:val="clear" w:fill="FFFFFF"/>
        </w:rPr>
        <w:t>（http</w:t>
      </w:r>
      <w:r>
        <w:rPr>
          <w:rFonts w:hint="eastAsia" w:ascii="宋体" w:hAnsi="宋体" w:cs="宋体"/>
          <w:i w:val="0"/>
          <w:iCs w:val="0"/>
          <w:caps w:val="0"/>
          <w:color w:val="auto"/>
          <w:spacing w:val="0"/>
          <w:sz w:val="21"/>
          <w:szCs w:val="21"/>
          <w:highlight w:val="none"/>
          <w:shd w:val="clear" w:fill="FFFFFF"/>
          <w:lang w:val="en-US" w:eastAsia="zh-CN"/>
        </w:rPr>
        <w:t>s</w:t>
      </w:r>
      <w:r>
        <w:rPr>
          <w:rFonts w:hint="eastAsia" w:ascii="宋体" w:hAnsi="宋体" w:eastAsia="宋体" w:cs="宋体"/>
          <w:i w:val="0"/>
          <w:iCs w:val="0"/>
          <w:caps w:val="0"/>
          <w:color w:val="auto"/>
          <w:spacing w:val="0"/>
          <w:sz w:val="21"/>
          <w:szCs w:val="21"/>
          <w:highlight w:val="none"/>
          <w:shd w:val="clear" w:fill="FFFFFF"/>
        </w:rPr>
        <w:t>://lssggzy.lishui.gov.cn/）</w:t>
      </w:r>
      <w:r>
        <w:rPr>
          <w:rFonts w:hint="eastAsia" w:ascii="宋体" w:hAnsi="宋体" w:cs="宋体"/>
          <w:color w:val="auto"/>
          <w:kern w:val="0"/>
          <w:szCs w:val="21"/>
          <w:highlight w:val="none"/>
        </w:rPr>
        <w:t>；</w:t>
      </w:r>
    </w:p>
    <w:p w14:paraId="0A57B41F">
      <w:pPr>
        <w:pStyle w:val="28"/>
        <w:adjustRightInd w:val="0"/>
        <w:snapToGrid w:val="0"/>
        <w:spacing w:line="480" w:lineRule="exact"/>
        <w:ind w:right="42" w:rightChars="20" w:firstLine="422" w:firstLineChars="200"/>
        <w:rPr>
          <w:rFonts w:hAnsi="宋体" w:cs="宋体"/>
          <w:color w:val="auto"/>
          <w:szCs w:val="21"/>
          <w:highlight w:val="none"/>
        </w:rPr>
      </w:pPr>
      <w:bookmarkStart w:id="46" w:name="_Toc25554"/>
      <w:bookmarkStart w:id="47" w:name="_Toc51317770"/>
      <w:bookmarkStart w:id="48" w:name="_Toc45525446"/>
      <w:bookmarkStart w:id="49" w:name="_Toc45525495"/>
      <w:bookmarkStart w:id="50" w:name="_Toc45640132"/>
      <w:r>
        <w:rPr>
          <w:rFonts w:hint="eastAsia" w:hAnsi="宋体" w:cs="宋体"/>
          <w:b/>
          <w:bCs/>
          <w:color w:val="auto"/>
          <w:szCs w:val="21"/>
          <w:highlight w:val="none"/>
        </w:rPr>
        <w:t>3.方式：</w:t>
      </w:r>
      <w:r>
        <w:rPr>
          <w:rFonts w:hint="eastAsia" w:hAnsi="宋体" w:cs="宋体"/>
          <w:color w:val="auto"/>
          <w:szCs w:val="21"/>
          <w:highlight w:val="none"/>
          <w:lang w:val="en-US" w:eastAsia="zh-CN"/>
        </w:rPr>
        <w:t>网上下载</w:t>
      </w:r>
      <w:r>
        <w:rPr>
          <w:rFonts w:hint="eastAsia" w:hAnsi="宋体" w:cs="宋体"/>
          <w:color w:val="auto"/>
          <w:szCs w:val="21"/>
          <w:highlight w:val="none"/>
        </w:rPr>
        <w:t>；</w:t>
      </w:r>
    </w:p>
    <w:p w14:paraId="074804AA">
      <w:pPr>
        <w:pStyle w:val="28"/>
        <w:adjustRightInd w:val="0"/>
        <w:snapToGrid w:val="0"/>
        <w:spacing w:line="480" w:lineRule="exact"/>
        <w:ind w:right="42" w:rightChars="20" w:firstLine="420" w:firstLineChars="200"/>
        <w:rPr>
          <w:rFonts w:hAnsi="宋体" w:cs="宋体"/>
          <w:color w:val="auto"/>
          <w:szCs w:val="21"/>
          <w:highlight w:val="none"/>
        </w:rPr>
      </w:pPr>
      <w:r>
        <w:rPr>
          <w:rFonts w:hint="eastAsia" w:hAnsi="宋体" w:cs="宋体"/>
          <w:color w:val="auto"/>
          <w:szCs w:val="21"/>
          <w:highlight w:val="none"/>
        </w:rPr>
        <w:t>4.获取招标文件时须向招标代理机构提供以下资料：</w:t>
      </w:r>
    </w:p>
    <w:p w14:paraId="006F5D87">
      <w:pPr>
        <w:pStyle w:val="28"/>
        <w:adjustRightInd w:val="0"/>
        <w:snapToGrid w:val="0"/>
        <w:spacing w:line="480" w:lineRule="exact"/>
        <w:ind w:right="42" w:rightChars="20" w:firstLine="420" w:firstLineChars="200"/>
        <w:rPr>
          <w:rFonts w:hAnsi="宋体" w:cs="宋体"/>
          <w:color w:val="auto"/>
          <w:szCs w:val="21"/>
          <w:highlight w:val="none"/>
        </w:rPr>
      </w:pPr>
      <w:r>
        <w:rPr>
          <w:rFonts w:hint="eastAsia" w:hAnsi="宋体" w:cs="宋体"/>
          <w:color w:val="auto"/>
          <w:szCs w:val="21"/>
          <w:highlight w:val="none"/>
        </w:rPr>
        <w:t>（1）法定代表人授权委托书（格式自拟，包括联系人、联系方式、邮箱）；</w:t>
      </w:r>
    </w:p>
    <w:p w14:paraId="1D42B06C">
      <w:pPr>
        <w:pStyle w:val="28"/>
        <w:adjustRightInd w:val="0"/>
        <w:snapToGrid w:val="0"/>
        <w:spacing w:line="480" w:lineRule="exact"/>
        <w:ind w:right="42" w:rightChars="20" w:firstLine="420" w:firstLineChars="200"/>
        <w:rPr>
          <w:rFonts w:hint="eastAsia" w:hAnsi="宋体" w:eastAsia="宋体" w:cs="宋体"/>
          <w:color w:val="auto"/>
          <w:szCs w:val="21"/>
          <w:highlight w:val="none"/>
          <w:lang w:eastAsia="zh-CN"/>
        </w:rPr>
      </w:pPr>
      <w:r>
        <w:rPr>
          <w:rFonts w:hint="eastAsia" w:hAnsi="宋体" w:cs="宋体"/>
          <w:color w:val="auto"/>
          <w:szCs w:val="21"/>
          <w:highlight w:val="none"/>
        </w:rPr>
        <w:t>（2）投标人有效营业执照（复印件加盖公章）</w:t>
      </w:r>
      <w:r>
        <w:rPr>
          <w:rFonts w:hint="eastAsia" w:hAnsi="宋体" w:cs="宋体"/>
          <w:color w:val="auto"/>
          <w:szCs w:val="21"/>
          <w:highlight w:val="none"/>
          <w:lang w:eastAsia="zh-CN"/>
        </w:rPr>
        <w:t>。</w:t>
      </w:r>
    </w:p>
    <w:p w14:paraId="4553255D">
      <w:pPr>
        <w:pStyle w:val="28"/>
        <w:adjustRightInd w:val="0"/>
        <w:snapToGrid w:val="0"/>
        <w:spacing w:line="480" w:lineRule="exact"/>
        <w:ind w:right="42" w:rightChars="20" w:firstLine="420" w:firstLineChars="200"/>
        <w:rPr>
          <w:rFonts w:hAnsi="宋体" w:cs="宋体"/>
          <w:color w:val="auto"/>
          <w:szCs w:val="21"/>
          <w:highlight w:val="none"/>
        </w:rPr>
      </w:pPr>
      <w:r>
        <w:rPr>
          <w:rFonts w:hint="eastAsia" w:hAnsi="宋体" w:cs="宋体"/>
          <w:color w:val="auto"/>
          <w:szCs w:val="21"/>
          <w:highlight w:val="none"/>
        </w:rPr>
        <w:t>提示：以上资料盖章扫描后发送至邮箱（</w:t>
      </w:r>
      <w:r>
        <w:rPr>
          <w:rFonts w:hint="eastAsia" w:hAnsi="宋体" w:cs="宋体"/>
          <w:color w:val="auto"/>
          <w:szCs w:val="21"/>
          <w:highlight w:val="none"/>
          <w:lang w:eastAsia="zh-CN"/>
        </w:rPr>
        <w:t>2279027085@qq.com</w:t>
      </w:r>
      <w:r>
        <w:rPr>
          <w:rFonts w:hint="eastAsia" w:hAnsi="宋体" w:cs="宋体"/>
          <w:color w:val="auto"/>
          <w:szCs w:val="21"/>
          <w:highlight w:val="none"/>
        </w:rPr>
        <w:t>），招标代理机构将拒绝接受未在招标文件获取阶段提交以上资料的投标人的投标文件。</w:t>
      </w:r>
    </w:p>
    <w:p w14:paraId="2FD0BB90">
      <w:pPr>
        <w:pStyle w:val="3"/>
        <w:spacing w:line="480" w:lineRule="exact"/>
        <w:ind w:right="42" w:rightChars="2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bookmarkEnd w:id="42"/>
      <w:bookmarkEnd w:id="43"/>
      <w:bookmarkEnd w:id="44"/>
      <w:bookmarkEnd w:id="45"/>
      <w:bookmarkEnd w:id="46"/>
      <w:bookmarkEnd w:id="47"/>
      <w:bookmarkEnd w:id="48"/>
      <w:bookmarkEnd w:id="49"/>
      <w:bookmarkEnd w:id="50"/>
      <w:r>
        <w:rPr>
          <w:rFonts w:hint="eastAsia" w:ascii="宋体" w:hAnsi="宋体" w:eastAsia="宋体" w:cs="宋体"/>
          <w:color w:val="auto"/>
          <w:sz w:val="21"/>
          <w:szCs w:val="21"/>
          <w:highlight w:val="none"/>
        </w:rPr>
        <w:t>提交投标文件截止时间、开标时间和地点</w:t>
      </w:r>
    </w:p>
    <w:p w14:paraId="7AF3CF8C">
      <w:pPr>
        <w:pStyle w:val="28"/>
        <w:adjustRightInd w:val="0"/>
        <w:snapToGrid w:val="0"/>
        <w:spacing w:line="480" w:lineRule="exact"/>
        <w:ind w:right="42" w:rightChars="20" w:firstLine="420" w:firstLineChars="200"/>
        <w:rPr>
          <w:rFonts w:hAnsi="宋体" w:cs="宋体"/>
          <w:color w:val="auto"/>
          <w:szCs w:val="21"/>
          <w:highlight w:val="none"/>
        </w:rPr>
      </w:pPr>
      <w:bookmarkStart w:id="51" w:name="_Toc28359093"/>
      <w:bookmarkStart w:id="52" w:name="_Toc35393633"/>
      <w:bookmarkStart w:id="53" w:name="_Toc28359016"/>
      <w:bookmarkStart w:id="54" w:name="_Toc35393802"/>
      <w:bookmarkStart w:id="55" w:name="_Toc45525448"/>
      <w:bookmarkStart w:id="56" w:name="_Toc28359094"/>
      <w:bookmarkStart w:id="57" w:name="_Toc45640134"/>
      <w:bookmarkStart w:id="58" w:name="_Toc14360"/>
      <w:bookmarkStart w:id="59" w:name="_Toc35393803"/>
      <w:bookmarkStart w:id="60" w:name="_Toc51317772"/>
      <w:bookmarkStart w:id="61" w:name="_Toc28359017"/>
      <w:bookmarkStart w:id="62" w:name="_Toc35393634"/>
      <w:bookmarkStart w:id="63" w:name="_Toc45525497"/>
      <w:r>
        <w:rPr>
          <w:rFonts w:hint="eastAsia" w:hAnsi="宋体" w:cs="宋体"/>
          <w:color w:val="auto"/>
          <w:szCs w:val="21"/>
          <w:highlight w:val="none"/>
        </w:rPr>
        <w:t>1.投标截止时间：202</w:t>
      </w:r>
      <w:r>
        <w:rPr>
          <w:rFonts w:hint="eastAsia" w:hAnsi="宋体" w:cs="宋体"/>
          <w:color w:val="auto"/>
          <w:szCs w:val="21"/>
          <w:highlight w:val="none"/>
          <w:lang w:val="en-US" w:eastAsia="zh-CN"/>
        </w:rPr>
        <w:t>4</w:t>
      </w:r>
      <w:r>
        <w:rPr>
          <w:rFonts w:hint="eastAsia" w:hAnsi="宋体" w:cs="宋体"/>
          <w:color w:val="auto"/>
          <w:szCs w:val="21"/>
          <w:highlight w:val="none"/>
        </w:rPr>
        <w:t>年</w:t>
      </w:r>
      <w:r>
        <w:rPr>
          <w:rFonts w:hint="eastAsia" w:hAnsi="宋体" w:cs="宋体"/>
          <w:color w:val="auto"/>
          <w:szCs w:val="21"/>
          <w:highlight w:val="none"/>
          <w:lang w:val="en-US" w:eastAsia="zh-CN"/>
        </w:rPr>
        <w:t>10</w:t>
      </w:r>
      <w:r>
        <w:rPr>
          <w:rFonts w:hint="eastAsia" w:hAnsi="宋体" w:cs="宋体"/>
          <w:color w:val="auto"/>
          <w:szCs w:val="21"/>
          <w:highlight w:val="none"/>
        </w:rPr>
        <w:t>月</w:t>
      </w:r>
      <w:r>
        <w:rPr>
          <w:rFonts w:hint="eastAsia" w:hAnsi="宋体" w:cs="宋体"/>
          <w:color w:val="auto"/>
          <w:szCs w:val="21"/>
          <w:highlight w:val="none"/>
          <w:lang w:val="en-US" w:eastAsia="zh-CN"/>
        </w:rPr>
        <w:t>30</w:t>
      </w:r>
      <w:r>
        <w:rPr>
          <w:rFonts w:hint="eastAsia" w:hAnsi="宋体" w:cs="宋体"/>
          <w:color w:val="auto"/>
          <w:szCs w:val="21"/>
          <w:highlight w:val="none"/>
        </w:rPr>
        <w:t>日</w:t>
      </w:r>
      <w:r>
        <w:rPr>
          <w:rFonts w:hint="eastAsia" w:hAnsi="宋体" w:cs="宋体"/>
          <w:color w:val="auto"/>
          <w:szCs w:val="21"/>
          <w:highlight w:val="none"/>
          <w:lang w:val="en-US" w:eastAsia="zh-CN"/>
        </w:rPr>
        <w:t>9</w:t>
      </w:r>
      <w:r>
        <w:rPr>
          <w:rFonts w:hint="eastAsia" w:hAnsi="宋体" w:cs="宋体"/>
          <w:color w:val="auto"/>
          <w:szCs w:val="21"/>
          <w:highlight w:val="none"/>
        </w:rPr>
        <w:t>：</w:t>
      </w:r>
      <w:r>
        <w:rPr>
          <w:rFonts w:hint="eastAsia" w:hAnsi="宋体" w:cs="宋体"/>
          <w:color w:val="auto"/>
          <w:szCs w:val="21"/>
          <w:highlight w:val="none"/>
          <w:lang w:val="en-US" w:eastAsia="zh-CN"/>
        </w:rPr>
        <w:t>3</w:t>
      </w:r>
      <w:r>
        <w:rPr>
          <w:rFonts w:hint="eastAsia" w:hAnsi="宋体" w:cs="宋体"/>
          <w:color w:val="auto"/>
          <w:szCs w:val="21"/>
          <w:highlight w:val="none"/>
        </w:rPr>
        <w:t>0（北京时间）。</w:t>
      </w:r>
    </w:p>
    <w:bookmarkEnd w:id="51"/>
    <w:bookmarkEnd w:id="52"/>
    <w:bookmarkEnd w:id="53"/>
    <w:bookmarkEnd w:id="54"/>
    <w:p w14:paraId="2C444E39">
      <w:pPr>
        <w:pStyle w:val="28"/>
        <w:adjustRightInd w:val="0"/>
        <w:snapToGrid w:val="0"/>
        <w:spacing w:line="480" w:lineRule="exact"/>
        <w:ind w:right="42" w:rightChars="20" w:firstLine="420" w:firstLineChars="200"/>
        <w:rPr>
          <w:rFonts w:hAnsi="宋体" w:cs="宋体"/>
          <w:color w:val="auto"/>
          <w:szCs w:val="21"/>
          <w:highlight w:val="none"/>
        </w:rPr>
      </w:pPr>
      <w:r>
        <w:rPr>
          <w:rFonts w:hint="eastAsia" w:hAnsi="宋体" w:cs="宋体"/>
          <w:color w:val="auto"/>
          <w:szCs w:val="21"/>
          <w:highlight w:val="none"/>
        </w:rPr>
        <w:t>2.投标地点：</w:t>
      </w:r>
      <w:r>
        <w:rPr>
          <w:rFonts w:hint="eastAsia" w:hAnsi="宋体" w:cs="宋体"/>
          <w:color w:val="auto"/>
          <w:szCs w:val="21"/>
          <w:highlight w:val="none"/>
          <w:lang w:eastAsia="zh-CN"/>
        </w:rPr>
        <w:t>云和县招标投标中心（云和县城南路1号体育馆一楼）</w:t>
      </w:r>
      <w:r>
        <w:rPr>
          <w:rFonts w:hint="eastAsia" w:hAnsi="宋体" w:cs="宋体"/>
          <w:color w:val="auto"/>
          <w:szCs w:val="21"/>
          <w:highlight w:val="none"/>
        </w:rPr>
        <w:t>。</w:t>
      </w:r>
    </w:p>
    <w:p w14:paraId="463C8902">
      <w:pPr>
        <w:pStyle w:val="3"/>
        <w:spacing w:line="480" w:lineRule="exact"/>
        <w:ind w:right="42" w:rightChars="2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五、公告期限</w:t>
      </w:r>
      <w:bookmarkEnd w:id="55"/>
      <w:bookmarkEnd w:id="56"/>
      <w:bookmarkEnd w:id="57"/>
      <w:bookmarkEnd w:id="58"/>
      <w:bookmarkEnd w:id="59"/>
      <w:bookmarkEnd w:id="60"/>
      <w:bookmarkEnd w:id="61"/>
      <w:bookmarkEnd w:id="62"/>
      <w:bookmarkEnd w:id="63"/>
    </w:p>
    <w:p w14:paraId="560654D0">
      <w:pPr>
        <w:spacing w:line="480" w:lineRule="exact"/>
        <w:ind w:right="42" w:rightChars="2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584A96B9">
      <w:pPr>
        <w:pStyle w:val="3"/>
        <w:numPr>
          <w:ilvl w:val="0"/>
          <w:numId w:val="4"/>
        </w:numPr>
        <w:spacing w:line="480" w:lineRule="exact"/>
        <w:ind w:right="42" w:rightChars="20"/>
        <w:jc w:val="left"/>
        <w:textAlignment w:val="auto"/>
        <w:rPr>
          <w:rFonts w:ascii="宋体" w:hAnsi="宋体" w:eastAsia="宋体" w:cs="宋体"/>
          <w:color w:val="auto"/>
          <w:sz w:val="21"/>
          <w:szCs w:val="21"/>
          <w:highlight w:val="none"/>
        </w:rPr>
      </w:pPr>
      <w:bookmarkStart w:id="64" w:name="_Toc45525449"/>
      <w:bookmarkStart w:id="65" w:name="_Toc45525498"/>
      <w:bookmarkStart w:id="66" w:name="_Toc45640135"/>
      <w:bookmarkStart w:id="67" w:name="_Toc6132"/>
      <w:bookmarkStart w:id="68" w:name="_Toc35393635"/>
      <w:bookmarkStart w:id="69" w:name="_Toc35393804"/>
      <w:bookmarkStart w:id="70" w:name="_Toc51317773"/>
      <w:r>
        <w:rPr>
          <w:rFonts w:hint="eastAsia" w:ascii="宋体" w:hAnsi="宋体" w:eastAsia="宋体" w:cs="宋体"/>
          <w:color w:val="auto"/>
          <w:sz w:val="21"/>
          <w:szCs w:val="21"/>
          <w:highlight w:val="none"/>
        </w:rPr>
        <w:t>其他补充事宜</w:t>
      </w:r>
      <w:bookmarkEnd w:id="64"/>
      <w:bookmarkEnd w:id="65"/>
      <w:bookmarkEnd w:id="66"/>
      <w:bookmarkEnd w:id="67"/>
      <w:bookmarkEnd w:id="68"/>
      <w:bookmarkEnd w:id="69"/>
      <w:bookmarkEnd w:id="70"/>
    </w:p>
    <w:p w14:paraId="531A75EC">
      <w:pPr>
        <w:pStyle w:val="28"/>
        <w:adjustRightInd w:val="0"/>
        <w:snapToGrid w:val="0"/>
        <w:spacing w:line="480" w:lineRule="exact"/>
        <w:ind w:right="42" w:rightChars="20" w:firstLine="420" w:firstLineChars="200"/>
        <w:rPr>
          <w:rFonts w:hAnsi="宋体" w:cs="宋体"/>
          <w:color w:val="auto"/>
          <w:szCs w:val="21"/>
          <w:highlight w:val="none"/>
        </w:rPr>
      </w:pPr>
      <w:r>
        <w:rPr>
          <w:rFonts w:hint="eastAsia" w:hAnsi="宋体" w:cs="宋体"/>
          <w:color w:val="auto"/>
          <w:szCs w:val="21"/>
          <w:highlight w:val="none"/>
        </w:rPr>
        <w:t>1.本项目不收取投标保证金。</w:t>
      </w:r>
    </w:p>
    <w:p w14:paraId="14D96A0A">
      <w:pPr>
        <w:pStyle w:val="28"/>
        <w:adjustRightInd w:val="0"/>
        <w:snapToGrid w:val="0"/>
        <w:spacing w:line="480" w:lineRule="exact"/>
        <w:ind w:right="42" w:rightChars="20" w:firstLine="420" w:firstLineChars="200"/>
        <w:rPr>
          <w:rFonts w:hAnsi="宋体" w:cs="宋体"/>
          <w:color w:val="auto"/>
          <w:szCs w:val="21"/>
          <w:highlight w:val="none"/>
        </w:rPr>
      </w:pPr>
      <w:r>
        <w:rPr>
          <w:rFonts w:hint="eastAsia" w:hAnsi="宋体" w:cs="宋体"/>
          <w:color w:val="auto"/>
          <w:szCs w:val="21"/>
          <w:highlight w:val="none"/>
        </w:rPr>
        <w:t>2.履约保证金</w:t>
      </w:r>
      <w:r>
        <w:rPr>
          <w:rFonts w:hint="eastAsia" w:hAnsi="宋体" w:cs="宋体"/>
          <w:color w:val="auto"/>
          <w:szCs w:val="21"/>
          <w:highlight w:val="none"/>
          <w:lang w:eastAsia="zh-CN"/>
        </w:rPr>
        <w:t>：</w:t>
      </w:r>
      <w:r>
        <w:rPr>
          <w:rFonts w:hint="eastAsia" w:hAnsi="宋体" w:cs="宋体"/>
          <w:color w:val="auto"/>
          <w:szCs w:val="21"/>
          <w:highlight w:val="none"/>
          <w:lang w:val="en-US" w:eastAsia="zh-CN"/>
        </w:rPr>
        <w:t>合同价的1%</w:t>
      </w:r>
      <w:r>
        <w:rPr>
          <w:rFonts w:hint="eastAsia" w:hAnsi="宋体" w:cs="宋体"/>
          <w:color w:val="auto"/>
          <w:szCs w:val="21"/>
          <w:highlight w:val="none"/>
        </w:rPr>
        <w:t>。</w:t>
      </w:r>
    </w:p>
    <w:p w14:paraId="53C6C38D">
      <w:pPr>
        <w:pStyle w:val="28"/>
        <w:adjustRightInd w:val="0"/>
        <w:snapToGrid w:val="0"/>
        <w:spacing w:line="480" w:lineRule="exact"/>
        <w:ind w:right="42" w:rightChars="20" w:firstLine="420" w:firstLineChars="200"/>
        <w:rPr>
          <w:rFonts w:hAnsi="宋体" w:cs="宋体"/>
          <w:color w:val="auto"/>
          <w:szCs w:val="21"/>
          <w:highlight w:val="none"/>
        </w:rPr>
      </w:pPr>
      <w:r>
        <w:rPr>
          <w:rFonts w:hint="eastAsia" w:hAnsi="宋体" w:cs="宋体"/>
          <w:color w:val="auto"/>
          <w:szCs w:val="21"/>
          <w:highlight w:val="none"/>
        </w:rPr>
        <w:t>3.</w:t>
      </w:r>
      <w:r>
        <w:rPr>
          <w:rFonts w:hint="eastAsia" w:cs="宋体"/>
          <w:color w:val="auto"/>
          <w:szCs w:val="21"/>
          <w:highlight w:val="none"/>
        </w:rPr>
        <w:t>其他事项：</w:t>
      </w:r>
    </w:p>
    <w:p w14:paraId="6E18416E">
      <w:pPr>
        <w:pStyle w:val="47"/>
        <w:spacing w:line="480" w:lineRule="exact"/>
        <w:ind w:right="42" w:rightChars="20" w:firstLine="420" w:firstLineChars="200"/>
        <w:rPr>
          <w:rFonts w:hint="eastAsia" w:eastAsia="宋体" w:cs="宋体"/>
          <w:color w:val="auto"/>
          <w:sz w:val="21"/>
          <w:szCs w:val="21"/>
          <w:highlight w:val="none"/>
          <w:lang w:eastAsia="zh-CN"/>
        </w:rPr>
      </w:pPr>
      <w:r>
        <w:rPr>
          <w:rFonts w:hint="eastAsia" w:cs="宋体"/>
          <w:color w:val="auto"/>
          <w:sz w:val="21"/>
          <w:szCs w:val="21"/>
          <w:highlight w:val="none"/>
        </w:rPr>
        <w:t>1）采购信息发布媒介：浙江政府采购网</w:t>
      </w:r>
      <w:r>
        <w:rPr>
          <w:color w:val="auto"/>
          <w:highlight w:val="none"/>
        </w:rPr>
        <w:fldChar w:fldCharType="begin"/>
      </w:r>
      <w:r>
        <w:rPr>
          <w:color w:val="auto"/>
          <w:highlight w:val="none"/>
        </w:rPr>
        <w:instrText xml:space="preserve"> HYPERLINK "http://60.190.126.3:8080/wcm/WCMV6/editor/editor/招标文件（新版）.doc" </w:instrText>
      </w:r>
      <w:r>
        <w:rPr>
          <w:color w:val="auto"/>
          <w:highlight w:val="none"/>
        </w:rPr>
        <w:fldChar w:fldCharType="separate"/>
      </w:r>
      <w:r>
        <w:rPr>
          <w:rFonts w:hint="eastAsia" w:cs="宋体"/>
          <w:color w:val="auto"/>
          <w:sz w:val="21"/>
          <w:szCs w:val="21"/>
          <w:highlight w:val="none"/>
        </w:rPr>
        <w:t>https://zfcg.czt.zj.gov.cn/</w:t>
      </w:r>
      <w:r>
        <w:rPr>
          <w:rFonts w:hint="eastAsia" w:cs="宋体"/>
          <w:color w:val="auto"/>
          <w:sz w:val="21"/>
          <w:szCs w:val="21"/>
          <w:highlight w:val="none"/>
        </w:rPr>
        <w:fldChar w:fldCharType="end"/>
      </w:r>
      <w:r>
        <w:rPr>
          <w:rFonts w:hint="eastAsia" w:cs="宋体"/>
          <w:color w:val="auto"/>
          <w:sz w:val="21"/>
          <w:szCs w:val="21"/>
          <w:highlight w:val="none"/>
          <w:lang w:eastAsia="zh-CN"/>
        </w:rPr>
        <w:t>、</w:t>
      </w:r>
      <w:r>
        <w:rPr>
          <w:rFonts w:hint="eastAsia" w:ascii="宋体" w:hAnsi="宋体" w:eastAsia="宋体" w:cs="宋体"/>
          <w:i w:val="0"/>
          <w:iCs w:val="0"/>
          <w:caps w:val="0"/>
          <w:color w:val="auto"/>
          <w:spacing w:val="0"/>
          <w:sz w:val="21"/>
          <w:szCs w:val="21"/>
          <w:highlight w:val="none"/>
          <w:shd w:val="clear" w:fill="FFFFFF"/>
        </w:rPr>
        <w:t>丽水市公共资源交易网</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cs="宋体"/>
          <w:i w:val="0"/>
          <w:iCs w:val="0"/>
          <w:caps w:val="0"/>
          <w:color w:val="auto"/>
          <w:spacing w:val="0"/>
          <w:sz w:val="21"/>
          <w:szCs w:val="21"/>
          <w:highlight w:val="none"/>
          <w:shd w:val="clear" w:fill="FFFFFF"/>
          <w:lang w:val="en-US" w:eastAsia="zh-CN"/>
        </w:rPr>
        <w:t>云和）</w:t>
      </w:r>
      <w:r>
        <w:rPr>
          <w:rFonts w:hint="eastAsia" w:ascii="宋体" w:hAnsi="宋体" w:eastAsia="宋体" w:cs="宋体"/>
          <w:i w:val="0"/>
          <w:iCs w:val="0"/>
          <w:caps w:val="0"/>
          <w:color w:val="auto"/>
          <w:spacing w:val="0"/>
          <w:sz w:val="21"/>
          <w:szCs w:val="21"/>
          <w:highlight w:val="none"/>
          <w:shd w:val="clear" w:fill="FFFFFF"/>
        </w:rPr>
        <w:t>（http</w:t>
      </w:r>
      <w:r>
        <w:rPr>
          <w:rFonts w:hint="eastAsia" w:cs="宋体"/>
          <w:i w:val="0"/>
          <w:iCs w:val="0"/>
          <w:caps w:val="0"/>
          <w:color w:val="auto"/>
          <w:spacing w:val="0"/>
          <w:sz w:val="21"/>
          <w:szCs w:val="21"/>
          <w:highlight w:val="none"/>
          <w:shd w:val="clear" w:fill="FFFFFF"/>
          <w:lang w:val="en-US" w:eastAsia="zh-CN"/>
        </w:rPr>
        <w:t>s</w:t>
      </w:r>
      <w:r>
        <w:rPr>
          <w:rFonts w:hint="eastAsia" w:ascii="宋体" w:hAnsi="宋体" w:eastAsia="宋体" w:cs="宋体"/>
          <w:i w:val="0"/>
          <w:iCs w:val="0"/>
          <w:caps w:val="0"/>
          <w:color w:val="auto"/>
          <w:spacing w:val="0"/>
          <w:sz w:val="21"/>
          <w:szCs w:val="21"/>
          <w:highlight w:val="none"/>
          <w:shd w:val="clear" w:fill="FFFFFF"/>
        </w:rPr>
        <w:t>://lssggzy.lishui.gov.cn/）</w:t>
      </w:r>
      <w:r>
        <w:rPr>
          <w:rFonts w:hint="eastAsia" w:cs="宋体"/>
          <w:color w:val="auto"/>
          <w:sz w:val="21"/>
          <w:szCs w:val="21"/>
          <w:highlight w:val="none"/>
          <w:lang w:eastAsia="zh-CN"/>
        </w:rPr>
        <w:t>；</w:t>
      </w:r>
    </w:p>
    <w:p w14:paraId="37BA88AD">
      <w:pPr>
        <w:pStyle w:val="47"/>
        <w:spacing w:line="480" w:lineRule="exact"/>
        <w:ind w:right="42" w:rightChars="20" w:firstLine="420" w:firstLineChars="200"/>
        <w:rPr>
          <w:rFonts w:hint="eastAsia" w:eastAsia="宋体" w:cs="宋体"/>
          <w:color w:val="auto"/>
          <w:sz w:val="21"/>
          <w:szCs w:val="21"/>
          <w:highlight w:val="none"/>
          <w:lang w:eastAsia="zh-CN"/>
        </w:rPr>
      </w:pPr>
      <w:r>
        <w:rPr>
          <w:rFonts w:hint="eastAsia" w:cs="宋体"/>
          <w:color w:val="auto"/>
          <w:sz w:val="21"/>
          <w:szCs w:val="21"/>
          <w:highlight w:val="none"/>
        </w:rPr>
        <w:t>2）联系邮箱：</w:t>
      </w:r>
      <w:r>
        <w:rPr>
          <w:rFonts w:hint="eastAsia" w:cs="宋体"/>
          <w:color w:val="auto"/>
          <w:sz w:val="21"/>
          <w:szCs w:val="21"/>
          <w:highlight w:val="none"/>
          <w:lang w:eastAsia="zh-CN"/>
        </w:rPr>
        <w:t>2279027085@qq.com。</w:t>
      </w:r>
    </w:p>
    <w:p w14:paraId="21E1F4CE">
      <w:pPr>
        <w:pStyle w:val="47"/>
        <w:spacing w:line="480" w:lineRule="exact"/>
        <w:ind w:right="42" w:rightChars="20"/>
        <w:rPr>
          <w:rFonts w:cs="宋体"/>
          <w:b/>
          <w:color w:val="auto"/>
          <w:sz w:val="21"/>
          <w:szCs w:val="21"/>
          <w:highlight w:val="none"/>
        </w:rPr>
      </w:pPr>
      <w:r>
        <w:rPr>
          <w:rFonts w:hint="eastAsia" w:cs="宋体"/>
          <w:b/>
          <w:color w:val="auto"/>
          <w:sz w:val="21"/>
          <w:szCs w:val="21"/>
          <w:highlight w:val="none"/>
        </w:rPr>
        <w:t>七、凡对本次招标提出询问、质疑、投诉，请按以下方式联系</w:t>
      </w:r>
    </w:p>
    <w:p w14:paraId="500E2B8B">
      <w:pPr>
        <w:pStyle w:val="47"/>
        <w:spacing w:line="480" w:lineRule="exact"/>
        <w:ind w:right="42" w:rightChars="20" w:firstLine="422" w:firstLineChars="200"/>
        <w:rPr>
          <w:rFonts w:cs="宋体"/>
          <w:b/>
          <w:bCs/>
          <w:color w:val="auto"/>
          <w:sz w:val="21"/>
          <w:szCs w:val="21"/>
          <w:highlight w:val="none"/>
        </w:rPr>
      </w:pPr>
      <w:r>
        <w:rPr>
          <w:rFonts w:hint="eastAsia" w:cs="宋体"/>
          <w:b/>
          <w:bCs/>
          <w:color w:val="auto"/>
          <w:sz w:val="21"/>
          <w:szCs w:val="21"/>
          <w:highlight w:val="none"/>
        </w:rPr>
        <w:t>1.采购人信息</w:t>
      </w:r>
    </w:p>
    <w:p w14:paraId="46A73B1A">
      <w:pPr>
        <w:pStyle w:val="47"/>
        <w:spacing w:line="480" w:lineRule="exact"/>
        <w:ind w:right="42" w:rightChars="20" w:firstLine="420" w:firstLineChars="200"/>
        <w:rPr>
          <w:rFonts w:cs="宋体"/>
          <w:color w:val="auto"/>
          <w:sz w:val="21"/>
          <w:szCs w:val="21"/>
          <w:highlight w:val="none"/>
        </w:rPr>
      </w:pPr>
      <w:r>
        <w:rPr>
          <w:rFonts w:hint="eastAsia" w:cs="宋体"/>
          <w:color w:val="auto"/>
          <w:sz w:val="21"/>
          <w:szCs w:val="21"/>
          <w:highlight w:val="none"/>
        </w:rPr>
        <w:t>名    称：</w:t>
      </w:r>
      <w:r>
        <w:rPr>
          <w:rFonts w:hint="eastAsia" w:cs="宋体"/>
          <w:color w:val="auto"/>
          <w:sz w:val="21"/>
          <w:szCs w:val="21"/>
          <w:highlight w:val="none"/>
          <w:lang w:eastAsia="zh-CN"/>
        </w:rPr>
        <w:t>云和县城市建设投资集团有限公司</w:t>
      </w:r>
      <w:r>
        <w:rPr>
          <w:rFonts w:hint="eastAsia" w:cs="宋体"/>
          <w:color w:val="auto"/>
          <w:sz w:val="21"/>
          <w:szCs w:val="21"/>
          <w:highlight w:val="none"/>
        </w:rPr>
        <w:t> </w:t>
      </w:r>
    </w:p>
    <w:p w14:paraId="3F0BB6A4">
      <w:pPr>
        <w:pStyle w:val="47"/>
        <w:spacing w:line="480" w:lineRule="exact"/>
        <w:ind w:right="42" w:rightChars="20" w:firstLine="420" w:firstLineChars="200"/>
        <w:rPr>
          <w:rFonts w:cs="宋体"/>
          <w:color w:val="auto"/>
          <w:sz w:val="21"/>
          <w:szCs w:val="21"/>
          <w:highlight w:val="none"/>
        </w:rPr>
      </w:pPr>
      <w:r>
        <w:rPr>
          <w:rFonts w:hint="eastAsia" w:cs="宋体"/>
          <w:color w:val="auto"/>
          <w:sz w:val="21"/>
          <w:szCs w:val="21"/>
          <w:highlight w:val="none"/>
        </w:rPr>
        <w:t>地    址：</w:t>
      </w:r>
      <w:r>
        <w:rPr>
          <w:rFonts w:hint="eastAsia" w:ascii="宋体" w:hAnsi="宋体" w:eastAsia="宋体" w:cs="宋体"/>
          <w:color w:val="auto"/>
          <w:sz w:val="21"/>
          <w:szCs w:val="21"/>
          <w:highlight w:val="none"/>
          <w:lang w:val="en-US" w:eastAsia="zh-CN"/>
        </w:rPr>
        <w:t>云和县南山路南段201号云北智创中心</w:t>
      </w:r>
    </w:p>
    <w:p w14:paraId="46BD264C">
      <w:pPr>
        <w:pStyle w:val="47"/>
        <w:spacing w:line="480" w:lineRule="exact"/>
        <w:ind w:right="42" w:rightChars="20" w:firstLine="420" w:firstLineChars="200"/>
        <w:rPr>
          <w:rFonts w:hint="eastAsia" w:eastAsia="宋体" w:cs="宋体"/>
          <w:color w:val="auto"/>
          <w:sz w:val="21"/>
          <w:szCs w:val="21"/>
          <w:highlight w:val="none"/>
          <w:lang w:eastAsia="zh-CN"/>
        </w:rPr>
      </w:pPr>
      <w:r>
        <w:rPr>
          <w:rFonts w:hint="eastAsia" w:cs="宋体"/>
          <w:color w:val="auto"/>
          <w:sz w:val="21"/>
          <w:szCs w:val="21"/>
          <w:highlight w:val="none"/>
        </w:rPr>
        <w:t>项目联系人（询问）：</w:t>
      </w:r>
      <w:r>
        <w:rPr>
          <w:rFonts w:hint="eastAsia" w:cs="宋体"/>
          <w:color w:val="auto"/>
          <w:sz w:val="21"/>
          <w:szCs w:val="21"/>
          <w:highlight w:val="none"/>
          <w:lang w:val="en-US" w:eastAsia="zh-CN"/>
        </w:rPr>
        <w:t>蓝松青</w:t>
      </w:r>
      <w:r>
        <w:rPr>
          <w:rFonts w:hint="eastAsia" w:cs="宋体"/>
          <w:color w:val="auto"/>
          <w:sz w:val="21"/>
          <w:szCs w:val="21"/>
          <w:highlight w:val="none"/>
        </w:rPr>
        <w:t xml:space="preserve"> </w:t>
      </w:r>
    </w:p>
    <w:p w14:paraId="4E2FB08F">
      <w:pPr>
        <w:pStyle w:val="47"/>
        <w:spacing w:line="48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项目联系方式（询问）：</w:t>
      </w:r>
      <w:r>
        <w:rPr>
          <w:rFonts w:hint="eastAsia" w:ascii="宋体" w:hAnsi="宋体" w:cs="宋体"/>
          <w:color w:val="auto"/>
          <w:sz w:val="21"/>
          <w:szCs w:val="21"/>
          <w:highlight w:val="none"/>
          <w:lang w:val="en-US" w:eastAsia="zh-CN"/>
        </w:rPr>
        <w:t>0578-5567893</w:t>
      </w:r>
    </w:p>
    <w:p w14:paraId="18FC1ABC">
      <w:pPr>
        <w:pStyle w:val="47"/>
        <w:spacing w:line="48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质疑联系人：吴文伟</w:t>
      </w:r>
    </w:p>
    <w:p w14:paraId="59B0775B">
      <w:pPr>
        <w:pStyle w:val="47"/>
        <w:spacing w:line="480" w:lineRule="exact"/>
        <w:ind w:right="42" w:rightChars="20"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质疑联系方式：0578-5529702</w:t>
      </w:r>
    </w:p>
    <w:p w14:paraId="42B177E6">
      <w:pPr>
        <w:pStyle w:val="47"/>
        <w:spacing w:line="480" w:lineRule="exact"/>
        <w:ind w:right="42" w:rightChars="20" w:firstLine="422" w:firstLineChars="200"/>
        <w:rPr>
          <w:rFonts w:cs="宋体"/>
          <w:b/>
          <w:bCs/>
          <w:color w:val="auto"/>
          <w:sz w:val="21"/>
          <w:szCs w:val="21"/>
          <w:highlight w:val="none"/>
        </w:rPr>
      </w:pPr>
      <w:r>
        <w:rPr>
          <w:rFonts w:hint="eastAsia" w:cs="宋体"/>
          <w:b/>
          <w:bCs/>
          <w:color w:val="auto"/>
          <w:sz w:val="21"/>
          <w:szCs w:val="21"/>
          <w:highlight w:val="none"/>
        </w:rPr>
        <w:t>2.招标代理机构信息</w:t>
      </w:r>
    </w:p>
    <w:p w14:paraId="1D68424C">
      <w:pPr>
        <w:pStyle w:val="47"/>
        <w:spacing w:line="480" w:lineRule="exact"/>
        <w:ind w:right="42" w:rightChars="20" w:firstLine="420" w:firstLineChars="200"/>
        <w:rPr>
          <w:rFonts w:cs="宋体"/>
          <w:color w:val="auto"/>
          <w:sz w:val="21"/>
          <w:szCs w:val="21"/>
          <w:highlight w:val="none"/>
        </w:rPr>
      </w:pPr>
      <w:r>
        <w:rPr>
          <w:rFonts w:hint="eastAsia" w:cs="宋体"/>
          <w:color w:val="auto"/>
          <w:sz w:val="21"/>
          <w:szCs w:val="21"/>
          <w:highlight w:val="none"/>
        </w:rPr>
        <w:t>名    称：浙江大兴建设项目管理咨询有限公司 </w:t>
      </w:r>
    </w:p>
    <w:p w14:paraId="42C5111E">
      <w:pPr>
        <w:pStyle w:val="47"/>
        <w:spacing w:line="480" w:lineRule="exact"/>
        <w:ind w:right="42" w:rightChars="20" w:firstLine="420" w:firstLineChars="200"/>
        <w:rPr>
          <w:rFonts w:cs="宋体"/>
          <w:color w:val="auto"/>
          <w:sz w:val="21"/>
          <w:szCs w:val="21"/>
          <w:highlight w:val="none"/>
        </w:rPr>
      </w:pPr>
      <w:r>
        <w:rPr>
          <w:rFonts w:hint="eastAsia" w:cs="宋体"/>
          <w:color w:val="auto"/>
          <w:sz w:val="21"/>
          <w:szCs w:val="21"/>
          <w:highlight w:val="none"/>
        </w:rPr>
        <w:t>地    址：浙江省丽水市莲都区丽青路141号 </w:t>
      </w:r>
    </w:p>
    <w:p w14:paraId="42B175CE">
      <w:pPr>
        <w:pStyle w:val="47"/>
        <w:spacing w:line="480" w:lineRule="exact"/>
        <w:ind w:right="42" w:rightChars="20" w:firstLine="420" w:firstLineChars="200"/>
        <w:rPr>
          <w:rFonts w:cs="宋体"/>
          <w:color w:val="auto"/>
          <w:sz w:val="21"/>
          <w:szCs w:val="21"/>
          <w:highlight w:val="none"/>
        </w:rPr>
      </w:pPr>
      <w:r>
        <w:rPr>
          <w:rFonts w:hint="eastAsia" w:cs="宋体"/>
          <w:color w:val="auto"/>
          <w:sz w:val="21"/>
          <w:szCs w:val="21"/>
          <w:highlight w:val="none"/>
        </w:rPr>
        <w:t>传    真：0578-21</w:t>
      </w:r>
      <w:r>
        <w:rPr>
          <w:rFonts w:hint="eastAsia" w:cs="宋体"/>
          <w:color w:val="auto"/>
          <w:sz w:val="21"/>
          <w:szCs w:val="21"/>
          <w:highlight w:val="none"/>
          <w:lang w:val="en-US" w:eastAsia="zh-CN"/>
        </w:rPr>
        <w:t>21173</w:t>
      </w:r>
      <w:r>
        <w:rPr>
          <w:rFonts w:hint="eastAsia" w:cs="宋体"/>
          <w:color w:val="auto"/>
          <w:sz w:val="21"/>
          <w:szCs w:val="21"/>
          <w:highlight w:val="none"/>
        </w:rPr>
        <w:t> </w:t>
      </w:r>
    </w:p>
    <w:p w14:paraId="05824606">
      <w:pPr>
        <w:pStyle w:val="47"/>
        <w:spacing w:line="480" w:lineRule="exact"/>
        <w:ind w:right="42" w:rightChars="20" w:firstLine="420" w:firstLineChars="200"/>
        <w:rPr>
          <w:rFonts w:hint="default" w:eastAsia="宋体" w:cs="宋体"/>
          <w:color w:val="auto"/>
          <w:sz w:val="21"/>
          <w:szCs w:val="21"/>
          <w:highlight w:val="none"/>
          <w:lang w:val="en-US" w:eastAsia="zh-CN"/>
        </w:rPr>
      </w:pPr>
      <w:r>
        <w:rPr>
          <w:rFonts w:hint="eastAsia" w:cs="宋体"/>
          <w:color w:val="auto"/>
          <w:sz w:val="21"/>
          <w:szCs w:val="21"/>
          <w:highlight w:val="none"/>
        </w:rPr>
        <w:t>项目联系人（询问）：林波军、</w:t>
      </w:r>
      <w:r>
        <w:rPr>
          <w:rFonts w:hint="eastAsia" w:cs="宋体"/>
          <w:color w:val="auto"/>
          <w:sz w:val="21"/>
          <w:szCs w:val="21"/>
          <w:highlight w:val="none"/>
          <w:lang w:val="en-US" w:eastAsia="zh-CN"/>
        </w:rPr>
        <w:t>冯炜贺</w:t>
      </w:r>
    </w:p>
    <w:p w14:paraId="65C74511">
      <w:pPr>
        <w:pStyle w:val="47"/>
        <w:spacing w:line="480" w:lineRule="exact"/>
        <w:ind w:right="42" w:rightChars="20" w:firstLine="420" w:firstLineChars="200"/>
        <w:rPr>
          <w:rFonts w:cs="宋体"/>
          <w:color w:val="auto"/>
          <w:sz w:val="21"/>
          <w:szCs w:val="21"/>
          <w:highlight w:val="none"/>
        </w:rPr>
      </w:pPr>
      <w:r>
        <w:rPr>
          <w:rFonts w:hint="eastAsia" w:cs="宋体"/>
          <w:color w:val="auto"/>
          <w:sz w:val="21"/>
          <w:szCs w:val="21"/>
          <w:highlight w:val="none"/>
        </w:rPr>
        <w:t>项目联系方式（询问）：0578-215</w:t>
      </w:r>
      <w:r>
        <w:rPr>
          <w:rFonts w:hint="eastAsia" w:cs="宋体"/>
          <w:color w:val="auto"/>
          <w:sz w:val="21"/>
          <w:szCs w:val="21"/>
          <w:highlight w:val="none"/>
          <w:lang w:val="en-US" w:eastAsia="zh-CN"/>
        </w:rPr>
        <w:t>3353</w:t>
      </w:r>
      <w:r>
        <w:rPr>
          <w:rFonts w:hint="eastAsia" w:cs="宋体"/>
          <w:color w:val="auto"/>
          <w:sz w:val="21"/>
          <w:szCs w:val="21"/>
          <w:highlight w:val="none"/>
        </w:rPr>
        <w:t> </w:t>
      </w:r>
    </w:p>
    <w:p w14:paraId="404EF26B">
      <w:pPr>
        <w:pStyle w:val="47"/>
        <w:spacing w:line="480" w:lineRule="exact"/>
        <w:ind w:right="42" w:rightChars="20" w:firstLine="420" w:firstLineChars="200"/>
        <w:rPr>
          <w:rFonts w:cs="宋体"/>
          <w:color w:val="auto"/>
          <w:sz w:val="21"/>
          <w:szCs w:val="21"/>
          <w:highlight w:val="none"/>
        </w:rPr>
      </w:pPr>
      <w:r>
        <w:rPr>
          <w:rFonts w:hint="eastAsia" w:cs="宋体"/>
          <w:color w:val="auto"/>
          <w:sz w:val="21"/>
          <w:szCs w:val="21"/>
          <w:highlight w:val="none"/>
        </w:rPr>
        <w:t>质疑联系人：</w:t>
      </w:r>
      <w:r>
        <w:rPr>
          <w:rFonts w:hint="eastAsia" w:cs="宋体"/>
          <w:color w:val="auto"/>
          <w:sz w:val="21"/>
          <w:szCs w:val="21"/>
          <w:highlight w:val="none"/>
          <w:lang w:val="en-US" w:eastAsia="zh-CN"/>
        </w:rPr>
        <w:t>陈龙娇</w:t>
      </w:r>
      <w:r>
        <w:rPr>
          <w:rFonts w:hint="eastAsia" w:cs="宋体"/>
          <w:color w:val="auto"/>
          <w:sz w:val="21"/>
          <w:szCs w:val="21"/>
          <w:highlight w:val="none"/>
        </w:rPr>
        <w:t> </w:t>
      </w:r>
    </w:p>
    <w:p w14:paraId="0C475094">
      <w:pPr>
        <w:pStyle w:val="47"/>
        <w:spacing w:line="480" w:lineRule="exact"/>
        <w:ind w:right="42" w:rightChars="20" w:firstLine="420" w:firstLineChars="200"/>
        <w:rPr>
          <w:rFonts w:cs="宋体"/>
          <w:color w:val="auto"/>
          <w:sz w:val="21"/>
          <w:szCs w:val="21"/>
          <w:highlight w:val="none"/>
        </w:rPr>
      </w:pPr>
      <w:r>
        <w:rPr>
          <w:rFonts w:hint="eastAsia" w:cs="宋体"/>
          <w:color w:val="auto"/>
          <w:sz w:val="21"/>
          <w:szCs w:val="21"/>
          <w:highlight w:val="none"/>
        </w:rPr>
        <w:t xml:space="preserve">质疑联系方式：0578-2151491 </w:t>
      </w:r>
    </w:p>
    <w:p w14:paraId="1498184B">
      <w:pPr>
        <w:pStyle w:val="47"/>
        <w:spacing w:line="400" w:lineRule="exact"/>
        <w:ind w:right="42" w:rightChars="20" w:firstLine="422" w:firstLineChars="200"/>
        <w:rPr>
          <w:rFonts w:cs="宋体"/>
          <w:b/>
          <w:bCs/>
          <w:color w:val="auto"/>
          <w:sz w:val="21"/>
          <w:szCs w:val="21"/>
          <w:highlight w:val="none"/>
        </w:rPr>
      </w:pPr>
      <w:r>
        <w:rPr>
          <w:rFonts w:hint="eastAsia" w:cs="宋体"/>
          <w:b/>
          <w:bCs/>
          <w:color w:val="auto"/>
          <w:sz w:val="21"/>
          <w:szCs w:val="21"/>
          <w:highlight w:val="none"/>
        </w:rPr>
        <w:t xml:space="preserve"> 3.该项目由采购人处理采购争议。质疑环节，采购人委托采购代理机构处理的，可由采购代理机构答复。对质疑答复不满意的，向采购人内部设置的采购监督机构反映。</w:t>
      </w:r>
    </w:p>
    <w:p w14:paraId="3D8FEEE7">
      <w:pPr>
        <w:pStyle w:val="47"/>
        <w:spacing w:line="480" w:lineRule="exact"/>
        <w:ind w:right="42" w:rightChars="20" w:firstLine="420" w:firstLineChars="200"/>
        <w:rPr>
          <w:rFonts w:cs="宋体"/>
          <w:color w:val="auto"/>
          <w:sz w:val="21"/>
          <w:szCs w:val="21"/>
          <w:highlight w:val="none"/>
        </w:rPr>
      </w:pPr>
    </w:p>
    <w:p w14:paraId="59822840">
      <w:pPr>
        <w:pStyle w:val="47"/>
        <w:spacing w:line="500" w:lineRule="exact"/>
        <w:ind w:right="42" w:rightChars="20" w:firstLine="422" w:firstLineChars="200"/>
        <w:rPr>
          <w:rFonts w:cs="宋体"/>
          <w:b/>
          <w:bCs/>
          <w:color w:val="auto"/>
          <w:sz w:val="21"/>
          <w:szCs w:val="21"/>
          <w:highlight w:val="none"/>
        </w:rPr>
      </w:pPr>
      <w:r>
        <w:rPr>
          <w:rFonts w:hint="eastAsia" w:cs="宋体"/>
          <w:b/>
          <w:bCs/>
          <w:color w:val="auto"/>
          <w:sz w:val="21"/>
          <w:szCs w:val="21"/>
          <w:highlight w:val="none"/>
        </w:rPr>
        <w:t xml:space="preserve">                                                   </w:t>
      </w:r>
    </w:p>
    <w:p w14:paraId="2B2780E6">
      <w:pPr>
        <w:pStyle w:val="47"/>
        <w:spacing w:line="500" w:lineRule="exact"/>
        <w:ind w:right="42" w:rightChars="20" w:firstLine="422" w:firstLineChars="200"/>
        <w:jc w:val="right"/>
        <w:rPr>
          <w:rFonts w:cs="宋体"/>
          <w:b/>
          <w:bCs/>
          <w:color w:val="auto"/>
          <w:sz w:val="21"/>
          <w:szCs w:val="21"/>
          <w:highlight w:val="none"/>
        </w:rPr>
      </w:pPr>
    </w:p>
    <w:p w14:paraId="0584B873">
      <w:pPr>
        <w:pStyle w:val="47"/>
        <w:spacing w:line="500" w:lineRule="exact"/>
        <w:ind w:right="42" w:rightChars="20" w:firstLine="422" w:firstLineChars="200"/>
        <w:jc w:val="right"/>
        <w:rPr>
          <w:rFonts w:cs="宋体"/>
          <w:color w:val="auto"/>
          <w:sz w:val="21"/>
          <w:szCs w:val="21"/>
          <w:highlight w:val="none"/>
        </w:rPr>
      </w:pPr>
      <w:r>
        <w:rPr>
          <w:rFonts w:hint="eastAsia" w:cs="宋体"/>
          <w:b/>
          <w:bCs/>
          <w:color w:val="auto"/>
          <w:sz w:val="21"/>
          <w:szCs w:val="21"/>
          <w:highlight w:val="none"/>
        </w:rPr>
        <w:t xml:space="preserve">   </w:t>
      </w:r>
      <w:r>
        <w:rPr>
          <w:rFonts w:hint="eastAsia" w:cs="宋体"/>
          <w:color w:val="auto"/>
          <w:sz w:val="21"/>
          <w:szCs w:val="21"/>
          <w:highlight w:val="none"/>
        </w:rPr>
        <w:t xml:space="preserve"> 公告发布日期：202</w:t>
      </w:r>
      <w:r>
        <w:rPr>
          <w:rFonts w:hint="eastAsia" w:cs="宋体"/>
          <w:color w:val="auto"/>
          <w:sz w:val="21"/>
          <w:szCs w:val="21"/>
          <w:highlight w:val="none"/>
          <w:lang w:val="en-US" w:eastAsia="zh-CN"/>
        </w:rPr>
        <w:t>4</w:t>
      </w:r>
      <w:r>
        <w:rPr>
          <w:rFonts w:hint="eastAsia" w:cs="宋体"/>
          <w:color w:val="auto"/>
          <w:sz w:val="21"/>
          <w:szCs w:val="21"/>
          <w:highlight w:val="none"/>
        </w:rPr>
        <w:t>年</w:t>
      </w:r>
      <w:r>
        <w:rPr>
          <w:rFonts w:hint="eastAsia" w:cs="宋体"/>
          <w:color w:val="auto"/>
          <w:sz w:val="21"/>
          <w:szCs w:val="21"/>
          <w:highlight w:val="none"/>
          <w:lang w:val="en-US" w:eastAsia="zh-CN"/>
        </w:rPr>
        <w:t>10</w:t>
      </w:r>
      <w:r>
        <w:rPr>
          <w:rFonts w:hint="eastAsia" w:cs="宋体"/>
          <w:color w:val="auto"/>
          <w:sz w:val="21"/>
          <w:szCs w:val="21"/>
          <w:highlight w:val="none"/>
        </w:rPr>
        <w:t>月</w:t>
      </w:r>
      <w:r>
        <w:rPr>
          <w:rFonts w:hint="eastAsia" w:cs="宋体"/>
          <w:color w:val="auto"/>
          <w:sz w:val="21"/>
          <w:szCs w:val="21"/>
          <w:highlight w:val="none"/>
          <w:lang w:val="en-US" w:eastAsia="zh-CN"/>
        </w:rPr>
        <w:t>9</w:t>
      </w:r>
      <w:r>
        <w:rPr>
          <w:rFonts w:hint="eastAsia" w:cs="宋体"/>
          <w:color w:val="auto"/>
          <w:sz w:val="21"/>
          <w:szCs w:val="21"/>
          <w:highlight w:val="none"/>
        </w:rPr>
        <w:t>日</w:t>
      </w:r>
    </w:p>
    <w:p w14:paraId="28DD241D">
      <w:pPr>
        <w:pStyle w:val="47"/>
        <w:spacing w:line="500" w:lineRule="exact"/>
        <w:ind w:right="42" w:rightChars="20" w:firstLine="422" w:firstLineChars="200"/>
        <w:rPr>
          <w:rFonts w:cs="宋体"/>
          <w:b/>
          <w:bCs/>
          <w:color w:val="auto"/>
          <w:sz w:val="21"/>
          <w:szCs w:val="21"/>
          <w:highlight w:val="none"/>
        </w:rPr>
      </w:pPr>
    </w:p>
    <w:p w14:paraId="0EC2BB46">
      <w:pPr>
        <w:pStyle w:val="47"/>
        <w:spacing w:line="500" w:lineRule="exact"/>
        <w:ind w:right="42" w:rightChars="20" w:firstLine="422" w:firstLineChars="200"/>
        <w:rPr>
          <w:rFonts w:cs="宋体"/>
          <w:b/>
          <w:bCs/>
          <w:color w:val="auto"/>
          <w:sz w:val="21"/>
          <w:szCs w:val="21"/>
          <w:highlight w:val="none"/>
        </w:rPr>
      </w:pPr>
    </w:p>
    <w:p w14:paraId="0FAAA139">
      <w:pPr>
        <w:pStyle w:val="47"/>
        <w:spacing w:line="500" w:lineRule="exact"/>
        <w:ind w:right="42" w:rightChars="20" w:firstLine="422" w:firstLineChars="200"/>
        <w:rPr>
          <w:rFonts w:cs="宋体"/>
          <w:b/>
          <w:bCs/>
          <w:color w:val="auto"/>
          <w:sz w:val="21"/>
          <w:szCs w:val="21"/>
          <w:highlight w:val="none"/>
        </w:rPr>
      </w:pPr>
    </w:p>
    <w:p w14:paraId="35F81B52">
      <w:pPr>
        <w:pStyle w:val="47"/>
        <w:spacing w:line="500" w:lineRule="exact"/>
        <w:ind w:right="42" w:rightChars="20" w:firstLine="422" w:firstLineChars="200"/>
        <w:rPr>
          <w:rFonts w:cs="宋体"/>
          <w:b/>
          <w:bCs/>
          <w:color w:val="auto"/>
          <w:sz w:val="21"/>
          <w:szCs w:val="21"/>
          <w:highlight w:val="none"/>
        </w:rPr>
      </w:pPr>
    </w:p>
    <w:p w14:paraId="6E8B4CA8">
      <w:pPr>
        <w:pStyle w:val="47"/>
        <w:spacing w:line="500" w:lineRule="exact"/>
        <w:ind w:right="42" w:rightChars="20" w:firstLine="422" w:firstLineChars="200"/>
        <w:rPr>
          <w:rFonts w:cs="宋体"/>
          <w:b/>
          <w:bCs/>
          <w:color w:val="auto"/>
          <w:sz w:val="21"/>
          <w:szCs w:val="21"/>
          <w:highlight w:val="none"/>
        </w:rPr>
      </w:pPr>
    </w:p>
    <w:p w14:paraId="5AC03F06">
      <w:pPr>
        <w:pStyle w:val="47"/>
        <w:spacing w:line="500" w:lineRule="exact"/>
        <w:ind w:right="42" w:rightChars="20"/>
        <w:rPr>
          <w:rFonts w:cs="宋体"/>
          <w:b/>
          <w:bCs/>
          <w:color w:val="auto"/>
          <w:sz w:val="21"/>
          <w:szCs w:val="21"/>
          <w:highlight w:val="none"/>
        </w:rPr>
      </w:pPr>
    </w:p>
    <w:p w14:paraId="27892EA4">
      <w:pPr>
        <w:pStyle w:val="47"/>
        <w:spacing w:line="500" w:lineRule="exact"/>
        <w:ind w:right="42" w:rightChars="20"/>
        <w:rPr>
          <w:rFonts w:cs="宋体"/>
          <w:b/>
          <w:bCs/>
          <w:color w:val="auto"/>
          <w:sz w:val="21"/>
          <w:szCs w:val="21"/>
          <w:highlight w:val="none"/>
        </w:rPr>
      </w:pPr>
    </w:p>
    <w:p w14:paraId="3AD929FC">
      <w:pPr>
        <w:rPr>
          <w:rFonts w:cs="宋体"/>
          <w:b/>
          <w:bCs/>
          <w:color w:val="auto"/>
          <w:sz w:val="21"/>
          <w:szCs w:val="21"/>
          <w:highlight w:val="none"/>
        </w:rPr>
      </w:pPr>
    </w:p>
    <w:p w14:paraId="627F0F8D">
      <w:pPr>
        <w:pStyle w:val="20"/>
        <w:rPr>
          <w:rFonts w:cs="宋体"/>
          <w:b/>
          <w:bCs/>
          <w:color w:val="auto"/>
          <w:sz w:val="21"/>
          <w:szCs w:val="21"/>
          <w:highlight w:val="none"/>
        </w:rPr>
      </w:pPr>
    </w:p>
    <w:p w14:paraId="6C21568A">
      <w:pPr>
        <w:pStyle w:val="21"/>
        <w:rPr>
          <w:color w:val="auto"/>
          <w:highlight w:val="none"/>
        </w:rPr>
      </w:pPr>
    </w:p>
    <w:p w14:paraId="53216F65">
      <w:pPr>
        <w:rPr>
          <w:rFonts w:cs="宋体"/>
          <w:b/>
          <w:bCs/>
          <w:color w:val="auto"/>
          <w:sz w:val="21"/>
          <w:szCs w:val="21"/>
          <w:highlight w:val="none"/>
        </w:rPr>
      </w:pPr>
    </w:p>
    <w:p w14:paraId="25413626">
      <w:pPr>
        <w:pStyle w:val="20"/>
        <w:rPr>
          <w:color w:val="auto"/>
          <w:highlight w:val="none"/>
        </w:rPr>
      </w:pPr>
    </w:p>
    <w:p w14:paraId="218A36CF">
      <w:pPr>
        <w:pStyle w:val="21"/>
        <w:rPr>
          <w:color w:val="auto"/>
          <w:highlight w:val="none"/>
        </w:rPr>
      </w:pPr>
    </w:p>
    <w:p w14:paraId="455A7F34">
      <w:pPr>
        <w:rPr>
          <w:color w:val="auto"/>
          <w:highlight w:val="none"/>
        </w:rPr>
      </w:pPr>
    </w:p>
    <w:p w14:paraId="077EE910">
      <w:pPr>
        <w:rPr>
          <w:color w:val="auto"/>
          <w:highlight w:val="none"/>
        </w:rPr>
      </w:pPr>
    </w:p>
    <w:bookmarkEnd w:id="23"/>
    <w:p w14:paraId="584CECEA">
      <w:pPr>
        <w:pStyle w:val="27"/>
        <w:numPr>
          <w:ilvl w:val="0"/>
          <w:numId w:val="3"/>
        </w:numPr>
        <w:tabs>
          <w:tab w:val="left" w:pos="2740"/>
        </w:tabs>
        <w:ind w:leftChars="0" w:firstLine="851" w:firstLineChars="265"/>
        <w:outlineLvl w:val="0"/>
        <w:rPr>
          <w:rFonts w:ascii="宋体" w:hAnsi="宋体" w:eastAsia="宋体" w:cs="宋体"/>
          <w:b/>
          <w:bCs/>
          <w:color w:val="auto"/>
          <w:sz w:val="32"/>
          <w:highlight w:val="none"/>
        </w:rPr>
      </w:pPr>
      <w:bookmarkStart w:id="71" w:name="_Toc55212777"/>
      <w:r>
        <w:rPr>
          <w:rFonts w:hint="eastAsia" w:ascii="宋体" w:hAnsi="宋体" w:eastAsia="宋体" w:cs="宋体"/>
          <w:b/>
          <w:bCs/>
          <w:color w:val="auto"/>
          <w:sz w:val="32"/>
          <w:highlight w:val="none"/>
        </w:rPr>
        <w:t xml:space="preserve"> </w:t>
      </w:r>
      <w:bookmarkStart w:id="72" w:name="_Toc9012"/>
      <w:r>
        <w:rPr>
          <w:rFonts w:hint="eastAsia" w:ascii="宋体" w:hAnsi="宋体" w:eastAsia="宋体" w:cs="宋体"/>
          <w:b/>
          <w:bCs/>
          <w:color w:val="auto"/>
          <w:sz w:val="32"/>
          <w:highlight w:val="none"/>
        </w:rPr>
        <w:t>投标人须知</w:t>
      </w:r>
      <w:bookmarkEnd w:id="71"/>
      <w:bookmarkEnd w:id="72"/>
    </w:p>
    <w:p w14:paraId="63DDC804">
      <w:pPr>
        <w:pStyle w:val="4"/>
        <w:spacing w:before="240" w:after="240" w:line="300" w:lineRule="exact"/>
        <w:ind w:firstLine="562"/>
        <w:jc w:val="center"/>
        <w:rPr>
          <w:rFonts w:ascii="宋体" w:hAnsi="宋体" w:eastAsia="宋体" w:cs="宋体"/>
          <w:color w:val="auto"/>
          <w:sz w:val="28"/>
          <w:szCs w:val="28"/>
          <w:highlight w:val="none"/>
        </w:rPr>
      </w:pPr>
      <w:bookmarkStart w:id="73" w:name="_Toc55212778"/>
      <w:r>
        <w:rPr>
          <w:rFonts w:hint="eastAsia" w:ascii="宋体" w:hAnsi="宋体" w:eastAsia="宋体" w:cs="宋体"/>
          <w:color w:val="auto"/>
          <w:sz w:val="28"/>
          <w:szCs w:val="28"/>
          <w:highlight w:val="none"/>
        </w:rPr>
        <w:t>前列表</w:t>
      </w:r>
      <w:bookmarkEnd w:id="73"/>
    </w:p>
    <w:tbl>
      <w:tblPr>
        <w:tblStyle w:val="51"/>
        <w:tblW w:w="9584"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702"/>
        <w:gridCol w:w="2381"/>
        <w:gridCol w:w="1262"/>
        <w:gridCol w:w="3527"/>
      </w:tblGrid>
      <w:tr w14:paraId="1BE79C5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712" w:type="dxa"/>
            <w:shd w:val="clear" w:color="auto" w:fill="FFFFFF"/>
            <w:vAlign w:val="center"/>
          </w:tcPr>
          <w:p w14:paraId="1BF2C18F">
            <w:pPr>
              <w:keepNext w:val="0"/>
              <w:keepLines w:val="0"/>
              <w:suppressLineNumbers w:val="0"/>
              <w:spacing w:before="0" w:beforeAutospacing="0" w:after="0" w:afterAutospacing="0" w:line="400" w:lineRule="exact"/>
              <w:ind w:left="0" w:right="0"/>
              <w:jc w:val="center"/>
              <w:rPr>
                <w:rFonts w:hint="default" w:ascii="宋体" w:hAnsi="宋体" w:cs="宋体"/>
                <w:b/>
                <w:bCs/>
                <w:snapToGrid w:val="0"/>
                <w:color w:val="auto"/>
                <w:szCs w:val="21"/>
                <w:highlight w:val="none"/>
              </w:rPr>
            </w:pPr>
            <w:r>
              <w:rPr>
                <w:rFonts w:hint="eastAsia" w:ascii="宋体" w:hAnsi="宋体" w:cs="宋体"/>
                <w:b/>
                <w:bCs/>
                <w:snapToGrid w:val="0"/>
                <w:color w:val="auto"/>
                <w:szCs w:val="21"/>
                <w:highlight w:val="none"/>
              </w:rPr>
              <w:t>序号</w:t>
            </w:r>
          </w:p>
        </w:tc>
        <w:tc>
          <w:tcPr>
            <w:tcW w:w="1702" w:type="dxa"/>
            <w:shd w:val="clear" w:color="auto" w:fill="FFFFFF"/>
            <w:vAlign w:val="center"/>
          </w:tcPr>
          <w:p w14:paraId="35D32AD2">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须知项目</w:t>
            </w:r>
          </w:p>
        </w:tc>
        <w:tc>
          <w:tcPr>
            <w:tcW w:w="7170" w:type="dxa"/>
            <w:gridSpan w:val="3"/>
            <w:shd w:val="clear" w:color="auto" w:fill="FFFFFF"/>
            <w:vAlign w:val="center"/>
          </w:tcPr>
          <w:p w14:paraId="6954665F">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内容</w:t>
            </w:r>
          </w:p>
        </w:tc>
      </w:tr>
      <w:tr w14:paraId="3E239BF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12" w:type="dxa"/>
            <w:vAlign w:val="center"/>
          </w:tcPr>
          <w:p w14:paraId="0BD2D38A">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1</w:t>
            </w:r>
          </w:p>
        </w:tc>
        <w:tc>
          <w:tcPr>
            <w:tcW w:w="1702" w:type="dxa"/>
            <w:vAlign w:val="center"/>
          </w:tcPr>
          <w:p w14:paraId="49E3F793">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项目名称</w:t>
            </w:r>
          </w:p>
        </w:tc>
        <w:tc>
          <w:tcPr>
            <w:tcW w:w="7170" w:type="dxa"/>
            <w:gridSpan w:val="3"/>
            <w:vAlign w:val="center"/>
          </w:tcPr>
          <w:p w14:paraId="724121DA">
            <w:pPr>
              <w:keepNext w:val="0"/>
              <w:keepLines w:val="0"/>
              <w:suppressLineNumbers w:val="0"/>
              <w:spacing w:before="0" w:beforeAutospacing="0" w:after="0" w:afterAutospacing="0" w:line="40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云和县白水区块商住项目房产代销项目（</w:t>
            </w:r>
            <w:r>
              <w:rPr>
                <w:rFonts w:hint="eastAsia" w:ascii="宋体" w:hAnsi="宋体" w:cs="宋体"/>
                <w:color w:val="auto"/>
                <w:szCs w:val="21"/>
                <w:highlight w:val="none"/>
                <w:lang w:val="en-US" w:eastAsia="zh-CN"/>
              </w:rPr>
              <w:t>第三次）</w:t>
            </w:r>
          </w:p>
        </w:tc>
      </w:tr>
      <w:tr w14:paraId="142C5817">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24" w:hRule="exact"/>
          <w:jc w:val="center"/>
        </w:trPr>
        <w:tc>
          <w:tcPr>
            <w:tcW w:w="712" w:type="dxa"/>
            <w:vAlign w:val="center"/>
          </w:tcPr>
          <w:p w14:paraId="2698D103">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2</w:t>
            </w:r>
          </w:p>
        </w:tc>
        <w:tc>
          <w:tcPr>
            <w:tcW w:w="1702" w:type="dxa"/>
            <w:vAlign w:val="center"/>
          </w:tcPr>
          <w:p w14:paraId="3742BEC8">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采购人</w:t>
            </w:r>
          </w:p>
        </w:tc>
        <w:tc>
          <w:tcPr>
            <w:tcW w:w="7170" w:type="dxa"/>
            <w:gridSpan w:val="3"/>
            <w:vAlign w:val="center"/>
          </w:tcPr>
          <w:p w14:paraId="1A9E52B7">
            <w:pPr>
              <w:keepNext w:val="0"/>
              <w:keepLines w:val="0"/>
              <w:suppressLineNumbers w:val="0"/>
              <w:spacing w:before="0" w:beforeAutospacing="0" w:after="0" w:afterAutospacing="0" w:line="400" w:lineRule="exact"/>
              <w:ind w:left="0" w:right="0"/>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云和县城市建设投资集团有限公司</w:t>
            </w:r>
          </w:p>
        </w:tc>
      </w:tr>
      <w:tr w14:paraId="37E6751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712" w:type="dxa"/>
            <w:vAlign w:val="center"/>
          </w:tcPr>
          <w:p w14:paraId="3E875E20">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3</w:t>
            </w:r>
          </w:p>
        </w:tc>
        <w:tc>
          <w:tcPr>
            <w:tcW w:w="1702" w:type="dxa"/>
            <w:vAlign w:val="center"/>
          </w:tcPr>
          <w:p w14:paraId="6AC0B617">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招标代理机构</w:t>
            </w:r>
          </w:p>
        </w:tc>
        <w:tc>
          <w:tcPr>
            <w:tcW w:w="7170" w:type="dxa"/>
            <w:gridSpan w:val="3"/>
            <w:vAlign w:val="center"/>
          </w:tcPr>
          <w:p w14:paraId="025FF43E">
            <w:pPr>
              <w:keepNext w:val="0"/>
              <w:keepLines w:val="0"/>
              <w:suppressLineNumbers w:val="0"/>
              <w:spacing w:before="0" w:beforeAutospacing="0" w:after="0" w:afterAutospacing="0" w:line="40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rPr>
              <w:t>浙江大兴建设项目管理咨询有限公司</w:t>
            </w:r>
          </w:p>
        </w:tc>
      </w:tr>
      <w:tr w14:paraId="57BC90E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712" w:type="dxa"/>
            <w:vAlign w:val="center"/>
          </w:tcPr>
          <w:p w14:paraId="7A9FC31C">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4</w:t>
            </w:r>
          </w:p>
        </w:tc>
        <w:tc>
          <w:tcPr>
            <w:tcW w:w="1702" w:type="dxa"/>
            <w:vAlign w:val="center"/>
          </w:tcPr>
          <w:p w14:paraId="32345B7B">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采购方式</w:t>
            </w:r>
          </w:p>
        </w:tc>
        <w:tc>
          <w:tcPr>
            <w:tcW w:w="2381" w:type="dxa"/>
            <w:vAlign w:val="center"/>
          </w:tcPr>
          <w:p w14:paraId="3DD73347">
            <w:pPr>
              <w:keepNext w:val="0"/>
              <w:keepLines w:val="0"/>
              <w:suppressLineNumbers w:val="0"/>
              <w:spacing w:before="0" w:beforeAutospacing="0" w:after="0" w:afterAutospacing="0" w:line="40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rPr>
              <w:t>公开招标</w:t>
            </w:r>
          </w:p>
        </w:tc>
        <w:tc>
          <w:tcPr>
            <w:tcW w:w="1262" w:type="dxa"/>
            <w:vAlign w:val="center"/>
          </w:tcPr>
          <w:p w14:paraId="4638CCDE">
            <w:pPr>
              <w:keepNext w:val="0"/>
              <w:keepLines w:val="0"/>
              <w:suppressLineNumbers w:val="0"/>
              <w:spacing w:before="0" w:beforeAutospacing="0" w:after="0" w:afterAutospacing="0" w:line="40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rPr>
              <w:t>组织方式</w:t>
            </w:r>
          </w:p>
        </w:tc>
        <w:tc>
          <w:tcPr>
            <w:tcW w:w="3527" w:type="dxa"/>
            <w:vAlign w:val="center"/>
          </w:tcPr>
          <w:p w14:paraId="1F07A4DA">
            <w:pPr>
              <w:keepNext w:val="0"/>
              <w:keepLines w:val="0"/>
              <w:suppressLineNumbers w:val="0"/>
              <w:spacing w:before="0" w:beforeAutospacing="0" w:after="0" w:afterAutospacing="0" w:line="40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rPr>
              <w:t>委托中介</w:t>
            </w:r>
          </w:p>
        </w:tc>
      </w:tr>
      <w:tr w14:paraId="26F7A27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22" w:hRule="exact"/>
          <w:jc w:val="center"/>
        </w:trPr>
        <w:tc>
          <w:tcPr>
            <w:tcW w:w="712" w:type="dxa"/>
            <w:vAlign w:val="center"/>
          </w:tcPr>
          <w:p w14:paraId="267B8350">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5</w:t>
            </w:r>
          </w:p>
        </w:tc>
        <w:tc>
          <w:tcPr>
            <w:tcW w:w="1702" w:type="dxa"/>
            <w:vAlign w:val="center"/>
          </w:tcPr>
          <w:p w14:paraId="7B173DFF">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资格审查方式</w:t>
            </w:r>
          </w:p>
        </w:tc>
        <w:tc>
          <w:tcPr>
            <w:tcW w:w="7170" w:type="dxa"/>
            <w:gridSpan w:val="3"/>
            <w:vAlign w:val="center"/>
          </w:tcPr>
          <w:p w14:paraId="7ED9348B">
            <w:pPr>
              <w:keepNext w:val="0"/>
              <w:keepLines w:val="0"/>
              <w:suppressLineNumbers w:val="0"/>
              <w:spacing w:before="0" w:beforeAutospacing="0" w:after="0" w:afterAutospacing="0" w:line="400" w:lineRule="exact"/>
              <w:ind w:left="0" w:right="0"/>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采用资格后审。</w:t>
            </w:r>
            <w:r>
              <w:rPr>
                <w:rFonts w:hint="eastAsia" w:ascii="宋体" w:hAnsi="宋体" w:cs="宋体"/>
                <w:color w:val="auto"/>
                <w:szCs w:val="21"/>
                <w:highlight w:val="none"/>
              </w:rPr>
              <w:t>投标人获取招标文件或提交投标文件不表明已获取投标资格。开标会上通过资格审查的投标人才具有投标资格。</w:t>
            </w:r>
          </w:p>
        </w:tc>
      </w:tr>
      <w:tr w14:paraId="5640EA2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12" w:type="dxa"/>
            <w:vAlign w:val="center"/>
          </w:tcPr>
          <w:p w14:paraId="659C1059">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6</w:t>
            </w:r>
          </w:p>
        </w:tc>
        <w:tc>
          <w:tcPr>
            <w:tcW w:w="1702" w:type="dxa"/>
            <w:vAlign w:val="center"/>
          </w:tcPr>
          <w:p w14:paraId="0D08A1FB">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投标有效期</w:t>
            </w:r>
          </w:p>
        </w:tc>
        <w:tc>
          <w:tcPr>
            <w:tcW w:w="7170" w:type="dxa"/>
            <w:gridSpan w:val="3"/>
            <w:vAlign w:val="center"/>
          </w:tcPr>
          <w:p w14:paraId="314A62CB">
            <w:pPr>
              <w:keepNext w:val="0"/>
              <w:keepLines w:val="0"/>
              <w:suppressLineNumbers w:val="0"/>
              <w:spacing w:before="0" w:beforeAutospacing="0" w:after="0" w:afterAutospacing="0" w:line="400" w:lineRule="exact"/>
              <w:ind w:left="0" w:right="0"/>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提交投标文件的截止之日起90日内有效</w:t>
            </w:r>
          </w:p>
        </w:tc>
      </w:tr>
      <w:tr w14:paraId="0F12A21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457" w:hRule="exact"/>
          <w:jc w:val="center"/>
        </w:trPr>
        <w:tc>
          <w:tcPr>
            <w:tcW w:w="712" w:type="dxa"/>
            <w:vAlign w:val="center"/>
          </w:tcPr>
          <w:p w14:paraId="1F0A4A22">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7</w:t>
            </w:r>
          </w:p>
        </w:tc>
        <w:tc>
          <w:tcPr>
            <w:tcW w:w="1702" w:type="dxa"/>
            <w:vAlign w:val="center"/>
          </w:tcPr>
          <w:p w14:paraId="14CF158C">
            <w:pPr>
              <w:keepNext w:val="0"/>
              <w:keepLines w:val="0"/>
              <w:suppressLineNumbers w:val="0"/>
              <w:spacing w:before="0" w:beforeAutospacing="0" w:after="0" w:afterAutospacing="0" w:line="40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rPr>
              <w:t>招标文件质疑</w:t>
            </w:r>
          </w:p>
        </w:tc>
        <w:tc>
          <w:tcPr>
            <w:tcW w:w="7170" w:type="dxa"/>
            <w:gridSpan w:val="3"/>
            <w:vAlign w:val="center"/>
          </w:tcPr>
          <w:p w14:paraId="51F220C9">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1、只有正确提交了报名资料的潜在投标人才能对招标文件提出质疑，否则不予受理。</w:t>
            </w:r>
          </w:p>
          <w:p w14:paraId="0520AAF3">
            <w:pPr>
              <w:keepNext w:val="0"/>
              <w:keepLines w:val="0"/>
              <w:suppressLineNumbers w:val="0"/>
              <w:spacing w:before="0" w:beforeAutospacing="0" w:after="0" w:afterAutospacing="0" w:line="400" w:lineRule="exact"/>
              <w:ind w:left="0" w:right="0"/>
              <w:rPr>
                <w:rFonts w:hint="default" w:ascii="宋体" w:hAnsi="宋体" w:cs="宋体"/>
                <w:bCs/>
                <w:color w:val="auto"/>
                <w:szCs w:val="21"/>
                <w:highlight w:val="none"/>
              </w:rPr>
            </w:pPr>
            <w:r>
              <w:rPr>
                <w:rFonts w:hint="eastAsia" w:ascii="宋体" w:hAnsi="宋体" w:cs="宋体"/>
                <w:color w:val="auto"/>
                <w:szCs w:val="21"/>
                <w:highlight w:val="none"/>
              </w:rPr>
              <w:t>2、质疑期限为自招标公告期限届满之日（招标公告届满日为公告发布后的第6个工作日）起7个工作日内且应当在投标截止时间之前提出，否则被质疑人可以不予接受。投标人应以书面形式向采购人和招标代理机构一次性提出质疑。</w:t>
            </w:r>
          </w:p>
        </w:tc>
      </w:tr>
      <w:tr w14:paraId="18691AC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31" w:hRule="exact"/>
          <w:jc w:val="center"/>
        </w:trPr>
        <w:tc>
          <w:tcPr>
            <w:tcW w:w="712" w:type="dxa"/>
            <w:vAlign w:val="center"/>
          </w:tcPr>
          <w:p w14:paraId="33F375D5">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8</w:t>
            </w:r>
          </w:p>
        </w:tc>
        <w:tc>
          <w:tcPr>
            <w:tcW w:w="1702" w:type="dxa"/>
            <w:vAlign w:val="center"/>
          </w:tcPr>
          <w:p w14:paraId="775C02AB">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color w:val="auto"/>
                <w:szCs w:val="21"/>
                <w:highlight w:val="none"/>
              </w:rPr>
              <w:t>招标文件澄清或修改时间</w:t>
            </w:r>
          </w:p>
        </w:tc>
        <w:tc>
          <w:tcPr>
            <w:tcW w:w="7170" w:type="dxa"/>
            <w:gridSpan w:val="3"/>
            <w:vAlign w:val="center"/>
          </w:tcPr>
          <w:p w14:paraId="4080D1AE">
            <w:pPr>
              <w:keepNext w:val="0"/>
              <w:keepLines w:val="0"/>
              <w:suppressLineNumbers w:val="0"/>
              <w:spacing w:before="0" w:beforeAutospacing="0" w:after="0" w:afterAutospacing="0" w:line="400" w:lineRule="exact"/>
              <w:ind w:left="0" w:right="0"/>
              <w:rPr>
                <w:rFonts w:hint="default" w:ascii="宋体" w:hAnsi="宋体" w:cs="宋体"/>
                <w:bCs/>
                <w:snapToGrid w:val="0"/>
                <w:color w:val="auto"/>
                <w:szCs w:val="21"/>
                <w:highlight w:val="none"/>
              </w:rPr>
            </w:pPr>
            <w:r>
              <w:rPr>
                <w:rFonts w:hint="eastAsia" w:ascii="宋体" w:hAnsi="宋体" w:cs="宋体"/>
                <w:color w:val="auto"/>
                <w:szCs w:val="21"/>
                <w:highlight w:val="none"/>
              </w:rPr>
              <w:t>投标截止时间15日前，发布网址同招标公告发布网址。</w:t>
            </w:r>
          </w:p>
        </w:tc>
      </w:tr>
      <w:tr w14:paraId="7CF1901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12" w:type="dxa"/>
            <w:vAlign w:val="center"/>
          </w:tcPr>
          <w:p w14:paraId="0F204E39">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9</w:t>
            </w:r>
          </w:p>
        </w:tc>
        <w:tc>
          <w:tcPr>
            <w:tcW w:w="1702" w:type="dxa"/>
            <w:vAlign w:val="center"/>
          </w:tcPr>
          <w:p w14:paraId="644CE741">
            <w:pPr>
              <w:keepNext w:val="0"/>
              <w:keepLines w:val="0"/>
              <w:suppressLineNumbers w:val="0"/>
              <w:spacing w:before="0" w:beforeAutospacing="0" w:after="0" w:afterAutospacing="0" w:line="400" w:lineRule="exact"/>
              <w:ind w:left="0" w:right="0"/>
              <w:jc w:val="center"/>
              <w:rPr>
                <w:rFonts w:hint="default" w:ascii="宋体" w:hAnsi="宋体" w:cs="宋体"/>
                <w:b/>
                <w:bCs/>
                <w:snapToGrid w:val="0"/>
                <w:color w:val="auto"/>
                <w:szCs w:val="21"/>
                <w:highlight w:val="none"/>
              </w:rPr>
            </w:pPr>
            <w:r>
              <w:rPr>
                <w:rFonts w:hint="eastAsia" w:ascii="宋体" w:hAnsi="宋体" w:cs="宋体"/>
                <w:bCs/>
                <w:snapToGrid w:val="0"/>
                <w:color w:val="auto"/>
                <w:szCs w:val="21"/>
                <w:highlight w:val="none"/>
              </w:rPr>
              <w:t>投标文件提交</w:t>
            </w:r>
          </w:p>
        </w:tc>
        <w:tc>
          <w:tcPr>
            <w:tcW w:w="7170" w:type="dxa"/>
            <w:gridSpan w:val="3"/>
            <w:vAlign w:val="center"/>
          </w:tcPr>
          <w:p w14:paraId="55314F1E">
            <w:pPr>
              <w:pStyle w:val="147"/>
              <w:keepNext w:val="0"/>
              <w:keepLines w:val="0"/>
              <w:suppressLineNumbers w:val="0"/>
              <w:spacing w:before="0" w:beforeAutospacing="0" w:after="0" w:afterAutospacing="0" w:line="400" w:lineRule="exact"/>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接收人：浙江大兴建设项目管理咨询有限公司 </w:t>
            </w:r>
          </w:p>
          <w:p w14:paraId="4AD90A4E">
            <w:pPr>
              <w:keepNext w:val="0"/>
              <w:keepLines w:val="0"/>
              <w:suppressLineNumbers w:val="0"/>
              <w:spacing w:before="0" w:beforeAutospacing="0" w:after="0" w:afterAutospacing="0" w:line="400" w:lineRule="exact"/>
              <w:ind w:left="103" w:right="0" w:hanging="102" w:hangingChars="49"/>
              <w:rPr>
                <w:rFonts w:hint="default" w:ascii="宋体" w:hAnsi="宋体" w:cs="宋体"/>
                <w:color w:val="auto"/>
                <w:szCs w:val="21"/>
                <w:highlight w:val="none"/>
              </w:rPr>
            </w:pPr>
            <w:r>
              <w:rPr>
                <w:rFonts w:hint="eastAsia" w:ascii="宋体" w:hAnsi="宋体" w:cs="宋体"/>
                <w:color w:val="auto"/>
                <w:szCs w:val="21"/>
                <w:highlight w:val="none"/>
              </w:rPr>
              <w:t>提交投标文件截止时间（即投标截止时间）：</w:t>
            </w:r>
            <w:r>
              <w:rPr>
                <w:rFonts w:hint="eastAsia" w:ascii="宋体" w:hAnsi="宋体" w:cs="宋体"/>
                <w:b/>
                <w:color w:val="auto"/>
                <w:szCs w:val="21"/>
                <w:highlight w:val="none"/>
                <w:u w:val="single"/>
              </w:rPr>
              <w:t>202</w:t>
            </w:r>
            <w:r>
              <w:rPr>
                <w:rFonts w:hint="eastAsia" w:ascii="宋体" w:hAnsi="宋体" w:cs="宋体"/>
                <w:b/>
                <w:color w:val="auto"/>
                <w:szCs w:val="21"/>
                <w:highlight w:val="none"/>
                <w:u w:val="single"/>
                <w:lang w:val="en-US" w:eastAsia="zh-CN"/>
              </w:rPr>
              <w:t>4</w:t>
            </w:r>
            <w:r>
              <w:rPr>
                <w:rFonts w:hint="eastAsia" w:ascii="宋体" w:hAnsi="宋体" w:cs="宋体"/>
                <w:b/>
                <w:color w:val="auto"/>
                <w:szCs w:val="21"/>
                <w:highlight w:val="none"/>
                <w:u w:val="single"/>
              </w:rPr>
              <w:t>年</w:t>
            </w:r>
            <w:r>
              <w:rPr>
                <w:rFonts w:hint="eastAsia" w:ascii="宋体" w:hAnsi="宋体" w:cs="宋体"/>
                <w:b/>
                <w:color w:val="auto"/>
                <w:szCs w:val="21"/>
                <w:highlight w:val="none"/>
                <w:u w:val="single"/>
                <w:lang w:val="en-US" w:eastAsia="zh-CN"/>
              </w:rPr>
              <w:t>10</w:t>
            </w:r>
            <w:r>
              <w:rPr>
                <w:rFonts w:hint="eastAsia" w:ascii="宋体" w:hAnsi="宋体" w:cs="宋体"/>
                <w:b/>
                <w:color w:val="auto"/>
                <w:szCs w:val="21"/>
                <w:highlight w:val="none"/>
                <w:u w:val="single"/>
              </w:rPr>
              <w:t>月</w:t>
            </w:r>
            <w:r>
              <w:rPr>
                <w:rFonts w:hint="eastAsia" w:ascii="宋体" w:hAnsi="宋体" w:cs="宋体"/>
                <w:b/>
                <w:color w:val="auto"/>
                <w:szCs w:val="21"/>
                <w:highlight w:val="none"/>
                <w:u w:val="single"/>
                <w:lang w:val="en-US" w:eastAsia="zh-CN"/>
              </w:rPr>
              <w:t>30</w:t>
            </w:r>
            <w:r>
              <w:rPr>
                <w:rFonts w:hint="eastAsia" w:ascii="宋体" w:hAnsi="宋体" w:cs="宋体"/>
                <w:b/>
                <w:color w:val="auto"/>
                <w:szCs w:val="21"/>
                <w:highlight w:val="none"/>
                <w:u w:val="single"/>
              </w:rPr>
              <w:t>日</w:t>
            </w:r>
            <w:r>
              <w:rPr>
                <w:rFonts w:hint="eastAsia" w:ascii="宋体" w:hAnsi="宋体" w:cs="宋体"/>
                <w:b/>
                <w:color w:val="auto"/>
                <w:szCs w:val="21"/>
                <w:highlight w:val="none"/>
                <w:u w:val="single"/>
                <w:lang w:val="en-US" w:eastAsia="zh-CN"/>
              </w:rPr>
              <w:t>9</w:t>
            </w:r>
            <w:r>
              <w:rPr>
                <w:rFonts w:hint="eastAsia" w:ascii="宋体" w:hAnsi="宋体" w:cs="宋体"/>
                <w:b/>
                <w:color w:val="auto"/>
                <w:szCs w:val="21"/>
                <w:highlight w:val="none"/>
                <w:u w:val="single"/>
              </w:rPr>
              <w:t>时</w:t>
            </w:r>
            <w:r>
              <w:rPr>
                <w:rFonts w:hint="eastAsia" w:ascii="宋体" w:hAnsi="宋体" w:cs="宋体"/>
                <w:b/>
                <w:color w:val="auto"/>
                <w:szCs w:val="21"/>
                <w:highlight w:val="none"/>
                <w:u w:val="single"/>
                <w:lang w:val="en-US" w:eastAsia="zh-CN"/>
              </w:rPr>
              <w:t>3</w:t>
            </w:r>
            <w:r>
              <w:rPr>
                <w:rFonts w:hint="eastAsia" w:ascii="宋体" w:hAnsi="宋体" w:cs="宋体"/>
                <w:b/>
                <w:color w:val="auto"/>
                <w:szCs w:val="21"/>
                <w:highlight w:val="none"/>
                <w:u w:val="single"/>
              </w:rPr>
              <w:t>0分</w:t>
            </w:r>
          </w:p>
          <w:p w14:paraId="71DA3C38">
            <w:pPr>
              <w:keepNext w:val="0"/>
              <w:keepLines w:val="0"/>
              <w:suppressLineNumbers w:val="0"/>
              <w:tabs>
                <w:tab w:val="left" w:pos="0"/>
                <w:tab w:val="left" w:pos="1134"/>
              </w:tabs>
              <w:adjustRightInd w:val="0"/>
              <w:snapToGrid w:val="0"/>
              <w:spacing w:before="0" w:beforeAutospacing="0" w:after="0" w:afterAutospacing="0" w:line="400" w:lineRule="exact"/>
              <w:ind w:left="0" w:right="0"/>
              <w:rPr>
                <w:rFonts w:hint="eastAsia" w:hAnsi="宋体" w:eastAsia="宋体" w:cs="宋体"/>
                <w:color w:val="auto"/>
                <w:szCs w:val="21"/>
                <w:highlight w:val="none"/>
                <w:lang w:eastAsia="zh-CN"/>
              </w:rPr>
            </w:pPr>
            <w:r>
              <w:rPr>
                <w:rFonts w:hint="eastAsia" w:ascii="宋体" w:hAnsi="宋体" w:cs="宋体"/>
                <w:bCs/>
                <w:color w:val="auto"/>
                <w:szCs w:val="21"/>
                <w:highlight w:val="none"/>
              </w:rPr>
              <w:t>提交投标文件地点：</w:t>
            </w:r>
            <w:r>
              <w:rPr>
                <w:rFonts w:hint="eastAsia" w:hAnsi="宋体" w:cs="宋体"/>
                <w:color w:val="auto"/>
                <w:szCs w:val="21"/>
                <w:highlight w:val="none"/>
                <w:lang w:eastAsia="zh-CN"/>
              </w:rPr>
              <w:t>云和县招标投标中心（云和县城南路1号体育馆一楼）</w:t>
            </w:r>
          </w:p>
        </w:tc>
      </w:tr>
      <w:tr w14:paraId="143DD76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27" w:hRule="exact"/>
          <w:jc w:val="center"/>
        </w:trPr>
        <w:tc>
          <w:tcPr>
            <w:tcW w:w="712" w:type="dxa"/>
            <w:vAlign w:val="center"/>
          </w:tcPr>
          <w:p w14:paraId="5DDF6F79">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10</w:t>
            </w:r>
          </w:p>
        </w:tc>
        <w:tc>
          <w:tcPr>
            <w:tcW w:w="1702" w:type="dxa"/>
            <w:vAlign w:val="center"/>
          </w:tcPr>
          <w:p w14:paraId="67881FFF">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开标时间及地点</w:t>
            </w:r>
          </w:p>
        </w:tc>
        <w:tc>
          <w:tcPr>
            <w:tcW w:w="7170" w:type="dxa"/>
            <w:gridSpan w:val="3"/>
            <w:vAlign w:val="center"/>
          </w:tcPr>
          <w:p w14:paraId="226E1BE9">
            <w:pPr>
              <w:keepNext w:val="0"/>
              <w:keepLines w:val="0"/>
              <w:suppressLineNumbers w:val="0"/>
              <w:spacing w:before="0" w:beforeAutospacing="0" w:after="0" w:afterAutospacing="0" w:line="400" w:lineRule="exact"/>
              <w:ind w:left="0" w:right="0"/>
              <w:rPr>
                <w:rFonts w:hint="default" w:ascii="宋体" w:hAnsi="宋体" w:cs="宋体"/>
                <w:b/>
                <w:color w:val="auto"/>
                <w:szCs w:val="21"/>
                <w:highlight w:val="none"/>
                <w:u w:val="single"/>
              </w:rPr>
            </w:pPr>
            <w:r>
              <w:rPr>
                <w:rFonts w:hint="eastAsia" w:ascii="宋体" w:hAnsi="宋体" w:cs="宋体"/>
                <w:b/>
                <w:color w:val="auto"/>
                <w:szCs w:val="21"/>
                <w:highlight w:val="none"/>
                <w:u w:val="single"/>
              </w:rPr>
              <w:t>开标时间：同投标截止时间。</w:t>
            </w:r>
          </w:p>
          <w:p w14:paraId="446B1C14">
            <w:pPr>
              <w:pStyle w:val="28"/>
              <w:keepNext w:val="0"/>
              <w:keepLines w:val="0"/>
              <w:suppressLineNumbers w:val="0"/>
              <w:adjustRightInd w:val="0"/>
              <w:snapToGrid w:val="0"/>
              <w:spacing w:before="0" w:beforeAutospacing="0" w:after="0" w:afterAutospacing="0" w:line="420" w:lineRule="exact"/>
              <w:ind w:left="0" w:right="42" w:rightChars="20"/>
              <w:rPr>
                <w:rFonts w:hint="eastAsia" w:hAnsi="宋体" w:eastAsia="宋体" w:cs="宋体"/>
                <w:color w:val="auto"/>
                <w:szCs w:val="21"/>
                <w:highlight w:val="none"/>
                <w:lang w:eastAsia="zh-CN"/>
              </w:rPr>
            </w:pPr>
            <w:r>
              <w:rPr>
                <w:rFonts w:hint="eastAsia" w:hAnsi="宋体" w:cs="宋体"/>
                <w:color w:val="auto"/>
                <w:szCs w:val="21"/>
                <w:highlight w:val="none"/>
              </w:rPr>
              <w:t>开标地点：</w:t>
            </w:r>
            <w:r>
              <w:rPr>
                <w:rFonts w:hint="eastAsia" w:hAnsi="宋体" w:cs="宋体"/>
                <w:color w:val="auto"/>
                <w:szCs w:val="21"/>
                <w:highlight w:val="none"/>
                <w:lang w:eastAsia="zh-CN"/>
              </w:rPr>
              <w:t>云和县招标投标中心（云和县城南路1号体育馆一楼）</w:t>
            </w:r>
          </w:p>
          <w:p w14:paraId="2E4DB316">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14:paraId="539E772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853" w:hRule="exact"/>
          <w:jc w:val="center"/>
        </w:trPr>
        <w:tc>
          <w:tcPr>
            <w:tcW w:w="712" w:type="dxa"/>
            <w:vAlign w:val="center"/>
          </w:tcPr>
          <w:p w14:paraId="66A6E8F5">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11</w:t>
            </w:r>
          </w:p>
        </w:tc>
        <w:tc>
          <w:tcPr>
            <w:tcW w:w="1702" w:type="dxa"/>
            <w:vAlign w:val="center"/>
          </w:tcPr>
          <w:p w14:paraId="4A4BAE71">
            <w:pPr>
              <w:keepNext w:val="0"/>
              <w:keepLines w:val="0"/>
              <w:suppressLineNumbers w:val="0"/>
              <w:spacing w:before="0" w:beforeAutospacing="0" w:after="0" w:afterAutospacing="0" w:line="40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rPr>
              <w:t>中标结果公告及中标通知书</w:t>
            </w:r>
          </w:p>
        </w:tc>
        <w:tc>
          <w:tcPr>
            <w:tcW w:w="7170" w:type="dxa"/>
            <w:gridSpan w:val="3"/>
            <w:vAlign w:val="center"/>
          </w:tcPr>
          <w:p w14:paraId="48936130">
            <w:pPr>
              <w:keepNext w:val="0"/>
              <w:keepLines w:val="0"/>
              <w:suppressLineNumbers w:val="0"/>
              <w:snapToGrid w:val="0"/>
              <w:spacing w:before="0" w:beforeAutospacing="0" w:after="0" w:afterAutospacing="0" w:line="400" w:lineRule="exact"/>
              <w:ind w:left="0" w:right="0"/>
              <w:rPr>
                <w:rFonts w:hint="default" w:ascii="宋体" w:hAnsi="宋体" w:cs="宋体"/>
                <w:bCs/>
                <w:color w:val="auto"/>
                <w:szCs w:val="21"/>
                <w:highlight w:val="none"/>
              </w:rPr>
            </w:pPr>
            <w:r>
              <w:rPr>
                <w:rFonts w:hint="eastAsia" w:ascii="宋体" w:hAnsi="宋体" w:cs="宋体"/>
                <w:color w:val="auto"/>
                <w:szCs w:val="21"/>
                <w:highlight w:val="none"/>
              </w:rPr>
              <w:t>评审报告经采购人确认后2个工作日内，中标结果公告在浙江政府采购网（https://zfcg.czt.zj.gov.cn/）</w:t>
            </w:r>
            <w:r>
              <w:rPr>
                <w:rFonts w:hint="eastAsia" w:ascii="宋体" w:hAnsi="宋体" w:cs="宋体"/>
                <w:color w:val="auto"/>
                <w:szCs w:val="21"/>
                <w:highlight w:val="none"/>
                <w:lang w:eastAsia="zh-CN"/>
              </w:rPr>
              <w:t>、</w:t>
            </w:r>
            <w:r>
              <w:rPr>
                <w:rFonts w:hint="eastAsia" w:ascii="宋体" w:hAnsi="宋体" w:eastAsia="宋体" w:cs="宋体"/>
                <w:i w:val="0"/>
                <w:iCs w:val="0"/>
                <w:caps w:val="0"/>
                <w:color w:val="auto"/>
                <w:spacing w:val="0"/>
                <w:sz w:val="21"/>
                <w:szCs w:val="21"/>
                <w:highlight w:val="none"/>
                <w:shd w:val="clear" w:fill="FFFFFF"/>
              </w:rPr>
              <w:t>丽水市公共资源交易网</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cs="宋体"/>
                <w:i w:val="0"/>
                <w:iCs w:val="0"/>
                <w:caps w:val="0"/>
                <w:color w:val="auto"/>
                <w:spacing w:val="0"/>
                <w:sz w:val="21"/>
                <w:szCs w:val="21"/>
                <w:highlight w:val="none"/>
                <w:shd w:val="clear" w:fill="FFFFFF"/>
                <w:lang w:val="en-US" w:eastAsia="zh-CN"/>
              </w:rPr>
              <w:t>云和）</w:t>
            </w:r>
            <w:r>
              <w:rPr>
                <w:rFonts w:hint="eastAsia" w:ascii="宋体" w:hAnsi="宋体" w:eastAsia="宋体" w:cs="宋体"/>
                <w:i w:val="0"/>
                <w:iCs w:val="0"/>
                <w:caps w:val="0"/>
                <w:color w:val="auto"/>
                <w:spacing w:val="0"/>
                <w:sz w:val="21"/>
                <w:szCs w:val="21"/>
                <w:highlight w:val="none"/>
                <w:shd w:val="clear" w:fill="FFFFFF"/>
              </w:rPr>
              <w:t>（http</w:t>
            </w:r>
            <w:r>
              <w:rPr>
                <w:rFonts w:hint="eastAsia" w:ascii="宋体" w:hAnsi="宋体" w:eastAsia="宋体" w:cs="宋体"/>
                <w:i w:val="0"/>
                <w:iCs w:val="0"/>
                <w:caps w:val="0"/>
                <w:color w:val="auto"/>
                <w:spacing w:val="0"/>
                <w:sz w:val="21"/>
                <w:szCs w:val="21"/>
                <w:highlight w:val="none"/>
                <w:shd w:val="clear" w:fill="FFFFFF"/>
                <w:lang w:val="en-US" w:eastAsia="zh-CN"/>
              </w:rPr>
              <w:t>s</w:t>
            </w:r>
            <w:r>
              <w:rPr>
                <w:rFonts w:hint="eastAsia" w:ascii="宋体" w:hAnsi="宋体" w:eastAsia="宋体" w:cs="宋体"/>
                <w:i w:val="0"/>
                <w:iCs w:val="0"/>
                <w:caps w:val="0"/>
                <w:color w:val="auto"/>
                <w:spacing w:val="0"/>
                <w:sz w:val="21"/>
                <w:szCs w:val="21"/>
                <w:highlight w:val="none"/>
                <w:shd w:val="clear" w:fill="FFFFFF"/>
              </w:rPr>
              <w:t>://lssggzy.lishui.gov.cn/</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cs="宋体"/>
                <w:color w:val="auto"/>
                <w:szCs w:val="21"/>
                <w:highlight w:val="none"/>
              </w:rPr>
              <w:t>等媒体上发布，并同时发出中标通知书。</w:t>
            </w:r>
          </w:p>
        </w:tc>
      </w:tr>
      <w:tr w14:paraId="65D107E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94" w:hRule="exact"/>
          <w:jc w:val="center"/>
        </w:trPr>
        <w:tc>
          <w:tcPr>
            <w:tcW w:w="712" w:type="dxa"/>
            <w:vAlign w:val="center"/>
          </w:tcPr>
          <w:p w14:paraId="74DFFECC">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12</w:t>
            </w:r>
          </w:p>
        </w:tc>
        <w:tc>
          <w:tcPr>
            <w:tcW w:w="1702" w:type="dxa"/>
            <w:vAlign w:val="center"/>
          </w:tcPr>
          <w:p w14:paraId="51A2CE33">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评标办法和细则</w:t>
            </w:r>
          </w:p>
        </w:tc>
        <w:tc>
          <w:tcPr>
            <w:tcW w:w="7170" w:type="dxa"/>
            <w:gridSpan w:val="3"/>
            <w:vAlign w:val="center"/>
          </w:tcPr>
          <w:p w14:paraId="4A26E18C">
            <w:pPr>
              <w:keepNext w:val="0"/>
              <w:keepLines w:val="0"/>
              <w:suppressLineNumbers w:val="0"/>
              <w:spacing w:before="0" w:beforeAutospacing="0" w:after="0" w:afterAutospacing="0" w:line="40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rPr>
              <w:t>详见本招标文件第六章</w:t>
            </w:r>
          </w:p>
        </w:tc>
      </w:tr>
      <w:tr w14:paraId="5AD462A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57" w:hRule="exact"/>
          <w:jc w:val="center"/>
        </w:trPr>
        <w:tc>
          <w:tcPr>
            <w:tcW w:w="712" w:type="dxa"/>
            <w:vAlign w:val="center"/>
          </w:tcPr>
          <w:p w14:paraId="207C51AC">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13</w:t>
            </w:r>
          </w:p>
        </w:tc>
        <w:tc>
          <w:tcPr>
            <w:tcW w:w="1702" w:type="dxa"/>
            <w:vAlign w:val="center"/>
          </w:tcPr>
          <w:p w14:paraId="7CB4C922">
            <w:pPr>
              <w:keepNext w:val="0"/>
              <w:keepLines w:val="0"/>
              <w:suppressLineNumbers w:val="0"/>
              <w:spacing w:before="0" w:beforeAutospacing="0" w:after="0" w:afterAutospacing="0" w:line="40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rPr>
              <w:t>签订合同</w:t>
            </w:r>
          </w:p>
        </w:tc>
        <w:tc>
          <w:tcPr>
            <w:tcW w:w="7170" w:type="dxa"/>
            <w:gridSpan w:val="3"/>
            <w:vAlign w:val="center"/>
          </w:tcPr>
          <w:p w14:paraId="6C9529C3">
            <w:pPr>
              <w:pStyle w:val="147"/>
              <w:keepNext w:val="0"/>
              <w:keepLines w:val="0"/>
              <w:suppressLineNumbers w:val="0"/>
              <w:spacing w:before="0" w:beforeAutospacing="0" w:after="0" w:afterAutospacing="0" w:line="400" w:lineRule="exact"/>
              <w:ind w:left="0" w:right="0"/>
              <w:rPr>
                <w:rFonts w:hint="eastAsia" w:ascii="宋体" w:hAnsi="宋体" w:eastAsia="宋体" w:cs="宋体"/>
                <w:bCs/>
                <w:color w:val="auto"/>
                <w:sz w:val="21"/>
                <w:szCs w:val="21"/>
                <w:highlight w:val="none"/>
                <w:lang w:val="en-US" w:eastAsia="zh-CN"/>
              </w:rPr>
            </w:pPr>
            <w:r>
              <w:rPr>
                <w:rFonts w:hint="eastAsia" w:ascii="宋体" w:hAnsi="宋体" w:cs="宋体"/>
                <w:color w:val="auto"/>
                <w:sz w:val="21"/>
                <w:szCs w:val="21"/>
                <w:highlight w:val="none"/>
              </w:rPr>
              <w:t>中标通知书发出之日起30日内，按照</w:t>
            </w:r>
            <w:r>
              <w:rPr>
                <w:rFonts w:hint="eastAsia" w:ascii="宋体" w:hAnsi="宋体" w:cs="宋体"/>
                <w:color w:val="auto"/>
                <w:sz w:val="21"/>
                <w:szCs w:val="21"/>
                <w:highlight w:val="none"/>
                <w:lang w:val="en-US" w:eastAsia="zh-CN"/>
              </w:rPr>
              <w:t>招标</w:t>
            </w:r>
            <w:r>
              <w:rPr>
                <w:rFonts w:hint="eastAsia" w:ascii="宋体" w:hAnsi="宋体" w:cs="宋体"/>
                <w:color w:val="auto"/>
                <w:sz w:val="21"/>
                <w:szCs w:val="21"/>
                <w:highlight w:val="none"/>
              </w:rPr>
              <w:t>文件确定的事项签订采购合同</w:t>
            </w:r>
          </w:p>
        </w:tc>
      </w:tr>
      <w:tr w14:paraId="1D7DA30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17" w:hRule="exact"/>
          <w:jc w:val="center"/>
        </w:trPr>
        <w:tc>
          <w:tcPr>
            <w:tcW w:w="712" w:type="dxa"/>
            <w:vAlign w:val="center"/>
          </w:tcPr>
          <w:p w14:paraId="68DAF8A9">
            <w:pPr>
              <w:keepNext w:val="0"/>
              <w:keepLines w:val="0"/>
              <w:suppressLineNumbers w:val="0"/>
              <w:snapToGrid w:val="0"/>
              <w:spacing w:before="0" w:beforeAutospacing="0" w:after="0" w:afterAutospacing="0" w:line="320" w:lineRule="exact"/>
              <w:ind w:left="0" w:right="0"/>
              <w:jc w:val="center"/>
              <w:textAlignment w:val="baseline"/>
              <w:rPr>
                <w:rFonts w:hint="default" w:ascii="宋体" w:hAnsi="宋体" w:cs="宋体"/>
                <w:b/>
                <w:bCs/>
                <w:color w:val="auto"/>
                <w:szCs w:val="21"/>
                <w:highlight w:val="none"/>
              </w:rPr>
            </w:pPr>
            <w:r>
              <w:rPr>
                <w:rStyle w:val="102"/>
                <w:rFonts w:hint="eastAsia" w:ascii="宋体" w:hAnsi="宋体" w:cs="宋体"/>
                <w:b/>
                <w:bCs/>
                <w:color w:val="auto"/>
                <w:szCs w:val="21"/>
                <w:highlight w:val="none"/>
              </w:rPr>
              <w:t>序号</w:t>
            </w:r>
          </w:p>
        </w:tc>
        <w:tc>
          <w:tcPr>
            <w:tcW w:w="1702" w:type="dxa"/>
            <w:vAlign w:val="center"/>
          </w:tcPr>
          <w:p w14:paraId="0C8CDB35">
            <w:pPr>
              <w:keepNext w:val="0"/>
              <w:keepLines w:val="0"/>
              <w:suppressLineNumbers w:val="0"/>
              <w:snapToGrid w:val="0"/>
              <w:spacing w:before="0" w:beforeAutospacing="0" w:after="0" w:afterAutospacing="0" w:line="320" w:lineRule="exact"/>
              <w:ind w:left="0" w:right="0"/>
              <w:jc w:val="center"/>
              <w:textAlignment w:val="baseline"/>
              <w:rPr>
                <w:rFonts w:hint="default" w:ascii="宋体" w:hAnsi="宋体" w:cs="宋体"/>
                <w:b/>
                <w:bCs/>
                <w:color w:val="auto"/>
                <w:szCs w:val="21"/>
                <w:highlight w:val="none"/>
              </w:rPr>
            </w:pPr>
            <w:r>
              <w:rPr>
                <w:rStyle w:val="102"/>
                <w:rFonts w:hint="eastAsia" w:ascii="宋体" w:hAnsi="宋体" w:cs="宋体"/>
                <w:b/>
                <w:bCs/>
                <w:color w:val="auto"/>
                <w:szCs w:val="21"/>
                <w:highlight w:val="none"/>
              </w:rPr>
              <w:t>须知项目</w:t>
            </w:r>
          </w:p>
        </w:tc>
        <w:tc>
          <w:tcPr>
            <w:tcW w:w="7170" w:type="dxa"/>
            <w:gridSpan w:val="3"/>
            <w:vAlign w:val="center"/>
          </w:tcPr>
          <w:p w14:paraId="73B5133F">
            <w:pPr>
              <w:keepNext w:val="0"/>
              <w:keepLines w:val="0"/>
              <w:suppressLineNumbers w:val="0"/>
              <w:snapToGrid w:val="0"/>
              <w:spacing w:before="0" w:beforeAutospacing="0" w:after="0" w:afterAutospacing="0" w:line="320" w:lineRule="exact"/>
              <w:ind w:left="0" w:right="0"/>
              <w:jc w:val="center"/>
              <w:textAlignment w:val="baseline"/>
              <w:rPr>
                <w:rFonts w:hint="default" w:ascii="宋体" w:hAnsi="宋体" w:cs="宋体"/>
                <w:b/>
                <w:bCs/>
                <w:color w:val="auto"/>
                <w:szCs w:val="21"/>
                <w:highlight w:val="none"/>
              </w:rPr>
            </w:pPr>
            <w:r>
              <w:rPr>
                <w:rStyle w:val="102"/>
                <w:rFonts w:hint="eastAsia" w:ascii="宋体" w:hAnsi="宋体" w:cs="宋体"/>
                <w:b/>
                <w:bCs/>
                <w:color w:val="auto"/>
                <w:szCs w:val="21"/>
                <w:highlight w:val="none"/>
              </w:rPr>
              <w:t>内容</w:t>
            </w:r>
          </w:p>
        </w:tc>
      </w:tr>
      <w:tr w14:paraId="0033F1D7">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43" w:hRule="exact"/>
          <w:jc w:val="center"/>
        </w:trPr>
        <w:tc>
          <w:tcPr>
            <w:tcW w:w="712" w:type="dxa"/>
            <w:vAlign w:val="center"/>
          </w:tcPr>
          <w:p w14:paraId="2A5E7462">
            <w:pPr>
              <w:keepNext w:val="0"/>
              <w:keepLines w:val="0"/>
              <w:suppressLineNumbers w:val="0"/>
              <w:spacing w:before="0" w:beforeAutospacing="0" w:after="0" w:afterAutospacing="0" w:line="36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14</w:t>
            </w:r>
          </w:p>
        </w:tc>
        <w:tc>
          <w:tcPr>
            <w:tcW w:w="1702" w:type="dxa"/>
            <w:vAlign w:val="center"/>
          </w:tcPr>
          <w:p w14:paraId="5FECF624">
            <w:pPr>
              <w:keepNext w:val="0"/>
              <w:keepLines w:val="0"/>
              <w:widowControl/>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投标保证金</w:t>
            </w:r>
          </w:p>
        </w:tc>
        <w:tc>
          <w:tcPr>
            <w:tcW w:w="7170" w:type="dxa"/>
            <w:gridSpan w:val="3"/>
            <w:vAlign w:val="center"/>
          </w:tcPr>
          <w:p w14:paraId="743E2FBC">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r>
              <w:rPr>
                <w:rFonts w:hint="eastAsia" w:ascii="宋体" w:hAnsi="宋体" w:cs="宋体"/>
                <w:color w:val="auto"/>
                <w:szCs w:val="21"/>
                <w:highlight w:val="none"/>
              </w:rPr>
              <w:t>不需</w:t>
            </w:r>
            <w:r>
              <w:rPr>
                <w:rFonts w:hint="eastAsia" w:ascii="宋体" w:hAnsi="宋体" w:cs="宋体"/>
                <w:color w:val="auto"/>
                <w:szCs w:val="21"/>
                <w:highlight w:val="none"/>
                <w:lang w:val="en-US" w:eastAsia="zh-CN"/>
              </w:rPr>
              <w:t>要缴纳</w:t>
            </w:r>
            <w:r>
              <w:rPr>
                <w:rFonts w:hint="eastAsia" w:ascii="宋体" w:hAnsi="宋体" w:cs="宋体"/>
                <w:color w:val="auto"/>
                <w:szCs w:val="21"/>
                <w:highlight w:val="none"/>
              </w:rPr>
              <w:t xml:space="preserve">投标保证金 </w:t>
            </w:r>
          </w:p>
        </w:tc>
      </w:tr>
      <w:tr w14:paraId="4516DB4F">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62" w:hRule="exact"/>
          <w:jc w:val="center"/>
        </w:trPr>
        <w:tc>
          <w:tcPr>
            <w:tcW w:w="712" w:type="dxa"/>
            <w:vAlign w:val="center"/>
          </w:tcPr>
          <w:p w14:paraId="042B9EC6">
            <w:pPr>
              <w:keepNext w:val="0"/>
              <w:keepLines w:val="0"/>
              <w:suppressLineNumbers w:val="0"/>
              <w:spacing w:before="0" w:beforeAutospacing="0" w:after="0" w:afterAutospacing="0" w:line="36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rPr>
              <w:t>15</w:t>
            </w:r>
          </w:p>
        </w:tc>
        <w:tc>
          <w:tcPr>
            <w:tcW w:w="1702" w:type="dxa"/>
            <w:vAlign w:val="center"/>
          </w:tcPr>
          <w:p w14:paraId="2811273C">
            <w:pPr>
              <w:keepNext w:val="0"/>
              <w:keepLines w:val="0"/>
              <w:suppressLineNumbers w:val="0"/>
              <w:spacing w:before="0" w:beforeAutospacing="0" w:after="0" w:afterAutospacing="0" w:line="36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rPr>
              <w:t>是否允许           联合体投标</w:t>
            </w:r>
          </w:p>
        </w:tc>
        <w:tc>
          <w:tcPr>
            <w:tcW w:w="7170" w:type="dxa"/>
            <w:gridSpan w:val="3"/>
            <w:vAlign w:val="center"/>
          </w:tcPr>
          <w:p w14:paraId="06ABD573">
            <w:pPr>
              <w:keepNext w:val="0"/>
              <w:keepLines w:val="0"/>
              <w:suppressLineNumbers w:val="0"/>
              <w:spacing w:before="0" w:beforeAutospacing="0" w:after="0" w:afterAutospacing="0" w:line="360" w:lineRule="exact"/>
              <w:ind w:left="0" w:right="0"/>
              <w:jc w:val="left"/>
              <w:rPr>
                <w:rFonts w:hint="default" w:ascii="宋体" w:hAnsi="宋体" w:cs="宋体"/>
                <w:bCs/>
                <w:color w:val="auto"/>
                <w:szCs w:val="21"/>
                <w:highlight w:val="none"/>
              </w:rPr>
            </w:pPr>
            <w:r>
              <w:rPr>
                <w:rFonts w:hint="eastAsia" w:ascii="宋体" w:hAnsi="宋体" w:cs="宋体"/>
                <w:bCs/>
                <w:color w:val="auto"/>
                <w:szCs w:val="21"/>
                <w:highlight w:val="none"/>
              </w:rPr>
              <w:t>不允许</w:t>
            </w:r>
          </w:p>
        </w:tc>
      </w:tr>
      <w:tr w14:paraId="0AE5E4D8">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712" w:type="dxa"/>
            <w:vAlign w:val="center"/>
          </w:tcPr>
          <w:p w14:paraId="110EED24">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16</w:t>
            </w:r>
          </w:p>
        </w:tc>
        <w:tc>
          <w:tcPr>
            <w:tcW w:w="1702" w:type="dxa"/>
            <w:vAlign w:val="center"/>
          </w:tcPr>
          <w:p w14:paraId="7A304448">
            <w:pPr>
              <w:keepNext w:val="0"/>
              <w:keepLines w:val="0"/>
              <w:suppressLineNumbers w:val="0"/>
              <w:spacing w:before="0" w:beforeAutospacing="0" w:after="0" w:afterAutospacing="0" w:line="36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rPr>
              <w:t>踏勘现场</w:t>
            </w:r>
          </w:p>
        </w:tc>
        <w:tc>
          <w:tcPr>
            <w:tcW w:w="7170" w:type="dxa"/>
            <w:gridSpan w:val="3"/>
            <w:vAlign w:val="center"/>
          </w:tcPr>
          <w:p w14:paraId="35933F07">
            <w:pPr>
              <w:keepNext w:val="0"/>
              <w:keepLines w:val="0"/>
              <w:suppressLineNumbers w:val="0"/>
              <w:spacing w:before="0" w:beforeAutospacing="0" w:after="0" w:afterAutospacing="0" w:line="360" w:lineRule="exact"/>
              <w:ind w:left="0" w:right="0"/>
              <w:jc w:val="left"/>
              <w:rPr>
                <w:rFonts w:hint="default" w:ascii="宋体" w:hAnsi="宋体" w:cs="宋体"/>
                <w:bCs/>
                <w:color w:val="auto"/>
                <w:szCs w:val="21"/>
                <w:highlight w:val="none"/>
              </w:rPr>
            </w:pPr>
            <w:r>
              <w:rPr>
                <w:rFonts w:hint="eastAsia" w:ascii="宋体" w:hAnsi="宋体" w:cs="宋体"/>
                <w:bCs/>
                <w:color w:val="auto"/>
                <w:szCs w:val="21"/>
                <w:highlight w:val="none"/>
              </w:rPr>
              <w:t>不组织，投标人如有需要，经采购人同意后可自行前往，踏勘期间发生的费用或意外导致伤亡等一切责任和损失均由投标人自负</w:t>
            </w:r>
          </w:p>
        </w:tc>
      </w:tr>
      <w:tr w14:paraId="7A8B92E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712" w:type="dxa"/>
            <w:vAlign w:val="center"/>
          </w:tcPr>
          <w:p w14:paraId="00A26691">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17</w:t>
            </w:r>
          </w:p>
        </w:tc>
        <w:tc>
          <w:tcPr>
            <w:tcW w:w="1702" w:type="dxa"/>
            <w:vAlign w:val="center"/>
          </w:tcPr>
          <w:p w14:paraId="0FDD2519">
            <w:pPr>
              <w:keepNext w:val="0"/>
              <w:keepLines w:val="0"/>
              <w:suppressLineNumbers w:val="0"/>
              <w:spacing w:before="0" w:beforeAutospacing="0" w:after="0" w:afterAutospacing="0" w:line="40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rPr>
              <w:t>答疑会</w:t>
            </w:r>
          </w:p>
        </w:tc>
        <w:tc>
          <w:tcPr>
            <w:tcW w:w="7170" w:type="dxa"/>
            <w:gridSpan w:val="3"/>
            <w:vAlign w:val="center"/>
          </w:tcPr>
          <w:p w14:paraId="1EE4D9ED">
            <w:pPr>
              <w:keepNext w:val="0"/>
              <w:keepLines w:val="0"/>
              <w:suppressLineNumbers w:val="0"/>
              <w:spacing w:before="0" w:beforeAutospacing="0" w:after="0" w:afterAutospacing="0" w:line="400" w:lineRule="exact"/>
              <w:ind w:left="0" w:right="0"/>
              <w:jc w:val="left"/>
              <w:rPr>
                <w:rFonts w:hint="default" w:ascii="宋体" w:hAnsi="宋体" w:cs="宋体"/>
                <w:bCs/>
                <w:color w:val="auto"/>
                <w:szCs w:val="21"/>
                <w:highlight w:val="none"/>
              </w:rPr>
            </w:pPr>
            <w:r>
              <w:rPr>
                <w:rFonts w:hint="eastAsia" w:ascii="宋体" w:hAnsi="宋体" w:cs="宋体"/>
                <w:bCs/>
                <w:color w:val="auto"/>
                <w:szCs w:val="21"/>
                <w:highlight w:val="none"/>
              </w:rPr>
              <w:t>不召开</w:t>
            </w:r>
          </w:p>
        </w:tc>
      </w:tr>
      <w:tr w14:paraId="449430A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42" w:hRule="exact"/>
          <w:jc w:val="center"/>
        </w:trPr>
        <w:tc>
          <w:tcPr>
            <w:tcW w:w="712" w:type="dxa"/>
            <w:vAlign w:val="center"/>
          </w:tcPr>
          <w:p w14:paraId="13B978BF">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18</w:t>
            </w:r>
          </w:p>
        </w:tc>
        <w:tc>
          <w:tcPr>
            <w:tcW w:w="1702" w:type="dxa"/>
            <w:vAlign w:val="center"/>
          </w:tcPr>
          <w:p w14:paraId="483A8EBA">
            <w:pPr>
              <w:keepNext w:val="0"/>
              <w:keepLines w:val="0"/>
              <w:suppressLineNumbers w:val="0"/>
              <w:spacing w:before="0" w:beforeAutospacing="0" w:after="0" w:afterAutospacing="0" w:line="40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rPr>
              <w:t>投标文件的组成</w:t>
            </w:r>
          </w:p>
        </w:tc>
        <w:tc>
          <w:tcPr>
            <w:tcW w:w="7170" w:type="dxa"/>
            <w:gridSpan w:val="3"/>
            <w:vAlign w:val="center"/>
          </w:tcPr>
          <w:p w14:paraId="056818A3">
            <w:pPr>
              <w:keepNext w:val="0"/>
              <w:keepLines w:val="0"/>
              <w:suppressLineNumbers w:val="0"/>
              <w:spacing w:before="0" w:beforeAutospacing="0" w:after="0" w:afterAutospacing="0" w:line="400" w:lineRule="exact"/>
              <w:ind w:left="0" w:right="0"/>
              <w:jc w:val="left"/>
              <w:rPr>
                <w:rFonts w:hint="default" w:ascii="宋体" w:hAnsi="宋体" w:cs="宋体"/>
                <w:bCs/>
                <w:color w:val="auto"/>
                <w:szCs w:val="21"/>
                <w:highlight w:val="none"/>
              </w:rPr>
            </w:pPr>
            <w:r>
              <w:rPr>
                <w:rFonts w:hint="eastAsia" w:ascii="宋体" w:hAnsi="宋体" w:cs="宋体"/>
                <w:bCs/>
                <w:color w:val="auto"/>
                <w:szCs w:val="21"/>
                <w:highlight w:val="none"/>
              </w:rPr>
              <w:t>完整的《投标文件》由“资格文件”、“商务技术文件”和“报价文件”三部分组成</w:t>
            </w:r>
          </w:p>
        </w:tc>
      </w:tr>
      <w:tr w14:paraId="3934027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445" w:hRule="exact"/>
          <w:jc w:val="center"/>
        </w:trPr>
        <w:tc>
          <w:tcPr>
            <w:tcW w:w="712" w:type="dxa"/>
            <w:vAlign w:val="center"/>
          </w:tcPr>
          <w:p w14:paraId="0BBEBF09">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19</w:t>
            </w:r>
          </w:p>
        </w:tc>
        <w:tc>
          <w:tcPr>
            <w:tcW w:w="1702" w:type="dxa"/>
            <w:vAlign w:val="center"/>
          </w:tcPr>
          <w:p w14:paraId="120DA836">
            <w:pPr>
              <w:keepNext w:val="0"/>
              <w:keepLines w:val="0"/>
              <w:suppressLineNumbers w:val="0"/>
              <w:spacing w:before="0" w:beforeAutospacing="0" w:after="0" w:afterAutospacing="0" w:line="40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rPr>
              <w:t>投标文件份数</w:t>
            </w:r>
          </w:p>
        </w:tc>
        <w:tc>
          <w:tcPr>
            <w:tcW w:w="7170" w:type="dxa"/>
            <w:gridSpan w:val="3"/>
            <w:vAlign w:val="center"/>
          </w:tcPr>
          <w:p w14:paraId="0CF43848">
            <w:pPr>
              <w:keepNext w:val="0"/>
              <w:keepLines w:val="0"/>
              <w:suppressLineNumbers w:val="0"/>
              <w:snapToGrid w:val="0"/>
              <w:spacing w:before="0" w:beforeAutospacing="0" w:after="0" w:afterAutospacing="0" w:line="320" w:lineRule="exact"/>
              <w:ind w:left="0" w:right="0"/>
              <w:textAlignment w:val="baseline"/>
              <w:rPr>
                <w:rFonts w:hint="default" w:ascii="宋体" w:hAnsi="宋体" w:cs="宋体"/>
                <w:bCs/>
                <w:color w:val="auto"/>
                <w:szCs w:val="21"/>
                <w:highlight w:val="none"/>
              </w:rPr>
            </w:pPr>
            <w:r>
              <w:rPr>
                <w:rFonts w:hint="eastAsia"/>
                <w:b/>
                <w:bCs/>
                <w:color w:val="auto"/>
                <w:highlight w:val="none"/>
              </w:rPr>
              <w:t>资格文件、商务技术文件、报价文件各正本一份、副本四份，三部分文件应独立密封包装（注：各部分正本与副本包装在同一个密封袋内）。另外，投标人需就资格文件、商务技术文件、报价文件盖章签字后的文件进行扫描，并将三部分文件的PDF扫描件统一装入一个U盘中，单独封装提交。</w:t>
            </w:r>
          </w:p>
        </w:tc>
      </w:tr>
      <w:tr w14:paraId="4BA0F84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09" w:hRule="exact"/>
          <w:jc w:val="center"/>
        </w:trPr>
        <w:tc>
          <w:tcPr>
            <w:tcW w:w="712" w:type="dxa"/>
            <w:vAlign w:val="center"/>
          </w:tcPr>
          <w:p w14:paraId="7C8F305F">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20</w:t>
            </w:r>
          </w:p>
        </w:tc>
        <w:tc>
          <w:tcPr>
            <w:tcW w:w="1702" w:type="dxa"/>
            <w:vAlign w:val="center"/>
          </w:tcPr>
          <w:p w14:paraId="33E02981">
            <w:pPr>
              <w:keepNext w:val="0"/>
              <w:keepLines w:val="0"/>
              <w:suppressLineNumbers w:val="0"/>
              <w:spacing w:before="0" w:beforeAutospacing="0" w:after="0" w:afterAutospacing="0" w:line="40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rPr>
              <w:t>履约保证金</w:t>
            </w:r>
          </w:p>
        </w:tc>
        <w:tc>
          <w:tcPr>
            <w:tcW w:w="7170" w:type="dxa"/>
            <w:gridSpan w:val="3"/>
            <w:vAlign w:val="center"/>
          </w:tcPr>
          <w:p w14:paraId="51F6D306">
            <w:pPr>
              <w:keepNext w:val="0"/>
              <w:keepLines w:val="0"/>
              <w:suppressLineNumbers w:val="0"/>
              <w:spacing w:before="0" w:beforeAutospacing="0" w:after="0" w:afterAutospacing="0" w:line="400" w:lineRule="exact"/>
              <w:ind w:left="0" w:right="0"/>
              <w:jc w:val="left"/>
              <w:rPr>
                <w:rFonts w:hint="default" w:ascii="宋体" w:hAnsi="宋体" w:eastAsia="宋体" w:cs="宋体"/>
                <w:bCs/>
                <w:color w:val="auto"/>
                <w:szCs w:val="21"/>
                <w:highlight w:val="none"/>
                <w:lang w:val="en-US" w:eastAsia="zh-CN"/>
              </w:rPr>
            </w:pPr>
            <w:r>
              <w:rPr>
                <w:rFonts w:hint="eastAsia" w:hAnsi="宋体" w:cs="宋体"/>
                <w:color w:val="auto"/>
                <w:szCs w:val="21"/>
                <w:highlight w:val="none"/>
                <w:lang w:val="en-US" w:eastAsia="zh-CN"/>
              </w:rPr>
              <w:t>合同价的1%</w:t>
            </w:r>
          </w:p>
        </w:tc>
      </w:tr>
      <w:tr w14:paraId="510F62C8">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10" w:hRule="exact"/>
          <w:jc w:val="center"/>
        </w:trPr>
        <w:tc>
          <w:tcPr>
            <w:tcW w:w="712" w:type="dxa"/>
            <w:vAlign w:val="center"/>
          </w:tcPr>
          <w:p w14:paraId="431A150A">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21</w:t>
            </w:r>
          </w:p>
        </w:tc>
        <w:tc>
          <w:tcPr>
            <w:tcW w:w="1702" w:type="dxa"/>
            <w:vAlign w:val="center"/>
          </w:tcPr>
          <w:p w14:paraId="394FAC3A">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发布媒体</w:t>
            </w:r>
          </w:p>
        </w:tc>
        <w:tc>
          <w:tcPr>
            <w:tcW w:w="7170" w:type="dxa"/>
            <w:gridSpan w:val="3"/>
            <w:vAlign w:val="center"/>
          </w:tcPr>
          <w:p w14:paraId="2B059C8C">
            <w:pPr>
              <w:keepNext w:val="0"/>
              <w:keepLines w:val="0"/>
              <w:suppressLineNumbers w:val="0"/>
              <w:snapToGrid w:val="0"/>
              <w:spacing w:before="0" w:beforeAutospacing="0" w:after="0" w:afterAutospacing="0" w:line="400" w:lineRule="exact"/>
              <w:ind w:left="0" w:right="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cs="宋体"/>
                <w:color w:val="auto"/>
                <w:szCs w:val="21"/>
                <w:highlight w:val="none"/>
              </w:rPr>
              <w:t>浙江政府采购网</w:t>
            </w:r>
            <w:r>
              <w:rPr>
                <w:rFonts w:hint="eastAsia" w:ascii="宋体" w:hAnsi="宋体" w:cs="宋体"/>
                <w:color w:val="auto"/>
                <w:szCs w:val="21"/>
                <w:highlight w:val="none"/>
                <w:lang w:eastAsia="zh-CN"/>
              </w:rPr>
              <w:t>（</w:t>
            </w:r>
            <w:r>
              <w:rPr>
                <w:rFonts w:hint="default"/>
                <w:color w:val="auto"/>
                <w:highlight w:val="none"/>
              </w:rPr>
              <w:fldChar w:fldCharType="begin"/>
            </w:r>
            <w:r>
              <w:rPr>
                <w:rFonts w:hint="default"/>
                <w:color w:val="auto"/>
                <w:highlight w:val="none"/>
              </w:rPr>
              <w:instrText xml:space="preserve"> HYPERLINK "http://60.190.126.3:8080/wcm/WCMV6/editor/editor/招标文件（新版）.doc" </w:instrText>
            </w:r>
            <w:r>
              <w:rPr>
                <w:rFonts w:hint="default"/>
                <w:color w:val="auto"/>
                <w:highlight w:val="none"/>
              </w:rPr>
              <w:fldChar w:fldCharType="separate"/>
            </w:r>
            <w:r>
              <w:rPr>
                <w:rFonts w:hint="eastAsia" w:ascii="宋体" w:hAnsi="宋体" w:cs="宋体"/>
                <w:color w:val="auto"/>
                <w:szCs w:val="21"/>
                <w:highlight w:val="none"/>
              </w:rPr>
              <w:t>https://zfcg.czt.zj.gov.cn/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eastAsia="宋体" w:cs="宋体"/>
                <w:i w:val="0"/>
                <w:iCs w:val="0"/>
                <w:caps w:val="0"/>
                <w:color w:val="auto"/>
                <w:spacing w:val="0"/>
                <w:sz w:val="21"/>
                <w:szCs w:val="21"/>
                <w:highlight w:val="none"/>
                <w:shd w:val="clear" w:fill="FFFFFF"/>
              </w:rPr>
              <w:t>丽水市公共资源交易网</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cs="宋体"/>
                <w:i w:val="0"/>
                <w:iCs w:val="0"/>
                <w:caps w:val="0"/>
                <w:color w:val="auto"/>
                <w:spacing w:val="0"/>
                <w:sz w:val="21"/>
                <w:szCs w:val="21"/>
                <w:highlight w:val="none"/>
                <w:shd w:val="clear" w:fill="FFFFFF"/>
                <w:lang w:val="en-US" w:eastAsia="zh-CN"/>
              </w:rPr>
              <w:t>云和）</w:t>
            </w:r>
            <w:r>
              <w:rPr>
                <w:rFonts w:hint="eastAsia" w:ascii="宋体" w:hAnsi="宋体" w:eastAsia="宋体" w:cs="宋体"/>
                <w:i w:val="0"/>
                <w:iCs w:val="0"/>
                <w:caps w:val="0"/>
                <w:color w:val="auto"/>
                <w:spacing w:val="0"/>
                <w:sz w:val="21"/>
                <w:szCs w:val="21"/>
                <w:highlight w:val="none"/>
                <w:shd w:val="clear" w:fill="FFFFFF"/>
              </w:rPr>
              <w:t>（http</w:t>
            </w:r>
            <w:r>
              <w:rPr>
                <w:rFonts w:hint="eastAsia" w:ascii="宋体" w:hAnsi="宋体" w:eastAsia="宋体" w:cs="宋体"/>
                <w:i w:val="0"/>
                <w:iCs w:val="0"/>
                <w:caps w:val="0"/>
                <w:color w:val="auto"/>
                <w:spacing w:val="0"/>
                <w:sz w:val="21"/>
                <w:szCs w:val="21"/>
                <w:highlight w:val="none"/>
                <w:shd w:val="clear" w:fill="FFFFFF"/>
                <w:lang w:val="en-US" w:eastAsia="zh-CN"/>
              </w:rPr>
              <w:t>s</w:t>
            </w:r>
            <w:r>
              <w:rPr>
                <w:rFonts w:hint="eastAsia" w:ascii="宋体" w:hAnsi="宋体" w:eastAsia="宋体" w:cs="宋体"/>
                <w:i w:val="0"/>
                <w:iCs w:val="0"/>
                <w:caps w:val="0"/>
                <w:color w:val="auto"/>
                <w:spacing w:val="0"/>
                <w:sz w:val="21"/>
                <w:szCs w:val="21"/>
                <w:highlight w:val="none"/>
                <w:shd w:val="clear" w:fill="FFFFFF"/>
              </w:rPr>
              <w:t>://lssggzy.lishui.gov.cn/</w:t>
            </w:r>
            <w:r>
              <w:rPr>
                <w:rFonts w:hint="eastAsia" w:ascii="宋体" w:hAnsi="宋体" w:cs="宋体"/>
                <w:i w:val="0"/>
                <w:iCs w:val="0"/>
                <w:caps w:val="0"/>
                <w:color w:val="auto"/>
                <w:spacing w:val="0"/>
                <w:sz w:val="21"/>
                <w:szCs w:val="21"/>
                <w:highlight w:val="none"/>
                <w:shd w:val="clear" w:fill="FFFFFF"/>
                <w:lang w:eastAsia="zh-CN"/>
              </w:rPr>
              <w:t>）</w:t>
            </w:r>
          </w:p>
          <w:p w14:paraId="00A22F2C">
            <w:pPr>
              <w:keepNext w:val="0"/>
              <w:keepLines w:val="0"/>
              <w:suppressLineNumbers w:val="0"/>
              <w:snapToGrid w:val="0"/>
              <w:spacing w:before="0" w:beforeAutospacing="0" w:after="0" w:afterAutospacing="0" w:line="400" w:lineRule="exact"/>
              <w:ind w:left="0" w:right="0"/>
              <w:rPr>
                <w:rFonts w:hint="eastAsia" w:ascii="宋体" w:hAnsi="宋体" w:eastAsia="宋体" w:cs="宋体"/>
                <w:bCs/>
                <w:snapToGrid w:val="0"/>
                <w:color w:val="auto"/>
                <w:szCs w:val="21"/>
                <w:highlight w:val="none"/>
                <w:lang w:eastAsia="zh-CN"/>
              </w:rPr>
            </w:pPr>
            <w:r>
              <w:rPr>
                <w:rFonts w:hint="eastAsia" w:ascii="宋体" w:hAnsi="宋体" w:eastAsia="宋体" w:cs="宋体"/>
                <w:i w:val="0"/>
                <w:iCs w:val="0"/>
                <w:caps w:val="0"/>
                <w:color w:val="auto"/>
                <w:spacing w:val="0"/>
                <w:sz w:val="21"/>
                <w:szCs w:val="21"/>
                <w:highlight w:val="none"/>
                <w:shd w:val="clear" w:fill="FFFFFF"/>
              </w:rPr>
              <w:t>）</w:t>
            </w:r>
          </w:p>
        </w:tc>
      </w:tr>
      <w:tr w14:paraId="0A27682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60" w:hRule="exact"/>
          <w:jc w:val="center"/>
        </w:trPr>
        <w:tc>
          <w:tcPr>
            <w:tcW w:w="712" w:type="dxa"/>
            <w:vAlign w:val="center"/>
          </w:tcPr>
          <w:p w14:paraId="3D1528C6">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snapToGrid w:val="0"/>
                <w:color w:val="auto"/>
                <w:szCs w:val="21"/>
                <w:highlight w:val="none"/>
              </w:rPr>
              <w:t>22</w:t>
            </w:r>
          </w:p>
        </w:tc>
        <w:tc>
          <w:tcPr>
            <w:tcW w:w="1702" w:type="dxa"/>
            <w:vAlign w:val="center"/>
          </w:tcPr>
          <w:p w14:paraId="5FDA4D7B">
            <w:pPr>
              <w:keepNext w:val="0"/>
              <w:keepLines w:val="0"/>
              <w:suppressLineNumbers w:val="0"/>
              <w:spacing w:before="0" w:beforeAutospacing="0" w:after="0" w:afterAutospacing="0" w:line="400" w:lineRule="exact"/>
              <w:ind w:left="0" w:right="0"/>
              <w:jc w:val="center"/>
              <w:rPr>
                <w:rFonts w:hint="default" w:ascii="宋体" w:hAnsi="宋体" w:cs="宋体"/>
                <w:bCs/>
                <w:snapToGrid w:val="0"/>
                <w:color w:val="auto"/>
                <w:szCs w:val="21"/>
                <w:highlight w:val="none"/>
              </w:rPr>
            </w:pPr>
            <w:r>
              <w:rPr>
                <w:rFonts w:hint="eastAsia" w:ascii="宋体" w:hAnsi="宋体" w:cs="宋体"/>
                <w:bCs/>
                <w:color w:val="auto"/>
                <w:szCs w:val="21"/>
                <w:highlight w:val="none"/>
              </w:rPr>
              <w:t>招标文件解释权</w:t>
            </w:r>
          </w:p>
        </w:tc>
        <w:tc>
          <w:tcPr>
            <w:tcW w:w="7170" w:type="dxa"/>
            <w:gridSpan w:val="3"/>
            <w:vAlign w:val="center"/>
          </w:tcPr>
          <w:p w14:paraId="71E237EB">
            <w:pPr>
              <w:keepNext w:val="0"/>
              <w:keepLines w:val="0"/>
              <w:suppressLineNumbers w:val="0"/>
              <w:spacing w:before="0" w:beforeAutospacing="0" w:after="0" w:afterAutospacing="0" w:line="400" w:lineRule="exact"/>
              <w:ind w:left="0" w:right="0"/>
              <w:rPr>
                <w:rFonts w:hint="default" w:ascii="宋体" w:hAnsi="宋体" w:cs="宋体"/>
                <w:bCs/>
                <w:snapToGrid w:val="0"/>
                <w:color w:val="auto"/>
                <w:szCs w:val="21"/>
                <w:highlight w:val="none"/>
              </w:rPr>
            </w:pPr>
            <w:r>
              <w:rPr>
                <w:rFonts w:hint="eastAsia" w:ascii="宋体" w:hAnsi="宋体" w:cs="宋体"/>
                <w:bCs/>
                <w:color w:val="auto"/>
                <w:szCs w:val="21"/>
                <w:highlight w:val="none"/>
              </w:rPr>
              <w:t>本项目招标文件的解释权属于浙江大兴建设项目管理咨询有限公司</w:t>
            </w:r>
          </w:p>
        </w:tc>
      </w:tr>
      <w:tr w14:paraId="0045394F">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3205" w:hRule="exact"/>
          <w:jc w:val="center"/>
        </w:trPr>
        <w:tc>
          <w:tcPr>
            <w:tcW w:w="712" w:type="dxa"/>
            <w:vAlign w:val="center"/>
          </w:tcPr>
          <w:p w14:paraId="3E1E0D45">
            <w:pPr>
              <w:keepNext w:val="0"/>
              <w:keepLines w:val="0"/>
              <w:suppressLineNumbers w:val="0"/>
              <w:spacing w:before="0" w:beforeAutospacing="0" w:after="0" w:afterAutospacing="0" w:line="400" w:lineRule="exact"/>
              <w:ind w:left="0" w:right="0"/>
              <w:jc w:val="center"/>
              <w:rPr>
                <w:rFonts w:hint="default" w:ascii="宋体" w:hAnsi="宋体" w:eastAsia="宋体" w:cs="宋体"/>
                <w:bCs/>
                <w:snapToGrid w:val="0"/>
                <w:color w:val="auto"/>
                <w:szCs w:val="21"/>
                <w:highlight w:val="none"/>
                <w:lang w:val="en-US" w:eastAsia="zh-CN"/>
              </w:rPr>
            </w:pPr>
            <w:r>
              <w:rPr>
                <w:rFonts w:hint="eastAsia" w:ascii="宋体" w:hAnsi="宋体" w:cs="宋体"/>
                <w:bCs/>
                <w:snapToGrid w:val="0"/>
                <w:color w:val="auto"/>
                <w:szCs w:val="21"/>
                <w:highlight w:val="none"/>
                <w:lang w:val="en-US" w:eastAsia="zh-CN"/>
              </w:rPr>
              <w:t>23</w:t>
            </w:r>
          </w:p>
        </w:tc>
        <w:tc>
          <w:tcPr>
            <w:tcW w:w="1702" w:type="dxa"/>
            <w:vAlign w:val="center"/>
          </w:tcPr>
          <w:p w14:paraId="17014294">
            <w:pPr>
              <w:keepNext w:val="0"/>
              <w:keepLines w:val="0"/>
              <w:suppressLineNumbers w:val="0"/>
              <w:spacing w:before="0" w:beforeAutospacing="0" w:after="0" w:afterAutospacing="0" w:line="400" w:lineRule="exact"/>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采购代理     服务费</w:t>
            </w:r>
          </w:p>
        </w:tc>
        <w:tc>
          <w:tcPr>
            <w:tcW w:w="7170" w:type="dxa"/>
            <w:gridSpan w:val="3"/>
            <w:vAlign w:val="center"/>
          </w:tcPr>
          <w:p w14:paraId="4903AFD8">
            <w:pPr>
              <w:keepNext w:val="0"/>
              <w:keepLines w:val="0"/>
              <w:suppressLineNumbers w:val="0"/>
              <w:spacing w:before="0" w:beforeAutospacing="0" w:after="0" w:afterAutospacing="0" w:line="400" w:lineRule="exact"/>
              <w:ind w:left="0" w:right="0"/>
              <w:rPr>
                <w:rFonts w:hint="default" w:ascii="宋体" w:hAnsi="宋体" w:cs="宋体"/>
                <w:b/>
                <w:bCs/>
                <w:color w:val="auto"/>
                <w:szCs w:val="21"/>
                <w:highlight w:val="none"/>
              </w:rPr>
            </w:pPr>
            <w:r>
              <w:rPr>
                <w:rFonts w:hint="eastAsia" w:ascii="宋体" w:hAnsi="宋体" w:cs="宋体"/>
                <w:b/>
                <w:bCs/>
                <w:color w:val="auto"/>
                <w:szCs w:val="21"/>
                <w:highlight w:val="none"/>
              </w:rPr>
              <w:t>采购代理服务费金额：由中标人支付</w:t>
            </w:r>
            <w:r>
              <w:rPr>
                <w:rFonts w:hint="eastAsia" w:ascii="宋体" w:hAnsi="宋体" w:cs="宋体"/>
                <w:b/>
                <w:bCs/>
                <w:color w:val="auto"/>
                <w:szCs w:val="21"/>
                <w:highlight w:val="none"/>
                <w:lang w:val="en-US" w:eastAsia="zh-CN"/>
              </w:rPr>
              <w:t>采购</w:t>
            </w:r>
            <w:r>
              <w:rPr>
                <w:rFonts w:hint="eastAsia" w:ascii="宋体" w:hAnsi="宋体" w:cs="宋体"/>
                <w:b/>
                <w:bCs/>
                <w:color w:val="auto"/>
                <w:szCs w:val="21"/>
                <w:highlight w:val="none"/>
              </w:rPr>
              <w:t>代理服务费，费用参照国家发展和改革委员会文件发改价格</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2011</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534号文件收费标准的</w:t>
            </w:r>
            <w:r>
              <w:rPr>
                <w:rFonts w:hint="eastAsia" w:ascii="宋体" w:hAnsi="宋体" w:cs="宋体"/>
                <w:b/>
                <w:bCs/>
                <w:color w:val="auto"/>
                <w:szCs w:val="21"/>
                <w:highlight w:val="none"/>
                <w:lang w:val="en-US" w:eastAsia="zh-CN"/>
              </w:rPr>
              <w:t>75</w:t>
            </w:r>
            <w:r>
              <w:rPr>
                <w:rFonts w:hint="eastAsia" w:ascii="宋体" w:hAnsi="宋体" w:cs="宋体"/>
                <w:b/>
                <w:bCs/>
                <w:color w:val="auto"/>
                <w:szCs w:val="21"/>
                <w:highlight w:val="none"/>
              </w:rPr>
              <w:t>%计取。</w:t>
            </w:r>
          </w:p>
          <w:p w14:paraId="49B0A126">
            <w:pPr>
              <w:keepNext w:val="0"/>
              <w:keepLines w:val="0"/>
              <w:suppressLineNumbers w:val="0"/>
              <w:spacing w:before="0" w:beforeAutospacing="0" w:after="0" w:afterAutospacing="0" w:line="40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rPr>
              <w:t>采购代理服务费交纳形式：汇票/支票/电汇/现金/网银转账</w:t>
            </w:r>
          </w:p>
          <w:p w14:paraId="2DC3A87A">
            <w:pPr>
              <w:keepNext w:val="0"/>
              <w:keepLines w:val="0"/>
              <w:suppressLineNumbers w:val="0"/>
              <w:spacing w:before="0" w:beforeAutospacing="0" w:after="0" w:afterAutospacing="0" w:line="40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rPr>
              <w:t>汇入以下账户：</w:t>
            </w:r>
          </w:p>
          <w:p w14:paraId="50351A91">
            <w:pPr>
              <w:keepNext w:val="0"/>
              <w:keepLines w:val="0"/>
              <w:suppressLineNumbers w:val="0"/>
              <w:spacing w:before="0" w:beforeAutospacing="0" w:after="0" w:afterAutospacing="0" w:line="40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rPr>
              <w:t>户名：浙江大兴建设项目管理咨询有限公司</w:t>
            </w:r>
          </w:p>
          <w:p w14:paraId="3993FDB8">
            <w:pPr>
              <w:keepNext w:val="0"/>
              <w:keepLines w:val="0"/>
              <w:suppressLineNumbers w:val="0"/>
              <w:spacing w:before="0" w:beforeAutospacing="0" w:after="0" w:afterAutospacing="0" w:line="40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rPr>
              <w:t>账号：33001694400050000430</w:t>
            </w:r>
          </w:p>
          <w:p w14:paraId="2475566F">
            <w:pPr>
              <w:keepNext w:val="0"/>
              <w:keepLines w:val="0"/>
              <w:suppressLineNumbers w:val="0"/>
              <w:spacing w:before="0" w:beforeAutospacing="0" w:after="0" w:afterAutospacing="0" w:line="400" w:lineRule="exact"/>
              <w:ind w:left="0" w:right="0"/>
              <w:rPr>
                <w:rFonts w:hint="eastAsia" w:ascii="宋体" w:hAnsi="宋体" w:cs="宋体"/>
                <w:bCs/>
                <w:color w:val="auto"/>
                <w:szCs w:val="21"/>
                <w:highlight w:val="none"/>
              </w:rPr>
            </w:pPr>
            <w:r>
              <w:rPr>
                <w:rFonts w:hint="eastAsia" w:ascii="宋体" w:hAnsi="宋体" w:cs="宋体"/>
                <w:bCs/>
                <w:color w:val="auto"/>
                <w:szCs w:val="21"/>
                <w:highlight w:val="none"/>
              </w:rPr>
              <w:t>开户行：丽水市建行瓯江支行</w:t>
            </w:r>
          </w:p>
        </w:tc>
      </w:tr>
    </w:tbl>
    <w:p w14:paraId="674F8975">
      <w:pPr>
        <w:pStyle w:val="4"/>
        <w:spacing w:line="360" w:lineRule="exact"/>
        <w:ind w:left="0" w:leftChars="0" w:firstLine="0" w:firstLineChars="0"/>
        <w:rPr>
          <w:rFonts w:hint="eastAsia" w:ascii="宋体" w:hAnsi="宋体" w:eastAsia="宋体" w:cs="宋体"/>
          <w:color w:val="auto"/>
          <w:sz w:val="24"/>
          <w:szCs w:val="24"/>
          <w:highlight w:val="none"/>
        </w:rPr>
      </w:pPr>
      <w:bookmarkStart w:id="74" w:name="_Toc55212779"/>
    </w:p>
    <w:p w14:paraId="6F1595FD">
      <w:pPr>
        <w:pStyle w:val="5"/>
        <w:rPr>
          <w:rFonts w:hint="eastAsia" w:ascii="宋体" w:hAnsi="宋体" w:eastAsia="宋体" w:cs="宋体"/>
          <w:color w:val="auto"/>
          <w:sz w:val="24"/>
          <w:szCs w:val="24"/>
          <w:highlight w:val="none"/>
        </w:rPr>
      </w:pPr>
    </w:p>
    <w:p w14:paraId="2483A180">
      <w:pPr>
        <w:rPr>
          <w:rFonts w:hint="eastAsia" w:ascii="宋体" w:hAnsi="宋体" w:eastAsia="宋体" w:cs="宋体"/>
          <w:color w:val="auto"/>
          <w:sz w:val="24"/>
          <w:szCs w:val="24"/>
          <w:highlight w:val="none"/>
        </w:rPr>
      </w:pPr>
    </w:p>
    <w:p w14:paraId="60E02CFB">
      <w:pPr>
        <w:pStyle w:val="20"/>
        <w:rPr>
          <w:rFonts w:hint="eastAsia"/>
          <w:color w:val="auto"/>
          <w:highlight w:val="none"/>
        </w:rPr>
      </w:pPr>
    </w:p>
    <w:p w14:paraId="70F8B9F0">
      <w:pPr>
        <w:pStyle w:val="4"/>
        <w:spacing w:line="360" w:lineRule="exact"/>
        <w:ind w:firstLine="241"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 总则</w:t>
      </w:r>
      <w:bookmarkEnd w:id="74"/>
    </w:p>
    <w:p w14:paraId="22D0349C">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1.适用范围</w:t>
      </w:r>
    </w:p>
    <w:p w14:paraId="1C5013DC">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1.1本次招标工作按照有关</w:t>
      </w:r>
      <w:r>
        <w:rPr>
          <w:rFonts w:hint="eastAsia" w:ascii="宋体" w:hAnsi="宋体" w:cs="宋体"/>
          <w:color w:val="auto"/>
          <w:szCs w:val="21"/>
          <w:highlight w:val="none"/>
          <w:lang w:eastAsia="zh-CN"/>
        </w:rPr>
        <w:t>法律法规</w:t>
      </w:r>
      <w:r>
        <w:rPr>
          <w:rFonts w:hint="eastAsia" w:ascii="宋体" w:hAnsi="宋体" w:cs="宋体"/>
          <w:color w:val="auto"/>
          <w:szCs w:val="21"/>
          <w:highlight w:val="none"/>
        </w:rPr>
        <w:t>、规章、文件的规定组织和实施。招标文件适用于本次所述项目的采购行为。</w:t>
      </w:r>
    </w:p>
    <w:p w14:paraId="3570B64D">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 定义</w:t>
      </w:r>
    </w:p>
    <w:p w14:paraId="68E5AF54">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2.1“公开招标”是指采购人依法以招标公告的方式邀请不特定的投标人参加投标。</w:t>
      </w:r>
    </w:p>
    <w:p w14:paraId="1B9713A1">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2.2“招标（采购）人”系指</w:t>
      </w:r>
      <w:r>
        <w:rPr>
          <w:rFonts w:hint="eastAsia" w:ascii="宋体" w:hAnsi="宋体" w:cs="宋体"/>
          <w:color w:val="auto"/>
          <w:szCs w:val="21"/>
          <w:highlight w:val="none"/>
          <w:lang w:eastAsia="zh-CN"/>
        </w:rPr>
        <w:t>云和县城市建设投资集团有限公司</w:t>
      </w:r>
      <w:r>
        <w:rPr>
          <w:rFonts w:hint="eastAsia" w:ascii="宋体" w:hAnsi="宋体" w:cs="宋体"/>
          <w:color w:val="auto"/>
          <w:szCs w:val="21"/>
          <w:highlight w:val="none"/>
        </w:rPr>
        <w:t>。</w:t>
      </w:r>
    </w:p>
    <w:p w14:paraId="64C74A77">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2.3“招标（采购）代理机构”系指浙江大兴建设项目管理咨询有限公司。</w:t>
      </w:r>
    </w:p>
    <w:p w14:paraId="44162022">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2.4“投标人（投标人）”：是指参加本采购项目投标的投标人。</w:t>
      </w:r>
    </w:p>
    <w:p w14:paraId="4F7369B4">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2.5“投标人代表”：是指参加本项目投标活动的投标人法定代表人或法定代表人授权代表。</w:t>
      </w:r>
    </w:p>
    <w:p w14:paraId="4CBEDE60">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2.6“中标人”：是指经评审获得本项目最终合同签订资格的投标人。</w:t>
      </w:r>
    </w:p>
    <w:p w14:paraId="605A4750">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2.7“负责人”系指法人企业的法定代表人，或其他组织为法律、行政法规规定代表单位行使职权的主要负责人。</w:t>
      </w:r>
    </w:p>
    <w:p w14:paraId="70CE7ADD">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2.8“联合体”系指两个以上投标人组成联合体，以一个投标人的身份参加投标。</w:t>
      </w:r>
    </w:p>
    <w:p w14:paraId="3F7FDEE3">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2.9“合同”系指采购人与中标人双方签署的规定双方权利与义务的协议，以及所有附件、附录、招标文件和投标文件所提到的构成合同的所有文件。</w:t>
      </w:r>
    </w:p>
    <w:p w14:paraId="7CAD1AE2">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 “服务”系指投标人按招标文件规定应承担的服务内容。</w:t>
      </w:r>
    </w:p>
    <w:p w14:paraId="0C20E1F1">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 “▲” 系指实质性要求条款，“★”系指重要参数。投标人投标时应对所有“实质性条款（或要求）”作出实质性响应，且不得出现负偏离，否则投标无效。</w:t>
      </w:r>
    </w:p>
    <w:p w14:paraId="362ECD71">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2.13“招标文件/招标文件/公开招标文件”：均指本文件。</w:t>
      </w:r>
    </w:p>
    <w:p w14:paraId="62B638F6">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2.14“重大偏离”或“保留”：是指</w:t>
      </w:r>
      <w:r>
        <w:rPr>
          <w:rFonts w:hint="eastAsia" w:ascii="宋体" w:hAnsi="宋体" w:cs="宋体"/>
          <w:color w:val="auto"/>
          <w:szCs w:val="21"/>
          <w:highlight w:val="none"/>
          <w:lang w:val="en-US" w:eastAsia="zh-CN"/>
        </w:rPr>
        <w:t>投标文件</w:t>
      </w:r>
      <w:r>
        <w:rPr>
          <w:rFonts w:hint="eastAsia" w:ascii="宋体" w:hAnsi="宋体" w:cs="宋体"/>
          <w:color w:val="auto"/>
          <w:szCs w:val="21"/>
          <w:highlight w:val="none"/>
        </w:rPr>
        <w:t>将会影响到招标文件规定的服务范围、服务内容，或会给合同中规定的采购人的权利和投标人的责任造成实质性限制，而纠正这些偏离或保留将对其他提交了实质性响应的投标文件的投标人产生不公平影响的。</w:t>
      </w:r>
    </w:p>
    <w:p w14:paraId="6027380C">
      <w:pPr>
        <w:spacing w:line="480" w:lineRule="exact"/>
        <w:ind w:firstLine="420" w:firstLineChars="200"/>
        <w:rPr>
          <w:rFonts w:ascii="宋体" w:hAnsi="宋体" w:cs="宋体"/>
          <w:color w:val="auto"/>
          <w:highlight w:val="none"/>
        </w:rPr>
      </w:pPr>
      <w:r>
        <w:rPr>
          <w:rFonts w:hint="eastAsia" w:ascii="宋体" w:hAnsi="宋体" w:cs="宋体"/>
          <w:color w:val="auto"/>
          <w:szCs w:val="21"/>
          <w:highlight w:val="none"/>
        </w:rPr>
        <w:t>2.15“细微偏离”：是指投标文件对招标文件的非实质性内容存在不完全响应或不响</w:t>
      </w:r>
      <w:r>
        <w:rPr>
          <w:rFonts w:hint="eastAsia" w:ascii="宋体" w:hAnsi="宋体" w:cs="宋体"/>
          <w:color w:val="auto"/>
          <w:highlight w:val="none"/>
        </w:rPr>
        <w:t>应。</w:t>
      </w:r>
    </w:p>
    <w:p w14:paraId="422B0EDB">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2.16“分包”：采购需求中规定允许分包的，投标人应当在投标文件载明分包承担主体，分包承担主体应具备采购需求中规定的分包承担主体的资格要求。</w:t>
      </w:r>
    </w:p>
    <w:p w14:paraId="07FAFB0D">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3.投标人基本要求</w:t>
      </w:r>
    </w:p>
    <w:p w14:paraId="46687E3C">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3.1符合第一章第“二”条规定；</w:t>
      </w:r>
    </w:p>
    <w:p w14:paraId="0EC32098">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3.2投标人应遵守有关的</w:t>
      </w:r>
      <w:r>
        <w:rPr>
          <w:rFonts w:hint="eastAsia" w:ascii="宋体" w:hAnsi="宋体" w:cs="宋体"/>
          <w:color w:val="auto"/>
          <w:szCs w:val="21"/>
          <w:highlight w:val="none"/>
          <w:lang w:eastAsia="zh-CN"/>
        </w:rPr>
        <w:t>法律法规</w:t>
      </w:r>
      <w:r>
        <w:rPr>
          <w:rFonts w:hint="eastAsia" w:ascii="宋体" w:hAnsi="宋体" w:cs="宋体"/>
          <w:color w:val="auto"/>
          <w:szCs w:val="21"/>
          <w:highlight w:val="none"/>
        </w:rPr>
        <w:t>和规章条例。</w:t>
      </w:r>
    </w:p>
    <w:p w14:paraId="2B86F639">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4.联合体说明</w:t>
      </w:r>
    </w:p>
    <w:p w14:paraId="38EA3ACC">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4.1本项目不接受联合体。</w:t>
      </w:r>
    </w:p>
    <w:p w14:paraId="56B16923">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5.投标费用</w:t>
      </w:r>
    </w:p>
    <w:p w14:paraId="373FFE02">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无论投标过程中的做法和结果如何，投标人自行承担投标活动中所发生的全部费用。</w:t>
      </w:r>
    </w:p>
    <w:p w14:paraId="4FF6B8B8">
      <w:pPr>
        <w:spacing w:line="48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6.保密</w:t>
      </w:r>
    </w:p>
    <w:p w14:paraId="65C3F7FB">
      <w:pPr>
        <w:spacing w:line="480" w:lineRule="exact"/>
        <w:ind w:firstLine="420" w:firstLineChars="200"/>
        <w:rPr>
          <w:rFonts w:ascii="宋体" w:hAnsi="宋体" w:cs="宋体"/>
          <w:b/>
          <w:color w:val="auto"/>
          <w:szCs w:val="21"/>
          <w:highlight w:val="none"/>
        </w:rPr>
      </w:pPr>
      <w:r>
        <w:rPr>
          <w:rFonts w:hint="eastAsia" w:ascii="宋体" w:hAnsi="宋体" w:cs="宋体"/>
          <w:color w:val="auto"/>
          <w:kern w:val="0"/>
          <w:szCs w:val="21"/>
          <w:highlight w:val="none"/>
        </w:rPr>
        <w:t>6.1参与采购活动的各方应对</w:t>
      </w:r>
      <w:r>
        <w:rPr>
          <w:rFonts w:hint="eastAsia" w:ascii="宋体" w:hAnsi="宋体" w:cs="宋体"/>
          <w:color w:val="auto"/>
          <w:szCs w:val="21"/>
          <w:highlight w:val="none"/>
        </w:rPr>
        <w:t>招标文件</w:t>
      </w:r>
      <w:r>
        <w:rPr>
          <w:rFonts w:hint="eastAsia" w:ascii="宋体" w:hAnsi="宋体" w:cs="宋体"/>
          <w:color w:val="auto"/>
          <w:kern w:val="0"/>
          <w:szCs w:val="21"/>
          <w:highlight w:val="none"/>
        </w:rPr>
        <w:t>和投标文件中的商业和技术等秘密保密，违者应对此造成的后果承担法律责任。</w:t>
      </w:r>
    </w:p>
    <w:p w14:paraId="253E4B5D">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7.语言文字</w:t>
      </w:r>
    </w:p>
    <w:p w14:paraId="5BE93876">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7.1招标投标有关的语言使用中文。 </w:t>
      </w:r>
    </w:p>
    <w:p w14:paraId="26217CAC">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7.2外文材料应附有中文注释。</w:t>
      </w:r>
    </w:p>
    <w:p w14:paraId="5A085875">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8.计量单位</w:t>
      </w:r>
    </w:p>
    <w:p w14:paraId="4C826FC4">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招标文件有明确规定的，适用招标文件规定的计量单位；招标文件没有规定的，应采用中华人民共和国法定计量单位。</w:t>
      </w:r>
    </w:p>
    <w:p w14:paraId="086DD00B">
      <w:pPr>
        <w:spacing w:line="48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9.特别说明</w:t>
      </w:r>
    </w:p>
    <w:p w14:paraId="73BC1FC5">
      <w:pPr>
        <w:pStyle w:val="28"/>
        <w:spacing w:line="480" w:lineRule="exact"/>
        <w:ind w:firstLine="420" w:firstLineChars="200"/>
        <w:rPr>
          <w:rFonts w:hAnsi="宋体" w:cs="宋体"/>
          <w:color w:val="auto"/>
          <w:kern w:val="0"/>
          <w:szCs w:val="21"/>
          <w:highlight w:val="none"/>
        </w:rPr>
      </w:pPr>
      <w:r>
        <w:rPr>
          <w:rFonts w:hint="eastAsia" w:hAnsi="宋体" w:cs="宋体"/>
          <w:color w:val="auto"/>
          <w:kern w:val="0"/>
          <w:szCs w:val="21"/>
          <w:highlight w:val="none"/>
        </w:rPr>
        <w:t>9.1除银行、保险、石油石化、电力、电信、移动、联通等行业外，法人的分支机构不能参加投标。</w:t>
      </w:r>
    </w:p>
    <w:p w14:paraId="7B478139">
      <w:pPr>
        <w:pStyle w:val="28"/>
        <w:spacing w:line="480" w:lineRule="exact"/>
        <w:rPr>
          <w:rFonts w:hAnsi="宋体" w:cs="宋体"/>
          <w:color w:val="auto"/>
          <w:kern w:val="0"/>
          <w:szCs w:val="21"/>
          <w:highlight w:val="none"/>
        </w:rPr>
      </w:pPr>
      <w:r>
        <w:rPr>
          <w:rFonts w:hint="eastAsia" w:hAnsi="宋体" w:cs="宋体"/>
          <w:color w:val="auto"/>
          <w:kern w:val="0"/>
          <w:szCs w:val="21"/>
          <w:highlight w:val="none"/>
        </w:rPr>
        <w:t>根据采购相关</w:t>
      </w:r>
      <w:r>
        <w:rPr>
          <w:rFonts w:hint="eastAsia" w:hAnsi="宋体" w:cs="宋体"/>
          <w:color w:val="auto"/>
          <w:kern w:val="0"/>
          <w:szCs w:val="21"/>
          <w:highlight w:val="none"/>
          <w:lang w:eastAsia="zh-CN"/>
        </w:rPr>
        <w:t>法律法规</w:t>
      </w:r>
      <w:r>
        <w:rPr>
          <w:rFonts w:hint="eastAsia" w:hAnsi="宋体" w:cs="宋体"/>
          <w:color w:val="auto"/>
          <w:kern w:val="0"/>
          <w:szCs w:val="21"/>
          <w:highlight w:val="none"/>
        </w:rPr>
        <w:t>、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0542573C">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招标文件中如有描述歧义或前后不一致的地方，评标委员会有权按公平、合理的原则进行评判，但对同一条款的评判适用于每个投标人。</w:t>
      </w:r>
    </w:p>
    <w:p w14:paraId="732EFDEC">
      <w:pPr>
        <w:pStyle w:val="37"/>
        <w:spacing w:line="480" w:lineRule="exact"/>
        <w:ind w:firstLine="422" w:firstLineChars="200"/>
        <w:rPr>
          <w:rFonts w:eastAsia="宋体" w:cs="宋体"/>
          <w:bCs/>
          <w:color w:val="auto"/>
          <w:sz w:val="21"/>
          <w:szCs w:val="21"/>
          <w:highlight w:val="none"/>
        </w:rPr>
      </w:pPr>
      <w:r>
        <w:rPr>
          <w:rFonts w:hint="eastAsia" w:eastAsia="宋体" w:cs="宋体"/>
          <w:bCs/>
          <w:color w:val="auto"/>
          <w:sz w:val="21"/>
          <w:szCs w:val="21"/>
          <w:highlight w:val="none"/>
        </w:rPr>
        <w:t>9.</w:t>
      </w:r>
      <w:r>
        <w:rPr>
          <w:rFonts w:hint="eastAsia" w:eastAsia="宋体" w:cs="宋体"/>
          <w:bCs/>
          <w:color w:val="auto"/>
          <w:sz w:val="21"/>
          <w:szCs w:val="21"/>
          <w:highlight w:val="none"/>
          <w:lang w:val="en-US" w:eastAsia="zh-CN"/>
        </w:rPr>
        <w:t>3</w:t>
      </w:r>
      <w:r>
        <w:rPr>
          <w:rFonts w:hint="eastAsia" w:eastAsia="宋体" w:cs="宋体"/>
          <w:bCs/>
          <w:color w:val="auto"/>
          <w:sz w:val="21"/>
          <w:szCs w:val="21"/>
          <w:highlight w:val="none"/>
        </w:rPr>
        <w:t xml:space="preserve"> ▲投标人对所参加标项内的采购内容必须全部进行响应。</w:t>
      </w:r>
    </w:p>
    <w:p w14:paraId="50EEA0D3">
      <w:pPr>
        <w:spacing w:line="480" w:lineRule="exact"/>
        <w:ind w:firstLine="420" w:firstLineChars="200"/>
        <w:rPr>
          <w:rFonts w:ascii="宋体" w:hAnsi="宋体" w:cs="宋体"/>
          <w:color w:val="auto"/>
          <w:highlight w:val="none"/>
        </w:rPr>
      </w:pPr>
      <w:r>
        <w:rPr>
          <w:rFonts w:hint="eastAsia" w:ascii="宋体" w:hAnsi="宋体" w:cs="宋体"/>
          <w:color w:val="auto"/>
          <w:highlight w:val="none"/>
        </w:rPr>
        <w:t>9.</w:t>
      </w:r>
      <w:r>
        <w:rPr>
          <w:rFonts w:hint="eastAsia" w:ascii="宋体" w:hAnsi="宋体" w:cs="宋体"/>
          <w:color w:val="auto"/>
          <w:highlight w:val="none"/>
          <w:lang w:val="en-US" w:eastAsia="zh-CN"/>
        </w:rPr>
        <w:t>4</w:t>
      </w:r>
      <w:r>
        <w:rPr>
          <w:rFonts w:hint="eastAsia" w:ascii="宋体" w:hAnsi="宋体" w:cs="宋体"/>
          <w:color w:val="auto"/>
          <w:highlight w:val="none"/>
        </w:rPr>
        <w:t>投标文件的响应内容必须真实、明确、准确。否则，评标委员会将对其作出不利的评审。</w:t>
      </w:r>
    </w:p>
    <w:p w14:paraId="1705B101">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中标人在合同履行阶段为履行合同引起的相关人员的差旅费、食宿费</w:t>
      </w:r>
      <w:r>
        <w:rPr>
          <w:rFonts w:hint="eastAsia" w:ascii="宋体" w:hAnsi="宋体" w:cs="宋体"/>
          <w:color w:val="auto"/>
          <w:szCs w:val="21"/>
          <w:highlight w:val="none"/>
          <w:lang w:eastAsia="zh-CN"/>
        </w:rPr>
        <w:t>以及其他</w:t>
      </w:r>
      <w:r>
        <w:rPr>
          <w:rFonts w:hint="eastAsia" w:ascii="宋体" w:hAnsi="宋体" w:cs="宋体"/>
          <w:color w:val="auto"/>
          <w:szCs w:val="21"/>
          <w:highlight w:val="none"/>
        </w:rPr>
        <w:t>不可预知的费用由中标人承担，合同实施过程中，须与采购人积极配合。</w:t>
      </w:r>
    </w:p>
    <w:p w14:paraId="7F4F4EB8">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须对所响应服务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w:t>
      </w:r>
    </w:p>
    <w:p w14:paraId="533AD76F">
      <w:pPr>
        <w:pStyle w:val="37"/>
        <w:spacing w:line="480" w:lineRule="exact"/>
        <w:ind w:firstLine="420" w:firstLineChars="200"/>
        <w:rPr>
          <w:rFonts w:eastAsia="宋体" w:cs="宋体"/>
          <w:b w:val="0"/>
          <w:color w:val="auto"/>
          <w:sz w:val="21"/>
          <w:szCs w:val="21"/>
          <w:highlight w:val="none"/>
        </w:rPr>
      </w:pPr>
      <w:r>
        <w:rPr>
          <w:rFonts w:hint="eastAsia" w:eastAsia="宋体" w:cs="宋体"/>
          <w:b w:val="0"/>
          <w:color w:val="auto"/>
          <w:sz w:val="21"/>
          <w:szCs w:val="21"/>
          <w:highlight w:val="none"/>
        </w:rPr>
        <w:t>9.</w:t>
      </w:r>
      <w:r>
        <w:rPr>
          <w:rFonts w:hint="eastAsia" w:eastAsia="宋体" w:cs="宋体"/>
          <w:b w:val="0"/>
          <w:color w:val="auto"/>
          <w:sz w:val="21"/>
          <w:szCs w:val="21"/>
          <w:highlight w:val="none"/>
          <w:lang w:val="en-US" w:eastAsia="zh-CN"/>
        </w:rPr>
        <w:t>7</w:t>
      </w:r>
      <w:r>
        <w:rPr>
          <w:rFonts w:hint="eastAsia" w:eastAsia="宋体" w:cs="宋体"/>
          <w:b w:val="0"/>
          <w:color w:val="auto"/>
          <w:sz w:val="21"/>
          <w:szCs w:val="21"/>
          <w:highlight w:val="none"/>
        </w:rPr>
        <w:t>本项目不允许转包。</w:t>
      </w:r>
    </w:p>
    <w:p w14:paraId="073C1419">
      <w:pPr>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9.</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对采购文件提出质疑的，质疑期限自投标人获得采购文件之日起计算（采购文件公告期限届满后获取采购文件的，以采购文件公告期限届满之日为准），且应当在投标截止时间之前提出，否则，被质疑人可不予接受。</w:t>
      </w:r>
    </w:p>
    <w:p w14:paraId="76450EBC">
      <w:pPr>
        <w:pStyle w:val="4"/>
        <w:spacing w:line="520" w:lineRule="exact"/>
        <w:ind w:firstLine="482"/>
        <w:rPr>
          <w:rFonts w:ascii="宋体" w:hAnsi="宋体" w:eastAsia="宋体" w:cs="宋体"/>
          <w:color w:val="auto"/>
          <w:sz w:val="24"/>
          <w:szCs w:val="24"/>
          <w:highlight w:val="none"/>
        </w:rPr>
      </w:pPr>
      <w:bookmarkStart w:id="75" w:name="_Toc55212780"/>
      <w:r>
        <w:rPr>
          <w:rFonts w:hint="eastAsia" w:ascii="宋体" w:hAnsi="宋体" w:eastAsia="宋体" w:cs="宋体"/>
          <w:color w:val="auto"/>
          <w:sz w:val="24"/>
          <w:szCs w:val="24"/>
          <w:highlight w:val="none"/>
        </w:rPr>
        <w:t>二   招标文件说明</w:t>
      </w:r>
      <w:bookmarkEnd w:id="75"/>
    </w:p>
    <w:p w14:paraId="6724913E">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10.招标文件的构成</w:t>
      </w:r>
    </w:p>
    <w:p w14:paraId="227A427C">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10.1招标文件用以阐明所需服务、招标、投标程序和合同条款。招标文件由下述部分组成：</w:t>
      </w:r>
    </w:p>
    <w:p w14:paraId="53CC2468">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10.1.1招标公告</w:t>
      </w:r>
    </w:p>
    <w:p w14:paraId="5E226D5A">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10.1.2投标人须知</w:t>
      </w:r>
    </w:p>
    <w:p w14:paraId="0EE14972">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10.1.3采购需求</w:t>
      </w:r>
    </w:p>
    <w:p w14:paraId="0DC5718D">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10.1.4采购合同</w:t>
      </w:r>
    </w:p>
    <w:p w14:paraId="7A3D621B">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10.1.5投标相关文件格式</w:t>
      </w:r>
    </w:p>
    <w:p w14:paraId="2C5FA15B">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10.1.6评标办法和细则</w:t>
      </w:r>
    </w:p>
    <w:p w14:paraId="5FE6B2B1">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10.1.7与本项目有关的招标文件澄清、答复、修改、补充的内容。</w:t>
      </w:r>
    </w:p>
    <w:p w14:paraId="477FB11E">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11.投标人的风险</w:t>
      </w:r>
    </w:p>
    <w:p w14:paraId="23E2FA7A">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11.1投标人应认真阅读招标文件中的所有条款。投标人没有按照招标文件的要求提供资料，或者投标人没有对招标文件在各方面作出实质性响应是投标人的风险，并可能导致其投标被拒绝。</w:t>
      </w:r>
    </w:p>
    <w:p w14:paraId="42E23CAA">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12.招标文件的澄清和修改</w:t>
      </w:r>
    </w:p>
    <w:p w14:paraId="77C459D4">
      <w:pPr>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12.1招标文件澄清、答复、修改、补充的内容为招标文件的组成部分，当招标文件与补充文件就同一内容的表述不一致时，以最后发出的书面文件为准。</w:t>
      </w:r>
    </w:p>
    <w:p w14:paraId="6796D7B2">
      <w:pPr>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12.2依法获取招标文件的投标人应认真阅读招标文件，如有疑问应于招标文件规定的时间前向招标代理机构（可传真）提出澄清申请。招标代理机构对已发出的招标文件进行必要的澄清或者修改，澄清或者修改内容可能影响投标文件编制的，招标代理机构在投标截止时间15日前,在“浙江政府采购网</w:t>
      </w:r>
      <w:r>
        <w:rPr>
          <w:rFonts w:hint="eastAsia" w:ascii="宋体" w:hAnsi="宋体" w:cs="宋体"/>
          <w:color w:val="auto"/>
          <w:szCs w:val="21"/>
          <w:highlight w:val="none"/>
          <w:lang w:eastAsia="zh-CN"/>
        </w:rPr>
        <w:t>（</w:t>
      </w:r>
      <w:r>
        <w:rPr>
          <w:color w:val="auto"/>
          <w:highlight w:val="none"/>
        </w:rPr>
        <w:fldChar w:fldCharType="begin"/>
      </w:r>
      <w:r>
        <w:rPr>
          <w:color w:val="auto"/>
          <w:highlight w:val="none"/>
        </w:rPr>
        <w:instrText xml:space="preserve"> HYPERLINK "http://60.190.126.3:8080/wcm/WCMV6/editor/editor/招标文件（新版）.doc" </w:instrText>
      </w:r>
      <w:r>
        <w:rPr>
          <w:color w:val="auto"/>
          <w:highlight w:val="none"/>
        </w:rPr>
        <w:fldChar w:fldCharType="separate"/>
      </w:r>
      <w:r>
        <w:rPr>
          <w:rStyle w:val="63"/>
          <w:rFonts w:hint="default" w:ascii="宋体" w:hAnsi="宋体" w:eastAsia="宋体" w:cs="宋体"/>
          <w:color w:val="auto"/>
          <w:szCs w:val="21"/>
          <w:highlight w:val="none"/>
          <w:u w:val="none"/>
        </w:rPr>
        <w:t>https://zfcg.czt.zj.gov.cn/</w:t>
      </w:r>
      <w:r>
        <w:rPr>
          <w:rStyle w:val="63"/>
          <w:rFonts w:hint="default" w:ascii="宋体" w:hAnsi="宋体" w:eastAsia="宋体" w:cs="宋体"/>
          <w:color w:val="auto"/>
          <w:szCs w:val="21"/>
          <w:highlight w:val="none"/>
          <w:u w:val="none"/>
        </w:rPr>
        <w:fldChar w:fldCharType="end"/>
      </w:r>
      <w:r>
        <w:rPr>
          <w:rStyle w:val="63"/>
          <w:rFonts w:hint="eastAsia" w:ascii="宋体" w:hAnsi="宋体" w:cs="宋体"/>
          <w:color w:val="auto"/>
          <w:szCs w:val="21"/>
          <w:highlight w:val="none"/>
          <w:u w:val="none"/>
          <w:lang w:eastAsia="zh-CN"/>
        </w:rPr>
        <w:t>）、</w:t>
      </w:r>
      <w:r>
        <w:rPr>
          <w:rFonts w:hint="eastAsia" w:ascii="宋体" w:hAnsi="宋体" w:eastAsia="宋体" w:cs="宋体"/>
          <w:i w:val="0"/>
          <w:iCs w:val="0"/>
          <w:caps w:val="0"/>
          <w:color w:val="auto"/>
          <w:spacing w:val="0"/>
          <w:sz w:val="21"/>
          <w:szCs w:val="21"/>
          <w:highlight w:val="none"/>
          <w:shd w:val="clear" w:fill="FFFFFF"/>
        </w:rPr>
        <w:t>丽水市公共资源交易网</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cs="宋体"/>
          <w:i w:val="0"/>
          <w:iCs w:val="0"/>
          <w:caps w:val="0"/>
          <w:color w:val="auto"/>
          <w:spacing w:val="0"/>
          <w:sz w:val="21"/>
          <w:szCs w:val="21"/>
          <w:highlight w:val="none"/>
          <w:shd w:val="clear" w:fill="FFFFFF"/>
          <w:lang w:val="en-US" w:eastAsia="zh-CN"/>
        </w:rPr>
        <w:t>云和）</w:t>
      </w:r>
      <w:r>
        <w:rPr>
          <w:rFonts w:hint="eastAsia" w:ascii="宋体" w:hAnsi="宋体" w:eastAsia="宋体" w:cs="宋体"/>
          <w:i w:val="0"/>
          <w:iCs w:val="0"/>
          <w:caps w:val="0"/>
          <w:color w:val="auto"/>
          <w:spacing w:val="0"/>
          <w:sz w:val="21"/>
          <w:szCs w:val="21"/>
          <w:highlight w:val="none"/>
          <w:shd w:val="clear" w:fill="FFFFFF"/>
        </w:rPr>
        <w:t>（http</w:t>
      </w:r>
      <w:r>
        <w:rPr>
          <w:rFonts w:hint="eastAsia" w:ascii="宋体" w:hAnsi="宋体" w:cs="宋体"/>
          <w:i w:val="0"/>
          <w:iCs w:val="0"/>
          <w:caps w:val="0"/>
          <w:color w:val="auto"/>
          <w:spacing w:val="0"/>
          <w:sz w:val="21"/>
          <w:szCs w:val="21"/>
          <w:highlight w:val="none"/>
          <w:shd w:val="clear" w:fill="FFFFFF"/>
          <w:lang w:val="en-US" w:eastAsia="zh-CN"/>
        </w:rPr>
        <w:t>s</w:t>
      </w:r>
      <w:r>
        <w:rPr>
          <w:rFonts w:hint="eastAsia" w:ascii="宋体" w:hAnsi="宋体" w:eastAsia="宋体" w:cs="宋体"/>
          <w:i w:val="0"/>
          <w:iCs w:val="0"/>
          <w:caps w:val="0"/>
          <w:color w:val="auto"/>
          <w:spacing w:val="0"/>
          <w:sz w:val="21"/>
          <w:szCs w:val="21"/>
          <w:highlight w:val="none"/>
          <w:shd w:val="clear" w:fill="FFFFFF"/>
        </w:rPr>
        <w:t>://lssggzy.lishui.gov.cn/）</w:t>
      </w:r>
      <w:r>
        <w:rPr>
          <w:rStyle w:val="63"/>
          <w:rFonts w:hint="default" w:ascii="宋体" w:hAnsi="宋体" w:eastAsia="宋体" w:cs="宋体"/>
          <w:color w:val="auto"/>
          <w:szCs w:val="21"/>
          <w:highlight w:val="none"/>
          <w:u w:val="none"/>
        </w:rPr>
        <w:t>”</w:t>
      </w:r>
      <w:r>
        <w:rPr>
          <w:rFonts w:hint="eastAsia" w:ascii="宋体" w:hAnsi="宋体" w:cs="宋体"/>
          <w:color w:val="auto"/>
          <w:szCs w:val="21"/>
          <w:highlight w:val="none"/>
        </w:rPr>
        <w:t>发布更正公告，并对其具有约束力。不足15日的，招标代理机构有权顺延提交投标文件的截止时间。</w:t>
      </w:r>
    </w:p>
    <w:p w14:paraId="0E88C63E">
      <w:pPr>
        <w:pStyle w:val="4"/>
        <w:spacing w:line="520" w:lineRule="exact"/>
        <w:ind w:firstLine="200" w:firstLineChars="0"/>
        <w:rPr>
          <w:rFonts w:ascii="宋体" w:hAnsi="宋体" w:eastAsia="宋体" w:cs="宋体"/>
          <w:color w:val="auto"/>
          <w:sz w:val="24"/>
          <w:szCs w:val="24"/>
          <w:highlight w:val="none"/>
        </w:rPr>
      </w:pPr>
      <w:bookmarkStart w:id="76" w:name="_Toc55212781"/>
      <w:r>
        <w:rPr>
          <w:rFonts w:hint="eastAsia" w:ascii="宋体" w:hAnsi="宋体" w:eastAsia="宋体" w:cs="宋体"/>
          <w:color w:val="auto"/>
          <w:sz w:val="24"/>
          <w:szCs w:val="24"/>
          <w:highlight w:val="none"/>
        </w:rPr>
        <w:t>三   投标文件的编写</w:t>
      </w:r>
      <w:bookmarkEnd w:id="76"/>
    </w:p>
    <w:p w14:paraId="60BEA339">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13. 投标文件的组成</w:t>
      </w:r>
    </w:p>
    <w:p w14:paraId="1ADFEA18">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13.1提交的投标文件应分为</w:t>
      </w:r>
      <w:r>
        <w:rPr>
          <w:rFonts w:hint="eastAsia" w:ascii="宋体" w:hAnsi="宋体" w:cs="宋体"/>
          <w:b/>
          <w:color w:val="auto"/>
          <w:kern w:val="0"/>
          <w:szCs w:val="21"/>
          <w:highlight w:val="none"/>
        </w:rPr>
        <w:t>资格文件、</w:t>
      </w:r>
      <w:r>
        <w:rPr>
          <w:rFonts w:hint="eastAsia" w:ascii="宋体" w:hAnsi="宋体" w:cs="宋体"/>
          <w:b/>
          <w:color w:val="auto"/>
          <w:szCs w:val="21"/>
          <w:highlight w:val="none"/>
        </w:rPr>
        <w:t>商务技术文件、报价文件三部分</w:t>
      </w:r>
      <w:r>
        <w:rPr>
          <w:rFonts w:hint="eastAsia" w:ascii="宋体" w:hAnsi="宋体" w:cs="宋体"/>
          <w:color w:val="auto"/>
          <w:szCs w:val="21"/>
          <w:highlight w:val="none"/>
        </w:rPr>
        <w:t>。</w:t>
      </w:r>
      <w:r>
        <w:rPr>
          <w:rFonts w:hint="eastAsia" w:ascii="宋体" w:hAnsi="宋体" w:cs="宋体"/>
          <w:b/>
          <w:color w:val="auto"/>
          <w:szCs w:val="21"/>
          <w:highlight w:val="none"/>
        </w:rPr>
        <w:t>资格文件、商务技术文件如有报价的内容, 则该部分报价内容无效。</w:t>
      </w:r>
    </w:p>
    <w:p w14:paraId="44C2410B">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14. 投标文件编制内容和要求</w:t>
      </w:r>
    </w:p>
    <w:p w14:paraId="1444857F">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14.1 资格文件编制内容和要求：</w:t>
      </w:r>
      <w:r>
        <w:rPr>
          <w:rFonts w:hint="eastAsia" w:ascii="宋体" w:hAnsi="宋体" w:cs="宋体"/>
          <w:color w:val="auto"/>
          <w:szCs w:val="21"/>
          <w:highlight w:val="none"/>
        </w:rPr>
        <w:t>格式见第五章资格文件格式；</w:t>
      </w:r>
    </w:p>
    <w:p w14:paraId="2A802077">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14.2商务技术文件编制内容和要求：格式见第五章商务技术文件格式；</w:t>
      </w:r>
    </w:p>
    <w:p w14:paraId="43C9BC3C">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14.3报价文件内容: 详见第五章格式。</w:t>
      </w:r>
    </w:p>
    <w:p w14:paraId="0A319EA4">
      <w:pPr>
        <w:spacing w:line="52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14.3</w:t>
      </w:r>
      <w:r>
        <w:rPr>
          <w:rFonts w:hint="eastAsia" w:ascii="宋体" w:hAnsi="宋体" w:cs="宋体"/>
          <w:b/>
          <w:color w:val="auto"/>
          <w:szCs w:val="21"/>
          <w:highlight w:val="none"/>
        </w:rPr>
        <w:t>.</w:t>
      </w:r>
      <w:r>
        <w:rPr>
          <w:rFonts w:hint="eastAsia" w:ascii="宋体" w:hAnsi="宋体" w:cs="宋体"/>
          <w:color w:val="auto"/>
          <w:szCs w:val="21"/>
          <w:highlight w:val="none"/>
        </w:rPr>
        <w:t>1投标报价要求</w:t>
      </w:r>
    </w:p>
    <w:p w14:paraId="168597EF">
      <w:pPr>
        <w:spacing w:line="5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▲投标人应在招标文件所附的投标报价表上写明投标报价。每项报价内容投标人只允许有一个报价,采购人不接受有任何选择性的报价。投标报价高于最高限价的作无效标处理。</w:t>
      </w:r>
    </w:p>
    <w:p w14:paraId="5224F476">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14.3</w:t>
      </w:r>
      <w:r>
        <w:rPr>
          <w:rFonts w:hint="eastAsia" w:ascii="宋体" w:hAnsi="宋体" w:cs="宋体"/>
          <w:b/>
          <w:color w:val="auto"/>
          <w:szCs w:val="21"/>
          <w:highlight w:val="none"/>
        </w:rPr>
        <w:t>.</w:t>
      </w:r>
      <w:r>
        <w:rPr>
          <w:rFonts w:hint="eastAsia" w:ascii="宋体" w:hAnsi="宋体" w:cs="宋体"/>
          <w:color w:val="auto"/>
          <w:szCs w:val="21"/>
          <w:highlight w:val="none"/>
        </w:rPr>
        <w:t>2投标人应针对服务费按照招标文件第五章第三部分“报价文件”格式所列内容和格式要求填写服务费分项报价表。</w:t>
      </w:r>
    </w:p>
    <w:p w14:paraId="4A831F73">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15.投标文件排版、封面</w:t>
      </w:r>
    </w:p>
    <w:p w14:paraId="753EB914">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15.1排版：</w:t>
      </w:r>
      <w:r>
        <w:rPr>
          <w:rFonts w:hint="eastAsia" w:ascii="宋体" w:hAnsi="宋体" w:cs="宋体"/>
          <w:color w:val="auto"/>
          <w:kern w:val="0"/>
          <w:szCs w:val="21"/>
          <w:highlight w:val="none"/>
        </w:rPr>
        <w:t>建议所有文字及表格采用黑色，正文字体采用宋体小四号字体，正文一级标题字体采用宋体小二号字体，同时按照招标文件第五章格式要求，页码应逐页连续编注，</w:t>
      </w:r>
      <w:r>
        <w:rPr>
          <w:rStyle w:val="102"/>
          <w:rFonts w:hint="eastAsia" w:ascii="宋体" w:hAnsi="宋体" w:cs="宋体"/>
          <w:color w:val="auto"/>
          <w:kern w:val="0"/>
          <w:szCs w:val="21"/>
          <w:highlight w:val="none"/>
        </w:rPr>
        <w:t>建议纸质文件纸张采用白色标准A4纸。</w:t>
      </w:r>
    </w:p>
    <w:p w14:paraId="6D874B28">
      <w:pPr>
        <w:snapToGrid w:val="0"/>
        <w:spacing w:line="480" w:lineRule="exact"/>
        <w:ind w:firstLine="480"/>
        <w:textAlignment w:val="baseline"/>
        <w:rPr>
          <w:rStyle w:val="102"/>
          <w:rFonts w:ascii="宋体" w:hAnsi="宋体" w:cs="宋体"/>
          <w:color w:val="auto"/>
          <w:szCs w:val="21"/>
          <w:highlight w:val="none"/>
        </w:rPr>
      </w:pPr>
      <w:r>
        <w:rPr>
          <w:rFonts w:hint="eastAsia" w:ascii="宋体" w:hAnsi="宋体" w:cs="宋体"/>
          <w:color w:val="auto"/>
          <w:szCs w:val="21"/>
          <w:highlight w:val="none"/>
        </w:rPr>
        <w:t>15.2封面：按照招标文件第五章提供的格式制作封面，</w:t>
      </w:r>
      <w:r>
        <w:rPr>
          <w:rStyle w:val="102"/>
          <w:rFonts w:hint="eastAsia" w:ascii="宋体" w:hAnsi="宋体" w:cs="宋体"/>
          <w:color w:val="auto"/>
          <w:szCs w:val="21"/>
          <w:highlight w:val="none"/>
        </w:rPr>
        <w:t>并按第五章格式要求加盖投标人公章和其</w:t>
      </w:r>
      <w:bookmarkStart w:id="77" w:name="_Hlk140761047"/>
      <w:r>
        <w:rPr>
          <w:rStyle w:val="102"/>
          <w:rFonts w:hint="eastAsia" w:ascii="宋体" w:hAnsi="宋体" w:cs="宋体"/>
          <w:color w:val="auto"/>
          <w:szCs w:val="21"/>
          <w:highlight w:val="none"/>
        </w:rPr>
        <w:t>负责人（或委托代理人）签字或盖章</w:t>
      </w:r>
      <w:bookmarkEnd w:id="77"/>
      <w:r>
        <w:rPr>
          <w:rStyle w:val="102"/>
          <w:rFonts w:hint="eastAsia" w:ascii="宋体" w:hAnsi="宋体" w:cs="宋体"/>
          <w:color w:val="auto"/>
          <w:szCs w:val="21"/>
          <w:highlight w:val="none"/>
        </w:rPr>
        <w:t>。</w:t>
      </w:r>
    </w:p>
    <w:p w14:paraId="3A12BF18">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.投标文件格式</w:t>
      </w:r>
    </w:p>
    <w:p w14:paraId="3EA25959">
      <w:pPr>
        <w:snapToGrid w:val="0"/>
        <w:spacing w:line="480" w:lineRule="exact"/>
        <w:ind w:firstLine="420" w:firstLineChars="200"/>
        <w:textAlignment w:val="baseline"/>
        <w:rPr>
          <w:rStyle w:val="102"/>
          <w:rFonts w:ascii="宋体" w:hAnsi="宋体" w:cs="宋体"/>
          <w:color w:val="auto"/>
          <w:szCs w:val="21"/>
          <w:highlight w:val="none"/>
        </w:rPr>
      </w:pPr>
      <w:r>
        <w:rPr>
          <w:rStyle w:val="102"/>
          <w:rFonts w:hint="eastAsia" w:ascii="宋体" w:hAnsi="宋体" w:cs="宋体"/>
          <w:color w:val="auto"/>
          <w:szCs w:val="21"/>
          <w:highlight w:val="none"/>
        </w:rPr>
        <w:t>1</w:t>
      </w:r>
      <w:r>
        <w:rPr>
          <w:rStyle w:val="102"/>
          <w:rFonts w:hint="eastAsia" w:ascii="宋体" w:hAnsi="宋体" w:cs="宋体"/>
          <w:color w:val="auto"/>
          <w:szCs w:val="21"/>
          <w:highlight w:val="none"/>
          <w:lang w:val="en-US"/>
        </w:rPr>
        <w:t>6</w:t>
      </w:r>
      <w:r>
        <w:rPr>
          <w:rStyle w:val="102"/>
          <w:rFonts w:hint="eastAsia" w:ascii="宋体" w:hAnsi="宋体" w:cs="宋体"/>
          <w:color w:val="auto"/>
          <w:szCs w:val="21"/>
          <w:highlight w:val="none"/>
        </w:rPr>
        <w:t>.1投标人应按招标文件规定的文件格式、内容和要求制作投标文件。</w:t>
      </w:r>
    </w:p>
    <w:p w14:paraId="2AE43C80">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.投标有效期</w:t>
      </w:r>
    </w:p>
    <w:p w14:paraId="4757F895">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w:t>
      </w:r>
      <w:r>
        <w:rPr>
          <w:rFonts w:hint="eastAsia" w:ascii="宋体" w:hAnsi="宋体" w:cs="宋体"/>
          <w:bCs/>
          <w:snapToGrid w:val="0"/>
          <w:color w:val="auto"/>
          <w:szCs w:val="21"/>
          <w:highlight w:val="none"/>
        </w:rPr>
        <w:t>提交投标文件的截止之日起90日内有效。</w:t>
      </w:r>
    </w:p>
    <w:p w14:paraId="1E0616D0">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.投标文件的签署及规定</w:t>
      </w:r>
    </w:p>
    <w:p w14:paraId="630ECC13">
      <w:pPr>
        <w:snapToGrid w:val="0"/>
        <w:spacing w:line="480" w:lineRule="exact"/>
        <w:ind w:firstLine="480"/>
        <w:textAlignment w:val="baseline"/>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.1投标人应按招标文件规定的内容和要求编制投标文件，每套投标文件须清楚</w:t>
      </w:r>
      <w:r>
        <w:rPr>
          <w:rFonts w:hint="eastAsia" w:ascii="宋体" w:hAnsi="宋体" w:cs="宋体"/>
          <w:color w:val="auto"/>
          <w:szCs w:val="21"/>
          <w:highlight w:val="none"/>
          <w:lang w:eastAsia="zh-CN"/>
        </w:rPr>
        <w:t>地</w:t>
      </w:r>
      <w:r>
        <w:rPr>
          <w:rFonts w:hint="eastAsia" w:ascii="宋体" w:hAnsi="宋体" w:cs="宋体"/>
          <w:color w:val="auto"/>
          <w:szCs w:val="21"/>
          <w:highlight w:val="none"/>
        </w:rPr>
        <w:t>标明“资格文件”、“商务技术文件”、“报价文件”，“正本”、“副本”的字样。若正本和副本有差异，以正本为准。</w:t>
      </w:r>
    </w:p>
    <w:p w14:paraId="35473568">
      <w:pPr>
        <w:snapToGrid w:val="0"/>
        <w:spacing w:line="480" w:lineRule="exact"/>
        <w:ind w:firstLine="480"/>
        <w:textAlignment w:val="baseline"/>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.2投标文件的正本需打印或印刷，并由负责人（或委托代理人）在投标文件相关位置签字或盖章。投标文件的副本可采用正本的复印件。</w:t>
      </w:r>
    </w:p>
    <w:p w14:paraId="536EDA76">
      <w:pPr>
        <w:snapToGrid w:val="0"/>
        <w:spacing w:line="480" w:lineRule="exact"/>
        <w:ind w:firstLine="480"/>
        <w:textAlignment w:val="baseline"/>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.3电报、电话、传真形式的投标概不接受。</w:t>
      </w:r>
      <w:bookmarkStart w:id="78" w:name="_Toc56928685"/>
      <w:bookmarkStart w:id="79" w:name="_Toc107820049"/>
    </w:p>
    <w:p w14:paraId="3838AB37">
      <w:pPr>
        <w:pStyle w:val="4"/>
        <w:spacing w:line="520" w:lineRule="exact"/>
        <w:ind w:firstLine="200" w:firstLineChars="0"/>
        <w:rPr>
          <w:rFonts w:ascii="宋体" w:hAnsi="宋体" w:eastAsia="宋体" w:cs="宋体"/>
          <w:color w:val="auto"/>
          <w:sz w:val="24"/>
          <w:szCs w:val="24"/>
          <w:highlight w:val="none"/>
        </w:rPr>
      </w:pPr>
      <w:bookmarkStart w:id="80" w:name="_Toc17793765"/>
      <w:bookmarkStart w:id="81" w:name="_Toc55212782"/>
      <w:r>
        <w:rPr>
          <w:rFonts w:hint="eastAsia" w:ascii="宋体" w:hAnsi="宋体" w:eastAsia="宋体" w:cs="宋体"/>
          <w:color w:val="auto"/>
          <w:sz w:val="24"/>
          <w:szCs w:val="24"/>
          <w:highlight w:val="none"/>
        </w:rPr>
        <w:t>四   履约保证金</w:t>
      </w:r>
      <w:bookmarkEnd w:id="80"/>
      <w:bookmarkEnd w:id="81"/>
    </w:p>
    <w:p w14:paraId="5ED4EE09">
      <w:pPr>
        <w:spacing w:line="360" w:lineRule="auto"/>
        <w:ind w:firstLine="420" w:firstLineChars="200"/>
        <w:rPr>
          <w:rFonts w:hint="eastAsia" w:ascii="宋体" w:hAnsi="宋体" w:cs="宋体"/>
          <w:color w:val="auto"/>
          <w:szCs w:val="21"/>
          <w:highlight w:val="none"/>
        </w:rPr>
      </w:pPr>
      <w:r>
        <w:rPr>
          <w:rFonts w:hint="eastAsia" w:ascii="宋体" w:hAnsi="宋体" w:cs="宋体"/>
          <w:b w:val="0"/>
          <w:bCs/>
          <w:color w:val="auto"/>
          <w:szCs w:val="21"/>
          <w:highlight w:val="none"/>
          <w:lang w:val="en-US" w:eastAsia="zh-CN"/>
        </w:rPr>
        <w:t>19</w:t>
      </w:r>
      <w:r>
        <w:rPr>
          <w:rFonts w:hint="eastAsia" w:ascii="宋体" w:hAnsi="宋体" w:cs="宋体"/>
          <w:b w:val="0"/>
          <w:bCs/>
          <w:color w:val="auto"/>
          <w:szCs w:val="21"/>
          <w:highlight w:val="none"/>
        </w:rPr>
        <w:t>.1履约保</w:t>
      </w:r>
      <w:r>
        <w:rPr>
          <w:rFonts w:hint="eastAsia" w:ascii="宋体" w:hAnsi="宋体" w:cs="宋体"/>
          <w:color w:val="auto"/>
          <w:szCs w:val="21"/>
          <w:highlight w:val="none"/>
        </w:rPr>
        <w:t>函金额：</w:t>
      </w:r>
      <w:r>
        <w:rPr>
          <w:rFonts w:hint="eastAsia" w:ascii="宋体" w:hAnsi="宋体" w:cs="宋体"/>
          <w:color w:val="auto"/>
          <w:szCs w:val="21"/>
          <w:highlight w:val="none"/>
          <w:lang w:val="en-US" w:eastAsia="zh-CN"/>
        </w:rPr>
        <w:t>合同价的1%</w:t>
      </w:r>
      <w:r>
        <w:rPr>
          <w:rFonts w:hint="eastAsia" w:ascii="宋体" w:hAnsi="宋体" w:cs="宋体"/>
          <w:color w:val="auto"/>
          <w:szCs w:val="21"/>
          <w:highlight w:val="none"/>
        </w:rPr>
        <w:t>；</w:t>
      </w:r>
    </w:p>
    <w:p w14:paraId="700BD7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2缴纳方式：</w:t>
      </w:r>
      <w:r>
        <w:rPr>
          <w:rFonts w:hint="eastAsia" w:ascii="宋体" w:hAnsi="宋体" w:cs="宋体"/>
          <w:color w:val="auto"/>
          <w:szCs w:val="21"/>
          <w:highlight w:val="none"/>
          <w:lang w:val="en-US" w:eastAsia="zh-CN"/>
        </w:rPr>
        <w:t>现金或</w:t>
      </w:r>
      <w:r>
        <w:rPr>
          <w:rFonts w:hint="eastAsia" w:ascii="宋体" w:hAnsi="宋体" w:cs="宋体"/>
          <w:color w:val="auto"/>
          <w:szCs w:val="21"/>
          <w:highlight w:val="none"/>
        </w:rPr>
        <w:t>银行保函或工程综合保险合同或担保保函（由政策融资担保有限公司出具，格式按担保公司规定执行）；</w:t>
      </w:r>
    </w:p>
    <w:p w14:paraId="4075E3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19.3</w:t>
      </w:r>
      <w:r>
        <w:rPr>
          <w:rFonts w:hint="eastAsia" w:ascii="宋体" w:hAnsi="宋体" w:cs="宋体"/>
          <w:color w:val="auto"/>
          <w:szCs w:val="21"/>
          <w:highlight w:val="none"/>
        </w:rPr>
        <w:t>缴纳时间：合同签订后一个月以内；</w:t>
      </w:r>
    </w:p>
    <w:p w14:paraId="5B19A5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4履约保函退还：服务期结束后15天内一次性退还。</w:t>
      </w:r>
    </w:p>
    <w:p w14:paraId="08D78AD7">
      <w:pPr>
        <w:pStyle w:val="4"/>
        <w:spacing w:line="520" w:lineRule="exact"/>
        <w:ind w:firstLine="200" w:firstLineChars="0"/>
        <w:rPr>
          <w:rFonts w:ascii="宋体" w:hAnsi="宋体" w:eastAsia="宋体" w:cs="宋体"/>
          <w:color w:val="auto"/>
          <w:sz w:val="24"/>
          <w:szCs w:val="24"/>
          <w:highlight w:val="none"/>
        </w:rPr>
      </w:pPr>
      <w:bookmarkStart w:id="82" w:name="_Toc55212783"/>
      <w:r>
        <w:rPr>
          <w:rFonts w:hint="eastAsia" w:ascii="宋体" w:hAnsi="宋体" w:eastAsia="宋体" w:cs="宋体"/>
          <w:color w:val="auto"/>
          <w:sz w:val="24"/>
          <w:szCs w:val="24"/>
          <w:highlight w:val="none"/>
        </w:rPr>
        <w:t>五   投标文件的</w:t>
      </w:r>
      <w:bookmarkEnd w:id="78"/>
      <w:bookmarkEnd w:id="79"/>
      <w:r>
        <w:rPr>
          <w:rFonts w:hint="eastAsia" w:ascii="宋体" w:hAnsi="宋体" w:eastAsia="宋体" w:cs="宋体"/>
          <w:color w:val="auto"/>
          <w:sz w:val="24"/>
          <w:szCs w:val="24"/>
          <w:highlight w:val="none"/>
        </w:rPr>
        <w:t>加密、提交、修改和撤回</w:t>
      </w:r>
      <w:bookmarkEnd w:id="82"/>
    </w:p>
    <w:p w14:paraId="694BFEA2">
      <w:pPr>
        <w:snapToGrid w:val="0"/>
        <w:spacing w:line="480" w:lineRule="exact"/>
        <w:ind w:firstLine="422" w:firstLineChars="200"/>
        <w:textAlignment w:val="baseline"/>
        <w:rPr>
          <w:rStyle w:val="102"/>
          <w:rFonts w:ascii="宋体" w:hAnsi="宋体" w:cs="宋体"/>
          <w:b/>
          <w:color w:val="auto"/>
          <w:szCs w:val="21"/>
          <w:highlight w:val="none"/>
        </w:rPr>
      </w:pP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rPr>
        <w:t>.投标文件</w:t>
      </w:r>
      <w:r>
        <w:rPr>
          <w:rStyle w:val="102"/>
          <w:rFonts w:hint="eastAsia" w:ascii="宋体" w:hAnsi="宋体" w:cs="宋体"/>
          <w:b/>
          <w:color w:val="auto"/>
          <w:szCs w:val="21"/>
          <w:highlight w:val="none"/>
        </w:rPr>
        <w:t>的包装、密封、标记和装订</w:t>
      </w:r>
    </w:p>
    <w:p w14:paraId="2DA79815">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rPr>
        <w:t>.1投标人应当将资格文件、商务技术文件和报价文件三部分单独密封封装成投标文件（注：各部分的正本与副本包装在同一个密封袋内）。</w:t>
      </w:r>
    </w:p>
    <w:p w14:paraId="6DC5E31A">
      <w:pPr>
        <w:snapToGrid w:val="0"/>
        <w:spacing w:line="480" w:lineRule="exact"/>
        <w:ind w:firstLine="480"/>
        <w:textAlignment w:val="baseline"/>
        <w:rPr>
          <w:rFonts w:ascii="宋体" w:hAnsi="宋体" w:cs="宋体"/>
          <w:color w:val="auto"/>
          <w:szCs w:val="21"/>
          <w:highlight w:val="none"/>
        </w:rPr>
      </w:pPr>
      <w:bookmarkStart w:id="83" w:name="_Toc107820050"/>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.2投标文件封面及投标文件外层包装制作要求:详见第五章提供的格式。</w:t>
      </w:r>
    </w:p>
    <w:p w14:paraId="2D7434EF">
      <w:pPr>
        <w:snapToGrid w:val="0"/>
        <w:spacing w:line="480" w:lineRule="exact"/>
        <w:ind w:firstLine="480"/>
        <w:textAlignment w:val="baseline"/>
        <w:rPr>
          <w:rFonts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.3 投标文件统一左侧装订，采用不可拆卸方式装订。</w:t>
      </w:r>
    </w:p>
    <w:p w14:paraId="6AE470D5">
      <w:pPr>
        <w:snapToGrid w:val="0"/>
        <w:spacing w:line="480" w:lineRule="exact"/>
        <w:ind w:firstLine="480"/>
        <w:textAlignment w:val="baseline"/>
        <w:rPr>
          <w:rFonts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.4 超过截止时间送达或未按招标文件要求签字、盖章、密封的投标文件将被拒绝。由投标人标记错误造成投标文件被误投或提前拆封的风险由投标人承担。</w:t>
      </w:r>
    </w:p>
    <w:p w14:paraId="197901C6">
      <w:pPr>
        <w:snapToGrid w:val="0"/>
        <w:spacing w:line="480" w:lineRule="exact"/>
        <w:ind w:firstLine="480"/>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.5 对以下不符合密封、装订、包装要求的投标文件由现场工作人员退还投标人代表人</w:t>
      </w:r>
      <w:r>
        <w:rPr>
          <w:rFonts w:hint="eastAsia" w:ascii="宋体" w:hAnsi="宋体" w:cs="宋体"/>
          <w:color w:val="auto"/>
          <w:szCs w:val="21"/>
          <w:highlight w:val="none"/>
          <w:lang w:eastAsia="zh-CN"/>
        </w:rPr>
        <w:t>：</w:t>
      </w:r>
    </w:p>
    <w:p w14:paraId="45688722">
      <w:pPr>
        <w:snapToGrid w:val="0"/>
        <w:spacing w:line="480" w:lineRule="exact"/>
        <w:ind w:firstLine="480"/>
        <w:textAlignment w:val="baseline"/>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未按招标文件规定要求密封的；</w:t>
      </w:r>
    </w:p>
    <w:p w14:paraId="7D2FE892">
      <w:pPr>
        <w:snapToGrid w:val="0"/>
        <w:spacing w:line="480" w:lineRule="exact"/>
        <w:ind w:firstLine="480"/>
        <w:textAlignment w:val="baseline"/>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未按招标文件要求的份数提交的采购投标文件；</w:t>
      </w:r>
    </w:p>
    <w:p w14:paraId="555DB1CE">
      <w:pPr>
        <w:snapToGrid w:val="0"/>
        <w:spacing w:line="480" w:lineRule="exact"/>
        <w:ind w:firstLine="480"/>
        <w:textAlignment w:val="baseline"/>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投标文件中的资格文件、商务技术文件、报价文件出现包装混装。</w:t>
      </w:r>
    </w:p>
    <w:p w14:paraId="730B28B7">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21</w:t>
      </w:r>
      <w:r>
        <w:rPr>
          <w:rFonts w:hint="eastAsia" w:ascii="宋体" w:hAnsi="宋体" w:cs="宋体"/>
          <w:b/>
          <w:color w:val="auto"/>
          <w:szCs w:val="21"/>
          <w:highlight w:val="none"/>
        </w:rPr>
        <w:t>.投标文件的提交</w:t>
      </w:r>
    </w:p>
    <w:p w14:paraId="75CB481A">
      <w:pPr>
        <w:snapToGrid w:val="0"/>
        <w:spacing w:line="480" w:lineRule="exact"/>
        <w:ind w:firstLine="480"/>
        <w:textAlignment w:val="baseline"/>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.1在提交投标文件截止时间前，投标人应按招标文件规定的时间和地点提交投标文件；在提交投标文件截止时间后，招标代理机构将拒收。</w:t>
      </w:r>
    </w:p>
    <w:p w14:paraId="3A892116">
      <w:pPr>
        <w:snapToGrid w:val="0"/>
        <w:spacing w:line="480" w:lineRule="exact"/>
        <w:ind w:firstLine="480"/>
        <w:textAlignment w:val="baseline"/>
        <w:rPr>
          <w:rFonts w:ascii="宋体" w:hAnsi="宋体" w:cs="宋体"/>
          <w:color w:val="auto"/>
          <w:szCs w:val="21"/>
          <w:highlight w:val="none"/>
        </w:rPr>
      </w:pP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.2招标代理机构工作人员将做好投标文件签收手续，明确投标文件的提交时间、投标文件的份数、</w:t>
      </w:r>
      <w:r>
        <w:rPr>
          <w:rStyle w:val="65"/>
          <w:rFonts w:hint="eastAsia"/>
          <w:color w:val="auto"/>
          <w:highlight w:val="none"/>
        </w:rPr>
        <w:t>投标人名称</w:t>
      </w:r>
      <w:r>
        <w:rPr>
          <w:rFonts w:hint="eastAsia" w:ascii="宋体" w:hAnsi="宋体" w:cs="宋体"/>
          <w:color w:val="auto"/>
          <w:szCs w:val="21"/>
          <w:highlight w:val="none"/>
        </w:rPr>
        <w:t>等信息。</w:t>
      </w:r>
    </w:p>
    <w:p w14:paraId="7EC16553">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.投标文件的修改和撤回</w:t>
      </w:r>
    </w:p>
    <w:p w14:paraId="2FFEA79D">
      <w:pPr>
        <w:snapToGrid w:val="0"/>
        <w:spacing w:line="480" w:lineRule="exact"/>
        <w:ind w:firstLine="480"/>
        <w:textAlignment w:val="baseline"/>
        <w:rPr>
          <w:rFonts w:ascii="宋体" w:hAnsi="宋体" w:cs="宋体"/>
          <w:color w:val="auto"/>
          <w:szCs w:val="21"/>
          <w:highlight w:val="none"/>
        </w:rPr>
      </w:pPr>
      <w:bookmarkStart w:id="84" w:name="_Toc55212784"/>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.1在提交投标文件截止时间前，投标人可对已提交的投标文件进行修改或撤回，修改或撤回的意思应以书面形式通知招标代理机构。</w:t>
      </w:r>
    </w:p>
    <w:p w14:paraId="2DE5618D">
      <w:pPr>
        <w:snapToGrid w:val="0"/>
        <w:spacing w:line="480" w:lineRule="exact"/>
        <w:ind w:firstLine="480"/>
        <w:textAlignment w:val="baseline"/>
        <w:rPr>
          <w:rFonts w:ascii="宋体" w:hAnsi="宋体" w:cs="宋体"/>
          <w:color w:val="auto"/>
          <w:szCs w:val="21"/>
          <w:highlight w:val="none"/>
        </w:rPr>
      </w:pP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.2修改后重新提交的投标文件应按招标文件的规定编制、密封、标记和提交。</w:t>
      </w:r>
    </w:p>
    <w:p w14:paraId="616A204C">
      <w:pPr>
        <w:snapToGrid w:val="0"/>
        <w:spacing w:line="480" w:lineRule="exact"/>
        <w:ind w:firstLine="480"/>
        <w:textAlignment w:val="baseline"/>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.3在提交投标文件截止时间后，投标人不得修改、撤回已提交的投标文件。</w:t>
      </w:r>
    </w:p>
    <w:p w14:paraId="16FE9699">
      <w:pPr>
        <w:snapToGrid w:val="0"/>
        <w:spacing w:line="480" w:lineRule="exact"/>
        <w:ind w:firstLine="480"/>
        <w:textAlignment w:val="baseline"/>
        <w:rPr>
          <w:rFonts w:ascii="宋体" w:hAnsi="宋体" w:cs="宋体"/>
          <w:color w:val="auto"/>
          <w:szCs w:val="21"/>
          <w:highlight w:val="none"/>
        </w:rPr>
      </w:pP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.4投标文件不得涂改，若有修改错漏处，须加盖投标人公章或者负责人或委托代理人签字或盖章。投标文件因字迹潦草或表达不清所引起的后果由投标人负责。</w:t>
      </w:r>
    </w:p>
    <w:p w14:paraId="4ABF8975">
      <w:pPr>
        <w:pStyle w:val="4"/>
        <w:spacing w:line="520" w:lineRule="exact"/>
        <w:ind w:firstLine="20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   开标和评</w:t>
      </w:r>
      <w:bookmarkEnd w:id="83"/>
      <w:r>
        <w:rPr>
          <w:rFonts w:hint="eastAsia" w:ascii="宋体" w:hAnsi="宋体" w:eastAsia="宋体" w:cs="宋体"/>
          <w:color w:val="auto"/>
          <w:sz w:val="24"/>
          <w:szCs w:val="24"/>
          <w:highlight w:val="none"/>
        </w:rPr>
        <w:t>审</w:t>
      </w:r>
      <w:bookmarkEnd w:id="84"/>
    </w:p>
    <w:p w14:paraId="2C397047">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23</w:t>
      </w:r>
      <w:r>
        <w:rPr>
          <w:rFonts w:hint="eastAsia" w:ascii="宋体" w:hAnsi="宋体" w:cs="宋体"/>
          <w:b/>
          <w:color w:val="auto"/>
          <w:szCs w:val="21"/>
          <w:highlight w:val="none"/>
        </w:rPr>
        <w:t>.开标</w:t>
      </w:r>
    </w:p>
    <w:p w14:paraId="4ECABAA6">
      <w:pPr>
        <w:spacing w:line="520" w:lineRule="exact"/>
        <w:ind w:firstLine="420" w:firstLineChars="200"/>
        <w:rPr>
          <w:rFonts w:ascii="宋体" w:hAnsi="宋体" w:cs="宋体"/>
          <w:color w:val="auto"/>
          <w:szCs w:val="21"/>
          <w:highlight w:val="none"/>
        </w:rPr>
      </w:pPr>
      <w:bookmarkStart w:id="85" w:name="_Toc393869892"/>
      <w:bookmarkStart w:id="86" w:name="_Toc415648536"/>
      <w:bookmarkStart w:id="87" w:name="_Toc396838136"/>
      <w:bookmarkStart w:id="88" w:name="_Toc335664280"/>
      <w:bookmarkStart w:id="89" w:name="_Toc394928032"/>
      <w:bookmarkStart w:id="90" w:name="_Toc393869894"/>
      <w:bookmarkStart w:id="91" w:name="_Toc334087238"/>
      <w:bookmarkStart w:id="92" w:name="_Toc107820051"/>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.1招标代理机构在招标文件规定的时间和地点组织开标会，开标时所有投标人应到场，投标人如不派代表参加的，事后不得对采购相关人员、开标过程和开标结果提出异议。</w:t>
      </w:r>
    </w:p>
    <w:p w14:paraId="79DBA1E6">
      <w:pPr>
        <w:snapToGrid w:val="0"/>
        <w:spacing w:line="480" w:lineRule="exact"/>
        <w:ind w:firstLine="420" w:firstLineChars="200"/>
        <w:textAlignment w:val="baseline"/>
        <w:rPr>
          <w:rStyle w:val="102"/>
          <w:rFonts w:ascii="宋体" w:hAnsi="宋体" w:cs="宋体"/>
          <w:color w:val="auto"/>
          <w:szCs w:val="21"/>
          <w:highlight w:val="none"/>
        </w:rPr>
      </w:pPr>
      <w:r>
        <w:rPr>
          <w:rStyle w:val="102"/>
          <w:rFonts w:hint="eastAsia" w:ascii="宋体" w:hAnsi="宋体" w:cs="宋体"/>
          <w:color w:val="auto"/>
          <w:szCs w:val="21"/>
          <w:highlight w:val="none"/>
          <w:lang w:val="en-US"/>
        </w:rPr>
        <w:t>23</w:t>
      </w:r>
      <w:r>
        <w:rPr>
          <w:rStyle w:val="102"/>
          <w:rFonts w:hint="eastAsia" w:ascii="宋体" w:hAnsi="宋体" w:cs="宋体"/>
          <w:color w:val="auto"/>
          <w:szCs w:val="21"/>
          <w:highlight w:val="none"/>
        </w:rPr>
        <w:t>.2 开标会由招标代理机构主持，主持人介绍项目前期基本情况、投标人名单，宣读日程安排，宣布评审期间的有关事项。公布开标会主持人、记录人、监督人等人员名单，应要求投标人代表提出其中是否有应当回避的人员。</w:t>
      </w:r>
    </w:p>
    <w:p w14:paraId="68ADB9BF">
      <w:pPr>
        <w:snapToGrid w:val="0"/>
        <w:spacing w:line="480" w:lineRule="exact"/>
        <w:ind w:firstLine="420" w:firstLineChars="200"/>
        <w:textAlignment w:val="baseline"/>
        <w:rPr>
          <w:rStyle w:val="102"/>
          <w:rFonts w:ascii="宋体" w:hAnsi="宋体" w:cs="宋体"/>
          <w:color w:val="auto"/>
          <w:szCs w:val="21"/>
          <w:highlight w:val="none"/>
        </w:rPr>
      </w:pPr>
      <w:r>
        <w:rPr>
          <w:rStyle w:val="102"/>
          <w:rFonts w:hint="eastAsia" w:ascii="宋体" w:hAnsi="宋体" w:cs="宋体"/>
          <w:color w:val="auto"/>
          <w:szCs w:val="21"/>
          <w:highlight w:val="none"/>
        </w:rPr>
        <w:t>投标人认为采购人员及相关人员与其他投标人有利害关系的，可以向招标代理机构书面提出回避申请，并说明理由。</w:t>
      </w:r>
    </w:p>
    <w:p w14:paraId="7D886370">
      <w:pPr>
        <w:snapToGrid w:val="0"/>
        <w:spacing w:line="480" w:lineRule="exact"/>
        <w:ind w:firstLine="420" w:firstLineChars="200"/>
        <w:textAlignment w:val="baseline"/>
        <w:rPr>
          <w:rStyle w:val="102"/>
          <w:rFonts w:ascii="宋体" w:hAnsi="宋体" w:cs="宋体"/>
          <w:color w:val="auto"/>
          <w:szCs w:val="21"/>
          <w:highlight w:val="none"/>
        </w:rPr>
      </w:pPr>
      <w:r>
        <w:rPr>
          <w:rStyle w:val="102"/>
          <w:rFonts w:hint="eastAsia" w:ascii="宋体" w:hAnsi="宋体" w:cs="宋体"/>
          <w:color w:val="auto"/>
          <w:szCs w:val="21"/>
          <w:highlight w:val="none"/>
          <w:lang w:val="en-US"/>
        </w:rPr>
        <w:t>23</w:t>
      </w:r>
      <w:r>
        <w:rPr>
          <w:rStyle w:val="102"/>
          <w:rFonts w:hint="eastAsia" w:ascii="宋体" w:hAnsi="宋体" w:cs="宋体"/>
          <w:color w:val="auto"/>
          <w:szCs w:val="21"/>
          <w:highlight w:val="none"/>
        </w:rPr>
        <w:t>.3纸质投标文件经投标人代表检查投标文件密封情况，经投标人确认无误后，采购人和招标代理机构按纸质投标文件递交的先后顺序开启投标文件。</w:t>
      </w:r>
    </w:p>
    <w:p w14:paraId="639F36C4">
      <w:pPr>
        <w:snapToGrid w:val="0"/>
        <w:spacing w:line="480" w:lineRule="exact"/>
        <w:ind w:firstLine="420" w:firstLineChars="200"/>
        <w:textAlignment w:val="baseline"/>
        <w:rPr>
          <w:rStyle w:val="102"/>
          <w:rFonts w:ascii="宋体" w:hAnsi="宋体" w:cs="宋体"/>
          <w:color w:val="auto"/>
          <w:szCs w:val="21"/>
          <w:highlight w:val="none"/>
        </w:rPr>
      </w:pPr>
      <w:r>
        <w:rPr>
          <w:rStyle w:val="102"/>
          <w:rFonts w:hint="eastAsia" w:ascii="宋体" w:hAnsi="宋体" w:cs="宋体"/>
          <w:color w:val="auto"/>
          <w:szCs w:val="21"/>
          <w:highlight w:val="none"/>
          <w:lang w:val="en-US"/>
        </w:rPr>
        <w:t>23</w:t>
      </w:r>
      <w:r>
        <w:rPr>
          <w:rStyle w:val="102"/>
          <w:rFonts w:hint="eastAsia" w:ascii="宋体" w:hAnsi="宋体" w:cs="宋体"/>
          <w:color w:val="auto"/>
          <w:szCs w:val="21"/>
          <w:highlight w:val="none"/>
        </w:rPr>
        <w:t>.3.1投标文件正、副份数不符合要求的，如实记录并提交开标小组评定；</w:t>
      </w:r>
    </w:p>
    <w:p w14:paraId="51BF6D44">
      <w:pPr>
        <w:snapToGrid w:val="0"/>
        <w:spacing w:line="480" w:lineRule="exact"/>
        <w:ind w:firstLine="420" w:firstLineChars="200"/>
        <w:textAlignment w:val="baseline"/>
        <w:rPr>
          <w:rStyle w:val="102"/>
          <w:rFonts w:ascii="宋体" w:hAnsi="宋体" w:cs="宋体"/>
          <w:color w:val="auto"/>
          <w:szCs w:val="21"/>
          <w:highlight w:val="none"/>
        </w:rPr>
      </w:pPr>
      <w:r>
        <w:rPr>
          <w:rStyle w:val="102"/>
          <w:rFonts w:hint="eastAsia" w:ascii="宋体" w:hAnsi="宋体" w:cs="宋体"/>
          <w:color w:val="auto"/>
          <w:szCs w:val="21"/>
          <w:highlight w:val="none"/>
          <w:lang w:val="en-US"/>
        </w:rPr>
        <w:t>23</w:t>
      </w:r>
      <w:r>
        <w:rPr>
          <w:rStyle w:val="102"/>
          <w:rFonts w:hint="eastAsia" w:ascii="宋体" w:hAnsi="宋体" w:cs="宋体"/>
          <w:color w:val="auto"/>
          <w:szCs w:val="21"/>
          <w:highlight w:val="none"/>
        </w:rPr>
        <w:t>.3.2 因投标文件份数不符合要求造成投标人不足三家，</w:t>
      </w:r>
      <w:r>
        <w:rPr>
          <w:rStyle w:val="102"/>
          <w:rFonts w:hint="eastAsia" w:ascii="宋体" w:hAnsi="宋体" w:cs="宋体"/>
          <w:color w:val="auto"/>
          <w:kern w:val="0"/>
          <w:szCs w:val="21"/>
          <w:highlight w:val="none"/>
        </w:rPr>
        <w:t>按相关规定重新组织采购活动。</w:t>
      </w:r>
    </w:p>
    <w:p w14:paraId="2298597F">
      <w:pPr>
        <w:snapToGrid w:val="0"/>
        <w:spacing w:line="480" w:lineRule="exact"/>
        <w:ind w:firstLine="420" w:firstLineChars="200"/>
        <w:textAlignment w:val="baseline"/>
        <w:rPr>
          <w:rStyle w:val="102"/>
          <w:rFonts w:ascii="宋体" w:hAnsi="宋体" w:cs="宋体"/>
          <w:color w:val="auto"/>
          <w:kern w:val="0"/>
          <w:szCs w:val="21"/>
          <w:highlight w:val="none"/>
        </w:rPr>
      </w:pPr>
      <w:r>
        <w:rPr>
          <w:rStyle w:val="102"/>
          <w:rFonts w:hint="eastAsia" w:ascii="宋体" w:hAnsi="宋体" w:cs="宋体"/>
          <w:color w:val="auto"/>
          <w:szCs w:val="21"/>
          <w:highlight w:val="none"/>
          <w:lang w:val="en-US"/>
        </w:rPr>
        <w:t>23</w:t>
      </w:r>
      <w:r>
        <w:rPr>
          <w:rStyle w:val="102"/>
          <w:rFonts w:hint="eastAsia" w:ascii="宋体" w:hAnsi="宋体" w:cs="宋体"/>
          <w:color w:val="auto"/>
          <w:kern w:val="0"/>
          <w:szCs w:val="21"/>
          <w:highlight w:val="none"/>
        </w:rPr>
        <w:t>.4 唱标</w:t>
      </w:r>
    </w:p>
    <w:p w14:paraId="67477567">
      <w:pPr>
        <w:snapToGrid w:val="0"/>
        <w:spacing w:line="480" w:lineRule="exact"/>
        <w:ind w:firstLine="420" w:firstLineChars="200"/>
        <w:textAlignment w:val="baseline"/>
        <w:rPr>
          <w:rStyle w:val="102"/>
          <w:rFonts w:ascii="宋体" w:hAnsi="宋体" w:cs="宋体"/>
          <w:color w:val="auto"/>
          <w:kern w:val="0"/>
          <w:szCs w:val="21"/>
          <w:highlight w:val="none"/>
        </w:rPr>
      </w:pPr>
      <w:r>
        <w:rPr>
          <w:rStyle w:val="102"/>
          <w:rFonts w:hint="eastAsia" w:ascii="宋体" w:hAnsi="宋体" w:cs="宋体"/>
          <w:color w:val="auto"/>
          <w:szCs w:val="21"/>
          <w:highlight w:val="none"/>
          <w:lang w:val="en-US"/>
        </w:rPr>
        <w:t>23</w:t>
      </w:r>
      <w:r>
        <w:rPr>
          <w:rStyle w:val="102"/>
          <w:rFonts w:hint="eastAsia" w:ascii="宋体" w:hAnsi="宋体" w:cs="宋体"/>
          <w:color w:val="auto"/>
          <w:kern w:val="0"/>
          <w:szCs w:val="21"/>
          <w:highlight w:val="none"/>
        </w:rPr>
        <w:t>.4.1 招标代理机构按投标文件的递交顺序宣布投标人名称和招标文件规定需要宣布的其他内容。</w:t>
      </w:r>
    </w:p>
    <w:p w14:paraId="268F989F">
      <w:pPr>
        <w:snapToGrid w:val="0"/>
        <w:spacing w:line="480" w:lineRule="exact"/>
        <w:ind w:firstLine="420" w:firstLineChars="200"/>
        <w:textAlignment w:val="baseline"/>
        <w:rPr>
          <w:rStyle w:val="102"/>
          <w:rFonts w:ascii="宋体" w:hAnsi="宋体" w:cs="宋体"/>
          <w:color w:val="auto"/>
          <w:kern w:val="0"/>
          <w:szCs w:val="21"/>
          <w:highlight w:val="none"/>
        </w:rPr>
      </w:pPr>
      <w:r>
        <w:rPr>
          <w:rStyle w:val="102"/>
          <w:rFonts w:hint="eastAsia" w:ascii="宋体" w:hAnsi="宋体" w:cs="宋体"/>
          <w:color w:val="auto"/>
          <w:szCs w:val="21"/>
          <w:highlight w:val="none"/>
          <w:lang w:val="en-US"/>
        </w:rPr>
        <w:t>23</w:t>
      </w:r>
      <w:r>
        <w:rPr>
          <w:rStyle w:val="102"/>
          <w:rFonts w:hint="eastAsia" w:ascii="宋体" w:hAnsi="宋体" w:cs="宋体"/>
          <w:color w:val="auto"/>
          <w:kern w:val="0"/>
          <w:szCs w:val="21"/>
          <w:highlight w:val="none"/>
        </w:rPr>
        <w:t>.4.2 招标代理机构做好开标记录。投标人代表对开标记录进行当场校验核对，并签字确认。投标人代表未到场签字确认或者拒绝签字确认的，不影响评审过程。</w:t>
      </w:r>
    </w:p>
    <w:p w14:paraId="1CD15E55">
      <w:pPr>
        <w:snapToGrid w:val="0"/>
        <w:spacing w:line="480" w:lineRule="exact"/>
        <w:ind w:firstLine="420" w:firstLineChars="200"/>
        <w:textAlignment w:val="baseline"/>
        <w:rPr>
          <w:rStyle w:val="102"/>
          <w:rFonts w:ascii="宋体" w:hAnsi="宋体" w:cs="宋体"/>
          <w:color w:val="auto"/>
          <w:kern w:val="0"/>
          <w:szCs w:val="21"/>
          <w:highlight w:val="none"/>
        </w:rPr>
      </w:pPr>
      <w:r>
        <w:rPr>
          <w:rStyle w:val="102"/>
          <w:rFonts w:hint="eastAsia" w:ascii="宋体" w:hAnsi="宋体" w:cs="宋体"/>
          <w:color w:val="auto"/>
          <w:szCs w:val="21"/>
          <w:highlight w:val="none"/>
          <w:lang w:val="en-US"/>
        </w:rPr>
        <w:t>23</w:t>
      </w:r>
      <w:r>
        <w:rPr>
          <w:rStyle w:val="102"/>
          <w:rFonts w:hint="eastAsia" w:ascii="宋体" w:hAnsi="宋体" w:cs="宋体"/>
          <w:color w:val="auto"/>
          <w:kern w:val="0"/>
          <w:szCs w:val="21"/>
          <w:highlight w:val="none"/>
        </w:rPr>
        <w:t>.5 开标会议结束。</w:t>
      </w:r>
    </w:p>
    <w:p w14:paraId="0EC2171C">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 资格审查</w:t>
      </w:r>
    </w:p>
    <w:p w14:paraId="717A8D95">
      <w:pPr>
        <w:snapToGrid w:val="0"/>
        <w:spacing w:line="480" w:lineRule="exact"/>
        <w:ind w:firstLine="420" w:firstLineChars="200"/>
        <w:textAlignment w:val="baseline"/>
        <w:rPr>
          <w:rStyle w:val="102"/>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 采购人或招标代理机构按资格要求和资格文件要求对投标人进行资格审查及记录</w:t>
      </w:r>
      <w:r>
        <w:rPr>
          <w:rStyle w:val="102"/>
          <w:rFonts w:hint="eastAsia" w:ascii="宋体" w:hAnsi="宋体" w:cs="宋体"/>
          <w:color w:val="auto"/>
          <w:szCs w:val="21"/>
          <w:highlight w:val="none"/>
        </w:rPr>
        <w:t>，并当场告知审查结果。</w:t>
      </w:r>
    </w:p>
    <w:p w14:paraId="7640997F">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.2资格审查顺序为投标文件递交顺序，资格审查所需的所有材料于</w:t>
      </w:r>
      <w:r>
        <w:rPr>
          <w:rFonts w:hint="eastAsia" w:ascii="宋体" w:hAnsi="宋体" w:cs="宋体"/>
          <w:b/>
          <w:color w:val="auto"/>
          <w:szCs w:val="21"/>
          <w:highlight w:val="none"/>
          <w:lang w:val="en-US" w:eastAsia="zh-CN"/>
        </w:rPr>
        <w:t>投标</w:t>
      </w:r>
      <w:r>
        <w:rPr>
          <w:rFonts w:hint="eastAsia" w:ascii="宋体" w:hAnsi="宋体" w:cs="宋体"/>
          <w:b/>
          <w:color w:val="auto"/>
          <w:szCs w:val="21"/>
          <w:highlight w:val="none"/>
        </w:rPr>
        <w:t>截止时间前递交，逾期不予受理。资格审查现场无法出示相应材料的，作资格审查不通过处理。</w:t>
      </w:r>
    </w:p>
    <w:p w14:paraId="7B4614C4">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.3 经资格审查后合格的投标人不足三家的，按相关规定重新组织招标。</w:t>
      </w:r>
    </w:p>
    <w:p w14:paraId="73238975">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 评审流程：详见第六章。</w:t>
      </w:r>
    </w:p>
    <w:p w14:paraId="3AF06180">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 投标文件的澄清</w:t>
      </w:r>
    </w:p>
    <w:p w14:paraId="79EF32DA">
      <w:pPr>
        <w:spacing w:line="520" w:lineRule="exact"/>
        <w:ind w:firstLine="382" w:firstLineChars="182"/>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 对</w:t>
      </w:r>
      <w:r>
        <w:rPr>
          <w:rFonts w:hint="eastAsia" w:ascii="宋体" w:hAnsi="宋体" w:cs="宋体"/>
          <w:color w:val="auto"/>
          <w:kern w:val="0"/>
          <w:szCs w:val="21"/>
          <w:highlight w:val="none"/>
        </w:rPr>
        <w:t>投标文件</w:t>
      </w:r>
      <w:r>
        <w:rPr>
          <w:rFonts w:hint="eastAsia" w:ascii="宋体" w:hAnsi="宋体" w:cs="宋体"/>
          <w:color w:val="auto"/>
          <w:szCs w:val="21"/>
          <w:highlight w:val="none"/>
        </w:rPr>
        <w:t>中含义不明确、同类问题表述不一致或者有明显文字和计算错误的内容，评审委员会应当</w:t>
      </w:r>
      <w:r>
        <w:rPr>
          <w:rStyle w:val="102"/>
          <w:rFonts w:hint="eastAsia" w:ascii="宋体" w:hAnsi="宋体" w:cs="宋体"/>
          <w:color w:val="auto"/>
          <w:szCs w:val="21"/>
          <w:highlight w:val="none"/>
        </w:rPr>
        <w:t>以书面形式要求</w:t>
      </w:r>
      <w:r>
        <w:rPr>
          <w:rFonts w:hint="eastAsia" w:ascii="宋体" w:hAnsi="宋体" w:cs="宋体"/>
          <w:color w:val="auto"/>
          <w:szCs w:val="21"/>
          <w:highlight w:val="none"/>
        </w:rPr>
        <w:t>投标人作出必要的澄清、说明或者补正。投标人的澄清、说明或者补正也应当采用书面形式，并加盖公章，或者负责人或其授权的代表签字。投标人的澄清、说明或者补正不得超出投标文件的范围或者改变投标文件的实质性内容。</w:t>
      </w:r>
    </w:p>
    <w:p w14:paraId="3E35E04D">
      <w:pPr>
        <w:spacing w:line="520" w:lineRule="exact"/>
        <w:ind w:firstLine="382" w:firstLineChars="182"/>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 报价算术错误将按以下方法修正：</w:t>
      </w:r>
    </w:p>
    <w:p w14:paraId="4057F033">
      <w:pPr>
        <w:spacing w:line="520" w:lineRule="exact"/>
        <w:ind w:firstLine="382" w:firstLineChars="182"/>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报价文件中开标一览表（报价表）内容与</w:t>
      </w:r>
      <w:r>
        <w:rPr>
          <w:rFonts w:hint="eastAsia" w:ascii="宋体" w:hAnsi="宋体" w:cs="宋体"/>
          <w:color w:val="auto"/>
          <w:kern w:val="0"/>
          <w:szCs w:val="21"/>
          <w:highlight w:val="none"/>
        </w:rPr>
        <w:t>报价</w:t>
      </w:r>
      <w:r>
        <w:rPr>
          <w:rFonts w:hint="eastAsia" w:ascii="宋体" w:hAnsi="宋体" w:cs="宋体"/>
          <w:bCs/>
          <w:color w:val="auto"/>
          <w:szCs w:val="21"/>
          <w:highlight w:val="none"/>
        </w:rPr>
        <w:t>明细表相应内容不一致的，以开标一览表（报价表）为准；</w:t>
      </w:r>
    </w:p>
    <w:p w14:paraId="7E51F84F">
      <w:pPr>
        <w:spacing w:line="520" w:lineRule="exact"/>
        <w:ind w:firstLine="382" w:firstLineChars="182"/>
        <w:rPr>
          <w:rFonts w:ascii="宋体" w:hAnsi="宋体" w:cs="宋体"/>
          <w:bCs/>
          <w:color w:val="auto"/>
          <w:szCs w:val="21"/>
          <w:highlight w:val="none"/>
        </w:rPr>
      </w:pPr>
      <w:r>
        <w:rPr>
          <w:rFonts w:hint="eastAsia" w:ascii="宋体" w:hAnsi="宋体" w:cs="宋体"/>
          <w:bCs/>
          <w:color w:val="auto"/>
          <w:szCs w:val="21"/>
          <w:highlight w:val="none"/>
        </w:rPr>
        <w:t>（2）报价文件的大写金额和小写金额不一致的，以大写金额为准；</w:t>
      </w:r>
    </w:p>
    <w:p w14:paraId="2BBC2556">
      <w:pPr>
        <w:spacing w:line="520" w:lineRule="exact"/>
        <w:ind w:firstLine="382" w:firstLineChars="182"/>
        <w:rPr>
          <w:rFonts w:ascii="宋体" w:hAnsi="宋体" w:cs="宋体"/>
          <w:bCs/>
          <w:color w:val="auto"/>
          <w:szCs w:val="21"/>
          <w:highlight w:val="none"/>
        </w:rPr>
      </w:pPr>
      <w:r>
        <w:rPr>
          <w:rFonts w:hint="eastAsia" w:ascii="宋体" w:hAnsi="宋体" w:cs="宋体"/>
          <w:bCs/>
          <w:color w:val="auto"/>
          <w:szCs w:val="21"/>
          <w:highlight w:val="none"/>
        </w:rPr>
        <w:t>（3）单价金额小数点或者百分比有明显错位的，以开标一览表（报价表）的总价为准，并修改单价；</w:t>
      </w:r>
    </w:p>
    <w:p w14:paraId="56CA0ACA">
      <w:pPr>
        <w:spacing w:line="520" w:lineRule="exact"/>
        <w:ind w:firstLine="382" w:firstLineChars="182"/>
        <w:rPr>
          <w:rFonts w:ascii="宋体" w:hAnsi="宋体" w:cs="宋体"/>
          <w:bCs/>
          <w:color w:val="auto"/>
          <w:szCs w:val="21"/>
          <w:highlight w:val="none"/>
        </w:rPr>
      </w:pPr>
      <w:r>
        <w:rPr>
          <w:rFonts w:hint="eastAsia" w:ascii="宋体" w:hAnsi="宋体" w:cs="宋体"/>
          <w:bCs/>
          <w:color w:val="auto"/>
          <w:szCs w:val="21"/>
          <w:highlight w:val="none"/>
        </w:rPr>
        <w:t>（4）总价金额与按单价汇总金额不一致的，以单价金额计算结果为准；</w:t>
      </w:r>
    </w:p>
    <w:p w14:paraId="4AD474EB">
      <w:pPr>
        <w:spacing w:line="520" w:lineRule="exact"/>
        <w:ind w:firstLine="382" w:firstLineChars="182"/>
        <w:rPr>
          <w:rFonts w:ascii="宋体" w:hAnsi="宋体" w:cs="宋体"/>
          <w:bCs/>
          <w:color w:val="auto"/>
          <w:szCs w:val="21"/>
          <w:highlight w:val="none"/>
        </w:rPr>
      </w:pPr>
      <w:r>
        <w:rPr>
          <w:rFonts w:hint="eastAsia" w:ascii="宋体" w:hAnsi="宋体" w:cs="宋体"/>
          <w:bCs/>
          <w:color w:val="auto"/>
          <w:szCs w:val="21"/>
          <w:highlight w:val="none"/>
        </w:rPr>
        <w:t>（5）同时出现两种以上不一致的，按上述顺序修正；</w:t>
      </w:r>
    </w:p>
    <w:p w14:paraId="4CF856BE">
      <w:pPr>
        <w:spacing w:line="520" w:lineRule="exact"/>
        <w:ind w:firstLine="382" w:firstLineChars="182"/>
        <w:rPr>
          <w:rFonts w:ascii="宋体" w:hAnsi="宋体" w:cs="宋体"/>
          <w:color w:val="auto"/>
          <w:szCs w:val="21"/>
          <w:highlight w:val="none"/>
        </w:rPr>
      </w:pPr>
      <w:r>
        <w:rPr>
          <w:rFonts w:hint="eastAsia" w:ascii="宋体" w:hAnsi="宋体" w:cs="宋体"/>
          <w:bCs/>
          <w:color w:val="auto"/>
          <w:szCs w:val="21"/>
          <w:highlight w:val="none"/>
        </w:rPr>
        <w:t>（6）对不同文字文本</w:t>
      </w:r>
      <w:r>
        <w:rPr>
          <w:rFonts w:hint="eastAsia" w:ascii="宋体" w:hAnsi="宋体" w:cs="宋体"/>
          <w:color w:val="auto"/>
          <w:kern w:val="0"/>
          <w:szCs w:val="21"/>
          <w:highlight w:val="none"/>
        </w:rPr>
        <w:t>投标文件</w:t>
      </w:r>
      <w:r>
        <w:rPr>
          <w:rFonts w:hint="eastAsia" w:ascii="宋体" w:hAnsi="宋体" w:cs="宋体"/>
          <w:bCs/>
          <w:color w:val="auto"/>
          <w:szCs w:val="21"/>
          <w:highlight w:val="none"/>
        </w:rPr>
        <w:t>的解释发生异议的，以中文文本为准；</w:t>
      </w:r>
    </w:p>
    <w:p w14:paraId="5DAFCDDE">
      <w:pPr>
        <w:spacing w:line="520" w:lineRule="exact"/>
        <w:ind w:firstLine="382" w:firstLineChars="182"/>
        <w:rPr>
          <w:rFonts w:ascii="宋体" w:hAnsi="宋体" w:cs="宋体"/>
          <w:color w:val="auto"/>
          <w:szCs w:val="21"/>
          <w:highlight w:val="none"/>
        </w:rPr>
      </w:pPr>
      <w:r>
        <w:rPr>
          <w:rFonts w:hint="eastAsia" w:ascii="宋体" w:hAnsi="宋体" w:cs="宋体"/>
          <w:color w:val="auto"/>
          <w:szCs w:val="21"/>
          <w:highlight w:val="none"/>
        </w:rPr>
        <w:t>（7）修正错误的投标报价，投标人应当通过书面形式提交，调整后的投标报价对投标人具有约束作用。若投标人不接受修正后的投标报价，则其投标将作为无效投标处理。</w:t>
      </w:r>
    </w:p>
    <w:p w14:paraId="47711E44">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 对投标文件的比较和评估</w:t>
      </w:r>
    </w:p>
    <w:p w14:paraId="3ADA5832">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评审委员会根据招标文件规定的评审办法和标准、对符合性审查合格投标人的投标文件及澄清答复内容进行商务和技术评估，综合比较与评价，并按照平等、客观、公正的原则对投标文件进行综合评审和评分。</w:t>
      </w:r>
    </w:p>
    <w:p w14:paraId="28CDE3C0">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 评标报告</w:t>
      </w:r>
    </w:p>
    <w:p w14:paraId="42CDDC6B">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评审委员会根据全体评审成员签字的原始评审记录和评审结果编写评标报告，并推荐中标候选人，评审报告由评审委员会成员签字确认提交。</w:t>
      </w:r>
    </w:p>
    <w:p w14:paraId="68C2044A">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29</w:t>
      </w:r>
      <w:r>
        <w:rPr>
          <w:rFonts w:hint="eastAsia" w:ascii="宋体" w:hAnsi="宋体" w:cs="宋体"/>
          <w:b/>
          <w:color w:val="auto"/>
          <w:szCs w:val="21"/>
          <w:highlight w:val="none"/>
        </w:rPr>
        <w:t>. 保密和评审过程的监控</w:t>
      </w:r>
    </w:p>
    <w:p w14:paraId="6722639B">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.1 自开标时间起至中标结果公告发布时间止，凡属于审查、澄清、评估和比较投标的有关资料，且与授予合同有关的信息都不得向任何投标人或与上述评审过程无关的人员透露。</w:t>
      </w:r>
    </w:p>
    <w:p w14:paraId="55423C83">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.2 本项目开标、评审过程实行全程录音、录像监控，投标人在开标、评审过程中所进行的试图影响评审结果的不公正行为或授予合同决定的过程施加影响的企图和行为，可能导致其投标被拒绝。</w:t>
      </w:r>
    </w:p>
    <w:p w14:paraId="5DEC0C87">
      <w:pPr>
        <w:pStyle w:val="4"/>
        <w:spacing w:line="520" w:lineRule="exact"/>
        <w:ind w:firstLine="200" w:firstLineChars="0"/>
        <w:rPr>
          <w:rFonts w:ascii="宋体" w:hAnsi="宋体" w:eastAsia="宋体" w:cs="宋体"/>
          <w:color w:val="auto"/>
          <w:sz w:val="24"/>
          <w:szCs w:val="24"/>
          <w:highlight w:val="none"/>
        </w:rPr>
      </w:pPr>
      <w:bookmarkStart w:id="93" w:name="_Toc55212785"/>
      <w:bookmarkStart w:id="94" w:name="_Toc493956039"/>
      <w:bookmarkStart w:id="95" w:name="_Toc494555855"/>
      <w:r>
        <w:rPr>
          <w:rFonts w:hint="eastAsia" w:ascii="宋体" w:hAnsi="宋体" w:eastAsia="宋体" w:cs="宋体"/>
          <w:color w:val="auto"/>
          <w:sz w:val="24"/>
          <w:szCs w:val="24"/>
          <w:highlight w:val="none"/>
        </w:rPr>
        <w:t>七   投标无效的情形</w:t>
      </w:r>
      <w:bookmarkEnd w:id="93"/>
      <w:bookmarkEnd w:id="94"/>
      <w:bookmarkEnd w:id="95"/>
    </w:p>
    <w:p w14:paraId="061429A2">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30</w:t>
      </w:r>
      <w:r>
        <w:rPr>
          <w:rFonts w:hint="eastAsia" w:ascii="宋体" w:hAnsi="宋体" w:cs="宋体"/>
          <w:b/>
          <w:color w:val="auto"/>
          <w:szCs w:val="21"/>
          <w:highlight w:val="none"/>
        </w:rPr>
        <w:t>.实质上没有响应招标文件要求的投标将被视为无效投标。投标人不得通过修正或</w:t>
      </w:r>
      <w:r>
        <w:rPr>
          <w:rFonts w:hint="eastAsia" w:ascii="宋体" w:hAnsi="宋体" w:cs="宋体"/>
          <w:b/>
          <w:color w:val="auto"/>
          <w:szCs w:val="21"/>
          <w:highlight w:val="none"/>
          <w:lang w:val="en-US" w:eastAsia="zh-CN"/>
        </w:rPr>
        <w:t>撤销</w:t>
      </w:r>
      <w:r>
        <w:rPr>
          <w:rFonts w:hint="eastAsia" w:ascii="宋体" w:hAnsi="宋体" w:cs="宋体"/>
          <w:b/>
          <w:color w:val="auto"/>
          <w:szCs w:val="21"/>
          <w:highlight w:val="none"/>
        </w:rPr>
        <w:t>不合要求的偏离或保留从而使其投标成为实质上响应的投标。投标人如有下列情形之一的，其投标将被拒绝，</w:t>
      </w:r>
      <w:r>
        <w:rPr>
          <w:rFonts w:hint="eastAsia" w:ascii="宋体" w:hAnsi="宋体" w:cs="宋体"/>
          <w:b/>
          <w:color w:val="auto"/>
          <w:kern w:val="0"/>
          <w:szCs w:val="21"/>
          <w:highlight w:val="none"/>
        </w:rPr>
        <w:t>投标文件</w:t>
      </w:r>
      <w:r>
        <w:rPr>
          <w:rFonts w:hint="eastAsia" w:ascii="宋体" w:hAnsi="宋体" w:cs="宋体"/>
          <w:b/>
          <w:color w:val="auto"/>
          <w:szCs w:val="21"/>
          <w:highlight w:val="none"/>
        </w:rPr>
        <w:t>无效：</w:t>
      </w:r>
    </w:p>
    <w:p w14:paraId="6905C69C">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（1）电报、电话、传真形式提交投标文件的；</w:t>
      </w:r>
    </w:p>
    <w:p w14:paraId="3391D7AC">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（2）投标人未按招标文件规定的时间和地点提交投标文件的；</w:t>
      </w:r>
    </w:p>
    <w:p w14:paraId="2A65BC1F">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（3）未按招标文件规定要求签署、盖章的；</w:t>
      </w:r>
    </w:p>
    <w:p w14:paraId="0439E726">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（4）投标文件未按招标文件规定要求进行负责人或者委托代理人签字或盖章的；</w:t>
      </w:r>
    </w:p>
    <w:p w14:paraId="6C55E9FD">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（5）开启投标文件后，纸质投标文件无法区分正、副本的；</w:t>
      </w:r>
    </w:p>
    <w:p w14:paraId="03CC396D">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（6）开启投标文件后，投标文件份数不满足</w:t>
      </w:r>
      <w:r>
        <w:rPr>
          <w:rFonts w:hint="eastAsia" w:ascii="宋体" w:hAnsi="宋体" w:cs="宋体"/>
          <w:b/>
          <w:color w:val="auto"/>
          <w:szCs w:val="21"/>
          <w:highlight w:val="none"/>
          <w:lang w:val="en-US" w:eastAsia="zh-CN"/>
        </w:rPr>
        <w:t>招标</w:t>
      </w:r>
      <w:r>
        <w:rPr>
          <w:rFonts w:hint="eastAsia" w:ascii="宋体" w:hAnsi="宋体" w:cs="宋体"/>
          <w:b/>
          <w:color w:val="auto"/>
          <w:szCs w:val="21"/>
          <w:highlight w:val="none"/>
        </w:rPr>
        <w:t>文件要求的；</w:t>
      </w:r>
    </w:p>
    <w:p w14:paraId="2C11B98E">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（7）不具备投标文件规定资格要求的；</w:t>
      </w:r>
    </w:p>
    <w:p w14:paraId="59C6B265">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（8）投标有效期不足的；</w:t>
      </w:r>
    </w:p>
    <w:p w14:paraId="72CB9E86">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（9）评审委员会评定有实质上“▲”条款的负偏离的；</w:t>
      </w:r>
    </w:p>
    <w:p w14:paraId="54207F26">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（10）投标文件含有采购人不能接受的附加条款的；</w:t>
      </w:r>
    </w:p>
    <w:p w14:paraId="4CAAD03E">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（11）投标报价高于招标文件中规定的最高限价的；</w:t>
      </w:r>
    </w:p>
    <w:p w14:paraId="15F25762">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（12）招标文件中未要求，但投标人给予赠品、回扣或与采购无关的其他商品、服务的；</w:t>
      </w:r>
    </w:p>
    <w:p w14:paraId="645A9253">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（13）投标报价书（开标一览表）存在漏项或报价数量少于采购要求的；</w:t>
      </w:r>
    </w:p>
    <w:p w14:paraId="31720D31">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（14）评审委员会认为投标人的报价明显低于其他通过符合性审</w:t>
      </w:r>
      <w:r>
        <w:rPr>
          <w:rFonts w:hint="eastAsia" w:ascii="宋体" w:hAnsi="宋体" w:cs="宋体"/>
          <w:bCs/>
          <w:color w:val="auto"/>
          <w:szCs w:val="21"/>
          <w:highlight w:val="none"/>
          <w:lang w:eastAsia="zh-CN"/>
        </w:rPr>
        <w:t>查的</w:t>
      </w:r>
      <w:r>
        <w:rPr>
          <w:rFonts w:hint="eastAsia" w:ascii="宋体" w:hAnsi="宋体" w:cs="宋体"/>
          <w:bCs/>
          <w:color w:val="auto"/>
          <w:szCs w:val="21"/>
          <w:highlight w:val="none"/>
        </w:rPr>
        <w:t>投标人的报价，有可能影响服务质量或者不能诚信履约的，投标人代表应在评审委员会规定的时间内提供书面说明，必要时提交相关证明材料；投标人不能证明其报价合理性的，评审委员会应当将其作为无效投标处理；</w:t>
      </w:r>
    </w:p>
    <w:p w14:paraId="425139A0">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（15）提供虚假材料谋取中标的；</w:t>
      </w:r>
    </w:p>
    <w:p w14:paraId="6F65201B">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（16）在招标过程中与采购人进行协商谈判、不按招标文件和中标人的</w:t>
      </w:r>
      <w:r>
        <w:rPr>
          <w:rFonts w:hint="eastAsia" w:ascii="宋体" w:hAnsi="宋体" w:cs="宋体"/>
          <w:bCs/>
          <w:color w:val="auto"/>
          <w:kern w:val="0"/>
          <w:szCs w:val="21"/>
          <w:highlight w:val="none"/>
        </w:rPr>
        <w:t>投标文件</w:t>
      </w:r>
      <w:r>
        <w:rPr>
          <w:rFonts w:hint="eastAsia" w:ascii="宋体" w:hAnsi="宋体" w:cs="宋体"/>
          <w:bCs/>
          <w:color w:val="auto"/>
          <w:szCs w:val="21"/>
          <w:highlight w:val="none"/>
        </w:rPr>
        <w:t>订立合同，或者与采购人另行订立背离合同实质性内容的协议的；</w:t>
      </w:r>
    </w:p>
    <w:p w14:paraId="427E5063">
      <w:pPr>
        <w:spacing w:line="520" w:lineRule="exact"/>
        <w:ind w:firstLine="422" w:firstLineChars="200"/>
        <w:rPr>
          <w:rFonts w:hint="eastAsia" w:ascii="宋体" w:hAnsi="宋体" w:cs="宋体"/>
          <w:b/>
          <w:bCs w:val="0"/>
          <w:color w:val="auto"/>
          <w:szCs w:val="21"/>
          <w:highlight w:val="none"/>
        </w:rPr>
      </w:pPr>
      <w:r>
        <w:rPr>
          <w:rFonts w:hint="eastAsia" w:ascii="宋体" w:hAnsi="宋体" w:cs="宋体"/>
          <w:b/>
          <w:bCs w:val="0"/>
          <w:color w:val="auto"/>
          <w:szCs w:val="21"/>
          <w:highlight w:val="none"/>
        </w:rPr>
        <w:t>（1</w:t>
      </w:r>
      <w:r>
        <w:rPr>
          <w:rFonts w:ascii="宋体" w:hAnsi="宋体" w:cs="宋体"/>
          <w:b/>
          <w:bCs w:val="0"/>
          <w:color w:val="auto"/>
          <w:szCs w:val="21"/>
          <w:highlight w:val="none"/>
        </w:rPr>
        <w:t>7</w:t>
      </w:r>
      <w:r>
        <w:rPr>
          <w:rFonts w:hint="eastAsia" w:ascii="宋体" w:hAnsi="宋体" w:cs="宋体"/>
          <w:b/>
          <w:bCs w:val="0"/>
          <w:color w:val="auto"/>
          <w:szCs w:val="21"/>
          <w:highlight w:val="none"/>
        </w:rPr>
        <w:t>）</w:t>
      </w:r>
      <w:r>
        <w:rPr>
          <w:rFonts w:hint="eastAsia" w:ascii="宋体" w:hAnsi="宋体" w:cs="宋体"/>
          <w:b/>
          <w:bCs w:val="0"/>
          <w:color w:val="auto"/>
          <w:szCs w:val="21"/>
          <w:highlight w:val="none"/>
          <w:lang w:val="en-US" w:eastAsia="zh-CN"/>
        </w:rPr>
        <w:t>商务技术投标文件页数（包括封面、封底、目录和图表等）超过300页的</w:t>
      </w:r>
      <w:r>
        <w:rPr>
          <w:rFonts w:hint="eastAsia" w:ascii="宋体" w:hAnsi="宋体" w:cs="宋体"/>
          <w:b/>
          <w:bCs w:val="0"/>
          <w:color w:val="auto"/>
          <w:szCs w:val="21"/>
          <w:highlight w:val="none"/>
        </w:rPr>
        <w:t>。</w:t>
      </w:r>
    </w:p>
    <w:p w14:paraId="25CDB570">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）招标文件规定的其他</w:t>
      </w:r>
      <w:r>
        <w:rPr>
          <w:rFonts w:hint="eastAsia" w:ascii="宋体" w:hAnsi="宋体" w:cs="宋体"/>
          <w:bCs/>
          <w:color w:val="auto"/>
          <w:kern w:val="0"/>
          <w:szCs w:val="21"/>
          <w:highlight w:val="none"/>
        </w:rPr>
        <w:t>投标文件</w:t>
      </w:r>
      <w:r>
        <w:rPr>
          <w:rFonts w:hint="eastAsia" w:ascii="宋体" w:hAnsi="宋体" w:cs="宋体"/>
          <w:bCs/>
          <w:color w:val="auto"/>
          <w:szCs w:val="21"/>
          <w:highlight w:val="none"/>
        </w:rPr>
        <w:t>无效情形。</w:t>
      </w:r>
      <w:bookmarkStart w:id="96" w:name="EBdafef940fa674575a283c03dcfd15197"/>
      <w:r>
        <w:rPr>
          <w:rFonts w:hint="eastAsia" w:ascii="宋体" w:hAnsi="宋体" w:cs="宋体"/>
          <w:bCs/>
          <w:color w:val="auto"/>
          <w:szCs w:val="21"/>
          <w:highlight w:val="none"/>
        </w:rPr>
        <w:t xml:space="preserve"> </w:t>
      </w:r>
      <w:bookmarkEnd w:id="96"/>
      <w:bookmarkStart w:id="97" w:name="EB09b84f7f941446eb81ae304223ba6dc4"/>
      <w:r>
        <w:rPr>
          <w:rFonts w:hint="eastAsia" w:ascii="宋体" w:hAnsi="宋体" w:cs="宋体"/>
          <w:bCs/>
          <w:color w:val="auto"/>
          <w:szCs w:val="21"/>
          <w:highlight w:val="none"/>
        </w:rPr>
        <w:t xml:space="preserve"> </w:t>
      </w:r>
      <w:bookmarkEnd w:id="97"/>
    </w:p>
    <w:p w14:paraId="05D6D759">
      <w:pPr>
        <w:pStyle w:val="4"/>
        <w:spacing w:line="520" w:lineRule="exact"/>
        <w:ind w:firstLine="200" w:firstLineChars="0"/>
        <w:rPr>
          <w:rFonts w:ascii="宋体" w:hAnsi="宋体" w:eastAsia="宋体" w:cs="宋体"/>
          <w:color w:val="auto"/>
          <w:sz w:val="24"/>
          <w:szCs w:val="24"/>
          <w:highlight w:val="none"/>
        </w:rPr>
      </w:pPr>
      <w:bookmarkStart w:id="98" w:name="_Toc493956040"/>
      <w:bookmarkStart w:id="99" w:name="_Toc494555856"/>
      <w:bookmarkStart w:id="100" w:name="_Toc55212786"/>
      <w:r>
        <w:rPr>
          <w:rFonts w:hint="eastAsia" w:ascii="宋体" w:hAnsi="宋体" w:eastAsia="宋体" w:cs="宋体"/>
          <w:color w:val="auto"/>
          <w:sz w:val="24"/>
          <w:szCs w:val="24"/>
          <w:highlight w:val="none"/>
        </w:rPr>
        <w:t>八   法律责任</w:t>
      </w:r>
      <w:bookmarkEnd w:id="98"/>
      <w:bookmarkEnd w:id="99"/>
      <w:bookmarkEnd w:id="100"/>
    </w:p>
    <w:p w14:paraId="4F3CEA80">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31</w:t>
      </w:r>
      <w:r>
        <w:rPr>
          <w:rFonts w:hint="eastAsia" w:ascii="宋体" w:hAnsi="宋体" w:cs="宋体"/>
          <w:b/>
          <w:color w:val="auto"/>
          <w:szCs w:val="21"/>
          <w:highlight w:val="none"/>
        </w:rPr>
        <w:t>. 投标人有下列情形之一的，处以采购项目中标金额千分之五以上千分之十以下的罚款，列入不良行为记录名单，在一至三年内禁止参加采购活动，并予以公告，有违法所得的，并处没收违法所得，情节严重的，由工商行政管理机关吊销营业执照；构成犯罪的，依法追究刑事责任：</w:t>
      </w:r>
    </w:p>
    <w:p w14:paraId="72DEB383">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（1）提供虚假材料谋取中标的；</w:t>
      </w:r>
    </w:p>
    <w:p w14:paraId="670258CB">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（2）采取不正当手段诋毁、排挤其他投标人的；</w:t>
      </w:r>
    </w:p>
    <w:p w14:paraId="31AEBC6D">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（3）与采购人、其他投标人或者招标代理机构恶意串通的；</w:t>
      </w:r>
    </w:p>
    <w:p w14:paraId="2F68A7EF">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（4）向采购人、招标代理机构行贿或者提供其他不正当利益的；</w:t>
      </w:r>
    </w:p>
    <w:p w14:paraId="53B26786">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（5）在招标采购过程中与采购人进行协商谈判的；</w:t>
      </w:r>
    </w:p>
    <w:p w14:paraId="501E9890">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（6）拒绝有关部门监督检查或者提供虚假情况的；</w:t>
      </w:r>
    </w:p>
    <w:p w14:paraId="432D9E04">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投标人有前款（1）至（6）项情形之一的，中标无效。</w:t>
      </w:r>
    </w:p>
    <w:p w14:paraId="60EC90BB">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 投标人有下列情形之一的，依照相关规定追究法律责任：</w:t>
      </w:r>
    </w:p>
    <w:p w14:paraId="5B0EE262">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（1）向评审委员会或者评审委员会成员行贿或者提供其他不正当利益；</w:t>
      </w:r>
    </w:p>
    <w:p w14:paraId="162CF90E">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（2）中标或者成交后无正当理由拒不与采购人签订采购合同；</w:t>
      </w:r>
    </w:p>
    <w:p w14:paraId="0EB31C26">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（3）未按照招标文件确定的事项签订采购合同；</w:t>
      </w:r>
    </w:p>
    <w:p w14:paraId="6E723937">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（4）将采购合同转包；</w:t>
      </w:r>
    </w:p>
    <w:p w14:paraId="05D0BDB0">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（5）提供假冒伪劣产品；</w:t>
      </w:r>
    </w:p>
    <w:p w14:paraId="2C677A39">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（6）擅自变更、中止或者终止采购合同。</w:t>
      </w:r>
    </w:p>
    <w:p w14:paraId="03830FE9">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投标人有前款（1）至（6）项规定情形的，中标无效。</w:t>
      </w:r>
    </w:p>
    <w:p w14:paraId="6C9BBC2D">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 投标人捏造事实、提供虚假材料或者以非法手段取得证明材料进行投诉的，由主管部门列入不良行为记录名单，禁止其1至3年内参加采购活动。</w:t>
      </w:r>
    </w:p>
    <w:p w14:paraId="4CE6B36B">
      <w:pPr>
        <w:spacing w:line="5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 有下列情形之一的，属于恶意串通，对投标人依照相关规定追究法律责任，对采购人、招标代理机构及其工作人员依照规定追究法律责任：</w:t>
      </w:r>
    </w:p>
    <w:p w14:paraId="4C19EF6A">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（1）投标人直接或者间接从采购人或者招标代理机构处获得其他投标人的相关情况并修改其</w:t>
      </w:r>
      <w:r>
        <w:rPr>
          <w:rFonts w:hint="eastAsia" w:ascii="宋体" w:hAnsi="宋体" w:cs="宋体"/>
          <w:color w:val="auto"/>
          <w:kern w:val="0"/>
          <w:szCs w:val="21"/>
          <w:highlight w:val="none"/>
        </w:rPr>
        <w:t>投标文件</w:t>
      </w:r>
      <w:r>
        <w:rPr>
          <w:rFonts w:hint="eastAsia" w:ascii="宋体" w:hAnsi="宋体" w:cs="宋体"/>
          <w:color w:val="auto"/>
          <w:szCs w:val="21"/>
          <w:highlight w:val="none"/>
        </w:rPr>
        <w:t>；</w:t>
      </w:r>
    </w:p>
    <w:p w14:paraId="02FCFC59">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（2）投标人按照采购人或者招标代理机构的授意撤换、修改</w:t>
      </w:r>
      <w:r>
        <w:rPr>
          <w:rFonts w:hint="eastAsia" w:ascii="宋体" w:hAnsi="宋体" w:cs="宋体"/>
          <w:color w:val="auto"/>
          <w:kern w:val="0"/>
          <w:szCs w:val="21"/>
          <w:highlight w:val="none"/>
        </w:rPr>
        <w:t>投标文件</w:t>
      </w:r>
      <w:r>
        <w:rPr>
          <w:rFonts w:hint="eastAsia" w:ascii="宋体" w:hAnsi="宋体" w:cs="宋体"/>
          <w:color w:val="auto"/>
          <w:szCs w:val="21"/>
          <w:highlight w:val="none"/>
        </w:rPr>
        <w:t>；</w:t>
      </w:r>
    </w:p>
    <w:p w14:paraId="195178BD">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（3）投标人之间协商报价、方案等</w:t>
      </w:r>
      <w:r>
        <w:rPr>
          <w:rFonts w:hint="eastAsia" w:ascii="宋体" w:hAnsi="宋体" w:cs="宋体"/>
          <w:color w:val="auto"/>
          <w:kern w:val="0"/>
          <w:szCs w:val="21"/>
          <w:highlight w:val="none"/>
        </w:rPr>
        <w:t>投标文件</w:t>
      </w:r>
      <w:r>
        <w:rPr>
          <w:rFonts w:hint="eastAsia" w:ascii="宋体" w:hAnsi="宋体" w:cs="宋体"/>
          <w:color w:val="auto"/>
          <w:szCs w:val="21"/>
          <w:highlight w:val="none"/>
        </w:rPr>
        <w:t>的实质性内容；</w:t>
      </w:r>
    </w:p>
    <w:p w14:paraId="1B4C52E9">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（4）属于同一集团、协会、商会等组织成员的投标人按照该组织要求协同参加采购活动；</w:t>
      </w:r>
    </w:p>
    <w:p w14:paraId="3E7518FB">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（5）投标人之间事先约定由某一特定投标人中标、成交；</w:t>
      </w:r>
    </w:p>
    <w:p w14:paraId="5EDCFFDD">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（6）投标人之间商定部分投标人放弃参加采购活动或者放弃中标、成交；</w:t>
      </w:r>
    </w:p>
    <w:p w14:paraId="49425559">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（7）投标人与采购人或者招标代理机构之间、投标人相互之间，为谋求特定投标人中标、成交或者排斥其他投标人的其他串通行为；</w:t>
      </w:r>
    </w:p>
    <w:p w14:paraId="3392A3CC">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（8）不同投标人的投标文件由同一单位或者个人编制；</w:t>
      </w:r>
    </w:p>
    <w:p w14:paraId="3CFAB294">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（9）不同投标人委托同一单位或者个人办理投标事宜；</w:t>
      </w:r>
    </w:p>
    <w:p w14:paraId="313D6DA6">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（10）不同投标人的投标文件载明的项目管理成员或者联系人员为同一人；</w:t>
      </w:r>
    </w:p>
    <w:p w14:paraId="6F31CB2E">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（11）不同投标人的投标文件异常一致或者投标报价呈规律性差异；</w:t>
      </w:r>
    </w:p>
    <w:p w14:paraId="186A7F14">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（12）不同投标人的投标文件相互混装。</w:t>
      </w:r>
    </w:p>
    <w:bookmarkEnd w:id="85"/>
    <w:bookmarkEnd w:id="86"/>
    <w:bookmarkEnd w:id="87"/>
    <w:p w14:paraId="1DAC3782">
      <w:pPr>
        <w:pStyle w:val="4"/>
        <w:spacing w:line="520" w:lineRule="exact"/>
        <w:ind w:firstLine="118" w:firstLineChars="49"/>
        <w:rPr>
          <w:rFonts w:ascii="宋体" w:hAnsi="宋体" w:eastAsia="宋体" w:cs="宋体"/>
          <w:color w:val="auto"/>
          <w:sz w:val="24"/>
          <w:szCs w:val="24"/>
          <w:highlight w:val="none"/>
        </w:rPr>
      </w:pPr>
      <w:bookmarkStart w:id="101" w:name="_Toc17793770"/>
      <w:bookmarkStart w:id="102" w:name="_Toc55212787"/>
      <w:bookmarkStart w:id="103" w:name="_Toc176659672"/>
      <w:bookmarkStart w:id="104" w:name="_Toc334087237"/>
      <w:bookmarkStart w:id="105" w:name="_Toc393869893"/>
      <w:bookmarkStart w:id="106" w:name="_Toc415648537"/>
      <w:bookmarkStart w:id="107" w:name="_Toc335664279"/>
      <w:bookmarkStart w:id="108" w:name="_Toc396838137"/>
      <w:r>
        <w:rPr>
          <w:rFonts w:hint="eastAsia" w:ascii="宋体" w:hAnsi="宋体" w:eastAsia="宋体" w:cs="宋体"/>
          <w:color w:val="auto"/>
          <w:sz w:val="24"/>
          <w:szCs w:val="24"/>
          <w:highlight w:val="none"/>
        </w:rPr>
        <w:t>九   澄清、修改发布媒体</w:t>
      </w:r>
      <w:bookmarkEnd w:id="101"/>
      <w:bookmarkEnd w:id="102"/>
    </w:p>
    <w:p w14:paraId="09D1EA31">
      <w:pPr>
        <w:snapToGrid w:val="0"/>
        <w:spacing w:line="52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针对潜在投标人提出的询问，招标代理机构一般在3个工作日内作出答复，如需澄清或</w:t>
      </w:r>
      <w:r>
        <w:rPr>
          <w:rFonts w:hint="eastAsia" w:ascii="宋体" w:hAnsi="宋体" w:cs="宋体"/>
          <w:bCs/>
          <w:color w:val="auto"/>
          <w:kern w:val="0"/>
          <w:szCs w:val="21"/>
          <w:highlight w:val="none"/>
        </w:rPr>
        <w:t>修改的，招标代理机构将在投标截止时间十五日前将澄清或修改内容在浙江政府采购网</w:t>
      </w:r>
      <w:r>
        <w:rPr>
          <w:rFonts w:hint="eastAsia" w:ascii="宋体" w:hAnsi="宋体" w:cs="宋体"/>
          <w:bCs/>
          <w:color w:val="auto"/>
          <w:kern w:val="0"/>
          <w:szCs w:val="21"/>
          <w:highlight w:val="none"/>
          <w:lang w:eastAsia="zh-CN"/>
        </w:rPr>
        <w:t>（</w:t>
      </w:r>
      <w:r>
        <w:rPr>
          <w:color w:val="auto"/>
          <w:highlight w:val="none"/>
        </w:rPr>
        <w:fldChar w:fldCharType="begin"/>
      </w:r>
      <w:r>
        <w:rPr>
          <w:color w:val="auto"/>
          <w:highlight w:val="none"/>
        </w:rPr>
        <w:instrText xml:space="preserve"> HYPERLINK "http://60.190.126.3:8080/wcm/WCMV6/editor/editor/招标文件（新版）.doc" </w:instrText>
      </w:r>
      <w:r>
        <w:rPr>
          <w:color w:val="auto"/>
          <w:highlight w:val="none"/>
        </w:rPr>
        <w:fldChar w:fldCharType="separate"/>
      </w:r>
      <w:r>
        <w:rPr>
          <w:rFonts w:hint="eastAsia" w:ascii="宋体" w:hAnsi="宋体" w:cs="宋体"/>
          <w:bCs/>
          <w:color w:val="auto"/>
          <w:kern w:val="0"/>
          <w:szCs w:val="21"/>
          <w:highlight w:val="none"/>
        </w:rPr>
        <w:t>https://zfcg.czt.zj.gov.cn/</w:t>
      </w:r>
      <w:r>
        <w:rPr>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lang w:eastAsia="zh-CN"/>
        </w:rPr>
        <w:t>）、</w:t>
      </w:r>
      <w:r>
        <w:rPr>
          <w:rFonts w:hint="eastAsia" w:ascii="宋体" w:hAnsi="宋体" w:eastAsia="宋体" w:cs="宋体"/>
          <w:i w:val="0"/>
          <w:iCs w:val="0"/>
          <w:caps w:val="0"/>
          <w:color w:val="auto"/>
          <w:spacing w:val="0"/>
          <w:sz w:val="21"/>
          <w:szCs w:val="21"/>
          <w:highlight w:val="none"/>
          <w:shd w:val="clear" w:fill="FFFFFF"/>
        </w:rPr>
        <w:t>丽水市公共资源交易网</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cs="宋体"/>
          <w:i w:val="0"/>
          <w:iCs w:val="0"/>
          <w:caps w:val="0"/>
          <w:color w:val="auto"/>
          <w:spacing w:val="0"/>
          <w:sz w:val="21"/>
          <w:szCs w:val="21"/>
          <w:highlight w:val="none"/>
          <w:shd w:val="clear" w:fill="FFFFFF"/>
          <w:lang w:val="en-US" w:eastAsia="zh-CN"/>
        </w:rPr>
        <w:t>云和）</w:t>
      </w:r>
      <w:r>
        <w:rPr>
          <w:rFonts w:hint="eastAsia" w:ascii="宋体" w:hAnsi="宋体" w:eastAsia="宋体" w:cs="宋体"/>
          <w:i w:val="0"/>
          <w:iCs w:val="0"/>
          <w:caps w:val="0"/>
          <w:color w:val="auto"/>
          <w:spacing w:val="0"/>
          <w:sz w:val="21"/>
          <w:szCs w:val="21"/>
          <w:highlight w:val="none"/>
          <w:shd w:val="clear" w:fill="FFFFFF"/>
        </w:rPr>
        <w:t>（http</w:t>
      </w:r>
      <w:r>
        <w:rPr>
          <w:rFonts w:hint="eastAsia" w:ascii="宋体" w:hAnsi="宋体" w:cs="宋体"/>
          <w:i w:val="0"/>
          <w:iCs w:val="0"/>
          <w:caps w:val="0"/>
          <w:color w:val="auto"/>
          <w:spacing w:val="0"/>
          <w:sz w:val="21"/>
          <w:szCs w:val="21"/>
          <w:highlight w:val="none"/>
          <w:shd w:val="clear" w:fill="FFFFFF"/>
          <w:lang w:val="en-US" w:eastAsia="zh-CN"/>
        </w:rPr>
        <w:t>s</w:t>
      </w:r>
      <w:r>
        <w:rPr>
          <w:rFonts w:hint="eastAsia" w:ascii="宋体" w:hAnsi="宋体" w:eastAsia="宋体" w:cs="宋体"/>
          <w:i w:val="0"/>
          <w:iCs w:val="0"/>
          <w:caps w:val="0"/>
          <w:color w:val="auto"/>
          <w:spacing w:val="0"/>
          <w:sz w:val="21"/>
          <w:szCs w:val="21"/>
          <w:highlight w:val="none"/>
          <w:shd w:val="clear" w:fill="FFFFFF"/>
        </w:rPr>
        <w:t>://lssggzy.lishui.gov.cn/）</w:t>
      </w:r>
      <w:r>
        <w:rPr>
          <w:rFonts w:hint="eastAsia" w:ascii="宋体" w:hAnsi="宋体" w:cs="宋体"/>
          <w:bCs/>
          <w:color w:val="auto"/>
          <w:kern w:val="0"/>
          <w:szCs w:val="21"/>
          <w:highlight w:val="none"/>
        </w:rPr>
        <w:t>上予以公布，潜在投标人应自行关注网站更正公告等内容，招标代理机构不再一一通知。</w:t>
      </w:r>
    </w:p>
    <w:p w14:paraId="6FED52E1">
      <w:pPr>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36.</w:t>
      </w:r>
      <w:r>
        <w:rPr>
          <w:rFonts w:hint="eastAsia" w:ascii="宋体" w:hAnsi="宋体" w:cs="宋体"/>
          <w:color w:val="auto"/>
          <w:szCs w:val="21"/>
          <w:highlight w:val="none"/>
        </w:rPr>
        <w:t>潜在投标人提出的询问超出采购人对招标代理机构委托授权范围的，投标人应向采购人提出。</w:t>
      </w:r>
    </w:p>
    <w:p w14:paraId="7A4F423D">
      <w:pPr>
        <w:pStyle w:val="4"/>
        <w:spacing w:line="520" w:lineRule="exact"/>
        <w:ind w:firstLine="200" w:firstLineChars="0"/>
        <w:rPr>
          <w:rFonts w:ascii="宋体" w:hAnsi="宋体" w:eastAsia="宋体" w:cs="宋体"/>
          <w:color w:val="auto"/>
          <w:sz w:val="24"/>
          <w:szCs w:val="24"/>
          <w:highlight w:val="none"/>
        </w:rPr>
      </w:pPr>
      <w:bookmarkStart w:id="109" w:name="_Toc55212788"/>
      <w:r>
        <w:rPr>
          <w:rFonts w:hint="eastAsia" w:ascii="宋体" w:hAnsi="宋体" w:eastAsia="宋体" w:cs="宋体"/>
          <w:color w:val="auto"/>
          <w:sz w:val="24"/>
          <w:szCs w:val="24"/>
          <w:highlight w:val="none"/>
        </w:rPr>
        <w:t>十   质疑</w:t>
      </w:r>
      <w:bookmarkEnd w:id="103"/>
      <w:bookmarkEnd w:id="104"/>
      <w:bookmarkEnd w:id="105"/>
      <w:bookmarkEnd w:id="106"/>
      <w:bookmarkEnd w:id="107"/>
      <w:bookmarkEnd w:id="108"/>
      <w:bookmarkEnd w:id="109"/>
    </w:p>
    <w:p w14:paraId="2986446F">
      <w:pPr>
        <w:pStyle w:val="28"/>
        <w:spacing w:line="520" w:lineRule="exact"/>
        <w:ind w:firstLine="420" w:firstLineChars="200"/>
        <w:rPr>
          <w:rFonts w:hAnsi="宋体" w:cs="宋体"/>
          <w:color w:val="auto"/>
          <w:szCs w:val="21"/>
          <w:highlight w:val="none"/>
        </w:rPr>
      </w:pPr>
      <w:r>
        <w:rPr>
          <w:rFonts w:hint="eastAsia" w:hAnsi="宋体" w:cs="宋体"/>
          <w:color w:val="auto"/>
          <w:szCs w:val="21"/>
          <w:highlight w:val="none"/>
        </w:rPr>
        <w:t>3</w:t>
      </w:r>
      <w:r>
        <w:rPr>
          <w:rFonts w:hint="eastAsia" w:hAnsi="宋体" w:cs="宋体"/>
          <w:color w:val="auto"/>
          <w:szCs w:val="21"/>
          <w:highlight w:val="none"/>
          <w:lang w:val="en-US" w:eastAsia="zh-CN"/>
        </w:rPr>
        <w:t>7.</w:t>
      </w:r>
      <w:r>
        <w:rPr>
          <w:rFonts w:hint="eastAsia" w:hAnsi="宋体" w:cs="宋体"/>
          <w:color w:val="auto"/>
          <w:kern w:val="0"/>
          <w:szCs w:val="21"/>
          <w:highlight w:val="none"/>
        </w:rPr>
        <w:t>投标人认为招标文件、采购过程、中标或者成交结果使自己的权益受到损害的，可以在知道或者应知其权益受到损害之日起7个工作日内</w:t>
      </w:r>
      <w:r>
        <w:rPr>
          <w:rFonts w:hint="eastAsia" w:hAnsi="宋体" w:cs="宋体"/>
          <w:color w:val="auto"/>
          <w:szCs w:val="21"/>
          <w:highlight w:val="none"/>
        </w:rPr>
        <w:t>且应当在投标截止时间之前提出，否则被质疑人可以不予接受。投标人应</w:t>
      </w:r>
      <w:r>
        <w:rPr>
          <w:rFonts w:hint="eastAsia" w:hAnsi="宋体" w:cs="宋体"/>
          <w:color w:val="auto"/>
          <w:kern w:val="0"/>
          <w:szCs w:val="21"/>
          <w:highlight w:val="none"/>
        </w:rPr>
        <w:t>以书面形式向采购人、招标代理机构一次性提出各采购程序环节的质疑。</w:t>
      </w:r>
    </w:p>
    <w:p w14:paraId="492F7BD5">
      <w:pPr>
        <w:pStyle w:val="28"/>
        <w:spacing w:line="520" w:lineRule="exact"/>
        <w:ind w:firstLine="420" w:firstLineChars="200"/>
        <w:rPr>
          <w:rFonts w:hAnsi="宋体" w:cs="宋体"/>
          <w:color w:val="auto"/>
          <w:szCs w:val="21"/>
          <w:highlight w:val="none"/>
        </w:rPr>
      </w:pPr>
      <w:r>
        <w:rPr>
          <w:rFonts w:hint="eastAsia" w:hAnsi="宋体" w:cs="宋体"/>
          <w:color w:val="auto"/>
          <w:szCs w:val="21"/>
          <w:highlight w:val="none"/>
          <w:lang w:val="en-US" w:eastAsia="zh-CN"/>
        </w:rPr>
        <w:t>38.</w:t>
      </w:r>
      <w:r>
        <w:rPr>
          <w:rFonts w:hint="eastAsia" w:hAnsi="宋体" w:cs="宋体"/>
          <w:color w:val="auto"/>
          <w:szCs w:val="21"/>
          <w:highlight w:val="none"/>
        </w:rPr>
        <w:t>质疑的主要内容应符合招标文件的规定。质疑内容涉及保密事项，质疑投标人应提供有效的信息来源或有效证据。</w:t>
      </w:r>
    </w:p>
    <w:p w14:paraId="2B6DA7CB">
      <w:pPr>
        <w:pStyle w:val="28"/>
        <w:spacing w:line="520" w:lineRule="exact"/>
        <w:ind w:firstLine="420" w:firstLineChars="200"/>
        <w:rPr>
          <w:rFonts w:hAnsi="宋体" w:cs="宋体"/>
          <w:color w:val="auto"/>
          <w:szCs w:val="21"/>
          <w:highlight w:val="none"/>
        </w:rPr>
      </w:pPr>
      <w:r>
        <w:rPr>
          <w:rFonts w:hint="eastAsia" w:hAnsi="宋体" w:cs="宋体"/>
          <w:color w:val="auto"/>
          <w:szCs w:val="21"/>
          <w:highlight w:val="none"/>
          <w:lang w:val="en-US" w:eastAsia="zh-CN"/>
        </w:rPr>
        <w:t>39.</w:t>
      </w:r>
      <w:r>
        <w:rPr>
          <w:rFonts w:hint="eastAsia" w:hAnsi="宋体" w:cs="宋体"/>
          <w:color w:val="auto"/>
          <w:szCs w:val="21"/>
          <w:highlight w:val="none"/>
        </w:rPr>
        <w:t>质疑投标人可直接提交或邮寄方式提交质疑书（一式三份以上）。以其他方式提出的质疑，招标代理机构可不予接受、答复。</w:t>
      </w:r>
    </w:p>
    <w:p w14:paraId="7817FEB7">
      <w:pPr>
        <w:pStyle w:val="28"/>
        <w:spacing w:line="520" w:lineRule="exact"/>
        <w:ind w:firstLine="420" w:firstLineChars="200"/>
        <w:rPr>
          <w:rFonts w:hAnsi="宋体" w:cs="宋体"/>
          <w:color w:val="auto"/>
          <w:szCs w:val="21"/>
          <w:highlight w:val="none"/>
        </w:rPr>
      </w:pPr>
      <w:r>
        <w:rPr>
          <w:rFonts w:hint="eastAsia" w:hAnsi="宋体" w:cs="宋体"/>
          <w:color w:val="auto"/>
          <w:szCs w:val="21"/>
          <w:highlight w:val="none"/>
          <w:lang w:val="en-US" w:eastAsia="zh-CN"/>
        </w:rPr>
        <w:t>39.1</w:t>
      </w:r>
      <w:r>
        <w:rPr>
          <w:rFonts w:hint="eastAsia" w:hAnsi="宋体" w:cs="宋体"/>
          <w:color w:val="auto"/>
          <w:szCs w:val="21"/>
          <w:highlight w:val="none"/>
        </w:rPr>
        <w:t>邮寄方式送达质疑书的，以招标代理机构实际收到邮件之日作为收到质疑的日期。</w:t>
      </w:r>
    </w:p>
    <w:p w14:paraId="4E70F01F">
      <w:pPr>
        <w:pStyle w:val="28"/>
        <w:spacing w:line="520" w:lineRule="exact"/>
        <w:ind w:firstLine="420" w:firstLineChars="200"/>
        <w:rPr>
          <w:rFonts w:hAnsi="宋体" w:cs="宋体"/>
          <w:color w:val="auto"/>
          <w:szCs w:val="21"/>
          <w:highlight w:val="none"/>
        </w:rPr>
      </w:pPr>
      <w:r>
        <w:rPr>
          <w:rFonts w:hint="eastAsia" w:hAnsi="宋体" w:cs="宋体"/>
          <w:color w:val="auto"/>
          <w:szCs w:val="21"/>
          <w:highlight w:val="none"/>
          <w:lang w:val="en-US" w:eastAsia="zh-CN"/>
        </w:rPr>
        <w:t>39.2</w:t>
      </w:r>
      <w:r>
        <w:rPr>
          <w:rFonts w:hint="eastAsia" w:hAnsi="宋体" w:cs="宋体"/>
          <w:color w:val="auto"/>
          <w:szCs w:val="21"/>
          <w:highlight w:val="none"/>
        </w:rPr>
        <w:t>在质疑期限届满前，质疑书已经邮寄或传真成功的，质疑不视为过期。</w:t>
      </w:r>
    </w:p>
    <w:p w14:paraId="61CE78B3">
      <w:pPr>
        <w:pStyle w:val="28"/>
        <w:spacing w:line="520" w:lineRule="exact"/>
        <w:ind w:firstLine="420" w:firstLineChars="200"/>
        <w:rPr>
          <w:rFonts w:hAnsi="宋体" w:cs="宋体"/>
          <w:color w:val="auto"/>
          <w:szCs w:val="21"/>
          <w:highlight w:val="none"/>
        </w:rPr>
      </w:pPr>
      <w:r>
        <w:rPr>
          <w:rFonts w:hint="eastAsia" w:hAnsi="宋体" w:cs="宋体"/>
          <w:color w:val="auto"/>
          <w:szCs w:val="21"/>
          <w:highlight w:val="none"/>
          <w:lang w:val="en-US" w:eastAsia="zh-CN"/>
        </w:rPr>
        <w:t>40.</w:t>
      </w:r>
      <w:r>
        <w:rPr>
          <w:rFonts w:hint="eastAsia" w:hAnsi="宋体" w:cs="宋体"/>
          <w:color w:val="auto"/>
          <w:szCs w:val="21"/>
          <w:highlight w:val="none"/>
        </w:rPr>
        <w:t>质疑投标人提供的相关材料中有外文资料的，应将与质疑相关的外文资料完整、客观、真实地翻译为中文，并注明翻译人员姓名、工作单位、联系方式等信息。</w:t>
      </w:r>
    </w:p>
    <w:p w14:paraId="1BF68FF3">
      <w:pPr>
        <w:pStyle w:val="28"/>
        <w:spacing w:line="520" w:lineRule="exact"/>
        <w:ind w:firstLine="420" w:firstLineChars="200"/>
        <w:rPr>
          <w:rFonts w:hAnsi="宋体" w:cs="宋体"/>
          <w:color w:val="auto"/>
          <w:szCs w:val="21"/>
          <w:highlight w:val="none"/>
        </w:rPr>
      </w:pPr>
      <w:r>
        <w:rPr>
          <w:rFonts w:hint="eastAsia" w:hAnsi="宋体" w:cs="宋体"/>
          <w:color w:val="auto"/>
          <w:szCs w:val="21"/>
          <w:highlight w:val="none"/>
          <w:lang w:val="en-US" w:eastAsia="zh-CN"/>
        </w:rPr>
        <w:t>41.</w:t>
      </w:r>
      <w:r>
        <w:rPr>
          <w:rFonts w:hint="eastAsia" w:hAnsi="宋体" w:cs="宋体"/>
          <w:color w:val="auto"/>
          <w:szCs w:val="21"/>
          <w:highlight w:val="none"/>
        </w:rPr>
        <w:t>招标代理机构在收到质疑投标人的书面质疑后7个工作日内作出答复，并以书面形式答复质疑投标人。</w:t>
      </w:r>
    </w:p>
    <w:p w14:paraId="1133DC1F">
      <w:pPr>
        <w:pStyle w:val="28"/>
        <w:spacing w:line="520" w:lineRule="exact"/>
        <w:ind w:firstLine="420" w:firstLineChars="200"/>
        <w:rPr>
          <w:rFonts w:hAnsi="宋体" w:cs="宋体"/>
          <w:color w:val="auto"/>
          <w:szCs w:val="21"/>
          <w:highlight w:val="none"/>
        </w:rPr>
      </w:pPr>
      <w:r>
        <w:rPr>
          <w:rFonts w:hint="eastAsia" w:hAnsi="宋体" w:cs="宋体"/>
          <w:color w:val="auto"/>
          <w:szCs w:val="21"/>
          <w:highlight w:val="none"/>
          <w:lang w:val="en-US" w:eastAsia="zh-CN"/>
        </w:rPr>
        <w:t>42.</w:t>
      </w:r>
      <w:r>
        <w:rPr>
          <w:rFonts w:hint="eastAsia" w:hAnsi="宋体" w:cs="宋体"/>
          <w:color w:val="auto"/>
          <w:szCs w:val="21"/>
          <w:highlight w:val="none"/>
        </w:rPr>
        <w:t>质疑投标人捏造事实、提供虚假材料进行质疑的，招标代理机构报告</w:t>
      </w:r>
      <w:r>
        <w:rPr>
          <w:rFonts w:hint="eastAsia" w:hAnsi="宋体" w:cs="宋体"/>
          <w:color w:val="auto"/>
          <w:szCs w:val="21"/>
          <w:highlight w:val="none"/>
          <w:lang w:val="en-US" w:eastAsia="zh-CN"/>
        </w:rPr>
        <w:t>监管</w:t>
      </w:r>
      <w:r>
        <w:rPr>
          <w:rFonts w:hint="eastAsia" w:hAnsi="宋体" w:cs="宋体"/>
          <w:color w:val="auto"/>
          <w:szCs w:val="21"/>
          <w:highlight w:val="none"/>
        </w:rPr>
        <w:t>部门，由</w:t>
      </w:r>
      <w:r>
        <w:rPr>
          <w:rFonts w:hint="eastAsia" w:hAnsi="宋体" w:cs="宋体"/>
          <w:color w:val="auto"/>
          <w:szCs w:val="21"/>
          <w:highlight w:val="none"/>
          <w:lang w:val="en-US" w:eastAsia="zh-CN"/>
        </w:rPr>
        <w:t>监管</w:t>
      </w:r>
      <w:r>
        <w:rPr>
          <w:rFonts w:hint="eastAsia" w:hAnsi="宋体" w:cs="宋体"/>
          <w:color w:val="auto"/>
          <w:szCs w:val="21"/>
          <w:highlight w:val="none"/>
        </w:rPr>
        <w:t>部门审查，情况属实的，应列入不良行为记录，并在指定的媒体上公告。</w:t>
      </w:r>
    </w:p>
    <w:p w14:paraId="347A6C5C">
      <w:pPr>
        <w:pStyle w:val="28"/>
        <w:spacing w:line="480" w:lineRule="exact"/>
        <w:ind w:firstLine="420" w:firstLineChars="200"/>
        <w:rPr>
          <w:rFonts w:hAnsi="宋体" w:cs="宋体"/>
          <w:color w:val="auto"/>
          <w:szCs w:val="21"/>
          <w:highlight w:val="none"/>
        </w:rPr>
      </w:pPr>
      <w:r>
        <w:rPr>
          <w:rFonts w:hint="eastAsia" w:hAnsi="宋体" w:cs="宋体"/>
          <w:color w:val="auto"/>
          <w:szCs w:val="21"/>
          <w:highlight w:val="none"/>
          <w:lang w:val="en-US" w:eastAsia="zh-CN"/>
        </w:rPr>
        <w:t>43.</w:t>
      </w:r>
      <w:r>
        <w:rPr>
          <w:rFonts w:hint="eastAsia" w:hAnsi="宋体" w:cs="宋体"/>
          <w:color w:val="auto"/>
          <w:szCs w:val="21"/>
          <w:highlight w:val="none"/>
        </w:rPr>
        <w:t>如联合体参与采购活动，质疑应由组成联合体的所有投标人共同提出。</w:t>
      </w:r>
    </w:p>
    <w:p w14:paraId="1C39FBF4">
      <w:pPr>
        <w:pStyle w:val="30"/>
        <w:rPr>
          <w:rFonts w:ascii="宋体" w:hAnsi="宋体" w:eastAsia="宋体" w:cs="宋体"/>
          <w:color w:val="auto"/>
          <w:highlight w:val="none"/>
        </w:rPr>
      </w:pPr>
    </w:p>
    <w:p w14:paraId="334826D9">
      <w:pPr>
        <w:pStyle w:val="4"/>
        <w:spacing w:line="520" w:lineRule="exact"/>
        <w:ind w:firstLine="200" w:firstLineChars="0"/>
        <w:rPr>
          <w:rFonts w:ascii="宋体" w:hAnsi="宋体" w:eastAsia="宋体" w:cs="宋体"/>
          <w:color w:val="auto"/>
          <w:sz w:val="24"/>
          <w:szCs w:val="24"/>
          <w:highlight w:val="none"/>
        </w:rPr>
      </w:pPr>
      <w:bookmarkStart w:id="110" w:name="_Toc55212789"/>
      <w:r>
        <w:rPr>
          <w:rFonts w:hint="eastAsia" w:ascii="宋体" w:hAnsi="宋体" w:eastAsia="宋体" w:cs="宋体"/>
          <w:color w:val="auto"/>
          <w:sz w:val="24"/>
          <w:szCs w:val="24"/>
          <w:highlight w:val="none"/>
        </w:rPr>
        <w:t>十一  投诉</w:t>
      </w:r>
      <w:bookmarkEnd w:id="88"/>
      <w:bookmarkEnd w:id="89"/>
      <w:bookmarkEnd w:id="90"/>
      <w:bookmarkEnd w:id="91"/>
      <w:bookmarkEnd w:id="110"/>
    </w:p>
    <w:p w14:paraId="59E5E89F">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44</w:t>
      </w:r>
      <w:r>
        <w:rPr>
          <w:rFonts w:hint="eastAsia" w:ascii="宋体" w:hAnsi="宋体" w:cs="宋体"/>
          <w:color w:val="auto"/>
          <w:szCs w:val="21"/>
          <w:highlight w:val="none"/>
        </w:rPr>
        <w:t>.质疑投标人对招标代理机构的答复不满意或者招标代理机构未在规定时间内答复的，可以在答复期满后十五个工作日内按有关规定，向采购人内部设置的采购监督机构反映。</w:t>
      </w:r>
    </w:p>
    <w:p w14:paraId="77898BD2">
      <w:pPr>
        <w:pStyle w:val="4"/>
        <w:spacing w:line="520" w:lineRule="exact"/>
        <w:ind w:firstLine="200" w:firstLineChars="0"/>
        <w:rPr>
          <w:rFonts w:ascii="宋体" w:hAnsi="宋体" w:eastAsia="宋体" w:cs="宋体"/>
          <w:color w:val="auto"/>
          <w:sz w:val="24"/>
          <w:szCs w:val="24"/>
          <w:highlight w:val="none"/>
        </w:rPr>
      </w:pPr>
      <w:bookmarkStart w:id="111" w:name="_Toc55212790"/>
      <w:r>
        <w:rPr>
          <w:rFonts w:hint="eastAsia" w:ascii="宋体" w:hAnsi="宋体" w:eastAsia="宋体" w:cs="宋体"/>
          <w:color w:val="auto"/>
          <w:sz w:val="24"/>
          <w:szCs w:val="24"/>
          <w:highlight w:val="none"/>
        </w:rPr>
        <w:t>十二  授予合同</w:t>
      </w:r>
      <w:bookmarkEnd w:id="92"/>
      <w:bookmarkEnd w:id="111"/>
    </w:p>
    <w:p w14:paraId="3F41B261">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45</w:t>
      </w:r>
      <w:r>
        <w:rPr>
          <w:rFonts w:hint="eastAsia" w:ascii="宋体" w:hAnsi="宋体" w:cs="宋体"/>
          <w:color w:val="auto"/>
          <w:szCs w:val="21"/>
          <w:highlight w:val="none"/>
        </w:rPr>
        <w:t>. 中标结果公告及中标通知书</w:t>
      </w:r>
    </w:p>
    <w:p w14:paraId="4DA14774">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45</w:t>
      </w:r>
      <w:r>
        <w:rPr>
          <w:rFonts w:hint="eastAsia" w:ascii="宋体" w:hAnsi="宋体" w:cs="宋体"/>
          <w:color w:val="auto"/>
          <w:szCs w:val="21"/>
          <w:highlight w:val="none"/>
        </w:rPr>
        <w:t>.1 招标代理机构将在浙江政府采购网</w:t>
      </w:r>
      <w:r>
        <w:rPr>
          <w:rFonts w:hint="eastAsia" w:ascii="宋体" w:hAnsi="宋体" w:cs="宋体"/>
          <w:color w:val="auto"/>
          <w:szCs w:val="21"/>
          <w:highlight w:val="none"/>
          <w:lang w:eastAsia="zh-CN"/>
        </w:rPr>
        <w:t>（</w:t>
      </w:r>
      <w:r>
        <w:rPr>
          <w:color w:val="auto"/>
          <w:highlight w:val="none"/>
        </w:rPr>
        <w:fldChar w:fldCharType="begin"/>
      </w:r>
      <w:r>
        <w:rPr>
          <w:color w:val="auto"/>
          <w:highlight w:val="none"/>
        </w:rPr>
        <w:instrText xml:space="preserve"> HYPERLINK "http://60.190.126.3:8080/wcm/WCMV6/editor/editor/招标文件（新版）.doc" </w:instrText>
      </w:r>
      <w:r>
        <w:rPr>
          <w:color w:val="auto"/>
          <w:highlight w:val="none"/>
        </w:rPr>
        <w:fldChar w:fldCharType="separate"/>
      </w:r>
      <w:r>
        <w:rPr>
          <w:rFonts w:hint="eastAsia" w:ascii="宋体" w:hAnsi="宋体" w:cs="宋体"/>
          <w:color w:val="auto"/>
          <w:szCs w:val="21"/>
          <w:highlight w:val="none"/>
        </w:rPr>
        <w:t>https://zfcg.czt.zj.gov.cn/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eastAsia="宋体" w:cs="宋体"/>
          <w:i w:val="0"/>
          <w:iCs w:val="0"/>
          <w:caps w:val="0"/>
          <w:color w:val="auto"/>
          <w:spacing w:val="0"/>
          <w:sz w:val="21"/>
          <w:szCs w:val="21"/>
          <w:highlight w:val="none"/>
          <w:shd w:val="clear" w:fill="FFFFFF"/>
        </w:rPr>
        <w:t>丽水市公共资源交易网</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cs="宋体"/>
          <w:i w:val="0"/>
          <w:iCs w:val="0"/>
          <w:caps w:val="0"/>
          <w:color w:val="auto"/>
          <w:spacing w:val="0"/>
          <w:sz w:val="21"/>
          <w:szCs w:val="21"/>
          <w:highlight w:val="none"/>
          <w:shd w:val="clear" w:fill="FFFFFF"/>
          <w:lang w:val="en-US" w:eastAsia="zh-CN"/>
        </w:rPr>
        <w:t>云和）</w:t>
      </w:r>
      <w:r>
        <w:rPr>
          <w:rFonts w:hint="eastAsia" w:ascii="宋体" w:hAnsi="宋体" w:eastAsia="宋体" w:cs="宋体"/>
          <w:i w:val="0"/>
          <w:iCs w:val="0"/>
          <w:caps w:val="0"/>
          <w:color w:val="auto"/>
          <w:spacing w:val="0"/>
          <w:sz w:val="21"/>
          <w:szCs w:val="21"/>
          <w:highlight w:val="none"/>
          <w:shd w:val="clear" w:fill="FFFFFF"/>
        </w:rPr>
        <w:t>（http</w:t>
      </w:r>
      <w:r>
        <w:rPr>
          <w:rFonts w:hint="eastAsia" w:ascii="宋体" w:hAnsi="宋体" w:cs="宋体"/>
          <w:i w:val="0"/>
          <w:iCs w:val="0"/>
          <w:caps w:val="0"/>
          <w:color w:val="auto"/>
          <w:spacing w:val="0"/>
          <w:sz w:val="21"/>
          <w:szCs w:val="21"/>
          <w:highlight w:val="none"/>
          <w:shd w:val="clear" w:fill="FFFFFF"/>
          <w:lang w:val="en-US" w:eastAsia="zh-CN"/>
        </w:rPr>
        <w:t>s</w:t>
      </w:r>
      <w:r>
        <w:rPr>
          <w:rFonts w:hint="eastAsia" w:ascii="宋体" w:hAnsi="宋体" w:eastAsia="宋体" w:cs="宋体"/>
          <w:i w:val="0"/>
          <w:iCs w:val="0"/>
          <w:caps w:val="0"/>
          <w:color w:val="auto"/>
          <w:spacing w:val="0"/>
          <w:sz w:val="21"/>
          <w:szCs w:val="21"/>
          <w:highlight w:val="none"/>
          <w:shd w:val="clear" w:fill="FFFFFF"/>
        </w:rPr>
        <w:t>://lssggzy.lishui.gov.cn/）</w:t>
      </w:r>
      <w:r>
        <w:rPr>
          <w:rFonts w:hint="eastAsia" w:ascii="宋体" w:hAnsi="宋体" w:cs="宋体"/>
          <w:color w:val="auto"/>
          <w:szCs w:val="21"/>
          <w:highlight w:val="none"/>
        </w:rPr>
        <w:t>上发布中标结果公告。中标结果公告内容不包括国家秘密、商业秘密。</w:t>
      </w:r>
    </w:p>
    <w:p w14:paraId="6136CD1A">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45</w:t>
      </w:r>
      <w:r>
        <w:rPr>
          <w:rFonts w:hint="eastAsia" w:ascii="宋体" w:hAnsi="宋体" w:cs="宋体"/>
          <w:color w:val="auto"/>
          <w:kern w:val="0"/>
          <w:szCs w:val="21"/>
          <w:highlight w:val="none"/>
        </w:rPr>
        <w:t>.2发布中标公告的同时，招标代理机构向中标人发出中标通知书。</w:t>
      </w:r>
    </w:p>
    <w:p w14:paraId="368E5264">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46</w:t>
      </w:r>
      <w:r>
        <w:rPr>
          <w:rFonts w:hint="eastAsia" w:ascii="宋体" w:hAnsi="宋体" w:cs="宋体"/>
          <w:color w:val="auto"/>
          <w:szCs w:val="21"/>
          <w:highlight w:val="none"/>
        </w:rPr>
        <w:t>.签订合同</w:t>
      </w:r>
    </w:p>
    <w:p w14:paraId="787A50C2">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46</w:t>
      </w:r>
      <w:r>
        <w:rPr>
          <w:rFonts w:hint="eastAsia" w:ascii="宋体" w:hAnsi="宋体" w:cs="宋体"/>
          <w:color w:val="auto"/>
          <w:szCs w:val="21"/>
          <w:highlight w:val="none"/>
        </w:rPr>
        <w:t>.1中标人自中标通知书发出之日起30日内与采购人签</w:t>
      </w:r>
      <w:r>
        <w:rPr>
          <w:rFonts w:hint="eastAsia" w:ascii="宋体" w:hAnsi="宋体" w:cs="宋体"/>
          <w:color w:val="auto"/>
          <w:szCs w:val="21"/>
          <w:highlight w:val="none"/>
          <w:lang w:val="en-US" w:eastAsia="zh-CN"/>
        </w:rPr>
        <w:t>订</w:t>
      </w:r>
      <w:r>
        <w:rPr>
          <w:rFonts w:hint="eastAsia" w:ascii="宋体" w:hAnsi="宋体" w:cs="宋体"/>
          <w:color w:val="auto"/>
          <w:szCs w:val="21"/>
          <w:highlight w:val="none"/>
        </w:rPr>
        <w:t>合同。</w:t>
      </w:r>
    </w:p>
    <w:p w14:paraId="5C668AFE">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46</w:t>
      </w:r>
      <w:r>
        <w:rPr>
          <w:rFonts w:hint="eastAsia" w:ascii="宋体" w:hAnsi="宋体" w:cs="宋体"/>
          <w:color w:val="auto"/>
          <w:szCs w:val="21"/>
          <w:highlight w:val="none"/>
        </w:rPr>
        <w:t>.2招标文件、中标人的投标文件及其澄清文件等,均为签订合同的依据。</w:t>
      </w:r>
    </w:p>
    <w:p w14:paraId="11FC806E">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46</w:t>
      </w:r>
      <w:r>
        <w:rPr>
          <w:rFonts w:hint="eastAsia" w:ascii="宋体" w:hAnsi="宋体" w:cs="宋体"/>
          <w:color w:val="auto"/>
          <w:szCs w:val="21"/>
          <w:highlight w:val="none"/>
        </w:rPr>
        <w:t>.3中标人不遵守招标文件和投标文件的要约条款及所作的承诺,擅自修改报价或在中标通知书发出之日起30日内,借故拖延、拒签合同者,采购人有权取消该投标人的中标资格。</w:t>
      </w:r>
    </w:p>
    <w:p w14:paraId="49672979">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按有关法律法规中标人拒绝与采购人签订合同的，采购人可以按照评审报告推荐的中标候选人名单排序，确定下一候选人为中标人，也可以重新开展采购活动。</w:t>
      </w:r>
    </w:p>
    <w:p w14:paraId="1437AAA0">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46</w:t>
      </w:r>
      <w:r>
        <w:rPr>
          <w:rFonts w:hint="eastAsia" w:ascii="宋体" w:hAnsi="宋体" w:cs="宋体"/>
          <w:color w:val="auto"/>
          <w:szCs w:val="21"/>
          <w:highlight w:val="none"/>
        </w:rPr>
        <w:t>.4质疑事项可能影响中标结果的，采购人应当暂停签订合同，已经签订合同的，应当中止履行合同。（中标结果的质疑期为中标结果公告期限届满之日起七个工作日）。</w:t>
      </w:r>
    </w:p>
    <w:p w14:paraId="4A647180">
      <w:pPr>
        <w:pStyle w:val="4"/>
        <w:spacing w:line="520" w:lineRule="exact"/>
        <w:ind w:firstLine="200" w:firstLineChars="0"/>
        <w:rPr>
          <w:rFonts w:ascii="宋体" w:hAnsi="宋体" w:eastAsia="宋体" w:cs="宋体"/>
          <w:color w:val="auto"/>
          <w:sz w:val="24"/>
          <w:szCs w:val="24"/>
          <w:highlight w:val="none"/>
        </w:rPr>
      </w:pPr>
      <w:bookmarkStart w:id="112" w:name="_Toc55212791"/>
      <w:r>
        <w:rPr>
          <w:rFonts w:hint="eastAsia" w:ascii="宋体" w:hAnsi="宋体" w:eastAsia="宋体" w:cs="宋体"/>
          <w:color w:val="auto"/>
          <w:sz w:val="24"/>
          <w:szCs w:val="24"/>
          <w:highlight w:val="none"/>
        </w:rPr>
        <w:t>十三  验收</w:t>
      </w:r>
      <w:bookmarkEnd w:id="112"/>
    </w:p>
    <w:p w14:paraId="6C2C1188">
      <w:pPr>
        <w:spacing w:line="520" w:lineRule="exact"/>
        <w:ind w:firstLine="420" w:firstLineChars="200"/>
        <w:rPr>
          <w:rFonts w:ascii="宋体" w:hAnsi="宋体" w:cs="宋体"/>
          <w:color w:val="auto"/>
          <w:szCs w:val="21"/>
          <w:highlight w:val="none"/>
        </w:rPr>
      </w:pPr>
      <w:bookmarkStart w:id="113" w:name="_Toc45506731"/>
      <w:bookmarkStart w:id="114" w:name="_Toc15805937"/>
      <w:bookmarkStart w:id="115" w:name="_Toc15813254"/>
      <w:bookmarkStart w:id="116" w:name="_Toc107820052"/>
      <w:bookmarkStart w:id="117" w:name="_Toc47756031"/>
      <w:r>
        <w:rPr>
          <w:rFonts w:hint="eastAsia" w:ascii="宋体" w:hAnsi="宋体" w:cs="宋体"/>
          <w:color w:val="auto"/>
          <w:szCs w:val="21"/>
          <w:highlight w:val="none"/>
          <w:lang w:val="en-US" w:eastAsia="zh-CN"/>
        </w:rPr>
        <w:t>47</w:t>
      </w:r>
      <w:r>
        <w:rPr>
          <w:rFonts w:hint="eastAsia" w:ascii="宋体" w:hAnsi="宋体" w:cs="宋体"/>
          <w:color w:val="auto"/>
          <w:szCs w:val="21"/>
          <w:highlight w:val="none"/>
        </w:rPr>
        <w:t>. 采购人应当按照采购合同对投标人履约情况进行验收。</w:t>
      </w:r>
    </w:p>
    <w:p w14:paraId="33CEB30A">
      <w:pPr>
        <w:pStyle w:val="4"/>
        <w:spacing w:line="560" w:lineRule="exact"/>
        <w:ind w:firstLine="0" w:firstLineChars="0"/>
        <w:rPr>
          <w:rFonts w:ascii="宋体" w:hAnsi="宋体" w:eastAsia="宋体" w:cs="宋体"/>
          <w:color w:val="auto"/>
          <w:highlight w:val="none"/>
        </w:rPr>
      </w:pPr>
      <w:bookmarkStart w:id="118" w:name="_Toc493956047"/>
      <w:bookmarkStart w:id="119" w:name="_Toc55212792"/>
      <w:bookmarkStart w:id="120" w:name="_Toc530987054"/>
      <w:r>
        <w:rPr>
          <w:rFonts w:hint="eastAsia" w:ascii="宋体" w:hAnsi="宋体" w:eastAsia="宋体" w:cs="宋体"/>
          <w:color w:val="auto"/>
          <w:sz w:val="24"/>
          <w:szCs w:val="24"/>
          <w:highlight w:val="none"/>
        </w:rPr>
        <w:t xml:space="preserve">十四  </w:t>
      </w:r>
      <w:bookmarkEnd w:id="118"/>
      <w:bookmarkEnd w:id="119"/>
      <w:bookmarkEnd w:id="120"/>
      <w:bookmarkStart w:id="121" w:name="_Toc19691"/>
      <w:bookmarkStart w:id="122" w:name="_Toc17796"/>
      <w:bookmarkStart w:id="123" w:name="_Toc29775"/>
      <w:bookmarkStart w:id="124" w:name="_Toc20088"/>
      <w:bookmarkStart w:id="125" w:name="_Toc4368"/>
      <w:bookmarkStart w:id="126" w:name="_Toc55212793"/>
      <w:r>
        <w:rPr>
          <w:rFonts w:hint="eastAsia" w:ascii="宋体" w:hAnsi="宋体" w:eastAsia="宋体" w:cs="宋体"/>
          <w:color w:val="auto"/>
          <w:sz w:val="24"/>
          <w:szCs w:val="24"/>
          <w:highlight w:val="none"/>
        </w:rPr>
        <w:t>采购代理服务费</w:t>
      </w:r>
      <w:bookmarkEnd w:id="121"/>
      <w:bookmarkEnd w:id="122"/>
      <w:bookmarkEnd w:id="123"/>
      <w:bookmarkEnd w:id="124"/>
      <w:bookmarkEnd w:id="125"/>
    </w:p>
    <w:p w14:paraId="5C63280C">
      <w:pPr>
        <w:spacing w:line="480" w:lineRule="exact"/>
        <w:ind w:firstLine="420" w:firstLineChars="200"/>
        <w:rPr>
          <w:rFonts w:ascii="宋体" w:hAnsi="宋体" w:cs="宋体"/>
          <w:color w:val="auto"/>
          <w:sz w:val="24"/>
          <w:highlight w:val="none"/>
        </w:rPr>
      </w:pPr>
      <w:r>
        <w:rPr>
          <w:rFonts w:hint="eastAsia" w:ascii="宋体" w:hAnsi="宋体" w:cs="宋体"/>
          <w:color w:val="auto"/>
          <w:szCs w:val="21"/>
          <w:highlight w:val="none"/>
          <w:lang w:val="en-US" w:eastAsia="zh-CN"/>
        </w:rPr>
        <w:t>48</w:t>
      </w:r>
      <w:r>
        <w:rPr>
          <w:rFonts w:hint="eastAsia" w:ascii="宋体" w:hAnsi="宋体" w:cs="宋体"/>
          <w:color w:val="auto"/>
          <w:szCs w:val="21"/>
          <w:highlight w:val="none"/>
        </w:rPr>
        <w:t>.本次采购代理服务费按“投标人须知前附表”规定收取。</w:t>
      </w:r>
    </w:p>
    <w:p w14:paraId="3C0ECCBA">
      <w:pPr>
        <w:pStyle w:val="4"/>
        <w:spacing w:line="520" w:lineRule="exact"/>
        <w:ind w:firstLine="20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十五 其他事项</w:t>
      </w:r>
      <w:bookmarkEnd w:id="113"/>
      <w:bookmarkEnd w:id="114"/>
      <w:bookmarkEnd w:id="115"/>
      <w:bookmarkEnd w:id="116"/>
      <w:bookmarkEnd w:id="117"/>
      <w:bookmarkEnd w:id="126"/>
    </w:p>
    <w:p w14:paraId="0910E783">
      <w:pPr>
        <w:spacing w:line="480" w:lineRule="exact"/>
        <w:ind w:firstLine="420" w:firstLineChars="200"/>
        <w:rPr>
          <w:rFonts w:ascii="宋体" w:hAnsi="宋体" w:cs="宋体"/>
          <w:color w:val="auto"/>
          <w:szCs w:val="21"/>
          <w:highlight w:val="none"/>
        </w:rPr>
      </w:pPr>
      <w:bookmarkStart w:id="127" w:name="_Toc55212794"/>
      <w:r>
        <w:rPr>
          <w:rFonts w:hint="eastAsia" w:ascii="宋体" w:hAnsi="宋体" w:cs="宋体"/>
          <w:bCs/>
          <w:color w:val="auto"/>
          <w:szCs w:val="21"/>
          <w:highlight w:val="none"/>
          <w:lang w:val="en-US" w:eastAsia="zh-CN"/>
        </w:rPr>
        <w:t>49</w:t>
      </w:r>
      <w:r>
        <w:rPr>
          <w:rFonts w:hint="eastAsia" w:ascii="宋体" w:hAnsi="宋体" w:cs="宋体"/>
          <w:bCs/>
          <w:color w:val="auto"/>
          <w:szCs w:val="21"/>
          <w:highlight w:val="none"/>
        </w:rPr>
        <w:t>.</w:t>
      </w:r>
      <w:r>
        <w:rPr>
          <w:rFonts w:hint="eastAsia" w:ascii="宋体" w:hAnsi="宋体" w:cs="宋体"/>
          <w:color w:val="auto"/>
          <w:szCs w:val="21"/>
          <w:highlight w:val="none"/>
        </w:rPr>
        <w:t xml:space="preserve"> 解释权 </w:t>
      </w:r>
    </w:p>
    <w:p w14:paraId="66D24C89">
      <w:pPr>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49</w:t>
      </w:r>
      <w:r>
        <w:rPr>
          <w:rFonts w:hint="eastAsia" w:ascii="宋体" w:hAnsi="宋体" w:cs="宋体"/>
          <w:bCs/>
          <w:color w:val="auto"/>
          <w:szCs w:val="21"/>
          <w:highlight w:val="none"/>
        </w:rPr>
        <w:t>.1本招标文件是根据国家有关</w:t>
      </w:r>
      <w:r>
        <w:rPr>
          <w:rFonts w:hint="eastAsia" w:ascii="宋体" w:hAnsi="宋体" w:cs="宋体"/>
          <w:bCs/>
          <w:color w:val="auto"/>
          <w:szCs w:val="21"/>
          <w:highlight w:val="none"/>
          <w:lang w:eastAsia="zh-CN"/>
        </w:rPr>
        <w:t>法律法规</w:t>
      </w:r>
      <w:r>
        <w:rPr>
          <w:rFonts w:hint="eastAsia" w:ascii="宋体" w:hAnsi="宋体" w:cs="宋体"/>
          <w:bCs/>
          <w:color w:val="auto"/>
          <w:szCs w:val="21"/>
          <w:highlight w:val="none"/>
        </w:rPr>
        <w:t>、规章和有关规定编制的，解释权属招标代理机构。</w:t>
      </w:r>
    </w:p>
    <w:p w14:paraId="353F9A42">
      <w:pPr>
        <w:spacing w:line="48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lang w:val="en-US" w:eastAsia="zh-CN"/>
        </w:rPr>
        <w:t>49</w:t>
      </w:r>
      <w:r>
        <w:rPr>
          <w:rFonts w:hint="eastAsia" w:ascii="宋体" w:hAnsi="宋体" w:cs="宋体"/>
          <w:bCs/>
          <w:color w:val="auto"/>
          <w:szCs w:val="21"/>
          <w:highlight w:val="none"/>
        </w:rPr>
        <w:t>.2招标代理机构</w:t>
      </w:r>
      <w:r>
        <w:rPr>
          <w:rFonts w:hint="eastAsia" w:ascii="宋体" w:hAnsi="宋体" w:cs="宋体"/>
          <w:color w:val="auto"/>
          <w:szCs w:val="21"/>
          <w:highlight w:val="none"/>
        </w:rPr>
        <w:t>对决标结果不负责解释。</w:t>
      </w:r>
    </w:p>
    <w:p w14:paraId="77D51ECA">
      <w:pPr>
        <w:pStyle w:val="228"/>
        <w:rPr>
          <w:rFonts w:ascii="宋体" w:hAnsi="宋体" w:cs="宋体"/>
          <w:color w:val="auto"/>
          <w:szCs w:val="21"/>
          <w:highlight w:val="none"/>
        </w:rPr>
      </w:pPr>
    </w:p>
    <w:p w14:paraId="0E321E6E">
      <w:pPr>
        <w:rPr>
          <w:rFonts w:ascii="宋体" w:hAnsi="宋体" w:cs="宋体"/>
          <w:color w:val="auto"/>
          <w:szCs w:val="21"/>
          <w:highlight w:val="none"/>
        </w:rPr>
      </w:pPr>
    </w:p>
    <w:p w14:paraId="6081E262">
      <w:pPr>
        <w:pStyle w:val="20"/>
        <w:rPr>
          <w:rFonts w:ascii="宋体" w:hAnsi="宋体" w:eastAsia="宋体" w:cs="宋体"/>
          <w:color w:val="auto"/>
          <w:szCs w:val="21"/>
          <w:highlight w:val="none"/>
        </w:rPr>
      </w:pPr>
    </w:p>
    <w:p w14:paraId="68D04C72">
      <w:pPr>
        <w:rPr>
          <w:rFonts w:ascii="宋体" w:hAnsi="宋体" w:cs="宋体"/>
          <w:color w:val="auto"/>
          <w:szCs w:val="21"/>
          <w:highlight w:val="none"/>
        </w:rPr>
      </w:pPr>
    </w:p>
    <w:p w14:paraId="28ABA319">
      <w:pPr>
        <w:pStyle w:val="20"/>
        <w:rPr>
          <w:rFonts w:ascii="宋体" w:hAnsi="宋体" w:eastAsia="宋体" w:cs="宋体"/>
          <w:color w:val="auto"/>
          <w:szCs w:val="21"/>
          <w:highlight w:val="none"/>
        </w:rPr>
      </w:pPr>
    </w:p>
    <w:p w14:paraId="352BD302">
      <w:pPr>
        <w:rPr>
          <w:rFonts w:ascii="宋体" w:hAnsi="宋体" w:cs="宋体"/>
          <w:color w:val="auto"/>
          <w:szCs w:val="21"/>
          <w:highlight w:val="none"/>
        </w:rPr>
      </w:pPr>
    </w:p>
    <w:p w14:paraId="3F084650">
      <w:pPr>
        <w:pStyle w:val="20"/>
        <w:rPr>
          <w:rFonts w:ascii="宋体" w:hAnsi="宋体" w:eastAsia="宋体" w:cs="宋体"/>
          <w:color w:val="auto"/>
          <w:szCs w:val="21"/>
          <w:highlight w:val="none"/>
        </w:rPr>
      </w:pPr>
    </w:p>
    <w:p w14:paraId="415A1C9A">
      <w:pPr>
        <w:rPr>
          <w:rFonts w:ascii="宋体" w:hAnsi="宋体" w:cs="宋体"/>
          <w:color w:val="auto"/>
          <w:szCs w:val="21"/>
          <w:highlight w:val="none"/>
        </w:rPr>
      </w:pPr>
    </w:p>
    <w:p w14:paraId="513FE087">
      <w:pPr>
        <w:pStyle w:val="20"/>
        <w:rPr>
          <w:rFonts w:ascii="宋体" w:hAnsi="宋体" w:eastAsia="宋体" w:cs="宋体"/>
          <w:color w:val="auto"/>
          <w:szCs w:val="21"/>
          <w:highlight w:val="none"/>
        </w:rPr>
      </w:pPr>
    </w:p>
    <w:p w14:paraId="7FBD40B0">
      <w:pPr>
        <w:rPr>
          <w:rFonts w:ascii="宋体" w:hAnsi="宋体" w:cs="宋体"/>
          <w:color w:val="auto"/>
          <w:szCs w:val="21"/>
          <w:highlight w:val="none"/>
        </w:rPr>
      </w:pPr>
    </w:p>
    <w:p w14:paraId="0710CD75">
      <w:pPr>
        <w:pStyle w:val="20"/>
        <w:rPr>
          <w:rFonts w:ascii="宋体" w:hAnsi="宋体" w:eastAsia="宋体" w:cs="宋体"/>
          <w:color w:val="auto"/>
          <w:szCs w:val="21"/>
          <w:highlight w:val="none"/>
        </w:rPr>
      </w:pPr>
    </w:p>
    <w:p w14:paraId="7531F443">
      <w:pPr>
        <w:rPr>
          <w:rFonts w:ascii="宋体" w:hAnsi="宋体" w:cs="宋体"/>
          <w:color w:val="auto"/>
          <w:szCs w:val="21"/>
          <w:highlight w:val="none"/>
        </w:rPr>
      </w:pPr>
    </w:p>
    <w:p w14:paraId="5EBA0991">
      <w:pPr>
        <w:pStyle w:val="20"/>
        <w:rPr>
          <w:rFonts w:ascii="宋体" w:hAnsi="宋体" w:eastAsia="宋体" w:cs="宋体"/>
          <w:color w:val="auto"/>
          <w:szCs w:val="21"/>
          <w:highlight w:val="none"/>
        </w:rPr>
      </w:pPr>
    </w:p>
    <w:p w14:paraId="746B3D31">
      <w:pPr>
        <w:rPr>
          <w:rFonts w:ascii="宋体" w:hAnsi="宋体" w:cs="宋体"/>
          <w:color w:val="auto"/>
          <w:szCs w:val="21"/>
          <w:highlight w:val="none"/>
        </w:rPr>
      </w:pPr>
    </w:p>
    <w:p w14:paraId="7B75CF1E">
      <w:pPr>
        <w:pStyle w:val="22"/>
        <w:rPr>
          <w:rFonts w:ascii="宋体" w:hAnsi="宋体" w:cs="宋体"/>
          <w:color w:val="auto"/>
          <w:szCs w:val="21"/>
          <w:highlight w:val="none"/>
        </w:rPr>
      </w:pPr>
    </w:p>
    <w:p w14:paraId="080B1BBD">
      <w:pPr>
        <w:rPr>
          <w:rFonts w:ascii="宋体" w:hAnsi="宋体" w:cs="宋体"/>
          <w:color w:val="auto"/>
          <w:szCs w:val="21"/>
          <w:highlight w:val="none"/>
        </w:rPr>
      </w:pPr>
    </w:p>
    <w:p w14:paraId="00485C27">
      <w:pPr>
        <w:pStyle w:val="22"/>
        <w:rPr>
          <w:color w:val="auto"/>
          <w:highlight w:val="none"/>
        </w:rPr>
      </w:pPr>
    </w:p>
    <w:p w14:paraId="52FE8FD2">
      <w:pPr>
        <w:rPr>
          <w:rFonts w:ascii="宋体" w:hAnsi="宋体" w:cs="宋体"/>
          <w:color w:val="auto"/>
          <w:szCs w:val="21"/>
          <w:highlight w:val="none"/>
        </w:rPr>
      </w:pPr>
      <w:r>
        <w:rPr>
          <w:rFonts w:ascii="宋体" w:hAnsi="宋体" w:cs="宋体"/>
          <w:color w:val="auto"/>
          <w:szCs w:val="21"/>
          <w:highlight w:val="none"/>
        </w:rPr>
        <w:br w:type="page"/>
      </w:r>
    </w:p>
    <w:p w14:paraId="71963725">
      <w:pPr>
        <w:pStyle w:val="2"/>
        <w:keepNext w:val="0"/>
        <w:numPr>
          <w:ilvl w:val="0"/>
          <w:numId w:val="3"/>
        </w:numPr>
        <w:ind w:left="2936" w:leftChars="1398" w:firstLine="305" w:firstLineChars="69"/>
        <w:jc w:val="both"/>
        <w:rPr>
          <w:rFonts w:ascii="宋体" w:hAnsi="宋体" w:eastAsia="宋体" w:cs="宋体"/>
          <w:bCs/>
          <w:color w:val="auto"/>
          <w:sz w:val="32"/>
          <w:szCs w:val="36"/>
          <w:highlight w:val="none"/>
        </w:rPr>
      </w:pPr>
      <w:r>
        <w:rPr>
          <w:rFonts w:hint="eastAsia" w:ascii="宋体" w:hAnsi="宋体" w:eastAsia="宋体" w:cs="宋体"/>
          <w:color w:val="auto"/>
          <w:highlight w:val="none"/>
        </w:rPr>
        <w:t xml:space="preserve"> </w:t>
      </w:r>
      <w:bookmarkStart w:id="128" w:name="_Toc32143"/>
      <w:r>
        <w:rPr>
          <w:rFonts w:hint="eastAsia" w:ascii="宋体" w:hAnsi="宋体" w:eastAsia="宋体" w:cs="宋体"/>
          <w:bCs/>
          <w:color w:val="auto"/>
          <w:sz w:val="32"/>
          <w:szCs w:val="36"/>
          <w:highlight w:val="none"/>
        </w:rPr>
        <w:t>采购需求</w:t>
      </w:r>
      <w:bookmarkEnd w:id="127"/>
      <w:bookmarkEnd w:id="128"/>
    </w:p>
    <w:p w14:paraId="3C6A0F3C">
      <w:pPr>
        <w:spacing w:line="480" w:lineRule="exact"/>
        <w:jc w:val="left"/>
        <w:rPr>
          <w:rFonts w:ascii="宋体" w:hAnsi="宋体" w:cs="宋体"/>
          <w:b/>
          <w:bCs/>
          <w:color w:val="auto"/>
          <w:szCs w:val="21"/>
          <w:highlight w:val="none"/>
        </w:rPr>
      </w:pPr>
      <w:bookmarkStart w:id="129" w:name="_Toc8896"/>
      <w:r>
        <w:rPr>
          <w:rFonts w:hint="eastAsia" w:ascii="宋体" w:hAnsi="宋体" w:cs="宋体"/>
          <w:b/>
          <w:bCs/>
          <w:color w:val="auto"/>
          <w:szCs w:val="21"/>
          <w:highlight w:val="none"/>
        </w:rPr>
        <w:t>第一部分  采购内容及需求</w:t>
      </w:r>
    </w:p>
    <w:bookmarkEnd w:id="129"/>
    <w:p w14:paraId="5D16120D">
      <w:pPr>
        <w:spacing w:before="120" w:beforeLines="50" w:after="120" w:afterLines="50"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一</w:t>
      </w:r>
      <w:r>
        <w:rPr>
          <w:rFonts w:ascii="宋体" w:hAnsi="宋体"/>
          <w:b/>
          <w:bCs/>
          <w:color w:val="auto"/>
          <w:szCs w:val="21"/>
          <w:highlight w:val="none"/>
        </w:rPr>
        <w:t>、</w:t>
      </w:r>
      <w:r>
        <w:rPr>
          <w:rFonts w:hint="eastAsia" w:ascii="宋体" w:hAnsi="宋体"/>
          <w:b/>
          <w:bCs/>
          <w:color w:val="auto"/>
          <w:szCs w:val="21"/>
          <w:highlight w:val="none"/>
          <w:lang w:eastAsia="zh-CN"/>
        </w:rPr>
        <w:t>主要服务</w:t>
      </w:r>
      <w:r>
        <w:rPr>
          <w:rFonts w:hint="eastAsia" w:ascii="宋体" w:hAnsi="宋体"/>
          <w:b/>
          <w:bCs/>
          <w:color w:val="auto"/>
          <w:szCs w:val="21"/>
          <w:highlight w:val="none"/>
        </w:rPr>
        <w:t>内容及要求</w:t>
      </w:r>
    </w:p>
    <w:p w14:paraId="385F6AB3">
      <w:pPr>
        <w:widowControl/>
        <w:shd w:val="clear" w:color="auto" w:fill="FFFFFF"/>
        <w:spacing w:line="360" w:lineRule="auto"/>
        <w:ind w:firstLine="4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云和县白水区块商住项目的</w:t>
      </w:r>
      <w:r>
        <w:rPr>
          <w:rFonts w:hint="eastAsia" w:ascii="宋体" w:hAnsi="宋体" w:cs="宋体"/>
          <w:color w:val="auto"/>
          <w:szCs w:val="21"/>
          <w:highlight w:val="none"/>
          <w:lang w:val="en-US" w:eastAsia="zh-CN"/>
        </w:rPr>
        <w:t>房产</w:t>
      </w:r>
      <w:r>
        <w:rPr>
          <w:rFonts w:hint="eastAsia" w:ascii="宋体" w:hAnsi="宋体" w:eastAsia="宋体" w:cs="宋体"/>
          <w:color w:val="auto"/>
          <w:szCs w:val="21"/>
          <w:highlight w:val="none"/>
          <w:lang w:val="en-US" w:eastAsia="zh-CN"/>
        </w:rPr>
        <w:t>代理销售服务</w:t>
      </w:r>
      <w:r>
        <w:rPr>
          <w:rFonts w:hint="eastAsia" w:ascii="宋体" w:hAnsi="宋体" w:cs="宋体"/>
          <w:color w:val="auto"/>
          <w:szCs w:val="21"/>
          <w:highlight w:val="none"/>
          <w:lang w:val="en-US" w:eastAsia="zh-CN"/>
        </w:rPr>
        <w:t>（全案代理）</w:t>
      </w:r>
      <w:r>
        <w:rPr>
          <w:rFonts w:hint="eastAsia" w:ascii="宋体" w:hAnsi="宋体" w:eastAsia="宋体" w:cs="宋体"/>
          <w:color w:val="auto"/>
          <w:szCs w:val="21"/>
          <w:highlight w:val="none"/>
          <w:lang w:val="en-US" w:eastAsia="zh-CN"/>
        </w:rPr>
        <w:t>包括:负责销售代理服务团队组建；负责市场调查研究分析、提交销售价格建议；负责项目营销策划和销售广告宣传（含媒体宣传、平面宣传与文本图册宣传等）；负责日常销售实施和管理；负责销售合同拟定、备案、签订和管理；负责前期蓄客及客户的退房、投诉处理；负责办理按揭贷款、催收资金回笼；负责销售价格备案、办理预售证和不动产权总证、已售房源的不动产转移登记；负责房款结算、交房及前期物业的对接等本项目所有营销及安置房、定向房票的相关手续办理</w:t>
      </w:r>
      <w:r>
        <w:rPr>
          <w:rFonts w:hint="eastAsia" w:ascii="宋体" w:hAnsi="宋体" w:cs="宋体"/>
          <w:color w:val="auto"/>
          <w:szCs w:val="21"/>
          <w:highlight w:val="none"/>
          <w:lang w:val="en-US" w:eastAsia="zh-CN"/>
        </w:rPr>
        <w:t>等工作</w:t>
      </w:r>
      <w:r>
        <w:rPr>
          <w:rFonts w:hint="eastAsia" w:ascii="宋体" w:hAnsi="宋体" w:eastAsia="宋体" w:cs="宋体"/>
          <w:color w:val="auto"/>
          <w:szCs w:val="21"/>
          <w:highlight w:val="none"/>
          <w:lang w:val="en-US" w:eastAsia="zh-CN"/>
        </w:rPr>
        <w:t>。</w:t>
      </w:r>
    </w:p>
    <w:p w14:paraId="2EFADA72">
      <w:pPr>
        <w:widowControl/>
        <w:shd w:val="clear" w:color="auto" w:fill="FFFFFF"/>
        <w:spacing w:line="360" w:lineRule="auto"/>
        <w:ind w:firstLine="480"/>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rPr>
        <w:t>（三）主要服务</w:t>
      </w:r>
      <w:r>
        <w:rPr>
          <w:rFonts w:hint="eastAsia" w:ascii="宋体" w:hAnsi="宋体" w:cs="宋体"/>
          <w:b/>
          <w:bCs/>
          <w:color w:val="auto"/>
          <w:szCs w:val="21"/>
          <w:highlight w:val="none"/>
          <w:lang w:val="en-US" w:eastAsia="zh-CN"/>
        </w:rPr>
        <w:t>要求</w:t>
      </w:r>
    </w:p>
    <w:p w14:paraId="0A680854">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市场调研与分析：（</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整体市场综合研判；（</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区域市场研判；（</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资源研判；（</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竞争调研与分析。</w:t>
      </w:r>
    </w:p>
    <w:p w14:paraId="0BC5CE74">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市场定位：（</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目标市场定位策略建议；（</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目标客群消费及需求分析；（</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产品定位策略建议；（</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 xml:space="preserve">营销要点测评。 </w:t>
      </w:r>
    </w:p>
    <w:p w14:paraId="1115BB87">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产品定位：（</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产品主体概念定位；（</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产品功能定位；（</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产品形象定位。</w:t>
      </w:r>
    </w:p>
    <w:p w14:paraId="0C4E99D6">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产品表示与展现：（</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展示表现方式及方案企划和过程监督、验收。（</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产品展示展位形象设计。</w:t>
      </w:r>
    </w:p>
    <w:p w14:paraId="755DC6D9">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营销策划: （</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营销策略拟定；（</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营销战术策划；（</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整体包装策划；（</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活动营销策划；（</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公共关系策划；（</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销售价格方案，向</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eastAsia="zh-CN"/>
        </w:rPr>
        <w:t>申报两个预售价格；价格一：达到本项目盈亏平衡点的预售均价和一房一价。价格二：在盈亏平衡点之上认为可销售的预售均价和一房一价。</w:t>
      </w:r>
      <w:r>
        <w:rPr>
          <w:rFonts w:hint="eastAsia" w:ascii="宋体" w:hAnsi="宋体" w:cs="宋体"/>
          <w:color w:val="auto"/>
          <w:szCs w:val="21"/>
          <w:highlight w:val="none"/>
          <w:lang w:val="en-US" w:eastAsia="zh-CN"/>
        </w:rPr>
        <w:t>中标人</w:t>
      </w:r>
      <w:r>
        <w:rPr>
          <w:rFonts w:hint="eastAsia" w:ascii="宋体" w:hAnsi="宋体" w:eastAsia="宋体" w:cs="宋体"/>
          <w:color w:val="auto"/>
          <w:szCs w:val="21"/>
          <w:highlight w:val="none"/>
          <w:lang w:eastAsia="zh-CN"/>
        </w:rPr>
        <w:t>申报价格时不得违背市场常规定价规律，最终以书面形式报</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eastAsia="zh-CN"/>
        </w:rPr>
        <w:t>同意后实施。</w:t>
      </w:r>
    </w:p>
    <w:p w14:paraId="03D0C8A5">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广告宣传：（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广告定位确定；（</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媒体策略拟定；（</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广告内容设计；（</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销售资料和道具制作；（</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营销广告宣传；（</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传播效果考评。</w:t>
      </w:r>
    </w:p>
    <w:p w14:paraId="4876AC56">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销售日常管理：（</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销售人员培训和管理；（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活动方案拟定及执行；（</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销售方案拟定及执行；（</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销售合同的拟定、备案、签订和管理；（</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销售案场管理；（</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办理按揭贷款及时催收资金回笼。</w:t>
      </w:r>
    </w:p>
    <w:p w14:paraId="0C34F433">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负责房款结算、交房及前期物业的对接配合物业管理服务单位组织前期的物业管理服务工作。</w:t>
      </w:r>
    </w:p>
    <w:p w14:paraId="78EBCCAE">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负责销售价格备案、办理预售证和不动产权总证、已售房源的不动产转移登记办理和交房工作。</w:t>
      </w:r>
    </w:p>
    <w:p w14:paraId="19F39923">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其他营销及</w:t>
      </w:r>
      <w:r>
        <w:rPr>
          <w:rFonts w:hint="eastAsia" w:ascii="宋体" w:hAnsi="宋体" w:eastAsia="宋体" w:cs="宋体"/>
          <w:color w:val="auto"/>
          <w:szCs w:val="21"/>
          <w:highlight w:val="none"/>
          <w:lang w:val="en-US" w:eastAsia="zh-CN"/>
        </w:rPr>
        <w:t>安置房、定向房票的相关手续办理</w:t>
      </w:r>
      <w:r>
        <w:rPr>
          <w:rFonts w:hint="eastAsia" w:ascii="宋体" w:hAnsi="宋体" w:eastAsia="宋体" w:cs="宋体"/>
          <w:color w:val="auto"/>
          <w:szCs w:val="21"/>
          <w:highlight w:val="none"/>
          <w:lang w:eastAsia="zh-CN"/>
        </w:rPr>
        <w:t>的相关工作。</w:t>
      </w:r>
    </w:p>
    <w:p w14:paraId="6B995896">
      <w:pPr>
        <w:spacing w:before="120" w:beforeLines="50" w:after="120" w:afterLines="50"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二</w:t>
      </w:r>
      <w:r>
        <w:rPr>
          <w:rFonts w:ascii="宋体" w:hAnsi="宋体"/>
          <w:b/>
          <w:bCs/>
          <w:color w:val="auto"/>
          <w:szCs w:val="21"/>
          <w:highlight w:val="none"/>
        </w:rPr>
        <w:t>、</w:t>
      </w:r>
      <w:bookmarkStart w:id="130" w:name="_Toc375914040"/>
      <w:bookmarkStart w:id="131" w:name="_Toc453948981"/>
      <w:bookmarkStart w:id="132" w:name="_Toc375914221"/>
      <w:bookmarkStart w:id="133" w:name="_Toc375913286"/>
      <w:bookmarkStart w:id="134" w:name="_Toc405907675"/>
      <w:bookmarkStart w:id="135" w:name="_Toc379961786"/>
      <w:bookmarkStart w:id="136" w:name="_Toc376129625"/>
      <w:bookmarkStart w:id="137" w:name="_Toc375926998"/>
      <w:bookmarkStart w:id="138" w:name="_Toc379961576"/>
      <w:r>
        <w:rPr>
          <w:rFonts w:hint="eastAsia" w:ascii="宋体" w:hAnsi="宋体"/>
          <w:b/>
          <w:bCs/>
          <w:color w:val="auto"/>
          <w:szCs w:val="21"/>
          <w:highlight w:val="none"/>
          <w:lang w:val="en-US" w:eastAsia="zh-CN"/>
        </w:rPr>
        <w:t>费用</w:t>
      </w:r>
      <w:r>
        <w:rPr>
          <w:rFonts w:hint="eastAsia" w:ascii="宋体" w:hAnsi="宋体"/>
          <w:b/>
          <w:bCs/>
          <w:color w:val="auto"/>
          <w:szCs w:val="21"/>
          <w:highlight w:val="none"/>
        </w:rPr>
        <w:t>结算及其他约定</w:t>
      </w:r>
    </w:p>
    <w:bookmarkEnd w:id="130"/>
    <w:bookmarkEnd w:id="131"/>
    <w:bookmarkEnd w:id="132"/>
    <w:bookmarkEnd w:id="133"/>
    <w:bookmarkEnd w:id="134"/>
    <w:bookmarkEnd w:id="135"/>
    <w:bookmarkEnd w:id="136"/>
    <w:bookmarkEnd w:id="137"/>
    <w:bookmarkEnd w:id="138"/>
    <w:p w14:paraId="28205687">
      <w:pPr>
        <w:snapToGrid w:val="0"/>
        <w:spacing w:line="360" w:lineRule="auto"/>
        <w:ind w:firstLine="422" w:firstLineChars="200"/>
        <w:jc w:val="left"/>
        <w:rPr>
          <w:rFonts w:hint="eastAsia" w:ascii="宋体" w:hAnsi="宋体" w:cs="宋体"/>
          <w:b/>
          <w:bCs/>
          <w:color w:val="auto"/>
          <w:szCs w:val="21"/>
          <w:highlight w:val="none"/>
          <w:lang w:val="en-US"/>
        </w:rPr>
      </w:pPr>
      <w:r>
        <w:rPr>
          <w:rFonts w:hint="eastAsia" w:ascii="宋体" w:hAnsi="宋体" w:cs="宋体"/>
          <w:b/>
          <w:bCs/>
          <w:color w:val="auto"/>
          <w:szCs w:val="21"/>
          <w:highlight w:val="none"/>
        </w:rPr>
        <w:t>（一）</w:t>
      </w:r>
      <w:r>
        <w:rPr>
          <w:rFonts w:hint="eastAsia" w:ascii="宋体" w:hAnsi="宋体" w:cs="宋体"/>
          <w:b/>
          <w:bCs/>
          <w:color w:val="auto"/>
          <w:szCs w:val="21"/>
          <w:highlight w:val="none"/>
          <w:lang w:eastAsia="zh-CN"/>
        </w:rPr>
        <w:t>本项目服务费用由</w:t>
      </w:r>
      <w:r>
        <w:rPr>
          <w:rFonts w:hint="eastAsia" w:ascii="宋体" w:hAnsi="宋体" w:cs="宋体"/>
          <w:b/>
          <w:bCs/>
          <w:color w:val="auto"/>
          <w:szCs w:val="21"/>
          <w:highlight w:val="none"/>
        </w:rPr>
        <w:t>代理销售服务费</w:t>
      </w:r>
      <w:r>
        <w:rPr>
          <w:rFonts w:hint="eastAsia" w:ascii="宋体" w:hAnsi="宋体" w:cs="宋体"/>
          <w:b/>
          <w:bCs/>
          <w:color w:val="auto"/>
          <w:szCs w:val="21"/>
          <w:highlight w:val="none"/>
          <w:lang w:eastAsia="zh-CN"/>
        </w:rPr>
        <w:t>、房票房源手续办理服务费组成</w:t>
      </w:r>
      <w:r>
        <w:rPr>
          <w:rFonts w:hint="eastAsia" w:ascii="宋体" w:hAnsi="宋体" w:cs="宋体"/>
          <w:b/>
          <w:bCs/>
          <w:color w:val="auto"/>
          <w:szCs w:val="21"/>
          <w:highlight w:val="none"/>
          <w:lang w:val="en-US" w:eastAsia="zh-CN"/>
        </w:rPr>
        <w:t>。</w:t>
      </w:r>
    </w:p>
    <w:p w14:paraId="1A0CE736">
      <w:pPr>
        <w:snapToGrid w:val="0"/>
        <w:spacing w:line="360" w:lineRule="auto"/>
        <w:ind w:firstLine="422" w:firstLineChars="200"/>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w:t>
      </w:r>
      <w:r>
        <w:rPr>
          <w:rFonts w:hint="eastAsia" w:ascii="宋体" w:hAnsi="宋体" w:eastAsia="宋体"/>
          <w:b/>
          <w:bCs/>
          <w:color w:val="auto"/>
          <w:sz w:val="21"/>
          <w:szCs w:val="21"/>
          <w:highlight w:val="none"/>
        </w:rPr>
        <w:t>代理销售服务费</w:t>
      </w:r>
    </w:p>
    <w:p w14:paraId="38D8B702">
      <w:pPr>
        <w:snapToGrid w:val="0"/>
        <w:spacing w:line="360" w:lineRule="auto"/>
        <w:ind w:firstLine="420" w:firstLineChars="200"/>
        <w:jc w:val="left"/>
        <w:rPr>
          <w:rFonts w:hint="eastAsia" w:ascii="宋体" w:hAnsi="Times New Roman" w:eastAsia="宋体" w:cs="Times New Roman"/>
          <w:color w:val="auto"/>
          <w:sz w:val="21"/>
          <w:szCs w:val="21"/>
          <w:highlight w:val="none"/>
          <w:lang w:val="en-US" w:eastAsia="zh-CN"/>
        </w:rPr>
      </w:pPr>
      <w:r>
        <w:rPr>
          <w:rFonts w:hint="eastAsia" w:ascii="宋体" w:hAnsi="宋体" w:cs="宋体"/>
          <w:color w:val="auto"/>
          <w:szCs w:val="21"/>
          <w:highlight w:val="none"/>
          <w:lang w:val="en-US" w:eastAsia="zh-CN"/>
        </w:rPr>
        <w:t>代理销售服务费</w:t>
      </w:r>
      <w:r>
        <w:rPr>
          <w:rFonts w:hint="eastAsia" w:ascii="宋体" w:hAnsi="宋体" w:cs="宋体"/>
          <w:color w:val="auto"/>
          <w:szCs w:val="21"/>
          <w:highlight w:val="none"/>
        </w:rPr>
        <w:t>由投标人在报价文件中进行报价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报价已</w:t>
      </w:r>
      <w:r>
        <w:rPr>
          <w:rFonts w:hint="eastAsia" w:ascii="宋体" w:eastAsia="宋体"/>
          <w:color w:val="auto"/>
          <w:sz w:val="21"/>
          <w:szCs w:val="21"/>
          <w:highlight w:val="none"/>
        </w:rPr>
        <w:t>包含销售人员费用(工资、佣金、提成、</w:t>
      </w:r>
      <w:r>
        <w:rPr>
          <w:rFonts w:hint="eastAsia" w:ascii="宋体" w:hAnsi="Times New Roman" w:eastAsia="宋体" w:cs="Times New Roman"/>
          <w:color w:val="auto"/>
          <w:sz w:val="21"/>
          <w:szCs w:val="21"/>
          <w:highlight w:val="none"/>
        </w:rPr>
        <w:t>福利、差旅、培训费等)、营销推广费（广告策划服务费、分销佣金、户外广告费、媒体传播广告费、销售物料制作费及营销活动费）、日常办公、生活用品、案场布置以及各项应交税费和利润等涉及营销</w:t>
      </w:r>
      <w:r>
        <w:rPr>
          <w:rFonts w:hint="eastAsia" w:ascii="宋体" w:hAnsi="Times New Roman" w:eastAsia="宋体" w:cs="Times New Roman"/>
          <w:color w:val="auto"/>
          <w:sz w:val="21"/>
          <w:szCs w:val="21"/>
          <w:highlight w:val="none"/>
          <w:lang w:val="en-US" w:eastAsia="zh-CN"/>
        </w:rPr>
        <w:t>的</w:t>
      </w:r>
      <w:r>
        <w:rPr>
          <w:rFonts w:hint="eastAsia" w:ascii="宋体" w:hAnsi="Times New Roman" w:eastAsia="宋体" w:cs="Times New Roman"/>
          <w:color w:val="auto"/>
          <w:sz w:val="21"/>
          <w:szCs w:val="21"/>
          <w:highlight w:val="none"/>
        </w:rPr>
        <w:t>所有相关</w:t>
      </w:r>
      <w:r>
        <w:rPr>
          <w:rFonts w:hint="eastAsia" w:ascii="宋体" w:hAnsi="Times New Roman" w:eastAsia="宋体" w:cs="Times New Roman"/>
          <w:color w:val="auto"/>
          <w:sz w:val="21"/>
          <w:szCs w:val="21"/>
          <w:highlight w:val="none"/>
          <w:lang w:val="en-US" w:eastAsia="zh-CN"/>
        </w:rPr>
        <w:t>一切</w:t>
      </w:r>
      <w:r>
        <w:rPr>
          <w:rFonts w:hint="eastAsia" w:ascii="宋体" w:hAnsi="Times New Roman" w:eastAsia="宋体" w:cs="Times New Roman"/>
          <w:color w:val="auto"/>
          <w:sz w:val="21"/>
          <w:szCs w:val="21"/>
          <w:highlight w:val="none"/>
        </w:rPr>
        <w:t>费用，如有漏项，视同已包含在代理销售服务费中</w:t>
      </w:r>
      <w:r>
        <w:rPr>
          <w:rFonts w:hint="eastAsia" w:ascii="宋体" w:hAnsi="Times New Roman" w:eastAsia="宋体" w:cs="Times New Roman"/>
          <w:color w:val="auto"/>
          <w:sz w:val="21"/>
          <w:szCs w:val="21"/>
          <w:highlight w:val="none"/>
          <w:lang w:val="en-US" w:eastAsia="zh-CN"/>
        </w:rPr>
        <w:t>。</w:t>
      </w:r>
    </w:p>
    <w:p w14:paraId="60C874EC">
      <w:pPr>
        <w:widowControl/>
        <w:shd w:val="clear" w:color="auto" w:fill="FFFFFF"/>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三）房票房源手续办理服务费</w:t>
      </w:r>
    </w:p>
    <w:p w14:paraId="6CEC3FF9">
      <w:pPr>
        <w:widowControl/>
        <w:shd w:val="clear" w:color="auto" w:fill="FFFFFF"/>
        <w:spacing w:line="360" w:lineRule="auto"/>
        <w:ind w:firstLine="420" w:firstLineChars="200"/>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房票房源手续办理服务费由投标人在报价文件中进行报价，报价已包含用于本项目房票房源手续办理服务所需的人员工资及福利、利润、税金等一切</w:t>
      </w:r>
      <w:r>
        <w:rPr>
          <w:rFonts w:hint="eastAsia" w:ascii="宋体" w:hAnsi="宋体" w:eastAsia="宋体" w:cs="宋体"/>
          <w:b w:val="0"/>
          <w:bCs w:val="0"/>
          <w:color w:val="auto"/>
          <w:szCs w:val="21"/>
          <w:highlight w:val="none"/>
          <w:lang w:val="en-US" w:eastAsia="zh-CN"/>
        </w:rPr>
        <w:t>费用，如有漏项，视同已包含在</w:t>
      </w:r>
      <w:r>
        <w:rPr>
          <w:rFonts w:hint="eastAsia" w:ascii="宋体" w:hAnsi="宋体" w:cs="宋体"/>
          <w:b w:val="0"/>
          <w:bCs w:val="0"/>
          <w:color w:val="auto"/>
          <w:szCs w:val="21"/>
          <w:highlight w:val="none"/>
          <w:lang w:val="en-US" w:eastAsia="zh-CN"/>
        </w:rPr>
        <w:t>手续办理服务费</w:t>
      </w:r>
      <w:r>
        <w:rPr>
          <w:rFonts w:hint="eastAsia" w:ascii="宋体" w:hAnsi="宋体" w:eastAsia="宋体" w:cs="宋体"/>
          <w:b w:val="0"/>
          <w:bCs w:val="0"/>
          <w:color w:val="auto"/>
          <w:szCs w:val="21"/>
          <w:highlight w:val="none"/>
          <w:lang w:val="en-US" w:eastAsia="zh-CN"/>
        </w:rPr>
        <w:t>中，</w:t>
      </w:r>
      <w:r>
        <w:rPr>
          <w:rFonts w:hint="eastAsia" w:ascii="宋体" w:hAnsi="宋体" w:cs="宋体"/>
          <w:b w:val="0"/>
          <w:bCs w:val="0"/>
          <w:color w:val="auto"/>
          <w:szCs w:val="21"/>
          <w:highlight w:val="none"/>
          <w:lang w:val="en-US" w:eastAsia="zh-CN"/>
        </w:rPr>
        <w:t>数量以实际房票房源手续办理数量（套数）为准。</w:t>
      </w:r>
    </w:p>
    <w:p w14:paraId="0D844D5E">
      <w:pPr>
        <w:widowControl/>
        <w:shd w:val="clear" w:color="auto" w:fill="FFFFFF"/>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结算</w:t>
      </w:r>
      <w:r>
        <w:rPr>
          <w:rFonts w:hint="eastAsia" w:ascii="宋体" w:hAnsi="宋体" w:cs="宋体"/>
          <w:b/>
          <w:bCs/>
          <w:color w:val="auto"/>
          <w:szCs w:val="21"/>
          <w:highlight w:val="none"/>
          <w:lang w:val="en-US" w:eastAsia="zh-CN"/>
        </w:rPr>
        <w:t>考核</w:t>
      </w:r>
      <w:r>
        <w:rPr>
          <w:rFonts w:hint="eastAsia" w:ascii="宋体" w:hAnsi="宋体" w:cs="宋体"/>
          <w:b/>
          <w:bCs/>
          <w:color w:val="auto"/>
          <w:szCs w:val="21"/>
          <w:highlight w:val="none"/>
        </w:rPr>
        <w:t>范围</w:t>
      </w:r>
    </w:p>
    <w:p w14:paraId="71B48ED5">
      <w:pPr>
        <w:widowControl/>
        <w:shd w:val="clear" w:color="auto" w:fill="FFFFFF"/>
        <w:spacing w:line="360" w:lineRule="auto"/>
        <w:ind w:firstLine="48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定向</w:t>
      </w:r>
      <w:r>
        <w:rPr>
          <w:rFonts w:hint="eastAsia" w:ascii="宋体" w:hAnsi="宋体" w:cs="宋体"/>
          <w:color w:val="auto"/>
          <w:szCs w:val="21"/>
          <w:highlight w:val="none"/>
        </w:rPr>
        <w:t>房票房源</w:t>
      </w:r>
      <w:r>
        <w:rPr>
          <w:rFonts w:hint="eastAsia" w:ascii="宋体" w:hAnsi="宋体" w:cs="宋体"/>
          <w:color w:val="auto"/>
          <w:szCs w:val="21"/>
          <w:highlight w:val="none"/>
          <w:lang w:val="en-US" w:eastAsia="zh-CN"/>
        </w:rPr>
        <w:t>、</w:t>
      </w:r>
      <w:r>
        <w:rPr>
          <w:rFonts w:hint="eastAsia" w:ascii="宋体" w:hAnsi="Times New Roman" w:eastAsia="宋体" w:cs="宋体"/>
          <w:color w:val="auto"/>
          <w:sz w:val="21"/>
          <w:szCs w:val="21"/>
          <w:highlight w:val="none"/>
          <w:lang w:val="en-US" w:eastAsia="zh-CN"/>
        </w:rPr>
        <w:t>政府回购部分</w:t>
      </w:r>
      <w:r>
        <w:rPr>
          <w:rFonts w:hint="eastAsia" w:ascii="宋体" w:hAnsi="宋体" w:cs="宋体"/>
          <w:color w:val="auto"/>
          <w:szCs w:val="21"/>
          <w:highlight w:val="none"/>
        </w:rPr>
        <w:t>外所有可售产品，均纳入</w:t>
      </w:r>
      <w:r>
        <w:rPr>
          <w:rFonts w:hint="eastAsia" w:ascii="宋体" w:cs="Times New Roman"/>
          <w:color w:val="auto"/>
          <w:sz w:val="21"/>
          <w:szCs w:val="21"/>
          <w:highlight w:val="none"/>
          <w:shd w:val="clear" w:color="auto" w:fill="FFFFFF"/>
          <w:lang w:val="en-US" w:eastAsia="zh-CN"/>
        </w:rPr>
        <w:t>销售</w:t>
      </w:r>
      <w:r>
        <w:rPr>
          <w:rFonts w:hint="eastAsia" w:ascii="宋体" w:hAnsi="Times New Roman" w:eastAsia="宋体" w:cs="Times New Roman"/>
          <w:color w:val="auto"/>
          <w:sz w:val="21"/>
          <w:szCs w:val="21"/>
          <w:highlight w:val="none"/>
          <w:shd w:val="clear" w:color="auto" w:fill="FFFFFF"/>
          <w:lang w:val="en-US" w:eastAsia="zh-CN"/>
        </w:rPr>
        <w:t>率</w:t>
      </w:r>
      <w:r>
        <w:rPr>
          <w:rFonts w:hint="eastAsia" w:ascii="宋体" w:hAnsi="宋体" w:cs="宋体"/>
          <w:color w:val="auto"/>
          <w:szCs w:val="21"/>
          <w:highlight w:val="none"/>
        </w:rPr>
        <w:t>考核</w:t>
      </w:r>
      <w:r>
        <w:rPr>
          <w:rFonts w:hint="eastAsia" w:ascii="宋体" w:hAnsi="宋体" w:cs="宋体"/>
          <w:color w:val="auto"/>
          <w:szCs w:val="21"/>
          <w:highlight w:val="none"/>
          <w:lang w:eastAsia="zh-CN"/>
        </w:rPr>
        <w:t>。</w:t>
      </w:r>
    </w:p>
    <w:p w14:paraId="7F5B770C">
      <w:pPr>
        <w:widowControl/>
        <w:shd w:val="clear" w:color="auto" w:fill="FFFFFF"/>
        <w:spacing w:line="360" w:lineRule="auto"/>
        <w:ind w:firstLine="48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2、销售率按季度进行考核，</w:t>
      </w:r>
      <w:r>
        <w:rPr>
          <w:rFonts w:hint="eastAsia" w:ascii="宋体" w:hAnsi="宋体" w:cs="宋体"/>
          <w:color w:val="auto"/>
          <w:szCs w:val="21"/>
          <w:highlight w:val="none"/>
        </w:rPr>
        <w:t>考核表如下，</w:t>
      </w:r>
      <w:r>
        <w:rPr>
          <w:rFonts w:hint="eastAsia" w:ascii="宋体" w:hAnsi="宋体" w:cs="宋体"/>
          <w:color w:val="auto"/>
          <w:szCs w:val="21"/>
          <w:highlight w:val="none"/>
          <w:lang w:val="en-US" w:eastAsia="zh-CN"/>
        </w:rPr>
        <w:t>服务期内的各季度</w:t>
      </w:r>
      <w:r>
        <w:rPr>
          <w:rFonts w:hint="eastAsia" w:ascii="宋体" w:hAnsi="宋体" w:cs="宋体"/>
          <w:color w:val="auto"/>
          <w:szCs w:val="21"/>
          <w:highlight w:val="none"/>
        </w:rPr>
        <w:t>指标由</w:t>
      </w:r>
      <w:r>
        <w:rPr>
          <w:rFonts w:hint="eastAsia" w:ascii="宋体" w:hAnsi="宋体" w:cs="宋体"/>
          <w:color w:val="auto"/>
          <w:szCs w:val="21"/>
          <w:highlight w:val="none"/>
          <w:lang w:val="en-US" w:eastAsia="zh-CN"/>
        </w:rPr>
        <w:t>采购人结合</w:t>
      </w:r>
      <w:r>
        <w:rPr>
          <w:rFonts w:hint="eastAsia" w:ascii="宋体" w:hAnsi="宋体" w:cs="宋体"/>
          <w:color w:val="auto"/>
          <w:szCs w:val="21"/>
          <w:highlight w:val="none"/>
        </w:rPr>
        <w:t>中标</w:t>
      </w:r>
      <w:r>
        <w:rPr>
          <w:rFonts w:hint="eastAsia" w:ascii="宋体" w:hAnsi="宋体" w:cs="宋体"/>
          <w:color w:val="auto"/>
          <w:szCs w:val="21"/>
          <w:highlight w:val="none"/>
          <w:lang w:val="en-US" w:eastAsia="zh-CN"/>
        </w:rPr>
        <w:t>人的房产销售计划按程序办理并确定后实施</w:t>
      </w:r>
      <w:r>
        <w:rPr>
          <w:rFonts w:hint="eastAsia" w:ascii="宋体" w:hAnsi="宋体" w:cs="宋体"/>
          <w:color w:val="auto"/>
          <w:szCs w:val="21"/>
          <w:highlight w:val="none"/>
          <w:lang w:eastAsia="zh-CN"/>
        </w:rPr>
        <w:t>。</w:t>
      </w:r>
    </w:p>
    <w:tbl>
      <w:tblPr>
        <w:tblStyle w:val="51"/>
        <w:tblW w:w="8391"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42"/>
        <w:gridCol w:w="3519"/>
        <w:gridCol w:w="3330"/>
      </w:tblGrid>
      <w:tr w14:paraId="6AC0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blCellSpacing w:w="0" w:type="dxa"/>
          <w:jc w:val="center"/>
        </w:trPr>
        <w:tc>
          <w:tcPr>
            <w:tcW w:w="1542" w:type="dxa"/>
            <w:shd w:val="clear" w:color="auto" w:fill="5B9BD5"/>
            <w:tcMar>
              <w:left w:w="108" w:type="dxa"/>
              <w:right w:w="108" w:type="dxa"/>
            </w:tcMar>
            <w:vAlign w:val="center"/>
          </w:tcPr>
          <w:p w14:paraId="5067834A">
            <w:pPr>
              <w:pStyle w:val="47"/>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销售节点</w:t>
            </w:r>
          </w:p>
        </w:tc>
        <w:tc>
          <w:tcPr>
            <w:tcW w:w="3519" w:type="dxa"/>
            <w:shd w:val="clear" w:color="auto" w:fill="5B9BD5"/>
            <w:tcMar>
              <w:left w:w="108" w:type="dxa"/>
              <w:right w:w="108" w:type="dxa"/>
            </w:tcMar>
            <w:vAlign w:val="center"/>
          </w:tcPr>
          <w:p w14:paraId="5F51855D">
            <w:pPr>
              <w:pStyle w:val="47"/>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考核销售率</w:t>
            </w:r>
          </w:p>
        </w:tc>
        <w:tc>
          <w:tcPr>
            <w:tcW w:w="3330" w:type="dxa"/>
            <w:shd w:val="clear" w:color="auto" w:fill="5B9BD5"/>
            <w:tcMar>
              <w:left w:w="108" w:type="dxa"/>
              <w:right w:w="108" w:type="dxa"/>
            </w:tcMar>
            <w:vAlign w:val="center"/>
          </w:tcPr>
          <w:p w14:paraId="59D7D023">
            <w:pPr>
              <w:pStyle w:val="47"/>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代理销售服务费</w:t>
            </w:r>
            <w:r>
              <w:rPr>
                <w:rFonts w:hint="eastAsia" w:cs="宋体"/>
                <w:b/>
                <w:bCs/>
                <w:color w:val="auto"/>
                <w:sz w:val="21"/>
                <w:szCs w:val="21"/>
                <w:highlight w:val="none"/>
                <w:lang w:val="en-US" w:eastAsia="zh-CN"/>
              </w:rPr>
              <w:t>费率结算比例</w:t>
            </w:r>
          </w:p>
        </w:tc>
      </w:tr>
      <w:tr w14:paraId="7D26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3" w:hRule="atLeast"/>
          <w:tblCellSpacing w:w="0" w:type="dxa"/>
          <w:jc w:val="center"/>
        </w:trPr>
        <w:tc>
          <w:tcPr>
            <w:tcW w:w="1542" w:type="dxa"/>
            <w:vMerge w:val="restart"/>
            <w:shd w:val="clear" w:color="auto" w:fill="auto"/>
            <w:tcMar>
              <w:left w:w="108" w:type="dxa"/>
              <w:right w:w="108" w:type="dxa"/>
            </w:tcMar>
            <w:vAlign w:val="center"/>
          </w:tcPr>
          <w:p w14:paraId="7F2C2897">
            <w:pPr>
              <w:pStyle w:val="47"/>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全周期</w:t>
            </w:r>
          </w:p>
        </w:tc>
        <w:tc>
          <w:tcPr>
            <w:tcW w:w="3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vAlign w:val="center"/>
          </w:tcPr>
          <w:p w14:paraId="6404D312">
            <w:pPr>
              <w:pStyle w:val="47"/>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w:t>
            </w:r>
            <w:r>
              <w:rPr>
                <w:rFonts w:hint="eastAsia" w:cs="宋体"/>
                <w:color w:val="auto"/>
                <w:sz w:val="21"/>
                <w:szCs w:val="21"/>
                <w:highlight w:val="none"/>
                <w:lang w:val="en-US" w:eastAsia="zh-CN"/>
              </w:rPr>
              <w:t>不</w:t>
            </w:r>
            <w:r>
              <w:rPr>
                <w:rFonts w:hint="eastAsia" w:ascii="宋体" w:hAnsi="宋体" w:eastAsia="宋体" w:cs="宋体"/>
                <w:color w:val="auto"/>
                <w:sz w:val="21"/>
                <w:szCs w:val="21"/>
                <w:highlight w:val="none"/>
              </w:rPr>
              <w:t>含）以下</w:t>
            </w:r>
          </w:p>
        </w:tc>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vAlign w:val="center"/>
          </w:tcPr>
          <w:p w14:paraId="2CFB7D74">
            <w:pPr>
              <w:pStyle w:val="47"/>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中标费率</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p>
        </w:tc>
      </w:tr>
      <w:tr w14:paraId="65FA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3" w:hRule="atLeast"/>
          <w:tblCellSpacing w:w="0" w:type="dxa"/>
          <w:jc w:val="center"/>
        </w:trPr>
        <w:tc>
          <w:tcPr>
            <w:tcW w:w="1542" w:type="dxa"/>
            <w:vMerge w:val="continue"/>
            <w:shd w:val="clear" w:color="auto" w:fill="auto"/>
            <w:tcMar>
              <w:left w:w="108" w:type="dxa"/>
              <w:right w:w="108" w:type="dxa"/>
            </w:tcMar>
            <w:vAlign w:val="center"/>
          </w:tcPr>
          <w:p w14:paraId="355DCA16">
            <w:pPr>
              <w:pStyle w:val="47"/>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vAlign w:val="center"/>
          </w:tcPr>
          <w:p w14:paraId="2766B772">
            <w:pPr>
              <w:pStyle w:val="47"/>
              <w:keepNext w:val="0"/>
              <w:keepLines w:val="0"/>
              <w:widowControl/>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60%</w:t>
            </w:r>
            <w:r>
              <w:rPr>
                <w:rFonts w:hint="eastAsia" w:ascii="宋体" w:hAnsi="宋体" w:eastAsia="宋体" w:cs="宋体"/>
                <w:color w:val="auto"/>
                <w:sz w:val="21"/>
                <w:szCs w:val="21"/>
                <w:highlight w:val="none"/>
              </w:rPr>
              <w:t>（含）</w:t>
            </w:r>
            <w:r>
              <w:rPr>
                <w:rFonts w:hint="eastAsia" w:cs="宋体"/>
                <w:color w:val="auto"/>
                <w:sz w:val="21"/>
                <w:szCs w:val="21"/>
                <w:highlight w:val="none"/>
                <w:lang w:val="en-US" w:eastAsia="zh-CN"/>
              </w:rPr>
              <w:t>-80%</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不</w:t>
            </w:r>
            <w:r>
              <w:rPr>
                <w:rFonts w:hint="eastAsia" w:ascii="宋体" w:hAnsi="宋体" w:eastAsia="宋体" w:cs="宋体"/>
                <w:color w:val="auto"/>
                <w:sz w:val="21"/>
                <w:szCs w:val="21"/>
                <w:highlight w:val="none"/>
              </w:rPr>
              <w:t>含）</w:t>
            </w:r>
          </w:p>
        </w:tc>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vAlign w:val="center"/>
          </w:tcPr>
          <w:p w14:paraId="1E86A100">
            <w:pPr>
              <w:pStyle w:val="47"/>
              <w:keepNext w:val="0"/>
              <w:keepLines w:val="0"/>
              <w:widowControl/>
              <w:suppressLineNumbers w:val="0"/>
              <w:spacing w:before="0" w:beforeAutospacing="0" w:after="0" w:afterAutospacing="0"/>
              <w:ind w:left="0" w:leftChars="0" w:right="0" w:rightChars="0"/>
              <w:jc w:val="center"/>
              <w:rPr>
                <w:rFonts w:hint="eastAsia" w:cs="宋体"/>
                <w:color w:val="auto"/>
                <w:sz w:val="21"/>
                <w:szCs w:val="21"/>
                <w:highlight w:val="none"/>
                <w:lang w:val="en-US" w:eastAsia="zh-CN"/>
              </w:rPr>
            </w:pPr>
            <w:r>
              <w:rPr>
                <w:rFonts w:hint="eastAsia" w:cs="宋体"/>
                <w:color w:val="auto"/>
                <w:sz w:val="21"/>
                <w:szCs w:val="21"/>
                <w:highlight w:val="none"/>
                <w:lang w:val="en-US" w:eastAsia="zh-CN"/>
              </w:rPr>
              <w:t>中标费率</w:t>
            </w:r>
            <w:r>
              <w:rPr>
                <w:rFonts w:hint="eastAsia" w:ascii="宋体" w:hAnsi="宋体" w:eastAsia="宋体" w:cs="宋体"/>
                <w:color w:val="auto"/>
                <w:sz w:val="21"/>
                <w:szCs w:val="21"/>
                <w:highlight w:val="none"/>
              </w:rPr>
              <w:t>*0.</w:t>
            </w:r>
            <w:r>
              <w:rPr>
                <w:rFonts w:hint="eastAsia" w:cs="宋体"/>
                <w:color w:val="auto"/>
                <w:sz w:val="21"/>
                <w:szCs w:val="21"/>
                <w:highlight w:val="none"/>
                <w:lang w:val="en-US" w:eastAsia="zh-CN"/>
              </w:rPr>
              <w:t>7</w:t>
            </w:r>
          </w:p>
        </w:tc>
      </w:tr>
      <w:tr w14:paraId="0351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1" w:hRule="atLeast"/>
          <w:tblCellSpacing w:w="0" w:type="dxa"/>
          <w:jc w:val="center"/>
        </w:trPr>
        <w:tc>
          <w:tcPr>
            <w:tcW w:w="1542" w:type="dxa"/>
            <w:vMerge w:val="continue"/>
            <w:shd w:val="clear" w:color="auto" w:fill="auto"/>
            <w:tcMar>
              <w:left w:w="108" w:type="dxa"/>
              <w:right w:w="108" w:type="dxa"/>
            </w:tcMar>
            <w:vAlign w:val="center"/>
          </w:tcPr>
          <w:p w14:paraId="7DF252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vAlign w:val="center"/>
          </w:tcPr>
          <w:p w14:paraId="3DED36E6">
            <w:pPr>
              <w:pStyle w:val="47"/>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80%（含）-</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不</w:t>
            </w:r>
            <w:r>
              <w:rPr>
                <w:rFonts w:hint="eastAsia" w:ascii="宋体" w:hAnsi="宋体" w:eastAsia="宋体" w:cs="宋体"/>
                <w:color w:val="auto"/>
                <w:sz w:val="21"/>
                <w:szCs w:val="21"/>
                <w:highlight w:val="none"/>
              </w:rPr>
              <w:t>含）</w:t>
            </w:r>
          </w:p>
        </w:tc>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vAlign w:val="center"/>
          </w:tcPr>
          <w:p w14:paraId="3216880F">
            <w:pPr>
              <w:pStyle w:val="47"/>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中标费率</w:t>
            </w:r>
            <w:r>
              <w:rPr>
                <w:rFonts w:hint="eastAsia" w:ascii="宋体" w:hAnsi="宋体" w:eastAsia="宋体" w:cs="宋体"/>
                <w:color w:val="auto"/>
                <w:sz w:val="21"/>
                <w:szCs w:val="21"/>
                <w:highlight w:val="none"/>
              </w:rPr>
              <w:t>*0.8</w:t>
            </w:r>
          </w:p>
        </w:tc>
      </w:tr>
      <w:tr w14:paraId="502B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7" w:hRule="atLeast"/>
          <w:tblCellSpacing w:w="0" w:type="dxa"/>
          <w:jc w:val="center"/>
        </w:trPr>
        <w:tc>
          <w:tcPr>
            <w:tcW w:w="1542" w:type="dxa"/>
            <w:vMerge w:val="continue"/>
            <w:shd w:val="clear" w:color="auto" w:fill="auto"/>
            <w:tcMar>
              <w:left w:w="108" w:type="dxa"/>
              <w:right w:w="108" w:type="dxa"/>
            </w:tcMar>
            <w:vAlign w:val="center"/>
          </w:tcPr>
          <w:p w14:paraId="1E2171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vAlign w:val="center"/>
          </w:tcPr>
          <w:p w14:paraId="0BD16ED2">
            <w:pPr>
              <w:pStyle w:val="47"/>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100%（含）</w:t>
            </w:r>
            <w:r>
              <w:rPr>
                <w:rFonts w:hint="eastAsia" w:cs="宋体"/>
                <w:color w:val="auto"/>
                <w:sz w:val="21"/>
                <w:szCs w:val="21"/>
                <w:highlight w:val="none"/>
                <w:lang w:val="en-US" w:eastAsia="zh-CN"/>
              </w:rPr>
              <w:t>以上</w:t>
            </w:r>
          </w:p>
        </w:tc>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vAlign w:val="center"/>
          </w:tcPr>
          <w:p w14:paraId="3E3D21A2">
            <w:pPr>
              <w:pStyle w:val="47"/>
              <w:keepNext w:val="0"/>
              <w:keepLines w:val="0"/>
              <w:widowControl/>
              <w:suppressLineNumbers w:val="0"/>
              <w:spacing w:before="0" w:beforeAutospacing="0" w:after="0" w:afterAutospacing="0"/>
              <w:ind w:left="0" w:leftChars="0" w:right="0" w:rightChars="0" w:firstLine="1050" w:firstLineChars="500"/>
              <w:jc w:val="both"/>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中标费率</w:t>
            </w:r>
            <w:r>
              <w:rPr>
                <w:rFonts w:hint="eastAsia" w:ascii="宋体" w:hAnsi="宋体" w:eastAsia="宋体" w:cs="宋体"/>
                <w:color w:val="auto"/>
                <w:sz w:val="21"/>
                <w:szCs w:val="21"/>
                <w:highlight w:val="none"/>
              </w:rPr>
              <w:t>*1</w:t>
            </w:r>
          </w:p>
        </w:tc>
      </w:tr>
    </w:tbl>
    <w:p w14:paraId="0A8546B8">
      <w:pPr>
        <w:widowControl/>
        <w:shd w:val="clear" w:color="auto" w:fill="FFFFFF"/>
        <w:spacing w:line="360" w:lineRule="auto"/>
        <w:ind w:firstLine="480"/>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注：各季度销售率=各季度对应产品的</w:t>
      </w:r>
      <w:r>
        <w:rPr>
          <w:rFonts w:hint="eastAsia" w:ascii="宋体" w:hAnsi="宋体" w:eastAsia="宋体" w:cs="宋体"/>
          <w:b/>
          <w:bCs/>
          <w:color w:val="auto"/>
          <w:szCs w:val="21"/>
          <w:highlight w:val="none"/>
          <w:lang w:val="en-US" w:eastAsia="zh-CN"/>
        </w:rPr>
        <w:t>销售金额</w:t>
      </w:r>
      <w:r>
        <w:rPr>
          <w:rFonts w:hint="eastAsia" w:ascii="宋体" w:hAnsi="宋体" w:cs="宋体"/>
          <w:b/>
          <w:bCs/>
          <w:color w:val="auto"/>
          <w:szCs w:val="21"/>
          <w:highlight w:val="none"/>
          <w:lang w:val="en-US" w:eastAsia="zh-CN"/>
        </w:rPr>
        <w:t>÷各季度对应产品的销售指标金额（不包含定向房票房源、政府回购部分货值）。</w:t>
      </w:r>
    </w:p>
    <w:p w14:paraId="09DED40E">
      <w:pPr>
        <w:widowControl/>
        <w:shd w:val="clear" w:color="auto" w:fill="FFFFFF"/>
        <w:spacing w:line="360" w:lineRule="auto"/>
        <w:ind w:firstLine="48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结算方式</w:t>
      </w:r>
    </w:p>
    <w:p w14:paraId="74124C41">
      <w:pPr>
        <w:widowControl/>
        <w:shd w:val="clear" w:color="auto" w:fill="FFFFFF"/>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、销售节点期限届满前，每季代理销售服务费</w:t>
      </w:r>
      <w:r>
        <w:rPr>
          <w:rFonts w:hint="eastAsia" w:ascii="宋体" w:hAnsi="宋体" w:cs="宋体"/>
          <w:color w:val="auto"/>
          <w:szCs w:val="21"/>
          <w:highlight w:val="none"/>
          <w:lang w:val="en-US" w:eastAsia="zh-CN"/>
        </w:rPr>
        <w:t>费率根据</w:t>
      </w:r>
      <w:r>
        <w:rPr>
          <w:rFonts w:hint="eastAsia" w:ascii="宋体" w:hAnsi="宋体" w:eastAsia="宋体" w:cs="宋体"/>
          <w:color w:val="auto"/>
          <w:szCs w:val="21"/>
          <w:highlight w:val="none"/>
          <w:lang w:val="en-US" w:eastAsia="zh-CN"/>
        </w:rPr>
        <w:t>销售率考核情况进行</w:t>
      </w:r>
      <w:r>
        <w:rPr>
          <w:rFonts w:hint="eastAsia" w:ascii="宋体" w:hAnsi="宋体" w:cs="宋体"/>
          <w:color w:val="auto"/>
          <w:szCs w:val="21"/>
          <w:highlight w:val="none"/>
        </w:rPr>
        <w:t>结算</w:t>
      </w:r>
      <w:r>
        <w:rPr>
          <w:rFonts w:hint="eastAsia" w:ascii="宋体" w:hAnsi="宋体" w:cs="宋体"/>
          <w:color w:val="auto"/>
          <w:szCs w:val="21"/>
          <w:highlight w:val="none"/>
          <w:lang w:eastAsia="zh-CN"/>
        </w:rPr>
        <w:t>。</w:t>
      </w:r>
    </w:p>
    <w:p w14:paraId="6C87921D">
      <w:pPr>
        <w:widowControl/>
        <w:shd w:val="clear" w:color="auto" w:fill="FFFFFF"/>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、房票房源手续办理服务费每季度结算一次</w:t>
      </w:r>
      <w:r>
        <w:rPr>
          <w:rFonts w:hint="eastAsia" w:ascii="宋体" w:hAnsi="宋体" w:cs="宋体"/>
          <w:color w:val="auto"/>
          <w:szCs w:val="21"/>
          <w:highlight w:val="none"/>
          <w:lang w:eastAsia="zh-CN"/>
        </w:rPr>
        <w:t>，</w:t>
      </w:r>
      <w:r>
        <w:rPr>
          <w:rFonts w:hint="eastAsia" w:ascii="宋体" w:hAnsi="宋体" w:cs="宋体"/>
          <w:b w:val="0"/>
          <w:bCs w:val="0"/>
          <w:color w:val="auto"/>
          <w:szCs w:val="21"/>
          <w:highlight w:val="none"/>
          <w:lang w:val="en-US" w:eastAsia="zh-CN"/>
        </w:rPr>
        <w:t>数量以实际房票房源手续办理数量（套数）为准，</w:t>
      </w:r>
      <w:r>
        <w:rPr>
          <w:rFonts w:hint="eastAsia" w:ascii="宋体" w:hAnsi="宋体" w:cs="宋体"/>
          <w:color w:val="auto"/>
          <w:szCs w:val="21"/>
          <w:highlight w:val="none"/>
          <w:lang w:eastAsia="zh-CN"/>
        </w:rPr>
        <w:t>按照</w:t>
      </w:r>
      <w:r>
        <w:rPr>
          <w:rFonts w:hint="eastAsia" w:ascii="宋体" w:hAnsi="宋体" w:cs="宋体"/>
          <w:color w:val="auto"/>
          <w:szCs w:val="21"/>
          <w:highlight w:val="none"/>
        </w:rPr>
        <w:t>每季度结算</w:t>
      </w:r>
      <w:r>
        <w:rPr>
          <w:rFonts w:hint="eastAsia" w:ascii="宋体" w:hAnsi="宋体" w:cs="宋体"/>
          <w:color w:val="auto"/>
          <w:szCs w:val="21"/>
          <w:highlight w:val="none"/>
          <w:lang w:val="en-US" w:eastAsia="zh-CN"/>
        </w:rPr>
        <w:t>额的90</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计取</w:t>
      </w:r>
      <w:r>
        <w:rPr>
          <w:rFonts w:hint="eastAsia" w:ascii="宋体" w:hAnsi="宋体" w:cs="宋体"/>
          <w:color w:val="auto"/>
          <w:szCs w:val="21"/>
          <w:highlight w:val="none"/>
          <w:lang w:eastAsia="zh-CN"/>
        </w:rPr>
        <w:t>。</w:t>
      </w:r>
    </w:p>
    <w:p w14:paraId="199D4BC5">
      <w:pPr>
        <w:widowControl/>
        <w:shd w:val="clear" w:color="auto" w:fill="FFFFFF"/>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代理销售服务费</w:t>
      </w:r>
      <w:r>
        <w:rPr>
          <w:rFonts w:hint="eastAsia" w:ascii="宋体" w:hAnsi="宋体" w:cs="宋体"/>
          <w:color w:val="auto"/>
          <w:szCs w:val="21"/>
          <w:highlight w:val="none"/>
          <w:lang w:val="en-US" w:eastAsia="zh-CN"/>
        </w:rPr>
        <w:t>累计超过预付款金额后</w:t>
      </w:r>
      <w:r>
        <w:rPr>
          <w:rFonts w:hint="eastAsia" w:ascii="宋体" w:hAnsi="宋体" w:cs="宋体"/>
          <w:color w:val="auto"/>
          <w:szCs w:val="21"/>
          <w:highlight w:val="none"/>
        </w:rPr>
        <w:t>每季度结算一次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例：若预付款金额为100万元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中标人第一季度结算后的</w:t>
      </w:r>
      <w:r>
        <w:rPr>
          <w:rFonts w:hint="eastAsia" w:ascii="宋体" w:hAnsi="宋体" w:cs="宋体"/>
          <w:color w:val="auto"/>
          <w:szCs w:val="21"/>
          <w:highlight w:val="none"/>
        </w:rPr>
        <w:t>代理销售服务费</w:t>
      </w:r>
      <w:r>
        <w:rPr>
          <w:rFonts w:hint="eastAsia" w:ascii="宋体" w:hAnsi="宋体" w:cs="宋体"/>
          <w:color w:val="auto"/>
          <w:szCs w:val="21"/>
          <w:highlight w:val="none"/>
          <w:lang w:val="en-US" w:eastAsia="zh-CN"/>
        </w:rPr>
        <w:t>为80万元，则采购人第一季度不予支付中标人</w:t>
      </w:r>
      <w:r>
        <w:rPr>
          <w:rFonts w:hint="eastAsia" w:ascii="宋体" w:hAnsi="宋体" w:cs="宋体"/>
          <w:color w:val="auto"/>
          <w:szCs w:val="21"/>
          <w:highlight w:val="none"/>
        </w:rPr>
        <w:t>代理销售服务费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至中标人第二季度与第一季度结算后的</w:t>
      </w:r>
      <w:r>
        <w:rPr>
          <w:rFonts w:hint="eastAsia" w:ascii="宋体" w:hAnsi="宋体" w:cs="宋体"/>
          <w:color w:val="auto"/>
          <w:szCs w:val="21"/>
          <w:highlight w:val="none"/>
        </w:rPr>
        <w:t>代理销售服务费</w:t>
      </w:r>
      <w:r>
        <w:rPr>
          <w:rFonts w:hint="eastAsia" w:ascii="宋体" w:hAnsi="宋体" w:cs="宋体"/>
          <w:color w:val="auto"/>
          <w:szCs w:val="21"/>
          <w:highlight w:val="none"/>
          <w:lang w:val="en-US" w:eastAsia="zh-CN"/>
        </w:rPr>
        <w:t>累计超过100万元，扣除100万元后支付剩下的</w:t>
      </w:r>
      <w:r>
        <w:rPr>
          <w:rFonts w:hint="eastAsia" w:ascii="宋体" w:hAnsi="宋体" w:cs="宋体"/>
          <w:color w:val="auto"/>
          <w:szCs w:val="21"/>
          <w:highlight w:val="none"/>
        </w:rPr>
        <w:t>代理销售服务费</w:t>
      </w:r>
      <w:r>
        <w:rPr>
          <w:rFonts w:hint="eastAsia" w:ascii="宋体" w:hAnsi="宋体" w:cs="宋体"/>
          <w:color w:val="auto"/>
          <w:szCs w:val="21"/>
          <w:highlight w:val="none"/>
          <w:lang w:eastAsia="zh-CN"/>
        </w:rPr>
        <w:t>），按照</w:t>
      </w:r>
      <w:r>
        <w:rPr>
          <w:rFonts w:hint="eastAsia" w:ascii="宋体" w:hAnsi="宋体" w:cs="宋体"/>
          <w:color w:val="auto"/>
          <w:szCs w:val="21"/>
          <w:highlight w:val="none"/>
        </w:rPr>
        <w:t>每季度结算</w:t>
      </w:r>
      <w:r>
        <w:rPr>
          <w:rFonts w:hint="eastAsia" w:ascii="宋体" w:hAnsi="宋体" w:cs="宋体"/>
          <w:color w:val="auto"/>
          <w:szCs w:val="21"/>
          <w:highlight w:val="none"/>
          <w:lang w:val="en-US" w:eastAsia="zh-CN"/>
        </w:rPr>
        <w:t>额的85</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计取</w:t>
      </w:r>
      <w:r>
        <w:rPr>
          <w:rFonts w:hint="eastAsia" w:ascii="宋体" w:hAnsi="宋体" w:cs="宋体"/>
          <w:color w:val="auto"/>
          <w:szCs w:val="21"/>
          <w:highlight w:val="none"/>
          <w:lang w:eastAsia="zh-CN"/>
        </w:rPr>
        <w:t>。</w:t>
      </w:r>
    </w:p>
    <w:p w14:paraId="046CF2FE">
      <w:pPr>
        <w:widowControl/>
        <w:shd w:val="clear" w:color="auto" w:fill="FFFFFF"/>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4、房票房源手续办理服务费</w:t>
      </w:r>
      <w:r>
        <w:rPr>
          <w:rFonts w:hint="eastAsia" w:ascii="宋体" w:hAnsi="宋体" w:cs="宋体"/>
          <w:color w:val="auto"/>
          <w:szCs w:val="21"/>
          <w:highlight w:val="none"/>
          <w:lang w:eastAsia="zh-CN"/>
        </w:rPr>
        <w:t>、</w:t>
      </w:r>
      <w:r>
        <w:rPr>
          <w:rFonts w:hint="eastAsia" w:ascii="宋体" w:hAnsi="宋体" w:cs="宋体"/>
          <w:color w:val="auto"/>
          <w:szCs w:val="21"/>
          <w:highlight w:val="none"/>
        </w:rPr>
        <w:t>代理销售服务费</w:t>
      </w:r>
      <w:r>
        <w:rPr>
          <w:rFonts w:hint="eastAsia" w:ascii="宋体" w:hAnsi="宋体" w:cs="宋体"/>
          <w:color w:val="auto"/>
          <w:szCs w:val="21"/>
          <w:highlight w:val="none"/>
          <w:lang w:val="en-US" w:eastAsia="zh-CN"/>
        </w:rPr>
        <w:t>剩余费用</w:t>
      </w:r>
      <w:r>
        <w:rPr>
          <w:rFonts w:hint="eastAsia" w:ascii="宋体" w:hAnsi="宋体" w:eastAsia="宋体" w:cs="宋体"/>
          <w:color w:val="auto"/>
          <w:szCs w:val="21"/>
          <w:highlight w:val="none"/>
          <w:lang w:val="en-US" w:eastAsia="zh-CN"/>
        </w:rPr>
        <w:t>在大产权证办理完成，并办理完毕已售房源100%业主的交付工作（非中标人原因导致交付工作未完成时可由双方另行协商）后</w:t>
      </w:r>
      <w:r>
        <w:rPr>
          <w:rFonts w:hint="eastAsia" w:ascii="宋体" w:hAnsi="宋体" w:cs="宋体"/>
          <w:color w:val="auto"/>
          <w:szCs w:val="21"/>
          <w:highlight w:val="none"/>
          <w:lang w:val="en-US" w:eastAsia="zh-CN"/>
        </w:rPr>
        <w:t>予以</w:t>
      </w:r>
      <w:r>
        <w:rPr>
          <w:rFonts w:hint="eastAsia" w:ascii="宋体" w:hAnsi="宋体" w:cs="宋体"/>
          <w:color w:val="auto"/>
          <w:szCs w:val="21"/>
          <w:highlight w:val="none"/>
        </w:rPr>
        <w:t>结算</w:t>
      </w:r>
      <w:r>
        <w:rPr>
          <w:rFonts w:hint="eastAsia" w:ascii="宋体" w:hAnsi="宋体" w:cs="宋体"/>
          <w:color w:val="auto"/>
          <w:szCs w:val="21"/>
          <w:highlight w:val="none"/>
          <w:lang w:eastAsia="zh-CN"/>
        </w:rPr>
        <w:t>。</w:t>
      </w:r>
    </w:p>
    <w:p w14:paraId="6B78DF61">
      <w:pPr>
        <w:widowControl/>
        <w:shd w:val="clear" w:color="auto" w:fill="FFFFFF"/>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注：每期付款前，</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应提供</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审核确认的增值税专用发票金额，税金由</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承担</w:t>
      </w:r>
      <w:r>
        <w:rPr>
          <w:rFonts w:hint="eastAsia" w:ascii="宋体" w:hAnsi="宋体" w:cs="宋体"/>
          <w:color w:val="auto"/>
          <w:szCs w:val="21"/>
          <w:highlight w:val="none"/>
          <w:lang w:eastAsia="zh-CN"/>
        </w:rPr>
        <w:t>。</w:t>
      </w:r>
    </w:p>
    <w:p w14:paraId="58E1C034">
      <w:pPr>
        <w:widowControl/>
        <w:shd w:val="clear" w:color="auto" w:fill="FFFFFF"/>
        <w:spacing w:line="360" w:lineRule="auto"/>
        <w:ind w:firstLine="480"/>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六</w:t>
      </w:r>
      <w:r>
        <w:rPr>
          <w:rFonts w:hint="eastAsia" w:ascii="宋体" w:hAnsi="宋体" w:cs="宋体"/>
          <w:b/>
          <w:bCs/>
          <w:color w:val="auto"/>
          <w:szCs w:val="21"/>
          <w:highlight w:val="none"/>
        </w:rPr>
        <w:t>）其他约定</w:t>
      </w:r>
    </w:p>
    <w:p w14:paraId="538122A8">
      <w:pPr>
        <w:widowControl/>
        <w:shd w:val="clear" w:color="auto" w:fill="FFFFFF"/>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1、本项目所有房源的出售价格均以采购人审定且书面通知的价格为准，中标人不得擅自定价，不得擅自改变销售价格。</w:t>
      </w:r>
    </w:p>
    <w:p w14:paraId="08D65FD8">
      <w:pPr>
        <w:widowControl/>
        <w:shd w:val="clear" w:color="auto" w:fill="FFFFFF"/>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、关于退房</w:t>
      </w:r>
    </w:p>
    <w:p w14:paraId="2A2618BF">
      <w:pPr>
        <w:widowControl/>
        <w:shd w:val="clear" w:color="auto" w:fill="FFFFFF"/>
        <w:spacing w:line="360" w:lineRule="auto"/>
        <w:ind w:firstLine="4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⑴</w:t>
      </w:r>
      <w:bookmarkStart w:id="139" w:name="_Hlk76325966"/>
      <w:r>
        <w:rPr>
          <w:rFonts w:hint="eastAsia" w:ascii="宋体" w:hAnsi="宋体" w:eastAsia="宋体" w:cs="宋体"/>
          <w:color w:val="auto"/>
          <w:szCs w:val="21"/>
          <w:highlight w:val="none"/>
          <w:lang w:val="en-US" w:eastAsia="zh-CN"/>
        </w:rPr>
        <w:t>若客户在认购后未签约</w:t>
      </w:r>
      <w:r>
        <w:rPr>
          <w:rFonts w:hint="eastAsia" w:ascii="宋体" w:hAnsi="宋体" w:cs="宋体"/>
          <w:color w:val="auto"/>
          <w:szCs w:val="21"/>
          <w:highlight w:val="none"/>
          <w:lang w:val="en-US" w:eastAsia="zh-CN"/>
        </w:rPr>
        <w:t>（网签）</w:t>
      </w:r>
      <w:r>
        <w:rPr>
          <w:rFonts w:hint="eastAsia" w:ascii="宋体" w:hAnsi="宋体" w:eastAsia="宋体" w:cs="宋体"/>
          <w:color w:val="auto"/>
          <w:szCs w:val="21"/>
          <w:highlight w:val="none"/>
          <w:lang w:val="en-US" w:eastAsia="zh-CN"/>
        </w:rPr>
        <w:t>，</w:t>
      </w:r>
      <w:bookmarkEnd w:id="139"/>
      <w:r>
        <w:rPr>
          <w:rFonts w:hint="eastAsia" w:ascii="宋体" w:hAnsi="宋体" w:eastAsia="宋体" w:cs="宋体"/>
          <w:color w:val="auto"/>
          <w:szCs w:val="21"/>
          <w:highlight w:val="none"/>
          <w:lang w:val="en-US" w:eastAsia="zh-CN"/>
        </w:rPr>
        <w:t>中标人无权收取</w:t>
      </w:r>
      <w:bookmarkStart w:id="140" w:name="_Hlk76326230"/>
      <w:r>
        <w:rPr>
          <w:rFonts w:hint="eastAsia" w:ascii="宋体" w:hAnsi="宋体" w:eastAsia="宋体" w:cs="宋体"/>
          <w:color w:val="auto"/>
          <w:szCs w:val="21"/>
          <w:highlight w:val="none"/>
          <w:lang w:val="en-US" w:eastAsia="zh-CN"/>
        </w:rPr>
        <w:t>代理销售服务费。</w:t>
      </w:r>
      <w:bookmarkEnd w:id="140"/>
    </w:p>
    <w:p w14:paraId="77533E00">
      <w:pPr>
        <w:widowControl/>
        <w:shd w:val="clear" w:color="auto" w:fill="FFFFFF"/>
        <w:spacing w:line="360" w:lineRule="auto"/>
        <w:ind w:firstLine="480"/>
        <w:rPr>
          <w:rFonts w:hint="eastAsia" w:ascii="宋体" w:hAnsi="宋体" w:eastAsia="宋体" w:cs="宋体"/>
          <w:color w:val="auto"/>
          <w:szCs w:val="21"/>
          <w:highlight w:val="none"/>
          <w:lang w:val="en-US" w:eastAsia="zh-CN"/>
        </w:rPr>
      </w:pPr>
      <w:bookmarkStart w:id="141" w:name="_Hlk76326034"/>
      <w:r>
        <w:rPr>
          <w:rFonts w:hint="eastAsia" w:ascii="宋体" w:hAnsi="宋体" w:eastAsia="宋体" w:cs="宋体"/>
          <w:color w:val="auto"/>
          <w:szCs w:val="21"/>
          <w:highlight w:val="none"/>
          <w:lang w:val="en-US" w:eastAsia="zh-CN"/>
        </w:rPr>
        <w:t>⑵</w:t>
      </w:r>
      <w:bookmarkEnd w:id="141"/>
      <w:r>
        <w:rPr>
          <w:rFonts w:hint="eastAsia" w:ascii="宋体" w:hAnsi="宋体" w:eastAsia="宋体" w:cs="宋体"/>
          <w:color w:val="auto"/>
          <w:szCs w:val="21"/>
          <w:highlight w:val="none"/>
          <w:lang w:val="en-US" w:eastAsia="zh-CN"/>
        </w:rPr>
        <w:t>若客户在签约</w:t>
      </w:r>
      <w:r>
        <w:rPr>
          <w:rFonts w:hint="eastAsia" w:ascii="宋体" w:hAnsi="宋体" w:cs="宋体"/>
          <w:color w:val="auto"/>
          <w:szCs w:val="21"/>
          <w:highlight w:val="none"/>
          <w:lang w:val="en-US" w:eastAsia="zh-CN"/>
        </w:rPr>
        <w:t>（网签）</w:t>
      </w:r>
      <w:r>
        <w:rPr>
          <w:rFonts w:hint="eastAsia" w:ascii="宋体" w:hAnsi="宋体" w:eastAsia="宋体" w:cs="宋体"/>
          <w:color w:val="auto"/>
          <w:szCs w:val="21"/>
          <w:highlight w:val="none"/>
          <w:lang w:val="en-US" w:eastAsia="zh-CN"/>
        </w:rPr>
        <w:t>后</w:t>
      </w:r>
      <w:r>
        <w:rPr>
          <w:rFonts w:hint="eastAsia" w:ascii="宋体" w:hAnsi="宋体" w:cs="宋体"/>
          <w:color w:val="auto"/>
          <w:szCs w:val="21"/>
          <w:highlight w:val="none"/>
          <w:lang w:val="en-US" w:eastAsia="zh-CN"/>
        </w:rPr>
        <w:t>申请</w:t>
      </w:r>
      <w:r>
        <w:rPr>
          <w:rFonts w:hint="eastAsia" w:ascii="宋体" w:hAnsi="宋体" w:eastAsia="宋体" w:cs="宋体"/>
          <w:color w:val="auto"/>
          <w:szCs w:val="21"/>
          <w:highlight w:val="none"/>
          <w:lang w:val="en-US" w:eastAsia="zh-CN"/>
        </w:rPr>
        <w:t>退房</w:t>
      </w:r>
      <w:r>
        <w:rPr>
          <w:rFonts w:hint="eastAsia" w:ascii="宋体" w:hAnsi="宋体" w:cs="宋体"/>
          <w:color w:val="auto"/>
          <w:szCs w:val="21"/>
          <w:highlight w:val="none"/>
          <w:lang w:val="en-US" w:eastAsia="zh-CN"/>
        </w:rPr>
        <w:t>，相关手续及费用均由中标人承担，且退房房源不得</w:t>
      </w:r>
      <w:r>
        <w:rPr>
          <w:rFonts w:hint="eastAsia" w:ascii="宋体" w:hAnsi="宋体" w:eastAsia="宋体" w:cs="宋体"/>
          <w:color w:val="auto"/>
          <w:szCs w:val="21"/>
          <w:highlight w:val="none"/>
          <w:lang w:val="en-US" w:eastAsia="zh-CN"/>
        </w:rPr>
        <w:t>收取代理销售服务费。所退</w:t>
      </w:r>
      <w:r>
        <w:rPr>
          <w:rFonts w:hint="eastAsia" w:ascii="宋体" w:hAnsi="宋体" w:cs="宋体"/>
          <w:color w:val="auto"/>
          <w:szCs w:val="21"/>
          <w:highlight w:val="none"/>
          <w:lang w:val="en-US" w:eastAsia="zh-CN"/>
        </w:rPr>
        <w:t>房源</w:t>
      </w:r>
      <w:r>
        <w:rPr>
          <w:rFonts w:hint="eastAsia" w:ascii="宋体" w:hAnsi="宋体" w:eastAsia="宋体" w:cs="宋体"/>
          <w:color w:val="auto"/>
          <w:szCs w:val="21"/>
          <w:highlight w:val="none"/>
          <w:lang w:val="en-US" w:eastAsia="zh-CN"/>
        </w:rPr>
        <w:t>由中标人继续销售，中标人再</w:t>
      </w:r>
      <w:r>
        <w:rPr>
          <w:rFonts w:hint="eastAsia" w:ascii="宋体" w:hAnsi="宋体" w:cs="宋体"/>
          <w:color w:val="auto"/>
          <w:szCs w:val="21"/>
          <w:highlight w:val="none"/>
          <w:lang w:val="en-US" w:eastAsia="zh-CN"/>
        </w:rPr>
        <w:t>售出</w:t>
      </w:r>
      <w:r>
        <w:rPr>
          <w:rFonts w:hint="eastAsia" w:ascii="宋体" w:hAnsi="宋体" w:eastAsia="宋体" w:cs="宋体"/>
          <w:color w:val="auto"/>
          <w:szCs w:val="21"/>
          <w:highlight w:val="none"/>
          <w:lang w:val="en-US" w:eastAsia="zh-CN"/>
        </w:rPr>
        <w:t>该</w:t>
      </w:r>
      <w:r>
        <w:rPr>
          <w:rFonts w:hint="eastAsia" w:ascii="宋体" w:hAnsi="宋体" w:cs="宋体"/>
          <w:color w:val="auto"/>
          <w:szCs w:val="21"/>
          <w:highlight w:val="none"/>
          <w:lang w:val="en-US" w:eastAsia="zh-CN"/>
        </w:rPr>
        <w:t>房源</w:t>
      </w:r>
      <w:r>
        <w:rPr>
          <w:rFonts w:hint="eastAsia" w:ascii="宋体" w:hAnsi="宋体" w:eastAsia="宋体" w:cs="宋体"/>
          <w:color w:val="auto"/>
          <w:szCs w:val="21"/>
          <w:highlight w:val="none"/>
          <w:lang w:val="en-US" w:eastAsia="zh-CN"/>
        </w:rPr>
        <w:t>，采购人再支付该</w:t>
      </w:r>
      <w:r>
        <w:rPr>
          <w:rFonts w:hint="eastAsia" w:ascii="宋体" w:hAnsi="宋体" w:cs="宋体"/>
          <w:color w:val="auto"/>
          <w:szCs w:val="21"/>
          <w:highlight w:val="none"/>
          <w:lang w:val="en-US" w:eastAsia="zh-CN"/>
        </w:rPr>
        <w:t>房源</w:t>
      </w:r>
      <w:r>
        <w:rPr>
          <w:rFonts w:hint="eastAsia" w:ascii="宋体" w:hAnsi="宋体" w:eastAsia="宋体" w:cs="宋体"/>
          <w:color w:val="auto"/>
          <w:szCs w:val="21"/>
          <w:highlight w:val="none"/>
          <w:lang w:val="en-US" w:eastAsia="zh-CN"/>
        </w:rPr>
        <w:t>的代理</w:t>
      </w:r>
      <w:r>
        <w:rPr>
          <w:rFonts w:hint="eastAsia" w:ascii="宋体" w:hAnsi="宋体" w:cs="宋体"/>
          <w:color w:val="auto"/>
          <w:szCs w:val="21"/>
          <w:highlight w:val="none"/>
          <w:lang w:val="en-US" w:eastAsia="zh-CN"/>
        </w:rPr>
        <w:t>销售服务</w:t>
      </w:r>
      <w:r>
        <w:rPr>
          <w:rFonts w:hint="eastAsia" w:ascii="宋体" w:hAnsi="宋体" w:eastAsia="宋体" w:cs="宋体"/>
          <w:color w:val="auto"/>
          <w:szCs w:val="21"/>
          <w:highlight w:val="none"/>
          <w:lang w:val="en-US" w:eastAsia="zh-CN"/>
        </w:rPr>
        <w:t>费。</w:t>
      </w:r>
    </w:p>
    <w:p w14:paraId="757CEBC9">
      <w:pPr>
        <w:widowControl/>
        <w:shd w:val="clear" w:color="auto" w:fill="FFFFFF"/>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营销方案须经采购人确认</w:t>
      </w:r>
      <w:r>
        <w:rPr>
          <w:rFonts w:hint="eastAsia" w:ascii="宋体" w:hAnsi="宋体" w:eastAsia="宋体" w:cs="宋体"/>
          <w:color w:val="auto"/>
          <w:szCs w:val="21"/>
          <w:highlight w:val="none"/>
          <w:lang w:val="en-US" w:eastAsia="zh-CN"/>
        </w:rPr>
        <w:t>后实施</w:t>
      </w:r>
      <w:r>
        <w:rPr>
          <w:rFonts w:hint="eastAsia" w:ascii="宋体" w:hAnsi="宋体" w:eastAsia="宋体" w:cs="宋体"/>
          <w:color w:val="auto"/>
          <w:szCs w:val="21"/>
          <w:highlight w:val="none"/>
        </w:rPr>
        <w:t>。</w:t>
      </w:r>
    </w:p>
    <w:p w14:paraId="14B1DB60">
      <w:pPr>
        <w:widowControl/>
        <w:shd w:val="clear" w:color="auto" w:fill="FFFFFF"/>
        <w:spacing w:line="360" w:lineRule="auto"/>
        <w:ind w:firstLine="48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如遇认购者签署认购书后违约，认购者所付定金</w:t>
      </w:r>
      <w:r>
        <w:rPr>
          <w:rFonts w:hint="eastAsia" w:ascii="宋体" w:hAnsi="宋体" w:eastAsia="宋体" w:cs="宋体"/>
          <w:color w:val="auto"/>
          <w:szCs w:val="21"/>
          <w:highlight w:val="none"/>
          <w:lang w:val="en-US" w:eastAsia="zh-CN"/>
        </w:rPr>
        <w:t>归</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所有。</w:t>
      </w:r>
    </w:p>
    <w:p w14:paraId="320DCA9F">
      <w:pPr>
        <w:widowControl/>
        <w:shd w:val="clear" w:color="auto" w:fill="FFFFFF"/>
        <w:spacing w:line="360" w:lineRule="auto"/>
        <w:ind w:firstLine="480"/>
        <w:rPr>
          <w:rFonts w:hint="default" w:cs="Courier New"/>
          <w:b w:val="0"/>
          <w:bCs w:val="0"/>
          <w:color w:val="auto"/>
          <w:sz w:val="21"/>
          <w:szCs w:val="21"/>
          <w:highlight w:val="none"/>
          <w:lang w:val="en-US" w:eastAsia="zh-CN"/>
        </w:rPr>
      </w:pPr>
      <w:r>
        <w:rPr>
          <w:rFonts w:hint="eastAsia" w:cs="Courier New"/>
          <w:b w:val="0"/>
          <w:bCs w:val="0"/>
          <w:color w:val="auto"/>
          <w:sz w:val="21"/>
          <w:szCs w:val="21"/>
          <w:highlight w:val="none"/>
          <w:lang w:val="en-US" w:eastAsia="zh-CN"/>
        </w:rPr>
        <w:t>5、对应销售产品业主购买的附属用房（储藏室、工具间、摩托车库、车位等）的代理销售服务费费率按中标人对应销售产品代理销售服务费的中标费率执行。</w:t>
      </w:r>
    </w:p>
    <w:p w14:paraId="6338ECD3">
      <w:pPr>
        <w:widowControl/>
        <w:shd w:val="clear" w:color="auto" w:fill="FFFFFF"/>
        <w:spacing w:line="360" w:lineRule="auto"/>
        <w:ind w:firstLine="48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销售展示中心</w:t>
      </w:r>
      <w:r>
        <w:rPr>
          <w:rFonts w:hint="eastAsia" w:ascii="宋体" w:hAnsi="宋体" w:cs="宋体"/>
          <w:color w:val="auto"/>
          <w:szCs w:val="21"/>
          <w:highlight w:val="none"/>
          <w:lang w:val="en-US" w:eastAsia="zh-CN"/>
        </w:rPr>
        <w:t>等场馆建设、硬装、软装（包含沙盘、户型模型等）</w:t>
      </w:r>
      <w:r>
        <w:rPr>
          <w:rFonts w:hint="eastAsia" w:ascii="宋体" w:hAnsi="宋体" w:eastAsia="宋体" w:cs="宋体"/>
          <w:color w:val="auto"/>
          <w:szCs w:val="21"/>
          <w:highlight w:val="none"/>
          <w:lang w:eastAsia="zh-CN"/>
        </w:rPr>
        <w:t>等</w:t>
      </w:r>
      <w:r>
        <w:rPr>
          <w:rFonts w:hint="eastAsia" w:ascii="宋体" w:hAnsi="宋体" w:cs="宋体"/>
          <w:color w:val="auto"/>
          <w:szCs w:val="21"/>
          <w:highlight w:val="none"/>
          <w:lang w:val="en-US" w:eastAsia="zh-CN"/>
        </w:rPr>
        <w:t>费用由采购人承担。</w:t>
      </w:r>
    </w:p>
    <w:p w14:paraId="3CF6A3AF">
      <w:pPr>
        <w:spacing w:before="120" w:beforeLines="50" w:after="120" w:afterLines="50"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三</w:t>
      </w:r>
      <w:r>
        <w:rPr>
          <w:rFonts w:ascii="宋体" w:hAnsi="宋体"/>
          <w:b/>
          <w:bCs/>
          <w:color w:val="auto"/>
          <w:szCs w:val="21"/>
          <w:highlight w:val="none"/>
        </w:rPr>
        <w:t>、</w:t>
      </w:r>
      <w:r>
        <w:rPr>
          <w:rFonts w:hint="eastAsia" w:ascii="宋体" w:hAnsi="宋体"/>
          <w:b/>
          <w:bCs/>
          <w:color w:val="auto"/>
          <w:szCs w:val="21"/>
          <w:highlight w:val="none"/>
        </w:rPr>
        <w:t>付款方式</w:t>
      </w:r>
    </w:p>
    <w:p w14:paraId="187B9C45">
      <w:pPr>
        <w:widowControl/>
        <w:shd w:val="clear" w:color="auto" w:fill="FFFFFF"/>
        <w:spacing w:line="360" w:lineRule="auto"/>
        <w:ind w:firstLine="480"/>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lang w:val="en-US" w:eastAsia="zh-CN"/>
        </w:rPr>
        <w:t>代理销售服务费支付方式</w:t>
      </w:r>
      <w:r>
        <w:rPr>
          <w:rFonts w:hint="eastAsia" w:ascii="宋体" w:hAnsi="宋体" w:cs="宋体"/>
          <w:b/>
          <w:bCs/>
          <w:color w:val="auto"/>
          <w:szCs w:val="21"/>
          <w:highlight w:val="none"/>
          <w:lang w:val="en-US" w:eastAsia="zh-CN"/>
        </w:rPr>
        <w:t>[每季度</w:t>
      </w:r>
      <w:r>
        <w:rPr>
          <w:rFonts w:hint="eastAsia" w:ascii="宋体" w:hAnsi="宋体" w:eastAsia="宋体" w:cs="宋体"/>
          <w:b/>
          <w:bCs/>
          <w:color w:val="auto"/>
          <w:szCs w:val="21"/>
          <w:highlight w:val="none"/>
          <w:lang w:val="en-US" w:eastAsia="zh-CN"/>
        </w:rPr>
        <w:t>代理销售服务费按</w:t>
      </w:r>
      <w:r>
        <w:rPr>
          <w:rFonts w:hint="eastAsia" w:ascii="宋体" w:hAnsi="宋体" w:cs="宋体"/>
          <w:b/>
          <w:bCs/>
          <w:color w:val="auto"/>
          <w:szCs w:val="21"/>
          <w:highlight w:val="none"/>
          <w:lang w:val="en-US" w:eastAsia="zh-CN"/>
        </w:rPr>
        <w:t>该</w:t>
      </w:r>
      <w:r>
        <w:rPr>
          <w:rFonts w:hint="eastAsia" w:ascii="宋体" w:hAnsi="宋体" w:eastAsia="宋体" w:cs="宋体"/>
          <w:b/>
          <w:bCs/>
          <w:color w:val="auto"/>
          <w:szCs w:val="21"/>
          <w:highlight w:val="none"/>
          <w:lang w:val="en-US" w:eastAsia="zh-CN"/>
        </w:rPr>
        <w:t>季度实际</w:t>
      </w:r>
      <w:r>
        <w:rPr>
          <w:rFonts w:hint="eastAsia" w:ascii="宋体" w:hAnsi="宋体" w:cs="宋体"/>
          <w:b/>
          <w:bCs/>
          <w:color w:val="auto"/>
          <w:szCs w:val="21"/>
          <w:highlight w:val="none"/>
          <w:lang w:val="en-US" w:eastAsia="zh-CN"/>
        </w:rPr>
        <w:t>销售产品</w:t>
      </w:r>
      <w:r>
        <w:rPr>
          <w:rFonts w:hint="eastAsia" w:ascii="宋体" w:hAnsi="宋体" w:eastAsia="宋体" w:cs="宋体"/>
          <w:b/>
          <w:bCs/>
          <w:color w:val="auto"/>
          <w:szCs w:val="21"/>
          <w:highlight w:val="none"/>
          <w:lang w:val="en-US" w:eastAsia="zh-CN"/>
        </w:rPr>
        <w:t>的销售金额（不含定向房票房源及政府回购部分）×</w:t>
      </w:r>
      <w:r>
        <w:rPr>
          <w:rFonts w:hint="eastAsia" w:ascii="宋体" w:hAnsi="宋体" w:cs="宋体"/>
          <w:b/>
          <w:bCs/>
          <w:color w:val="auto"/>
          <w:szCs w:val="21"/>
          <w:highlight w:val="none"/>
          <w:lang w:val="en-US" w:eastAsia="zh-CN"/>
        </w:rPr>
        <w:t>对应销售产品的</w:t>
      </w:r>
      <w:r>
        <w:rPr>
          <w:rFonts w:hint="eastAsia" w:ascii="宋体" w:hAnsi="宋体" w:eastAsia="宋体" w:cs="宋体"/>
          <w:b/>
          <w:bCs/>
          <w:color w:val="auto"/>
          <w:szCs w:val="21"/>
          <w:highlight w:val="none"/>
          <w:lang w:val="en-US" w:eastAsia="zh-CN"/>
        </w:rPr>
        <w:t>中标费率</w:t>
      </w:r>
      <w:r>
        <w:rPr>
          <w:rFonts w:hint="eastAsia" w:ascii="宋体" w:hAnsi="宋体" w:cs="宋体"/>
          <w:b/>
          <w:bCs/>
          <w:color w:val="auto"/>
          <w:szCs w:val="21"/>
          <w:highlight w:val="none"/>
          <w:lang w:val="en-US" w:eastAsia="zh-CN"/>
        </w:rPr>
        <w:t>或考核后的费率</w:t>
      </w:r>
      <w:r>
        <w:rPr>
          <w:rFonts w:hint="eastAsia" w:ascii="宋体" w:hAnsi="宋体" w:eastAsia="宋体" w:cs="宋体"/>
          <w:b/>
          <w:bCs/>
          <w:color w:val="auto"/>
          <w:szCs w:val="21"/>
          <w:highlight w:val="none"/>
          <w:lang w:val="en-US" w:eastAsia="zh-CN"/>
        </w:rPr>
        <w:t>计算</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lang w:val="en-US" w:eastAsia="zh-CN"/>
        </w:rPr>
        <w:t>：</w:t>
      </w:r>
    </w:p>
    <w:p w14:paraId="203C3BD2">
      <w:pPr>
        <w:widowControl/>
        <w:shd w:val="clear" w:color="auto" w:fill="FFFFFF"/>
        <w:spacing w:line="360" w:lineRule="auto"/>
        <w:ind w:firstLine="48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①合同签订</w:t>
      </w:r>
      <w:r>
        <w:rPr>
          <w:rFonts w:hint="eastAsia" w:ascii="宋体" w:hAnsi="宋体" w:cs="宋体"/>
          <w:color w:val="auto"/>
          <w:szCs w:val="21"/>
          <w:highlight w:val="none"/>
          <w:lang w:val="en-US" w:eastAsia="zh-CN"/>
        </w:rPr>
        <w:t>，中标人提交</w:t>
      </w:r>
      <w:r>
        <w:rPr>
          <w:rFonts w:hint="eastAsia" w:ascii="宋体" w:hAnsi="宋体" w:eastAsia="宋体" w:cs="宋体"/>
          <w:color w:val="auto"/>
          <w:szCs w:val="21"/>
          <w:highlight w:val="none"/>
          <w:lang w:val="en-US" w:eastAsia="zh-CN"/>
        </w:rPr>
        <w:t>暂定代理销售服务费</w:t>
      </w:r>
      <w:r>
        <w:rPr>
          <w:rFonts w:hint="eastAsia" w:ascii="宋体" w:hAnsi="宋体" w:cs="宋体"/>
          <w:color w:val="auto"/>
          <w:szCs w:val="21"/>
          <w:highlight w:val="none"/>
          <w:lang w:val="en-US" w:eastAsia="zh-CN"/>
        </w:rPr>
        <w:t>总价的5%等额预付款担保后（担保形式应符合相关文件规定及采购人要求），采购人支付</w:t>
      </w:r>
      <w:r>
        <w:rPr>
          <w:rFonts w:hint="eastAsia" w:ascii="宋体" w:hAnsi="宋体" w:eastAsia="宋体" w:cs="宋体"/>
          <w:color w:val="auto"/>
          <w:szCs w:val="21"/>
          <w:highlight w:val="none"/>
          <w:lang w:val="en-US" w:eastAsia="zh-CN"/>
        </w:rPr>
        <w:t>暂定代理销售服务费</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lang w:val="en-US" w:eastAsia="zh-CN"/>
        </w:rPr>
        <w:t>价</w:t>
      </w:r>
      <w:r>
        <w:rPr>
          <w:rFonts w:hint="eastAsia" w:ascii="宋体" w:hAnsi="宋体" w:cs="宋体"/>
          <w:color w:val="auto"/>
          <w:szCs w:val="21"/>
          <w:highlight w:val="none"/>
          <w:lang w:val="en-US" w:eastAsia="zh-CN"/>
        </w:rPr>
        <w:t>的5</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作为预付款；</w:t>
      </w:r>
    </w:p>
    <w:p w14:paraId="106B6E8D">
      <w:pPr>
        <w:widowControl/>
        <w:shd w:val="clear" w:color="auto" w:fill="FFFFFF"/>
        <w:spacing w:line="360" w:lineRule="auto"/>
        <w:ind w:firstLine="48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代理销售服务费</w:t>
      </w:r>
      <w:r>
        <w:rPr>
          <w:rFonts w:hint="eastAsia" w:ascii="宋体" w:hAnsi="宋体" w:cs="宋体"/>
          <w:color w:val="auto"/>
          <w:szCs w:val="21"/>
          <w:highlight w:val="none"/>
          <w:lang w:val="en-US" w:eastAsia="zh-CN"/>
        </w:rPr>
        <w:t>累计超过预付款金额后</w:t>
      </w:r>
      <w:r>
        <w:rPr>
          <w:rFonts w:hint="eastAsia" w:ascii="宋体" w:hAnsi="宋体" w:cs="宋体"/>
          <w:color w:val="auto"/>
          <w:szCs w:val="21"/>
          <w:highlight w:val="none"/>
        </w:rPr>
        <w:t>每季度结算一次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例：若预付款金额为100万元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中标人第一季度结算后的</w:t>
      </w:r>
      <w:r>
        <w:rPr>
          <w:rFonts w:hint="eastAsia" w:ascii="宋体" w:hAnsi="宋体" w:cs="宋体"/>
          <w:color w:val="auto"/>
          <w:szCs w:val="21"/>
          <w:highlight w:val="none"/>
        </w:rPr>
        <w:t>代理销售服务费</w:t>
      </w:r>
      <w:r>
        <w:rPr>
          <w:rFonts w:hint="eastAsia" w:ascii="宋体" w:hAnsi="宋体" w:cs="宋体"/>
          <w:color w:val="auto"/>
          <w:szCs w:val="21"/>
          <w:highlight w:val="none"/>
          <w:lang w:val="en-US" w:eastAsia="zh-CN"/>
        </w:rPr>
        <w:t>为80万元，则采购人第一季度不予支付中标人</w:t>
      </w:r>
      <w:r>
        <w:rPr>
          <w:rFonts w:hint="eastAsia" w:ascii="宋体" w:hAnsi="宋体" w:cs="宋体"/>
          <w:color w:val="auto"/>
          <w:szCs w:val="21"/>
          <w:highlight w:val="none"/>
        </w:rPr>
        <w:t>代理销售服务费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至中标人第二季度与第一季度结算后的</w:t>
      </w:r>
      <w:r>
        <w:rPr>
          <w:rFonts w:hint="eastAsia" w:ascii="宋体" w:hAnsi="宋体" w:cs="宋体"/>
          <w:color w:val="auto"/>
          <w:szCs w:val="21"/>
          <w:highlight w:val="none"/>
        </w:rPr>
        <w:t>代理销售服务费</w:t>
      </w:r>
      <w:r>
        <w:rPr>
          <w:rFonts w:hint="eastAsia" w:ascii="宋体" w:hAnsi="宋体" w:cs="宋体"/>
          <w:color w:val="auto"/>
          <w:szCs w:val="21"/>
          <w:highlight w:val="none"/>
          <w:lang w:val="en-US" w:eastAsia="zh-CN"/>
        </w:rPr>
        <w:t>累计超过100万元，扣除100万元后支付剩下的</w:t>
      </w:r>
      <w:r>
        <w:rPr>
          <w:rFonts w:hint="eastAsia" w:ascii="宋体" w:hAnsi="宋体" w:cs="宋体"/>
          <w:color w:val="auto"/>
          <w:szCs w:val="21"/>
          <w:highlight w:val="none"/>
        </w:rPr>
        <w:t>代理销售服务费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中标人在上季度结束后按相关销售数据（经采购人审核确认）向采购人申请支付上一季度的代理</w:t>
      </w:r>
      <w:r>
        <w:rPr>
          <w:rFonts w:hint="eastAsia" w:ascii="宋体" w:hAnsi="宋体" w:cs="宋体"/>
          <w:color w:val="auto"/>
          <w:szCs w:val="21"/>
          <w:highlight w:val="none"/>
        </w:rPr>
        <w:t>销售服务费</w:t>
      </w:r>
      <w:r>
        <w:rPr>
          <w:rFonts w:hint="eastAsia" w:ascii="宋体" w:hAnsi="宋体" w:cs="宋体"/>
          <w:color w:val="auto"/>
          <w:szCs w:val="21"/>
          <w:highlight w:val="none"/>
          <w:lang w:val="en-US" w:eastAsia="zh-CN"/>
        </w:rPr>
        <w:t>（销售数据截止到上季度月最后一个日历天北京时间24：00点整），采购人</w:t>
      </w:r>
      <w:r>
        <w:rPr>
          <w:rFonts w:hint="eastAsia" w:ascii="宋体" w:hAnsi="宋体" w:cs="宋体"/>
          <w:color w:val="auto"/>
          <w:szCs w:val="21"/>
          <w:highlight w:val="none"/>
          <w:lang w:eastAsia="zh-CN"/>
        </w:rPr>
        <w:t>按照</w:t>
      </w:r>
      <w:r>
        <w:rPr>
          <w:rFonts w:hint="eastAsia" w:ascii="宋体" w:hAnsi="宋体" w:cs="宋体"/>
          <w:color w:val="auto"/>
          <w:szCs w:val="21"/>
          <w:highlight w:val="none"/>
          <w:lang w:val="en-US" w:eastAsia="zh-CN"/>
        </w:rPr>
        <w:t>审核后的上季度代理</w:t>
      </w:r>
      <w:r>
        <w:rPr>
          <w:rFonts w:hint="eastAsia" w:ascii="宋体" w:hAnsi="宋体" w:cs="宋体"/>
          <w:color w:val="auto"/>
          <w:szCs w:val="21"/>
          <w:highlight w:val="none"/>
        </w:rPr>
        <w:t>销售服务费</w:t>
      </w:r>
      <w:r>
        <w:rPr>
          <w:rFonts w:hint="eastAsia" w:ascii="宋体" w:hAnsi="宋体" w:cs="宋体"/>
          <w:color w:val="auto"/>
          <w:szCs w:val="21"/>
          <w:highlight w:val="none"/>
          <w:lang w:val="en-US" w:eastAsia="zh-CN"/>
        </w:rPr>
        <w:t>的85</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进行支付；</w:t>
      </w:r>
    </w:p>
    <w:p w14:paraId="3A931A21">
      <w:pPr>
        <w:widowControl/>
        <w:shd w:val="clear" w:color="auto" w:fill="FFFFFF"/>
        <w:spacing w:line="360" w:lineRule="auto"/>
        <w:ind w:firstLine="48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③剩余代理销售服务费</w:t>
      </w:r>
      <w:r>
        <w:rPr>
          <w:rFonts w:hint="eastAsia" w:ascii="宋体" w:hAnsi="宋体" w:eastAsia="宋体" w:cs="宋体"/>
          <w:color w:val="auto"/>
          <w:szCs w:val="21"/>
          <w:highlight w:val="none"/>
          <w:lang w:val="en-US" w:eastAsia="zh-CN"/>
        </w:rPr>
        <w:t>在大产权证办理完成，并办理完毕已售房源100%业主的交付工作后支付（非中标人原因导致交付工作未完成时可由双方另行协商）。</w:t>
      </w:r>
    </w:p>
    <w:p w14:paraId="46A1300C">
      <w:pPr>
        <w:widowControl/>
        <w:numPr>
          <w:ilvl w:val="0"/>
          <w:numId w:val="5"/>
        </w:numPr>
        <w:shd w:val="clear" w:color="auto" w:fill="FFFFFF"/>
        <w:spacing w:line="360" w:lineRule="auto"/>
        <w:ind w:firstLine="480"/>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房票房源手续办理服务费</w:t>
      </w:r>
      <w:r>
        <w:rPr>
          <w:rFonts w:hint="eastAsia" w:ascii="宋体" w:hAnsi="宋体" w:eastAsia="宋体" w:cs="宋体"/>
          <w:b/>
          <w:bCs/>
          <w:color w:val="auto"/>
          <w:szCs w:val="21"/>
          <w:highlight w:val="none"/>
          <w:lang w:val="en-US" w:eastAsia="zh-CN"/>
        </w:rPr>
        <w:t>支付方式</w:t>
      </w:r>
      <w:r>
        <w:rPr>
          <w:rFonts w:hint="eastAsia" w:ascii="宋体" w:hAnsi="宋体" w:cs="宋体"/>
          <w:b/>
          <w:bCs/>
          <w:color w:val="auto"/>
          <w:szCs w:val="21"/>
          <w:highlight w:val="none"/>
          <w:lang w:val="en-US" w:eastAsia="zh-CN"/>
        </w:rPr>
        <w:t>[每季度房票房源手续办理服务费</w:t>
      </w:r>
      <w:r>
        <w:rPr>
          <w:rFonts w:hint="eastAsia" w:ascii="宋体" w:hAnsi="宋体" w:eastAsia="宋体" w:cs="宋体"/>
          <w:b/>
          <w:bCs/>
          <w:color w:val="auto"/>
          <w:szCs w:val="21"/>
          <w:highlight w:val="none"/>
          <w:lang w:val="en-US" w:eastAsia="zh-CN"/>
        </w:rPr>
        <w:t>按</w:t>
      </w:r>
      <w:r>
        <w:rPr>
          <w:rFonts w:hint="eastAsia" w:ascii="宋体" w:hAnsi="宋体" w:cs="宋体"/>
          <w:b/>
          <w:bCs/>
          <w:color w:val="auto"/>
          <w:szCs w:val="21"/>
          <w:highlight w:val="none"/>
          <w:lang w:val="en-US" w:eastAsia="zh-CN"/>
        </w:rPr>
        <w:t>该</w:t>
      </w:r>
      <w:r>
        <w:rPr>
          <w:rFonts w:hint="eastAsia" w:ascii="宋体" w:hAnsi="宋体" w:eastAsia="宋体" w:cs="宋体"/>
          <w:b/>
          <w:bCs/>
          <w:color w:val="auto"/>
          <w:szCs w:val="21"/>
          <w:highlight w:val="none"/>
          <w:lang w:val="en-US" w:eastAsia="zh-CN"/>
        </w:rPr>
        <w:t>季度实际房票房源手续办理数量（套数）×</w:t>
      </w:r>
      <w:r>
        <w:rPr>
          <w:rFonts w:hint="eastAsia" w:ascii="宋体" w:hAnsi="宋体" w:cs="宋体"/>
          <w:b/>
          <w:bCs/>
          <w:color w:val="auto"/>
          <w:szCs w:val="21"/>
          <w:highlight w:val="none"/>
          <w:lang w:val="en-US" w:eastAsia="zh-CN"/>
        </w:rPr>
        <w:t>对应</w:t>
      </w:r>
      <w:r>
        <w:rPr>
          <w:rFonts w:hint="eastAsia" w:ascii="宋体" w:hAnsi="宋体" w:eastAsia="宋体" w:cs="宋体"/>
          <w:b/>
          <w:bCs/>
          <w:color w:val="auto"/>
          <w:szCs w:val="21"/>
          <w:highlight w:val="none"/>
          <w:lang w:val="en-US" w:eastAsia="zh-CN"/>
        </w:rPr>
        <w:t>中标单价计算</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lang w:val="en-US" w:eastAsia="zh-CN"/>
        </w:rPr>
        <w:t>：</w:t>
      </w:r>
    </w:p>
    <w:p w14:paraId="0226DB3A">
      <w:pPr>
        <w:widowControl/>
        <w:shd w:val="clear" w:color="auto" w:fill="FFFFFF"/>
        <w:spacing w:line="360" w:lineRule="auto"/>
        <w:ind w:firstLine="4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①房票房源手续办理服务费每季度结算一次，中标人在上季度结束后按相关办理数据（经采购人审核确认）向采购人申请支付上一季度的房票房源手续办理服务费（办理数据</w:t>
      </w:r>
      <w:r>
        <w:rPr>
          <w:rFonts w:hint="eastAsia" w:ascii="宋体" w:hAnsi="宋体" w:cs="宋体"/>
          <w:color w:val="auto"/>
          <w:szCs w:val="21"/>
          <w:highlight w:val="none"/>
          <w:lang w:val="en-US" w:eastAsia="zh-CN"/>
        </w:rPr>
        <w:t>截止到上</w:t>
      </w:r>
      <w:r>
        <w:rPr>
          <w:rFonts w:hint="eastAsia" w:ascii="宋体" w:hAnsi="宋体" w:eastAsia="宋体" w:cs="宋体"/>
          <w:color w:val="auto"/>
          <w:szCs w:val="21"/>
          <w:highlight w:val="none"/>
          <w:lang w:val="en-US" w:eastAsia="zh-CN"/>
        </w:rPr>
        <w:t>季度月最后一个日历天北京时间24：00点整），采购人按照审核后的上季度房票房源手续办理服务费的90%进行支付；</w:t>
      </w:r>
    </w:p>
    <w:p w14:paraId="72425762">
      <w:pPr>
        <w:widowControl/>
        <w:shd w:val="clear" w:color="auto" w:fill="FFFFFF"/>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②剩余房票房源手续办理服务费在大产权证办理完成，并办理完毕已售房源100%业主的交付工作后支付（非中标人原因导致交付工作未完成时可由双方另行协商）。</w:t>
      </w:r>
    </w:p>
    <w:p w14:paraId="16194E0A">
      <w:pPr>
        <w:widowControl/>
        <w:shd w:val="clear" w:color="auto" w:fill="FFFFFF"/>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注：每期付款前，</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应提供</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审核确认的增值税专用发票金额，税金由</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承担</w:t>
      </w:r>
      <w:r>
        <w:rPr>
          <w:rFonts w:hint="eastAsia" w:ascii="宋体" w:hAnsi="宋体" w:cs="宋体"/>
          <w:color w:val="auto"/>
          <w:szCs w:val="21"/>
          <w:highlight w:val="none"/>
          <w:lang w:eastAsia="zh-CN"/>
        </w:rPr>
        <w:t>。</w:t>
      </w:r>
    </w:p>
    <w:p w14:paraId="1A6F5C00">
      <w:pPr>
        <w:widowControl/>
        <w:shd w:val="clear" w:color="auto" w:fill="FFFFFF"/>
        <w:spacing w:line="360" w:lineRule="auto"/>
        <w:ind w:firstLine="480"/>
        <w:rPr>
          <w:rFonts w:hint="eastAsia" w:ascii="宋体" w:hAnsi="宋体" w:eastAsia="宋体"/>
          <w:b/>
          <w:bCs/>
          <w:color w:val="auto"/>
          <w:szCs w:val="21"/>
          <w:highlight w:val="none"/>
          <w:lang w:eastAsia="zh-CN"/>
        </w:rPr>
      </w:pPr>
      <w:r>
        <w:rPr>
          <w:rFonts w:hint="eastAsia" w:ascii="宋体" w:hAnsi="宋体"/>
          <w:b/>
          <w:bCs/>
          <w:color w:val="auto"/>
          <w:szCs w:val="21"/>
          <w:highlight w:val="none"/>
        </w:rPr>
        <w:t>四</w:t>
      </w:r>
      <w:r>
        <w:rPr>
          <w:rFonts w:ascii="宋体" w:hAnsi="宋体"/>
          <w:b/>
          <w:bCs/>
          <w:color w:val="auto"/>
          <w:szCs w:val="21"/>
          <w:highlight w:val="none"/>
        </w:rPr>
        <w:t>、</w:t>
      </w:r>
      <w:r>
        <w:rPr>
          <w:rFonts w:hint="eastAsia" w:ascii="宋体" w:hAnsi="宋体"/>
          <w:b/>
          <w:bCs/>
          <w:color w:val="auto"/>
          <w:szCs w:val="21"/>
          <w:highlight w:val="none"/>
        </w:rPr>
        <w:t>履约</w:t>
      </w:r>
      <w:r>
        <w:rPr>
          <w:rFonts w:hint="eastAsia" w:ascii="宋体" w:hAnsi="宋体"/>
          <w:b/>
          <w:bCs/>
          <w:color w:val="auto"/>
          <w:szCs w:val="21"/>
          <w:highlight w:val="none"/>
          <w:lang w:eastAsia="zh-CN"/>
        </w:rPr>
        <w:t>保证金</w:t>
      </w:r>
    </w:p>
    <w:p w14:paraId="29C6687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履约</w:t>
      </w:r>
      <w:r>
        <w:rPr>
          <w:rFonts w:hint="eastAsia" w:ascii="宋体" w:hAnsi="宋体"/>
          <w:color w:val="auto"/>
          <w:szCs w:val="21"/>
          <w:highlight w:val="none"/>
          <w:lang w:eastAsia="zh-CN"/>
        </w:rPr>
        <w:t>保证金</w:t>
      </w:r>
      <w:r>
        <w:rPr>
          <w:rFonts w:hint="eastAsia" w:ascii="宋体" w:hAnsi="宋体"/>
          <w:color w:val="auto"/>
          <w:szCs w:val="21"/>
          <w:highlight w:val="none"/>
        </w:rPr>
        <w:t>金额：签约合同价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暂定）的1%</w:t>
      </w:r>
      <w:r>
        <w:rPr>
          <w:rFonts w:hint="eastAsia" w:ascii="宋体" w:hAnsi="宋体"/>
          <w:color w:val="auto"/>
          <w:szCs w:val="21"/>
          <w:highlight w:val="none"/>
        </w:rPr>
        <w:t>；</w:t>
      </w:r>
    </w:p>
    <w:p w14:paraId="5437220E">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缴纳方式：</w:t>
      </w:r>
      <w:r>
        <w:rPr>
          <w:rFonts w:hint="eastAsia" w:ascii="宋体" w:hAnsi="宋体" w:cs="宋体"/>
          <w:color w:val="auto"/>
          <w:szCs w:val="21"/>
          <w:highlight w:val="none"/>
          <w:lang w:val="en-US" w:eastAsia="zh-CN"/>
        </w:rPr>
        <w:t>现金或</w:t>
      </w:r>
      <w:r>
        <w:rPr>
          <w:rFonts w:hint="eastAsia" w:ascii="宋体" w:hAnsi="宋体"/>
          <w:color w:val="auto"/>
          <w:szCs w:val="21"/>
          <w:highlight w:val="none"/>
          <w:lang w:val="en-US" w:eastAsia="zh-CN"/>
        </w:rPr>
        <w:t>银行保函或工程综合保险合同或担保保函（由政策融资担保有限公司出具，格式按担保公司规定执行）</w:t>
      </w:r>
      <w:r>
        <w:rPr>
          <w:rFonts w:hint="eastAsia" w:ascii="宋体" w:hAnsi="宋体"/>
          <w:color w:val="auto"/>
          <w:szCs w:val="21"/>
          <w:highlight w:val="none"/>
        </w:rPr>
        <w:t>；</w:t>
      </w:r>
    </w:p>
    <w:p w14:paraId="19EDE16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缴纳时间：合同签订后一个月以内；</w:t>
      </w:r>
    </w:p>
    <w:p w14:paraId="1989D5B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szCs w:val="21"/>
          <w:highlight w:val="none"/>
        </w:rPr>
        <w:t>履约</w:t>
      </w:r>
      <w:r>
        <w:rPr>
          <w:rFonts w:hint="eastAsia" w:ascii="宋体" w:hAnsi="宋体"/>
          <w:color w:val="auto"/>
          <w:szCs w:val="21"/>
          <w:highlight w:val="none"/>
          <w:lang w:eastAsia="zh-CN"/>
        </w:rPr>
        <w:t>保证金</w:t>
      </w:r>
      <w:r>
        <w:rPr>
          <w:rFonts w:hint="eastAsia" w:ascii="宋体" w:hAnsi="宋体"/>
          <w:color w:val="auto"/>
          <w:szCs w:val="21"/>
          <w:highlight w:val="none"/>
          <w:lang w:val="en-US" w:eastAsia="zh-CN"/>
        </w:rPr>
        <w:t>的</w:t>
      </w:r>
      <w:r>
        <w:rPr>
          <w:rFonts w:hint="eastAsia" w:ascii="宋体" w:hAnsi="宋体"/>
          <w:color w:val="auto"/>
          <w:szCs w:val="21"/>
          <w:highlight w:val="none"/>
        </w:rPr>
        <w:t>退还：服务期结束后15天内一次性无息退还。</w:t>
      </w:r>
    </w:p>
    <w:p w14:paraId="7BAF5CA2">
      <w:pPr>
        <w:spacing w:before="120" w:beforeLines="50" w:after="120" w:afterLines="50"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五</w:t>
      </w:r>
      <w:r>
        <w:rPr>
          <w:rFonts w:ascii="宋体" w:hAnsi="宋体"/>
          <w:b/>
          <w:bCs/>
          <w:color w:val="auto"/>
          <w:szCs w:val="21"/>
          <w:highlight w:val="none"/>
        </w:rPr>
        <w:t>、</w:t>
      </w:r>
      <w:r>
        <w:rPr>
          <w:rFonts w:hint="eastAsia" w:ascii="宋体" w:hAnsi="宋体"/>
          <w:b/>
          <w:bCs/>
          <w:color w:val="auto"/>
          <w:szCs w:val="21"/>
          <w:highlight w:val="none"/>
        </w:rPr>
        <w:t>其他要求</w:t>
      </w:r>
    </w:p>
    <w:p w14:paraId="029CEA65">
      <w:pPr>
        <w:adjustRightInd w:val="0"/>
        <w:snapToGrid w:val="0"/>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1、项目开盘之日起至12个月止，已取证商品房销售率未达到50％，扣除履约</w:t>
      </w:r>
      <w:r>
        <w:rPr>
          <w:rFonts w:hint="eastAsia" w:ascii="宋体" w:hAnsi="宋体"/>
          <w:color w:val="auto"/>
          <w:szCs w:val="21"/>
          <w:highlight w:val="none"/>
          <w:lang w:eastAsia="zh-CN"/>
        </w:rPr>
        <w:t>保证金</w:t>
      </w:r>
      <w:r>
        <w:rPr>
          <w:rFonts w:hint="eastAsia" w:ascii="宋体" w:hAnsi="宋体"/>
          <w:color w:val="auto"/>
          <w:szCs w:val="21"/>
          <w:highlight w:val="none"/>
        </w:rPr>
        <w:t>作为</w:t>
      </w:r>
      <w:r>
        <w:rPr>
          <w:rFonts w:hint="eastAsia" w:ascii="宋体" w:hAnsi="宋体"/>
          <w:color w:val="auto"/>
          <w:szCs w:val="21"/>
          <w:highlight w:val="none"/>
          <w:lang w:eastAsia="zh-CN"/>
        </w:rPr>
        <w:t>违约金</w:t>
      </w:r>
      <w:r>
        <w:rPr>
          <w:rFonts w:hint="eastAsia" w:ascii="宋体" w:hAnsi="宋体"/>
          <w:color w:val="auto"/>
          <w:szCs w:val="21"/>
          <w:highlight w:val="none"/>
        </w:rPr>
        <w:t>，且采购人根据情况有权单方面解除合同。若采购人解除合同，</w:t>
      </w:r>
      <w:r>
        <w:rPr>
          <w:rFonts w:hint="eastAsia" w:ascii="宋体" w:hAnsi="宋体"/>
          <w:color w:val="auto"/>
          <w:szCs w:val="21"/>
          <w:highlight w:val="none"/>
          <w:lang w:val="en-US" w:eastAsia="zh-CN"/>
        </w:rPr>
        <w:t>此前季度考核后剩余的服务费予以结清，</w:t>
      </w:r>
      <w:r>
        <w:rPr>
          <w:rFonts w:hint="eastAsia" w:ascii="宋体" w:hAnsi="宋体"/>
          <w:color w:val="auto"/>
          <w:szCs w:val="21"/>
          <w:highlight w:val="none"/>
        </w:rPr>
        <w:t>中标人须延续服务至下一销售团队进场为止，在此期间中标人产生的服务费按合同约定予以支付。</w:t>
      </w:r>
    </w:p>
    <w:p w14:paraId="757978AC">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2、采购人对销售计划、销售活动等具有最终确认权。</w:t>
      </w:r>
    </w:p>
    <w:p w14:paraId="13E06030">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s="Times New Roman"/>
          <w:color w:val="auto"/>
          <w:szCs w:val="21"/>
          <w:highlight w:val="none"/>
        </w:rPr>
        <w:t>因</w:t>
      </w:r>
      <w:r>
        <w:rPr>
          <w:rFonts w:hint="eastAsia" w:ascii="宋体" w:hAnsi="宋体" w:cs="Times New Roman"/>
          <w:color w:val="auto"/>
          <w:szCs w:val="21"/>
          <w:highlight w:val="none"/>
          <w:lang w:eastAsia="zh-CN"/>
        </w:rPr>
        <w:t>中标人</w:t>
      </w:r>
      <w:r>
        <w:rPr>
          <w:rFonts w:hint="eastAsia" w:ascii="宋体" w:hAnsi="宋体" w:cs="Times New Roman"/>
          <w:color w:val="auto"/>
          <w:szCs w:val="21"/>
          <w:highlight w:val="none"/>
        </w:rPr>
        <w:t>原因，包括但不限于虚假宣传，欺骗客户、额外收取费用等不良行为，或者被上级主管部门或媒体等公共媒介曝光，造成</w:t>
      </w:r>
      <w:r>
        <w:rPr>
          <w:rFonts w:hint="eastAsia" w:ascii="宋体" w:hAnsi="宋体" w:cs="Times New Roman"/>
          <w:color w:val="auto"/>
          <w:szCs w:val="21"/>
          <w:highlight w:val="none"/>
          <w:lang w:eastAsia="zh-CN"/>
        </w:rPr>
        <w:t>采购人</w:t>
      </w:r>
      <w:r>
        <w:rPr>
          <w:rFonts w:hint="eastAsia" w:ascii="宋体" w:hAnsi="宋体" w:cs="Times New Roman"/>
          <w:color w:val="auto"/>
          <w:szCs w:val="21"/>
          <w:highlight w:val="none"/>
        </w:rPr>
        <w:t>形象受损，</w:t>
      </w:r>
      <w:r>
        <w:rPr>
          <w:rFonts w:hint="eastAsia" w:ascii="宋体" w:hAnsi="宋体" w:cs="Times New Roman"/>
          <w:color w:val="auto"/>
          <w:szCs w:val="21"/>
          <w:highlight w:val="none"/>
          <w:lang w:eastAsia="zh-CN"/>
        </w:rPr>
        <w:t>采购人</w:t>
      </w:r>
      <w:r>
        <w:rPr>
          <w:rFonts w:hint="eastAsia" w:ascii="宋体" w:hAnsi="宋体" w:cs="Times New Roman"/>
          <w:color w:val="auto"/>
          <w:szCs w:val="21"/>
          <w:highlight w:val="none"/>
        </w:rPr>
        <w:t>有权提前终止合同并没收全部履约保证金及未结付佣金。</w:t>
      </w:r>
    </w:p>
    <w:p w14:paraId="7847A80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val="en-US" w:eastAsia="zh-CN"/>
        </w:rPr>
        <w:t>人</w:t>
      </w:r>
      <w:r>
        <w:rPr>
          <w:rFonts w:hint="eastAsia" w:ascii="宋体" w:hAnsi="宋体"/>
          <w:color w:val="auto"/>
          <w:szCs w:val="21"/>
          <w:highlight w:val="none"/>
        </w:rPr>
        <w:t>的服务管理团队管理人员须始终参与项目工作，如因工作变动服务管理团队管理人员须经采购人同意</w:t>
      </w:r>
      <w:r>
        <w:rPr>
          <w:rFonts w:ascii="宋体" w:hAnsi="宋体"/>
          <w:color w:val="auto"/>
          <w:szCs w:val="21"/>
          <w:highlight w:val="none"/>
        </w:rPr>
        <w:t>。</w:t>
      </w:r>
    </w:p>
    <w:p w14:paraId="1EE3076B">
      <w:pPr>
        <w:spacing w:line="480" w:lineRule="exact"/>
        <w:jc w:val="left"/>
        <w:rPr>
          <w:rFonts w:ascii="宋体" w:hAnsi="宋体" w:cs="宋体"/>
          <w:b/>
          <w:bCs/>
          <w:color w:val="auto"/>
          <w:highlight w:val="none"/>
        </w:rPr>
      </w:pPr>
      <w:r>
        <w:rPr>
          <w:rFonts w:hint="eastAsia" w:ascii="宋体" w:hAnsi="宋体" w:cs="宋体"/>
          <w:b/>
          <w:bCs/>
          <w:color w:val="auto"/>
          <w:highlight w:val="none"/>
        </w:rPr>
        <w:t>第二部分  商务要求</w:t>
      </w:r>
    </w:p>
    <w:tbl>
      <w:tblPr>
        <w:tblStyle w:val="51"/>
        <w:tblW w:w="0" w:type="auto"/>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8213"/>
      </w:tblGrid>
      <w:tr w14:paraId="047D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81" w:type="dxa"/>
            <w:tcBorders>
              <w:top w:val="single" w:color="auto" w:sz="4" w:space="0"/>
              <w:left w:val="single" w:color="auto" w:sz="4" w:space="0"/>
              <w:bottom w:val="single" w:color="auto" w:sz="4" w:space="0"/>
              <w:right w:val="single" w:color="auto" w:sz="4" w:space="0"/>
            </w:tcBorders>
            <w:vAlign w:val="center"/>
          </w:tcPr>
          <w:p w14:paraId="70A05228">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color w:val="auto"/>
                <w:szCs w:val="21"/>
                <w:highlight w:val="none"/>
              </w:rPr>
            </w:pPr>
            <w:bookmarkStart w:id="142" w:name="_Hlk47304926"/>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代理销售服务周期</w:t>
            </w:r>
          </w:p>
        </w:tc>
        <w:tc>
          <w:tcPr>
            <w:tcW w:w="8213" w:type="dxa"/>
            <w:tcBorders>
              <w:top w:val="single" w:color="auto" w:sz="4" w:space="0"/>
              <w:left w:val="single" w:color="auto" w:sz="4" w:space="0"/>
              <w:bottom w:val="single" w:color="auto" w:sz="4" w:space="0"/>
              <w:right w:val="single" w:color="auto" w:sz="4" w:space="0"/>
            </w:tcBorders>
            <w:vAlign w:val="center"/>
          </w:tcPr>
          <w:p w14:paraId="0273A369">
            <w:pPr>
              <w:keepNext w:val="0"/>
              <w:keepLines w:val="0"/>
              <w:suppressLineNumbers w:val="0"/>
              <w:spacing w:before="0" w:beforeAutospacing="0" w:after="0" w:afterAutospacing="0" w:line="360" w:lineRule="auto"/>
              <w:ind w:left="0" w:right="0"/>
              <w:rPr>
                <w:rFonts w:hint="default"/>
                <w:color w:val="auto"/>
                <w:highlight w:val="none"/>
              </w:rPr>
            </w:pPr>
            <w:r>
              <w:rPr>
                <w:rFonts w:hint="eastAsia" w:ascii="宋体" w:hAnsi="宋体" w:eastAsia="宋体" w:cs="Times New Roman"/>
                <w:color w:val="auto"/>
                <w:szCs w:val="21"/>
                <w:highlight w:val="none"/>
                <w:lang w:val="en-US" w:eastAsia="zh-CN"/>
              </w:rPr>
              <w:t>从合同签订之日起至项目最后一次集中交付满6个月为止。交付期间，根据采购人及实际案场需要人员数量调配，配合相关扫尾工作。</w:t>
            </w:r>
          </w:p>
        </w:tc>
      </w:tr>
      <w:tr w14:paraId="74BA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81" w:type="dxa"/>
            <w:tcBorders>
              <w:top w:val="single" w:color="auto" w:sz="4" w:space="0"/>
              <w:left w:val="single" w:color="auto" w:sz="4" w:space="0"/>
              <w:bottom w:val="single" w:color="auto" w:sz="4" w:space="0"/>
              <w:right w:val="single" w:color="auto" w:sz="4" w:space="0"/>
            </w:tcBorders>
            <w:vAlign w:val="center"/>
          </w:tcPr>
          <w:p w14:paraId="14B8B314">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▲服务人员</w:t>
            </w:r>
          </w:p>
          <w:p w14:paraId="0F80FC16">
            <w:pPr>
              <w:keepNext w:val="0"/>
              <w:keepLines w:val="0"/>
              <w:suppressLineNumbers w:val="0"/>
              <w:snapToGrid w:val="0"/>
              <w:spacing w:before="0" w:beforeAutospacing="0" w:after="0" w:afterAutospacing="0" w:line="48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w:t>
            </w:r>
          </w:p>
        </w:tc>
        <w:tc>
          <w:tcPr>
            <w:tcW w:w="8213" w:type="dxa"/>
            <w:tcBorders>
              <w:top w:val="single" w:color="auto" w:sz="4" w:space="0"/>
              <w:left w:val="single" w:color="auto" w:sz="4" w:space="0"/>
              <w:bottom w:val="single" w:color="auto" w:sz="4" w:space="0"/>
              <w:right w:val="single" w:color="auto" w:sz="4" w:space="0"/>
            </w:tcBorders>
            <w:vAlign w:val="center"/>
          </w:tcPr>
          <w:p w14:paraId="17F26FAD">
            <w:pPr>
              <w:keepNext w:val="0"/>
              <w:keepLines w:val="0"/>
              <w:suppressLineNumbers w:val="0"/>
              <w:spacing w:before="0" w:beforeAutospacing="0" w:after="0" w:afterAutospacing="0" w:line="360" w:lineRule="auto"/>
              <w:ind w:left="0" w:right="0"/>
              <w:rPr>
                <w:rFonts w:hint="eastAsia" w:ascii="宋体" w:hAnsi="宋体"/>
                <w:color w:val="auto"/>
                <w:szCs w:val="21"/>
                <w:highlight w:val="none"/>
              </w:rPr>
            </w:pPr>
            <w:r>
              <w:rPr>
                <w:rFonts w:hint="eastAsia" w:ascii="宋体" w:hAnsi="宋体"/>
                <w:color w:val="auto"/>
                <w:szCs w:val="21"/>
                <w:highlight w:val="none"/>
              </w:rPr>
              <w:t>1、中标人应及时组建本项目服务团队，按采购人要求统筹项目营销工作。</w:t>
            </w:r>
          </w:p>
          <w:p w14:paraId="5C9F452D">
            <w:pPr>
              <w:keepNext w:val="0"/>
              <w:keepLines w:val="0"/>
              <w:suppressLineNumbers w:val="0"/>
              <w:spacing w:before="0" w:beforeAutospacing="0" w:after="0" w:afterAutospacing="0" w:line="360" w:lineRule="auto"/>
              <w:ind w:left="0" w:right="0"/>
              <w:rPr>
                <w:rFonts w:hint="eastAsia" w:ascii="宋体" w:hAnsi="宋体" w:eastAsia="宋体"/>
                <w:color w:val="auto"/>
                <w:szCs w:val="21"/>
                <w:highlight w:val="none"/>
                <w:lang w:eastAsia="zh-CN"/>
              </w:rPr>
            </w:pPr>
            <w:r>
              <w:rPr>
                <w:rFonts w:hint="eastAsia" w:ascii="宋体" w:hAnsi="宋体"/>
                <w:color w:val="auto"/>
                <w:szCs w:val="21"/>
                <w:highlight w:val="none"/>
              </w:rPr>
              <w:t>2、中标人组建本项目的团队</w:t>
            </w:r>
            <w:r>
              <w:rPr>
                <w:rFonts w:hint="eastAsia" w:ascii="宋体" w:hAnsi="宋体"/>
                <w:color w:val="auto"/>
                <w:szCs w:val="21"/>
                <w:highlight w:val="none"/>
                <w:lang w:eastAsia="zh-CN"/>
              </w:rPr>
              <w:t>要求</w:t>
            </w:r>
          </w:p>
          <w:p w14:paraId="0C34AB94">
            <w:pPr>
              <w:keepNext w:val="0"/>
              <w:keepLines w:val="0"/>
              <w:suppressLineNumbers w:val="0"/>
              <w:spacing w:before="0" w:beforeAutospacing="0" w:after="0" w:afterAutospacing="0" w:line="360" w:lineRule="auto"/>
              <w:ind w:left="0" w:right="0"/>
              <w:rPr>
                <w:rFonts w:hint="eastAsia" w:ascii="宋体" w:hAnsi="宋体"/>
                <w:color w:val="auto"/>
                <w:szCs w:val="21"/>
                <w:highlight w:val="none"/>
                <w:lang w:eastAsia="zh-CN"/>
              </w:rPr>
            </w:pPr>
            <w:r>
              <w:rPr>
                <w:rFonts w:hint="eastAsia" w:ascii="宋体" w:hAnsi="宋体"/>
                <w:color w:val="auto"/>
                <w:szCs w:val="21"/>
                <w:highlight w:val="none"/>
              </w:rPr>
              <w:t>营销团队</w:t>
            </w:r>
            <w:r>
              <w:rPr>
                <w:rFonts w:hint="eastAsia" w:ascii="宋体" w:hAnsi="宋体"/>
                <w:color w:val="auto"/>
                <w:szCs w:val="21"/>
                <w:highlight w:val="none"/>
                <w:lang w:eastAsia="zh-CN"/>
              </w:rPr>
              <w:t>不少于</w:t>
            </w:r>
            <w:r>
              <w:rPr>
                <w:rFonts w:hint="eastAsia" w:ascii="宋体" w:hAnsi="宋体"/>
                <w:color w:val="auto"/>
                <w:szCs w:val="21"/>
                <w:highlight w:val="none"/>
                <w:lang w:val="en-US" w:eastAsia="zh-CN"/>
              </w:rPr>
              <w:t>8</w:t>
            </w:r>
            <w:r>
              <w:rPr>
                <w:rFonts w:hint="eastAsia" w:ascii="宋体" w:hAnsi="宋体"/>
                <w:color w:val="auto"/>
                <w:szCs w:val="21"/>
                <w:highlight w:val="none"/>
              </w:rPr>
              <w:t>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其中：</w:t>
            </w:r>
            <w:r>
              <w:rPr>
                <w:rFonts w:hint="eastAsia" w:ascii="宋体" w:hAnsi="宋体" w:cs="宋体"/>
                <w:color w:val="auto"/>
                <w:sz w:val="21"/>
                <w:szCs w:val="21"/>
                <w:highlight w:val="none"/>
                <w:lang w:val="en-US" w:eastAsia="zh-CN"/>
              </w:rPr>
              <w:t>项目负责人（</w:t>
            </w:r>
            <w:r>
              <w:rPr>
                <w:rFonts w:hint="eastAsia" w:ascii="宋体" w:hAnsi="宋体" w:eastAsia="宋体" w:cs="宋体"/>
                <w:color w:val="auto"/>
                <w:sz w:val="21"/>
                <w:szCs w:val="21"/>
                <w:highlight w:val="none"/>
                <w:lang w:val="en-US" w:eastAsia="zh-CN"/>
              </w:rPr>
              <w:t>营销负责人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1人，销售</w:t>
            </w:r>
            <w:r>
              <w:rPr>
                <w:rFonts w:hint="eastAsia" w:ascii="宋体" w:hAnsi="宋体" w:cs="宋体"/>
                <w:color w:val="auto"/>
                <w:sz w:val="21"/>
                <w:szCs w:val="21"/>
                <w:highlight w:val="none"/>
                <w:lang w:val="en-US" w:eastAsia="zh-CN"/>
              </w:rPr>
              <w:t>内勤</w:t>
            </w:r>
            <w:r>
              <w:rPr>
                <w:rFonts w:hint="eastAsia" w:ascii="宋体" w:hAnsi="宋体" w:eastAsia="宋体" w:cs="宋体"/>
                <w:color w:val="auto"/>
                <w:sz w:val="21"/>
                <w:szCs w:val="21"/>
                <w:highlight w:val="none"/>
                <w:lang w:val="en-US" w:eastAsia="zh-CN"/>
              </w:rPr>
              <w:t>负责人1人，策划负责人1人，其他销售人员不少于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p w14:paraId="50E4F304">
            <w:pPr>
              <w:keepNext w:val="0"/>
              <w:keepLines w:val="0"/>
              <w:suppressLineNumbers w:val="0"/>
              <w:spacing w:before="0" w:beforeAutospacing="0" w:after="0" w:afterAutospacing="0" w:line="360" w:lineRule="auto"/>
              <w:ind w:left="0" w:right="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投标人</w:t>
            </w:r>
            <w:r>
              <w:rPr>
                <w:rFonts w:hint="eastAsia" w:ascii="宋体" w:hAnsi="宋体"/>
                <w:color w:val="auto"/>
                <w:szCs w:val="21"/>
                <w:highlight w:val="none"/>
              </w:rPr>
              <w:t>组建的上述服务团队人员</w:t>
            </w:r>
            <w:r>
              <w:rPr>
                <w:rFonts w:hint="eastAsia" w:ascii="宋体" w:hAnsi="宋体"/>
                <w:color w:val="auto"/>
                <w:szCs w:val="21"/>
                <w:highlight w:val="none"/>
                <w:lang w:val="en-US" w:eastAsia="zh-CN"/>
              </w:rPr>
              <w:t>，中标后</w:t>
            </w:r>
            <w:r>
              <w:rPr>
                <w:rFonts w:hint="eastAsia" w:ascii="宋体" w:hAnsi="宋体"/>
                <w:color w:val="auto"/>
                <w:szCs w:val="21"/>
                <w:highlight w:val="none"/>
              </w:rPr>
              <w:t>须通过面试或以其他方式经采购人确认。中标人应根据采购人要求对上述服务团队人员名单及时作出适当调整。</w:t>
            </w:r>
          </w:p>
          <w:p w14:paraId="5B8BE276">
            <w:pPr>
              <w:keepNext w:val="0"/>
              <w:keepLines w:val="0"/>
              <w:suppressLineNumbers w:val="0"/>
              <w:spacing w:before="0" w:beforeAutospacing="0" w:after="0" w:afterAutospacing="0" w:line="360" w:lineRule="auto"/>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采购人有权对中标人进行实地考察（包括但不限于对中标人拟派团队人员进行考察），如有发现中标人存在拟派团队人员非中标人单位员工等弄虚作假或骗取中标的行为，采购人有权取消中标人中标资格，中标人须承担由此造成的一切损失及责任。</w:t>
            </w:r>
          </w:p>
          <w:p w14:paraId="4D7915E1">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、中标人负责中标单位工作人员的工资、佣金、社会保险及相应的福利等</w:t>
            </w:r>
            <w:r>
              <w:rPr>
                <w:rFonts w:hint="eastAsia" w:ascii="宋体" w:hAnsi="宋体"/>
                <w:color w:val="auto"/>
                <w:szCs w:val="21"/>
                <w:highlight w:val="none"/>
                <w:lang w:eastAsia="zh-CN"/>
              </w:rPr>
              <w:t>一切费用</w:t>
            </w:r>
            <w:r>
              <w:rPr>
                <w:rFonts w:hint="default" w:ascii="宋体" w:hAnsi="宋体"/>
                <w:color w:val="auto"/>
                <w:szCs w:val="21"/>
                <w:highlight w:val="none"/>
              </w:rPr>
              <w:t>。</w:t>
            </w:r>
          </w:p>
        </w:tc>
      </w:tr>
      <w:tr w14:paraId="14D8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781" w:type="dxa"/>
            <w:tcBorders>
              <w:top w:val="single" w:color="auto" w:sz="4" w:space="0"/>
              <w:left w:val="single" w:color="auto" w:sz="4" w:space="0"/>
              <w:bottom w:val="single" w:color="auto" w:sz="4" w:space="0"/>
              <w:right w:val="single" w:color="auto" w:sz="4" w:space="0"/>
            </w:tcBorders>
            <w:vAlign w:val="center"/>
          </w:tcPr>
          <w:p w14:paraId="68C50A40">
            <w:pPr>
              <w:keepNext w:val="0"/>
              <w:keepLines w:val="0"/>
              <w:suppressLineNumbers w:val="0"/>
              <w:spacing w:before="0" w:beforeAutospacing="0" w:after="0" w:afterAutospacing="0" w:line="480" w:lineRule="exact"/>
              <w:ind w:left="0" w:right="0"/>
              <w:jc w:val="center"/>
              <w:rPr>
                <w:rFonts w:hint="default" w:cs="Calibri"/>
                <w:color w:val="auto"/>
                <w:highlight w:val="none"/>
              </w:rPr>
            </w:pPr>
            <w:r>
              <w:rPr>
                <w:rFonts w:hint="default" w:cs="Calibri"/>
                <w:color w:val="auto"/>
                <w:highlight w:val="none"/>
              </w:rPr>
              <w:t>转包或</w:t>
            </w:r>
          </w:p>
          <w:p w14:paraId="3ED22637">
            <w:pPr>
              <w:keepNext w:val="0"/>
              <w:keepLines w:val="0"/>
              <w:suppressLineNumbers w:val="0"/>
              <w:spacing w:before="0" w:beforeAutospacing="0" w:after="0" w:afterAutospacing="0" w:line="480" w:lineRule="exact"/>
              <w:ind w:left="0" w:right="0"/>
              <w:jc w:val="center"/>
              <w:rPr>
                <w:rFonts w:hint="default" w:ascii="宋体" w:hAnsi="宋体" w:cs="宋体"/>
                <w:color w:val="auto"/>
                <w:szCs w:val="21"/>
                <w:highlight w:val="none"/>
              </w:rPr>
            </w:pPr>
            <w:r>
              <w:rPr>
                <w:rFonts w:hint="default" w:cs="Calibri"/>
                <w:color w:val="auto"/>
                <w:highlight w:val="none"/>
              </w:rPr>
              <w:t>分包</w:t>
            </w:r>
          </w:p>
        </w:tc>
        <w:tc>
          <w:tcPr>
            <w:tcW w:w="8213" w:type="dxa"/>
            <w:tcBorders>
              <w:top w:val="single" w:color="auto" w:sz="4" w:space="0"/>
              <w:left w:val="single" w:color="auto" w:sz="4" w:space="0"/>
              <w:bottom w:val="single" w:color="auto" w:sz="4" w:space="0"/>
              <w:right w:val="single" w:color="auto" w:sz="4" w:space="0"/>
            </w:tcBorders>
            <w:vAlign w:val="center"/>
          </w:tcPr>
          <w:p w14:paraId="6BAAADAE">
            <w:pPr>
              <w:keepNext w:val="0"/>
              <w:keepLines w:val="0"/>
              <w:suppressLineNumbers w:val="0"/>
              <w:spacing w:before="0" w:beforeAutospacing="0" w:after="0" w:afterAutospacing="0" w:line="48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本次采购内容不得转让或分包，如有此等情形发生，采购人有权解除合同，没收中标人的履约保证金，并将中标人清理退场；对</w:t>
            </w:r>
            <w:r>
              <w:rPr>
                <w:rFonts w:hint="default"/>
                <w:color w:val="auto"/>
                <w:highlight w:val="none"/>
              </w:rPr>
              <w:fldChar w:fldCharType="begin"/>
            </w:r>
            <w:r>
              <w:rPr>
                <w:rFonts w:hint="default"/>
                <w:color w:val="auto"/>
                <w:highlight w:val="none"/>
              </w:rPr>
              <w:instrText xml:space="preserve"> HYPERLINK "https://bidding.zcygov.cn/xmgl/projectQuery/queryDetail?projectUuid=5c859e260a927c18" \l "/purchaseFileMake/_blank" \t "https://www.zcygov.cn/bidding-entrust/" </w:instrText>
            </w:r>
            <w:r>
              <w:rPr>
                <w:rFonts w:hint="default"/>
                <w:color w:val="auto"/>
                <w:highlight w:val="none"/>
              </w:rPr>
              <w:fldChar w:fldCharType="separate"/>
            </w:r>
            <w:r>
              <w:rPr>
                <w:rFonts w:hint="eastAsia" w:ascii="宋体" w:hAnsi="宋体" w:cs="宋体"/>
                <w:color w:val="auto"/>
                <w:sz w:val="21"/>
                <w:szCs w:val="21"/>
                <w:highlight w:val="none"/>
                <w:lang w:eastAsia="zh-CN"/>
              </w:rPr>
              <w:t>云和县白水区块商住项目房产代销项目</w:t>
            </w:r>
            <w:r>
              <w:rPr>
                <w:rFonts w:hint="eastAsia" w:ascii="宋体" w:hAnsi="宋体" w:cs="宋体"/>
                <w:color w:val="auto"/>
                <w:sz w:val="21"/>
                <w:szCs w:val="21"/>
                <w:highlight w:val="none"/>
              </w:rPr>
              <w:fldChar w:fldCharType="end"/>
            </w:r>
            <w:r>
              <w:rPr>
                <w:rFonts w:hint="eastAsia" w:ascii="宋体" w:hAnsi="宋体" w:cs="宋体"/>
                <w:color w:val="auto"/>
                <w:szCs w:val="21"/>
                <w:highlight w:val="none"/>
              </w:rPr>
              <w:t>所造成的相应损失由中标人承担。</w:t>
            </w:r>
          </w:p>
        </w:tc>
      </w:tr>
      <w:tr w14:paraId="5172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781" w:type="dxa"/>
            <w:tcBorders>
              <w:top w:val="single" w:color="auto" w:sz="4" w:space="0"/>
              <w:left w:val="single" w:color="auto" w:sz="4" w:space="0"/>
              <w:bottom w:val="single" w:color="auto" w:sz="4" w:space="0"/>
              <w:right w:val="single" w:color="auto" w:sz="4" w:space="0"/>
            </w:tcBorders>
            <w:vAlign w:val="center"/>
          </w:tcPr>
          <w:p w14:paraId="7447B1E4">
            <w:pPr>
              <w:keepNext w:val="0"/>
              <w:keepLines w:val="0"/>
              <w:suppressLineNumbers w:val="0"/>
              <w:spacing w:before="0" w:beforeAutospacing="0" w:after="0" w:afterAutospacing="0" w:line="480" w:lineRule="exact"/>
              <w:ind w:left="0" w:right="0"/>
              <w:jc w:val="center"/>
              <w:rPr>
                <w:rFonts w:hint="default" w:cs="Calibri"/>
                <w:color w:val="auto"/>
                <w:highlight w:val="none"/>
              </w:rPr>
            </w:pPr>
            <w:r>
              <w:rPr>
                <w:rFonts w:hint="eastAsia" w:ascii="宋体" w:hAnsi="宋体" w:cs="宋体"/>
                <w:color w:val="auto"/>
                <w:szCs w:val="21"/>
                <w:highlight w:val="none"/>
                <w:lang w:eastAsia="zh-CN"/>
              </w:rPr>
              <w:t>现场勘查</w:t>
            </w:r>
          </w:p>
        </w:tc>
        <w:tc>
          <w:tcPr>
            <w:tcW w:w="8213" w:type="dxa"/>
            <w:tcBorders>
              <w:top w:val="single" w:color="auto" w:sz="4" w:space="0"/>
              <w:left w:val="single" w:color="auto" w:sz="4" w:space="0"/>
              <w:bottom w:val="single" w:color="auto" w:sz="4" w:space="0"/>
              <w:right w:val="single" w:color="auto" w:sz="4" w:space="0"/>
            </w:tcBorders>
            <w:vAlign w:val="center"/>
          </w:tcPr>
          <w:p w14:paraId="5769C896">
            <w:pPr>
              <w:keepNext w:val="0"/>
              <w:keepLines w:val="0"/>
              <w:suppressLineNumbers w:val="0"/>
              <w:spacing w:before="0" w:beforeAutospacing="0" w:after="0" w:afterAutospacing="0" w:line="480" w:lineRule="exact"/>
              <w:ind w:left="0" w:right="0"/>
              <w:rPr>
                <w:rFonts w:hint="default" w:ascii="宋体" w:hAnsi="宋体" w:cs="宋体"/>
                <w:color w:val="auto"/>
                <w:highlight w:val="none"/>
              </w:rPr>
            </w:pPr>
            <w:r>
              <w:rPr>
                <w:rFonts w:hint="eastAsia" w:ascii="宋体" w:hAnsi="宋体" w:cs="宋体"/>
                <w:color w:val="auto"/>
                <w:szCs w:val="21"/>
                <w:highlight w:val="none"/>
              </w:rPr>
              <w:t>为保障项目顺利实施，投标人可自行至项目现场</w:t>
            </w:r>
            <w:r>
              <w:rPr>
                <w:rFonts w:hint="eastAsia" w:ascii="宋体" w:hAnsi="宋体" w:cs="宋体"/>
                <w:color w:val="auto"/>
                <w:szCs w:val="21"/>
                <w:highlight w:val="none"/>
                <w:lang w:eastAsia="zh-CN"/>
              </w:rPr>
              <w:t>勘查</w:t>
            </w:r>
            <w:r>
              <w:rPr>
                <w:rFonts w:hint="eastAsia" w:ascii="宋体" w:hAnsi="宋体" w:cs="宋体"/>
                <w:color w:val="auto"/>
                <w:szCs w:val="21"/>
                <w:highlight w:val="none"/>
              </w:rPr>
              <w:t>，现场</w:t>
            </w:r>
            <w:r>
              <w:rPr>
                <w:rFonts w:hint="eastAsia" w:ascii="宋体" w:hAnsi="宋体" w:cs="宋体"/>
                <w:color w:val="auto"/>
                <w:szCs w:val="21"/>
                <w:highlight w:val="none"/>
                <w:lang w:eastAsia="zh-CN"/>
              </w:rPr>
              <w:t>勘查</w:t>
            </w:r>
            <w:r>
              <w:rPr>
                <w:rFonts w:hint="eastAsia" w:ascii="宋体" w:hAnsi="宋体" w:cs="宋体"/>
                <w:color w:val="auto"/>
                <w:szCs w:val="21"/>
                <w:highlight w:val="none"/>
              </w:rPr>
              <w:t>所产生的费用及风险由投标人自行承担。如投标人未</w:t>
            </w:r>
            <w:r>
              <w:rPr>
                <w:rFonts w:hint="eastAsia" w:ascii="宋体" w:hAnsi="宋体" w:cs="宋体"/>
                <w:color w:val="auto"/>
                <w:szCs w:val="21"/>
                <w:highlight w:val="none"/>
                <w:lang w:eastAsia="zh-CN"/>
              </w:rPr>
              <w:t>勘查</w:t>
            </w:r>
            <w:r>
              <w:rPr>
                <w:rFonts w:hint="eastAsia" w:ascii="宋体" w:hAnsi="宋体" w:cs="宋体"/>
                <w:color w:val="auto"/>
                <w:szCs w:val="21"/>
                <w:highlight w:val="none"/>
              </w:rPr>
              <w:t>现场造成投标响应偏离，投标人自行承担后果。</w:t>
            </w:r>
          </w:p>
        </w:tc>
      </w:tr>
      <w:tr w14:paraId="3B1F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781" w:type="dxa"/>
            <w:tcBorders>
              <w:top w:val="single" w:color="auto" w:sz="4" w:space="0"/>
              <w:left w:val="single" w:color="auto" w:sz="4" w:space="0"/>
              <w:bottom w:val="single" w:color="auto" w:sz="4" w:space="0"/>
              <w:right w:val="single" w:color="auto" w:sz="4" w:space="0"/>
            </w:tcBorders>
            <w:vAlign w:val="center"/>
          </w:tcPr>
          <w:p w14:paraId="5426055F">
            <w:pPr>
              <w:keepNext w:val="0"/>
              <w:keepLines w:val="0"/>
              <w:suppressLineNumbers w:val="0"/>
              <w:spacing w:before="0" w:beforeAutospacing="0" w:after="0" w:afterAutospacing="0" w:line="48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其他内容</w:t>
            </w:r>
          </w:p>
        </w:tc>
        <w:tc>
          <w:tcPr>
            <w:tcW w:w="8213" w:type="dxa"/>
            <w:tcBorders>
              <w:top w:val="single" w:color="auto" w:sz="4" w:space="0"/>
              <w:left w:val="single" w:color="auto" w:sz="4" w:space="0"/>
              <w:bottom w:val="single" w:color="auto" w:sz="4" w:space="0"/>
              <w:right w:val="single" w:color="auto" w:sz="4" w:space="0"/>
            </w:tcBorders>
            <w:vAlign w:val="center"/>
          </w:tcPr>
          <w:p w14:paraId="1224FA9F">
            <w:pPr>
              <w:keepNext w:val="0"/>
              <w:keepLines w:val="0"/>
              <w:suppressLineNumbers w:val="0"/>
              <w:spacing w:before="0" w:beforeAutospacing="0" w:after="0" w:afterAutospacing="0" w:line="48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详见招标文件的“第四章 合同</w:t>
            </w:r>
            <w:r>
              <w:rPr>
                <w:rFonts w:hint="eastAsia" w:ascii="宋体" w:hAnsi="宋体" w:cs="宋体"/>
                <w:color w:val="auto"/>
                <w:szCs w:val="21"/>
                <w:highlight w:val="none"/>
                <w:lang w:eastAsia="zh-CN"/>
              </w:rPr>
              <w:t>格式</w:t>
            </w:r>
            <w:r>
              <w:rPr>
                <w:rFonts w:hint="eastAsia" w:ascii="宋体" w:hAnsi="宋体" w:cs="宋体"/>
                <w:color w:val="auto"/>
                <w:szCs w:val="21"/>
                <w:highlight w:val="none"/>
              </w:rPr>
              <w:t>”，投标人应对合同内容进行审核，如有偏离，请在投标文件的“偏离表”中反映。</w:t>
            </w:r>
          </w:p>
        </w:tc>
      </w:tr>
      <w:bookmarkEnd w:id="142"/>
    </w:tbl>
    <w:p w14:paraId="1A470C52">
      <w:pPr>
        <w:pStyle w:val="209"/>
        <w:spacing w:line="440" w:lineRule="exac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第三部分  实质性内容</w:t>
      </w:r>
    </w:p>
    <w:p w14:paraId="47A8B58E">
      <w:pPr>
        <w:pStyle w:val="209"/>
        <w:spacing w:line="440" w:lineRule="exact"/>
        <w:ind w:firstLine="420" w:firstLineChars="200"/>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本章中所有带▲的内容是采购人提出的实质性内容，投标文件响应内容若不满足实质性内容要求，该投标文件将被评标委员会认定为无效。</w:t>
      </w:r>
      <w:r>
        <w:rPr>
          <w:rFonts w:hint="eastAsia" w:ascii="宋体" w:hAnsi="宋体" w:eastAsia="宋体" w:cs="宋体"/>
          <w:bCs/>
          <w:color w:val="auto"/>
          <w:sz w:val="21"/>
          <w:szCs w:val="21"/>
          <w:highlight w:val="none"/>
        </w:rPr>
        <w:t xml:space="preserve">  </w:t>
      </w:r>
    </w:p>
    <w:p w14:paraId="54D01C29">
      <w:pPr>
        <w:pStyle w:val="3"/>
        <w:tabs>
          <w:tab w:val="left" w:pos="420"/>
        </w:tabs>
        <w:spacing w:line="240" w:lineRule="auto"/>
        <w:jc w:val="both"/>
        <w:rPr>
          <w:rFonts w:ascii="宋体" w:hAnsi="宋体" w:eastAsia="宋体" w:cs="宋体"/>
          <w:bCs/>
          <w:color w:val="auto"/>
          <w:sz w:val="21"/>
          <w:szCs w:val="21"/>
          <w:highlight w:val="none"/>
        </w:rPr>
      </w:pPr>
      <w:bookmarkStart w:id="143" w:name="_Toc19017"/>
      <w:r>
        <w:rPr>
          <w:rFonts w:hint="eastAsia" w:ascii="宋体" w:hAnsi="宋体" w:eastAsia="宋体" w:cs="宋体"/>
          <w:bCs/>
          <w:color w:val="auto"/>
          <w:sz w:val="21"/>
          <w:szCs w:val="21"/>
          <w:highlight w:val="none"/>
        </w:rPr>
        <w:t>第四部分  特别说明</w:t>
      </w:r>
      <w:bookmarkEnd w:id="143"/>
    </w:p>
    <w:p w14:paraId="0519663B">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本章内容均为采购人基本要求，如投标人无法响应，须在《关于对招标文件中有关条款的拒绝声明》中详细说明，未说明的，视为完全响应并接受所有条款。</w:t>
      </w:r>
    </w:p>
    <w:p w14:paraId="78A8F724">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本项目为一个标项，标项是最小投标单位，投标人必须对标项内的所有内容发起投标响应。投标人在投标时出现遗漏的内容视为“已包含在投标总价内”，投标人如不接受将作无效标处理。采购人不接受投标人给予的任何“赠品”或者“0元”或者与采购无关的其他商品、服务。</w:t>
      </w:r>
    </w:p>
    <w:p w14:paraId="173154F1">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2.采购需求中未要求但实施时必须具备的内容由投标人自行补齐，所需费用计入投标总价中，不再另行支付。</w:t>
      </w:r>
    </w:p>
    <w:p w14:paraId="41A433F0">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3.投标人须对采购过程中涉及的专利（如有）负责，并保证不伤害采购人的利益。采购过程中，在法律范围内，所有文字、商标和技术侵权造成的相关费用，采购人概不负责。</w:t>
      </w:r>
    </w:p>
    <w:p w14:paraId="0B8CA061">
      <w:pPr>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4.投标人在投标活动中提供任何虚假材料,其投标无效。</w:t>
      </w:r>
      <w:bookmarkStart w:id="144" w:name="_Toc29235"/>
      <w:bookmarkStart w:id="145" w:name="_Toc55212804"/>
    </w:p>
    <w:p w14:paraId="15F324A0">
      <w:pPr>
        <w:pStyle w:val="24"/>
        <w:rPr>
          <w:rFonts w:hint="eastAsia" w:ascii="宋体" w:hAnsi="宋体" w:cs="宋体"/>
          <w:b/>
          <w:bCs/>
          <w:color w:val="auto"/>
          <w:szCs w:val="21"/>
          <w:highlight w:val="none"/>
        </w:rPr>
      </w:pPr>
    </w:p>
    <w:p w14:paraId="27FB5280">
      <w:pPr>
        <w:pStyle w:val="24"/>
        <w:rPr>
          <w:rFonts w:hint="eastAsia" w:ascii="宋体" w:hAnsi="宋体" w:cs="宋体"/>
          <w:b/>
          <w:bCs/>
          <w:color w:val="auto"/>
          <w:szCs w:val="21"/>
          <w:highlight w:val="none"/>
        </w:rPr>
      </w:pPr>
    </w:p>
    <w:p w14:paraId="3E0D0C0B">
      <w:pPr>
        <w:pStyle w:val="24"/>
        <w:rPr>
          <w:rFonts w:hint="eastAsia" w:ascii="宋体" w:hAnsi="宋体" w:cs="宋体"/>
          <w:b/>
          <w:bCs/>
          <w:color w:val="auto"/>
          <w:szCs w:val="21"/>
          <w:highlight w:val="none"/>
        </w:rPr>
      </w:pPr>
    </w:p>
    <w:p w14:paraId="2FEEF142">
      <w:pPr>
        <w:pStyle w:val="24"/>
        <w:rPr>
          <w:rFonts w:hint="eastAsia" w:ascii="宋体" w:hAnsi="宋体" w:cs="宋体"/>
          <w:b/>
          <w:bCs/>
          <w:color w:val="auto"/>
          <w:szCs w:val="21"/>
          <w:highlight w:val="none"/>
        </w:rPr>
      </w:pPr>
    </w:p>
    <w:p w14:paraId="26E786FC">
      <w:pPr>
        <w:pStyle w:val="24"/>
        <w:rPr>
          <w:rFonts w:hint="eastAsia" w:ascii="宋体" w:hAnsi="宋体" w:cs="宋体"/>
          <w:b/>
          <w:bCs/>
          <w:color w:val="auto"/>
          <w:szCs w:val="21"/>
          <w:highlight w:val="none"/>
        </w:rPr>
      </w:pPr>
    </w:p>
    <w:p w14:paraId="4B49FC80">
      <w:pPr>
        <w:pStyle w:val="24"/>
        <w:rPr>
          <w:rFonts w:hint="eastAsia" w:ascii="宋体" w:hAnsi="宋体" w:cs="宋体"/>
          <w:b/>
          <w:bCs/>
          <w:color w:val="auto"/>
          <w:szCs w:val="21"/>
          <w:highlight w:val="none"/>
        </w:rPr>
      </w:pPr>
    </w:p>
    <w:p w14:paraId="249C8313">
      <w:pPr>
        <w:pStyle w:val="24"/>
        <w:rPr>
          <w:rFonts w:hint="eastAsia" w:ascii="宋体" w:hAnsi="宋体" w:cs="宋体"/>
          <w:b/>
          <w:bCs/>
          <w:color w:val="auto"/>
          <w:szCs w:val="21"/>
          <w:highlight w:val="none"/>
        </w:rPr>
      </w:pPr>
    </w:p>
    <w:p w14:paraId="51957DB4">
      <w:pPr>
        <w:pStyle w:val="24"/>
        <w:rPr>
          <w:rFonts w:hint="eastAsia" w:ascii="宋体" w:hAnsi="宋体" w:cs="宋体"/>
          <w:b/>
          <w:bCs/>
          <w:color w:val="auto"/>
          <w:szCs w:val="21"/>
          <w:highlight w:val="none"/>
        </w:rPr>
      </w:pPr>
    </w:p>
    <w:p w14:paraId="1584CE71">
      <w:pPr>
        <w:pStyle w:val="24"/>
        <w:rPr>
          <w:rFonts w:hint="eastAsia" w:ascii="宋体" w:hAnsi="宋体" w:cs="宋体"/>
          <w:b/>
          <w:bCs/>
          <w:color w:val="auto"/>
          <w:szCs w:val="21"/>
          <w:highlight w:val="none"/>
        </w:rPr>
      </w:pPr>
    </w:p>
    <w:p w14:paraId="29DA568F">
      <w:pPr>
        <w:pStyle w:val="24"/>
        <w:rPr>
          <w:rFonts w:hint="eastAsia" w:ascii="宋体" w:hAnsi="宋体" w:cs="宋体"/>
          <w:b/>
          <w:bCs/>
          <w:color w:val="auto"/>
          <w:szCs w:val="21"/>
          <w:highlight w:val="none"/>
        </w:rPr>
      </w:pPr>
    </w:p>
    <w:p w14:paraId="1F15BC5C">
      <w:pPr>
        <w:pStyle w:val="24"/>
        <w:rPr>
          <w:rFonts w:hint="eastAsia" w:ascii="宋体" w:hAnsi="宋体" w:cs="宋体"/>
          <w:b/>
          <w:bCs/>
          <w:color w:val="auto"/>
          <w:szCs w:val="21"/>
          <w:highlight w:val="none"/>
        </w:rPr>
      </w:pPr>
    </w:p>
    <w:p w14:paraId="39EE0CE0">
      <w:pPr>
        <w:pStyle w:val="24"/>
        <w:rPr>
          <w:rFonts w:hint="eastAsia" w:ascii="宋体" w:hAnsi="宋体" w:cs="宋体"/>
          <w:b/>
          <w:bCs/>
          <w:color w:val="auto"/>
          <w:szCs w:val="21"/>
          <w:highlight w:val="none"/>
        </w:rPr>
      </w:pPr>
    </w:p>
    <w:p w14:paraId="22522EF5">
      <w:pPr>
        <w:pStyle w:val="24"/>
        <w:rPr>
          <w:rFonts w:hint="eastAsia" w:ascii="宋体" w:hAnsi="宋体" w:cs="宋体"/>
          <w:b/>
          <w:bCs/>
          <w:color w:val="auto"/>
          <w:szCs w:val="21"/>
          <w:highlight w:val="none"/>
        </w:rPr>
      </w:pPr>
    </w:p>
    <w:p w14:paraId="38D57BBF">
      <w:pPr>
        <w:pStyle w:val="24"/>
        <w:rPr>
          <w:rFonts w:hint="eastAsia" w:ascii="宋体" w:hAnsi="宋体" w:cs="宋体"/>
          <w:b/>
          <w:bCs/>
          <w:color w:val="auto"/>
          <w:szCs w:val="21"/>
          <w:highlight w:val="none"/>
        </w:rPr>
      </w:pPr>
    </w:p>
    <w:p w14:paraId="12D1058A">
      <w:pPr>
        <w:pStyle w:val="24"/>
        <w:rPr>
          <w:rFonts w:hint="eastAsia" w:ascii="宋体" w:hAnsi="宋体" w:cs="宋体"/>
          <w:b/>
          <w:bCs/>
          <w:color w:val="auto"/>
          <w:szCs w:val="21"/>
          <w:highlight w:val="none"/>
        </w:rPr>
      </w:pPr>
    </w:p>
    <w:p w14:paraId="0E64D4F6">
      <w:pPr>
        <w:pStyle w:val="24"/>
        <w:rPr>
          <w:rFonts w:hint="eastAsia" w:ascii="宋体" w:hAnsi="宋体" w:cs="宋体"/>
          <w:b/>
          <w:bCs/>
          <w:color w:val="auto"/>
          <w:szCs w:val="21"/>
          <w:highlight w:val="none"/>
        </w:rPr>
      </w:pPr>
    </w:p>
    <w:p w14:paraId="0CE697D8">
      <w:pPr>
        <w:pStyle w:val="24"/>
        <w:rPr>
          <w:rFonts w:hint="eastAsia" w:ascii="宋体" w:hAnsi="宋体" w:cs="宋体"/>
          <w:b/>
          <w:bCs/>
          <w:color w:val="auto"/>
          <w:szCs w:val="21"/>
          <w:highlight w:val="none"/>
        </w:rPr>
      </w:pPr>
    </w:p>
    <w:p w14:paraId="665D45BF">
      <w:pPr>
        <w:pStyle w:val="24"/>
        <w:rPr>
          <w:rFonts w:hint="eastAsia" w:ascii="宋体" w:hAnsi="宋体" w:cs="宋体"/>
          <w:b/>
          <w:bCs/>
          <w:color w:val="auto"/>
          <w:szCs w:val="21"/>
          <w:highlight w:val="none"/>
        </w:rPr>
      </w:pPr>
    </w:p>
    <w:p w14:paraId="26B13F20">
      <w:pPr>
        <w:pStyle w:val="24"/>
        <w:rPr>
          <w:rFonts w:hint="eastAsia" w:ascii="宋体" w:hAnsi="宋体" w:cs="宋体"/>
          <w:b/>
          <w:bCs/>
          <w:color w:val="auto"/>
          <w:szCs w:val="21"/>
          <w:highlight w:val="none"/>
        </w:rPr>
      </w:pPr>
    </w:p>
    <w:p w14:paraId="586A74BF">
      <w:pPr>
        <w:pStyle w:val="222"/>
        <w:ind w:firstLine="420"/>
        <w:jc w:val="center"/>
        <w:rPr>
          <w:color w:val="auto"/>
          <w:highlight w:val="none"/>
        </w:rPr>
      </w:pPr>
    </w:p>
    <w:bookmarkEnd w:id="144"/>
    <w:bookmarkEnd w:id="145"/>
    <w:p w14:paraId="54870211">
      <w:pPr>
        <w:numPr>
          <w:ilvl w:val="0"/>
          <w:numId w:val="3"/>
        </w:numPr>
        <w:spacing w:before="48" w:beforeLines="20" w:line="360" w:lineRule="auto"/>
        <w:ind w:left="2936" w:leftChars="1398" w:firstLine="222" w:firstLineChars="69"/>
        <w:rPr>
          <w:rFonts w:ascii="宋体" w:hAnsi="宋体" w:cs="宋体"/>
          <w:b/>
          <w:bCs/>
          <w:color w:val="auto"/>
          <w:sz w:val="32"/>
          <w:highlight w:val="none"/>
        </w:rPr>
      </w:pPr>
      <w:r>
        <w:rPr>
          <w:rFonts w:hint="eastAsia" w:ascii="宋体" w:hAnsi="宋体" w:cs="宋体"/>
          <w:b/>
          <w:color w:val="auto"/>
          <w:sz w:val="32"/>
          <w:szCs w:val="32"/>
          <w:highlight w:val="none"/>
        </w:rPr>
        <w:t>合同格式</w:t>
      </w:r>
    </w:p>
    <w:p w14:paraId="2D582A6F">
      <w:pPr>
        <w:pStyle w:val="27"/>
        <w:ind w:left="0" w:leftChars="0" w:firstLine="2891" w:firstLineChars="900"/>
        <w:outlineLvl w:val="0"/>
        <w:rPr>
          <w:rFonts w:ascii="宋体" w:hAnsi="宋体" w:eastAsia="宋体" w:cs="宋体"/>
          <w:b/>
          <w:bCs/>
          <w:color w:val="auto"/>
          <w:sz w:val="32"/>
          <w:highlight w:val="none"/>
        </w:rPr>
      </w:pPr>
    </w:p>
    <w:p w14:paraId="100AAC6E">
      <w:pPr>
        <w:rPr>
          <w:rFonts w:ascii="宋体" w:hAnsi="宋体" w:cs="宋体"/>
          <w:color w:val="auto"/>
          <w:highlight w:val="none"/>
        </w:rPr>
      </w:pPr>
    </w:p>
    <w:p w14:paraId="12001A3B">
      <w:pPr>
        <w:ind w:firstLine="4819" w:firstLineChars="1500"/>
        <w:rPr>
          <w:rFonts w:ascii="宋体" w:hAnsi="宋体" w:cs="宋体"/>
          <w:color w:val="auto"/>
          <w:sz w:val="32"/>
          <w:szCs w:val="32"/>
          <w:highlight w:val="none"/>
        </w:rPr>
      </w:pPr>
      <w:r>
        <w:rPr>
          <w:rFonts w:hint="eastAsia" w:ascii="宋体" w:hAnsi="宋体" w:cs="宋体"/>
          <w:b/>
          <w:color w:val="auto"/>
          <w:sz w:val="32"/>
          <w:szCs w:val="32"/>
          <w:highlight w:val="none"/>
        </w:rPr>
        <w:t xml:space="preserve">                  </w:t>
      </w:r>
    </w:p>
    <w:p w14:paraId="143FAD21">
      <w:pPr>
        <w:tabs>
          <w:tab w:val="left" w:pos="2592"/>
          <w:tab w:val="center" w:pos="4465"/>
        </w:tabs>
        <w:spacing w:line="360" w:lineRule="auto"/>
        <w:jc w:val="right"/>
        <w:rPr>
          <w:rFonts w:ascii="宋体" w:hAnsi="宋体" w:cs="宋体"/>
          <w:b/>
          <w:color w:val="auto"/>
          <w:kern w:val="0"/>
          <w:sz w:val="22"/>
          <w:szCs w:val="22"/>
          <w:highlight w:val="none"/>
        </w:rPr>
      </w:pPr>
      <w:r>
        <w:rPr>
          <w:rFonts w:hint="eastAsia" w:ascii="宋体" w:hAnsi="宋体" w:cs="宋体"/>
          <w:b/>
          <w:color w:val="auto"/>
          <w:sz w:val="24"/>
          <w:highlight w:val="none"/>
        </w:rPr>
        <w:t xml:space="preserve">                </w:t>
      </w:r>
      <w:r>
        <w:rPr>
          <w:rFonts w:hint="eastAsia" w:ascii="宋体" w:hAnsi="宋体" w:cs="宋体"/>
          <w:b/>
          <w:color w:val="auto"/>
          <w:kern w:val="0"/>
          <w:sz w:val="24"/>
          <w:szCs w:val="22"/>
          <w:highlight w:val="none"/>
        </w:rPr>
        <w:t>（合同编号：</w:t>
      </w:r>
      <w:r>
        <w:rPr>
          <w:rFonts w:hint="eastAsia" w:ascii="宋体" w:hAnsi="宋体" w:cs="宋体"/>
          <w:b/>
          <w:color w:val="auto"/>
          <w:kern w:val="0"/>
          <w:sz w:val="24"/>
          <w:szCs w:val="22"/>
          <w:highlight w:val="none"/>
          <w:u w:val="single"/>
        </w:rPr>
        <w:t xml:space="preserve">           </w:t>
      </w:r>
      <w:r>
        <w:rPr>
          <w:rFonts w:hint="eastAsia" w:ascii="宋体" w:hAnsi="宋体" w:cs="宋体"/>
          <w:b/>
          <w:color w:val="auto"/>
          <w:kern w:val="0"/>
          <w:sz w:val="24"/>
          <w:szCs w:val="22"/>
          <w:highlight w:val="none"/>
        </w:rPr>
        <w:t>）</w:t>
      </w:r>
    </w:p>
    <w:p w14:paraId="50E28CCB">
      <w:pPr>
        <w:rPr>
          <w:rFonts w:ascii="宋体" w:hAnsi="宋体" w:cs="宋体"/>
          <w:color w:val="auto"/>
          <w:sz w:val="24"/>
          <w:szCs w:val="21"/>
          <w:highlight w:val="none"/>
        </w:rPr>
      </w:pPr>
      <w:r>
        <w:rPr>
          <w:rFonts w:hint="eastAsia" w:ascii="宋体" w:hAnsi="宋体" w:cs="宋体"/>
          <w:b/>
          <w:color w:val="auto"/>
          <w:sz w:val="24"/>
          <w:szCs w:val="21"/>
          <w:highlight w:val="none"/>
        </w:rPr>
        <w:t xml:space="preserve">                   </w:t>
      </w:r>
    </w:p>
    <w:p w14:paraId="4594BAAE">
      <w:pPr>
        <w:spacing w:line="600" w:lineRule="exact"/>
        <w:ind w:firstLine="720" w:firstLineChars="300"/>
        <w:rPr>
          <w:rFonts w:ascii="宋体" w:hAnsi="宋体" w:cs="宋体"/>
          <w:color w:val="auto"/>
          <w:sz w:val="24"/>
          <w:szCs w:val="21"/>
          <w:highlight w:val="none"/>
          <w:u w:val="single"/>
        </w:rPr>
      </w:pPr>
      <w:r>
        <w:rPr>
          <w:rFonts w:hint="eastAsia" w:ascii="宋体" w:hAnsi="宋体" w:cs="宋体"/>
          <w:color w:val="auto"/>
          <w:sz w:val="24"/>
          <w:szCs w:val="21"/>
          <w:highlight w:val="none"/>
        </w:rPr>
        <w:t>项目名称：</w:t>
      </w:r>
      <w:r>
        <w:rPr>
          <w:color w:val="auto"/>
          <w:highlight w:val="none"/>
        </w:rPr>
        <w:fldChar w:fldCharType="begin"/>
      </w:r>
      <w:r>
        <w:rPr>
          <w:color w:val="auto"/>
          <w:highlight w:val="none"/>
        </w:rPr>
        <w:instrText xml:space="preserve"> HYPERLINK "https://bidding.zcygov.cn/xmgl/projectQuery/queryDetail?projectUuid=5c859e260a927c18" \l "/purchaseFileMake/_blank" \t "https://www.zcygov.cn/bidding-entrust/" </w:instrText>
      </w:r>
      <w:r>
        <w:rPr>
          <w:color w:val="auto"/>
          <w:highlight w:val="none"/>
        </w:rPr>
        <w:fldChar w:fldCharType="separate"/>
      </w:r>
      <w:r>
        <w:rPr>
          <w:rFonts w:hint="eastAsia" w:ascii="宋体" w:hAnsi="宋体" w:cs="宋体"/>
          <w:color w:val="auto"/>
          <w:sz w:val="24"/>
          <w:szCs w:val="21"/>
          <w:highlight w:val="none"/>
          <w:u w:val="single"/>
          <w:lang w:eastAsia="zh-CN"/>
        </w:rPr>
        <w:t>云和县白水区块商住项目房产代销项目</w:t>
      </w:r>
      <w:r>
        <w:rPr>
          <w:rFonts w:hint="eastAsia" w:ascii="宋体" w:hAnsi="宋体" w:cs="宋体"/>
          <w:color w:val="auto"/>
          <w:sz w:val="24"/>
          <w:szCs w:val="21"/>
          <w:highlight w:val="none"/>
          <w:u w:val="single"/>
        </w:rPr>
        <w:fldChar w:fldCharType="end"/>
      </w:r>
      <w:r>
        <w:rPr>
          <w:rFonts w:hint="eastAsia" w:ascii="宋体" w:hAnsi="宋体" w:cs="宋体"/>
          <w:color w:val="auto"/>
          <w:sz w:val="24"/>
          <w:szCs w:val="21"/>
          <w:highlight w:val="none"/>
          <w:u w:val="single"/>
          <w:lang w:val="en-US" w:eastAsia="zh-CN"/>
        </w:rPr>
        <w:t xml:space="preserve">        </w:t>
      </w:r>
      <w:r>
        <w:rPr>
          <w:rFonts w:hint="eastAsia" w:ascii="宋体" w:hAnsi="宋体" w:cs="宋体"/>
          <w:color w:val="auto"/>
          <w:sz w:val="24"/>
          <w:szCs w:val="21"/>
          <w:highlight w:val="none"/>
        </w:rPr>
        <w:t xml:space="preserve">     </w:t>
      </w:r>
    </w:p>
    <w:p w14:paraId="212E2549">
      <w:pPr>
        <w:snapToGrid w:val="0"/>
        <w:spacing w:before="119" w:line="600" w:lineRule="exact"/>
        <w:ind w:left="958"/>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75811DB0">
      <w:pPr>
        <w:snapToGrid w:val="0"/>
        <w:spacing w:before="119" w:line="600" w:lineRule="exact"/>
        <w:ind w:firstLine="720" w:firstLineChars="300"/>
        <w:rPr>
          <w:rFonts w:ascii="宋体" w:hAnsi="宋体" w:cs="宋体"/>
          <w:color w:val="auto"/>
          <w:sz w:val="24"/>
          <w:szCs w:val="21"/>
          <w:highlight w:val="none"/>
        </w:rPr>
      </w:pPr>
      <w:r>
        <w:rPr>
          <w:rFonts w:hint="eastAsia" w:ascii="宋体" w:hAnsi="宋体" w:cs="宋体"/>
          <w:color w:val="auto"/>
          <w:sz w:val="24"/>
          <w:szCs w:val="21"/>
          <w:highlight w:val="none"/>
        </w:rPr>
        <w:t>甲　　方：</w:t>
      </w:r>
      <w:r>
        <w:rPr>
          <w:rFonts w:hint="eastAsia" w:ascii="宋体" w:hAnsi="宋体" w:cs="宋体"/>
          <w:color w:val="auto"/>
          <w:sz w:val="24"/>
          <w:szCs w:val="21"/>
          <w:highlight w:val="none"/>
          <w:u w:val="single"/>
        </w:rPr>
        <w:t xml:space="preserve">                                                     </w:t>
      </w:r>
    </w:p>
    <w:p w14:paraId="2BD9F3B0">
      <w:pPr>
        <w:snapToGrid w:val="0"/>
        <w:spacing w:before="119" w:line="600" w:lineRule="exact"/>
        <w:ind w:left="958"/>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09DC9587">
      <w:pPr>
        <w:snapToGrid w:val="0"/>
        <w:spacing w:before="119" w:line="600" w:lineRule="exact"/>
        <w:ind w:firstLine="720" w:firstLineChars="300"/>
        <w:rPr>
          <w:rFonts w:ascii="宋体" w:hAnsi="宋体" w:cs="宋体"/>
          <w:color w:val="auto"/>
          <w:sz w:val="24"/>
          <w:szCs w:val="21"/>
          <w:highlight w:val="none"/>
        </w:rPr>
      </w:pPr>
      <w:r>
        <w:rPr>
          <w:rFonts w:hint="eastAsia" w:ascii="宋体" w:hAnsi="宋体" w:cs="宋体"/>
          <w:color w:val="auto"/>
          <w:sz w:val="24"/>
          <w:szCs w:val="21"/>
          <w:highlight w:val="none"/>
        </w:rPr>
        <w:t>乙　　方：</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w:t>
      </w:r>
    </w:p>
    <w:p w14:paraId="65EC42A6">
      <w:pPr>
        <w:snapToGrid w:val="0"/>
        <w:spacing w:before="119" w:line="600" w:lineRule="exact"/>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68030FA0">
      <w:pPr>
        <w:snapToGrid w:val="0"/>
        <w:spacing w:before="119" w:line="600" w:lineRule="exact"/>
        <w:ind w:left="958"/>
        <w:jc w:val="center"/>
        <w:rPr>
          <w:rFonts w:ascii="宋体" w:hAnsi="宋体" w:cs="宋体"/>
          <w:color w:val="auto"/>
          <w:sz w:val="24"/>
          <w:szCs w:val="21"/>
          <w:highlight w:val="none"/>
        </w:rPr>
      </w:pPr>
    </w:p>
    <w:p w14:paraId="1D426514">
      <w:pPr>
        <w:snapToGrid w:val="0"/>
        <w:spacing w:before="119" w:line="600" w:lineRule="exact"/>
        <w:ind w:firstLine="720" w:firstLineChars="300"/>
        <w:rPr>
          <w:rFonts w:ascii="宋体" w:hAnsi="宋体" w:cs="宋体"/>
          <w:color w:val="auto"/>
          <w:sz w:val="24"/>
          <w:szCs w:val="21"/>
          <w:highlight w:val="none"/>
        </w:rPr>
      </w:pPr>
      <w:r>
        <w:rPr>
          <w:rFonts w:hint="eastAsia" w:ascii="宋体" w:hAnsi="宋体" w:cs="宋体"/>
          <w:color w:val="auto"/>
          <w:sz w:val="24"/>
          <w:szCs w:val="21"/>
          <w:highlight w:val="none"/>
        </w:rPr>
        <w:t>签署地点：</w:t>
      </w:r>
      <w:r>
        <w:rPr>
          <w:rFonts w:hint="eastAsia" w:ascii="宋体" w:hAnsi="宋体" w:cs="宋体"/>
          <w:color w:val="auto"/>
          <w:sz w:val="24"/>
          <w:szCs w:val="21"/>
          <w:highlight w:val="none"/>
          <w:u w:val="single"/>
        </w:rPr>
        <w:t xml:space="preserve">                                                       </w:t>
      </w:r>
    </w:p>
    <w:p w14:paraId="46512164">
      <w:pPr>
        <w:snapToGrid w:val="0"/>
        <w:spacing w:before="119" w:line="600" w:lineRule="exact"/>
        <w:ind w:left="958"/>
        <w:rPr>
          <w:rFonts w:ascii="宋体" w:hAnsi="宋体" w:cs="宋体"/>
          <w:color w:val="auto"/>
          <w:sz w:val="24"/>
          <w:szCs w:val="21"/>
          <w:highlight w:val="none"/>
        </w:rPr>
      </w:pPr>
    </w:p>
    <w:p w14:paraId="5CAC46CB">
      <w:pPr>
        <w:snapToGrid w:val="0"/>
        <w:spacing w:before="119" w:line="600" w:lineRule="exact"/>
        <w:ind w:firstLine="720" w:firstLineChars="300"/>
        <w:rPr>
          <w:rFonts w:ascii="宋体" w:hAnsi="宋体" w:cs="宋体"/>
          <w:color w:val="auto"/>
          <w:sz w:val="24"/>
          <w:szCs w:val="21"/>
          <w:highlight w:val="none"/>
        </w:rPr>
      </w:pPr>
      <w:r>
        <w:rPr>
          <w:rFonts w:hint="eastAsia" w:ascii="宋体" w:hAnsi="宋体" w:cs="宋体"/>
          <w:color w:val="auto"/>
          <w:sz w:val="24"/>
          <w:szCs w:val="21"/>
          <w:highlight w:val="none"/>
        </w:rPr>
        <w:t>签署日期：</w:t>
      </w:r>
      <w:r>
        <w:rPr>
          <w:rFonts w:hint="eastAsia" w:ascii="宋体" w:hAnsi="宋体" w:cs="宋体"/>
          <w:color w:val="auto"/>
          <w:sz w:val="24"/>
          <w:szCs w:val="21"/>
          <w:highlight w:val="none"/>
          <w:u w:val="single"/>
        </w:rPr>
        <w:t xml:space="preserve">                                                        </w:t>
      </w:r>
    </w:p>
    <w:p w14:paraId="0E85BDCC">
      <w:pPr>
        <w:snapToGrid w:val="0"/>
        <w:spacing w:before="119" w:line="600" w:lineRule="exact"/>
        <w:ind w:left="958"/>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       </w:t>
      </w:r>
    </w:p>
    <w:p w14:paraId="1429D191">
      <w:pPr>
        <w:snapToGrid w:val="0"/>
        <w:spacing w:before="119" w:line="600" w:lineRule="exact"/>
        <w:ind w:left="958"/>
        <w:rPr>
          <w:rFonts w:ascii="宋体" w:hAnsi="宋体" w:cs="宋体"/>
          <w:color w:val="auto"/>
          <w:sz w:val="24"/>
          <w:szCs w:val="21"/>
          <w:highlight w:val="none"/>
        </w:rPr>
      </w:pPr>
      <w:r>
        <w:rPr>
          <w:rFonts w:hint="eastAsia" w:ascii="宋体" w:hAnsi="宋体" w:cs="宋体"/>
          <w:color w:val="auto"/>
          <w:sz w:val="24"/>
          <w:szCs w:val="21"/>
          <w:highlight w:val="none"/>
        </w:rPr>
        <w:t xml:space="preserve">                                </w:t>
      </w:r>
    </w:p>
    <w:p w14:paraId="67974D86">
      <w:pPr>
        <w:pStyle w:val="20"/>
        <w:spacing w:line="400" w:lineRule="exac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注：本合同仅作示范文本，具体以双方</w:t>
      </w:r>
      <w:r>
        <w:rPr>
          <w:rFonts w:hint="eastAsia" w:ascii="宋体" w:hAnsi="宋体" w:eastAsia="宋体" w:cs="宋体"/>
          <w:b/>
          <w:color w:val="auto"/>
          <w:sz w:val="21"/>
          <w:szCs w:val="21"/>
          <w:highlight w:val="none"/>
          <w:lang w:val="en-US" w:eastAsia="zh-CN"/>
        </w:rPr>
        <w:t>签订</w:t>
      </w:r>
      <w:r>
        <w:rPr>
          <w:rFonts w:hint="eastAsia" w:ascii="宋体" w:hAnsi="宋体" w:eastAsia="宋体" w:cs="宋体"/>
          <w:b/>
          <w:color w:val="auto"/>
          <w:sz w:val="21"/>
          <w:szCs w:val="21"/>
          <w:highlight w:val="none"/>
        </w:rPr>
        <w:t>的正式合同为准，合同内容不得违背</w:t>
      </w:r>
      <w:r>
        <w:rPr>
          <w:rFonts w:hint="eastAsia" w:ascii="宋体" w:hAnsi="宋体" w:eastAsia="宋体" w:cs="宋体"/>
          <w:b/>
          <w:color w:val="auto"/>
          <w:sz w:val="21"/>
          <w:szCs w:val="21"/>
          <w:highlight w:val="none"/>
          <w:lang w:val="en-US" w:eastAsia="zh-CN"/>
        </w:rPr>
        <w:t>招标</w:t>
      </w:r>
      <w:r>
        <w:rPr>
          <w:rFonts w:hint="eastAsia" w:ascii="宋体" w:hAnsi="宋体" w:eastAsia="宋体" w:cs="宋体"/>
          <w:b/>
          <w:color w:val="auto"/>
          <w:sz w:val="21"/>
          <w:szCs w:val="21"/>
          <w:highlight w:val="none"/>
        </w:rPr>
        <w:t>文件、</w:t>
      </w:r>
      <w:r>
        <w:rPr>
          <w:rFonts w:hint="eastAsia" w:ascii="宋体" w:hAnsi="宋体" w:eastAsia="宋体" w:cs="宋体"/>
          <w:b/>
          <w:color w:val="auto"/>
          <w:sz w:val="21"/>
          <w:szCs w:val="21"/>
          <w:highlight w:val="none"/>
          <w:lang w:val="en-US" w:eastAsia="zh-CN"/>
        </w:rPr>
        <w:t>投标人投标</w:t>
      </w:r>
      <w:r>
        <w:rPr>
          <w:rFonts w:hint="eastAsia" w:ascii="宋体" w:hAnsi="宋体" w:eastAsia="宋体" w:cs="宋体"/>
          <w:b/>
          <w:color w:val="auto"/>
          <w:sz w:val="21"/>
          <w:szCs w:val="21"/>
          <w:highlight w:val="none"/>
        </w:rPr>
        <w:t>文件等实质性要求</w:t>
      </w:r>
      <w:r>
        <w:rPr>
          <w:rFonts w:hint="eastAsia" w:ascii="宋体" w:hAnsi="宋体" w:eastAsia="宋体" w:cs="宋体"/>
          <w:b/>
          <w:color w:val="auto"/>
          <w:sz w:val="21"/>
          <w:szCs w:val="21"/>
          <w:highlight w:val="none"/>
          <w:lang w:eastAsia="zh-CN"/>
        </w:rPr>
        <w:t>。</w:t>
      </w:r>
    </w:p>
    <w:p w14:paraId="7DD45863">
      <w:pPr>
        <w:pStyle w:val="22"/>
        <w:rPr>
          <w:color w:val="auto"/>
          <w:highlight w:val="none"/>
        </w:rPr>
      </w:pPr>
    </w:p>
    <w:p w14:paraId="757E5AD9">
      <w:pPr>
        <w:snapToGrid w:val="0"/>
        <w:spacing w:before="119" w:line="272" w:lineRule="atLeast"/>
        <w:ind w:left="958"/>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 </w:t>
      </w:r>
    </w:p>
    <w:p w14:paraId="565623BD">
      <w:pPr>
        <w:snapToGrid w:val="0"/>
        <w:spacing w:before="119" w:line="272" w:lineRule="atLeast"/>
        <w:ind w:left="958"/>
        <w:rPr>
          <w:rFonts w:hint="eastAsia" w:ascii="宋体" w:hAnsi="宋体" w:cs="宋体"/>
          <w:color w:val="auto"/>
          <w:sz w:val="24"/>
          <w:szCs w:val="21"/>
          <w:highlight w:val="none"/>
        </w:rPr>
      </w:pPr>
    </w:p>
    <w:p w14:paraId="315A2FDC">
      <w:pPr>
        <w:rPr>
          <w:rFonts w:ascii="Tahoma" w:hAnsi="Tahoma" w:eastAsia="仿宋_GB2312"/>
          <w:b/>
          <w:color w:val="auto"/>
          <w:sz w:val="28"/>
          <w:szCs w:val="32"/>
          <w:highlight w:val="none"/>
        </w:rPr>
      </w:pPr>
    </w:p>
    <w:p w14:paraId="14823968">
      <w:pPr>
        <w:rPr>
          <w:rFonts w:ascii="Tahoma" w:hAnsi="Tahoma" w:eastAsia="仿宋_GB2312"/>
          <w:b/>
          <w:color w:val="auto"/>
          <w:sz w:val="28"/>
          <w:szCs w:val="32"/>
          <w:highlight w:val="none"/>
        </w:rPr>
      </w:pPr>
    </w:p>
    <w:p w14:paraId="6AD12B2A">
      <w:pPr>
        <w:rPr>
          <w:rFonts w:ascii="Tahoma" w:hAnsi="Tahoma" w:eastAsia="仿宋_GB2312"/>
          <w:b/>
          <w:color w:val="auto"/>
          <w:sz w:val="28"/>
          <w:szCs w:val="32"/>
          <w:highlight w:val="none"/>
        </w:rPr>
      </w:pPr>
    </w:p>
    <w:p w14:paraId="6DA3D61F">
      <w:pPr>
        <w:pStyle w:val="47"/>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采购人：（以下称甲方）</w:t>
      </w:r>
      <w:r>
        <w:rPr>
          <w:rFonts w:hint="eastAsia" w:ascii="宋体" w:hAnsi="宋体" w:eastAsia="宋体" w:cs="宋体"/>
          <w:color w:val="auto"/>
          <w:sz w:val="21"/>
          <w:szCs w:val="21"/>
          <w:highlight w:val="none"/>
          <w:u w:val="single"/>
        </w:rPr>
        <w:t>云和县城市建设投资集团有限公司</w:t>
      </w:r>
    </w:p>
    <w:p w14:paraId="04B78F0C">
      <w:pPr>
        <w:pStyle w:val="4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成交人：（以下称乙方）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B26A92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eastAsia="宋体" w:cs="宋体"/>
          <w:color w:val="auto"/>
          <w:sz w:val="21"/>
          <w:szCs w:val="21"/>
          <w:highlight w:val="none"/>
        </w:rPr>
      </w:pPr>
      <w:r>
        <w:rPr>
          <w:rFonts w:hint="eastAsia" w:ascii="宋体" w:hAnsi="宋体" w:cs="宋体"/>
          <w:color w:val="auto"/>
          <w:sz w:val="21"/>
          <w:szCs w:val="21"/>
          <w:highlight w:val="none"/>
          <w:u w:val="single"/>
          <w:lang w:eastAsia="zh-CN"/>
        </w:rPr>
        <w:t>云和县白水区块商住项目房产代销项目</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u w:val="single"/>
        </w:rPr>
        <w:t xml:space="preserve">  浙江大兴建设项目管理咨询有限公司(采购代理机构)</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rPr>
        <w:t>浙大采招</w:t>
      </w:r>
      <w:r>
        <w:rPr>
          <w:rFonts w:hint="eastAsia" w:ascii="宋体" w:hAnsi="宋体" w:cs="宋体"/>
          <w:color w:val="auto"/>
          <w:sz w:val="21"/>
          <w:szCs w:val="21"/>
          <w:highlight w:val="none"/>
          <w:u w:val="single"/>
          <w:lang w:eastAsia="zh-CN"/>
        </w:rPr>
        <w:t>E2024055号</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文件在</w:t>
      </w:r>
      <w:r>
        <w:rPr>
          <w:rFonts w:hint="eastAsia" w:ascii="宋体" w:hAnsi="宋体" w:eastAsia="宋体" w:cs="宋体"/>
          <w:color w:val="auto"/>
          <w:sz w:val="21"/>
          <w:szCs w:val="21"/>
          <w:highlight w:val="none"/>
          <w:u w:val="single"/>
        </w:rPr>
        <w:t xml:space="preserve">    年   月   日</w:t>
      </w:r>
      <w:r>
        <w:rPr>
          <w:rFonts w:hint="eastAsia" w:ascii="宋体" w:hAnsi="宋体" w:eastAsia="宋体" w:cs="宋体"/>
          <w:color w:val="auto"/>
          <w:sz w:val="21"/>
          <w:szCs w:val="21"/>
          <w:highlight w:val="none"/>
        </w:rPr>
        <w:t>进行采购。确定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(乙方)为</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人。甲乙双方依据《中华人民共和国民法典》，在平等自愿的基础上，同意按照下面的条款和条件，签署本合同。</w:t>
      </w:r>
    </w:p>
    <w:p w14:paraId="6EB698D0">
      <w:pPr>
        <w:tabs>
          <w:tab w:val="left" w:pos="795"/>
        </w:tabs>
        <w:snapToGrid w:val="0"/>
        <w:spacing w:before="238" w:line="419"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合同文件</w:t>
      </w:r>
    </w:p>
    <w:p w14:paraId="42BAE39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下列文件构成本合同的组成部分，应该认为是一个整体，彼此相互解释，相互补充。组成合同的多个文件的优先支配地位的次序如下：</w:t>
      </w:r>
    </w:p>
    <w:p w14:paraId="232CA561">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a.本合同书　</w:t>
      </w:r>
    </w:p>
    <w:p w14:paraId="25B521D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b.</w:t>
      </w:r>
      <w:r>
        <w:rPr>
          <w:rFonts w:hint="eastAsia" w:ascii="宋体" w:hAnsi="宋体" w:eastAsia="宋体"/>
          <w:color w:val="auto"/>
          <w:sz w:val="21"/>
          <w:szCs w:val="21"/>
          <w:highlight w:val="none"/>
          <w:lang w:val="en-US" w:eastAsia="zh-CN"/>
        </w:rPr>
        <w:t>中标</w:t>
      </w:r>
      <w:r>
        <w:rPr>
          <w:rFonts w:hint="eastAsia" w:ascii="宋体" w:hAnsi="宋体" w:eastAsia="宋体"/>
          <w:color w:val="auto"/>
          <w:sz w:val="21"/>
          <w:szCs w:val="21"/>
          <w:highlight w:val="none"/>
        </w:rPr>
        <w:t>通知书</w:t>
      </w:r>
      <w:r>
        <w:rPr>
          <w:rFonts w:hint="eastAsia" w:ascii="宋体" w:hAnsi="宋体" w:eastAsia="宋体"/>
          <w:color w:val="auto"/>
          <w:sz w:val="21"/>
          <w:szCs w:val="21"/>
          <w:highlight w:val="none"/>
        </w:rPr>
        <w:tab/>
      </w:r>
    </w:p>
    <w:p w14:paraId="7B6E067B">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c.</w:t>
      </w:r>
      <w:r>
        <w:rPr>
          <w:rFonts w:hint="eastAsia" w:ascii="宋体" w:hAnsi="宋体" w:eastAsia="宋体"/>
          <w:color w:val="auto"/>
          <w:sz w:val="21"/>
          <w:szCs w:val="21"/>
          <w:highlight w:val="none"/>
          <w:lang w:val="en-US" w:eastAsia="zh-CN"/>
        </w:rPr>
        <w:t>中标</w:t>
      </w:r>
      <w:r>
        <w:rPr>
          <w:rFonts w:hint="eastAsia" w:ascii="宋体" w:hAnsi="宋体" w:eastAsia="宋体"/>
          <w:color w:val="auto"/>
          <w:sz w:val="21"/>
          <w:szCs w:val="21"/>
          <w:highlight w:val="none"/>
        </w:rPr>
        <w:t>人</w:t>
      </w:r>
      <w:r>
        <w:rPr>
          <w:rFonts w:hint="eastAsia" w:ascii="宋体" w:hAnsi="宋体" w:eastAsia="宋体"/>
          <w:color w:val="auto"/>
          <w:sz w:val="21"/>
          <w:szCs w:val="21"/>
          <w:highlight w:val="none"/>
          <w:lang w:val="en-US" w:eastAsia="zh-CN"/>
        </w:rPr>
        <w:t>投标</w:t>
      </w:r>
      <w:r>
        <w:rPr>
          <w:rFonts w:hint="eastAsia" w:ascii="宋体" w:hAnsi="宋体" w:eastAsia="宋体"/>
          <w:color w:val="auto"/>
          <w:sz w:val="21"/>
          <w:szCs w:val="21"/>
          <w:highlight w:val="none"/>
        </w:rPr>
        <w:t>文件(含澄清内容)</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p>
    <w:p w14:paraId="52F18BB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d.</w:t>
      </w:r>
      <w:r>
        <w:rPr>
          <w:rFonts w:hint="eastAsia" w:ascii="宋体" w:hAnsi="宋体" w:eastAsia="宋体"/>
          <w:color w:val="auto"/>
          <w:sz w:val="21"/>
          <w:szCs w:val="21"/>
          <w:highlight w:val="none"/>
          <w:lang w:val="en-US" w:eastAsia="zh-CN"/>
        </w:rPr>
        <w:t>双</w:t>
      </w:r>
      <w:r>
        <w:rPr>
          <w:rFonts w:hint="eastAsia" w:ascii="宋体" w:hAnsi="宋体" w:eastAsia="宋体"/>
          <w:color w:val="auto"/>
          <w:sz w:val="21"/>
          <w:szCs w:val="21"/>
          <w:highlight w:val="none"/>
        </w:rPr>
        <w:t>方认可的变更、洽商等书面文件或协议修正文件</w:t>
      </w:r>
    </w:p>
    <w:p w14:paraId="6E62809C">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e.</w:t>
      </w:r>
      <w:r>
        <w:rPr>
          <w:rFonts w:hint="eastAsia" w:ascii="宋体" w:hAnsi="宋体" w:eastAsia="宋体"/>
          <w:color w:val="auto"/>
          <w:sz w:val="21"/>
          <w:szCs w:val="21"/>
          <w:highlight w:val="none"/>
          <w:lang w:val="en-US" w:eastAsia="zh-CN"/>
        </w:rPr>
        <w:t>招标</w:t>
      </w:r>
      <w:r>
        <w:rPr>
          <w:rFonts w:hint="eastAsia" w:ascii="宋体" w:hAnsi="宋体" w:eastAsia="宋体"/>
          <w:color w:val="auto"/>
          <w:sz w:val="21"/>
          <w:szCs w:val="21"/>
          <w:highlight w:val="none"/>
        </w:rPr>
        <w:t>文件(含澄清修改文件)</w:t>
      </w:r>
    </w:p>
    <w:p w14:paraId="5B58C7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eastAsia="宋体"/>
          <w:b/>
          <w:color w:val="auto"/>
          <w:sz w:val="21"/>
          <w:szCs w:val="21"/>
          <w:highlight w:val="none"/>
        </w:rPr>
      </w:pPr>
      <w:r>
        <w:rPr>
          <w:rFonts w:hint="eastAsia" w:ascii="宋体"/>
          <w:b/>
          <w:color w:val="auto"/>
          <w:sz w:val="21"/>
          <w:szCs w:val="21"/>
          <w:highlight w:val="none"/>
          <w:lang w:val="en-US" w:eastAsia="zh-CN"/>
        </w:rPr>
        <w:t>第二条  合同</w:t>
      </w:r>
      <w:r>
        <w:rPr>
          <w:rFonts w:hint="eastAsia" w:ascii="宋体" w:eastAsia="宋体"/>
          <w:b/>
          <w:color w:val="auto"/>
          <w:sz w:val="21"/>
          <w:szCs w:val="21"/>
          <w:highlight w:val="none"/>
        </w:rPr>
        <w:t>范围及</w:t>
      </w:r>
      <w:r>
        <w:rPr>
          <w:rFonts w:hint="eastAsia" w:ascii="宋体"/>
          <w:b/>
          <w:color w:val="auto"/>
          <w:sz w:val="21"/>
          <w:szCs w:val="21"/>
          <w:highlight w:val="none"/>
          <w:lang w:val="en-US" w:eastAsia="zh-CN"/>
        </w:rPr>
        <w:t>服务</w:t>
      </w:r>
      <w:r>
        <w:rPr>
          <w:rFonts w:hint="eastAsia" w:ascii="宋体" w:eastAsia="宋体"/>
          <w:b/>
          <w:color w:val="auto"/>
          <w:sz w:val="21"/>
          <w:szCs w:val="21"/>
          <w:highlight w:val="none"/>
        </w:rPr>
        <w:t>内容</w:t>
      </w:r>
    </w:p>
    <w:p w14:paraId="18909A9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eastAsia="宋体"/>
          <w:color w:val="auto"/>
          <w:sz w:val="21"/>
          <w:szCs w:val="21"/>
          <w:highlight w:val="none"/>
          <w:shd w:val="clear" w:color="auto" w:fill="FFFFFF"/>
        </w:rPr>
      </w:pPr>
      <w:r>
        <w:rPr>
          <w:rFonts w:hint="eastAsia" w:ascii="宋体" w:hAnsi="宋体" w:eastAsia="宋体" w:cs="宋体"/>
          <w:color w:val="auto"/>
          <w:szCs w:val="21"/>
          <w:highlight w:val="none"/>
          <w:lang w:val="en-US" w:eastAsia="zh-CN"/>
        </w:rPr>
        <w:t>云和县白水区块商住项目的</w:t>
      </w:r>
      <w:r>
        <w:rPr>
          <w:rFonts w:hint="eastAsia" w:ascii="宋体" w:hAnsi="宋体" w:cs="宋体"/>
          <w:color w:val="auto"/>
          <w:szCs w:val="21"/>
          <w:highlight w:val="none"/>
          <w:lang w:val="en-US" w:eastAsia="zh-CN"/>
        </w:rPr>
        <w:t>房产</w:t>
      </w:r>
      <w:r>
        <w:rPr>
          <w:rFonts w:hint="eastAsia" w:ascii="宋体" w:hAnsi="宋体" w:eastAsia="宋体" w:cs="宋体"/>
          <w:color w:val="auto"/>
          <w:szCs w:val="21"/>
          <w:highlight w:val="none"/>
          <w:lang w:val="en-US" w:eastAsia="zh-CN"/>
        </w:rPr>
        <w:t>代理销售服务</w:t>
      </w:r>
      <w:r>
        <w:rPr>
          <w:rFonts w:hint="eastAsia" w:ascii="宋体" w:hAnsi="宋体" w:cs="宋体"/>
          <w:color w:val="auto"/>
          <w:szCs w:val="21"/>
          <w:highlight w:val="none"/>
          <w:lang w:val="en-US" w:eastAsia="zh-CN"/>
        </w:rPr>
        <w:t>（全案代理）</w:t>
      </w:r>
      <w:r>
        <w:rPr>
          <w:rFonts w:hint="eastAsia" w:ascii="宋体" w:hAnsi="宋体" w:eastAsia="宋体" w:cs="宋体"/>
          <w:color w:val="auto"/>
          <w:szCs w:val="21"/>
          <w:highlight w:val="none"/>
          <w:lang w:val="en-US" w:eastAsia="zh-CN"/>
        </w:rPr>
        <w:t>:</w:t>
      </w:r>
      <w:r>
        <w:rPr>
          <w:rFonts w:hint="eastAsia" w:ascii="宋体" w:hAnsi="宋体" w:eastAsia="宋体"/>
          <w:color w:val="auto"/>
          <w:sz w:val="21"/>
          <w:szCs w:val="21"/>
          <w:highlight w:val="none"/>
          <w:lang w:val="en-US" w:eastAsia="zh-CN"/>
        </w:rPr>
        <w:t>乙方</w:t>
      </w:r>
      <w:r>
        <w:rPr>
          <w:rFonts w:hint="eastAsia" w:ascii="宋体" w:hAnsi="宋体" w:eastAsia="宋体"/>
          <w:color w:val="auto"/>
          <w:sz w:val="21"/>
          <w:szCs w:val="21"/>
          <w:highlight w:val="none"/>
        </w:rPr>
        <w:t>负责销售代理服务团队组建；负责市场调查研究分析、提交销售价格建议；负责项目营销策划和销售广告宣传（含媒体宣传、平面宣传与文本图册宣传等）；负责日常销售实施和管理；负责销售合同拟定、备案、签订和管理；负责前期蓄客及客户的退房、投诉处理；负责办理按揭贷款、催收资金回笼；负责销售价格备案、办理预售证和不动产权总证、已售房源的不动产转移登记；负责房款结算、交房及前期物业的对接等</w:t>
      </w:r>
      <w:r>
        <w:rPr>
          <w:rFonts w:hint="eastAsia" w:ascii="宋体" w:hAnsi="宋体"/>
          <w:color w:val="auto"/>
          <w:sz w:val="21"/>
          <w:szCs w:val="21"/>
          <w:highlight w:val="none"/>
          <w:lang w:val="en-US" w:eastAsia="zh-CN"/>
        </w:rPr>
        <w:t>本项目</w:t>
      </w:r>
      <w:r>
        <w:rPr>
          <w:rFonts w:hint="eastAsia" w:ascii="宋体" w:hAnsi="宋体" w:eastAsia="宋体"/>
          <w:color w:val="auto"/>
          <w:sz w:val="21"/>
          <w:szCs w:val="21"/>
          <w:highlight w:val="none"/>
        </w:rPr>
        <w:t>所有营销</w:t>
      </w:r>
      <w:r>
        <w:rPr>
          <w:rFonts w:hint="eastAsia" w:ascii="宋体" w:hAnsi="宋体"/>
          <w:color w:val="auto"/>
          <w:sz w:val="21"/>
          <w:szCs w:val="21"/>
          <w:highlight w:val="none"/>
          <w:lang w:val="en-US" w:eastAsia="zh-CN"/>
        </w:rPr>
        <w:t>及安置房、定向房票的相关手续办理</w:t>
      </w:r>
      <w:r>
        <w:rPr>
          <w:rFonts w:hint="eastAsia" w:ascii="宋体" w:hAnsi="宋体" w:eastAsia="宋体"/>
          <w:color w:val="auto"/>
          <w:sz w:val="21"/>
          <w:szCs w:val="21"/>
          <w:highlight w:val="none"/>
        </w:rPr>
        <w:t>工作</w:t>
      </w:r>
      <w:r>
        <w:rPr>
          <w:rFonts w:hint="eastAsia" w:ascii="宋体" w:eastAsia="宋体"/>
          <w:color w:val="auto"/>
          <w:sz w:val="21"/>
          <w:szCs w:val="21"/>
          <w:highlight w:val="none"/>
          <w:shd w:val="clear" w:color="auto" w:fill="FFFFFF"/>
        </w:rPr>
        <w:t>。</w:t>
      </w:r>
    </w:p>
    <w:p w14:paraId="14B7145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eastAsia="宋体"/>
          <w:color w:val="auto"/>
          <w:sz w:val="21"/>
          <w:szCs w:val="21"/>
          <w:highlight w:val="none"/>
          <w:shd w:val="clear" w:color="auto" w:fill="FFFFFF"/>
        </w:rPr>
      </w:pPr>
      <w:r>
        <w:rPr>
          <w:rFonts w:hint="eastAsia" w:ascii="宋体"/>
          <w:color w:val="auto"/>
          <w:sz w:val="21"/>
          <w:szCs w:val="21"/>
          <w:highlight w:val="none"/>
          <w:shd w:val="clear" w:color="auto" w:fill="FFFFFF"/>
          <w:lang w:eastAsia="zh-CN"/>
        </w:rPr>
        <w:t>（</w:t>
      </w:r>
      <w:r>
        <w:rPr>
          <w:rFonts w:hint="eastAsia" w:ascii="宋体"/>
          <w:color w:val="auto"/>
          <w:sz w:val="21"/>
          <w:szCs w:val="21"/>
          <w:highlight w:val="none"/>
          <w:shd w:val="clear" w:color="auto" w:fill="FFFFFF"/>
          <w:lang w:val="en-US" w:eastAsia="zh-CN"/>
        </w:rPr>
        <w:t>1</w:t>
      </w:r>
      <w:r>
        <w:rPr>
          <w:rFonts w:hint="eastAsia" w:ascii="宋体"/>
          <w:color w:val="auto"/>
          <w:sz w:val="21"/>
          <w:szCs w:val="21"/>
          <w:highlight w:val="none"/>
          <w:shd w:val="clear" w:color="auto" w:fill="FFFFFF"/>
          <w:lang w:eastAsia="zh-CN"/>
        </w:rPr>
        <w:t>）</w:t>
      </w:r>
      <w:r>
        <w:rPr>
          <w:rFonts w:hint="eastAsia" w:ascii="宋体" w:eastAsia="宋体"/>
          <w:color w:val="auto"/>
          <w:sz w:val="21"/>
          <w:szCs w:val="21"/>
          <w:highlight w:val="none"/>
          <w:shd w:val="clear" w:color="auto" w:fill="FFFFFF"/>
        </w:rPr>
        <w:t>市场调研与分析：①整体市场综合研判；②区域市场研判；③资源研判；④竞争调研与分析；</w:t>
      </w:r>
    </w:p>
    <w:p w14:paraId="0707B5C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eastAsia="宋体"/>
          <w:color w:val="auto"/>
          <w:sz w:val="21"/>
          <w:szCs w:val="21"/>
          <w:highlight w:val="none"/>
          <w:shd w:val="clear" w:color="auto" w:fill="FFFFFF"/>
        </w:rPr>
      </w:pPr>
      <w:r>
        <w:rPr>
          <w:rFonts w:hint="eastAsia" w:ascii="宋体"/>
          <w:color w:val="auto"/>
          <w:sz w:val="21"/>
          <w:szCs w:val="21"/>
          <w:highlight w:val="none"/>
          <w:shd w:val="clear" w:color="auto" w:fill="FFFFFF"/>
          <w:lang w:eastAsia="zh-CN"/>
        </w:rPr>
        <w:t>（</w:t>
      </w:r>
      <w:r>
        <w:rPr>
          <w:rFonts w:hint="eastAsia" w:ascii="宋体"/>
          <w:color w:val="auto"/>
          <w:sz w:val="21"/>
          <w:szCs w:val="21"/>
          <w:highlight w:val="none"/>
          <w:shd w:val="clear" w:color="auto" w:fill="FFFFFF"/>
          <w:lang w:val="en-US" w:eastAsia="zh-CN"/>
        </w:rPr>
        <w:t>2</w:t>
      </w:r>
      <w:r>
        <w:rPr>
          <w:rFonts w:hint="eastAsia" w:ascii="宋体"/>
          <w:color w:val="auto"/>
          <w:sz w:val="21"/>
          <w:szCs w:val="21"/>
          <w:highlight w:val="none"/>
          <w:shd w:val="clear" w:color="auto" w:fill="FFFFFF"/>
          <w:lang w:eastAsia="zh-CN"/>
        </w:rPr>
        <w:t>）</w:t>
      </w:r>
      <w:r>
        <w:rPr>
          <w:rFonts w:hint="eastAsia" w:ascii="宋体" w:eastAsia="宋体"/>
          <w:color w:val="auto"/>
          <w:sz w:val="21"/>
          <w:szCs w:val="21"/>
          <w:highlight w:val="none"/>
          <w:shd w:val="clear" w:color="auto" w:fill="FFFFFF"/>
        </w:rPr>
        <w:t xml:space="preserve">市场定位：①目标市场定位策略建议；②目标客群消费及需求分析；③产品定位策略建议；④营销要点测评； </w:t>
      </w:r>
    </w:p>
    <w:p w14:paraId="4FBECBB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eastAsia="宋体"/>
          <w:color w:val="auto"/>
          <w:sz w:val="21"/>
          <w:szCs w:val="21"/>
          <w:highlight w:val="none"/>
          <w:shd w:val="clear" w:color="auto" w:fill="FFFFFF"/>
        </w:rPr>
      </w:pPr>
      <w:r>
        <w:rPr>
          <w:rFonts w:hint="eastAsia" w:ascii="宋体"/>
          <w:color w:val="auto"/>
          <w:sz w:val="21"/>
          <w:szCs w:val="21"/>
          <w:highlight w:val="none"/>
          <w:shd w:val="clear" w:color="auto" w:fill="FFFFFF"/>
          <w:lang w:eastAsia="zh-CN"/>
        </w:rPr>
        <w:t>（</w:t>
      </w:r>
      <w:r>
        <w:rPr>
          <w:rFonts w:hint="eastAsia" w:ascii="宋体"/>
          <w:color w:val="auto"/>
          <w:sz w:val="21"/>
          <w:szCs w:val="21"/>
          <w:highlight w:val="none"/>
          <w:shd w:val="clear" w:color="auto" w:fill="FFFFFF"/>
          <w:lang w:val="en-US" w:eastAsia="zh-CN"/>
        </w:rPr>
        <w:t>3</w:t>
      </w:r>
      <w:r>
        <w:rPr>
          <w:rFonts w:hint="eastAsia" w:ascii="宋体"/>
          <w:color w:val="auto"/>
          <w:sz w:val="21"/>
          <w:szCs w:val="21"/>
          <w:highlight w:val="none"/>
          <w:shd w:val="clear" w:color="auto" w:fill="FFFFFF"/>
          <w:lang w:eastAsia="zh-CN"/>
        </w:rPr>
        <w:t>）</w:t>
      </w:r>
      <w:r>
        <w:rPr>
          <w:rFonts w:hint="eastAsia" w:ascii="宋体" w:eastAsia="宋体"/>
          <w:color w:val="auto"/>
          <w:sz w:val="21"/>
          <w:szCs w:val="21"/>
          <w:highlight w:val="none"/>
          <w:shd w:val="clear" w:color="auto" w:fill="FFFFFF"/>
        </w:rPr>
        <w:t>产品定位：①产品主体概念定位；②产品功能定位；③产品形象定位；</w:t>
      </w:r>
    </w:p>
    <w:p w14:paraId="1188468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eastAsia="宋体"/>
          <w:color w:val="auto"/>
          <w:sz w:val="21"/>
          <w:szCs w:val="21"/>
          <w:highlight w:val="none"/>
          <w:shd w:val="clear" w:color="auto" w:fill="FFFFFF"/>
        </w:rPr>
      </w:pPr>
      <w:r>
        <w:rPr>
          <w:rFonts w:hint="eastAsia" w:ascii="宋体"/>
          <w:color w:val="auto"/>
          <w:sz w:val="21"/>
          <w:szCs w:val="21"/>
          <w:highlight w:val="none"/>
          <w:shd w:val="clear" w:color="auto" w:fill="FFFFFF"/>
          <w:lang w:eastAsia="zh-CN"/>
        </w:rPr>
        <w:t>（</w:t>
      </w:r>
      <w:r>
        <w:rPr>
          <w:rFonts w:hint="eastAsia" w:ascii="宋体"/>
          <w:color w:val="auto"/>
          <w:sz w:val="21"/>
          <w:szCs w:val="21"/>
          <w:highlight w:val="none"/>
          <w:shd w:val="clear" w:color="auto" w:fill="FFFFFF"/>
          <w:lang w:val="en-US" w:eastAsia="zh-CN"/>
        </w:rPr>
        <w:t>4</w:t>
      </w:r>
      <w:r>
        <w:rPr>
          <w:rFonts w:hint="eastAsia" w:ascii="宋体"/>
          <w:color w:val="auto"/>
          <w:sz w:val="21"/>
          <w:szCs w:val="21"/>
          <w:highlight w:val="none"/>
          <w:shd w:val="clear" w:color="auto" w:fill="FFFFFF"/>
          <w:lang w:eastAsia="zh-CN"/>
        </w:rPr>
        <w:t>）</w:t>
      </w:r>
      <w:r>
        <w:rPr>
          <w:rFonts w:hint="eastAsia" w:ascii="宋体" w:eastAsia="宋体"/>
          <w:color w:val="auto"/>
          <w:sz w:val="21"/>
          <w:szCs w:val="21"/>
          <w:highlight w:val="none"/>
          <w:shd w:val="clear" w:color="auto" w:fill="FFFFFF"/>
        </w:rPr>
        <w:t>产品表示与展现：①展示表现方式及方案企划和过程监督、验收。②销售展示中心、样板房方案选择、优化和验收；③产品展示展位形象设计；</w:t>
      </w:r>
    </w:p>
    <w:p w14:paraId="5AC0BCFC">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eastAsia="宋体"/>
          <w:color w:val="auto"/>
          <w:sz w:val="21"/>
          <w:szCs w:val="21"/>
          <w:highlight w:val="none"/>
          <w:shd w:val="clear" w:color="auto" w:fill="FFFFFF"/>
        </w:rPr>
      </w:pPr>
      <w:r>
        <w:rPr>
          <w:rFonts w:hint="eastAsia" w:ascii="宋体"/>
          <w:color w:val="auto"/>
          <w:sz w:val="21"/>
          <w:szCs w:val="21"/>
          <w:highlight w:val="none"/>
          <w:shd w:val="clear" w:color="auto" w:fill="FFFFFF"/>
          <w:lang w:eastAsia="zh-CN"/>
        </w:rPr>
        <w:t>（</w:t>
      </w:r>
      <w:r>
        <w:rPr>
          <w:rFonts w:hint="eastAsia" w:ascii="宋体"/>
          <w:color w:val="auto"/>
          <w:sz w:val="21"/>
          <w:szCs w:val="21"/>
          <w:highlight w:val="none"/>
          <w:shd w:val="clear" w:color="auto" w:fill="FFFFFF"/>
          <w:lang w:val="en-US" w:eastAsia="zh-CN"/>
        </w:rPr>
        <w:t>5</w:t>
      </w:r>
      <w:r>
        <w:rPr>
          <w:rFonts w:hint="eastAsia" w:ascii="宋体"/>
          <w:color w:val="auto"/>
          <w:sz w:val="21"/>
          <w:szCs w:val="21"/>
          <w:highlight w:val="none"/>
          <w:shd w:val="clear" w:color="auto" w:fill="FFFFFF"/>
          <w:lang w:eastAsia="zh-CN"/>
        </w:rPr>
        <w:t>）</w:t>
      </w:r>
      <w:r>
        <w:rPr>
          <w:rFonts w:hint="eastAsia" w:ascii="宋体" w:eastAsia="宋体"/>
          <w:color w:val="auto"/>
          <w:sz w:val="21"/>
          <w:szCs w:val="21"/>
          <w:highlight w:val="none"/>
          <w:shd w:val="clear" w:color="auto" w:fill="FFFFFF"/>
        </w:rPr>
        <w:t>营销策划</w:t>
      </w:r>
      <w:r>
        <w:rPr>
          <w:rFonts w:hint="eastAsia" w:ascii="宋体"/>
          <w:color w:val="auto"/>
          <w:sz w:val="21"/>
          <w:szCs w:val="21"/>
          <w:highlight w:val="none"/>
          <w:shd w:val="clear" w:color="auto" w:fill="FFFFFF"/>
          <w:lang w:eastAsia="zh-CN"/>
        </w:rPr>
        <w:t>：</w:t>
      </w:r>
      <w:r>
        <w:rPr>
          <w:rFonts w:hint="eastAsia" w:ascii="宋体" w:eastAsia="宋体"/>
          <w:color w:val="auto"/>
          <w:sz w:val="21"/>
          <w:szCs w:val="21"/>
          <w:highlight w:val="none"/>
          <w:shd w:val="clear" w:color="auto" w:fill="FFFFFF"/>
        </w:rPr>
        <w:t xml:space="preserve"> ①营销策略拟定；②营销战术策划；③整体包装策划；④活动营销策划；⑤公共关系策划；⑥销售价格方案，向甲方申报两个预售价格；价格一：达到本项目盈亏平衡点的预售均价和一房一价。价格二：在盈亏平衡点之上认为可销售的预售均价和一房一价。乙方申报价格时不得违背市场常规定价规律，最终以书面形式报甲方同意后实施；</w:t>
      </w:r>
    </w:p>
    <w:p w14:paraId="45CAF52B">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eastAsia="宋体"/>
          <w:color w:val="auto"/>
          <w:sz w:val="21"/>
          <w:szCs w:val="21"/>
          <w:highlight w:val="none"/>
          <w:shd w:val="clear" w:color="auto" w:fill="FFFFFF"/>
        </w:rPr>
      </w:pPr>
      <w:r>
        <w:rPr>
          <w:rFonts w:hint="eastAsia" w:ascii="宋体"/>
          <w:color w:val="auto"/>
          <w:sz w:val="21"/>
          <w:szCs w:val="21"/>
          <w:highlight w:val="none"/>
          <w:shd w:val="clear" w:color="auto" w:fill="FFFFFF"/>
          <w:lang w:eastAsia="zh-CN"/>
        </w:rPr>
        <w:t>（</w:t>
      </w:r>
      <w:r>
        <w:rPr>
          <w:rFonts w:hint="eastAsia" w:ascii="宋体"/>
          <w:color w:val="auto"/>
          <w:sz w:val="21"/>
          <w:szCs w:val="21"/>
          <w:highlight w:val="none"/>
          <w:shd w:val="clear" w:color="auto" w:fill="FFFFFF"/>
          <w:lang w:val="en-US" w:eastAsia="zh-CN"/>
        </w:rPr>
        <w:t>6</w:t>
      </w:r>
      <w:r>
        <w:rPr>
          <w:rFonts w:hint="eastAsia" w:ascii="宋体"/>
          <w:color w:val="auto"/>
          <w:sz w:val="21"/>
          <w:szCs w:val="21"/>
          <w:highlight w:val="none"/>
          <w:shd w:val="clear" w:color="auto" w:fill="FFFFFF"/>
          <w:lang w:eastAsia="zh-CN"/>
        </w:rPr>
        <w:t>）</w:t>
      </w:r>
      <w:r>
        <w:rPr>
          <w:rFonts w:hint="eastAsia" w:ascii="宋体" w:eastAsia="宋体"/>
          <w:color w:val="auto"/>
          <w:sz w:val="21"/>
          <w:szCs w:val="21"/>
          <w:highlight w:val="none"/>
          <w:shd w:val="clear" w:color="auto" w:fill="FFFFFF"/>
        </w:rPr>
        <w:t>广告宣传：①广告定位确定；②媒体策略拟定；③广告内容设计；④销售资料和道具制作；⑤营销广告宣传；⑥传播效果考评；</w:t>
      </w:r>
    </w:p>
    <w:p w14:paraId="5A84E74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eastAsia="宋体"/>
          <w:color w:val="auto"/>
          <w:sz w:val="21"/>
          <w:szCs w:val="21"/>
          <w:highlight w:val="none"/>
          <w:shd w:val="clear" w:color="auto" w:fill="FFFFFF"/>
        </w:rPr>
      </w:pPr>
      <w:r>
        <w:rPr>
          <w:rFonts w:hint="eastAsia" w:ascii="宋体"/>
          <w:color w:val="auto"/>
          <w:sz w:val="21"/>
          <w:szCs w:val="21"/>
          <w:highlight w:val="none"/>
          <w:shd w:val="clear" w:color="auto" w:fill="FFFFFF"/>
          <w:lang w:eastAsia="zh-CN"/>
        </w:rPr>
        <w:t>（</w:t>
      </w:r>
      <w:r>
        <w:rPr>
          <w:rFonts w:hint="eastAsia" w:ascii="宋体"/>
          <w:color w:val="auto"/>
          <w:sz w:val="21"/>
          <w:szCs w:val="21"/>
          <w:highlight w:val="none"/>
          <w:shd w:val="clear" w:color="auto" w:fill="FFFFFF"/>
          <w:lang w:val="en-US" w:eastAsia="zh-CN"/>
        </w:rPr>
        <w:t>7</w:t>
      </w:r>
      <w:r>
        <w:rPr>
          <w:rFonts w:hint="eastAsia" w:ascii="宋体"/>
          <w:color w:val="auto"/>
          <w:sz w:val="21"/>
          <w:szCs w:val="21"/>
          <w:highlight w:val="none"/>
          <w:shd w:val="clear" w:color="auto" w:fill="FFFFFF"/>
          <w:lang w:eastAsia="zh-CN"/>
        </w:rPr>
        <w:t>）</w:t>
      </w:r>
      <w:r>
        <w:rPr>
          <w:rFonts w:hint="eastAsia" w:ascii="宋体" w:eastAsia="宋体"/>
          <w:color w:val="auto"/>
          <w:sz w:val="21"/>
          <w:szCs w:val="21"/>
          <w:highlight w:val="none"/>
          <w:shd w:val="clear" w:color="auto" w:fill="FFFFFF"/>
        </w:rPr>
        <w:t>销售日常管理：①销售人员培训和管理；②活动方案拟定及执行；③销售方案拟定及执行；④销售合同的拟定、备案、签订和管理；⑤销售案场管理；⑥ 办理按揭贷款及时催收资金回笼；</w:t>
      </w:r>
    </w:p>
    <w:p w14:paraId="3D537C0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eastAsia="宋体"/>
          <w:color w:val="auto"/>
          <w:sz w:val="21"/>
          <w:szCs w:val="21"/>
          <w:highlight w:val="none"/>
          <w:shd w:val="clear" w:color="auto" w:fill="FFFFFF"/>
        </w:rPr>
      </w:pPr>
      <w:r>
        <w:rPr>
          <w:rFonts w:hint="eastAsia" w:ascii="宋体"/>
          <w:color w:val="auto"/>
          <w:sz w:val="21"/>
          <w:szCs w:val="21"/>
          <w:highlight w:val="none"/>
          <w:shd w:val="clear" w:color="auto" w:fill="FFFFFF"/>
          <w:lang w:eastAsia="zh-CN"/>
        </w:rPr>
        <w:t>（</w:t>
      </w:r>
      <w:r>
        <w:rPr>
          <w:rFonts w:hint="eastAsia" w:ascii="宋体"/>
          <w:color w:val="auto"/>
          <w:sz w:val="21"/>
          <w:szCs w:val="21"/>
          <w:highlight w:val="none"/>
          <w:shd w:val="clear" w:color="auto" w:fill="FFFFFF"/>
          <w:lang w:val="en-US" w:eastAsia="zh-CN"/>
        </w:rPr>
        <w:t>8</w:t>
      </w:r>
      <w:r>
        <w:rPr>
          <w:rFonts w:hint="eastAsia" w:ascii="宋体"/>
          <w:color w:val="auto"/>
          <w:sz w:val="21"/>
          <w:szCs w:val="21"/>
          <w:highlight w:val="none"/>
          <w:shd w:val="clear" w:color="auto" w:fill="FFFFFF"/>
          <w:lang w:eastAsia="zh-CN"/>
        </w:rPr>
        <w:t>）</w:t>
      </w:r>
      <w:r>
        <w:rPr>
          <w:rFonts w:hint="eastAsia" w:ascii="宋体" w:eastAsia="宋体"/>
          <w:color w:val="auto"/>
          <w:sz w:val="21"/>
          <w:szCs w:val="21"/>
          <w:highlight w:val="none"/>
          <w:shd w:val="clear" w:color="auto" w:fill="FFFFFF"/>
        </w:rPr>
        <w:t>负责房款结算、交房及前期物业的对接配合物业管理服务单位组织前期的物业管理服务工作；</w:t>
      </w:r>
    </w:p>
    <w:p w14:paraId="7C88AFF2">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Times New Roman" w:eastAsia="宋体" w:cs="Times New Roman"/>
          <w:color w:val="auto"/>
          <w:sz w:val="21"/>
          <w:szCs w:val="21"/>
          <w:highlight w:val="none"/>
          <w:shd w:val="clear" w:color="auto" w:fill="FFFFFF"/>
        </w:rPr>
      </w:pPr>
      <w:r>
        <w:rPr>
          <w:rFonts w:hint="eastAsia" w:ascii="宋体"/>
          <w:color w:val="auto"/>
          <w:sz w:val="21"/>
          <w:szCs w:val="21"/>
          <w:highlight w:val="none"/>
          <w:shd w:val="clear" w:color="auto" w:fill="FFFFFF"/>
          <w:lang w:eastAsia="zh-CN"/>
        </w:rPr>
        <w:t>（</w:t>
      </w:r>
      <w:r>
        <w:rPr>
          <w:rFonts w:hint="eastAsia" w:ascii="宋体"/>
          <w:color w:val="auto"/>
          <w:sz w:val="21"/>
          <w:szCs w:val="21"/>
          <w:highlight w:val="none"/>
          <w:shd w:val="clear" w:color="auto" w:fill="FFFFFF"/>
          <w:lang w:val="en-US" w:eastAsia="zh-CN"/>
        </w:rPr>
        <w:t>9</w:t>
      </w:r>
      <w:r>
        <w:rPr>
          <w:rFonts w:hint="eastAsia" w:ascii="宋体"/>
          <w:color w:val="auto"/>
          <w:sz w:val="21"/>
          <w:szCs w:val="21"/>
          <w:highlight w:val="none"/>
          <w:shd w:val="clear" w:color="auto" w:fill="FFFFFF"/>
          <w:lang w:eastAsia="zh-CN"/>
        </w:rPr>
        <w:t>）</w:t>
      </w:r>
      <w:r>
        <w:rPr>
          <w:rFonts w:hint="eastAsia" w:ascii="宋体" w:hAnsi="Times New Roman" w:eastAsia="宋体" w:cs="Times New Roman"/>
          <w:color w:val="auto"/>
          <w:sz w:val="21"/>
          <w:szCs w:val="21"/>
          <w:highlight w:val="none"/>
          <w:shd w:val="clear" w:color="auto" w:fill="FFFFFF"/>
        </w:rPr>
        <w:t>负责销售价格备案、办理预售证和不动产权总证、已售房源的不动产转移登记办理和交房工作。</w:t>
      </w:r>
    </w:p>
    <w:p w14:paraId="16B4C504">
      <w:pPr>
        <w:keepNext w:val="0"/>
        <w:keepLines w:val="0"/>
        <w:pageBreakBefore w:val="0"/>
        <w:widowControl w:val="0"/>
        <w:numPr>
          <w:ilvl w:val="0"/>
          <w:numId w:val="0"/>
        </w:numPr>
        <w:kinsoku/>
        <w:wordWrap/>
        <w:overflowPunct/>
        <w:topLinePunct w:val="0"/>
        <w:autoSpaceDE/>
        <w:autoSpaceDN/>
        <w:bidi w:val="0"/>
        <w:adjustRightInd/>
        <w:spacing w:line="440" w:lineRule="exact"/>
        <w:ind w:firstLine="420" w:firstLineChars="200"/>
        <w:textAlignment w:val="auto"/>
        <w:rPr>
          <w:rFonts w:hint="eastAsia" w:ascii="宋体" w:hAnsi="Times New Roman" w:eastAsia="宋体" w:cs="Times New Roman"/>
          <w:color w:val="auto"/>
          <w:sz w:val="21"/>
          <w:szCs w:val="21"/>
          <w:highlight w:val="none"/>
          <w:shd w:val="clear" w:color="auto" w:fill="FFFFFF"/>
        </w:rPr>
      </w:pPr>
      <w:r>
        <w:rPr>
          <w:rFonts w:hint="eastAsia" w:ascii="宋体" w:cs="Times New Roman"/>
          <w:color w:val="auto"/>
          <w:sz w:val="21"/>
          <w:szCs w:val="21"/>
          <w:highlight w:val="none"/>
          <w:shd w:val="clear" w:color="auto" w:fill="FFFFFF"/>
          <w:lang w:eastAsia="zh-CN"/>
        </w:rPr>
        <w:t>（</w:t>
      </w:r>
      <w:r>
        <w:rPr>
          <w:rFonts w:hint="eastAsia" w:ascii="宋体" w:cs="Times New Roman"/>
          <w:color w:val="auto"/>
          <w:sz w:val="21"/>
          <w:szCs w:val="21"/>
          <w:highlight w:val="none"/>
          <w:shd w:val="clear" w:color="auto" w:fill="FFFFFF"/>
          <w:lang w:val="en-US" w:eastAsia="zh-CN"/>
        </w:rPr>
        <w:t>10）</w:t>
      </w:r>
      <w:r>
        <w:rPr>
          <w:rFonts w:hint="eastAsia" w:ascii="宋体" w:hAnsi="Times New Roman" w:eastAsia="宋体" w:cs="Times New Roman"/>
          <w:color w:val="auto"/>
          <w:sz w:val="21"/>
          <w:szCs w:val="21"/>
          <w:highlight w:val="none"/>
          <w:shd w:val="clear" w:color="auto" w:fill="FFFFFF"/>
        </w:rPr>
        <w:t>其他营销</w:t>
      </w:r>
      <w:r>
        <w:rPr>
          <w:rFonts w:hint="eastAsia" w:ascii="宋体" w:hAnsi="Times New Roman" w:eastAsia="宋体" w:cs="Times New Roman"/>
          <w:color w:val="auto"/>
          <w:sz w:val="21"/>
          <w:szCs w:val="21"/>
          <w:highlight w:val="none"/>
          <w:shd w:val="clear" w:color="auto" w:fill="FFFFFF"/>
          <w:lang w:eastAsia="zh-CN"/>
        </w:rPr>
        <w:t>及</w:t>
      </w:r>
      <w:r>
        <w:rPr>
          <w:rFonts w:hint="eastAsia" w:ascii="宋体" w:hAnsi="宋体"/>
          <w:color w:val="auto"/>
          <w:sz w:val="21"/>
          <w:szCs w:val="21"/>
          <w:highlight w:val="none"/>
          <w:lang w:val="en-US" w:eastAsia="zh-CN"/>
        </w:rPr>
        <w:t>安置房、定向房票的相关手续办理</w:t>
      </w:r>
      <w:r>
        <w:rPr>
          <w:rFonts w:hint="eastAsia" w:ascii="宋体" w:hAnsi="Times New Roman" w:eastAsia="宋体" w:cs="Times New Roman"/>
          <w:color w:val="auto"/>
          <w:sz w:val="21"/>
          <w:szCs w:val="21"/>
          <w:highlight w:val="none"/>
          <w:shd w:val="clear" w:color="auto" w:fill="FFFFFF"/>
        </w:rPr>
        <w:t>的相关工作。</w:t>
      </w:r>
    </w:p>
    <w:p w14:paraId="0FCF9469">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宋体" w:hAnsi="宋体" w:eastAsia="宋体"/>
          <w:color w:val="auto"/>
          <w:sz w:val="21"/>
          <w:szCs w:val="21"/>
          <w:highlight w:val="none"/>
          <w:shd w:val="clear" w:color="auto" w:fill="FFFFFF"/>
        </w:rPr>
      </w:pPr>
      <w:r>
        <w:rPr>
          <w:rFonts w:hint="eastAsia" w:ascii="宋体"/>
          <w:b/>
          <w:color w:val="auto"/>
          <w:sz w:val="21"/>
          <w:szCs w:val="21"/>
          <w:highlight w:val="none"/>
          <w:lang w:val="en-US" w:eastAsia="zh-CN"/>
        </w:rPr>
        <w:t xml:space="preserve">第三条  </w:t>
      </w:r>
      <w:r>
        <w:rPr>
          <w:rFonts w:hint="eastAsia" w:ascii="宋体" w:eastAsia="宋体"/>
          <w:b/>
          <w:color w:val="auto"/>
          <w:sz w:val="21"/>
          <w:szCs w:val="21"/>
          <w:highlight w:val="none"/>
          <w:shd w:val="clear" w:color="auto" w:fill="FFFFFF"/>
          <w:lang w:val="en-US" w:eastAsia="zh-CN"/>
        </w:rPr>
        <w:t>服务期限</w:t>
      </w:r>
    </w:p>
    <w:p w14:paraId="028EB64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eastAsia="宋体" w:cs="Times New Roman"/>
          <w:color w:val="auto"/>
          <w:szCs w:val="21"/>
          <w:highlight w:val="none"/>
          <w:lang w:val="en-US" w:eastAsia="zh-CN"/>
        </w:rPr>
        <w:t>从合同签订之日起至项目最后一次集中交付满6个月为止。交付期间，根据甲方及实际案场需要人员数量调配，配合相关扫尾工作</w:t>
      </w:r>
      <w:r>
        <w:rPr>
          <w:rFonts w:hint="eastAsia" w:ascii="宋体" w:hAnsi="宋体" w:cs="Times New Roman"/>
          <w:color w:val="auto"/>
          <w:szCs w:val="21"/>
          <w:highlight w:val="none"/>
          <w:lang w:val="en-US" w:eastAsia="zh-CN"/>
        </w:rPr>
        <w:t>。</w:t>
      </w:r>
    </w:p>
    <w:p w14:paraId="5D672007">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eastAsia="宋体"/>
          <w:b/>
          <w:color w:val="auto"/>
          <w:sz w:val="21"/>
          <w:szCs w:val="21"/>
          <w:highlight w:val="none"/>
          <w:shd w:val="clear" w:color="auto" w:fill="FFFFFF"/>
          <w:lang w:val="en-US" w:eastAsia="zh-CN"/>
        </w:rPr>
      </w:pPr>
      <w:r>
        <w:rPr>
          <w:rFonts w:hint="eastAsia" w:ascii="宋体"/>
          <w:b/>
          <w:color w:val="auto"/>
          <w:sz w:val="21"/>
          <w:szCs w:val="21"/>
          <w:highlight w:val="none"/>
          <w:lang w:val="en-US" w:eastAsia="zh-CN"/>
        </w:rPr>
        <w:t xml:space="preserve">第四条  </w:t>
      </w:r>
      <w:r>
        <w:rPr>
          <w:rFonts w:hint="eastAsia" w:ascii="宋体" w:hAnsi="宋体" w:eastAsia="宋体" w:cs="宋体"/>
          <w:b/>
          <w:bCs/>
          <w:color w:val="auto"/>
          <w:sz w:val="21"/>
          <w:szCs w:val="21"/>
          <w:highlight w:val="none"/>
          <w:u w:val="none" w:color="000000"/>
          <w:lang w:val="zh-TW" w:eastAsia="zh-TW"/>
        </w:rPr>
        <w:t>服务费用及其他约定</w:t>
      </w:r>
    </w:p>
    <w:p w14:paraId="3D97D9A8">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宋体" w:eastAsia="宋体"/>
          <w:color w:val="auto"/>
          <w:sz w:val="21"/>
          <w:szCs w:val="21"/>
          <w:highlight w:val="none"/>
          <w:u w:val="single"/>
          <w:lang w:eastAsia="zh-CN"/>
        </w:rPr>
      </w:pPr>
      <w:r>
        <w:rPr>
          <w:rFonts w:hint="eastAsia" w:ascii="宋体" w:eastAsia="宋体"/>
          <w:color w:val="auto"/>
          <w:sz w:val="21"/>
          <w:szCs w:val="21"/>
          <w:highlight w:val="none"/>
        </w:rPr>
        <w:t>（一）签约合同价</w:t>
      </w:r>
      <w:r>
        <w:rPr>
          <w:rFonts w:hint="eastAsia" w:ascii="宋体" w:eastAsia="宋体"/>
          <w:color w:val="auto"/>
          <w:sz w:val="21"/>
          <w:szCs w:val="21"/>
          <w:highlight w:val="none"/>
          <w:lang w:eastAsia="zh-CN"/>
        </w:rPr>
        <w:t>（</w:t>
      </w:r>
      <w:r>
        <w:rPr>
          <w:rFonts w:hint="eastAsia" w:ascii="宋体" w:hAnsi="宋体" w:cs="宋体"/>
          <w:color w:val="auto"/>
          <w:szCs w:val="21"/>
          <w:highlight w:val="none"/>
          <w:lang w:val="en-US" w:eastAsia="zh-CN"/>
        </w:rPr>
        <w:t>暂定）</w:t>
      </w:r>
      <w:r>
        <w:rPr>
          <w:rFonts w:hint="eastAsia" w:ascii="宋体" w:eastAsia="宋体"/>
          <w:color w:val="auto"/>
          <w:sz w:val="21"/>
          <w:szCs w:val="21"/>
          <w:highlight w:val="none"/>
        </w:rPr>
        <w:t>为：</w:t>
      </w:r>
      <w:r>
        <w:rPr>
          <w:rFonts w:hint="eastAsia" w:ascii="宋体" w:eastAsia="宋体"/>
          <w:color w:val="auto"/>
          <w:sz w:val="21"/>
          <w:szCs w:val="21"/>
          <w:highlight w:val="none"/>
          <w:u w:val="none"/>
        </w:rPr>
        <w:t>人民币（大写）</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u w:val="single"/>
          <w:lang w:val="en-US" w:eastAsia="zh-CN"/>
        </w:rPr>
        <w:t xml:space="preserve">     </w:t>
      </w:r>
      <w:r>
        <w:rPr>
          <w:rFonts w:hint="eastAsia" w:ascii="宋体" w:eastAsia="宋体"/>
          <w:color w:val="auto"/>
          <w:sz w:val="21"/>
          <w:szCs w:val="21"/>
          <w:highlight w:val="none"/>
          <w:u w:val="single"/>
        </w:rPr>
        <w:t xml:space="preserve"> (¥         元)</w:t>
      </w:r>
      <w:r>
        <w:rPr>
          <w:rFonts w:hint="eastAsia" w:ascii="宋体" w:eastAsia="宋体"/>
          <w:color w:val="auto"/>
          <w:sz w:val="21"/>
          <w:szCs w:val="21"/>
          <w:highlight w:val="none"/>
          <w:u w:val="single"/>
          <w:lang w:eastAsia="zh-CN"/>
        </w:rPr>
        <w:t>。</w:t>
      </w:r>
    </w:p>
    <w:p w14:paraId="67CBE56C">
      <w:pPr>
        <w:keepNext w:val="0"/>
        <w:keepLines w:val="0"/>
        <w:pageBreakBefore w:val="0"/>
        <w:widowControl w:val="0"/>
        <w:kinsoku/>
        <w:wordWrap/>
        <w:overflowPunct/>
        <w:topLinePunct w:val="0"/>
        <w:autoSpaceDE/>
        <w:autoSpaceDN/>
        <w:bidi w:val="0"/>
        <w:adjustRightInd/>
        <w:spacing w:line="440" w:lineRule="exact"/>
        <w:ind w:left="630" w:leftChars="300" w:firstLine="0" w:firstLineChars="0"/>
        <w:jc w:val="both"/>
        <w:textAlignment w:val="auto"/>
        <w:rPr>
          <w:rFonts w:hint="default" w:ascii="宋体" w:eastAsia="宋体"/>
          <w:color w:val="auto"/>
          <w:sz w:val="21"/>
          <w:szCs w:val="21"/>
          <w:highlight w:val="none"/>
          <w:u w:val="single"/>
          <w:lang w:val="en-US" w:eastAsia="zh-CN"/>
        </w:rPr>
      </w:pPr>
      <w:r>
        <w:rPr>
          <w:rFonts w:hint="eastAsia" w:ascii="宋体" w:hAnsi="宋体" w:eastAsia="宋体" w:cs="宋体"/>
          <w:color w:val="auto"/>
          <w:szCs w:val="21"/>
          <w:highlight w:val="none"/>
          <w:lang w:val="en-US" w:eastAsia="zh-CN"/>
        </w:rPr>
        <w:t>其中代理销售服务费（暂定）</w:t>
      </w:r>
      <w:r>
        <w:rPr>
          <w:rFonts w:hint="eastAsia" w:ascii="宋体" w:eastAsia="宋体"/>
          <w:color w:val="auto"/>
          <w:sz w:val="21"/>
          <w:szCs w:val="21"/>
          <w:highlight w:val="none"/>
        </w:rPr>
        <w:t>为：</w:t>
      </w:r>
      <w:r>
        <w:rPr>
          <w:rFonts w:hint="eastAsia" w:ascii="宋体" w:eastAsia="宋体"/>
          <w:color w:val="auto"/>
          <w:sz w:val="21"/>
          <w:szCs w:val="21"/>
          <w:highlight w:val="none"/>
          <w:u w:val="none"/>
        </w:rPr>
        <w:t>人民币（大写）</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u w:val="single"/>
          <w:lang w:val="en-US" w:eastAsia="zh-CN"/>
        </w:rPr>
        <w:t xml:space="preserve">     </w:t>
      </w:r>
      <w:r>
        <w:rPr>
          <w:rFonts w:hint="eastAsia" w:ascii="宋体" w:eastAsia="宋体"/>
          <w:color w:val="auto"/>
          <w:sz w:val="21"/>
          <w:szCs w:val="21"/>
          <w:highlight w:val="none"/>
          <w:u w:val="single"/>
        </w:rPr>
        <w:t xml:space="preserve"> (¥         元)</w:t>
      </w:r>
      <w:r>
        <w:rPr>
          <w:rFonts w:hint="eastAsia" w:ascii="宋体" w:eastAsia="宋体"/>
          <w:color w:val="auto"/>
          <w:sz w:val="21"/>
          <w:szCs w:val="21"/>
          <w:highlight w:val="none"/>
          <w:u w:val="single"/>
          <w:lang w:eastAsia="zh-CN"/>
        </w:rPr>
        <w:t>，</w:t>
      </w:r>
      <w:r>
        <w:rPr>
          <w:rFonts w:hint="eastAsia" w:ascii="宋体" w:eastAsia="宋体"/>
          <w:color w:val="auto"/>
          <w:sz w:val="21"/>
          <w:szCs w:val="21"/>
          <w:highlight w:val="none"/>
          <w:u w:val="none"/>
          <w:lang w:val="en-US" w:eastAsia="zh-CN"/>
        </w:rPr>
        <w:t>大平层及排屋代理销售服务</w:t>
      </w:r>
      <w:r>
        <w:rPr>
          <w:rFonts w:hint="eastAsia" w:ascii="宋体" w:eastAsia="宋体"/>
          <w:color w:val="auto"/>
          <w:sz w:val="21"/>
          <w:szCs w:val="21"/>
          <w:highlight w:val="none"/>
          <w:u w:val="none"/>
          <w:lang w:eastAsia="zh-CN"/>
        </w:rPr>
        <w:t>费</w:t>
      </w:r>
      <w:r>
        <w:rPr>
          <w:rFonts w:hint="eastAsia" w:ascii="宋体" w:eastAsia="宋体"/>
          <w:color w:val="auto"/>
          <w:sz w:val="21"/>
          <w:szCs w:val="21"/>
          <w:highlight w:val="none"/>
          <w:u w:val="none"/>
          <w:lang w:val="en-US" w:eastAsia="zh-CN"/>
        </w:rPr>
        <w:t>中标费率</w:t>
      </w:r>
      <w:r>
        <w:rPr>
          <w:rFonts w:hint="eastAsia" w:ascii="宋体" w:eastAsia="宋体"/>
          <w:color w:val="auto"/>
          <w:sz w:val="21"/>
          <w:szCs w:val="21"/>
          <w:highlight w:val="none"/>
          <w:u w:val="single"/>
          <w:lang w:val="en-US" w:eastAsia="zh-CN"/>
        </w:rPr>
        <w:t>：   %</w:t>
      </w:r>
      <w:r>
        <w:rPr>
          <w:rFonts w:hint="eastAsia" w:ascii="宋体" w:eastAsia="宋体"/>
          <w:color w:val="auto"/>
          <w:sz w:val="21"/>
          <w:szCs w:val="21"/>
          <w:highlight w:val="none"/>
          <w:u w:val="none"/>
          <w:lang w:val="en-US" w:eastAsia="zh-CN"/>
        </w:rPr>
        <w:t>，高层住宅、商铺代理销售服务费中标费率</w:t>
      </w:r>
      <w:r>
        <w:rPr>
          <w:rFonts w:hint="eastAsia" w:ascii="宋体" w:eastAsia="宋体"/>
          <w:color w:val="auto"/>
          <w:sz w:val="21"/>
          <w:szCs w:val="21"/>
          <w:highlight w:val="none"/>
          <w:u w:val="single"/>
          <w:lang w:val="en-US" w:eastAsia="zh-CN"/>
        </w:rPr>
        <w:t>：   %</w:t>
      </w:r>
      <w:r>
        <w:rPr>
          <w:rFonts w:hint="eastAsia" w:ascii="宋体"/>
          <w:color w:val="auto"/>
          <w:sz w:val="21"/>
          <w:szCs w:val="21"/>
          <w:highlight w:val="none"/>
          <w:u w:val="single"/>
          <w:lang w:val="en-US" w:eastAsia="zh-CN"/>
        </w:rPr>
        <w:t>。</w:t>
      </w:r>
    </w:p>
    <w:p w14:paraId="1DB7F6A4">
      <w:pPr>
        <w:keepNext w:val="0"/>
        <w:keepLines w:val="0"/>
        <w:pageBreakBefore w:val="0"/>
        <w:widowControl w:val="0"/>
        <w:kinsoku/>
        <w:wordWrap/>
        <w:overflowPunct/>
        <w:topLinePunct w:val="0"/>
        <w:autoSpaceDE/>
        <w:autoSpaceDN/>
        <w:bidi w:val="0"/>
        <w:adjustRightInd/>
        <w:spacing w:line="440" w:lineRule="exact"/>
        <w:ind w:left="630" w:leftChars="300" w:firstLine="0" w:firstLineChars="0"/>
        <w:jc w:val="both"/>
        <w:textAlignment w:val="auto"/>
        <w:rPr>
          <w:rFonts w:hint="default" w:ascii="宋体" w:eastAsia="宋体"/>
          <w:color w:val="auto"/>
          <w:sz w:val="21"/>
          <w:szCs w:val="21"/>
          <w:highlight w:val="none"/>
          <w:u w:val="single"/>
          <w:lang w:val="en-US" w:eastAsia="zh-CN"/>
        </w:rPr>
      </w:pPr>
      <w:r>
        <w:rPr>
          <w:rFonts w:hint="eastAsia" w:ascii="宋体" w:hAnsi="宋体" w:eastAsia="宋体" w:cs="宋体"/>
          <w:color w:val="auto"/>
          <w:szCs w:val="21"/>
          <w:highlight w:val="none"/>
          <w:lang w:val="en-US" w:eastAsia="zh-CN"/>
        </w:rPr>
        <w:t>房票房源手续办理</w:t>
      </w:r>
      <w:r>
        <w:rPr>
          <w:rFonts w:hint="eastAsia" w:ascii="宋体" w:hAnsi="宋体" w:cs="宋体"/>
          <w:color w:val="auto"/>
          <w:szCs w:val="21"/>
          <w:highlight w:val="none"/>
          <w:lang w:val="en-US" w:eastAsia="zh-CN"/>
        </w:rPr>
        <w:t>服务费</w:t>
      </w:r>
      <w:r>
        <w:rPr>
          <w:rFonts w:hint="eastAsia" w:ascii="宋体" w:hAnsi="宋体" w:eastAsia="宋体" w:cs="宋体"/>
          <w:color w:val="auto"/>
          <w:szCs w:val="21"/>
          <w:highlight w:val="none"/>
          <w:lang w:val="en-US" w:eastAsia="zh-CN"/>
        </w:rPr>
        <w:t>（暂定）</w:t>
      </w:r>
      <w:r>
        <w:rPr>
          <w:rFonts w:hint="eastAsia" w:ascii="宋体" w:eastAsia="宋体"/>
          <w:color w:val="auto"/>
          <w:sz w:val="21"/>
          <w:szCs w:val="21"/>
          <w:highlight w:val="none"/>
        </w:rPr>
        <w:t>为：</w:t>
      </w:r>
      <w:r>
        <w:rPr>
          <w:rFonts w:hint="eastAsia" w:ascii="宋体" w:eastAsia="宋体"/>
          <w:color w:val="auto"/>
          <w:sz w:val="21"/>
          <w:szCs w:val="21"/>
          <w:highlight w:val="none"/>
          <w:u w:val="none"/>
        </w:rPr>
        <w:t>人民币（大写）</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u w:val="single"/>
          <w:lang w:val="en-US" w:eastAsia="zh-CN"/>
        </w:rPr>
        <w:t xml:space="preserve">     </w:t>
      </w:r>
      <w:r>
        <w:rPr>
          <w:rFonts w:hint="eastAsia" w:ascii="宋体" w:eastAsia="宋体"/>
          <w:color w:val="auto"/>
          <w:sz w:val="21"/>
          <w:szCs w:val="21"/>
          <w:highlight w:val="none"/>
          <w:u w:val="single"/>
        </w:rPr>
        <w:t xml:space="preserve"> (¥         元)</w:t>
      </w:r>
      <w:r>
        <w:rPr>
          <w:rFonts w:hint="eastAsia" w:ascii="宋体" w:eastAsia="宋体"/>
          <w:color w:val="auto"/>
          <w:sz w:val="21"/>
          <w:szCs w:val="21"/>
          <w:highlight w:val="none"/>
          <w:u w:val="none"/>
          <w:lang w:eastAsia="zh-CN"/>
        </w:rPr>
        <w:t>，</w:t>
      </w:r>
      <w:r>
        <w:rPr>
          <w:rFonts w:hint="eastAsia" w:ascii="宋体" w:eastAsia="宋体"/>
          <w:color w:val="auto"/>
          <w:sz w:val="21"/>
          <w:szCs w:val="21"/>
          <w:highlight w:val="none"/>
          <w:u w:val="none"/>
          <w:lang w:val="en-US" w:eastAsia="zh-CN"/>
        </w:rPr>
        <w:t>中标单价：</w:t>
      </w:r>
      <w:r>
        <w:rPr>
          <w:rFonts w:hint="eastAsia" w:ascii="宋体" w:eastAsia="宋体"/>
          <w:color w:val="auto"/>
          <w:sz w:val="21"/>
          <w:szCs w:val="21"/>
          <w:highlight w:val="none"/>
          <w:u w:val="single"/>
          <w:lang w:val="en-US" w:eastAsia="zh-CN"/>
        </w:rPr>
        <w:t xml:space="preserve">   %。</w:t>
      </w:r>
    </w:p>
    <w:p w14:paraId="61ABD6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注：</w:t>
      </w:r>
    </w:p>
    <w:p w14:paraId="71112E7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1、签约合同价（暂定）=代理销售服务费（暂定）+房票房源手续办理服务费（暂定）。</w:t>
      </w:r>
    </w:p>
    <w:p w14:paraId="359E1CB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2、代理销售服务费（暂定）=大平层及排屋代理销售服务费中标费率×对应暂定销售金额+高层住宅、商铺代理销售服务费中标费率×对应暂定销售金额。</w:t>
      </w:r>
    </w:p>
    <w:p w14:paraId="639753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3、房票房源手续办理服务费（暂定）=房票房源手续办理服务费中标单价×暂定房源数量（套数）。</w:t>
      </w:r>
    </w:p>
    <w:p w14:paraId="1575EB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代理销售服务费已包含销售人员费用(工资、佣金、提成、福利、差旅、培训费等)、营销推广费（广告策划服务费、分销佣金、户外广告费、媒体传播广告费、销售物料制作费及营销活动费）、日常办公、生活用品、案场布置以及各项应交税费和利润等涉及营销的所有相关一切费用，如有漏项，视同已包含在代理销售服务费中。</w:t>
      </w:r>
    </w:p>
    <w:p w14:paraId="5685DA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5、房票房源手续办理服务费</w:t>
      </w:r>
      <w:r>
        <w:rPr>
          <w:rFonts w:hint="eastAsia" w:ascii="宋体" w:hAnsi="宋体" w:cs="宋体"/>
          <w:b w:val="0"/>
          <w:bCs w:val="0"/>
          <w:color w:val="auto"/>
          <w:szCs w:val="21"/>
          <w:highlight w:val="none"/>
          <w:lang w:val="en-US" w:eastAsia="zh-CN"/>
        </w:rPr>
        <w:t>已包含用于本项目房票房源手续办理服务所需的人员工资及福利、利润、税金等一切</w:t>
      </w:r>
      <w:r>
        <w:rPr>
          <w:rFonts w:hint="eastAsia" w:ascii="宋体" w:hAnsi="宋体" w:eastAsia="宋体" w:cs="宋体"/>
          <w:b w:val="0"/>
          <w:bCs w:val="0"/>
          <w:color w:val="auto"/>
          <w:szCs w:val="21"/>
          <w:highlight w:val="none"/>
          <w:lang w:val="en-US" w:eastAsia="zh-CN"/>
        </w:rPr>
        <w:t>费用，如有漏项，视同已包含在</w:t>
      </w:r>
      <w:r>
        <w:rPr>
          <w:rFonts w:hint="eastAsia" w:ascii="宋体" w:hAnsi="宋体" w:cs="宋体"/>
          <w:b w:val="0"/>
          <w:bCs w:val="0"/>
          <w:color w:val="auto"/>
          <w:szCs w:val="21"/>
          <w:highlight w:val="none"/>
          <w:lang w:val="en-US" w:eastAsia="zh-CN"/>
        </w:rPr>
        <w:t>手续办理服务费</w:t>
      </w:r>
      <w:r>
        <w:rPr>
          <w:rFonts w:hint="eastAsia" w:ascii="宋体" w:hAnsi="宋体" w:eastAsia="宋体" w:cs="宋体"/>
          <w:b w:val="0"/>
          <w:bCs w:val="0"/>
          <w:color w:val="auto"/>
          <w:szCs w:val="21"/>
          <w:highlight w:val="none"/>
          <w:lang w:val="en-US" w:eastAsia="zh-CN"/>
        </w:rPr>
        <w:t>中，</w:t>
      </w:r>
      <w:r>
        <w:rPr>
          <w:rFonts w:hint="eastAsia" w:ascii="宋体" w:hAnsi="宋体" w:cs="宋体"/>
          <w:b w:val="0"/>
          <w:bCs w:val="0"/>
          <w:color w:val="auto"/>
          <w:szCs w:val="21"/>
          <w:highlight w:val="none"/>
          <w:lang w:val="en-US" w:eastAsia="zh-CN"/>
        </w:rPr>
        <w:t>数量以实际房票房源手续办理数量（套数）为准。</w:t>
      </w:r>
    </w:p>
    <w:p w14:paraId="03039787">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宋体" w:eastAsia="宋体"/>
          <w:color w:val="auto"/>
          <w:sz w:val="21"/>
          <w:szCs w:val="21"/>
          <w:highlight w:val="none"/>
        </w:rPr>
      </w:pPr>
      <w:r>
        <w:rPr>
          <w:rFonts w:hint="eastAsia" w:ascii="宋体" w:eastAsia="宋体"/>
          <w:color w:val="auto"/>
          <w:sz w:val="21"/>
          <w:szCs w:val="21"/>
          <w:highlight w:val="none"/>
        </w:rPr>
        <w:t>（</w:t>
      </w:r>
      <w:r>
        <w:rPr>
          <w:rFonts w:hint="eastAsia" w:ascii="宋体" w:eastAsia="宋体"/>
          <w:color w:val="auto"/>
          <w:sz w:val="21"/>
          <w:szCs w:val="21"/>
          <w:highlight w:val="none"/>
          <w:lang w:val="en-US" w:eastAsia="zh-CN"/>
        </w:rPr>
        <w:t>二</w:t>
      </w:r>
      <w:r>
        <w:rPr>
          <w:rFonts w:hint="eastAsia" w:ascii="宋体" w:eastAsia="宋体"/>
          <w:color w:val="auto"/>
          <w:sz w:val="21"/>
          <w:szCs w:val="21"/>
          <w:highlight w:val="none"/>
        </w:rPr>
        <w:t>）结算</w:t>
      </w:r>
      <w:r>
        <w:rPr>
          <w:rFonts w:hint="eastAsia" w:ascii="宋体" w:eastAsia="宋体"/>
          <w:color w:val="auto"/>
          <w:sz w:val="21"/>
          <w:szCs w:val="21"/>
          <w:highlight w:val="none"/>
          <w:lang w:val="en-US" w:eastAsia="zh-CN"/>
        </w:rPr>
        <w:t>考核</w:t>
      </w:r>
      <w:r>
        <w:rPr>
          <w:rFonts w:hint="eastAsia" w:ascii="宋体" w:eastAsia="宋体"/>
          <w:color w:val="auto"/>
          <w:sz w:val="21"/>
          <w:szCs w:val="21"/>
          <w:highlight w:val="none"/>
        </w:rPr>
        <w:t>范围</w:t>
      </w:r>
    </w:p>
    <w:p w14:paraId="76639F0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1、除定向房票房源、政府回购部分外所有可售产品，均纳入销售率考核。</w:t>
      </w:r>
    </w:p>
    <w:p w14:paraId="192A6314">
      <w:pPr>
        <w:widowControl/>
        <w:shd w:val="clear" w:color="auto" w:fill="FFFFFF"/>
        <w:spacing w:line="360" w:lineRule="auto"/>
        <w:ind w:firstLine="480"/>
        <w:rPr>
          <w:rFonts w:hint="default" w:ascii="宋体" w:hAnsi="宋体" w:cs="宋体"/>
          <w:color w:val="auto"/>
          <w:szCs w:val="21"/>
          <w:highlight w:val="none"/>
          <w:lang w:val="en-US" w:eastAsia="zh-CN"/>
        </w:rPr>
      </w:pPr>
      <w:r>
        <w:rPr>
          <w:rFonts w:hint="eastAsia" w:ascii="宋体" w:hAnsi="宋体" w:eastAsia="宋体" w:cs="宋体"/>
          <w:b w:val="0"/>
          <w:bCs w:val="0"/>
          <w:color w:val="auto"/>
          <w:szCs w:val="21"/>
          <w:highlight w:val="none"/>
          <w:lang w:val="en-US" w:eastAsia="zh-CN"/>
        </w:rPr>
        <w:t>2、</w:t>
      </w:r>
      <w:r>
        <w:rPr>
          <w:rFonts w:hint="eastAsia" w:ascii="宋体" w:hAnsi="宋体" w:cs="宋体"/>
          <w:color w:val="auto"/>
          <w:szCs w:val="21"/>
          <w:highlight w:val="none"/>
          <w:lang w:val="en-US" w:eastAsia="zh-CN"/>
        </w:rPr>
        <w:t>销售率按季度进行考核，</w:t>
      </w:r>
      <w:r>
        <w:rPr>
          <w:rFonts w:hint="eastAsia" w:ascii="宋体" w:hAnsi="宋体" w:cs="宋体"/>
          <w:color w:val="auto"/>
          <w:szCs w:val="21"/>
          <w:highlight w:val="none"/>
        </w:rPr>
        <w:t>考核表如下，</w:t>
      </w:r>
      <w:r>
        <w:rPr>
          <w:rFonts w:hint="eastAsia" w:ascii="宋体" w:hAnsi="宋体" w:cs="宋体"/>
          <w:color w:val="auto"/>
          <w:szCs w:val="21"/>
          <w:highlight w:val="none"/>
          <w:lang w:val="en-US" w:eastAsia="zh-CN"/>
        </w:rPr>
        <w:t>服务期内的各季度</w:t>
      </w:r>
      <w:r>
        <w:rPr>
          <w:rFonts w:hint="eastAsia" w:ascii="宋体" w:hAnsi="宋体" w:cs="宋体"/>
          <w:color w:val="auto"/>
          <w:szCs w:val="21"/>
          <w:highlight w:val="none"/>
        </w:rPr>
        <w:t>指标由</w:t>
      </w:r>
      <w:r>
        <w:rPr>
          <w:rFonts w:hint="eastAsia" w:ascii="宋体" w:hAnsi="宋体" w:cs="宋体"/>
          <w:color w:val="auto"/>
          <w:szCs w:val="21"/>
          <w:highlight w:val="none"/>
          <w:lang w:val="en-US" w:eastAsia="zh-CN"/>
        </w:rPr>
        <w:t>甲方结合乙方的房产销售计划按程序办理并确定后实施</w:t>
      </w:r>
      <w:r>
        <w:rPr>
          <w:rFonts w:hint="eastAsia" w:ascii="宋体" w:hAnsi="宋体" w:cs="宋体"/>
          <w:color w:val="auto"/>
          <w:szCs w:val="21"/>
          <w:highlight w:val="none"/>
          <w:lang w:eastAsia="zh-CN"/>
        </w:rPr>
        <w:t>。</w:t>
      </w:r>
    </w:p>
    <w:p w14:paraId="24D140D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b w:val="0"/>
          <w:bCs w:val="0"/>
          <w:color w:val="auto"/>
          <w:szCs w:val="21"/>
          <w:highlight w:val="none"/>
          <w:lang w:val="en-US" w:eastAsia="zh-CN"/>
        </w:rPr>
      </w:pPr>
    </w:p>
    <w:tbl>
      <w:tblPr>
        <w:tblStyle w:val="51"/>
        <w:tblW w:w="8391"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42"/>
        <w:gridCol w:w="3519"/>
        <w:gridCol w:w="3330"/>
      </w:tblGrid>
      <w:tr w14:paraId="1403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4" w:hRule="atLeast"/>
          <w:tblCellSpacing w:w="0" w:type="dxa"/>
          <w:jc w:val="center"/>
        </w:trPr>
        <w:tc>
          <w:tcPr>
            <w:tcW w:w="1542" w:type="dxa"/>
            <w:shd w:val="clear" w:color="auto" w:fill="5B9BD5"/>
            <w:tcMar>
              <w:left w:w="108" w:type="dxa"/>
              <w:right w:w="108" w:type="dxa"/>
            </w:tcMar>
            <w:vAlign w:val="center"/>
          </w:tcPr>
          <w:p w14:paraId="118B80B1">
            <w:pPr>
              <w:pStyle w:val="47"/>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销售节点</w:t>
            </w:r>
          </w:p>
        </w:tc>
        <w:tc>
          <w:tcPr>
            <w:tcW w:w="3519" w:type="dxa"/>
            <w:shd w:val="clear" w:color="auto" w:fill="5B9BD5"/>
            <w:tcMar>
              <w:left w:w="108" w:type="dxa"/>
              <w:right w:w="108" w:type="dxa"/>
            </w:tcMar>
            <w:vAlign w:val="center"/>
          </w:tcPr>
          <w:p w14:paraId="2C9A8417">
            <w:pPr>
              <w:pStyle w:val="47"/>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考核销售率</w:t>
            </w:r>
          </w:p>
        </w:tc>
        <w:tc>
          <w:tcPr>
            <w:tcW w:w="3330" w:type="dxa"/>
            <w:shd w:val="clear" w:color="auto" w:fill="5B9BD5"/>
            <w:tcMar>
              <w:left w:w="108" w:type="dxa"/>
              <w:right w:w="108" w:type="dxa"/>
            </w:tcMar>
            <w:vAlign w:val="center"/>
          </w:tcPr>
          <w:p w14:paraId="61C25569">
            <w:pPr>
              <w:pStyle w:val="47"/>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代理销售服务费</w:t>
            </w:r>
            <w:r>
              <w:rPr>
                <w:rFonts w:hint="eastAsia" w:cs="宋体"/>
                <w:b/>
                <w:bCs/>
                <w:color w:val="auto"/>
                <w:sz w:val="21"/>
                <w:szCs w:val="21"/>
                <w:highlight w:val="none"/>
                <w:lang w:val="en-US" w:eastAsia="zh-CN"/>
              </w:rPr>
              <w:t>费率结算比例</w:t>
            </w:r>
          </w:p>
        </w:tc>
      </w:tr>
      <w:tr w14:paraId="683B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blCellSpacing w:w="0" w:type="dxa"/>
          <w:jc w:val="center"/>
        </w:trPr>
        <w:tc>
          <w:tcPr>
            <w:tcW w:w="1542" w:type="dxa"/>
            <w:vMerge w:val="restart"/>
            <w:shd w:val="clear" w:color="auto" w:fill="auto"/>
            <w:tcMar>
              <w:left w:w="108" w:type="dxa"/>
              <w:right w:w="108" w:type="dxa"/>
            </w:tcMar>
            <w:vAlign w:val="center"/>
          </w:tcPr>
          <w:p w14:paraId="163471F8">
            <w:pPr>
              <w:pStyle w:val="47"/>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全周期</w:t>
            </w:r>
          </w:p>
        </w:tc>
        <w:tc>
          <w:tcPr>
            <w:tcW w:w="3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vAlign w:val="center"/>
          </w:tcPr>
          <w:p w14:paraId="26BD6DA7">
            <w:pPr>
              <w:pStyle w:val="47"/>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w:t>
            </w:r>
            <w:r>
              <w:rPr>
                <w:rFonts w:hint="eastAsia" w:cs="宋体"/>
                <w:color w:val="auto"/>
                <w:sz w:val="21"/>
                <w:szCs w:val="21"/>
                <w:highlight w:val="none"/>
                <w:lang w:val="en-US" w:eastAsia="zh-CN"/>
              </w:rPr>
              <w:t>不</w:t>
            </w:r>
            <w:r>
              <w:rPr>
                <w:rFonts w:hint="eastAsia" w:ascii="宋体" w:hAnsi="宋体" w:eastAsia="宋体" w:cs="宋体"/>
                <w:color w:val="auto"/>
                <w:sz w:val="21"/>
                <w:szCs w:val="21"/>
                <w:highlight w:val="none"/>
              </w:rPr>
              <w:t>含）以下</w:t>
            </w:r>
          </w:p>
        </w:tc>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vAlign w:val="center"/>
          </w:tcPr>
          <w:p w14:paraId="343B20EB">
            <w:pPr>
              <w:pStyle w:val="47"/>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中标费率</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p>
        </w:tc>
      </w:tr>
      <w:tr w14:paraId="0B6A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blCellSpacing w:w="0" w:type="dxa"/>
          <w:jc w:val="center"/>
        </w:trPr>
        <w:tc>
          <w:tcPr>
            <w:tcW w:w="1542" w:type="dxa"/>
            <w:vMerge w:val="continue"/>
            <w:shd w:val="clear" w:color="auto" w:fill="auto"/>
            <w:tcMar>
              <w:left w:w="108" w:type="dxa"/>
              <w:right w:w="108" w:type="dxa"/>
            </w:tcMar>
            <w:vAlign w:val="center"/>
          </w:tcPr>
          <w:p w14:paraId="0F6F93F7">
            <w:pPr>
              <w:pStyle w:val="47"/>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vAlign w:val="center"/>
          </w:tcPr>
          <w:p w14:paraId="36FB89F2">
            <w:pPr>
              <w:pStyle w:val="47"/>
              <w:keepNext w:val="0"/>
              <w:keepLines w:val="0"/>
              <w:widowControl/>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60%</w:t>
            </w:r>
            <w:r>
              <w:rPr>
                <w:rFonts w:hint="eastAsia" w:ascii="宋体" w:hAnsi="宋体" w:eastAsia="宋体" w:cs="宋体"/>
                <w:color w:val="auto"/>
                <w:sz w:val="21"/>
                <w:szCs w:val="21"/>
                <w:highlight w:val="none"/>
              </w:rPr>
              <w:t>（含）</w:t>
            </w:r>
            <w:r>
              <w:rPr>
                <w:rFonts w:hint="eastAsia" w:cs="宋体"/>
                <w:color w:val="auto"/>
                <w:sz w:val="21"/>
                <w:szCs w:val="21"/>
                <w:highlight w:val="none"/>
                <w:lang w:val="en-US" w:eastAsia="zh-CN"/>
              </w:rPr>
              <w:t>-80%</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不</w:t>
            </w:r>
            <w:r>
              <w:rPr>
                <w:rFonts w:hint="eastAsia" w:ascii="宋体" w:hAnsi="宋体" w:eastAsia="宋体" w:cs="宋体"/>
                <w:color w:val="auto"/>
                <w:sz w:val="21"/>
                <w:szCs w:val="21"/>
                <w:highlight w:val="none"/>
              </w:rPr>
              <w:t>含）</w:t>
            </w:r>
          </w:p>
        </w:tc>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vAlign w:val="center"/>
          </w:tcPr>
          <w:p w14:paraId="709D846C">
            <w:pPr>
              <w:pStyle w:val="47"/>
              <w:keepNext w:val="0"/>
              <w:keepLines w:val="0"/>
              <w:widowControl/>
              <w:suppressLineNumbers w:val="0"/>
              <w:spacing w:before="0" w:beforeAutospacing="0" w:after="0" w:afterAutospacing="0"/>
              <w:ind w:left="0" w:leftChars="0" w:right="0" w:rightChars="0"/>
              <w:jc w:val="center"/>
              <w:rPr>
                <w:rFonts w:hint="eastAsia" w:cs="宋体"/>
                <w:color w:val="auto"/>
                <w:sz w:val="21"/>
                <w:szCs w:val="21"/>
                <w:highlight w:val="none"/>
                <w:lang w:val="en-US" w:eastAsia="zh-CN"/>
              </w:rPr>
            </w:pPr>
            <w:r>
              <w:rPr>
                <w:rFonts w:hint="eastAsia" w:cs="宋体"/>
                <w:color w:val="auto"/>
                <w:sz w:val="21"/>
                <w:szCs w:val="21"/>
                <w:highlight w:val="none"/>
                <w:lang w:val="en-US" w:eastAsia="zh-CN"/>
              </w:rPr>
              <w:t>中标费率</w:t>
            </w:r>
            <w:r>
              <w:rPr>
                <w:rFonts w:hint="eastAsia" w:ascii="宋体" w:hAnsi="宋体" w:eastAsia="宋体" w:cs="宋体"/>
                <w:color w:val="auto"/>
                <w:sz w:val="21"/>
                <w:szCs w:val="21"/>
                <w:highlight w:val="none"/>
              </w:rPr>
              <w:t>*0.</w:t>
            </w:r>
            <w:r>
              <w:rPr>
                <w:rFonts w:hint="eastAsia" w:cs="宋体"/>
                <w:color w:val="auto"/>
                <w:sz w:val="21"/>
                <w:szCs w:val="21"/>
                <w:highlight w:val="none"/>
                <w:lang w:val="en-US" w:eastAsia="zh-CN"/>
              </w:rPr>
              <w:t>7</w:t>
            </w:r>
          </w:p>
        </w:tc>
      </w:tr>
      <w:tr w14:paraId="4C53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1" w:hRule="atLeast"/>
          <w:tblCellSpacing w:w="0" w:type="dxa"/>
          <w:jc w:val="center"/>
        </w:trPr>
        <w:tc>
          <w:tcPr>
            <w:tcW w:w="1542" w:type="dxa"/>
            <w:vMerge w:val="continue"/>
            <w:shd w:val="clear" w:color="auto" w:fill="auto"/>
            <w:tcMar>
              <w:left w:w="108" w:type="dxa"/>
              <w:right w:w="108" w:type="dxa"/>
            </w:tcMar>
            <w:vAlign w:val="center"/>
          </w:tcPr>
          <w:p w14:paraId="21E3C7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vAlign w:val="center"/>
          </w:tcPr>
          <w:p w14:paraId="2D09C184">
            <w:pPr>
              <w:pStyle w:val="47"/>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80%（含）-</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不</w:t>
            </w:r>
            <w:r>
              <w:rPr>
                <w:rFonts w:hint="eastAsia" w:ascii="宋体" w:hAnsi="宋体" w:eastAsia="宋体" w:cs="宋体"/>
                <w:color w:val="auto"/>
                <w:sz w:val="21"/>
                <w:szCs w:val="21"/>
                <w:highlight w:val="none"/>
              </w:rPr>
              <w:t>含）</w:t>
            </w:r>
          </w:p>
        </w:tc>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vAlign w:val="center"/>
          </w:tcPr>
          <w:p w14:paraId="439358FB">
            <w:pPr>
              <w:pStyle w:val="47"/>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中标费率</w:t>
            </w:r>
            <w:r>
              <w:rPr>
                <w:rFonts w:hint="eastAsia" w:ascii="宋体" w:hAnsi="宋体" w:eastAsia="宋体" w:cs="宋体"/>
                <w:color w:val="auto"/>
                <w:sz w:val="21"/>
                <w:szCs w:val="21"/>
                <w:highlight w:val="none"/>
              </w:rPr>
              <w:t>*0.8</w:t>
            </w:r>
          </w:p>
        </w:tc>
      </w:tr>
      <w:tr w14:paraId="1519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blCellSpacing w:w="0" w:type="dxa"/>
          <w:jc w:val="center"/>
        </w:trPr>
        <w:tc>
          <w:tcPr>
            <w:tcW w:w="1542" w:type="dxa"/>
            <w:vMerge w:val="continue"/>
            <w:shd w:val="clear" w:color="auto" w:fill="auto"/>
            <w:tcMar>
              <w:left w:w="108" w:type="dxa"/>
              <w:right w:w="108" w:type="dxa"/>
            </w:tcMar>
            <w:vAlign w:val="center"/>
          </w:tcPr>
          <w:p w14:paraId="313D45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vAlign w:val="center"/>
          </w:tcPr>
          <w:p w14:paraId="6EEBFCF7">
            <w:pPr>
              <w:pStyle w:val="47"/>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100%（含）</w:t>
            </w:r>
            <w:r>
              <w:rPr>
                <w:rFonts w:hint="eastAsia" w:cs="宋体"/>
                <w:color w:val="auto"/>
                <w:sz w:val="21"/>
                <w:szCs w:val="21"/>
                <w:highlight w:val="none"/>
                <w:lang w:val="en-US" w:eastAsia="zh-CN"/>
              </w:rPr>
              <w:t>以上</w:t>
            </w:r>
          </w:p>
        </w:tc>
        <w:tc>
          <w:tcPr>
            <w:tcW w:w="33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vAlign w:val="center"/>
          </w:tcPr>
          <w:p w14:paraId="107653D1">
            <w:pPr>
              <w:pStyle w:val="47"/>
              <w:keepNext w:val="0"/>
              <w:keepLines w:val="0"/>
              <w:widowControl/>
              <w:suppressLineNumbers w:val="0"/>
              <w:spacing w:before="0" w:beforeAutospacing="0" w:after="0" w:afterAutospacing="0"/>
              <w:ind w:left="0" w:leftChars="0" w:right="0" w:rightChars="0" w:firstLine="1050" w:firstLineChars="500"/>
              <w:jc w:val="both"/>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中标费率</w:t>
            </w:r>
            <w:r>
              <w:rPr>
                <w:rFonts w:hint="eastAsia" w:ascii="宋体" w:hAnsi="宋体" w:eastAsia="宋体" w:cs="宋体"/>
                <w:color w:val="auto"/>
                <w:sz w:val="21"/>
                <w:szCs w:val="21"/>
                <w:highlight w:val="none"/>
              </w:rPr>
              <w:t>*1</w:t>
            </w:r>
          </w:p>
        </w:tc>
      </w:tr>
    </w:tbl>
    <w:p w14:paraId="4E22FEF9">
      <w:pPr>
        <w:widowControl/>
        <w:shd w:val="clear" w:color="auto" w:fill="FFFFFF"/>
        <w:spacing w:line="360" w:lineRule="auto"/>
        <w:ind w:firstLine="480"/>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注：各季度销售率=各季度对应产品的</w:t>
      </w:r>
      <w:r>
        <w:rPr>
          <w:rFonts w:hint="eastAsia" w:ascii="宋体" w:hAnsi="宋体" w:eastAsia="宋体" w:cs="宋体"/>
          <w:b/>
          <w:bCs/>
          <w:color w:val="auto"/>
          <w:szCs w:val="21"/>
          <w:highlight w:val="none"/>
          <w:lang w:val="en-US" w:eastAsia="zh-CN"/>
        </w:rPr>
        <w:t>销售金额</w:t>
      </w:r>
      <w:r>
        <w:rPr>
          <w:rFonts w:hint="eastAsia" w:ascii="宋体" w:hAnsi="宋体" w:cs="宋体"/>
          <w:b/>
          <w:bCs/>
          <w:color w:val="auto"/>
          <w:szCs w:val="21"/>
          <w:highlight w:val="none"/>
          <w:lang w:val="en-US" w:eastAsia="zh-CN"/>
        </w:rPr>
        <w:t>÷各季度对应产品的销售指标金额（不包含定向房票房源、政府回购部分货值）。</w:t>
      </w:r>
    </w:p>
    <w:p w14:paraId="3021FBB6">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（三）结算方式</w:t>
      </w:r>
    </w:p>
    <w:p w14:paraId="763548D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1、销售节点期限届满前，每季代理销售服务费费率根据销售率考核情况进行结算。</w:t>
      </w:r>
    </w:p>
    <w:p w14:paraId="0F75233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、房票房源手续办理服务费每季度结算一次</w:t>
      </w:r>
      <w:r>
        <w:rPr>
          <w:rFonts w:hint="eastAsia" w:ascii="宋体" w:hAnsi="宋体" w:cs="宋体"/>
          <w:color w:val="auto"/>
          <w:szCs w:val="21"/>
          <w:highlight w:val="none"/>
          <w:lang w:eastAsia="zh-CN"/>
        </w:rPr>
        <w:t>，</w:t>
      </w:r>
      <w:r>
        <w:rPr>
          <w:rFonts w:hint="eastAsia" w:ascii="宋体" w:hAnsi="宋体" w:cs="宋体"/>
          <w:b w:val="0"/>
          <w:bCs w:val="0"/>
          <w:color w:val="auto"/>
          <w:szCs w:val="21"/>
          <w:highlight w:val="none"/>
          <w:lang w:val="en-US" w:eastAsia="zh-CN"/>
        </w:rPr>
        <w:t>数量以实际房票房源手续办理数量（套数）为准，</w:t>
      </w:r>
      <w:r>
        <w:rPr>
          <w:rFonts w:hint="eastAsia" w:ascii="宋体" w:hAnsi="宋体" w:cs="宋体"/>
          <w:color w:val="auto"/>
          <w:szCs w:val="21"/>
          <w:highlight w:val="none"/>
          <w:lang w:eastAsia="zh-CN"/>
        </w:rPr>
        <w:t>按照</w:t>
      </w:r>
      <w:r>
        <w:rPr>
          <w:rFonts w:hint="eastAsia" w:ascii="宋体" w:hAnsi="宋体" w:cs="宋体"/>
          <w:color w:val="auto"/>
          <w:szCs w:val="21"/>
          <w:highlight w:val="none"/>
        </w:rPr>
        <w:t>每季度结算</w:t>
      </w:r>
      <w:r>
        <w:rPr>
          <w:rFonts w:hint="eastAsia" w:ascii="宋体" w:hAnsi="宋体" w:cs="宋体"/>
          <w:color w:val="auto"/>
          <w:szCs w:val="21"/>
          <w:highlight w:val="none"/>
          <w:lang w:val="en-US" w:eastAsia="zh-CN"/>
        </w:rPr>
        <w:t>额的90</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计取</w:t>
      </w:r>
      <w:r>
        <w:rPr>
          <w:rFonts w:hint="eastAsia" w:ascii="宋体" w:hAnsi="宋体" w:cs="宋体"/>
          <w:color w:val="auto"/>
          <w:szCs w:val="21"/>
          <w:highlight w:val="none"/>
          <w:lang w:eastAsia="zh-CN"/>
        </w:rPr>
        <w:t>。</w:t>
      </w:r>
    </w:p>
    <w:p w14:paraId="27EEAC2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代理销售服务费</w:t>
      </w:r>
      <w:r>
        <w:rPr>
          <w:rFonts w:hint="eastAsia" w:ascii="宋体" w:hAnsi="宋体" w:cs="宋体"/>
          <w:color w:val="auto"/>
          <w:szCs w:val="21"/>
          <w:highlight w:val="none"/>
          <w:lang w:val="en-US" w:eastAsia="zh-CN"/>
        </w:rPr>
        <w:t>累计超过预付款金额后</w:t>
      </w:r>
      <w:r>
        <w:rPr>
          <w:rFonts w:hint="eastAsia" w:ascii="宋体" w:hAnsi="宋体" w:cs="宋体"/>
          <w:color w:val="auto"/>
          <w:szCs w:val="21"/>
          <w:highlight w:val="none"/>
        </w:rPr>
        <w:t>每季度结算一次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例：若预付款金额为100万元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乙方第一季度结算后的</w:t>
      </w:r>
      <w:r>
        <w:rPr>
          <w:rFonts w:hint="eastAsia" w:ascii="宋体" w:hAnsi="宋体" w:cs="宋体"/>
          <w:color w:val="auto"/>
          <w:szCs w:val="21"/>
          <w:highlight w:val="none"/>
        </w:rPr>
        <w:t>代理销售服务费</w:t>
      </w:r>
      <w:r>
        <w:rPr>
          <w:rFonts w:hint="eastAsia" w:ascii="宋体" w:hAnsi="宋体" w:cs="宋体"/>
          <w:color w:val="auto"/>
          <w:szCs w:val="21"/>
          <w:highlight w:val="none"/>
          <w:lang w:val="en-US" w:eastAsia="zh-CN"/>
        </w:rPr>
        <w:t>为80万元，则甲方第一季度不予支付中标人</w:t>
      </w:r>
      <w:r>
        <w:rPr>
          <w:rFonts w:hint="eastAsia" w:ascii="宋体" w:hAnsi="宋体" w:cs="宋体"/>
          <w:color w:val="auto"/>
          <w:szCs w:val="21"/>
          <w:highlight w:val="none"/>
        </w:rPr>
        <w:t>代理销售服务费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至乙方第二季度与第一季度结算后的</w:t>
      </w:r>
      <w:r>
        <w:rPr>
          <w:rFonts w:hint="eastAsia" w:ascii="宋体" w:hAnsi="宋体" w:cs="宋体"/>
          <w:color w:val="auto"/>
          <w:szCs w:val="21"/>
          <w:highlight w:val="none"/>
        </w:rPr>
        <w:t>代理销售服务费</w:t>
      </w:r>
      <w:r>
        <w:rPr>
          <w:rFonts w:hint="eastAsia" w:ascii="宋体" w:hAnsi="宋体" w:cs="宋体"/>
          <w:color w:val="auto"/>
          <w:szCs w:val="21"/>
          <w:highlight w:val="none"/>
          <w:lang w:val="en-US" w:eastAsia="zh-CN"/>
        </w:rPr>
        <w:t>累计超过100万元，扣除100万元后支付剩下的</w:t>
      </w:r>
      <w:r>
        <w:rPr>
          <w:rFonts w:hint="eastAsia" w:ascii="宋体" w:hAnsi="宋体" w:cs="宋体"/>
          <w:color w:val="auto"/>
          <w:szCs w:val="21"/>
          <w:highlight w:val="none"/>
        </w:rPr>
        <w:t>代理销售服务费</w:t>
      </w:r>
      <w:r>
        <w:rPr>
          <w:rFonts w:hint="eastAsia" w:ascii="宋体" w:hAnsi="宋体" w:cs="宋体"/>
          <w:color w:val="auto"/>
          <w:szCs w:val="21"/>
          <w:highlight w:val="none"/>
          <w:lang w:eastAsia="zh-CN"/>
        </w:rPr>
        <w:t>），按照</w:t>
      </w:r>
      <w:r>
        <w:rPr>
          <w:rFonts w:hint="eastAsia" w:ascii="宋体" w:hAnsi="宋体" w:cs="宋体"/>
          <w:color w:val="auto"/>
          <w:szCs w:val="21"/>
          <w:highlight w:val="none"/>
        </w:rPr>
        <w:t>每季度结算</w:t>
      </w:r>
      <w:r>
        <w:rPr>
          <w:rFonts w:hint="eastAsia" w:ascii="宋体" w:hAnsi="宋体" w:cs="宋体"/>
          <w:color w:val="auto"/>
          <w:szCs w:val="21"/>
          <w:highlight w:val="none"/>
          <w:lang w:val="en-US" w:eastAsia="zh-CN"/>
        </w:rPr>
        <w:t>额的85</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计取</w:t>
      </w:r>
      <w:r>
        <w:rPr>
          <w:rFonts w:hint="eastAsia" w:ascii="宋体" w:hAnsi="宋体" w:cs="宋体"/>
          <w:color w:val="auto"/>
          <w:szCs w:val="21"/>
          <w:highlight w:val="none"/>
          <w:lang w:eastAsia="zh-CN"/>
        </w:rPr>
        <w:t>。</w:t>
      </w:r>
    </w:p>
    <w:p w14:paraId="704E7D1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4、房票房源手续办理服务费</w:t>
      </w:r>
      <w:r>
        <w:rPr>
          <w:rFonts w:hint="eastAsia" w:ascii="宋体" w:hAnsi="宋体" w:cs="宋体"/>
          <w:color w:val="auto"/>
          <w:szCs w:val="21"/>
          <w:highlight w:val="none"/>
          <w:lang w:eastAsia="zh-CN"/>
        </w:rPr>
        <w:t>、</w:t>
      </w:r>
      <w:r>
        <w:rPr>
          <w:rFonts w:hint="eastAsia" w:ascii="宋体" w:hAnsi="宋体" w:cs="宋体"/>
          <w:color w:val="auto"/>
          <w:szCs w:val="21"/>
          <w:highlight w:val="none"/>
        </w:rPr>
        <w:t>代理销售服务费</w:t>
      </w:r>
      <w:r>
        <w:rPr>
          <w:rFonts w:hint="eastAsia" w:ascii="宋体" w:hAnsi="宋体" w:cs="宋体"/>
          <w:color w:val="auto"/>
          <w:szCs w:val="21"/>
          <w:highlight w:val="none"/>
          <w:lang w:val="en-US" w:eastAsia="zh-CN"/>
        </w:rPr>
        <w:t>剩余费用</w:t>
      </w:r>
      <w:r>
        <w:rPr>
          <w:rFonts w:hint="eastAsia" w:ascii="宋体" w:hAnsi="宋体" w:eastAsia="宋体" w:cs="宋体"/>
          <w:color w:val="auto"/>
          <w:szCs w:val="21"/>
          <w:highlight w:val="none"/>
          <w:lang w:val="en-US" w:eastAsia="zh-CN"/>
        </w:rPr>
        <w:t>在大产权证办理完成，并办理完毕已售房源100%业主的交付工作（非乙方原因导致交付工作未完成时可由双方另行协商）后</w:t>
      </w:r>
      <w:r>
        <w:rPr>
          <w:rFonts w:hint="eastAsia" w:ascii="宋体" w:hAnsi="宋体" w:cs="宋体"/>
          <w:color w:val="auto"/>
          <w:szCs w:val="21"/>
          <w:highlight w:val="none"/>
          <w:lang w:val="en-US" w:eastAsia="zh-CN"/>
        </w:rPr>
        <w:t>予以</w:t>
      </w:r>
      <w:r>
        <w:rPr>
          <w:rFonts w:hint="eastAsia" w:ascii="宋体" w:hAnsi="宋体" w:cs="宋体"/>
          <w:color w:val="auto"/>
          <w:szCs w:val="21"/>
          <w:highlight w:val="none"/>
        </w:rPr>
        <w:t>结算</w:t>
      </w:r>
      <w:r>
        <w:rPr>
          <w:rFonts w:hint="eastAsia" w:ascii="宋体" w:hAnsi="宋体" w:cs="宋体"/>
          <w:color w:val="auto"/>
          <w:szCs w:val="21"/>
          <w:highlight w:val="none"/>
          <w:lang w:eastAsia="zh-CN"/>
        </w:rPr>
        <w:t>。</w:t>
      </w:r>
    </w:p>
    <w:p w14:paraId="57E5B63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注：每期付款前，</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应提供</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审核确认的增值税专用发票金额，税金由乙方承担</w:t>
      </w:r>
      <w:r>
        <w:rPr>
          <w:rFonts w:hint="eastAsia" w:ascii="宋体" w:hAnsi="宋体" w:cs="宋体"/>
          <w:color w:val="auto"/>
          <w:szCs w:val="21"/>
          <w:highlight w:val="none"/>
          <w:lang w:eastAsia="zh-CN"/>
        </w:rPr>
        <w:t>。</w:t>
      </w:r>
    </w:p>
    <w:p w14:paraId="6F320E47">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（四）其他约定</w:t>
      </w:r>
    </w:p>
    <w:p w14:paraId="7769492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1、本项目所有房源的出售价格均以</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审定且书面通知的价格为准，</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不得擅自定价，不得擅自改变销售价格。</w:t>
      </w:r>
    </w:p>
    <w:p w14:paraId="5B3A776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、关于退房</w:t>
      </w:r>
    </w:p>
    <w:p w14:paraId="6BAC0DC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⑴若客户在认购后未签约</w:t>
      </w:r>
      <w:r>
        <w:rPr>
          <w:rFonts w:hint="eastAsia" w:ascii="宋体" w:hAnsi="宋体" w:cs="宋体"/>
          <w:color w:val="auto"/>
          <w:szCs w:val="21"/>
          <w:highlight w:val="none"/>
          <w:lang w:val="en-US" w:eastAsia="zh-CN"/>
        </w:rPr>
        <w:t>（网签）</w:t>
      </w:r>
      <w:r>
        <w:rPr>
          <w:rFonts w:hint="eastAsia" w:ascii="宋体" w:hAnsi="宋体" w:eastAsia="宋体" w:cs="宋体"/>
          <w:color w:val="auto"/>
          <w:szCs w:val="21"/>
          <w:highlight w:val="none"/>
          <w:lang w:val="en-US" w:eastAsia="zh-CN"/>
        </w:rPr>
        <w:t>，乙方无权收取代理销售服务费。</w:t>
      </w:r>
    </w:p>
    <w:p w14:paraId="0CABDBB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⑵若客户在签约</w:t>
      </w:r>
      <w:r>
        <w:rPr>
          <w:rFonts w:hint="eastAsia" w:ascii="宋体" w:hAnsi="宋体" w:cs="宋体"/>
          <w:color w:val="auto"/>
          <w:szCs w:val="21"/>
          <w:highlight w:val="none"/>
          <w:lang w:val="en-US" w:eastAsia="zh-CN"/>
        </w:rPr>
        <w:t>（网签）</w:t>
      </w:r>
      <w:r>
        <w:rPr>
          <w:rFonts w:hint="eastAsia" w:ascii="宋体" w:hAnsi="宋体" w:eastAsia="宋体" w:cs="宋体"/>
          <w:color w:val="auto"/>
          <w:szCs w:val="21"/>
          <w:highlight w:val="none"/>
          <w:lang w:val="en-US" w:eastAsia="zh-CN"/>
        </w:rPr>
        <w:t>后</w:t>
      </w:r>
      <w:r>
        <w:rPr>
          <w:rFonts w:hint="eastAsia" w:ascii="宋体" w:hAnsi="宋体" w:cs="宋体"/>
          <w:color w:val="auto"/>
          <w:szCs w:val="21"/>
          <w:highlight w:val="none"/>
          <w:lang w:val="en-US" w:eastAsia="zh-CN"/>
        </w:rPr>
        <w:t>申请</w:t>
      </w:r>
      <w:r>
        <w:rPr>
          <w:rFonts w:hint="eastAsia" w:ascii="宋体" w:hAnsi="宋体" w:eastAsia="宋体" w:cs="宋体"/>
          <w:color w:val="auto"/>
          <w:szCs w:val="21"/>
          <w:highlight w:val="none"/>
          <w:lang w:val="en-US" w:eastAsia="zh-CN"/>
        </w:rPr>
        <w:t>退房</w:t>
      </w:r>
      <w:r>
        <w:rPr>
          <w:rFonts w:hint="eastAsia" w:ascii="宋体" w:hAnsi="宋体" w:cs="宋体"/>
          <w:color w:val="auto"/>
          <w:szCs w:val="21"/>
          <w:highlight w:val="none"/>
          <w:lang w:val="en-US" w:eastAsia="zh-CN"/>
        </w:rPr>
        <w:t>，相关手续及费用均由</w:t>
      </w:r>
      <w:r>
        <w:rPr>
          <w:rFonts w:hint="eastAsia" w:ascii="宋体" w:hAnsi="宋体" w:eastAsia="宋体" w:cs="宋体"/>
          <w:color w:val="auto"/>
          <w:szCs w:val="21"/>
          <w:highlight w:val="none"/>
          <w:lang w:val="en-US" w:eastAsia="zh-CN"/>
        </w:rPr>
        <w:t>乙方</w:t>
      </w:r>
      <w:r>
        <w:rPr>
          <w:rFonts w:hint="eastAsia" w:ascii="宋体" w:hAnsi="宋体" w:cs="宋体"/>
          <w:color w:val="auto"/>
          <w:szCs w:val="21"/>
          <w:highlight w:val="none"/>
          <w:lang w:val="en-US" w:eastAsia="zh-CN"/>
        </w:rPr>
        <w:t>承担，且退房房源不得</w:t>
      </w:r>
      <w:r>
        <w:rPr>
          <w:rFonts w:hint="eastAsia" w:ascii="宋体" w:hAnsi="宋体" w:eastAsia="宋体" w:cs="宋体"/>
          <w:color w:val="auto"/>
          <w:szCs w:val="21"/>
          <w:highlight w:val="none"/>
          <w:lang w:val="en-US" w:eastAsia="zh-CN"/>
        </w:rPr>
        <w:t>收取代理销售服务费。所退房源由乙方继续销售，乙方再售出该房源，甲方再支付该房源的代理销售服务费。</w:t>
      </w:r>
    </w:p>
    <w:p w14:paraId="473736C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营销方案须经</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确认</w:t>
      </w:r>
      <w:r>
        <w:rPr>
          <w:rFonts w:hint="eastAsia" w:ascii="宋体" w:hAnsi="宋体" w:eastAsia="宋体" w:cs="宋体"/>
          <w:color w:val="auto"/>
          <w:szCs w:val="21"/>
          <w:highlight w:val="none"/>
          <w:lang w:val="en-US" w:eastAsia="zh-CN"/>
        </w:rPr>
        <w:t>后实施</w:t>
      </w:r>
      <w:r>
        <w:rPr>
          <w:rFonts w:hint="eastAsia" w:ascii="宋体" w:hAnsi="宋体" w:eastAsia="宋体" w:cs="宋体"/>
          <w:color w:val="auto"/>
          <w:szCs w:val="21"/>
          <w:highlight w:val="none"/>
        </w:rPr>
        <w:t>。</w:t>
      </w:r>
    </w:p>
    <w:p w14:paraId="4E95964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如遇认购者签署认购书后违约，认购者所付定金</w:t>
      </w:r>
      <w:r>
        <w:rPr>
          <w:rFonts w:hint="eastAsia" w:ascii="宋体" w:hAnsi="宋体" w:eastAsia="宋体" w:cs="宋体"/>
          <w:color w:val="auto"/>
          <w:szCs w:val="21"/>
          <w:highlight w:val="none"/>
          <w:lang w:val="en-US" w:eastAsia="zh-CN"/>
        </w:rPr>
        <w:t>归甲方</w:t>
      </w:r>
      <w:r>
        <w:rPr>
          <w:rFonts w:hint="eastAsia" w:ascii="宋体" w:hAnsi="宋体" w:eastAsia="宋体" w:cs="宋体"/>
          <w:color w:val="auto"/>
          <w:szCs w:val="21"/>
          <w:highlight w:val="none"/>
        </w:rPr>
        <w:t>所有。</w:t>
      </w:r>
    </w:p>
    <w:p w14:paraId="339ECED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5、对应销售产品业主购买的附属用房（储藏室、工具间、摩托车库、车位等）的代理销售服务费费率按</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lang w:val="en-US" w:eastAsia="zh-CN"/>
        </w:rPr>
        <w:t>对应销售产品代理销售服务费的中标费率执行。</w:t>
      </w:r>
    </w:p>
    <w:p w14:paraId="2B61A56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6、销售展示中心等场馆建设、硬装、软装（包含沙盘、户型模型等）等费用由</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lang w:val="en-US" w:eastAsia="zh-CN"/>
        </w:rPr>
        <w:t>承担。</w:t>
      </w:r>
    </w:p>
    <w:p w14:paraId="4010303C">
      <w:pPr>
        <w:keepNext w:val="0"/>
        <w:keepLines w:val="0"/>
        <w:pageBreakBefore w:val="0"/>
        <w:widowControl w:val="0"/>
        <w:kinsoku/>
        <w:wordWrap/>
        <w:overflowPunct/>
        <w:topLinePunct w:val="0"/>
        <w:autoSpaceDE/>
        <w:autoSpaceDN/>
        <w:bidi w:val="0"/>
        <w:spacing w:line="440" w:lineRule="exact"/>
        <w:jc w:val="both"/>
        <w:textAlignment w:val="auto"/>
        <w:rPr>
          <w:rFonts w:ascii="宋体" w:hAnsi="宋体" w:eastAsia="宋体"/>
          <w:b/>
          <w:bCs/>
          <w:color w:val="auto"/>
          <w:sz w:val="21"/>
          <w:szCs w:val="21"/>
          <w:highlight w:val="none"/>
        </w:rPr>
      </w:pPr>
      <w:bookmarkStart w:id="146" w:name="_Hlk76370667"/>
      <w:r>
        <w:rPr>
          <w:rFonts w:hint="eastAsia" w:ascii="宋体" w:hAnsi="宋体" w:eastAsia="宋体"/>
          <w:b/>
          <w:bCs/>
          <w:color w:val="auto"/>
          <w:sz w:val="21"/>
          <w:szCs w:val="21"/>
          <w:highlight w:val="none"/>
        </w:rPr>
        <w:t>第</w:t>
      </w:r>
      <w:r>
        <w:rPr>
          <w:rFonts w:hint="eastAsia" w:ascii="宋体" w:hAnsi="宋体"/>
          <w:b/>
          <w:bCs/>
          <w:color w:val="auto"/>
          <w:sz w:val="21"/>
          <w:szCs w:val="21"/>
          <w:highlight w:val="none"/>
          <w:lang w:val="en-US" w:eastAsia="zh-CN"/>
        </w:rPr>
        <w:t>五</w:t>
      </w:r>
      <w:r>
        <w:rPr>
          <w:rFonts w:hint="eastAsia" w:ascii="宋体" w:hAnsi="宋体" w:eastAsia="宋体"/>
          <w:b/>
          <w:bCs/>
          <w:color w:val="auto"/>
          <w:sz w:val="21"/>
          <w:szCs w:val="21"/>
          <w:highlight w:val="none"/>
        </w:rPr>
        <w:t>条</w:t>
      </w:r>
      <w:r>
        <w:rPr>
          <w:rFonts w:hint="eastAsia" w:ascii="宋体" w:hAnsi="宋体"/>
          <w:b/>
          <w:bCs/>
          <w:color w:val="auto"/>
          <w:sz w:val="21"/>
          <w:szCs w:val="21"/>
          <w:highlight w:val="none"/>
          <w:lang w:val="en-US" w:eastAsia="zh-CN"/>
        </w:rPr>
        <w:t xml:space="preserve"> </w:t>
      </w:r>
      <w:r>
        <w:rPr>
          <w:rFonts w:hint="eastAsia" w:ascii="宋体" w:hAnsi="宋体" w:eastAsia="宋体"/>
          <w:b/>
          <w:bCs/>
          <w:color w:val="auto"/>
          <w:sz w:val="21"/>
          <w:szCs w:val="21"/>
          <w:highlight w:val="none"/>
        </w:rPr>
        <w:t>代理销售服务</w:t>
      </w:r>
      <w:bookmarkStart w:id="147" w:name="_Hlk76371019"/>
      <w:r>
        <w:rPr>
          <w:rFonts w:hint="eastAsia" w:ascii="宋体" w:hAnsi="宋体" w:eastAsia="宋体"/>
          <w:b/>
          <w:bCs/>
          <w:color w:val="auto"/>
          <w:sz w:val="21"/>
          <w:szCs w:val="21"/>
          <w:highlight w:val="none"/>
        </w:rPr>
        <w:t>团队人员</w:t>
      </w:r>
      <w:bookmarkEnd w:id="147"/>
      <w:r>
        <w:rPr>
          <w:rFonts w:hint="eastAsia" w:ascii="宋体" w:hAnsi="宋体" w:eastAsia="宋体"/>
          <w:b/>
          <w:bCs/>
          <w:color w:val="auto"/>
          <w:sz w:val="21"/>
          <w:szCs w:val="21"/>
          <w:highlight w:val="none"/>
        </w:rPr>
        <w:t>要求</w:t>
      </w:r>
    </w:p>
    <w:p w14:paraId="5B0B312A">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bCs/>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乙方根据项目需求，</w:t>
      </w:r>
      <w:r>
        <w:rPr>
          <w:rFonts w:hint="eastAsia" w:ascii="宋体" w:hAnsi="宋体" w:eastAsia="宋体"/>
          <w:bCs/>
          <w:color w:val="auto"/>
          <w:kern w:val="2"/>
          <w:sz w:val="21"/>
          <w:szCs w:val="21"/>
          <w:highlight w:val="none"/>
        </w:rPr>
        <w:t>投入本项目营销代理服务团队总人数</w:t>
      </w:r>
      <w:r>
        <w:rPr>
          <w:rFonts w:hint="eastAsia" w:ascii="宋体" w:hAnsi="宋体"/>
          <w:color w:val="auto"/>
          <w:szCs w:val="21"/>
          <w:highlight w:val="none"/>
          <w:lang w:eastAsia="zh-CN"/>
        </w:rPr>
        <w:t>不</w:t>
      </w:r>
      <w:r>
        <w:rPr>
          <w:rFonts w:hint="eastAsia" w:ascii="宋体" w:hAnsi="宋体"/>
          <w:color w:val="auto"/>
          <w:szCs w:val="21"/>
          <w:highlight w:val="none"/>
          <w:lang w:val="en-US" w:eastAsia="zh-CN"/>
        </w:rPr>
        <w:t>得</w:t>
      </w:r>
      <w:r>
        <w:rPr>
          <w:rFonts w:hint="eastAsia" w:ascii="宋体" w:hAnsi="宋体"/>
          <w:color w:val="auto"/>
          <w:szCs w:val="21"/>
          <w:highlight w:val="none"/>
          <w:lang w:eastAsia="zh-CN"/>
        </w:rPr>
        <w:t>少于</w:t>
      </w:r>
      <w:r>
        <w:rPr>
          <w:rFonts w:hint="eastAsia" w:ascii="宋体" w:hAnsi="宋体"/>
          <w:color w:val="auto"/>
          <w:szCs w:val="21"/>
          <w:highlight w:val="none"/>
          <w:lang w:val="en-US" w:eastAsia="zh-CN"/>
        </w:rPr>
        <w:t>8</w:t>
      </w:r>
      <w:r>
        <w:rPr>
          <w:rFonts w:hint="eastAsia" w:ascii="宋体" w:hAnsi="宋体"/>
          <w:color w:val="auto"/>
          <w:szCs w:val="21"/>
          <w:highlight w:val="none"/>
        </w:rPr>
        <w:t>人</w:t>
      </w:r>
      <w:r>
        <w:rPr>
          <w:rFonts w:hint="eastAsia" w:ascii="宋体" w:hAnsi="宋体" w:eastAsia="宋体" w:cs="宋体"/>
          <w:color w:val="auto"/>
          <w:sz w:val="21"/>
          <w:szCs w:val="21"/>
          <w:highlight w:val="none"/>
          <w:lang w:val="en-US" w:eastAsia="zh-CN"/>
        </w:rPr>
        <w:t>（其中：</w:t>
      </w:r>
      <w:r>
        <w:rPr>
          <w:rFonts w:hint="eastAsia" w:ascii="宋体" w:hAnsi="宋体" w:cs="宋体"/>
          <w:color w:val="auto"/>
          <w:sz w:val="21"/>
          <w:szCs w:val="21"/>
          <w:highlight w:val="none"/>
          <w:lang w:val="en-US" w:eastAsia="zh-CN"/>
        </w:rPr>
        <w:t>项目负责人（</w:t>
      </w:r>
      <w:r>
        <w:rPr>
          <w:rFonts w:hint="eastAsia" w:ascii="宋体" w:hAnsi="宋体" w:eastAsia="宋体" w:cs="宋体"/>
          <w:color w:val="auto"/>
          <w:sz w:val="21"/>
          <w:szCs w:val="21"/>
          <w:highlight w:val="none"/>
          <w:lang w:val="en-US" w:eastAsia="zh-CN"/>
        </w:rPr>
        <w:t>营销负责人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1人，销售</w:t>
      </w:r>
      <w:r>
        <w:rPr>
          <w:rFonts w:hint="eastAsia" w:ascii="宋体" w:hAnsi="宋体" w:cs="宋体"/>
          <w:color w:val="auto"/>
          <w:sz w:val="21"/>
          <w:szCs w:val="21"/>
          <w:highlight w:val="none"/>
          <w:lang w:val="en-US" w:eastAsia="zh-CN"/>
        </w:rPr>
        <w:t>内勤</w:t>
      </w:r>
      <w:r>
        <w:rPr>
          <w:rFonts w:hint="eastAsia" w:ascii="宋体" w:hAnsi="宋体" w:eastAsia="宋体" w:cs="宋体"/>
          <w:color w:val="auto"/>
          <w:sz w:val="21"/>
          <w:szCs w:val="21"/>
          <w:highlight w:val="none"/>
          <w:lang w:val="en-US" w:eastAsia="zh-CN"/>
        </w:rPr>
        <w:t>负责人1人，策划负责人1人，其他销售人员不少于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人）</w:t>
      </w:r>
      <w:r>
        <w:rPr>
          <w:rFonts w:hint="eastAsia" w:ascii="宋体" w:hAnsi="宋体"/>
          <w:bCs/>
          <w:color w:val="auto"/>
          <w:sz w:val="21"/>
          <w:szCs w:val="21"/>
          <w:highlight w:val="none"/>
          <w:lang w:eastAsia="zh-CN"/>
        </w:rPr>
        <w:t>（具体根据乙方投标承诺的人员填入）</w:t>
      </w:r>
      <w:r>
        <w:rPr>
          <w:rFonts w:hint="eastAsia" w:ascii="宋体" w:hAnsi="宋体" w:eastAsia="宋体"/>
          <w:bCs/>
          <w:color w:val="auto"/>
          <w:sz w:val="21"/>
          <w:szCs w:val="21"/>
          <w:highlight w:val="none"/>
        </w:rPr>
        <w:t>。</w:t>
      </w:r>
    </w:p>
    <w:p w14:paraId="0FE95068">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s="宋体"/>
          <w:color w:val="auto"/>
          <w:sz w:val="21"/>
          <w:szCs w:val="21"/>
          <w:highlight w:val="none"/>
          <w:lang w:bidi="ar"/>
        </w:rPr>
      </w:pP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2</w:t>
      </w:r>
      <w:r>
        <w:rPr>
          <w:rFonts w:hint="eastAsia" w:ascii="宋体" w:hAnsi="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自合同签订之日起，乙方应根据项目进度和营销工作需要配备人员，指派</w:t>
      </w:r>
      <w:r>
        <w:rPr>
          <w:rFonts w:hint="eastAsia" w:ascii="宋体" w:hAnsi="宋体" w:cs="宋体"/>
          <w:color w:val="auto"/>
          <w:sz w:val="21"/>
          <w:szCs w:val="21"/>
          <w:highlight w:val="none"/>
          <w:lang w:eastAsia="zh-CN" w:bidi="ar"/>
        </w:rPr>
        <w:t>营销</w:t>
      </w:r>
      <w:r>
        <w:rPr>
          <w:rFonts w:hint="eastAsia" w:ascii="宋体" w:hAnsi="宋体" w:eastAsia="宋体" w:cs="宋体"/>
          <w:color w:val="auto"/>
          <w:sz w:val="21"/>
          <w:szCs w:val="21"/>
          <w:highlight w:val="none"/>
          <w:lang w:bidi="ar"/>
        </w:rPr>
        <w:t>负责人、市场调查、策划及相关营销人员等到位，开展代理销售工作。以上时间以业主书面通知为准。</w:t>
      </w:r>
    </w:p>
    <w:p w14:paraId="3A94EF1B">
      <w:pPr>
        <w:keepNext w:val="0"/>
        <w:keepLines w:val="0"/>
        <w:pageBreakBefore w:val="0"/>
        <w:widowControl w:val="0"/>
        <w:kinsoku/>
        <w:wordWrap/>
        <w:overflowPunct/>
        <w:topLinePunct w:val="0"/>
        <w:autoSpaceDE/>
        <w:autoSpaceDN/>
        <w:bidi w:val="0"/>
        <w:spacing w:line="440" w:lineRule="exact"/>
        <w:ind w:firstLine="420" w:firstLineChars="200"/>
        <w:contextualSpacing/>
        <w:jc w:val="both"/>
        <w:textAlignment w:val="auto"/>
        <w:rPr>
          <w:rFonts w:ascii="宋体" w:hAnsi="宋体" w:eastAsia="宋体" w:cs="宋体"/>
          <w:color w:val="auto"/>
          <w:kern w:val="2"/>
          <w:sz w:val="22"/>
          <w:szCs w:val="22"/>
          <w:highlight w:val="none"/>
        </w:rPr>
      </w:pP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eastAsia="zh-CN" w:bidi="ar"/>
        </w:rPr>
        <w:t>）营销</w:t>
      </w:r>
      <w:r>
        <w:rPr>
          <w:rFonts w:hint="eastAsia" w:ascii="宋体" w:hAnsi="宋体" w:eastAsia="宋体" w:cs="宋体"/>
          <w:color w:val="auto"/>
          <w:sz w:val="21"/>
          <w:szCs w:val="21"/>
          <w:highlight w:val="none"/>
          <w:lang w:bidi="ar"/>
        </w:rPr>
        <w:t>负责人除以下情形之外不得更换：因管理原因发生重大责任事故不适合再任；被责令停止执业、羁押或判刑；因生病住院、终止劳动合同关系（需提供相关部门或单位的证明材料）等无法继续履行合同责任和义务。符合上述情形确需更换的，应征得甲方书面同意，且更换后的人员不得低于原投标承诺人员所具有的资格和业绩条件，</w:t>
      </w:r>
      <w:r>
        <w:rPr>
          <w:rFonts w:hint="eastAsia" w:ascii="宋体" w:hAnsi="宋体" w:eastAsia="宋体" w:cs="宋体"/>
          <w:color w:val="auto"/>
          <w:kern w:val="2"/>
          <w:sz w:val="22"/>
          <w:szCs w:val="22"/>
          <w:highlight w:val="none"/>
        </w:rPr>
        <w:t>免除处罚</w:t>
      </w:r>
      <w:r>
        <w:rPr>
          <w:rFonts w:hint="eastAsia" w:ascii="宋体" w:hAnsi="宋体" w:eastAsia="宋体" w:cs="宋体"/>
          <w:color w:val="auto"/>
          <w:sz w:val="21"/>
          <w:szCs w:val="21"/>
          <w:highlight w:val="none"/>
          <w:lang w:bidi="ar"/>
        </w:rPr>
        <w:t>。除以上情形外，</w:t>
      </w:r>
      <w:r>
        <w:rPr>
          <w:rFonts w:hint="eastAsia" w:ascii="宋体" w:hAnsi="宋体" w:cs="宋体"/>
          <w:color w:val="auto"/>
          <w:sz w:val="21"/>
          <w:szCs w:val="21"/>
          <w:highlight w:val="none"/>
          <w:lang w:eastAsia="zh-CN" w:bidi="ar"/>
        </w:rPr>
        <w:t>其他任何</w:t>
      </w:r>
      <w:r>
        <w:rPr>
          <w:rFonts w:hint="eastAsia" w:ascii="宋体" w:hAnsi="宋体" w:eastAsia="宋体" w:cs="宋体"/>
          <w:color w:val="auto"/>
          <w:kern w:val="2"/>
          <w:sz w:val="22"/>
          <w:szCs w:val="22"/>
          <w:highlight w:val="none"/>
        </w:rPr>
        <w:t>原因不得</w:t>
      </w:r>
      <w:r>
        <w:rPr>
          <w:rFonts w:hint="eastAsia" w:ascii="宋体" w:hAnsi="宋体" w:cs="宋体"/>
          <w:color w:val="auto"/>
          <w:kern w:val="2"/>
          <w:sz w:val="22"/>
          <w:szCs w:val="22"/>
          <w:highlight w:val="none"/>
          <w:lang w:eastAsia="zh-CN"/>
        </w:rPr>
        <w:t>随意</w:t>
      </w:r>
      <w:r>
        <w:rPr>
          <w:rFonts w:hint="eastAsia" w:ascii="宋体" w:hAnsi="宋体" w:eastAsia="宋体" w:cs="宋体"/>
          <w:color w:val="auto"/>
          <w:kern w:val="2"/>
          <w:sz w:val="22"/>
          <w:szCs w:val="22"/>
          <w:highlight w:val="none"/>
        </w:rPr>
        <w:t>更换，</w:t>
      </w:r>
      <w:r>
        <w:rPr>
          <w:rFonts w:hint="eastAsia" w:ascii="宋体" w:hAnsi="宋体" w:eastAsia="宋体" w:cs="Times New Roman"/>
          <w:color w:val="auto"/>
          <w:sz w:val="21"/>
          <w:szCs w:val="21"/>
          <w:highlight w:val="none"/>
          <w:lang w:val="en-US" w:eastAsia="zh-CN"/>
        </w:rPr>
        <w:t>因特殊情况，更换人员须经甲方同意，经甲方同意后乙方</w:t>
      </w:r>
      <w:r>
        <w:rPr>
          <w:rFonts w:hint="eastAsia" w:ascii="宋体" w:hAnsi="宋体" w:cs="Times New Roman"/>
          <w:color w:val="auto"/>
          <w:sz w:val="21"/>
          <w:szCs w:val="21"/>
          <w:highlight w:val="none"/>
          <w:lang w:val="en-US" w:eastAsia="zh-CN"/>
        </w:rPr>
        <w:t>方可</w:t>
      </w:r>
      <w:r>
        <w:rPr>
          <w:rFonts w:hint="eastAsia" w:ascii="宋体" w:hAnsi="宋体" w:eastAsia="宋体" w:cs="Times New Roman"/>
          <w:color w:val="auto"/>
          <w:sz w:val="21"/>
          <w:szCs w:val="21"/>
          <w:highlight w:val="none"/>
          <w:lang w:val="en-US" w:eastAsia="zh-CN"/>
        </w:rPr>
        <w:t>更换营销负责人</w:t>
      </w:r>
      <w:r>
        <w:rPr>
          <w:rFonts w:hint="eastAsia" w:ascii="宋体" w:hAnsi="宋体" w:cs="Times New Roman"/>
          <w:color w:val="auto"/>
          <w:sz w:val="21"/>
          <w:szCs w:val="21"/>
          <w:highlight w:val="none"/>
          <w:lang w:val="en-US" w:eastAsia="zh-CN"/>
        </w:rPr>
        <w:t>及营销其他成员</w:t>
      </w: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若未经甲方同意</w:t>
      </w:r>
      <w:r>
        <w:rPr>
          <w:rFonts w:hint="eastAsia" w:ascii="宋体" w:hAnsi="宋体" w:eastAsia="宋体" w:cs="Times New Roman"/>
          <w:color w:val="auto"/>
          <w:sz w:val="21"/>
          <w:szCs w:val="21"/>
          <w:highlight w:val="none"/>
          <w:lang w:val="en-US" w:eastAsia="zh-CN"/>
        </w:rPr>
        <w:t>擅自更换营销负责人</w:t>
      </w:r>
      <w:r>
        <w:rPr>
          <w:rFonts w:hint="eastAsia" w:ascii="宋体" w:hAnsi="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val="en-US" w:eastAsia="zh-CN"/>
        </w:rPr>
        <w:t>每更换</w:t>
      </w:r>
      <w:r>
        <w:rPr>
          <w:rFonts w:hint="eastAsia" w:ascii="宋体" w:hAnsi="宋体" w:cs="Times New Roman"/>
          <w:color w:val="auto"/>
          <w:sz w:val="21"/>
          <w:szCs w:val="21"/>
          <w:highlight w:val="none"/>
          <w:lang w:val="en-US" w:eastAsia="zh-CN"/>
        </w:rPr>
        <w:t>一次</w:t>
      </w:r>
      <w:r>
        <w:rPr>
          <w:rFonts w:hint="eastAsia" w:ascii="宋体" w:hAnsi="宋体" w:eastAsia="宋体" w:cs="Times New Roman"/>
          <w:color w:val="auto"/>
          <w:sz w:val="21"/>
          <w:szCs w:val="21"/>
          <w:highlight w:val="none"/>
          <w:lang w:val="en-US" w:eastAsia="zh-CN"/>
        </w:rPr>
        <w:t>支付</w:t>
      </w:r>
      <w:r>
        <w:rPr>
          <w:rFonts w:hint="eastAsia" w:ascii="宋体" w:hAnsi="宋体" w:cs="Times New Roman"/>
          <w:color w:val="auto"/>
          <w:sz w:val="21"/>
          <w:szCs w:val="21"/>
          <w:highlight w:val="none"/>
          <w:lang w:val="en-US" w:eastAsia="zh-CN"/>
        </w:rPr>
        <w:t>20</w:t>
      </w:r>
      <w:r>
        <w:rPr>
          <w:rFonts w:hint="eastAsia" w:ascii="宋体" w:hAnsi="宋体" w:eastAsia="宋体" w:cs="Times New Roman"/>
          <w:color w:val="auto"/>
          <w:sz w:val="21"/>
          <w:szCs w:val="21"/>
          <w:highlight w:val="none"/>
          <w:lang w:val="en-US" w:eastAsia="zh-CN"/>
        </w:rPr>
        <w:t>万元违约金，更换班子其他</w:t>
      </w:r>
      <w:r>
        <w:rPr>
          <w:rFonts w:hint="eastAsia" w:ascii="宋体" w:hAnsi="宋体" w:cs="Times New Roman"/>
          <w:color w:val="auto"/>
          <w:sz w:val="21"/>
          <w:szCs w:val="21"/>
          <w:highlight w:val="none"/>
          <w:lang w:val="en-US" w:eastAsia="zh-CN"/>
        </w:rPr>
        <w:t>营销</w:t>
      </w:r>
      <w:r>
        <w:rPr>
          <w:rFonts w:hint="eastAsia" w:ascii="宋体" w:hAnsi="宋体" w:eastAsia="宋体" w:cs="Times New Roman"/>
          <w:color w:val="auto"/>
          <w:sz w:val="21"/>
          <w:szCs w:val="21"/>
          <w:highlight w:val="none"/>
          <w:lang w:val="en-US" w:eastAsia="zh-CN"/>
        </w:rPr>
        <w:t>成员违约金为</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万元/人</w:t>
      </w:r>
      <w:r>
        <w:rPr>
          <w:rFonts w:hint="eastAsia" w:ascii="宋体" w:hAnsi="宋体" w:cs="Times New Roman"/>
          <w:color w:val="auto"/>
          <w:sz w:val="21"/>
          <w:szCs w:val="21"/>
          <w:highlight w:val="none"/>
          <w:lang w:val="en-US" w:eastAsia="zh-CN"/>
        </w:rPr>
        <w:t>/次</w:t>
      </w:r>
      <w:r>
        <w:rPr>
          <w:rFonts w:hint="eastAsia" w:ascii="宋体" w:hAnsi="宋体" w:eastAsia="宋体" w:cs="Times New Roman"/>
          <w:color w:val="auto"/>
          <w:sz w:val="21"/>
          <w:szCs w:val="21"/>
          <w:highlight w:val="none"/>
          <w:lang w:val="en-US" w:eastAsia="zh-CN"/>
        </w:rPr>
        <w:t>，更换后的人员不得低于原投标承诺人员所具有的资格、业绩、资信等条件。</w:t>
      </w:r>
      <w:r>
        <w:rPr>
          <w:rFonts w:hint="eastAsia" w:ascii="宋体" w:hAnsi="宋体" w:cs="Times New Roman"/>
          <w:color w:val="auto"/>
          <w:sz w:val="21"/>
          <w:szCs w:val="21"/>
          <w:highlight w:val="none"/>
          <w:lang w:val="en-US" w:eastAsia="zh-CN"/>
        </w:rPr>
        <w:t>因人员不称职导致</w:t>
      </w:r>
      <w:r>
        <w:rPr>
          <w:rFonts w:hint="eastAsia" w:ascii="宋体" w:hAnsi="宋体" w:eastAsia="宋体" w:cs="Times New Roman"/>
          <w:color w:val="auto"/>
          <w:sz w:val="21"/>
          <w:szCs w:val="21"/>
          <w:highlight w:val="none"/>
          <w:lang w:val="en-US" w:eastAsia="zh-CN"/>
        </w:rPr>
        <w:t>甲方提出更换的，按班子人员更换条款予以违约处理。</w:t>
      </w:r>
    </w:p>
    <w:p w14:paraId="2E0B62E4">
      <w:pPr>
        <w:keepNext w:val="0"/>
        <w:keepLines w:val="0"/>
        <w:pageBreakBefore w:val="0"/>
        <w:widowControl w:val="0"/>
        <w:kinsoku/>
        <w:wordWrap/>
        <w:overflowPunct/>
        <w:topLinePunct w:val="0"/>
        <w:autoSpaceDE/>
        <w:autoSpaceDN/>
        <w:bidi w:val="0"/>
        <w:spacing w:line="440" w:lineRule="exact"/>
        <w:ind w:firstLine="420" w:firstLineChars="200"/>
        <w:contextualSpacing/>
        <w:jc w:val="both"/>
        <w:textAlignment w:val="auto"/>
        <w:rPr>
          <w:rFonts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人员考勤</w:t>
      </w:r>
    </w:p>
    <w:p w14:paraId="3146E013">
      <w:pPr>
        <w:keepNext w:val="0"/>
        <w:keepLines w:val="0"/>
        <w:pageBreakBefore w:val="0"/>
        <w:widowControl w:val="0"/>
        <w:kinsoku/>
        <w:wordWrap/>
        <w:overflowPunct/>
        <w:topLinePunct w:val="0"/>
        <w:autoSpaceDE/>
        <w:autoSpaceDN/>
        <w:bidi w:val="0"/>
        <w:spacing w:line="440" w:lineRule="exact"/>
        <w:ind w:firstLine="420" w:firstLineChars="200"/>
        <w:contextualSpacing/>
        <w:jc w:val="both"/>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营销</w:t>
      </w:r>
      <w:r>
        <w:rPr>
          <w:rFonts w:hint="eastAsia" w:ascii="宋体" w:hAnsi="宋体" w:eastAsia="宋体" w:cs="宋体"/>
          <w:color w:val="auto"/>
          <w:sz w:val="21"/>
          <w:szCs w:val="21"/>
          <w:highlight w:val="none"/>
          <w:lang w:bidi="ar"/>
        </w:rPr>
        <w:t>负责人到位率达不到招标要求的按照</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000元/人/天标准向甲方支付违约金，</w:t>
      </w:r>
      <w:r>
        <w:rPr>
          <w:rFonts w:hint="eastAsia" w:ascii="宋体" w:hAnsi="宋体" w:cs="宋体"/>
          <w:color w:val="auto"/>
          <w:sz w:val="21"/>
          <w:szCs w:val="21"/>
          <w:highlight w:val="none"/>
          <w:lang w:eastAsia="zh-CN" w:bidi="ar"/>
        </w:rPr>
        <w:t>其他</w:t>
      </w:r>
      <w:r>
        <w:rPr>
          <w:rFonts w:hint="eastAsia" w:ascii="宋体" w:hAnsi="宋体" w:eastAsia="宋体" w:cs="宋体"/>
          <w:color w:val="auto"/>
          <w:sz w:val="21"/>
          <w:szCs w:val="21"/>
          <w:highlight w:val="none"/>
          <w:lang w:bidi="ar"/>
        </w:rPr>
        <w:t>营销人员到位率达不到要求的按照1000元/人/天标准向甲方支付违约金。</w:t>
      </w:r>
      <w:r>
        <w:rPr>
          <w:rFonts w:hint="eastAsia" w:ascii="宋体" w:hAnsi="宋体" w:eastAsia="宋体" w:cs="宋体"/>
          <w:color w:val="auto"/>
          <w:sz w:val="21"/>
          <w:szCs w:val="21"/>
          <w:highlight w:val="none"/>
          <w:lang w:val="en-US" w:eastAsia="zh-CN" w:bidi="ar"/>
        </w:rPr>
        <w:t>连续两个月到位率低于投标承诺的，甲方有权要求更换相应人员。人员更换和人员考勤违约金不设上限。</w:t>
      </w:r>
    </w:p>
    <w:p w14:paraId="30BF2141">
      <w:pPr>
        <w:keepNext w:val="0"/>
        <w:keepLines w:val="0"/>
        <w:pageBreakBefore w:val="0"/>
        <w:widowControl w:val="0"/>
        <w:kinsoku/>
        <w:wordWrap/>
        <w:overflowPunct/>
        <w:topLinePunct w:val="0"/>
        <w:autoSpaceDE/>
        <w:autoSpaceDN/>
        <w:bidi w:val="0"/>
        <w:spacing w:line="440" w:lineRule="exact"/>
        <w:textAlignment w:val="auto"/>
        <w:rPr>
          <w:rFonts w:ascii="宋体" w:hAnsi="宋体" w:eastAsia="宋体"/>
          <w:b/>
          <w:bCs/>
          <w:color w:val="auto"/>
          <w:sz w:val="21"/>
          <w:szCs w:val="21"/>
          <w:highlight w:val="none"/>
        </w:rPr>
      </w:pPr>
      <w:bookmarkStart w:id="148" w:name="_Hlk75631824"/>
      <w:bookmarkEnd w:id="148"/>
      <w:r>
        <w:rPr>
          <w:rFonts w:hint="eastAsia" w:ascii="宋体" w:hAnsi="宋体" w:eastAsia="宋体"/>
          <w:b/>
          <w:bCs/>
          <w:color w:val="auto"/>
          <w:sz w:val="21"/>
          <w:szCs w:val="21"/>
          <w:highlight w:val="none"/>
        </w:rPr>
        <w:t>第</w:t>
      </w:r>
      <w:r>
        <w:rPr>
          <w:rFonts w:hint="eastAsia" w:ascii="宋体" w:hAnsi="宋体"/>
          <w:b/>
          <w:bCs/>
          <w:color w:val="auto"/>
          <w:sz w:val="21"/>
          <w:szCs w:val="21"/>
          <w:highlight w:val="none"/>
          <w:lang w:val="en-US" w:eastAsia="zh-CN"/>
        </w:rPr>
        <w:t>六</w:t>
      </w:r>
      <w:r>
        <w:rPr>
          <w:rFonts w:hint="eastAsia" w:ascii="宋体" w:hAnsi="宋体" w:eastAsia="宋体"/>
          <w:b/>
          <w:bCs/>
          <w:color w:val="auto"/>
          <w:sz w:val="21"/>
          <w:szCs w:val="21"/>
          <w:highlight w:val="none"/>
        </w:rPr>
        <w:t>条 付款方式</w:t>
      </w:r>
    </w:p>
    <w:p w14:paraId="505AC64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lang w:val="en-US" w:eastAsia="zh-CN"/>
        </w:rPr>
        <w:t>代理销售服务费支付方式</w:t>
      </w:r>
      <w:r>
        <w:rPr>
          <w:rFonts w:hint="eastAsia" w:ascii="宋体" w:hAnsi="宋体" w:cs="宋体"/>
          <w:b/>
          <w:bCs/>
          <w:color w:val="auto"/>
          <w:szCs w:val="21"/>
          <w:highlight w:val="none"/>
          <w:lang w:val="en-US" w:eastAsia="zh-CN"/>
        </w:rPr>
        <w:t>[每季度</w:t>
      </w:r>
      <w:r>
        <w:rPr>
          <w:rFonts w:hint="eastAsia" w:ascii="宋体" w:hAnsi="宋体" w:eastAsia="宋体" w:cs="宋体"/>
          <w:b/>
          <w:bCs/>
          <w:color w:val="auto"/>
          <w:szCs w:val="21"/>
          <w:highlight w:val="none"/>
          <w:lang w:val="en-US" w:eastAsia="zh-CN"/>
        </w:rPr>
        <w:t>代理销售服务费按</w:t>
      </w:r>
      <w:r>
        <w:rPr>
          <w:rFonts w:hint="eastAsia" w:ascii="宋体" w:hAnsi="宋体" w:cs="宋体"/>
          <w:b/>
          <w:bCs/>
          <w:color w:val="auto"/>
          <w:szCs w:val="21"/>
          <w:highlight w:val="none"/>
          <w:lang w:val="en-US" w:eastAsia="zh-CN"/>
        </w:rPr>
        <w:t>该</w:t>
      </w:r>
      <w:r>
        <w:rPr>
          <w:rFonts w:hint="eastAsia" w:ascii="宋体" w:hAnsi="宋体" w:eastAsia="宋体" w:cs="宋体"/>
          <w:b/>
          <w:bCs/>
          <w:color w:val="auto"/>
          <w:szCs w:val="21"/>
          <w:highlight w:val="none"/>
          <w:lang w:val="en-US" w:eastAsia="zh-CN"/>
        </w:rPr>
        <w:t>季度实际</w:t>
      </w:r>
      <w:r>
        <w:rPr>
          <w:rFonts w:hint="eastAsia" w:ascii="宋体" w:hAnsi="宋体" w:cs="宋体"/>
          <w:b/>
          <w:bCs/>
          <w:color w:val="auto"/>
          <w:szCs w:val="21"/>
          <w:highlight w:val="none"/>
          <w:lang w:val="en-US" w:eastAsia="zh-CN"/>
        </w:rPr>
        <w:t>销售产品</w:t>
      </w:r>
      <w:r>
        <w:rPr>
          <w:rFonts w:hint="eastAsia" w:ascii="宋体" w:hAnsi="宋体" w:eastAsia="宋体" w:cs="宋体"/>
          <w:b/>
          <w:bCs/>
          <w:color w:val="auto"/>
          <w:szCs w:val="21"/>
          <w:highlight w:val="none"/>
          <w:lang w:val="en-US" w:eastAsia="zh-CN"/>
        </w:rPr>
        <w:t>的销售金额（不含定向房票房源及政府回购部分）×</w:t>
      </w:r>
      <w:r>
        <w:rPr>
          <w:rFonts w:hint="eastAsia" w:ascii="宋体" w:hAnsi="宋体" w:cs="宋体"/>
          <w:b/>
          <w:bCs/>
          <w:color w:val="auto"/>
          <w:szCs w:val="21"/>
          <w:highlight w:val="none"/>
          <w:lang w:val="en-US" w:eastAsia="zh-CN"/>
        </w:rPr>
        <w:t>对应销售产品的</w:t>
      </w:r>
      <w:r>
        <w:rPr>
          <w:rFonts w:hint="eastAsia" w:ascii="宋体" w:hAnsi="宋体" w:eastAsia="宋体" w:cs="宋体"/>
          <w:b/>
          <w:bCs/>
          <w:color w:val="auto"/>
          <w:szCs w:val="21"/>
          <w:highlight w:val="none"/>
          <w:lang w:val="en-US" w:eastAsia="zh-CN"/>
        </w:rPr>
        <w:t>中标费率</w:t>
      </w:r>
      <w:r>
        <w:rPr>
          <w:rFonts w:hint="eastAsia" w:ascii="宋体" w:hAnsi="宋体" w:cs="宋体"/>
          <w:b/>
          <w:bCs/>
          <w:color w:val="auto"/>
          <w:szCs w:val="21"/>
          <w:highlight w:val="none"/>
          <w:lang w:val="en-US" w:eastAsia="zh-CN"/>
        </w:rPr>
        <w:t>或考核后的费率</w:t>
      </w:r>
      <w:r>
        <w:rPr>
          <w:rFonts w:hint="eastAsia" w:ascii="宋体" w:hAnsi="宋体" w:eastAsia="宋体" w:cs="宋体"/>
          <w:b/>
          <w:bCs/>
          <w:color w:val="auto"/>
          <w:szCs w:val="21"/>
          <w:highlight w:val="none"/>
          <w:lang w:val="en-US" w:eastAsia="zh-CN"/>
        </w:rPr>
        <w:t>计算</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lang w:val="en-US" w:eastAsia="zh-CN"/>
        </w:rPr>
        <w:t>：</w:t>
      </w:r>
    </w:p>
    <w:p w14:paraId="251F3BA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①合同签订</w:t>
      </w:r>
      <w:r>
        <w:rPr>
          <w:rFonts w:hint="eastAsia" w:ascii="宋体" w:hAnsi="宋体" w:cs="宋体"/>
          <w:color w:val="auto"/>
          <w:szCs w:val="21"/>
          <w:highlight w:val="none"/>
          <w:lang w:val="en-US" w:eastAsia="zh-CN"/>
        </w:rPr>
        <w:t>，乙方提交</w:t>
      </w:r>
      <w:r>
        <w:rPr>
          <w:rFonts w:hint="eastAsia" w:ascii="宋体" w:hAnsi="宋体" w:eastAsia="宋体" w:cs="宋体"/>
          <w:color w:val="auto"/>
          <w:szCs w:val="21"/>
          <w:highlight w:val="none"/>
          <w:lang w:val="en-US" w:eastAsia="zh-CN"/>
        </w:rPr>
        <w:t>暂定代理销售服务费</w:t>
      </w:r>
      <w:r>
        <w:rPr>
          <w:rFonts w:hint="eastAsia" w:ascii="宋体" w:hAnsi="宋体" w:cs="宋体"/>
          <w:color w:val="auto"/>
          <w:szCs w:val="21"/>
          <w:highlight w:val="none"/>
          <w:lang w:val="en-US" w:eastAsia="zh-CN"/>
        </w:rPr>
        <w:t>总价的5%等额预付款担保后（担保形式应符合相关文件规定及甲方要求），甲方支付</w:t>
      </w:r>
      <w:r>
        <w:rPr>
          <w:rFonts w:hint="eastAsia" w:ascii="宋体" w:hAnsi="宋体" w:eastAsia="宋体" w:cs="宋体"/>
          <w:color w:val="auto"/>
          <w:szCs w:val="21"/>
          <w:highlight w:val="none"/>
          <w:lang w:val="en-US" w:eastAsia="zh-CN"/>
        </w:rPr>
        <w:t>暂定代理销售服务费</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lang w:val="en-US" w:eastAsia="zh-CN"/>
        </w:rPr>
        <w:t>价</w:t>
      </w:r>
      <w:r>
        <w:rPr>
          <w:rFonts w:hint="eastAsia" w:ascii="宋体" w:hAnsi="宋体" w:cs="宋体"/>
          <w:color w:val="auto"/>
          <w:szCs w:val="21"/>
          <w:highlight w:val="none"/>
          <w:lang w:val="en-US" w:eastAsia="zh-CN"/>
        </w:rPr>
        <w:t>的5</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作为预付款；</w:t>
      </w:r>
    </w:p>
    <w:p w14:paraId="6B332F7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代理销售服务费</w:t>
      </w:r>
      <w:r>
        <w:rPr>
          <w:rFonts w:hint="eastAsia" w:ascii="宋体" w:hAnsi="宋体" w:cs="宋体"/>
          <w:color w:val="auto"/>
          <w:szCs w:val="21"/>
          <w:highlight w:val="none"/>
          <w:lang w:val="en-US" w:eastAsia="zh-CN"/>
        </w:rPr>
        <w:t>累计超过预付款金额后</w:t>
      </w:r>
      <w:r>
        <w:rPr>
          <w:rFonts w:hint="eastAsia" w:ascii="宋体" w:hAnsi="宋体" w:cs="宋体"/>
          <w:color w:val="auto"/>
          <w:szCs w:val="21"/>
          <w:highlight w:val="none"/>
        </w:rPr>
        <w:t>每季度结算一次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例：若预付款金额为100万元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乙方第一季度结算后的</w:t>
      </w:r>
      <w:r>
        <w:rPr>
          <w:rFonts w:hint="eastAsia" w:ascii="宋体" w:hAnsi="宋体" w:cs="宋体"/>
          <w:color w:val="auto"/>
          <w:szCs w:val="21"/>
          <w:highlight w:val="none"/>
        </w:rPr>
        <w:t>代理销售服务费</w:t>
      </w:r>
      <w:r>
        <w:rPr>
          <w:rFonts w:hint="eastAsia" w:ascii="宋体" w:hAnsi="宋体" w:cs="宋体"/>
          <w:color w:val="auto"/>
          <w:szCs w:val="21"/>
          <w:highlight w:val="none"/>
          <w:lang w:val="en-US" w:eastAsia="zh-CN"/>
        </w:rPr>
        <w:t>为80万元，则甲方第一季度不予支付中标人</w:t>
      </w:r>
      <w:r>
        <w:rPr>
          <w:rFonts w:hint="eastAsia" w:ascii="宋体" w:hAnsi="宋体" w:cs="宋体"/>
          <w:color w:val="auto"/>
          <w:szCs w:val="21"/>
          <w:highlight w:val="none"/>
        </w:rPr>
        <w:t>代理销售服务费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至乙方第二季度与第一季度结算后的</w:t>
      </w:r>
      <w:r>
        <w:rPr>
          <w:rFonts w:hint="eastAsia" w:ascii="宋体" w:hAnsi="宋体" w:cs="宋体"/>
          <w:color w:val="auto"/>
          <w:szCs w:val="21"/>
          <w:highlight w:val="none"/>
        </w:rPr>
        <w:t>代理销售服务费</w:t>
      </w:r>
      <w:r>
        <w:rPr>
          <w:rFonts w:hint="eastAsia" w:ascii="宋体" w:hAnsi="宋体" w:cs="宋体"/>
          <w:color w:val="auto"/>
          <w:szCs w:val="21"/>
          <w:highlight w:val="none"/>
          <w:lang w:val="en-US" w:eastAsia="zh-CN"/>
        </w:rPr>
        <w:t>累计超过100万元，扣除100万元后支付剩下的</w:t>
      </w:r>
      <w:r>
        <w:rPr>
          <w:rFonts w:hint="eastAsia" w:ascii="宋体" w:hAnsi="宋体" w:cs="宋体"/>
          <w:color w:val="auto"/>
          <w:szCs w:val="21"/>
          <w:highlight w:val="none"/>
        </w:rPr>
        <w:t>代理销售服务费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乙方在上季度结束后按相关销售数据（经甲方审核确认）向甲方申请支付上一季度的代理</w:t>
      </w:r>
      <w:r>
        <w:rPr>
          <w:rFonts w:hint="eastAsia" w:ascii="宋体" w:hAnsi="宋体" w:cs="宋体"/>
          <w:color w:val="auto"/>
          <w:szCs w:val="21"/>
          <w:highlight w:val="none"/>
        </w:rPr>
        <w:t>销售服务费</w:t>
      </w:r>
      <w:r>
        <w:rPr>
          <w:rFonts w:hint="eastAsia" w:ascii="宋体" w:hAnsi="宋体" w:cs="宋体"/>
          <w:color w:val="auto"/>
          <w:szCs w:val="21"/>
          <w:highlight w:val="none"/>
          <w:lang w:val="en-US" w:eastAsia="zh-CN"/>
        </w:rPr>
        <w:t>（销售数据截止到上季度月最后一个日历天北京时间24：00点整），甲方</w:t>
      </w:r>
      <w:r>
        <w:rPr>
          <w:rFonts w:hint="eastAsia" w:ascii="宋体" w:hAnsi="宋体" w:cs="宋体"/>
          <w:color w:val="auto"/>
          <w:szCs w:val="21"/>
          <w:highlight w:val="none"/>
          <w:lang w:eastAsia="zh-CN"/>
        </w:rPr>
        <w:t>按照</w:t>
      </w:r>
      <w:r>
        <w:rPr>
          <w:rFonts w:hint="eastAsia" w:ascii="宋体" w:hAnsi="宋体" w:cs="宋体"/>
          <w:color w:val="auto"/>
          <w:szCs w:val="21"/>
          <w:highlight w:val="none"/>
          <w:lang w:val="en-US" w:eastAsia="zh-CN"/>
        </w:rPr>
        <w:t>审核后的上季度代理</w:t>
      </w:r>
      <w:r>
        <w:rPr>
          <w:rFonts w:hint="eastAsia" w:ascii="宋体" w:hAnsi="宋体" w:cs="宋体"/>
          <w:color w:val="auto"/>
          <w:szCs w:val="21"/>
          <w:highlight w:val="none"/>
        </w:rPr>
        <w:t>销售服务费</w:t>
      </w:r>
      <w:r>
        <w:rPr>
          <w:rFonts w:hint="eastAsia" w:ascii="宋体" w:hAnsi="宋体" w:cs="宋体"/>
          <w:color w:val="auto"/>
          <w:szCs w:val="21"/>
          <w:highlight w:val="none"/>
          <w:lang w:val="en-US" w:eastAsia="zh-CN"/>
        </w:rPr>
        <w:t>的85</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进行支付；</w:t>
      </w:r>
    </w:p>
    <w:p w14:paraId="4A293BA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③剩余代理销售服务费</w:t>
      </w:r>
      <w:r>
        <w:rPr>
          <w:rFonts w:hint="eastAsia" w:ascii="宋体" w:hAnsi="宋体" w:eastAsia="宋体" w:cs="宋体"/>
          <w:color w:val="auto"/>
          <w:szCs w:val="21"/>
          <w:highlight w:val="none"/>
          <w:lang w:val="en-US" w:eastAsia="zh-CN"/>
        </w:rPr>
        <w:t>在大产权证办理完成，并办理完毕已售房源100%业主的交付工作后支付（非</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lang w:val="en-US" w:eastAsia="zh-CN"/>
        </w:rPr>
        <w:t>原因导致交付工作未完成时可由双方另行协商）。</w:t>
      </w:r>
    </w:p>
    <w:p w14:paraId="312F588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2、房票房源手续办理服务费</w:t>
      </w:r>
      <w:r>
        <w:rPr>
          <w:rFonts w:hint="eastAsia" w:ascii="宋体" w:hAnsi="宋体" w:eastAsia="宋体" w:cs="宋体"/>
          <w:b/>
          <w:bCs/>
          <w:color w:val="auto"/>
          <w:szCs w:val="21"/>
          <w:highlight w:val="none"/>
          <w:lang w:val="en-US" w:eastAsia="zh-CN"/>
        </w:rPr>
        <w:t>支付方式</w:t>
      </w:r>
      <w:r>
        <w:rPr>
          <w:rFonts w:hint="eastAsia" w:ascii="宋体" w:hAnsi="宋体" w:cs="宋体"/>
          <w:b/>
          <w:bCs/>
          <w:color w:val="auto"/>
          <w:szCs w:val="21"/>
          <w:highlight w:val="none"/>
          <w:lang w:val="en-US" w:eastAsia="zh-CN"/>
        </w:rPr>
        <w:t>[每季度房票房源手续办理服务费</w:t>
      </w:r>
      <w:r>
        <w:rPr>
          <w:rFonts w:hint="eastAsia" w:ascii="宋体" w:hAnsi="宋体" w:eastAsia="宋体" w:cs="宋体"/>
          <w:b/>
          <w:bCs/>
          <w:color w:val="auto"/>
          <w:szCs w:val="21"/>
          <w:highlight w:val="none"/>
          <w:lang w:val="en-US" w:eastAsia="zh-CN"/>
        </w:rPr>
        <w:t>按</w:t>
      </w:r>
      <w:r>
        <w:rPr>
          <w:rFonts w:hint="eastAsia" w:ascii="宋体" w:hAnsi="宋体" w:cs="宋体"/>
          <w:b/>
          <w:bCs/>
          <w:color w:val="auto"/>
          <w:szCs w:val="21"/>
          <w:highlight w:val="none"/>
          <w:lang w:val="en-US" w:eastAsia="zh-CN"/>
        </w:rPr>
        <w:t>该</w:t>
      </w:r>
      <w:r>
        <w:rPr>
          <w:rFonts w:hint="eastAsia" w:ascii="宋体" w:hAnsi="宋体" w:eastAsia="宋体" w:cs="宋体"/>
          <w:b/>
          <w:bCs/>
          <w:color w:val="auto"/>
          <w:szCs w:val="21"/>
          <w:highlight w:val="none"/>
          <w:lang w:val="en-US" w:eastAsia="zh-CN"/>
        </w:rPr>
        <w:t>季度实际房票房源手续办理数量（套数）×</w:t>
      </w:r>
      <w:r>
        <w:rPr>
          <w:rFonts w:hint="eastAsia" w:ascii="宋体" w:hAnsi="宋体" w:cs="宋体"/>
          <w:b/>
          <w:bCs/>
          <w:color w:val="auto"/>
          <w:szCs w:val="21"/>
          <w:highlight w:val="none"/>
          <w:lang w:val="en-US" w:eastAsia="zh-CN"/>
        </w:rPr>
        <w:t>对应</w:t>
      </w:r>
      <w:r>
        <w:rPr>
          <w:rFonts w:hint="eastAsia" w:ascii="宋体" w:hAnsi="宋体" w:eastAsia="宋体" w:cs="宋体"/>
          <w:b/>
          <w:bCs/>
          <w:color w:val="auto"/>
          <w:szCs w:val="21"/>
          <w:highlight w:val="none"/>
          <w:lang w:val="en-US" w:eastAsia="zh-CN"/>
        </w:rPr>
        <w:t>中标单价计算</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lang w:val="en-US" w:eastAsia="zh-CN"/>
        </w:rPr>
        <w:t>：</w:t>
      </w:r>
    </w:p>
    <w:p w14:paraId="1D2BF56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①房票房源手续办理服务费每季度结算一次，乙方在上季度结束后按相关办理数据（经甲方审核确认）向甲方申请支付上一季度的房票房源手续办理服务费（办理数据</w:t>
      </w:r>
      <w:r>
        <w:rPr>
          <w:rFonts w:hint="eastAsia" w:ascii="宋体" w:hAnsi="宋体" w:cs="宋体"/>
          <w:color w:val="auto"/>
          <w:szCs w:val="21"/>
          <w:highlight w:val="none"/>
          <w:lang w:val="en-US" w:eastAsia="zh-CN"/>
        </w:rPr>
        <w:t>截止到上</w:t>
      </w:r>
      <w:r>
        <w:rPr>
          <w:rFonts w:hint="eastAsia" w:ascii="宋体" w:hAnsi="宋体" w:eastAsia="宋体" w:cs="宋体"/>
          <w:color w:val="auto"/>
          <w:szCs w:val="21"/>
          <w:highlight w:val="none"/>
          <w:lang w:val="en-US" w:eastAsia="zh-CN"/>
        </w:rPr>
        <w:t>季度月最后一个日历天北京时间24：00点整），甲方按照审核后的上季度房票房源手续办理服务费的90%进行支付；</w:t>
      </w:r>
    </w:p>
    <w:p w14:paraId="498434F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②剩余房票房源手续办理服务费在大产权证办理完成，并办理完毕已售房源100%业主的交付工作后支付（非乙方原因导致交付工作未完成时可由双方另行协商）。</w:t>
      </w:r>
    </w:p>
    <w:p w14:paraId="6EB4FBDF">
      <w:pPr>
        <w:keepNext w:val="0"/>
        <w:keepLines w:val="0"/>
        <w:pageBreakBefore w:val="0"/>
        <w:widowControl w:val="0"/>
        <w:kinsoku/>
        <w:wordWrap/>
        <w:overflowPunct/>
        <w:topLinePunct w:val="0"/>
        <w:autoSpaceDE/>
        <w:autoSpaceDN/>
        <w:bidi w:val="0"/>
        <w:spacing w:line="440" w:lineRule="exact"/>
        <w:ind w:firstLine="422" w:firstLineChars="200"/>
        <w:jc w:val="both"/>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val="en-US" w:eastAsia="zh-CN"/>
        </w:rPr>
        <w:t>注：（1）</w:t>
      </w:r>
      <w:r>
        <w:rPr>
          <w:rFonts w:hint="eastAsia" w:ascii="宋体" w:hAnsi="宋体" w:eastAsia="宋体"/>
          <w:b/>
          <w:bCs/>
          <w:color w:val="auto"/>
          <w:sz w:val="21"/>
          <w:szCs w:val="21"/>
          <w:highlight w:val="none"/>
        </w:rPr>
        <w:t>上述销售金额是指已到甲方财务实际账户金额</w:t>
      </w:r>
      <w:r>
        <w:rPr>
          <w:rFonts w:hint="eastAsia" w:ascii="宋体" w:hAnsi="宋体" w:eastAsia="宋体"/>
          <w:b/>
          <w:bCs/>
          <w:color w:val="auto"/>
          <w:sz w:val="21"/>
          <w:szCs w:val="21"/>
          <w:highlight w:val="none"/>
          <w:lang w:val="en-US" w:eastAsia="zh-CN"/>
        </w:rPr>
        <w:t>（不含定向房票房源及政府回购部分）</w:t>
      </w:r>
      <w:r>
        <w:rPr>
          <w:rFonts w:hint="eastAsia" w:ascii="宋体" w:hAnsi="宋体" w:eastAsia="宋体"/>
          <w:b/>
          <w:bCs/>
          <w:color w:val="auto"/>
          <w:sz w:val="21"/>
          <w:szCs w:val="21"/>
          <w:highlight w:val="none"/>
        </w:rPr>
        <w:t>。</w:t>
      </w:r>
    </w:p>
    <w:p w14:paraId="59B85B6D">
      <w:pPr>
        <w:keepNext w:val="0"/>
        <w:keepLines w:val="0"/>
        <w:pageBreakBefore w:val="0"/>
        <w:widowControl w:val="0"/>
        <w:kinsoku/>
        <w:wordWrap/>
        <w:overflowPunct/>
        <w:topLinePunct w:val="0"/>
        <w:autoSpaceDE/>
        <w:autoSpaceDN/>
        <w:bidi w:val="0"/>
        <w:spacing w:line="440" w:lineRule="exact"/>
        <w:ind w:firstLine="422" w:firstLineChars="200"/>
        <w:jc w:val="both"/>
        <w:textAlignment w:val="auto"/>
        <w:rPr>
          <w:rFonts w:hint="eastAsia" w:ascii="宋体" w:hAnsi="宋体"/>
          <w:b/>
          <w:bCs/>
          <w:color w:val="auto"/>
          <w:sz w:val="21"/>
          <w:szCs w:val="21"/>
          <w:highlight w:val="none"/>
          <w:lang w:eastAsia="zh-CN"/>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lang w:eastAsia="zh-CN"/>
        </w:rPr>
        <w:t>每期付款前，</w:t>
      </w:r>
      <w:r>
        <w:rPr>
          <w:rFonts w:hint="eastAsia" w:ascii="宋体" w:hAnsi="宋体"/>
          <w:b/>
          <w:bCs/>
          <w:color w:val="auto"/>
          <w:sz w:val="21"/>
          <w:szCs w:val="21"/>
          <w:highlight w:val="none"/>
          <w:lang w:val="en-US" w:eastAsia="zh-CN"/>
        </w:rPr>
        <w:t>乙方</w:t>
      </w:r>
      <w:r>
        <w:rPr>
          <w:rFonts w:hint="eastAsia" w:ascii="宋体" w:hAnsi="宋体"/>
          <w:b/>
          <w:bCs/>
          <w:color w:val="auto"/>
          <w:sz w:val="21"/>
          <w:szCs w:val="21"/>
          <w:highlight w:val="none"/>
          <w:lang w:eastAsia="zh-CN"/>
        </w:rPr>
        <w:t>应提供</w:t>
      </w:r>
      <w:r>
        <w:rPr>
          <w:rFonts w:hint="eastAsia" w:ascii="宋体" w:hAnsi="宋体"/>
          <w:b/>
          <w:bCs/>
          <w:color w:val="auto"/>
          <w:sz w:val="21"/>
          <w:szCs w:val="21"/>
          <w:highlight w:val="none"/>
          <w:lang w:val="en-US" w:eastAsia="zh-CN"/>
        </w:rPr>
        <w:t>经甲方</w:t>
      </w:r>
      <w:r>
        <w:rPr>
          <w:rFonts w:hint="eastAsia" w:ascii="宋体" w:hAnsi="宋体"/>
          <w:b/>
          <w:bCs/>
          <w:color w:val="auto"/>
          <w:sz w:val="21"/>
          <w:szCs w:val="21"/>
          <w:highlight w:val="none"/>
          <w:lang w:eastAsia="zh-CN"/>
        </w:rPr>
        <w:t>审核确认的增值税专用发票金额，税金由</w:t>
      </w:r>
      <w:r>
        <w:rPr>
          <w:rFonts w:hint="eastAsia" w:ascii="宋体" w:hAnsi="宋体"/>
          <w:b/>
          <w:bCs/>
          <w:color w:val="auto"/>
          <w:sz w:val="21"/>
          <w:szCs w:val="21"/>
          <w:highlight w:val="none"/>
          <w:lang w:val="en-US" w:eastAsia="zh-CN"/>
        </w:rPr>
        <w:t>甲方</w:t>
      </w:r>
      <w:r>
        <w:rPr>
          <w:rFonts w:hint="eastAsia" w:ascii="宋体" w:hAnsi="宋体"/>
          <w:b/>
          <w:bCs/>
          <w:color w:val="auto"/>
          <w:sz w:val="21"/>
          <w:szCs w:val="21"/>
          <w:highlight w:val="none"/>
          <w:lang w:eastAsia="zh-CN"/>
        </w:rPr>
        <w:t>承担。</w:t>
      </w:r>
    </w:p>
    <w:p w14:paraId="080EEB72">
      <w:pPr>
        <w:keepNext w:val="0"/>
        <w:keepLines w:val="0"/>
        <w:pageBreakBefore w:val="0"/>
        <w:widowControl w:val="0"/>
        <w:kinsoku/>
        <w:wordWrap/>
        <w:overflowPunct/>
        <w:topLinePunct w:val="0"/>
        <w:autoSpaceDE/>
        <w:autoSpaceDN/>
        <w:bidi w:val="0"/>
        <w:spacing w:line="440" w:lineRule="exact"/>
        <w:ind w:firstLine="422" w:firstLineChars="200"/>
        <w:jc w:val="both"/>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lang w:eastAsia="zh-CN"/>
        </w:rPr>
        <w:t>）</w:t>
      </w:r>
      <w:r>
        <w:rPr>
          <w:rFonts w:hint="eastAsia" w:ascii="宋体" w:hAnsi="宋体" w:eastAsia="宋体"/>
          <w:b/>
          <w:bCs/>
          <w:color w:val="auto"/>
          <w:sz w:val="21"/>
          <w:szCs w:val="21"/>
          <w:highlight w:val="none"/>
        </w:rPr>
        <w:t>所有款项乙方在每次申请支付后10个工作日</w:t>
      </w:r>
      <w:r>
        <w:rPr>
          <w:rFonts w:hint="eastAsia" w:ascii="宋体" w:hAnsi="宋体"/>
          <w:b/>
          <w:bCs/>
          <w:color w:val="auto"/>
          <w:sz w:val="21"/>
          <w:szCs w:val="21"/>
          <w:highlight w:val="none"/>
          <w:lang w:val="en-US" w:eastAsia="zh-CN"/>
        </w:rPr>
        <w:t>内</w:t>
      </w:r>
      <w:r>
        <w:rPr>
          <w:rFonts w:hint="eastAsia" w:ascii="宋体" w:hAnsi="宋体" w:eastAsia="宋体"/>
          <w:b/>
          <w:bCs/>
          <w:color w:val="auto"/>
          <w:sz w:val="21"/>
          <w:szCs w:val="21"/>
          <w:highlight w:val="none"/>
        </w:rPr>
        <w:t>，由甲方以转账方式支付给乙方</w:t>
      </w:r>
      <w:r>
        <w:rPr>
          <w:rFonts w:hint="eastAsia" w:ascii="宋体" w:hAnsi="宋体" w:eastAsia="宋体"/>
          <w:color w:val="auto"/>
          <w:sz w:val="21"/>
          <w:szCs w:val="21"/>
          <w:highlight w:val="none"/>
        </w:rPr>
        <w:t>，</w:t>
      </w:r>
      <w:r>
        <w:rPr>
          <w:rFonts w:hint="eastAsia" w:ascii="宋体" w:hAnsi="宋体" w:eastAsia="宋体"/>
          <w:b/>
          <w:bCs/>
          <w:color w:val="auto"/>
          <w:sz w:val="21"/>
          <w:szCs w:val="21"/>
          <w:highlight w:val="none"/>
        </w:rPr>
        <w:t>须</w:t>
      </w:r>
      <w:bookmarkStart w:id="149" w:name="_Hlk76324521"/>
      <w:r>
        <w:rPr>
          <w:rFonts w:hint="eastAsia" w:ascii="宋体" w:hAnsi="宋体" w:eastAsia="宋体"/>
          <w:b/>
          <w:bCs/>
          <w:color w:val="auto"/>
          <w:sz w:val="21"/>
          <w:szCs w:val="21"/>
          <w:highlight w:val="none"/>
        </w:rPr>
        <w:t>向甲方提供有效的增值税专用发票。</w:t>
      </w:r>
      <w:bookmarkEnd w:id="149"/>
      <w:r>
        <w:rPr>
          <w:rFonts w:hint="eastAsia" w:ascii="宋体" w:hAnsi="宋体" w:eastAsia="宋体"/>
          <w:b/>
          <w:bCs/>
          <w:color w:val="auto"/>
          <w:sz w:val="21"/>
          <w:szCs w:val="21"/>
          <w:highlight w:val="none"/>
        </w:rPr>
        <w:t>此项目发生的与本合同执行有关的一切税费均由乙方负担。</w:t>
      </w:r>
    </w:p>
    <w:p w14:paraId="6DDC6584">
      <w:pPr>
        <w:keepNext w:val="0"/>
        <w:keepLines w:val="0"/>
        <w:pageBreakBefore w:val="0"/>
        <w:widowControl w:val="0"/>
        <w:kinsoku/>
        <w:wordWrap/>
        <w:overflowPunct/>
        <w:topLinePunct w:val="0"/>
        <w:autoSpaceDE/>
        <w:autoSpaceDN/>
        <w:bidi w:val="0"/>
        <w:adjustRightInd w:val="0"/>
        <w:spacing w:line="440" w:lineRule="exact"/>
        <w:ind w:firstLine="420" w:firstLineChars="200"/>
        <w:jc w:val="both"/>
        <w:textAlignment w:val="auto"/>
        <w:rPr>
          <w:rFonts w:hint="eastAsia" w:ascii="宋体" w:eastAsia="宋体"/>
          <w:color w:val="auto"/>
          <w:sz w:val="21"/>
          <w:szCs w:val="21"/>
          <w:highlight w:val="none"/>
          <w:u w:val="single"/>
          <w:lang w:eastAsia="zh-CN"/>
        </w:rPr>
      </w:pPr>
      <w:r>
        <w:rPr>
          <w:rFonts w:hint="eastAsia" w:ascii="宋体" w:eastAsia="宋体"/>
          <w:color w:val="auto"/>
          <w:sz w:val="21"/>
          <w:szCs w:val="21"/>
          <w:highlight w:val="none"/>
        </w:rPr>
        <w:t>乙方户名：</w:t>
      </w:r>
      <w:r>
        <w:rPr>
          <w:rFonts w:ascii="宋体" w:eastAsia="宋体"/>
          <w:color w:val="auto"/>
          <w:sz w:val="21"/>
          <w:szCs w:val="21"/>
          <w:highlight w:val="none"/>
          <w:u w:val="single"/>
        </w:rPr>
        <w:t xml:space="preserve">                                   </w:t>
      </w:r>
      <w:r>
        <w:rPr>
          <w:rFonts w:hint="eastAsia" w:ascii="宋体"/>
          <w:color w:val="auto"/>
          <w:sz w:val="21"/>
          <w:szCs w:val="21"/>
          <w:highlight w:val="none"/>
          <w:u w:val="single"/>
          <w:lang w:val="en-US" w:eastAsia="zh-CN"/>
        </w:rPr>
        <w:t xml:space="preserve"> </w:t>
      </w:r>
    </w:p>
    <w:p w14:paraId="4E8792F2">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乙方开户银行：</w:t>
      </w:r>
      <w:r>
        <w:rPr>
          <w:rFonts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14:paraId="4DE958A1">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乙方账号：</w:t>
      </w:r>
      <w:r>
        <w:rPr>
          <w:rFonts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14:paraId="3AAEF49C">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b/>
          <w:bCs/>
          <w:color w:val="auto"/>
          <w:sz w:val="21"/>
          <w:szCs w:val="21"/>
          <w:highlight w:val="none"/>
          <w:lang w:val="zh-TW" w:eastAsia="zh-TW"/>
        </w:rPr>
      </w:pPr>
      <w:r>
        <w:rPr>
          <w:rFonts w:hint="eastAsia" w:ascii="宋体" w:hAnsi="宋体" w:eastAsia="宋体"/>
          <w:b/>
          <w:bCs/>
          <w:color w:val="auto"/>
          <w:sz w:val="21"/>
          <w:szCs w:val="21"/>
          <w:highlight w:val="none"/>
          <w:lang w:val="zh-TW" w:eastAsia="zh-TW"/>
        </w:rPr>
        <w:t>第</w:t>
      </w:r>
      <w:r>
        <w:rPr>
          <w:rFonts w:hint="eastAsia" w:ascii="宋体" w:hAnsi="宋体" w:eastAsia="宋体"/>
          <w:b/>
          <w:bCs/>
          <w:color w:val="auto"/>
          <w:sz w:val="21"/>
          <w:szCs w:val="21"/>
          <w:highlight w:val="none"/>
          <w:lang w:val="en-US" w:eastAsia="zh-CN"/>
        </w:rPr>
        <w:t>七</w:t>
      </w:r>
      <w:r>
        <w:rPr>
          <w:rFonts w:hint="eastAsia" w:ascii="宋体" w:hAnsi="宋体" w:eastAsia="宋体"/>
          <w:b/>
          <w:bCs/>
          <w:color w:val="auto"/>
          <w:sz w:val="21"/>
          <w:szCs w:val="21"/>
          <w:highlight w:val="none"/>
          <w:lang w:val="zh-TW" w:eastAsia="zh-TW"/>
        </w:rPr>
        <w:t>条</w:t>
      </w:r>
      <w:r>
        <w:rPr>
          <w:rFonts w:hint="eastAsia" w:ascii="宋体" w:hAnsi="宋体" w:eastAsia="宋体"/>
          <w:b/>
          <w:bCs/>
          <w:color w:val="auto"/>
          <w:sz w:val="21"/>
          <w:szCs w:val="21"/>
          <w:highlight w:val="none"/>
          <w:lang w:val="zh-TW"/>
        </w:rPr>
        <w:t xml:space="preserve">  </w:t>
      </w:r>
      <w:r>
        <w:rPr>
          <w:rFonts w:hint="eastAsia" w:ascii="宋体" w:hAnsi="宋体" w:eastAsia="宋体"/>
          <w:b/>
          <w:bCs/>
          <w:color w:val="auto"/>
          <w:sz w:val="21"/>
          <w:szCs w:val="21"/>
          <w:highlight w:val="none"/>
          <w:lang w:val="zh-TW" w:eastAsia="zh-TW"/>
        </w:rPr>
        <w:t>履约保函</w:t>
      </w:r>
    </w:p>
    <w:p w14:paraId="4040261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履约</w:t>
      </w:r>
      <w:r>
        <w:rPr>
          <w:rFonts w:hint="eastAsia" w:ascii="宋体" w:hAnsi="宋体"/>
          <w:color w:val="auto"/>
          <w:szCs w:val="21"/>
          <w:highlight w:val="none"/>
          <w:lang w:eastAsia="zh-CN"/>
        </w:rPr>
        <w:t>保证金</w:t>
      </w:r>
      <w:r>
        <w:rPr>
          <w:rFonts w:hint="eastAsia" w:ascii="宋体" w:hAnsi="宋体"/>
          <w:color w:val="auto"/>
          <w:szCs w:val="21"/>
          <w:highlight w:val="none"/>
        </w:rPr>
        <w:t>金额：签约合同价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暂定）的1%</w:t>
      </w:r>
      <w:r>
        <w:rPr>
          <w:rFonts w:hint="eastAsia" w:ascii="宋体" w:hAnsi="宋体"/>
          <w:color w:val="auto"/>
          <w:szCs w:val="21"/>
          <w:highlight w:val="none"/>
        </w:rPr>
        <w:t>；</w:t>
      </w:r>
    </w:p>
    <w:p w14:paraId="56181DE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缴纳方式：</w:t>
      </w:r>
      <w:r>
        <w:rPr>
          <w:rFonts w:hint="eastAsia" w:ascii="宋体" w:hAnsi="宋体" w:cs="宋体"/>
          <w:color w:val="auto"/>
          <w:szCs w:val="21"/>
          <w:highlight w:val="none"/>
          <w:lang w:val="en-US" w:eastAsia="zh-CN"/>
        </w:rPr>
        <w:t>现金或</w:t>
      </w:r>
      <w:r>
        <w:rPr>
          <w:rFonts w:hint="eastAsia" w:ascii="宋体" w:hAnsi="宋体"/>
          <w:color w:val="auto"/>
          <w:szCs w:val="21"/>
          <w:highlight w:val="none"/>
          <w:lang w:val="en-US" w:eastAsia="zh-CN"/>
        </w:rPr>
        <w:t>银行保函或工程综合保险合同或担保保函（由政策融资担保有限公司出具，格式按担保公司规定执行）</w:t>
      </w:r>
      <w:r>
        <w:rPr>
          <w:rFonts w:hint="eastAsia" w:ascii="宋体" w:hAnsi="宋体"/>
          <w:color w:val="auto"/>
          <w:szCs w:val="21"/>
          <w:highlight w:val="none"/>
        </w:rPr>
        <w:t>；</w:t>
      </w:r>
    </w:p>
    <w:p w14:paraId="525F9D4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缴纳时间：合同签订后一个月以内；</w:t>
      </w:r>
    </w:p>
    <w:p w14:paraId="0122DDF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szCs w:val="21"/>
          <w:highlight w:val="none"/>
        </w:rPr>
        <w:t>履约</w:t>
      </w:r>
      <w:r>
        <w:rPr>
          <w:rFonts w:hint="eastAsia" w:ascii="宋体" w:hAnsi="宋体"/>
          <w:color w:val="auto"/>
          <w:szCs w:val="21"/>
          <w:highlight w:val="none"/>
          <w:lang w:eastAsia="zh-CN"/>
        </w:rPr>
        <w:t>保证金</w:t>
      </w:r>
      <w:r>
        <w:rPr>
          <w:rFonts w:hint="eastAsia" w:ascii="宋体" w:hAnsi="宋体"/>
          <w:color w:val="auto"/>
          <w:szCs w:val="21"/>
          <w:highlight w:val="none"/>
          <w:lang w:val="en-US" w:eastAsia="zh-CN"/>
        </w:rPr>
        <w:t>的</w:t>
      </w:r>
      <w:r>
        <w:rPr>
          <w:rFonts w:hint="eastAsia" w:ascii="宋体" w:hAnsi="宋体"/>
          <w:color w:val="auto"/>
          <w:szCs w:val="21"/>
          <w:highlight w:val="none"/>
        </w:rPr>
        <w:t>退还：服务期结束后15天内一次性无息退还。</w:t>
      </w:r>
    </w:p>
    <w:p w14:paraId="671D55E2">
      <w:pPr>
        <w:keepNext w:val="0"/>
        <w:keepLines w:val="0"/>
        <w:pageBreakBefore w:val="0"/>
        <w:widowControl w:val="0"/>
        <w:kinsoku/>
        <w:wordWrap/>
        <w:overflowPunct/>
        <w:topLinePunct w:val="0"/>
        <w:autoSpaceDE/>
        <w:autoSpaceDN/>
        <w:bidi w:val="0"/>
        <w:spacing w:line="440" w:lineRule="exact"/>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第</w:t>
      </w:r>
      <w:r>
        <w:rPr>
          <w:rFonts w:hint="eastAsia" w:ascii="宋体" w:hAnsi="宋体"/>
          <w:b/>
          <w:bCs/>
          <w:color w:val="auto"/>
          <w:sz w:val="21"/>
          <w:szCs w:val="21"/>
          <w:highlight w:val="none"/>
          <w:lang w:val="en-US" w:eastAsia="zh-CN"/>
        </w:rPr>
        <w:t>八</w:t>
      </w:r>
      <w:r>
        <w:rPr>
          <w:rFonts w:hint="eastAsia" w:ascii="宋体" w:hAnsi="宋体" w:eastAsia="宋体"/>
          <w:b/>
          <w:bCs/>
          <w:color w:val="auto"/>
          <w:sz w:val="21"/>
          <w:szCs w:val="21"/>
          <w:highlight w:val="none"/>
        </w:rPr>
        <w:t>条 双方</w:t>
      </w:r>
      <w:bookmarkStart w:id="150" w:name="_Hlk76322215"/>
      <w:r>
        <w:rPr>
          <w:rFonts w:hint="eastAsia" w:ascii="宋体" w:hAnsi="宋体" w:eastAsia="宋体"/>
          <w:b/>
          <w:bCs/>
          <w:color w:val="auto"/>
          <w:sz w:val="21"/>
          <w:szCs w:val="21"/>
          <w:highlight w:val="none"/>
        </w:rPr>
        <w:t>责任</w:t>
      </w:r>
      <w:bookmarkEnd w:id="150"/>
      <w:r>
        <w:rPr>
          <w:rFonts w:hint="eastAsia" w:ascii="宋体" w:hAnsi="宋体" w:eastAsia="宋体"/>
          <w:b/>
          <w:bCs/>
          <w:color w:val="auto"/>
          <w:sz w:val="21"/>
          <w:szCs w:val="21"/>
          <w:highlight w:val="none"/>
        </w:rPr>
        <w:t>和义务</w:t>
      </w:r>
    </w:p>
    <w:p w14:paraId="15FCCEC3">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val="en-US" w:eastAsia="zh-CN"/>
        </w:rPr>
        <w:t>1、</w:t>
      </w:r>
      <w:r>
        <w:rPr>
          <w:rFonts w:hint="eastAsia" w:ascii="宋体" w:hAnsi="宋体" w:eastAsia="宋体"/>
          <w:b/>
          <w:bCs/>
          <w:color w:val="auto"/>
          <w:sz w:val="21"/>
          <w:szCs w:val="21"/>
          <w:highlight w:val="none"/>
        </w:rPr>
        <w:t>甲方的</w:t>
      </w:r>
      <w:bookmarkStart w:id="151" w:name="_Hlk76324558"/>
      <w:r>
        <w:rPr>
          <w:rFonts w:hint="eastAsia" w:ascii="宋体" w:hAnsi="宋体" w:eastAsia="宋体"/>
          <w:b/>
          <w:bCs/>
          <w:color w:val="auto"/>
          <w:sz w:val="21"/>
          <w:szCs w:val="21"/>
          <w:highlight w:val="none"/>
        </w:rPr>
        <w:t>责任</w:t>
      </w:r>
      <w:bookmarkEnd w:id="151"/>
      <w:r>
        <w:rPr>
          <w:rFonts w:hint="eastAsia" w:ascii="宋体" w:hAnsi="宋体" w:eastAsia="宋体"/>
          <w:b/>
          <w:bCs/>
          <w:color w:val="auto"/>
          <w:sz w:val="21"/>
          <w:szCs w:val="21"/>
          <w:highlight w:val="none"/>
        </w:rPr>
        <w:t>和义务</w:t>
      </w:r>
      <w:bookmarkStart w:id="152" w:name="_Hlk75612700"/>
    </w:p>
    <w:p w14:paraId="7124AA9A">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bookmarkStart w:id="153" w:name="_Hlk76583540"/>
      <w:r>
        <w:rPr>
          <w:rFonts w:hint="eastAsia" w:ascii="宋体" w:hAnsi="宋体"/>
          <w:color w:val="auto"/>
          <w:sz w:val="21"/>
          <w:szCs w:val="21"/>
          <w:highlight w:val="none"/>
          <w:lang w:val="en-US" w:eastAsia="zh-CN"/>
        </w:rPr>
        <w:t>①</w:t>
      </w:r>
      <w:r>
        <w:rPr>
          <w:rFonts w:hint="eastAsia" w:ascii="宋体" w:hAnsi="宋体" w:eastAsia="宋体"/>
          <w:color w:val="auto"/>
          <w:sz w:val="21"/>
          <w:szCs w:val="21"/>
          <w:highlight w:val="none"/>
        </w:rPr>
        <w:t>确保</w:t>
      </w:r>
      <w:bookmarkStart w:id="154" w:name="_Hlk76295623"/>
      <w:bookmarkStart w:id="155" w:name="_Hlk76321090"/>
      <w:r>
        <w:rPr>
          <w:rFonts w:hint="eastAsia" w:ascii="宋体" w:hAnsi="宋体" w:eastAsia="宋体"/>
          <w:color w:val="auto"/>
          <w:sz w:val="21"/>
          <w:szCs w:val="21"/>
          <w:highlight w:val="none"/>
        </w:rPr>
        <w:t>本项目</w:t>
      </w:r>
      <w:bookmarkEnd w:id="154"/>
      <w:r>
        <w:rPr>
          <w:rFonts w:hint="eastAsia" w:ascii="宋体" w:hAnsi="宋体" w:eastAsia="宋体"/>
          <w:color w:val="auto"/>
          <w:sz w:val="21"/>
          <w:szCs w:val="21"/>
          <w:highlight w:val="none"/>
        </w:rPr>
        <w:t>的</w:t>
      </w:r>
      <w:bookmarkEnd w:id="155"/>
      <w:r>
        <w:rPr>
          <w:rFonts w:hint="eastAsia" w:ascii="宋体" w:hAnsi="宋体" w:eastAsia="宋体"/>
          <w:color w:val="auto"/>
          <w:sz w:val="21"/>
          <w:szCs w:val="21"/>
          <w:highlight w:val="none"/>
        </w:rPr>
        <w:t>合法开发，并向乙方提供本项目相关有效资料的复印件，并及时通报施工计划、施工进度、房屋交付期、合同承诺等与本项目有关的重要事项与相关资料；</w:t>
      </w:r>
    </w:p>
    <w:p w14:paraId="12B5E19B">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②</w:t>
      </w:r>
      <w:r>
        <w:rPr>
          <w:rFonts w:hint="eastAsia" w:ascii="宋体" w:hAnsi="宋体" w:eastAsia="宋体"/>
          <w:color w:val="auto"/>
          <w:sz w:val="21"/>
          <w:szCs w:val="21"/>
          <w:highlight w:val="none"/>
        </w:rPr>
        <w:t>对乙方提交的相关报告进行签收确认，并须在5个工作日内给予确认或提出修改意见，否则视为甲方认可；</w:t>
      </w:r>
    </w:p>
    <w:p w14:paraId="2A8AEF7F">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③</w:t>
      </w:r>
      <w:r>
        <w:rPr>
          <w:rFonts w:hint="eastAsia" w:ascii="宋体" w:hAnsi="宋体" w:eastAsia="宋体"/>
          <w:color w:val="auto"/>
          <w:sz w:val="21"/>
          <w:szCs w:val="21"/>
          <w:highlight w:val="none"/>
        </w:rPr>
        <w:t>按合同约定向乙方支付代理销售服务费。</w:t>
      </w:r>
    </w:p>
    <w:bookmarkEnd w:id="152"/>
    <w:p w14:paraId="26F69EB8">
      <w:pPr>
        <w:keepNext w:val="0"/>
        <w:keepLines w:val="0"/>
        <w:pageBreakBefore w:val="0"/>
        <w:widowControl w:val="0"/>
        <w:kinsoku/>
        <w:wordWrap/>
        <w:overflowPunct/>
        <w:topLinePunct w:val="0"/>
        <w:autoSpaceDE/>
        <w:autoSpaceDN/>
        <w:bidi w:val="0"/>
        <w:spacing w:line="440" w:lineRule="exact"/>
        <w:ind w:firstLine="422" w:firstLineChars="200"/>
        <w:jc w:val="both"/>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val="en-US" w:eastAsia="zh-CN"/>
        </w:rPr>
        <w:t>2、</w:t>
      </w:r>
      <w:r>
        <w:rPr>
          <w:rFonts w:hint="eastAsia" w:ascii="宋体" w:hAnsi="宋体" w:eastAsia="宋体"/>
          <w:b/>
          <w:bCs/>
          <w:color w:val="auto"/>
          <w:sz w:val="21"/>
          <w:szCs w:val="21"/>
          <w:highlight w:val="none"/>
        </w:rPr>
        <w:t>乙方的责任和义务</w:t>
      </w:r>
    </w:p>
    <w:p w14:paraId="4DCC8082">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①</w:t>
      </w:r>
      <w:r>
        <w:rPr>
          <w:rFonts w:hint="eastAsia" w:ascii="宋体" w:hAnsi="宋体" w:eastAsia="宋体"/>
          <w:color w:val="auto"/>
          <w:sz w:val="21"/>
          <w:szCs w:val="21"/>
          <w:highlight w:val="none"/>
        </w:rPr>
        <w:t>乙方开展的所有营销工作，应符合甲方的相关工作规范与要求，相关规定与要求在乙方签署后视为乙方知晓并同意遵照执行；</w:t>
      </w:r>
    </w:p>
    <w:p w14:paraId="358093FF">
      <w:pPr>
        <w:keepNext w:val="0"/>
        <w:keepLines w:val="0"/>
        <w:pageBreakBefore w:val="0"/>
        <w:widowControl w:val="0"/>
        <w:kinsoku/>
        <w:wordWrap/>
        <w:overflowPunct/>
        <w:topLinePunct w:val="0"/>
        <w:autoSpaceDE/>
        <w:autoSpaceDN/>
        <w:bidi w:val="0"/>
        <w:spacing w:line="440" w:lineRule="exact"/>
        <w:ind w:firstLine="412" w:firstLineChars="200"/>
        <w:jc w:val="both"/>
        <w:textAlignment w:val="auto"/>
        <w:rPr>
          <w:rFonts w:ascii="宋体" w:hAnsi="宋体" w:eastAsia="宋体"/>
          <w:color w:val="auto"/>
          <w:sz w:val="21"/>
          <w:szCs w:val="21"/>
          <w:highlight w:val="none"/>
        </w:rPr>
      </w:pPr>
      <w:r>
        <w:rPr>
          <w:rFonts w:hint="eastAsia" w:ascii="宋体" w:hAnsi="宋体"/>
          <w:color w:val="auto"/>
          <w:spacing w:val="-2"/>
          <w:sz w:val="21"/>
          <w:szCs w:val="21"/>
          <w:highlight w:val="none"/>
          <w:lang w:val="en-US" w:eastAsia="zh-CN"/>
        </w:rPr>
        <w:t>②</w:t>
      </w:r>
      <w:r>
        <w:rPr>
          <w:rFonts w:hint="eastAsia" w:ascii="宋体" w:hAnsi="宋体" w:eastAsia="宋体"/>
          <w:color w:val="auto"/>
          <w:spacing w:val="-2"/>
          <w:sz w:val="21"/>
          <w:szCs w:val="21"/>
          <w:highlight w:val="none"/>
        </w:rPr>
        <w:t>乙方需认真、负责、高效地完成合同所约定的工作。根据甲方要求及时汇报工作的完成情况，</w:t>
      </w:r>
      <w:r>
        <w:rPr>
          <w:rFonts w:hint="eastAsia" w:ascii="宋体" w:hAnsi="宋体" w:eastAsia="宋体"/>
          <w:color w:val="auto"/>
          <w:sz w:val="21"/>
          <w:szCs w:val="21"/>
          <w:highlight w:val="none"/>
        </w:rPr>
        <w:t>确保各项工作顺利推进，工作计划、工作成果按双方约定的时间提交；</w:t>
      </w:r>
    </w:p>
    <w:p w14:paraId="0D69106B">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③</w:t>
      </w:r>
      <w:r>
        <w:rPr>
          <w:rFonts w:hint="eastAsia" w:ascii="宋体" w:hAnsi="宋体" w:eastAsia="宋体"/>
          <w:color w:val="auto"/>
          <w:sz w:val="21"/>
          <w:szCs w:val="21"/>
          <w:highlight w:val="none"/>
        </w:rPr>
        <w:t>乙方负责</w:t>
      </w:r>
      <w:bookmarkStart w:id="156" w:name="_Hlk76323466"/>
      <w:r>
        <w:rPr>
          <w:rFonts w:hint="eastAsia" w:ascii="宋体" w:hAnsi="宋体" w:eastAsia="宋体"/>
          <w:color w:val="auto"/>
          <w:sz w:val="21"/>
          <w:szCs w:val="21"/>
          <w:highlight w:val="none"/>
        </w:rPr>
        <w:t>派出</w:t>
      </w:r>
      <w:bookmarkEnd w:id="156"/>
      <w:r>
        <w:rPr>
          <w:rFonts w:hint="eastAsia" w:ascii="宋体" w:hAnsi="宋体" w:eastAsia="宋体"/>
          <w:color w:val="auto"/>
          <w:sz w:val="21"/>
          <w:szCs w:val="21"/>
          <w:highlight w:val="none"/>
        </w:rPr>
        <w:t>本项目的驻场销售团队，包括但不仅限于：</w:t>
      </w:r>
      <w:bookmarkStart w:id="157" w:name="_Hlk76323391"/>
      <w:r>
        <w:rPr>
          <w:rFonts w:hint="eastAsia" w:ascii="宋体" w:hAnsi="宋体" w:eastAsia="宋体"/>
          <w:color w:val="auto"/>
          <w:sz w:val="21"/>
          <w:szCs w:val="21"/>
          <w:highlight w:val="none"/>
        </w:rPr>
        <w:t>专案</w:t>
      </w:r>
      <w:bookmarkEnd w:id="157"/>
      <w:r>
        <w:rPr>
          <w:rFonts w:hint="eastAsia" w:ascii="宋体" w:hAnsi="宋体" w:eastAsia="宋体"/>
          <w:color w:val="auto"/>
          <w:sz w:val="21"/>
          <w:szCs w:val="21"/>
          <w:highlight w:val="none"/>
        </w:rPr>
        <w:t>经理、专案主管、专案内勤、置业顾问，派出后台广告策划工作组、市场研究工作组；</w:t>
      </w:r>
    </w:p>
    <w:p w14:paraId="49D3D4AC">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④</w:t>
      </w:r>
      <w:r>
        <w:rPr>
          <w:rFonts w:hint="eastAsia" w:ascii="宋体" w:hAnsi="宋体" w:eastAsia="宋体"/>
          <w:color w:val="auto"/>
          <w:sz w:val="21"/>
          <w:szCs w:val="21"/>
          <w:highlight w:val="none"/>
        </w:rPr>
        <w:t>乙方团队成员若因能力或工作态度不适应，甲方有权要求更换，在甲方提出更换要求后经双方协商确实需要更换的，乙方须在1</w:t>
      </w:r>
      <w:r>
        <w:rPr>
          <w:rFonts w:ascii="宋体" w:hAnsi="宋体" w:eastAsia="宋体"/>
          <w:color w:val="auto"/>
          <w:sz w:val="21"/>
          <w:szCs w:val="21"/>
          <w:highlight w:val="none"/>
        </w:rPr>
        <w:t>5</w:t>
      </w:r>
      <w:r>
        <w:rPr>
          <w:rFonts w:hint="eastAsia" w:ascii="宋体" w:hAnsi="宋体" w:eastAsia="宋体"/>
          <w:color w:val="auto"/>
          <w:sz w:val="21"/>
          <w:szCs w:val="21"/>
          <w:highlight w:val="none"/>
        </w:rPr>
        <w:t>个工作日内完成人员更换工作；</w:t>
      </w:r>
    </w:p>
    <w:p w14:paraId="68DCF9B9">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⑤</w:t>
      </w:r>
      <w:r>
        <w:rPr>
          <w:rFonts w:hint="eastAsia" w:ascii="宋体" w:hAnsi="宋体" w:eastAsia="宋体"/>
          <w:color w:val="auto"/>
          <w:sz w:val="21"/>
          <w:szCs w:val="21"/>
          <w:highlight w:val="none"/>
        </w:rPr>
        <w:t>在</w:t>
      </w:r>
      <w:bookmarkStart w:id="158" w:name="_Hlk76321499"/>
      <w:r>
        <w:rPr>
          <w:rFonts w:hint="eastAsia" w:ascii="宋体" w:hAnsi="宋体" w:eastAsia="宋体"/>
          <w:color w:val="auto"/>
          <w:sz w:val="21"/>
          <w:szCs w:val="21"/>
          <w:highlight w:val="none"/>
        </w:rPr>
        <w:t>本项目</w:t>
      </w:r>
      <w:bookmarkEnd w:id="158"/>
      <w:r>
        <w:rPr>
          <w:rFonts w:hint="eastAsia" w:ascii="宋体" w:hAnsi="宋体" w:eastAsia="宋体"/>
          <w:color w:val="auto"/>
          <w:sz w:val="21"/>
          <w:szCs w:val="21"/>
          <w:highlight w:val="none"/>
        </w:rPr>
        <w:t>每次正式销售前，保证本项目符合商品房预售的条件并具备办理按揭贷款条件（包括银行按揭贷款和公积金贷款）</w:t>
      </w:r>
      <w:r>
        <w:rPr>
          <w:rFonts w:hint="eastAsia" w:ascii="宋体" w:hAnsi="宋体"/>
          <w:color w:val="auto"/>
          <w:sz w:val="21"/>
          <w:szCs w:val="21"/>
          <w:highlight w:val="none"/>
          <w:lang w:eastAsia="zh-CN"/>
        </w:rPr>
        <w:t>；</w:t>
      </w:r>
    </w:p>
    <w:p w14:paraId="78423335">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⑥</w:t>
      </w:r>
      <w:r>
        <w:rPr>
          <w:rFonts w:hint="eastAsia" w:ascii="宋体" w:hAnsi="宋体" w:eastAsia="宋体"/>
          <w:color w:val="auto"/>
          <w:sz w:val="21"/>
          <w:szCs w:val="21"/>
          <w:highlight w:val="none"/>
        </w:rPr>
        <w:t>派出专职人员负责客户房款收取、处理客户投诉、与房管与银行的对接工作</w:t>
      </w:r>
      <w:r>
        <w:rPr>
          <w:rFonts w:hint="eastAsia" w:ascii="宋体" w:hAnsi="宋体"/>
          <w:color w:val="auto"/>
          <w:sz w:val="21"/>
          <w:szCs w:val="21"/>
          <w:highlight w:val="none"/>
          <w:lang w:eastAsia="zh-CN"/>
        </w:rPr>
        <w:t>；</w:t>
      </w:r>
    </w:p>
    <w:p w14:paraId="53CB3DF4">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⑦</w:t>
      </w:r>
      <w:r>
        <w:rPr>
          <w:rFonts w:hint="eastAsia" w:ascii="宋体" w:hAnsi="宋体" w:eastAsia="宋体"/>
          <w:color w:val="auto"/>
          <w:sz w:val="21"/>
          <w:szCs w:val="21"/>
          <w:highlight w:val="none"/>
        </w:rPr>
        <w:t>乙方需根据市场情况，按照双方约定的</w:t>
      </w:r>
      <w:bookmarkStart w:id="159" w:name="_Hlk76324385"/>
      <w:r>
        <w:rPr>
          <w:rFonts w:hint="eastAsia" w:ascii="宋体" w:hAnsi="宋体" w:eastAsia="宋体"/>
          <w:color w:val="auto"/>
          <w:sz w:val="21"/>
          <w:szCs w:val="21"/>
          <w:highlight w:val="none"/>
        </w:rPr>
        <w:t>销售</w:t>
      </w:r>
      <w:bookmarkEnd w:id="159"/>
      <w:r>
        <w:rPr>
          <w:rFonts w:hint="eastAsia" w:ascii="宋体" w:hAnsi="宋体" w:eastAsia="宋体"/>
          <w:color w:val="auto"/>
          <w:sz w:val="21"/>
          <w:szCs w:val="21"/>
          <w:highlight w:val="none"/>
        </w:rPr>
        <w:t>计划认真完成销售任务；</w:t>
      </w:r>
    </w:p>
    <w:p w14:paraId="70954737">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cs="Times New Roman"/>
          <w:color w:val="auto"/>
          <w:sz w:val="21"/>
          <w:szCs w:val="21"/>
          <w:highlight w:val="none"/>
        </w:rPr>
      </w:pPr>
      <w:r>
        <w:rPr>
          <w:rFonts w:hint="eastAsia" w:ascii="宋体"/>
          <w:color w:val="auto"/>
          <w:sz w:val="21"/>
          <w:szCs w:val="21"/>
          <w:highlight w:val="none"/>
          <w:shd w:val="clear" w:color="auto" w:fill="FFFFFF"/>
          <w:lang w:val="en-US" w:eastAsia="zh-CN"/>
        </w:rPr>
        <w:t>⑧</w:t>
      </w:r>
      <w:r>
        <w:rPr>
          <w:rFonts w:hint="eastAsia" w:ascii="宋体" w:hAnsi="宋体" w:eastAsia="宋体" w:cs="Times New Roman"/>
          <w:color w:val="auto"/>
          <w:sz w:val="21"/>
          <w:szCs w:val="21"/>
          <w:highlight w:val="none"/>
        </w:rPr>
        <w:t>本项目所有房源的出售价格均以</w:t>
      </w:r>
      <w:r>
        <w:rPr>
          <w:rFonts w:hint="eastAsia" w:ascii="宋体" w:hAnsi="宋体" w:eastAsia="宋体" w:cs="Times New Roman"/>
          <w:color w:val="auto"/>
          <w:sz w:val="21"/>
          <w:szCs w:val="21"/>
          <w:highlight w:val="none"/>
          <w:lang w:eastAsia="zh-CN"/>
        </w:rPr>
        <w:t>甲方</w:t>
      </w:r>
      <w:r>
        <w:rPr>
          <w:rFonts w:hint="eastAsia" w:ascii="宋体" w:hAnsi="宋体" w:eastAsia="宋体" w:cs="Times New Roman"/>
          <w:color w:val="auto"/>
          <w:sz w:val="21"/>
          <w:szCs w:val="21"/>
          <w:highlight w:val="none"/>
        </w:rPr>
        <w:t>审定且书面通知的价格为准，</w:t>
      </w:r>
      <w:r>
        <w:rPr>
          <w:rFonts w:hint="eastAsia" w:ascii="宋体" w:hAnsi="宋体" w:eastAsia="宋体" w:cs="Times New Roman"/>
          <w:color w:val="auto"/>
          <w:sz w:val="21"/>
          <w:szCs w:val="21"/>
          <w:highlight w:val="none"/>
          <w:lang w:eastAsia="zh-CN"/>
        </w:rPr>
        <w:t>乙方</w:t>
      </w:r>
      <w:r>
        <w:rPr>
          <w:rFonts w:hint="eastAsia" w:ascii="宋体" w:hAnsi="宋体" w:eastAsia="宋体" w:cs="Times New Roman"/>
          <w:color w:val="auto"/>
          <w:sz w:val="21"/>
          <w:szCs w:val="21"/>
          <w:highlight w:val="none"/>
        </w:rPr>
        <w:t>不得擅自定价，不得擅自改变销售价格。</w:t>
      </w:r>
    </w:p>
    <w:p w14:paraId="69BF0EC5">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cs="Times New Roman"/>
          <w:color w:val="auto"/>
          <w:sz w:val="21"/>
          <w:szCs w:val="21"/>
          <w:highlight w:val="none"/>
          <w:shd w:val="clear" w:color="auto" w:fill="FFFFFF"/>
          <w:lang w:val="en-US" w:eastAsia="zh-CN"/>
        </w:rPr>
        <w:t>⑨</w:t>
      </w:r>
      <w:r>
        <w:rPr>
          <w:rFonts w:hint="eastAsia" w:ascii="宋体" w:hAnsi="宋体" w:eastAsia="宋体" w:cs="Times New Roman"/>
          <w:color w:val="auto"/>
          <w:sz w:val="21"/>
          <w:szCs w:val="21"/>
          <w:highlight w:val="none"/>
        </w:rPr>
        <w:t>营销方案须经</w:t>
      </w:r>
      <w:r>
        <w:rPr>
          <w:rFonts w:hint="eastAsia" w:ascii="宋体" w:hAnsi="宋体" w:eastAsia="宋体" w:cs="Times New Roman"/>
          <w:color w:val="auto"/>
          <w:sz w:val="21"/>
          <w:szCs w:val="21"/>
          <w:highlight w:val="none"/>
          <w:lang w:val="en-US" w:eastAsia="zh-CN"/>
        </w:rPr>
        <w:t>甲方</w:t>
      </w:r>
      <w:r>
        <w:rPr>
          <w:rFonts w:hint="eastAsia" w:ascii="宋体" w:hAnsi="宋体" w:eastAsia="宋体" w:cs="Times New Roman"/>
          <w:color w:val="auto"/>
          <w:sz w:val="21"/>
          <w:szCs w:val="21"/>
          <w:highlight w:val="none"/>
        </w:rPr>
        <w:t>确认</w:t>
      </w:r>
      <w:r>
        <w:rPr>
          <w:rFonts w:hint="eastAsia" w:ascii="宋体" w:hAnsi="宋体" w:eastAsia="宋体" w:cs="Times New Roman"/>
          <w:color w:val="auto"/>
          <w:sz w:val="21"/>
          <w:szCs w:val="21"/>
          <w:highlight w:val="none"/>
          <w:lang w:val="en-US" w:eastAsia="zh-CN"/>
        </w:rPr>
        <w:t>后实施，甲方对销售计划、销售活动等具有最终确认权</w:t>
      </w:r>
      <w:r>
        <w:rPr>
          <w:rFonts w:hint="eastAsia" w:ascii="宋体" w:hAnsi="宋体" w:eastAsia="宋体" w:cs="Times New Roman"/>
          <w:color w:val="auto"/>
          <w:sz w:val="21"/>
          <w:szCs w:val="21"/>
          <w:highlight w:val="none"/>
        </w:rPr>
        <w:t>。</w:t>
      </w:r>
    </w:p>
    <w:p w14:paraId="7F880288">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cs="Times New Roman"/>
          <w:color w:val="auto"/>
          <w:sz w:val="21"/>
          <w:szCs w:val="21"/>
          <w:highlight w:val="none"/>
          <w:lang w:val="en-US" w:eastAsia="zh-CN"/>
        </w:rPr>
      </w:pPr>
      <w:r>
        <w:rPr>
          <w:rFonts w:hint="eastAsia" w:ascii="宋体" w:cs="Times New Roman"/>
          <w:color w:val="auto"/>
          <w:sz w:val="21"/>
          <w:szCs w:val="21"/>
          <w:highlight w:val="none"/>
          <w:shd w:val="clear" w:color="auto" w:fill="FFFFFF"/>
          <w:lang w:val="en-US" w:eastAsia="zh-CN"/>
        </w:rPr>
        <w:t>⑩</w:t>
      </w:r>
      <w:r>
        <w:rPr>
          <w:rFonts w:hint="eastAsia" w:ascii="宋体" w:hAnsi="宋体" w:eastAsia="宋体" w:cs="Times New Roman"/>
          <w:color w:val="auto"/>
          <w:sz w:val="21"/>
          <w:szCs w:val="21"/>
          <w:highlight w:val="none"/>
        </w:rPr>
        <w:t>如遇认购者签署认购书后违约，认购者所付定金</w:t>
      </w:r>
      <w:r>
        <w:rPr>
          <w:rFonts w:hint="eastAsia" w:ascii="宋体" w:hAnsi="宋体" w:eastAsia="宋体" w:cs="Times New Roman"/>
          <w:color w:val="auto"/>
          <w:sz w:val="21"/>
          <w:szCs w:val="21"/>
          <w:highlight w:val="none"/>
          <w:lang w:val="en-US" w:eastAsia="zh-CN"/>
        </w:rPr>
        <w:t>归</w:t>
      </w:r>
      <w:r>
        <w:rPr>
          <w:rFonts w:hint="eastAsia" w:ascii="宋体" w:hAnsi="宋体" w:eastAsia="宋体" w:cs="Times New Roman"/>
          <w:color w:val="auto"/>
          <w:sz w:val="21"/>
          <w:szCs w:val="21"/>
          <w:highlight w:val="none"/>
          <w:lang w:eastAsia="zh-CN"/>
        </w:rPr>
        <w:t>甲方</w:t>
      </w:r>
      <w:r>
        <w:rPr>
          <w:rFonts w:hint="eastAsia" w:ascii="宋体" w:hAnsi="宋体" w:eastAsia="宋体" w:cs="Times New Roman"/>
          <w:color w:val="auto"/>
          <w:sz w:val="21"/>
          <w:szCs w:val="21"/>
          <w:highlight w:val="none"/>
        </w:rPr>
        <w:t>所有。</w:t>
      </w:r>
    </w:p>
    <w:bookmarkEnd w:id="153"/>
    <w:p w14:paraId="20BBA87B">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val="en-US" w:eastAsia="zh-CN"/>
        </w:rPr>
        <w:t>3、</w:t>
      </w:r>
      <w:r>
        <w:rPr>
          <w:rFonts w:hint="eastAsia" w:ascii="宋体" w:hAnsi="宋体" w:eastAsia="宋体"/>
          <w:b/>
          <w:bCs/>
          <w:color w:val="auto"/>
          <w:sz w:val="21"/>
          <w:szCs w:val="21"/>
          <w:highlight w:val="none"/>
        </w:rPr>
        <w:t>保密条款</w:t>
      </w:r>
    </w:p>
    <w:p w14:paraId="4A96E717">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①</w:t>
      </w:r>
      <w:r>
        <w:rPr>
          <w:rFonts w:hint="eastAsia" w:ascii="宋体" w:hAnsi="宋体" w:eastAsia="宋体"/>
          <w:color w:val="auto"/>
          <w:sz w:val="21"/>
          <w:szCs w:val="21"/>
          <w:highlight w:val="none"/>
        </w:rPr>
        <w:t>乙方对甲方提供的资料负有保密义务，未经甲方同意，不得向项目无关单位和个人提供有关资料。如发生以上情况，甲方有权索赔。</w:t>
      </w:r>
    </w:p>
    <w:p w14:paraId="0307ECEC">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②</w:t>
      </w:r>
      <w:r>
        <w:rPr>
          <w:rFonts w:hint="eastAsia" w:ascii="宋体" w:hAnsi="宋体" w:eastAsia="宋体"/>
          <w:color w:val="auto"/>
          <w:sz w:val="21"/>
          <w:szCs w:val="21"/>
          <w:highlight w:val="none"/>
        </w:rPr>
        <w:t>甲方有义务保护乙方的知识产权，未经乙方同意，甲方对乙方单位交付的成果文件、资料不得向第三方转让或用于本合同以外的项目。如发生以上情况，乙方有权索赔。</w:t>
      </w:r>
    </w:p>
    <w:p w14:paraId="39BA7FA9">
      <w:pPr>
        <w:keepNext w:val="0"/>
        <w:keepLines w:val="0"/>
        <w:pageBreakBefore w:val="0"/>
        <w:widowControl w:val="0"/>
        <w:kinsoku/>
        <w:wordWrap/>
        <w:overflowPunct/>
        <w:topLinePunct w:val="0"/>
        <w:autoSpaceDE/>
        <w:autoSpaceDN/>
        <w:bidi w:val="0"/>
        <w:spacing w:line="440" w:lineRule="exact"/>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第</w:t>
      </w:r>
      <w:r>
        <w:rPr>
          <w:rFonts w:hint="eastAsia" w:ascii="宋体" w:hAnsi="宋体"/>
          <w:b/>
          <w:bCs/>
          <w:color w:val="auto"/>
          <w:sz w:val="21"/>
          <w:szCs w:val="21"/>
          <w:highlight w:val="none"/>
          <w:lang w:val="en-US" w:eastAsia="zh-CN"/>
        </w:rPr>
        <w:t>九</w:t>
      </w:r>
      <w:r>
        <w:rPr>
          <w:rFonts w:hint="eastAsia" w:ascii="宋体" w:hAnsi="宋体" w:eastAsia="宋体"/>
          <w:b/>
          <w:bCs/>
          <w:color w:val="auto"/>
          <w:sz w:val="21"/>
          <w:szCs w:val="21"/>
          <w:highlight w:val="none"/>
        </w:rPr>
        <w:t>条 违约责任</w:t>
      </w:r>
    </w:p>
    <w:p w14:paraId="330F9171">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项目开盘之日起至12个月止，已取证商品房销售率未达到50％，</w:t>
      </w:r>
      <w:r>
        <w:rPr>
          <w:rFonts w:hint="eastAsia" w:ascii="宋体" w:hAnsi="宋体"/>
          <w:color w:val="auto"/>
          <w:szCs w:val="21"/>
          <w:highlight w:val="none"/>
        </w:rPr>
        <w:t>扣除履约</w:t>
      </w:r>
      <w:r>
        <w:rPr>
          <w:rFonts w:hint="eastAsia" w:ascii="宋体" w:hAnsi="宋体"/>
          <w:color w:val="auto"/>
          <w:szCs w:val="21"/>
          <w:highlight w:val="none"/>
          <w:lang w:eastAsia="zh-CN"/>
        </w:rPr>
        <w:t>保证金</w:t>
      </w:r>
      <w:r>
        <w:rPr>
          <w:rFonts w:hint="eastAsia" w:ascii="宋体" w:hAnsi="宋体"/>
          <w:color w:val="auto"/>
          <w:szCs w:val="21"/>
          <w:highlight w:val="none"/>
        </w:rPr>
        <w:t>作为</w:t>
      </w:r>
      <w:r>
        <w:rPr>
          <w:rFonts w:hint="eastAsia" w:ascii="宋体" w:hAnsi="宋体"/>
          <w:color w:val="auto"/>
          <w:szCs w:val="21"/>
          <w:highlight w:val="none"/>
          <w:lang w:eastAsia="zh-CN"/>
        </w:rPr>
        <w:t>违约金</w:t>
      </w:r>
      <w:r>
        <w:rPr>
          <w:rFonts w:hint="eastAsia" w:ascii="宋体" w:hAnsi="宋体"/>
          <w:color w:val="auto"/>
          <w:szCs w:val="21"/>
          <w:highlight w:val="none"/>
        </w:rPr>
        <w:t>，且</w:t>
      </w:r>
      <w:r>
        <w:rPr>
          <w:rFonts w:hint="eastAsia" w:ascii="宋体" w:hAnsi="宋体"/>
          <w:color w:val="auto"/>
          <w:szCs w:val="21"/>
          <w:highlight w:val="none"/>
          <w:lang w:val="en-US" w:eastAsia="zh-CN"/>
        </w:rPr>
        <w:t>甲方</w:t>
      </w:r>
      <w:r>
        <w:rPr>
          <w:rFonts w:hint="eastAsia" w:ascii="宋体" w:hAnsi="宋体"/>
          <w:color w:val="auto"/>
          <w:szCs w:val="21"/>
          <w:highlight w:val="none"/>
        </w:rPr>
        <w:t>根据情况有权单方面解除合同。若</w:t>
      </w:r>
      <w:r>
        <w:rPr>
          <w:rFonts w:hint="eastAsia" w:ascii="宋体" w:hAnsi="宋体"/>
          <w:color w:val="auto"/>
          <w:szCs w:val="21"/>
          <w:highlight w:val="none"/>
          <w:lang w:val="en-US" w:eastAsia="zh-CN"/>
        </w:rPr>
        <w:t>甲方</w:t>
      </w:r>
      <w:r>
        <w:rPr>
          <w:rFonts w:hint="eastAsia" w:ascii="宋体" w:hAnsi="宋体"/>
          <w:color w:val="auto"/>
          <w:szCs w:val="21"/>
          <w:highlight w:val="none"/>
        </w:rPr>
        <w:t>解除合同，</w:t>
      </w:r>
      <w:r>
        <w:rPr>
          <w:rFonts w:hint="eastAsia" w:ascii="宋体" w:hAnsi="宋体"/>
          <w:color w:val="auto"/>
          <w:szCs w:val="21"/>
          <w:highlight w:val="none"/>
          <w:lang w:val="en-US" w:eastAsia="zh-CN"/>
        </w:rPr>
        <w:t>此前季度考核后剩余的服务费予以结清</w:t>
      </w:r>
      <w:r>
        <w:rPr>
          <w:rFonts w:hint="eastAsia" w:ascii="宋体" w:hAnsi="宋体"/>
          <w:color w:val="auto"/>
          <w:szCs w:val="21"/>
          <w:highlight w:val="none"/>
        </w:rPr>
        <w:t>，</w:t>
      </w:r>
      <w:r>
        <w:rPr>
          <w:rFonts w:hint="eastAsia" w:ascii="宋体" w:hAnsi="宋体"/>
          <w:color w:val="auto"/>
          <w:szCs w:val="21"/>
          <w:highlight w:val="none"/>
          <w:lang w:val="en-US" w:eastAsia="zh-CN"/>
        </w:rPr>
        <w:t>乙方</w:t>
      </w:r>
      <w:r>
        <w:rPr>
          <w:rFonts w:hint="eastAsia" w:ascii="宋体" w:hAnsi="宋体"/>
          <w:color w:val="auto"/>
          <w:szCs w:val="21"/>
          <w:highlight w:val="none"/>
        </w:rPr>
        <w:t>须延续服务至下一销售团队进场为止，在此期间</w:t>
      </w:r>
      <w:r>
        <w:rPr>
          <w:rFonts w:hint="eastAsia" w:ascii="宋体" w:hAnsi="宋体"/>
          <w:color w:val="auto"/>
          <w:szCs w:val="21"/>
          <w:highlight w:val="none"/>
          <w:lang w:val="en-US" w:eastAsia="zh-CN"/>
        </w:rPr>
        <w:t>乙方</w:t>
      </w:r>
      <w:r>
        <w:rPr>
          <w:rFonts w:hint="eastAsia" w:ascii="宋体" w:hAnsi="宋体"/>
          <w:color w:val="auto"/>
          <w:szCs w:val="21"/>
          <w:highlight w:val="none"/>
        </w:rPr>
        <w:t>产生的服务费按合同约定予以支付。</w:t>
      </w:r>
    </w:p>
    <w:p w14:paraId="2AED2A1B">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乙方未能按本合同规定的服务时间（以甲方书面通知时间为准）提供服务，从逾期之日起每日按</w:t>
      </w:r>
      <w:r>
        <w:rPr>
          <w:rFonts w:ascii="宋体" w:hAnsi="宋体" w:eastAsia="宋体"/>
          <w:color w:val="auto"/>
          <w:sz w:val="21"/>
          <w:szCs w:val="21"/>
          <w:highlight w:val="none"/>
        </w:rPr>
        <w:t>10000</w:t>
      </w:r>
      <w:r>
        <w:rPr>
          <w:rFonts w:hint="eastAsia" w:ascii="宋体" w:hAnsi="宋体" w:eastAsia="宋体"/>
          <w:color w:val="auto"/>
          <w:sz w:val="21"/>
          <w:szCs w:val="21"/>
          <w:highlight w:val="none"/>
        </w:rPr>
        <w:t>元向甲方支付违约金；逾期3</w:t>
      </w:r>
      <w:r>
        <w:rPr>
          <w:rFonts w:ascii="宋体" w:hAnsi="宋体" w:eastAsia="宋体"/>
          <w:color w:val="auto"/>
          <w:sz w:val="21"/>
          <w:szCs w:val="21"/>
          <w:highlight w:val="none"/>
        </w:rPr>
        <w:t>0</w:t>
      </w:r>
      <w:r>
        <w:rPr>
          <w:rFonts w:hint="eastAsia" w:ascii="宋体" w:hAnsi="宋体" w:eastAsia="宋体"/>
          <w:color w:val="auto"/>
          <w:sz w:val="21"/>
          <w:szCs w:val="21"/>
          <w:highlight w:val="none"/>
        </w:rPr>
        <w:t>日以上的，</w:t>
      </w:r>
      <w:bookmarkStart w:id="160" w:name="_Hlk76671926"/>
      <w:r>
        <w:rPr>
          <w:rFonts w:hint="eastAsia" w:ascii="宋体" w:hAnsi="宋体" w:eastAsia="宋体"/>
          <w:color w:val="auto"/>
          <w:sz w:val="21"/>
          <w:szCs w:val="21"/>
          <w:highlight w:val="none"/>
        </w:rPr>
        <w:t>甲方有权终止合同，</w:t>
      </w:r>
      <w:bookmarkEnd w:id="160"/>
      <w:bookmarkStart w:id="161" w:name="_Hlk76672232"/>
      <w:r>
        <w:rPr>
          <w:rFonts w:hint="eastAsia" w:ascii="宋体" w:hAnsi="宋体" w:eastAsia="宋体"/>
          <w:color w:val="auto"/>
          <w:sz w:val="21"/>
          <w:szCs w:val="21"/>
          <w:highlight w:val="none"/>
        </w:rPr>
        <w:t>由此造成的甲方经济</w:t>
      </w:r>
      <w:bookmarkStart w:id="162" w:name="_Hlk76672486"/>
      <w:r>
        <w:rPr>
          <w:rFonts w:hint="eastAsia" w:ascii="宋体" w:hAnsi="宋体" w:eastAsia="宋体"/>
          <w:color w:val="auto"/>
          <w:sz w:val="21"/>
          <w:szCs w:val="21"/>
          <w:highlight w:val="none"/>
        </w:rPr>
        <w:t>损失</w:t>
      </w:r>
      <w:bookmarkEnd w:id="161"/>
      <w:bookmarkEnd w:id="162"/>
      <w:r>
        <w:rPr>
          <w:rFonts w:hint="eastAsia" w:ascii="宋体" w:hAnsi="宋体" w:eastAsia="宋体"/>
          <w:color w:val="auto"/>
          <w:sz w:val="21"/>
          <w:szCs w:val="21"/>
          <w:highlight w:val="none"/>
        </w:rPr>
        <w:t>由乙方承担。</w:t>
      </w:r>
    </w:p>
    <w:p w14:paraId="51805DA9">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未经甲方同意乙方不得私自将该服务转包第三方完成。如私自转包，则处本合同总价</w:t>
      </w:r>
      <w:r>
        <w:rPr>
          <w:rFonts w:ascii="宋体" w:hAnsi="宋体" w:eastAsia="宋体"/>
          <w:color w:val="auto"/>
          <w:sz w:val="21"/>
          <w:szCs w:val="21"/>
          <w:highlight w:val="none"/>
          <w:u w:val="single"/>
        </w:rPr>
        <w:t xml:space="preserve"> 5 </w:t>
      </w:r>
      <w:r>
        <w:rPr>
          <w:rFonts w:hint="eastAsia" w:ascii="宋体" w:hAnsi="宋体" w:eastAsia="宋体"/>
          <w:color w:val="auto"/>
          <w:sz w:val="21"/>
          <w:szCs w:val="21"/>
          <w:highlight w:val="none"/>
        </w:rPr>
        <w:t>%的违约金。且甲方有权</w:t>
      </w:r>
      <w:bookmarkStart w:id="163" w:name="_Hlk76672873"/>
      <w:r>
        <w:rPr>
          <w:rFonts w:hint="eastAsia" w:ascii="宋体" w:hAnsi="宋体" w:eastAsia="宋体"/>
          <w:color w:val="auto"/>
          <w:sz w:val="21"/>
          <w:szCs w:val="21"/>
          <w:highlight w:val="none"/>
        </w:rPr>
        <w:t>单方</w:t>
      </w:r>
      <w:bookmarkEnd w:id="163"/>
      <w:r>
        <w:rPr>
          <w:rFonts w:hint="eastAsia" w:ascii="宋体" w:hAnsi="宋体" w:eastAsia="宋体"/>
          <w:color w:val="auto"/>
          <w:sz w:val="21"/>
          <w:szCs w:val="21"/>
          <w:highlight w:val="none"/>
        </w:rPr>
        <w:t>面</w:t>
      </w:r>
      <w:bookmarkStart w:id="164" w:name="_Hlk76672533"/>
      <w:r>
        <w:rPr>
          <w:rFonts w:hint="eastAsia" w:ascii="宋体" w:hAnsi="宋体" w:eastAsia="宋体"/>
          <w:color w:val="auto"/>
          <w:sz w:val="21"/>
          <w:szCs w:val="21"/>
          <w:highlight w:val="none"/>
        </w:rPr>
        <w:t>终止</w:t>
      </w:r>
      <w:bookmarkEnd w:id="164"/>
      <w:r>
        <w:rPr>
          <w:rFonts w:hint="eastAsia" w:ascii="宋体" w:hAnsi="宋体" w:eastAsia="宋体"/>
          <w:color w:val="auto"/>
          <w:sz w:val="21"/>
          <w:szCs w:val="21"/>
          <w:highlight w:val="none"/>
        </w:rPr>
        <w:t>合同，由此造成甲方损失的全部由乙方承担。</w:t>
      </w:r>
    </w:p>
    <w:p w14:paraId="5131816B">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bookmarkStart w:id="165" w:name="_Hlk76673163"/>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eastAsia" w:ascii="宋体" w:hAnsi="宋体" w:eastAsia="宋体"/>
          <w:bCs/>
          <w:color w:val="auto"/>
          <w:sz w:val="21"/>
          <w:szCs w:val="21"/>
          <w:highlight w:val="none"/>
        </w:rPr>
        <w:t>因乙方不具备服务条件或丧失服务能力原因造成合同无法继续履行</w:t>
      </w:r>
      <w:bookmarkStart w:id="166" w:name="_Hlk76671792"/>
      <w:r>
        <w:rPr>
          <w:rFonts w:hint="eastAsia" w:ascii="宋体" w:hAnsi="宋体" w:eastAsia="宋体"/>
          <w:bCs/>
          <w:color w:val="auto"/>
          <w:sz w:val="21"/>
          <w:szCs w:val="21"/>
          <w:highlight w:val="none"/>
        </w:rPr>
        <w:t>的，</w:t>
      </w:r>
      <w:bookmarkEnd w:id="166"/>
      <w:r>
        <w:rPr>
          <w:rFonts w:hint="eastAsia" w:ascii="宋体" w:hAnsi="宋体" w:eastAsia="宋体"/>
          <w:color w:val="auto"/>
          <w:sz w:val="21"/>
          <w:szCs w:val="21"/>
          <w:highlight w:val="none"/>
        </w:rPr>
        <w:t>甲方有权单方终止合同。甲方除不退还</w:t>
      </w:r>
      <w:bookmarkStart w:id="167" w:name="_Hlk76672284"/>
      <w:r>
        <w:rPr>
          <w:rFonts w:hint="eastAsia" w:ascii="宋体" w:hAnsi="宋体" w:eastAsia="宋体"/>
          <w:color w:val="auto"/>
          <w:sz w:val="21"/>
          <w:szCs w:val="21"/>
          <w:highlight w:val="none"/>
        </w:rPr>
        <w:t>乙方履约保证金</w:t>
      </w:r>
      <w:bookmarkEnd w:id="167"/>
      <w:r>
        <w:rPr>
          <w:rFonts w:hint="eastAsia" w:ascii="宋体" w:hAnsi="宋体" w:eastAsia="宋体"/>
          <w:color w:val="auto"/>
          <w:sz w:val="21"/>
          <w:szCs w:val="21"/>
          <w:highlight w:val="none"/>
        </w:rPr>
        <w:t>，不再支付后续</w:t>
      </w:r>
      <w:r>
        <w:rPr>
          <w:rFonts w:hint="eastAsia" w:ascii="宋体" w:hAnsi="宋体" w:eastAsia="宋体"/>
          <w:bCs/>
          <w:color w:val="auto"/>
          <w:sz w:val="21"/>
          <w:szCs w:val="21"/>
          <w:highlight w:val="none"/>
        </w:rPr>
        <w:t>代理销售服务费外，甲方损失</w:t>
      </w:r>
      <w:bookmarkStart w:id="168" w:name="_Hlk76673015"/>
      <w:r>
        <w:rPr>
          <w:rFonts w:hint="eastAsia" w:ascii="宋体" w:hAnsi="宋体" w:eastAsia="宋体"/>
          <w:bCs/>
          <w:color w:val="auto"/>
          <w:sz w:val="21"/>
          <w:szCs w:val="21"/>
          <w:highlight w:val="none"/>
        </w:rPr>
        <w:t>超过履约保证金</w:t>
      </w:r>
      <w:bookmarkEnd w:id="168"/>
      <w:bookmarkStart w:id="169" w:name="_Hlk76672925"/>
      <w:r>
        <w:rPr>
          <w:rFonts w:hint="eastAsia" w:ascii="宋体" w:hAnsi="宋体" w:eastAsia="宋体"/>
          <w:bCs/>
          <w:color w:val="auto"/>
          <w:sz w:val="21"/>
          <w:szCs w:val="21"/>
          <w:highlight w:val="none"/>
        </w:rPr>
        <w:t>的，乙方还应继续承担超过部分的甲方损失</w:t>
      </w:r>
      <w:bookmarkEnd w:id="169"/>
      <w:r>
        <w:rPr>
          <w:rFonts w:hint="eastAsia" w:ascii="宋体" w:hAnsi="宋体" w:eastAsia="宋体"/>
          <w:bCs/>
          <w:color w:val="auto"/>
          <w:sz w:val="21"/>
          <w:szCs w:val="21"/>
          <w:highlight w:val="none"/>
        </w:rPr>
        <w:t>。</w:t>
      </w:r>
    </w:p>
    <w:p w14:paraId="0F3ED293">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bCs/>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eastAsia="宋体"/>
          <w:bCs/>
          <w:color w:val="auto"/>
          <w:sz w:val="21"/>
          <w:szCs w:val="21"/>
          <w:highlight w:val="none"/>
        </w:rPr>
        <w:t>因乙方超越甲方确定的营销方案和说辞、虚假宣传或承诺而引起的相关赔偿责任和相关赔偿费用由乙方承担，乙方须在相应范围内消除影响，并承担因此给甲方造成的损失。</w:t>
      </w:r>
    </w:p>
    <w:p w14:paraId="6AB56045">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乙方的工作成果如侵犯他人任何权利，由此引起的法律责任由乙方自行承担，与甲方无关，如造成甲方损失的，由乙方负责赔偿。</w:t>
      </w:r>
    </w:p>
    <w:p w14:paraId="0F43BB4A">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（7）</w:t>
      </w:r>
      <w:r>
        <w:rPr>
          <w:rFonts w:hint="eastAsia" w:ascii="宋体" w:hAnsi="宋体" w:eastAsia="宋体"/>
          <w:color w:val="auto"/>
          <w:sz w:val="21"/>
          <w:szCs w:val="21"/>
          <w:highlight w:val="none"/>
          <w:lang w:val="en-US" w:eastAsia="zh-CN"/>
        </w:rPr>
        <w:t>乙方如在收到甲方书面整改意见后3个工作日内仍未实施整改或未按要求整改到位的，每次处以1万元/次违约金。</w:t>
      </w:r>
    </w:p>
    <w:p w14:paraId="75C295AB">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其它违约责任按《中华人民共和国民法典》处理。</w:t>
      </w:r>
    </w:p>
    <w:p w14:paraId="6D82F3BE">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注：违约金从履约保证金中进行扣除，扣除后乙方须在15日内补足履约保证金，否则甲方</w:t>
      </w:r>
      <w:r>
        <w:rPr>
          <w:rFonts w:hint="eastAsia" w:ascii="宋体" w:hAnsi="宋体"/>
          <w:color w:val="auto"/>
          <w:sz w:val="21"/>
          <w:szCs w:val="21"/>
          <w:highlight w:val="none"/>
          <w:lang w:eastAsia="zh-CN"/>
        </w:rPr>
        <w:t>有权单方面解除合同，</w:t>
      </w:r>
      <w:r>
        <w:rPr>
          <w:rFonts w:hint="eastAsia" w:ascii="宋体" w:hAnsi="宋体"/>
          <w:color w:val="auto"/>
          <w:sz w:val="21"/>
          <w:szCs w:val="21"/>
          <w:highlight w:val="none"/>
          <w:lang w:val="en-US" w:eastAsia="zh-CN"/>
        </w:rPr>
        <w:t>由此造成的责任及损失由乙方承担</w:t>
      </w:r>
      <w:r>
        <w:rPr>
          <w:rFonts w:hint="eastAsia" w:ascii="宋体" w:hAnsi="宋体" w:eastAsia="宋体"/>
          <w:color w:val="auto"/>
          <w:sz w:val="21"/>
          <w:szCs w:val="21"/>
          <w:highlight w:val="none"/>
          <w:lang w:val="en-US" w:eastAsia="zh-CN"/>
        </w:rPr>
        <w:t>。</w:t>
      </w:r>
    </w:p>
    <w:bookmarkEnd w:id="165"/>
    <w:p w14:paraId="7B414E05">
      <w:pPr>
        <w:keepNext w:val="0"/>
        <w:keepLines w:val="0"/>
        <w:pageBreakBefore w:val="0"/>
        <w:widowControl w:val="0"/>
        <w:kinsoku/>
        <w:wordWrap/>
        <w:overflowPunct/>
        <w:topLinePunct w:val="0"/>
        <w:autoSpaceDE/>
        <w:autoSpaceDN/>
        <w:bidi w:val="0"/>
        <w:adjustRightInd w:val="0"/>
        <w:spacing w:line="440" w:lineRule="exact"/>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第</w:t>
      </w:r>
      <w:r>
        <w:rPr>
          <w:rFonts w:hint="eastAsia" w:ascii="宋体" w:hAnsi="宋体"/>
          <w:b/>
          <w:bCs/>
          <w:color w:val="auto"/>
          <w:sz w:val="21"/>
          <w:szCs w:val="21"/>
          <w:highlight w:val="none"/>
          <w:lang w:val="en-US" w:eastAsia="zh-CN"/>
        </w:rPr>
        <w:t>十</w:t>
      </w:r>
      <w:r>
        <w:rPr>
          <w:rFonts w:hint="eastAsia" w:ascii="宋体" w:hAnsi="宋体" w:eastAsia="宋体"/>
          <w:b/>
          <w:bCs/>
          <w:color w:val="auto"/>
          <w:sz w:val="21"/>
          <w:szCs w:val="21"/>
          <w:highlight w:val="none"/>
        </w:rPr>
        <w:t>条 补充条款</w:t>
      </w:r>
    </w:p>
    <w:p w14:paraId="1D45105E">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1</w:t>
      </w:r>
      <w:r>
        <w:rPr>
          <w:rFonts w:hint="eastAsia" w:ascii="宋体" w:hAnsi="宋体"/>
          <w:b/>
          <w:bCs/>
          <w:color w:val="auto"/>
          <w:sz w:val="21"/>
          <w:szCs w:val="21"/>
          <w:highlight w:val="none"/>
          <w:lang w:eastAsia="zh-CN"/>
        </w:rPr>
        <w:t>）</w:t>
      </w:r>
      <w:r>
        <w:rPr>
          <w:rFonts w:hint="eastAsia" w:ascii="宋体" w:hAnsi="宋体" w:eastAsia="宋体"/>
          <w:b/>
          <w:bCs/>
          <w:color w:val="auto"/>
          <w:sz w:val="21"/>
          <w:szCs w:val="21"/>
          <w:highlight w:val="none"/>
        </w:rPr>
        <w:t>知识产权归属</w:t>
      </w:r>
    </w:p>
    <w:p w14:paraId="2516A09D">
      <w:pPr>
        <w:keepNext w:val="0"/>
        <w:keepLines w:val="0"/>
        <w:pageBreakBefore w:val="0"/>
        <w:widowControl w:val="0"/>
        <w:kinsoku/>
        <w:wordWrap/>
        <w:overflowPunct/>
        <w:topLinePunct w:val="0"/>
        <w:autoSpaceDE/>
        <w:autoSpaceDN/>
        <w:bidi w:val="0"/>
        <w:adjustRightInd w:val="0"/>
        <w:spacing w:line="440" w:lineRule="exact"/>
        <w:ind w:firstLine="420" w:firstLineChars="200"/>
        <w:jc w:val="both"/>
        <w:textAlignment w:val="auto"/>
        <w:rPr>
          <w:rFonts w:ascii="宋体" w:eastAsia="宋体"/>
          <w:color w:val="auto"/>
          <w:sz w:val="21"/>
          <w:szCs w:val="21"/>
          <w:highlight w:val="none"/>
        </w:rPr>
      </w:pPr>
      <w:r>
        <w:rPr>
          <w:rFonts w:hint="eastAsia" w:ascii="宋体" w:eastAsia="宋体" w:cs="宋体"/>
          <w:color w:val="auto"/>
          <w:sz w:val="21"/>
          <w:szCs w:val="21"/>
          <w:highlight w:val="none"/>
        </w:rPr>
        <w:t>所有方案、建议等相关资料、成果的知识产权归甲方所有</w:t>
      </w:r>
      <w:r>
        <w:rPr>
          <w:rFonts w:hint="eastAsia" w:ascii="宋体" w:eastAsia="宋体"/>
          <w:color w:val="auto"/>
          <w:sz w:val="21"/>
          <w:szCs w:val="21"/>
          <w:highlight w:val="none"/>
        </w:rPr>
        <w:t>。</w:t>
      </w:r>
    </w:p>
    <w:p w14:paraId="1DAD0F8D">
      <w:pPr>
        <w:keepNext w:val="0"/>
        <w:keepLines w:val="0"/>
        <w:pageBreakBefore w:val="0"/>
        <w:widowControl w:val="0"/>
        <w:kinsoku/>
        <w:wordWrap/>
        <w:overflowPunct/>
        <w:topLinePunct w:val="0"/>
        <w:autoSpaceDE/>
        <w:autoSpaceDN/>
        <w:bidi w:val="0"/>
        <w:spacing w:line="440" w:lineRule="exact"/>
        <w:ind w:firstLine="422" w:firstLineChars="200"/>
        <w:jc w:val="both"/>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lang w:eastAsia="zh-CN"/>
        </w:rPr>
        <w:t>）</w:t>
      </w:r>
      <w:r>
        <w:rPr>
          <w:rFonts w:hint="eastAsia" w:ascii="宋体" w:hAnsi="宋体" w:eastAsia="宋体"/>
          <w:b/>
          <w:bCs/>
          <w:color w:val="auto"/>
          <w:sz w:val="21"/>
          <w:szCs w:val="21"/>
          <w:highlight w:val="none"/>
        </w:rPr>
        <w:t>不可抗力</w:t>
      </w:r>
    </w:p>
    <w:p w14:paraId="151E82F8">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5A501E2">
      <w:pPr>
        <w:keepNext w:val="0"/>
        <w:keepLines w:val="0"/>
        <w:pageBreakBefore w:val="0"/>
        <w:widowControl w:val="0"/>
        <w:kinsoku/>
        <w:wordWrap/>
        <w:overflowPunct/>
        <w:topLinePunct w:val="0"/>
        <w:autoSpaceDE/>
        <w:autoSpaceDN/>
        <w:bidi w:val="0"/>
        <w:spacing w:line="440" w:lineRule="exact"/>
        <w:ind w:firstLine="422" w:firstLineChars="200"/>
        <w:jc w:val="both"/>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lang w:eastAsia="zh-CN"/>
        </w:rPr>
        <w:t>）</w:t>
      </w:r>
      <w:r>
        <w:rPr>
          <w:rFonts w:hint="eastAsia" w:ascii="宋体" w:hAnsi="宋体" w:eastAsia="宋体"/>
          <w:b/>
          <w:bCs/>
          <w:color w:val="auto"/>
          <w:sz w:val="21"/>
          <w:szCs w:val="21"/>
          <w:highlight w:val="none"/>
        </w:rPr>
        <w:t>合同的终止</w:t>
      </w:r>
    </w:p>
    <w:p w14:paraId="6A85EB7E">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①</w:t>
      </w:r>
      <w:r>
        <w:rPr>
          <w:rFonts w:hint="eastAsia" w:ascii="宋体" w:hAnsi="宋体" w:eastAsia="宋体"/>
          <w:color w:val="auto"/>
          <w:sz w:val="21"/>
          <w:szCs w:val="21"/>
          <w:highlight w:val="none"/>
        </w:rPr>
        <w:t>合同期满，双方未续签的；</w:t>
      </w:r>
    </w:p>
    <w:p w14:paraId="40EDBE70">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bookmarkStart w:id="170" w:name="_Hlk76671581"/>
      <w:r>
        <w:rPr>
          <w:rFonts w:hint="eastAsia" w:ascii="宋体" w:hAnsi="宋体"/>
          <w:color w:val="auto"/>
          <w:sz w:val="21"/>
          <w:szCs w:val="21"/>
          <w:highlight w:val="none"/>
          <w:lang w:val="en-US" w:eastAsia="zh-CN"/>
        </w:rPr>
        <w:t>②</w:t>
      </w:r>
      <w:r>
        <w:rPr>
          <w:rFonts w:hint="eastAsia" w:ascii="宋体" w:hAnsi="宋体" w:eastAsia="宋体"/>
          <w:color w:val="auto"/>
          <w:sz w:val="21"/>
          <w:szCs w:val="21"/>
          <w:highlight w:val="none"/>
        </w:rPr>
        <w:t>乙方服务能力</w:t>
      </w:r>
      <w:bookmarkStart w:id="171" w:name="_Hlk76672857"/>
      <w:r>
        <w:rPr>
          <w:rFonts w:hint="eastAsia" w:ascii="宋体" w:hAnsi="宋体" w:eastAsia="宋体"/>
          <w:color w:val="auto"/>
          <w:sz w:val="21"/>
          <w:szCs w:val="21"/>
          <w:highlight w:val="none"/>
        </w:rPr>
        <w:t>丧失</w:t>
      </w:r>
      <w:bookmarkEnd w:id="171"/>
      <w:r>
        <w:rPr>
          <w:rFonts w:hint="eastAsia" w:ascii="宋体" w:hAnsi="宋体" w:eastAsia="宋体"/>
          <w:color w:val="auto"/>
          <w:sz w:val="21"/>
          <w:szCs w:val="21"/>
          <w:highlight w:val="none"/>
        </w:rPr>
        <w:t>，致使服务无法正常进行的；</w:t>
      </w:r>
      <w:bookmarkEnd w:id="170"/>
    </w:p>
    <w:p w14:paraId="2E50924B">
      <w:pPr>
        <w:keepNext w:val="0"/>
        <w:keepLines w:val="0"/>
        <w:pageBreakBefore w:val="0"/>
        <w:widowControl w:val="0"/>
        <w:kinsoku/>
        <w:wordWrap/>
        <w:overflowPunct/>
        <w:topLinePunct w:val="0"/>
        <w:autoSpaceDE/>
        <w:autoSpaceDN/>
        <w:bidi w:val="0"/>
        <w:spacing w:line="440" w:lineRule="exact"/>
        <w:ind w:firstLine="420" w:firstLineChars="200"/>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③</w:t>
      </w:r>
      <w:r>
        <w:rPr>
          <w:rFonts w:hint="eastAsia" w:ascii="宋体" w:hAnsi="宋体" w:eastAsia="宋体"/>
          <w:color w:val="auto"/>
          <w:sz w:val="21"/>
          <w:szCs w:val="21"/>
          <w:highlight w:val="none"/>
        </w:rPr>
        <w:t>在履行合同过程中，发现乙方已无承接代理销售服务</w:t>
      </w:r>
      <w:bookmarkStart w:id="172" w:name="_Hlk76671847"/>
      <w:r>
        <w:rPr>
          <w:rFonts w:hint="eastAsia" w:ascii="宋体" w:hAnsi="宋体" w:eastAsia="宋体"/>
          <w:color w:val="auto"/>
          <w:sz w:val="21"/>
          <w:szCs w:val="21"/>
          <w:highlight w:val="none"/>
        </w:rPr>
        <w:t>应具备的条件</w:t>
      </w:r>
      <w:bookmarkEnd w:id="172"/>
      <w:r>
        <w:rPr>
          <w:rFonts w:hint="eastAsia" w:ascii="宋体" w:hAnsi="宋体" w:eastAsia="宋体"/>
          <w:color w:val="auto"/>
          <w:sz w:val="21"/>
          <w:szCs w:val="21"/>
          <w:highlight w:val="none"/>
        </w:rPr>
        <w:t>、能力，</w:t>
      </w:r>
      <w:bookmarkStart w:id="173" w:name="_Hlk76671732"/>
      <w:r>
        <w:rPr>
          <w:rFonts w:hint="eastAsia" w:ascii="宋体" w:hAnsi="宋体" w:eastAsia="宋体"/>
          <w:color w:val="auto"/>
          <w:sz w:val="21"/>
          <w:szCs w:val="21"/>
          <w:highlight w:val="none"/>
        </w:rPr>
        <w:t>造成合同无法继续履行的</w:t>
      </w:r>
      <w:bookmarkEnd w:id="173"/>
      <w:r>
        <w:rPr>
          <w:rFonts w:hint="eastAsia" w:ascii="宋体" w:hAnsi="宋体" w:eastAsia="宋体"/>
          <w:color w:val="auto"/>
          <w:sz w:val="21"/>
          <w:szCs w:val="21"/>
          <w:highlight w:val="none"/>
        </w:rPr>
        <w:t>。</w:t>
      </w:r>
    </w:p>
    <w:p w14:paraId="76E49D43">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b/>
          <w:bCs/>
          <w:color w:val="auto"/>
          <w:sz w:val="21"/>
          <w:szCs w:val="21"/>
          <w:highlight w:val="none"/>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eastAsia="宋体"/>
          <w:b/>
          <w:bCs/>
          <w:color w:val="auto"/>
          <w:sz w:val="21"/>
          <w:szCs w:val="21"/>
          <w:highlight w:val="none"/>
        </w:rPr>
        <w:t>其他</w:t>
      </w:r>
    </w:p>
    <w:p w14:paraId="3387E526">
      <w:pPr>
        <w:keepNext w:val="0"/>
        <w:keepLines w:val="0"/>
        <w:pageBreakBefore w:val="0"/>
        <w:widowControl w:val="0"/>
        <w:kinsoku/>
        <w:wordWrap/>
        <w:overflowPunct/>
        <w:topLinePunct w:val="0"/>
        <w:autoSpaceDE/>
        <w:autoSpaceDN/>
        <w:bidi w:val="0"/>
        <w:spacing w:line="440" w:lineRule="exact"/>
        <w:ind w:firstLine="404" w:firstLineChars="200"/>
        <w:jc w:val="both"/>
        <w:textAlignment w:val="auto"/>
        <w:rPr>
          <w:rFonts w:ascii="宋体" w:hAnsi="宋体" w:eastAsia="宋体"/>
          <w:color w:val="auto"/>
          <w:spacing w:val="-2"/>
          <w:sz w:val="21"/>
          <w:szCs w:val="21"/>
          <w:highlight w:val="none"/>
        </w:rPr>
      </w:pPr>
      <w:r>
        <w:rPr>
          <w:rFonts w:hint="eastAsia" w:ascii="宋体" w:hAnsi="宋体"/>
          <w:color w:val="auto"/>
          <w:spacing w:val="-4"/>
          <w:sz w:val="21"/>
          <w:szCs w:val="21"/>
          <w:highlight w:val="none"/>
          <w:lang w:val="en-US" w:eastAsia="zh-CN"/>
        </w:rPr>
        <w:t>①</w:t>
      </w:r>
      <w:r>
        <w:rPr>
          <w:rFonts w:hint="eastAsia" w:ascii="宋体" w:hAnsi="宋体" w:eastAsia="宋体"/>
          <w:color w:val="auto"/>
          <w:spacing w:val="-4"/>
          <w:sz w:val="21"/>
          <w:szCs w:val="21"/>
          <w:highlight w:val="none"/>
        </w:rPr>
        <w:t>在执行本合同的过程中，所有经双方签署确认的文件（包括会议纪要、补充协议、往来信</w:t>
      </w:r>
      <w:r>
        <w:rPr>
          <w:rFonts w:hint="eastAsia" w:ascii="宋体" w:hAnsi="宋体" w:eastAsia="宋体"/>
          <w:color w:val="auto"/>
          <w:spacing w:val="-2"/>
          <w:sz w:val="21"/>
          <w:szCs w:val="21"/>
          <w:highlight w:val="none"/>
        </w:rPr>
        <w:t>函）即成为本合同的有效组成部分。</w:t>
      </w:r>
    </w:p>
    <w:p w14:paraId="0E5E9729">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②</w:t>
      </w:r>
      <w:r>
        <w:rPr>
          <w:rFonts w:hint="eastAsia" w:ascii="宋体" w:hAnsi="宋体" w:eastAsia="宋体"/>
          <w:color w:val="auto"/>
          <w:sz w:val="21"/>
          <w:szCs w:val="21"/>
          <w:highlight w:val="none"/>
        </w:rPr>
        <w:t>如一方地址、电话、传真号码发生变更，应在变更当日内书面通知对方，否则，应承担相应责任。</w:t>
      </w:r>
    </w:p>
    <w:p w14:paraId="77C206FB">
      <w:pPr>
        <w:keepNext w:val="0"/>
        <w:keepLines w:val="0"/>
        <w:pageBreakBefore w:val="0"/>
        <w:widowControl w:val="0"/>
        <w:numPr>
          <w:ilvl w:val="0"/>
          <w:numId w:val="6"/>
        </w:numPr>
        <w:kinsoku/>
        <w:wordWrap/>
        <w:overflowPunct/>
        <w:topLinePunct w:val="0"/>
        <w:autoSpaceDE/>
        <w:autoSpaceDN/>
        <w:bidi w:val="0"/>
        <w:spacing w:line="440" w:lineRule="exact"/>
        <w:textAlignment w:val="auto"/>
        <w:rPr>
          <w:rFonts w:hint="eastAsia" w:ascii="宋体" w:hAnsi="宋体" w:eastAsia="宋体"/>
          <w:color w:val="auto"/>
          <w:sz w:val="21"/>
          <w:szCs w:val="21"/>
          <w:highlight w:val="none"/>
        </w:rPr>
      </w:pPr>
      <w:r>
        <w:rPr>
          <w:rFonts w:ascii="宋体" w:hAnsi="宋体" w:eastAsia="宋体"/>
          <w:color w:val="auto"/>
          <w:kern w:val="2"/>
          <w:sz w:val="21"/>
          <w:szCs w:val="21"/>
          <w:highlight w:val="none"/>
        </w:rPr>
        <w:t>本合同一式</w:t>
      </w:r>
      <w:r>
        <w:rPr>
          <w:rFonts w:ascii="宋体" w:hAnsi="宋体" w:eastAsia="宋体"/>
          <w:b/>
          <w:color w:val="auto"/>
          <w:kern w:val="2"/>
          <w:sz w:val="21"/>
          <w:szCs w:val="21"/>
          <w:highlight w:val="none"/>
          <w:u w:val="single"/>
        </w:rPr>
        <w:t>  </w:t>
      </w:r>
      <w:r>
        <w:rPr>
          <w:rFonts w:ascii="宋体" w:hAnsi="宋体" w:eastAsia="宋体"/>
          <w:color w:val="auto"/>
          <w:kern w:val="2"/>
          <w:sz w:val="21"/>
          <w:szCs w:val="21"/>
          <w:highlight w:val="none"/>
        </w:rPr>
        <w:t>份，甲</w:t>
      </w:r>
      <w:r>
        <w:rPr>
          <w:rFonts w:hint="eastAsia" w:ascii="宋体" w:hAnsi="宋体" w:eastAsia="宋体"/>
          <w:color w:val="auto"/>
          <w:kern w:val="2"/>
          <w:sz w:val="21"/>
          <w:szCs w:val="21"/>
          <w:highlight w:val="none"/>
        </w:rPr>
        <w:t>方</w:t>
      </w:r>
      <w:r>
        <w:rPr>
          <w:rFonts w:hint="eastAsia" w:ascii="宋体" w:hAnsi="宋体"/>
          <w:color w:val="auto"/>
          <w:kern w:val="2"/>
          <w:sz w:val="21"/>
          <w:szCs w:val="21"/>
          <w:highlight w:val="none"/>
          <w:u w:val="single"/>
          <w:lang w:val="en-US" w:eastAsia="zh-CN"/>
        </w:rPr>
        <w:t xml:space="preserve">    </w:t>
      </w:r>
      <w:r>
        <w:rPr>
          <w:rFonts w:hint="eastAsia" w:ascii="宋体" w:hAnsi="宋体" w:eastAsia="宋体"/>
          <w:color w:val="auto"/>
          <w:kern w:val="2"/>
          <w:sz w:val="21"/>
          <w:szCs w:val="21"/>
          <w:highlight w:val="none"/>
        </w:rPr>
        <w:t>份</w:t>
      </w:r>
      <w:r>
        <w:rPr>
          <w:rFonts w:ascii="宋体" w:hAnsi="宋体" w:eastAsia="宋体"/>
          <w:color w:val="auto"/>
          <w:kern w:val="2"/>
          <w:sz w:val="21"/>
          <w:szCs w:val="21"/>
          <w:highlight w:val="none"/>
        </w:rPr>
        <w:t>、乙方执</w:t>
      </w:r>
      <w:r>
        <w:rPr>
          <w:rFonts w:ascii="宋体" w:hAnsi="宋体" w:eastAsia="宋体"/>
          <w:b/>
          <w:color w:val="auto"/>
          <w:kern w:val="2"/>
          <w:sz w:val="21"/>
          <w:szCs w:val="21"/>
          <w:highlight w:val="none"/>
          <w:u w:val="single"/>
        </w:rPr>
        <w:t>  </w:t>
      </w:r>
      <w:r>
        <w:rPr>
          <w:rFonts w:ascii="宋体" w:hAnsi="宋体" w:eastAsia="宋体"/>
          <w:color w:val="auto"/>
          <w:kern w:val="2"/>
          <w:sz w:val="21"/>
          <w:szCs w:val="21"/>
          <w:highlight w:val="none"/>
        </w:rPr>
        <w:t>份</w:t>
      </w:r>
      <w:r>
        <w:rPr>
          <w:rFonts w:hint="eastAsia" w:ascii="宋体" w:hAnsi="宋体" w:eastAsia="宋体"/>
          <w:color w:val="auto"/>
          <w:kern w:val="2"/>
          <w:sz w:val="21"/>
          <w:szCs w:val="21"/>
          <w:highlight w:val="none"/>
        </w:rPr>
        <w:t>。</w:t>
      </w:r>
      <w:r>
        <w:rPr>
          <w:rFonts w:hint="eastAsia" w:ascii="宋体" w:hAnsi="宋体" w:eastAsia="宋体"/>
          <w:color w:val="auto"/>
          <w:sz w:val="21"/>
          <w:szCs w:val="21"/>
          <w:highlight w:val="none"/>
        </w:rPr>
        <w:t>本合同执行过程中发生的任何争议，如双方不能通过友好协商解决，由合同签订地人民法院处理。</w:t>
      </w:r>
    </w:p>
    <w:p w14:paraId="5E507285">
      <w:pPr>
        <w:keepNext w:val="0"/>
        <w:keepLines w:val="0"/>
        <w:pageBreakBefore w:val="0"/>
        <w:widowControl w:val="0"/>
        <w:numPr>
          <w:ilvl w:val="0"/>
          <w:numId w:val="6"/>
        </w:numPr>
        <w:kinsoku/>
        <w:wordWrap/>
        <w:overflowPunct/>
        <w:topLinePunct w:val="0"/>
        <w:autoSpaceDE/>
        <w:autoSpaceDN/>
        <w:bidi w:val="0"/>
        <w:spacing w:line="440" w:lineRule="exact"/>
        <w:textAlignment w:val="auto"/>
        <w:rPr>
          <w:rFonts w:hint="eastAsia" w:ascii="宋体" w:hAnsi="宋体" w:eastAsia="宋体"/>
          <w:b/>
          <w:bCs/>
          <w:color w:val="auto"/>
          <w:sz w:val="21"/>
          <w:szCs w:val="21"/>
          <w:highlight w:val="none"/>
        </w:rPr>
      </w:pPr>
      <w:r>
        <w:rPr>
          <w:rFonts w:hint="eastAsia" w:ascii="宋体" w:hAnsi="宋体"/>
          <w:b/>
          <w:bCs/>
          <w:color w:val="auto"/>
          <w:sz w:val="21"/>
          <w:szCs w:val="21"/>
          <w:highlight w:val="none"/>
          <w:lang w:val="en-US" w:eastAsia="zh-CN"/>
        </w:rPr>
        <w:t>合同签署</w:t>
      </w:r>
    </w:p>
    <w:bookmarkEnd w:id="146"/>
    <w:tbl>
      <w:tblPr>
        <w:tblStyle w:val="51"/>
        <w:tblW w:w="9491" w:type="dxa"/>
        <w:tblInd w:w="122" w:type="dxa"/>
        <w:tblLayout w:type="fixed"/>
        <w:tblCellMar>
          <w:top w:w="0" w:type="dxa"/>
          <w:left w:w="108" w:type="dxa"/>
          <w:bottom w:w="0" w:type="dxa"/>
          <w:right w:w="108" w:type="dxa"/>
        </w:tblCellMar>
      </w:tblPr>
      <w:tblGrid>
        <w:gridCol w:w="4745"/>
        <w:gridCol w:w="4746"/>
      </w:tblGrid>
      <w:tr w14:paraId="34CF34C9">
        <w:tblPrEx>
          <w:tblCellMar>
            <w:top w:w="0" w:type="dxa"/>
            <w:left w:w="108" w:type="dxa"/>
            <w:bottom w:w="0" w:type="dxa"/>
            <w:right w:w="108" w:type="dxa"/>
          </w:tblCellMar>
        </w:tblPrEx>
        <w:trPr>
          <w:trHeight w:val="555" w:hRule="atLeast"/>
        </w:trPr>
        <w:tc>
          <w:tcPr>
            <w:tcW w:w="4745" w:type="dxa"/>
            <w:tcBorders>
              <w:top w:val="nil"/>
              <w:left w:val="nil"/>
              <w:bottom w:val="nil"/>
              <w:right w:val="nil"/>
            </w:tcBorders>
            <w:noWrap w:val="0"/>
            <w:vAlign w:val="center"/>
          </w:tcPr>
          <w:p w14:paraId="41EB5A93">
            <w:pPr>
              <w:keepNext w:val="0"/>
              <w:keepLines w:val="0"/>
              <w:widowControl w:val="0"/>
              <w:suppressLineNumbers w:val="0"/>
              <w:spacing w:before="0" w:beforeAutospacing="0" w:after="0" w:afterAutospacing="0"/>
              <w:ind w:left="0" w:right="0" w:firstLine="210" w:firstLineChars="100"/>
              <w:jc w:val="both"/>
              <w:rPr>
                <w:rFonts w:hint="eastAsia" w:ascii="宋体" w:eastAsia="宋体"/>
                <w:color w:val="auto"/>
                <w:sz w:val="21"/>
                <w:szCs w:val="21"/>
                <w:highlight w:val="none"/>
              </w:rPr>
            </w:pPr>
            <w:r>
              <w:rPr>
                <w:rFonts w:hint="eastAsia" w:ascii="宋体" w:eastAsia="宋体"/>
                <w:color w:val="auto"/>
                <w:sz w:val="21"/>
                <w:szCs w:val="21"/>
                <w:highlight w:val="none"/>
              </w:rPr>
              <w:t>甲方（签章）：</w:t>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p>
        </w:tc>
        <w:tc>
          <w:tcPr>
            <w:tcW w:w="4746" w:type="dxa"/>
            <w:tcBorders>
              <w:top w:val="nil"/>
              <w:left w:val="nil"/>
              <w:bottom w:val="nil"/>
              <w:right w:val="nil"/>
            </w:tcBorders>
            <w:noWrap w:val="0"/>
            <w:vAlign w:val="center"/>
          </w:tcPr>
          <w:p w14:paraId="52E34BDE">
            <w:pPr>
              <w:keepNext w:val="0"/>
              <w:keepLines w:val="0"/>
              <w:widowControl w:val="0"/>
              <w:suppressLineNumbers w:val="0"/>
              <w:spacing w:before="0" w:beforeAutospacing="0" w:after="0" w:afterAutospacing="0"/>
              <w:ind w:left="0" w:right="0"/>
              <w:jc w:val="both"/>
              <w:rPr>
                <w:rFonts w:hint="eastAsia" w:ascii="宋体" w:eastAsia="宋体"/>
                <w:color w:val="auto"/>
                <w:sz w:val="21"/>
                <w:szCs w:val="21"/>
                <w:highlight w:val="none"/>
              </w:rPr>
            </w:pPr>
            <w:r>
              <w:rPr>
                <w:rFonts w:hint="eastAsia" w:ascii="宋体" w:eastAsia="宋体"/>
                <w:color w:val="auto"/>
                <w:sz w:val="21"/>
                <w:szCs w:val="21"/>
                <w:highlight w:val="none"/>
              </w:rPr>
              <w:t>乙方（签章）：</w:t>
            </w:r>
          </w:p>
        </w:tc>
      </w:tr>
      <w:tr w14:paraId="16A49C2C">
        <w:tblPrEx>
          <w:tblCellMar>
            <w:top w:w="0" w:type="dxa"/>
            <w:left w:w="108" w:type="dxa"/>
            <w:bottom w:w="0" w:type="dxa"/>
            <w:right w:w="108" w:type="dxa"/>
          </w:tblCellMar>
        </w:tblPrEx>
        <w:trPr>
          <w:trHeight w:val="555" w:hRule="atLeast"/>
        </w:trPr>
        <w:tc>
          <w:tcPr>
            <w:tcW w:w="4745" w:type="dxa"/>
            <w:tcBorders>
              <w:top w:val="nil"/>
              <w:left w:val="nil"/>
              <w:bottom w:val="nil"/>
              <w:right w:val="nil"/>
            </w:tcBorders>
            <w:noWrap w:val="0"/>
            <w:vAlign w:val="center"/>
          </w:tcPr>
          <w:p w14:paraId="7B81B1F1">
            <w:pPr>
              <w:keepNext w:val="0"/>
              <w:keepLines w:val="0"/>
              <w:widowControl w:val="0"/>
              <w:suppressLineNumbers w:val="0"/>
              <w:spacing w:before="0" w:beforeAutospacing="0" w:after="0" w:afterAutospacing="0"/>
              <w:ind w:left="0" w:right="0" w:firstLine="210" w:firstLineChars="100"/>
              <w:jc w:val="both"/>
              <w:rPr>
                <w:rFonts w:hint="eastAsia" w:ascii="宋体" w:eastAsia="宋体"/>
                <w:color w:val="auto"/>
                <w:sz w:val="21"/>
                <w:szCs w:val="21"/>
                <w:highlight w:val="none"/>
              </w:rPr>
            </w:pPr>
            <w:r>
              <w:rPr>
                <w:rFonts w:hint="eastAsia" w:ascii="宋体" w:eastAsia="宋体"/>
                <w:color w:val="auto"/>
                <w:sz w:val="21"/>
                <w:szCs w:val="21"/>
                <w:highlight w:val="none"/>
              </w:rPr>
              <w:t>法定代表人（签章）：</w:t>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p>
        </w:tc>
        <w:tc>
          <w:tcPr>
            <w:tcW w:w="4746" w:type="dxa"/>
            <w:tcBorders>
              <w:top w:val="nil"/>
              <w:left w:val="nil"/>
              <w:bottom w:val="nil"/>
              <w:right w:val="nil"/>
            </w:tcBorders>
            <w:noWrap w:val="0"/>
            <w:vAlign w:val="center"/>
          </w:tcPr>
          <w:p w14:paraId="3EDF5DC6">
            <w:pPr>
              <w:keepNext w:val="0"/>
              <w:keepLines w:val="0"/>
              <w:widowControl w:val="0"/>
              <w:suppressLineNumbers w:val="0"/>
              <w:spacing w:before="0" w:beforeAutospacing="0" w:after="0" w:afterAutospacing="0"/>
              <w:ind w:left="0" w:right="0"/>
              <w:jc w:val="both"/>
              <w:rPr>
                <w:rFonts w:hint="eastAsia" w:ascii="宋体" w:eastAsia="宋体"/>
                <w:color w:val="auto"/>
                <w:sz w:val="21"/>
                <w:szCs w:val="21"/>
                <w:highlight w:val="none"/>
              </w:rPr>
            </w:pPr>
            <w:r>
              <w:rPr>
                <w:rFonts w:hint="eastAsia" w:ascii="宋体" w:eastAsia="宋体"/>
                <w:color w:val="auto"/>
                <w:sz w:val="21"/>
                <w:szCs w:val="21"/>
                <w:highlight w:val="none"/>
              </w:rPr>
              <w:t>法定代表人：（签章）</w:t>
            </w:r>
          </w:p>
        </w:tc>
      </w:tr>
      <w:tr w14:paraId="0025BD47">
        <w:tblPrEx>
          <w:tblCellMar>
            <w:top w:w="0" w:type="dxa"/>
            <w:left w:w="108" w:type="dxa"/>
            <w:bottom w:w="0" w:type="dxa"/>
            <w:right w:w="108" w:type="dxa"/>
          </w:tblCellMar>
        </w:tblPrEx>
        <w:trPr>
          <w:trHeight w:val="555" w:hRule="atLeast"/>
        </w:trPr>
        <w:tc>
          <w:tcPr>
            <w:tcW w:w="4745" w:type="dxa"/>
            <w:tcBorders>
              <w:top w:val="nil"/>
              <w:left w:val="nil"/>
              <w:bottom w:val="nil"/>
              <w:right w:val="nil"/>
            </w:tcBorders>
            <w:noWrap w:val="0"/>
            <w:vAlign w:val="center"/>
          </w:tcPr>
          <w:p w14:paraId="75888207">
            <w:pPr>
              <w:keepNext w:val="0"/>
              <w:keepLines w:val="0"/>
              <w:widowControl w:val="0"/>
              <w:suppressLineNumbers w:val="0"/>
              <w:spacing w:before="0" w:beforeAutospacing="0" w:after="0" w:afterAutospacing="0"/>
              <w:ind w:left="0" w:right="0" w:firstLine="210" w:firstLineChars="100"/>
              <w:jc w:val="both"/>
              <w:rPr>
                <w:rFonts w:hint="eastAsia" w:ascii="宋体" w:eastAsia="宋体"/>
                <w:color w:val="auto"/>
                <w:sz w:val="21"/>
                <w:szCs w:val="21"/>
                <w:highlight w:val="none"/>
              </w:rPr>
            </w:pPr>
            <w:r>
              <w:rPr>
                <w:rFonts w:hint="eastAsia" w:ascii="宋体" w:eastAsia="宋体"/>
                <w:color w:val="auto"/>
                <w:sz w:val="21"/>
                <w:szCs w:val="21"/>
                <w:highlight w:val="none"/>
              </w:rPr>
              <w:t>传真:</w:t>
            </w:r>
          </w:p>
        </w:tc>
        <w:tc>
          <w:tcPr>
            <w:tcW w:w="4746" w:type="dxa"/>
            <w:tcBorders>
              <w:top w:val="nil"/>
              <w:left w:val="nil"/>
              <w:bottom w:val="nil"/>
              <w:right w:val="nil"/>
            </w:tcBorders>
            <w:noWrap w:val="0"/>
            <w:vAlign w:val="center"/>
          </w:tcPr>
          <w:p w14:paraId="6C89E061">
            <w:pPr>
              <w:keepNext w:val="0"/>
              <w:keepLines w:val="0"/>
              <w:widowControl w:val="0"/>
              <w:suppressLineNumbers w:val="0"/>
              <w:spacing w:before="0" w:beforeAutospacing="0" w:after="0" w:afterAutospacing="0"/>
              <w:ind w:left="0" w:right="0"/>
              <w:jc w:val="both"/>
              <w:rPr>
                <w:rFonts w:hint="eastAsia" w:ascii="宋体" w:eastAsia="宋体"/>
                <w:color w:val="auto"/>
                <w:sz w:val="21"/>
                <w:szCs w:val="21"/>
                <w:highlight w:val="none"/>
              </w:rPr>
            </w:pPr>
            <w:r>
              <w:rPr>
                <w:rFonts w:hint="eastAsia" w:ascii="宋体" w:eastAsia="宋体"/>
                <w:color w:val="auto"/>
                <w:sz w:val="21"/>
                <w:szCs w:val="21"/>
                <w:highlight w:val="none"/>
              </w:rPr>
              <w:t>传真:</w:t>
            </w:r>
          </w:p>
        </w:tc>
      </w:tr>
      <w:tr w14:paraId="28B7B41D">
        <w:tblPrEx>
          <w:tblCellMar>
            <w:top w:w="0" w:type="dxa"/>
            <w:left w:w="108" w:type="dxa"/>
            <w:bottom w:w="0" w:type="dxa"/>
            <w:right w:w="108" w:type="dxa"/>
          </w:tblCellMar>
        </w:tblPrEx>
        <w:trPr>
          <w:trHeight w:val="555" w:hRule="atLeast"/>
        </w:trPr>
        <w:tc>
          <w:tcPr>
            <w:tcW w:w="4745" w:type="dxa"/>
            <w:tcBorders>
              <w:top w:val="nil"/>
              <w:left w:val="nil"/>
              <w:bottom w:val="nil"/>
              <w:right w:val="nil"/>
            </w:tcBorders>
            <w:noWrap w:val="0"/>
            <w:vAlign w:val="center"/>
          </w:tcPr>
          <w:p w14:paraId="735B7117">
            <w:pPr>
              <w:keepNext w:val="0"/>
              <w:keepLines w:val="0"/>
              <w:widowControl w:val="0"/>
              <w:suppressLineNumbers w:val="0"/>
              <w:spacing w:before="0" w:beforeAutospacing="0" w:after="0" w:afterAutospacing="0"/>
              <w:ind w:left="0" w:right="0" w:firstLine="210" w:firstLineChars="100"/>
              <w:jc w:val="both"/>
              <w:rPr>
                <w:rFonts w:hint="eastAsia" w:ascii="宋体" w:eastAsia="宋体"/>
                <w:color w:val="auto"/>
                <w:sz w:val="21"/>
                <w:szCs w:val="21"/>
                <w:highlight w:val="none"/>
              </w:rPr>
            </w:pPr>
            <w:r>
              <w:rPr>
                <w:rFonts w:hint="eastAsia" w:ascii="宋体" w:eastAsia="宋体"/>
                <w:color w:val="auto"/>
                <w:sz w:val="21"/>
                <w:szCs w:val="21"/>
                <w:highlight w:val="none"/>
              </w:rPr>
              <w:t>开户银行:</w:t>
            </w:r>
          </w:p>
        </w:tc>
        <w:tc>
          <w:tcPr>
            <w:tcW w:w="4746" w:type="dxa"/>
            <w:tcBorders>
              <w:top w:val="nil"/>
              <w:left w:val="nil"/>
              <w:bottom w:val="nil"/>
              <w:right w:val="nil"/>
            </w:tcBorders>
            <w:noWrap w:val="0"/>
            <w:vAlign w:val="center"/>
          </w:tcPr>
          <w:p w14:paraId="44E1BC90">
            <w:pPr>
              <w:keepNext w:val="0"/>
              <w:keepLines w:val="0"/>
              <w:widowControl w:val="0"/>
              <w:suppressLineNumbers w:val="0"/>
              <w:spacing w:before="0" w:beforeAutospacing="0" w:after="0" w:afterAutospacing="0"/>
              <w:ind w:left="0" w:right="0"/>
              <w:jc w:val="both"/>
              <w:rPr>
                <w:rFonts w:hint="eastAsia" w:ascii="宋体" w:eastAsia="宋体"/>
                <w:color w:val="auto"/>
                <w:sz w:val="21"/>
                <w:szCs w:val="21"/>
                <w:highlight w:val="none"/>
              </w:rPr>
            </w:pPr>
            <w:r>
              <w:rPr>
                <w:rFonts w:hint="eastAsia" w:ascii="宋体" w:eastAsia="宋体"/>
                <w:color w:val="auto"/>
                <w:sz w:val="21"/>
                <w:szCs w:val="21"/>
                <w:highlight w:val="none"/>
              </w:rPr>
              <w:t>开户银行:</w:t>
            </w:r>
          </w:p>
        </w:tc>
      </w:tr>
      <w:tr w14:paraId="68A1887F">
        <w:tblPrEx>
          <w:tblCellMar>
            <w:top w:w="0" w:type="dxa"/>
            <w:left w:w="108" w:type="dxa"/>
            <w:bottom w:w="0" w:type="dxa"/>
            <w:right w:w="108" w:type="dxa"/>
          </w:tblCellMar>
        </w:tblPrEx>
        <w:trPr>
          <w:trHeight w:val="555" w:hRule="atLeast"/>
        </w:trPr>
        <w:tc>
          <w:tcPr>
            <w:tcW w:w="4745" w:type="dxa"/>
            <w:tcBorders>
              <w:top w:val="nil"/>
              <w:left w:val="nil"/>
              <w:bottom w:val="nil"/>
              <w:right w:val="nil"/>
            </w:tcBorders>
            <w:noWrap w:val="0"/>
            <w:vAlign w:val="center"/>
          </w:tcPr>
          <w:p w14:paraId="6B6400F0">
            <w:pPr>
              <w:keepNext w:val="0"/>
              <w:keepLines w:val="0"/>
              <w:widowControl w:val="0"/>
              <w:suppressLineNumbers w:val="0"/>
              <w:spacing w:before="0" w:beforeAutospacing="0" w:after="0" w:afterAutospacing="0"/>
              <w:ind w:left="0" w:right="0" w:firstLine="210" w:firstLineChars="100"/>
              <w:jc w:val="both"/>
              <w:rPr>
                <w:rFonts w:hint="eastAsia" w:ascii="宋体" w:eastAsia="宋体"/>
                <w:color w:val="auto"/>
                <w:sz w:val="21"/>
                <w:szCs w:val="21"/>
                <w:highlight w:val="none"/>
              </w:rPr>
            </w:pPr>
            <w:r>
              <w:rPr>
                <w:rFonts w:hint="eastAsia" w:ascii="宋体" w:eastAsia="宋体"/>
                <w:color w:val="auto"/>
                <w:sz w:val="21"/>
                <w:szCs w:val="21"/>
                <w:highlight w:val="none"/>
              </w:rPr>
              <w:t>账号:</w:t>
            </w:r>
          </w:p>
        </w:tc>
        <w:tc>
          <w:tcPr>
            <w:tcW w:w="4746" w:type="dxa"/>
            <w:tcBorders>
              <w:top w:val="nil"/>
              <w:left w:val="nil"/>
              <w:bottom w:val="nil"/>
              <w:right w:val="nil"/>
            </w:tcBorders>
            <w:noWrap w:val="0"/>
            <w:vAlign w:val="center"/>
          </w:tcPr>
          <w:p w14:paraId="45E462CB">
            <w:pPr>
              <w:keepNext w:val="0"/>
              <w:keepLines w:val="0"/>
              <w:widowControl w:val="0"/>
              <w:suppressLineNumbers w:val="0"/>
              <w:spacing w:before="0" w:beforeAutospacing="0" w:after="0" w:afterAutospacing="0"/>
              <w:ind w:left="0" w:right="0"/>
              <w:jc w:val="both"/>
              <w:rPr>
                <w:rFonts w:hint="eastAsia" w:ascii="宋体" w:eastAsia="宋体"/>
                <w:color w:val="auto"/>
                <w:sz w:val="21"/>
                <w:szCs w:val="21"/>
                <w:highlight w:val="none"/>
              </w:rPr>
            </w:pPr>
            <w:r>
              <w:rPr>
                <w:rFonts w:hint="eastAsia" w:ascii="宋体" w:eastAsia="宋体"/>
                <w:color w:val="auto"/>
                <w:sz w:val="21"/>
                <w:szCs w:val="21"/>
                <w:highlight w:val="none"/>
              </w:rPr>
              <w:t>账号:</w:t>
            </w:r>
          </w:p>
        </w:tc>
      </w:tr>
      <w:tr w14:paraId="14578EAB">
        <w:tblPrEx>
          <w:tblCellMar>
            <w:top w:w="0" w:type="dxa"/>
            <w:left w:w="108" w:type="dxa"/>
            <w:bottom w:w="0" w:type="dxa"/>
            <w:right w:w="108" w:type="dxa"/>
          </w:tblCellMar>
        </w:tblPrEx>
        <w:trPr>
          <w:trHeight w:val="555" w:hRule="atLeast"/>
        </w:trPr>
        <w:tc>
          <w:tcPr>
            <w:tcW w:w="4745" w:type="dxa"/>
            <w:tcBorders>
              <w:top w:val="nil"/>
              <w:left w:val="nil"/>
              <w:bottom w:val="nil"/>
              <w:right w:val="nil"/>
            </w:tcBorders>
            <w:noWrap w:val="0"/>
            <w:vAlign w:val="center"/>
          </w:tcPr>
          <w:p w14:paraId="4E6045A0">
            <w:pPr>
              <w:keepNext w:val="0"/>
              <w:keepLines w:val="0"/>
              <w:widowControl w:val="0"/>
              <w:suppressLineNumbers w:val="0"/>
              <w:spacing w:before="0" w:beforeAutospacing="0" w:after="0" w:afterAutospacing="0"/>
              <w:ind w:left="0" w:right="0" w:firstLine="210" w:firstLineChars="100"/>
              <w:jc w:val="both"/>
              <w:rPr>
                <w:rFonts w:hint="eastAsia" w:ascii="宋体" w:eastAsia="宋体"/>
                <w:color w:val="auto"/>
                <w:sz w:val="21"/>
                <w:szCs w:val="21"/>
                <w:highlight w:val="none"/>
              </w:rPr>
            </w:pPr>
            <w:r>
              <w:rPr>
                <w:rFonts w:hint="eastAsia" w:ascii="宋体" w:eastAsia="宋体"/>
                <w:color w:val="auto"/>
                <w:sz w:val="21"/>
                <w:szCs w:val="21"/>
                <w:highlight w:val="none"/>
              </w:rPr>
              <w:t>地址：</w:t>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p>
        </w:tc>
        <w:tc>
          <w:tcPr>
            <w:tcW w:w="4746" w:type="dxa"/>
            <w:tcBorders>
              <w:top w:val="nil"/>
              <w:left w:val="nil"/>
              <w:bottom w:val="nil"/>
              <w:right w:val="nil"/>
            </w:tcBorders>
            <w:noWrap w:val="0"/>
            <w:vAlign w:val="center"/>
          </w:tcPr>
          <w:p w14:paraId="5216FC14">
            <w:pPr>
              <w:keepNext w:val="0"/>
              <w:keepLines w:val="0"/>
              <w:widowControl w:val="0"/>
              <w:suppressLineNumbers w:val="0"/>
              <w:spacing w:before="0" w:beforeAutospacing="0" w:after="0" w:afterAutospacing="0"/>
              <w:ind w:left="0" w:right="0"/>
              <w:jc w:val="both"/>
              <w:rPr>
                <w:rFonts w:hint="eastAsia" w:ascii="宋体" w:eastAsia="宋体"/>
                <w:color w:val="auto"/>
                <w:sz w:val="21"/>
                <w:szCs w:val="21"/>
                <w:highlight w:val="none"/>
              </w:rPr>
            </w:pPr>
            <w:r>
              <w:rPr>
                <w:rFonts w:hint="eastAsia" w:ascii="宋体" w:eastAsia="宋体"/>
                <w:color w:val="auto"/>
                <w:sz w:val="21"/>
                <w:szCs w:val="21"/>
                <w:highlight w:val="none"/>
              </w:rPr>
              <w:t>地址：</w:t>
            </w:r>
          </w:p>
        </w:tc>
      </w:tr>
      <w:tr w14:paraId="3DDB2F8B">
        <w:tblPrEx>
          <w:tblCellMar>
            <w:top w:w="0" w:type="dxa"/>
            <w:left w:w="108" w:type="dxa"/>
            <w:bottom w:w="0" w:type="dxa"/>
            <w:right w:w="108" w:type="dxa"/>
          </w:tblCellMar>
        </w:tblPrEx>
        <w:trPr>
          <w:trHeight w:val="555" w:hRule="atLeast"/>
        </w:trPr>
        <w:tc>
          <w:tcPr>
            <w:tcW w:w="4745" w:type="dxa"/>
            <w:tcBorders>
              <w:top w:val="nil"/>
              <w:left w:val="nil"/>
              <w:bottom w:val="nil"/>
              <w:right w:val="nil"/>
            </w:tcBorders>
            <w:noWrap w:val="0"/>
            <w:vAlign w:val="center"/>
          </w:tcPr>
          <w:p w14:paraId="32529FE1">
            <w:pPr>
              <w:keepNext w:val="0"/>
              <w:keepLines w:val="0"/>
              <w:widowControl w:val="0"/>
              <w:suppressLineNumbers w:val="0"/>
              <w:spacing w:before="0" w:beforeAutospacing="0" w:after="0" w:afterAutospacing="0"/>
              <w:ind w:left="0" w:right="0" w:firstLine="210" w:firstLineChars="100"/>
              <w:jc w:val="both"/>
              <w:rPr>
                <w:rFonts w:hint="eastAsia" w:ascii="宋体" w:eastAsia="宋体"/>
                <w:color w:val="auto"/>
                <w:sz w:val="21"/>
                <w:szCs w:val="21"/>
                <w:highlight w:val="none"/>
              </w:rPr>
            </w:pPr>
            <w:r>
              <w:rPr>
                <w:rFonts w:hint="eastAsia" w:ascii="宋体" w:eastAsia="宋体"/>
                <w:color w:val="auto"/>
                <w:sz w:val="21"/>
                <w:szCs w:val="21"/>
                <w:highlight w:val="none"/>
              </w:rPr>
              <w:t>邮编：</w:t>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p>
        </w:tc>
        <w:tc>
          <w:tcPr>
            <w:tcW w:w="4746" w:type="dxa"/>
            <w:tcBorders>
              <w:top w:val="nil"/>
              <w:left w:val="nil"/>
              <w:bottom w:val="nil"/>
              <w:right w:val="nil"/>
            </w:tcBorders>
            <w:noWrap w:val="0"/>
            <w:vAlign w:val="center"/>
          </w:tcPr>
          <w:p w14:paraId="64C73081">
            <w:pPr>
              <w:keepNext w:val="0"/>
              <w:keepLines w:val="0"/>
              <w:widowControl w:val="0"/>
              <w:suppressLineNumbers w:val="0"/>
              <w:spacing w:before="0" w:beforeAutospacing="0" w:after="0" w:afterAutospacing="0"/>
              <w:ind w:left="0" w:right="0"/>
              <w:jc w:val="both"/>
              <w:rPr>
                <w:rFonts w:hint="eastAsia" w:ascii="宋体" w:eastAsia="宋体"/>
                <w:color w:val="auto"/>
                <w:sz w:val="21"/>
                <w:szCs w:val="21"/>
                <w:highlight w:val="none"/>
              </w:rPr>
            </w:pPr>
            <w:r>
              <w:rPr>
                <w:rFonts w:hint="eastAsia" w:ascii="宋体" w:eastAsia="宋体"/>
                <w:color w:val="auto"/>
                <w:sz w:val="21"/>
                <w:szCs w:val="21"/>
                <w:highlight w:val="none"/>
              </w:rPr>
              <w:t>邮编：</w:t>
            </w:r>
          </w:p>
        </w:tc>
      </w:tr>
      <w:tr w14:paraId="3287DF64">
        <w:tblPrEx>
          <w:tblCellMar>
            <w:top w:w="0" w:type="dxa"/>
            <w:left w:w="108" w:type="dxa"/>
            <w:bottom w:w="0" w:type="dxa"/>
            <w:right w:w="108" w:type="dxa"/>
          </w:tblCellMar>
        </w:tblPrEx>
        <w:trPr>
          <w:trHeight w:val="555" w:hRule="atLeast"/>
        </w:trPr>
        <w:tc>
          <w:tcPr>
            <w:tcW w:w="4745" w:type="dxa"/>
            <w:tcBorders>
              <w:top w:val="nil"/>
              <w:left w:val="nil"/>
              <w:bottom w:val="nil"/>
              <w:right w:val="nil"/>
            </w:tcBorders>
            <w:noWrap w:val="0"/>
            <w:vAlign w:val="center"/>
          </w:tcPr>
          <w:p w14:paraId="3F6A034A">
            <w:pPr>
              <w:keepNext w:val="0"/>
              <w:keepLines w:val="0"/>
              <w:widowControl w:val="0"/>
              <w:suppressLineNumbers w:val="0"/>
              <w:spacing w:before="0" w:beforeAutospacing="0" w:after="0" w:afterAutospacing="0"/>
              <w:ind w:left="0" w:right="0" w:firstLine="210" w:firstLineChars="100"/>
              <w:jc w:val="both"/>
              <w:rPr>
                <w:rFonts w:hint="eastAsia" w:ascii="宋体" w:eastAsia="宋体"/>
                <w:color w:val="auto"/>
                <w:sz w:val="21"/>
                <w:szCs w:val="21"/>
                <w:highlight w:val="none"/>
              </w:rPr>
            </w:pPr>
            <w:r>
              <w:rPr>
                <w:rFonts w:hint="eastAsia" w:ascii="宋体" w:eastAsia="宋体"/>
                <w:color w:val="auto"/>
                <w:sz w:val="21"/>
                <w:szCs w:val="21"/>
                <w:highlight w:val="none"/>
              </w:rPr>
              <w:t>电话：</w:t>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r>
              <w:rPr>
                <w:rFonts w:hint="eastAsia" w:ascii="宋体" w:eastAsia="宋体"/>
                <w:color w:val="auto"/>
                <w:sz w:val="21"/>
                <w:szCs w:val="21"/>
                <w:highlight w:val="none"/>
              </w:rPr>
              <w:tab/>
            </w:r>
          </w:p>
        </w:tc>
        <w:tc>
          <w:tcPr>
            <w:tcW w:w="4746" w:type="dxa"/>
            <w:tcBorders>
              <w:top w:val="nil"/>
              <w:left w:val="nil"/>
              <w:bottom w:val="nil"/>
              <w:right w:val="nil"/>
            </w:tcBorders>
            <w:noWrap w:val="0"/>
            <w:vAlign w:val="center"/>
          </w:tcPr>
          <w:p w14:paraId="54D7CAB0">
            <w:pPr>
              <w:keepNext w:val="0"/>
              <w:keepLines w:val="0"/>
              <w:widowControl w:val="0"/>
              <w:suppressLineNumbers w:val="0"/>
              <w:spacing w:before="0" w:beforeAutospacing="0" w:after="0" w:afterAutospacing="0"/>
              <w:ind w:left="0" w:right="0"/>
              <w:jc w:val="both"/>
              <w:rPr>
                <w:rFonts w:hint="default" w:ascii="宋体" w:eastAsia="宋体"/>
                <w:color w:val="auto"/>
                <w:sz w:val="21"/>
                <w:szCs w:val="21"/>
                <w:highlight w:val="none"/>
              </w:rPr>
            </w:pPr>
            <w:r>
              <w:rPr>
                <w:rFonts w:hint="eastAsia" w:ascii="宋体" w:eastAsia="宋体"/>
                <w:color w:val="auto"/>
                <w:sz w:val="21"/>
                <w:szCs w:val="21"/>
                <w:highlight w:val="none"/>
              </w:rPr>
              <w:t>电话：</w:t>
            </w:r>
          </w:p>
          <w:p w14:paraId="5F1D1F10">
            <w:pPr>
              <w:keepNext w:val="0"/>
              <w:keepLines w:val="0"/>
              <w:widowControl w:val="0"/>
              <w:suppressLineNumbers w:val="0"/>
              <w:spacing w:before="0" w:beforeAutospacing="0" w:after="0" w:afterAutospacing="0"/>
              <w:ind w:left="0" w:right="0"/>
              <w:jc w:val="both"/>
              <w:rPr>
                <w:rFonts w:hint="eastAsia" w:ascii="宋体" w:eastAsia="宋体"/>
                <w:color w:val="auto"/>
                <w:sz w:val="21"/>
                <w:szCs w:val="21"/>
                <w:highlight w:val="none"/>
              </w:rPr>
            </w:pPr>
          </w:p>
        </w:tc>
      </w:tr>
    </w:tbl>
    <w:p w14:paraId="6EF4E07C">
      <w:pPr>
        <w:rPr>
          <w:rFonts w:hint="eastAsia"/>
          <w:color w:val="auto"/>
          <w:highlight w:val="none"/>
        </w:rPr>
      </w:pPr>
    </w:p>
    <w:p w14:paraId="600F8B75">
      <w:pPr>
        <w:rPr>
          <w:rFonts w:hint="eastAsia"/>
          <w:color w:val="auto"/>
          <w:highlight w:val="none"/>
        </w:rPr>
      </w:pPr>
    </w:p>
    <w:p w14:paraId="4D85128A">
      <w:pPr>
        <w:pStyle w:val="3"/>
        <w:numPr>
          <w:ilvl w:val="0"/>
          <w:numId w:val="7"/>
        </w:numPr>
        <w:spacing w:line="560" w:lineRule="exact"/>
        <w:rPr>
          <w:rFonts w:ascii="宋体" w:hAnsi="宋体" w:eastAsia="宋体" w:cs="宋体"/>
          <w:color w:val="auto"/>
          <w:sz w:val="32"/>
          <w:szCs w:val="32"/>
          <w:highlight w:val="none"/>
        </w:rPr>
      </w:pPr>
      <w:bookmarkStart w:id="174" w:name="_Toc19710"/>
      <w:bookmarkStart w:id="175" w:name="_Toc55212805"/>
      <w:bookmarkStart w:id="176" w:name="_Toc55212810"/>
      <w:r>
        <w:rPr>
          <w:rFonts w:hint="eastAsia" w:ascii="宋体" w:hAnsi="宋体" w:eastAsia="宋体" w:cs="宋体"/>
          <w:color w:val="auto"/>
          <w:sz w:val="32"/>
          <w:szCs w:val="32"/>
          <w:highlight w:val="none"/>
        </w:rPr>
        <w:t>投标相关文件格式</w:t>
      </w:r>
      <w:bookmarkEnd w:id="174"/>
      <w:bookmarkEnd w:id="175"/>
      <w:bookmarkStart w:id="177" w:name="_Toc47756041"/>
      <w:bookmarkStart w:id="178" w:name="_Toc15813259"/>
      <w:bookmarkStart w:id="179" w:name="_Toc45506740"/>
      <w:bookmarkStart w:id="180" w:name="_Toc15805942"/>
    </w:p>
    <w:p w14:paraId="2ABA596C">
      <w:pPr>
        <w:pStyle w:val="28"/>
        <w:rPr>
          <w:rFonts w:hAnsi="宋体" w:cs="宋体"/>
          <w:color w:val="auto"/>
          <w:highlight w:val="none"/>
        </w:rPr>
      </w:pPr>
    </w:p>
    <w:p w14:paraId="71ABC93C">
      <w:pPr>
        <w:rPr>
          <w:rFonts w:ascii="宋体" w:hAnsi="宋体" w:cs="宋体"/>
          <w:color w:val="auto"/>
          <w:highlight w:val="none"/>
        </w:rPr>
      </w:pPr>
    </w:p>
    <w:p w14:paraId="3884E9DA">
      <w:pPr>
        <w:rPr>
          <w:rFonts w:ascii="宋体" w:hAnsi="宋体" w:cs="宋体"/>
          <w:color w:val="auto"/>
          <w:highlight w:val="none"/>
        </w:rPr>
      </w:pPr>
    </w:p>
    <w:p w14:paraId="5C629AA8">
      <w:pPr>
        <w:spacing w:before="240" w:line="48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重要提示</w:t>
      </w:r>
    </w:p>
    <w:p w14:paraId="0DFA6244">
      <w:pPr>
        <w:spacing w:line="480" w:lineRule="auto"/>
        <w:ind w:firstLine="364" w:firstLineChars="151"/>
        <w:jc w:val="left"/>
        <w:rPr>
          <w:rFonts w:ascii="宋体" w:hAnsi="宋体" w:cs="宋体"/>
          <w:b/>
          <w:color w:val="auto"/>
          <w:sz w:val="24"/>
          <w:highlight w:val="none"/>
        </w:rPr>
      </w:pPr>
      <w:r>
        <w:rPr>
          <w:rFonts w:hint="eastAsia" w:ascii="宋体" w:hAnsi="宋体" w:cs="宋体"/>
          <w:b/>
          <w:color w:val="auto"/>
          <w:sz w:val="24"/>
          <w:highlight w:val="none"/>
        </w:rPr>
        <w:t>（1）本章中有提供格式的，投标人须按照格式进行编制，并按格式要求进行签章。</w:t>
      </w:r>
    </w:p>
    <w:p w14:paraId="4ADE11CC">
      <w:pPr>
        <w:spacing w:line="480" w:lineRule="auto"/>
        <w:ind w:firstLine="364" w:firstLineChars="151"/>
        <w:jc w:val="left"/>
        <w:rPr>
          <w:rFonts w:ascii="宋体" w:hAnsi="宋体" w:cs="宋体"/>
          <w:b/>
          <w:color w:val="auto"/>
          <w:sz w:val="24"/>
          <w:highlight w:val="none"/>
        </w:rPr>
      </w:pPr>
      <w:r>
        <w:rPr>
          <w:rFonts w:hint="eastAsia" w:ascii="宋体" w:hAnsi="宋体" w:cs="宋体"/>
          <w:b/>
          <w:color w:val="auto"/>
          <w:sz w:val="24"/>
          <w:highlight w:val="none"/>
        </w:rPr>
        <w:t>（2）本章未提供格式的，请投标人自行拟定格式。</w:t>
      </w:r>
    </w:p>
    <w:p w14:paraId="1D57D20F">
      <w:pPr>
        <w:spacing w:line="360" w:lineRule="auto"/>
        <w:jc w:val="center"/>
        <w:rPr>
          <w:rFonts w:ascii="宋体" w:hAnsi="宋体" w:cs="宋体"/>
          <w:b/>
          <w:color w:val="auto"/>
          <w:sz w:val="30"/>
          <w:highlight w:val="none"/>
        </w:rPr>
      </w:pPr>
    </w:p>
    <w:p w14:paraId="35500A5B">
      <w:pPr>
        <w:rPr>
          <w:rFonts w:ascii="宋体" w:hAnsi="宋体" w:cs="宋体"/>
          <w:color w:val="auto"/>
          <w:highlight w:val="none"/>
        </w:rPr>
      </w:pPr>
    </w:p>
    <w:p w14:paraId="6D6BF27D">
      <w:pPr>
        <w:pStyle w:val="3"/>
        <w:rPr>
          <w:rFonts w:ascii="宋体" w:hAnsi="宋体" w:eastAsia="宋体" w:cs="宋体"/>
          <w:color w:val="auto"/>
          <w:highlight w:val="none"/>
        </w:rPr>
      </w:pPr>
    </w:p>
    <w:p w14:paraId="550065C5">
      <w:pPr>
        <w:pStyle w:val="28"/>
        <w:rPr>
          <w:rFonts w:hAnsi="宋体" w:cs="宋体"/>
          <w:color w:val="auto"/>
          <w:highlight w:val="none"/>
        </w:rPr>
      </w:pPr>
    </w:p>
    <w:p w14:paraId="6224A13E">
      <w:pPr>
        <w:rPr>
          <w:rFonts w:ascii="宋体" w:hAnsi="宋体" w:cs="宋体"/>
          <w:color w:val="auto"/>
          <w:highlight w:val="none"/>
        </w:rPr>
      </w:pPr>
    </w:p>
    <w:p w14:paraId="63AE188B">
      <w:pPr>
        <w:pStyle w:val="3"/>
        <w:rPr>
          <w:rFonts w:ascii="宋体" w:hAnsi="宋体" w:eastAsia="宋体" w:cs="宋体"/>
          <w:color w:val="auto"/>
          <w:highlight w:val="none"/>
        </w:rPr>
      </w:pPr>
    </w:p>
    <w:p w14:paraId="3AA55A5A">
      <w:pPr>
        <w:pStyle w:val="28"/>
        <w:rPr>
          <w:rFonts w:hAnsi="宋体" w:cs="宋体"/>
          <w:color w:val="auto"/>
          <w:highlight w:val="none"/>
        </w:rPr>
      </w:pPr>
    </w:p>
    <w:p w14:paraId="3291887D">
      <w:pPr>
        <w:rPr>
          <w:rFonts w:ascii="宋体" w:hAnsi="宋体" w:cs="宋体"/>
          <w:color w:val="auto"/>
          <w:highlight w:val="none"/>
        </w:rPr>
      </w:pPr>
    </w:p>
    <w:p w14:paraId="005B11BD">
      <w:pPr>
        <w:pStyle w:val="3"/>
        <w:rPr>
          <w:rFonts w:ascii="宋体" w:hAnsi="宋体" w:eastAsia="宋体" w:cs="宋体"/>
          <w:color w:val="auto"/>
          <w:highlight w:val="none"/>
        </w:rPr>
      </w:pPr>
    </w:p>
    <w:p w14:paraId="2B17BC4A">
      <w:pPr>
        <w:pStyle w:val="28"/>
        <w:rPr>
          <w:rFonts w:hAnsi="宋体" w:cs="宋体"/>
          <w:color w:val="auto"/>
          <w:highlight w:val="none"/>
        </w:rPr>
      </w:pPr>
    </w:p>
    <w:p w14:paraId="75A82CDF">
      <w:pPr>
        <w:rPr>
          <w:rFonts w:ascii="宋体" w:hAnsi="宋体" w:cs="宋体"/>
          <w:color w:val="auto"/>
          <w:highlight w:val="none"/>
        </w:rPr>
      </w:pPr>
    </w:p>
    <w:p w14:paraId="72D2C673">
      <w:pPr>
        <w:pStyle w:val="3"/>
        <w:rPr>
          <w:rFonts w:ascii="宋体" w:hAnsi="宋体" w:eastAsia="宋体" w:cs="宋体"/>
          <w:color w:val="auto"/>
          <w:highlight w:val="none"/>
        </w:rPr>
      </w:pPr>
    </w:p>
    <w:p w14:paraId="3365D6F3">
      <w:pPr>
        <w:pStyle w:val="28"/>
        <w:rPr>
          <w:rFonts w:hAnsi="宋体" w:cs="宋体"/>
          <w:color w:val="auto"/>
          <w:highlight w:val="none"/>
        </w:rPr>
      </w:pPr>
    </w:p>
    <w:p w14:paraId="4A31885A">
      <w:pPr>
        <w:rPr>
          <w:rFonts w:ascii="仿宋_GB2312" w:hAnsi="宋体" w:eastAsia="仿宋_GB2312"/>
          <w:b/>
          <w:color w:val="auto"/>
          <w:sz w:val="32"/>
          <w:szCs w:val="32"/>
          <w:highlight w:val="none"/>
        </w:rPr>
      </w:pPr>
    </w:p>
    <w:p w14:paraId="7841611B">
      <w:pPr>
        <w:pStyle w:val="20"/>
        <w:rPr>
          <w:rFonts w:hAnsi="宋体" w:cs="宋体"/>
          <w:color w:val="auto"/>
          <w:highlight w:val="none"/>
        </w:rPr>
      </w:pPr>
    </w:p>
    <w:p w14:paraId="2092F10D">
      <w:pPr>
        <w:rPr>
          <w:color w:val="auto"/>
          <w:highlight w:val="none"/>
        </w:rPr>
      </w:pPr>
    </w:p>
    <w:p w14:paraId="435F573F">
      <w:pPr>
        <w:rPr>
          <w:rFonts w:ascii="宋体" w:hAnsi="宋体" w:cs="宋体"/>
          <w:color w:val="auto"/>
          <w:highlight w:val="none"/>
        </w:rPr>
      </w:pPr>
    </w:p>
    <w:p w14:paraId="718345D7">
      <w:pPr>
        <w:pStyle w:val="28"/>
        <w:rPr>
          <w:rFonts w:hAnsi="宋体" w:cs="宋体"/>
          <w:color w:val="auto"/>
          <w:highlight w:val="none"/>
        </w:rPr>
      </w:pPr>
    </w:p>
    <w:p w14:paraId="5938B52A">
      <w:pPr>
        <w:pStyle w:val="3"/>
        <w:tabs>
          <w:tab w:val="left" w:pos="420"/>
        </w:tabs>
        <w:rPr>
          <w:rFonts w:ascii="宋体" w:hAnsi="宋体" w:eastAsia="宋体" w:cs="宋体"/>
          <w:color w:val="auto"/>
          <w:highlight w:val="none"/>
        </w:rPr>
      </w:pPr>
      <w:bookmarkStart w:id="181" w:name="_Toc55212806"/>
      <w:r>
        <w:rPr>
          <w:rFonts w:hint="eastAsia" w:ascii="宋体" w:hAnsi="宋体" w:eastAsia="宋体" w:cs="宋体"/>
          <w:color w:val="auto"/>
          <w:highlight w:val="none"/>
        </w:rPr>
        <w:t>第一部分“资格文件”格式</w:t>
      </w:r>
      <w:bookmarkEnd w:id="181"/>
    </w:p>
    <w:p w14:paraId="7F9F4D9A">
      <w:pPr>
        <w:pStyle w:val="4"/>
        <w:tabs>
          <w:tab w:val="left" w:pos="420"/>
        </w:tabs>
        <w:jc w:val="right"/>
        <w:rPr>
          <w:rStyle w:val="102"/>
          <w:rFonts w:ascii="宋体" w:hAnsi="宋体" w:eastAsia="宋体" w:cs="宋体"/>
          <w:color w:val="auto"/>
          <w:sz w:val="30"/>
          <w:szCs w:val="20"/>
          <w:highlight w:val="none"/>
        </w:rPr>
      </w:pPr>
      <w:r>
        <w:rPr>
          <w:rFonts w:hint="eastAsia" w:ascii="宋体" w:hAnsi="宋体" w:eastAsia="宋体" w:cs="宋体"/>
          <w:color w:val="auto"/>
          <w:highlight w:val="none"/>
        </w:rPr>
        <w:t>“资格文件”封面格式</w:t>
      </w:r>
      <w:r>
        <w:rPr>
          <w:rStyle w:val="102"/>
          <w:rFonts w:hint="eastAsia" w:ascii="宋体" w:hAnsi="宋体" w:eastAsia="宋体" w:cs="宋体"/>
          <w:color w:val="auto"/>
          <w:sz w:val="30"/>
          <w:szCs w:val="20"/>
          <w:highlight w:val="none"/>
        </w:rPr>
        <w:t xml:space="preserve">    </w:t>
      </w:r>
    </w:p>
    <w:p w14:paraId="75C87DD4">
      <w:pPr>
        <w:pStyle w:val="4"/>
        <w:tabs>
          <w:tab w:val="left" w:pos="420"/>
        </w:tabs>
        <w:jc w:val="right"/>
        <w:rPr>
          <w:color w:val="auto"/>
          <w:highlight w:val="none"/>
        </w:rPr>
      </w:pPr>
      <w:r>
        <w:rPr>
          <w:rStyle w:val="102"/>
          <w:rFonts w:hint="eastAsia" w:ascii="宋体" w:hAnsi="宋体" w:eastAsia="宋体" w:cs="宋体"/>
          <w:color w:val="auto"/>
          <w:sz w:val="30"/>
          <w:szCs w:val="20"/>
          <w:highlight w:val="none"/>
        </w:rPr>
        <w:t xml:space="preserve"> </w:t>
      </w:r>
      <w:r>
        <w:rPr>
          <w:rStyle w:val="102"/>
          <w:rFonts w:hint="eastAsia" w:ascii="宋体" w:hAnsi="宋体" w:eastAsia="宋体" w:cs="宋体"/>
          <w:color w:val="auto"/>
          <w:sz w:val="30"/>
          <w:szCs w:val="30"/>
          <w:highlight w:val="none"/>
        </w:rPr>
        <w:t>（正本）或（副本）</w:t>
      </w:r>
    </w:p>
    <w:p w14:paraId="235BCABD">
      <w:pPr>
        <w:pStyle w:val="28"/>
        <w:rPr>
          <w:rFonts w:hAnsi="宋体" w:cs="宋体"/>
          <w:color w:val="auto"/>
          <w:highlight w:val="none"/>
        </w:rPr>
      </w:pPr>
    </w:p>
    <w:p w14:paraId="42853D20">
      <w:pPr>
        <w:rPr>
          <w:rFonts w:ascii="宋体" w:hAnsi="宋体" w:cs="宋体"/>
          <w:color w:val="auto"/>
          <w:highlight w:val="none"/>
        </w:rPr>
      </w:pPr>
    </w:p>
    <w:p w14:paraId="727CE69A">
      <w:pPr>
        <w:spacing w:line="360" w:lineRule="auto"/>
        <w:jc w:val="center"/>
        <w:rPr>
          <w:rFonts w:ascii="宋体" w:hAnsi="宋体" w:cs="宋体"/>
          <w:b/>
          <w:color w:val="auto"/>
          <w:kern w:val="0"/>
          <w:sz w:val="84"/>
          <w:szCs w:val="84"/>
          <w:highlight w:val="none"/>
        </w:rPr>
      </w:pPr>
      <w:r>
        <w:rPr>
          <w:rFonts w:hint="eastAsia" w:ascii="宋体" w:hAnsi="宋体" w:cs="宋体"/>
          <w:b/>
          <w:color w:val="auto"/>
          <w:kern w:val="0"/>
          <w:sz w:val="84"/>
          <w:szCs w:val="84"/>
          <w:highlight w:val="none"/>
        </w:rPr>
        <w:t>投 标 文 件</w:t>
      </w:r>
    </w:p>
    <w:p w14:paraId="7835CB06">
      <w:pPr>
        <w:spacing w:line="360" w:lineRule="auto"/>
        <w:jc w:val="center"/>
        <w:rPr>
          <w:rFonts w:ascii="宋体" w:hAnsi="宋体" w:cs="宋体"/>
          <w:b/>
          <w:color w:val="auto"/>
          <w:kern w:val="0"/>
          <w:sz w:val="48"/>
          <w:szCs w:val="84"/>
          <w:highlight w:val="none"/>
        </w:rPr>
      </w:pPr>
      <w:r>
        <w:rPr>
          <w:rFonts w:hint="eastAsia" w:ascii="宋体" w:hAnsi="宋体" w:cs="宋体"/>
          <w:b/>
          <w:color w:val="auto"/>
          <w:kern w:val="0"/>
          <w:sz w:val="48"/>
          <w:szCs w:val="84"/>
          <w:highlight w:val="none"/>
        </w:rPr>
        <w:t>（资格文件）</w:t>
      </w:r>
    </w:p>
    <w:tbl>
      <w:tblPr>
        <w:tblStyle w:val="51"/>
        <w:tblW w:w="0" w:type="auto"/>
        <w:tblInd w:w="392" w:type="dxa"/>
        <w:tblLayout w:type="fixed"/>
        <w:tblCellMar>
          <w:top w:w="0" w:type="dxa"/>
          <w:left w:w="108" w:type="dxa"/>
          <w:bottom w:w="0" w:type="dxa"/>
          <w:right w:w="108" w:type="dxa"/>
        </w:tblCellMar>
      </w:tblPr>
      <w:tblGrid>
        <w:gridCol w:w="9204"/>
      </w:tblGrid>
      <w:tr w14:paraId="0EE7DE68">
        <w:trPr>
          <w:trHeight w:val="1058" w:hRule="atLeast"/>
        </w:trPr>
        <w:tc>
          <w:tcPr>
            <w:tcW w:w="9204" w:type="dxa"/>
            <w:vAlign w:val="center"/>
          </w:tcPr>
          <w:p w14:paraId="7806930B">
            <w:pPr>
              <w:keepNext w:val="0"/>
              <w:keepLines w:val="0"/>
              <w:suppressLineNumbers w:val="0"/>
              <w:spacing w:before="0" w:beforeAutospacing="0" w:after="0" w:afterAutospacing="0" w:line="360" w:lineRule="auto"/>
              <w:ind w:left="0" w:right="0"/>
              <w:rPr>
                <w:rFonts w:hint="default" w:ascii="宋体" w:hAnsi="宋体" w:cs="宋体"/>
                <w:b/>
                <w:bCs/>
                <w:color w:val="auto"/>
                <w:sz w:val="28"/>
                <w:szCs w:val="28"/>
                <w:highlight w:val="none"/>
              </w:rPr>
            </w:pPr>
            <w:r>
              <w:rPr>
                <w:rFonts w:hint="eastAsia" w:ascii="宋体" w:hAnsi="宋体" w:cs="宋体"/>
                <w:b/>
                <w:bCs/>
                <w:color w:val="auto"/>
                <w:sz w:val="28"/>
                <w:szCs w:val="28"/>
                <w:highlight w:val="none"/>
              </w:rPr>
              <w:t>项目名称：</w:t>
            </w:r>
            <w:r>
              <w:rPr>
                <w:rFonts w:hint="default"/>
                <w:color w:val="auto"/>
                <w:highlight w:val="none"/>
              </w:rPr>
              <w:fldChar w:fldCharType="begin"/>
            </w:r>
            <w:r>
              <w:rPr>
                <w:rFonts w:hint="default"/>
                <w:color w:val="auto"/>
                <w:highlight w:val="none"/>
              </w:rPr>
              <w:instrText xml:space="preserve"> HYPERLINK "https://bidding.zcygov.cn/xmgl/projectQuery/queryDetail?projectUuid=5c859e260a927c18" \l "/purchaseFileMake/_blank" \t "https://www.zcygov.cn/bidding-entrust/" </w:instrText>
            </w:r>
            <w:r>
              <w:rPr>
                <w:rFonts w:hint="default"/>
                <w:color w:val="auto"/>
                <w:highlight w:val="none"/>
              </w:rPr>
              <w:fldChar w:fldCharType="separate"/>
            </w:r>
            <w:r>
              <w:rPr>
                <w:rFonts w:hint="default"/>
                <w:color w:val="auto"/>
                <w:highlight w:val="none"/>
              </w:rPr>
              <w:fldChar w:fldCharType="end"/>
            </w:r>
          </w:p>
        </w:tc>
      </w:tr>
      <w:tr w14:paraId="396816EE">
        <w:tblPrEx>
          <w:tblCellMar>
            <w:top w:w="0" w:type="dxa"/>
            <w:left w:w="108" w:type="dxa"/>
            <w:bottom w:w="0" w:type="dxa"/>
            <w:right w:w="108" w:type="dxa"/>
          </w:tblCellMar>
        </w:tblPrEx>
        <w:trPr>
          <w:trHeight w:val="1222" w:hRule="atLeast"/>
        </w:trPr>
        <w:tc>
          <w:tcPr>
            <w:tcW w:w="9204" w:type="dxa"/>
            <w:vAlign w:val="center"/>
          </w:tcPr>
          <w:p w14:paraId="31C3E3E4">
            <w:pPr>
              <w:keepNext w:val="0"/>
              <w:keepLines w:val="0"/>
              <w:suppressLineNumbers w:val="0"/>
              <w:tabs>
                <w:tab w:val="left" w:pos="2580"/>
                <w:tab w:val="left" w:pos="5940"/>
              </w:tabs>
              <w:autoSpaceDE w:val="0"/>
              <w:autoSpaceDN w:val="0"/>
              <w:adjustRightInd w:val="0"/>
              <w:spacing w:before="0" w:beforeAutospacing="0" w:after="0" w:afterAutospacing="0" w:line="360" w:lineRule="auto"/>
              <w:ind w:left="0" w:right="0"/>
              <w:rPr>
                <w:rFonts w:hint="default" w:ascii="宋体" w:hAnsi="宋体" w:cs="宋体"/>
                <w:b/>
                <w:bCs/>
                <w:color w:val="auto"/>
                <w:sz w:val="28"/>
                <w:szCs w:val="28"/>
                <w:highlight w:val="none"/>
              </w:rPr>
            </w:pPr>
            <w:r>
              <w:rPr>
                <w:rFonts w:hint="eastAsia" w:ascii="宋体" w:hAnsi="宋体" w:cs="宋体"/>
                <w:b/>
                <w:bCs/>
                <w:color w:val="auto"/>
                <w:sz w:val="28"/>
                <w:szCs w:val="28"/>
                <w:highlight w:val="none"/>
              </w:rPr>
              <w:t>采 购 人：</w:t>
            </w:r>
          </w:p>
        </w:tc>
      </w:tr>
      <w:tr w14:paraId="09F01935">
        <w:tblPrEx>
          <w:tblCellMar>
            <w:top w:w="0" w:type="dxa"/>
            <w:left w:w="108" w:type="dxa"/>
            <w:bottom w:w="0" w:type="dxa"/>
            <w:right w:w="108" w:type="dxa"/>
          </w:tblCellMar>
        </w:tblPrEx>
        <w:trPr>
          <w:trHeight w:val="1071" w:hRule="atLeast"/>
        </w:trPr>
        <w:tc>
          <w:tcPr>
            <w:tcW w:w="9204" w:type="dxa"/>
            <w:vAlign w:val="center"/>
          </w:tcPr>
          <w:p w14:paraId="496A4333">
            <w:pPr>
              <w:keepNext w:val="0"/>
              <w:keepLines w:val="0"/>
              <w:suppressLineNumbers w:val="0"/>
              <w:spacing w:before="0" w:beforeAutospacing="0" w:after="0" w:afterAutospacing="0" w:line="360" w:lineRule="auto"/>
              <w:ind w:left="0" w:right="0"/>
              <w:rPr>
                <w:rFonts w:hint="default" w:ascii="宋体" w:hAnsi="宋体" w:cs="宋体"/>
                <w:b/>
                <w:bCs/>
                <w:color w:val="auto"/>
                <w:sz w:val="28"/>
                <w:szCs w:val="28"/>
                <w:highlight w:val="none"/>
              </w:rPr>
            </w:pPr>
            <w:r>
              <w:rPr>
                <w:rFonts w:hint="eastAsia" w:ascii="宋体" w:hAnsi="宋体" w:cs="宋体"/>
                <w:b/>
                <w:bCs/>
                <w:color w:val="auto"/>
                <w:sz w:val="28"/>
                <w:szCs w:val="28"/>
                <w:highlight w:val="none"/>
              </w:rPr>
              <w:t>项目编号：</w:t>
            </w:r>
          </w:p>
        </w:tc>
      </w:tr>
      <w:tr w14:paraId="79829652">
        <w:tblPrEx>
          <w:tblCellMar>
            <w:top w:w="0" w:type="dxa"/>
            <w:left w:w="108" w:type="dxa"/>
            <w:bottom w:w="0" w:type="dxa"/>
            <w:right w:w="108" w:type="dxa"/>
          </w:tblCellMar>
        </w:tblPrEx>
        <w:trPr>
          <w:trHeight w:val="1992" w:hRule="atLeast"/>
        </w:trPr>
        <w:tc>
          <w:tcPr>
            <w:tcW w:w="9204" w:type="dxa"/>
            <w:vAlign w:val="center"/>
          </w:tcPr>
          <w:p w14:paraId="407AA5FF">
            <w:pPr>
              <w:keepNext w:val="0"/>
              <w:keepLines w:val="0"/>
              <w:suppressLineNumbers w:val="0"/>
              <w:spacing w:before="0" w:beforeAutospacing="0" w:after="0" w:afterAutospacing="0" w:line="360" w:lineRule="auto"/>
              <w:ind w:left="0" w:right="0"/>
              <w:rPr>
                <w:rFonts w:hint="default" w:ascii="宋体" w:hAnsi="宋体" w:cs="宋体"/>
                <w:color w:val="auto"/>
                <w:sz w:val="28"/>
                <w:szCs w:val="28"/>
                <w:highlight w:val="none"/>
              </w:rPr>
            </w:pPr>
            <w:r>
              <w:rPr>
                <w:rFonts w:hint="eastAsia" w:ascii="宋体" w:hAnsi="宋体" w:cs="宋体"/>
                <w:b/>
                <w:bCs/>
                <w:color w:val="auto"/>
                <w:sz w:val="28"/>
                <w:szCs w:val="28"/>
                <w:highlight w:val="none"/>
              </w:rPr>
              <w:t>投标人名称（公章）：</w:t>
            </w:r>
            <w:r>
              <w:rPr>
                <w:rFonts w:hint="eastAsia" w:ascii="宋体" w:hAnsi="宋体" w:cs="宋体"/>
                <w:color w:val="auto"/>
                <w:w w:val="90"/>
                <w:kern w:val="0"/>
                <w:sz w:val="22"/>
                <w:szCs w:val="22"/>
                <w:highlight w:val="none"/>
              </w:rPr>
              <w:t>_________________________________________________</w:t>
            </w:r>
          </w:p>
        </w:tc>
      </w:tr>
      <w:tr w14:paraId="1DCC3DA8">
        <w:tblPrEx>
          <w:tblCellMar>
            <w:top w:w="0" w:type="dxa"/>
            <w:left w:w="108" w:type="dxa"/>
            <w:bottom w:w="0" w:type="dxa"/>
            <w:right w:w="108" w:type="dxa"/>
          </w:tblCellMar>
        </w:tblPrEx>
        <w:trPr>
          <w:trHeight w:val="802" w:hRule="atLeast"/>
        </w:trPr>
        <w:tc>
          <w:tcPr>
            <w:tcW w:w="9204" w:type="dxa"/>
            <w:vAlign w:val="center"/>
          </w:tcPr>
          <w:p w14:paraId="238D5778">
            <w:pPr>
              <w:keepNext w:val="0"/>
              <w:keepLines w:val="0"/>
              <w:suppressLineNumbers w:val="0"/>
              <w:spacing w:before="0" w:beforeAutospacing="0" w:after="0" w:afterAutospacing="0" w:line="360" w:lineRule="auto"/>
              <w:ind w:left="0" w:right="0"/>
              <w:rPr>
                <w:rFonts w:hint="default" w:ascii="宋体" w:hAnsi="宋体" w:cs="宋体"/>
                <w:b/>
                <w:bCs/>
                <w:color w:val="auto"/>
                <w:sz w:val="28"/>
                <w:szCs w:val="28"/>
                <w:highlight w:val="none"/>
              </w:rPr>
            </w:pPr>
          </w:p>
          <w:p w14:paraId="344251C4">
            <w:pPr>
              <w:keepNext w:val="0"/>
              <w:keepLines w:val="0"/>
              <w:suppressLineNumbers w:val="0"/>
              <w:spacing w:before="0" w:beforeAutospacing="0" w:after="0" w:afterAutospacing="0" w:line="360" w:lineRule="auto"/>
              <w:ind w:left="0" w:right="0"/>
              <w:rPr>
                <w:rFonts w:hint="default" w:ascii="宋体" w:hAnsi="宋体" w:cs="宋体"/>
                <w:color w:val="auto"/>
                <w:sz w:val="28"/>
                <w:szCs w:val="28"/>
                <w:highlight w:val="none"/>
              </w:rPr>
            </w:pPr>
            <w:r>
              <w:rPr>
                <w:rFonts w:hint="eastAsia" w:ascii="宋体" w:hAnsi="宋体" w:cs="宋体"/>
                <w:b/>
                <w:bCs/>
                <w:color w:val="auto"/>
                <w:sz w:val="28"/>
                <w:szCs w:val="28"/>
                <w:highlight w:val="none"/>
              </w:rPr>
              <w:t>日期：</w:t>
            </w:r>
            <w:r>
              <w:rPr>
                <w:rFonts w:hint="eastAsia" w:ascii="宋体" w:hAnsi="宋体" w:cs="宋体"/>
                <w:color w:val="auto"/>
                <w:w w:val="90"/>
                <w:kern w:val="0"/>
                <w:sz w:val="22"/>
                <w:szCs w:val="22"/>
                <w:highlight w:val="none"/>
              </w:rPr>
              <w:t>_____________________________________________________________________</w:t>
            </w:r>
          </w:p>
        </w:tc>
      </w:tr>
      <w:tr w14:paraId="7C38CE86">
        <w:tblPrEx>
          <w:tblCellMar>
            <w:top w:w="0" w:type="dxa"/>
            <w:left w:w="108" w:type="dxa"/>
            <w:bottom w:w="0" w:type="dxa"/>
            <w:right w:w="108" w:type="dxa"/>
          </w:tblCellMar>
        </w:tblPrEx>
        <w:trPr>
          <w:trHeight w:val="1152" w:hRule="atLeast"/>
        </w:trPr>
        <w:tc>
          <w:tcPr>
            <w:tcW w:w="9204" w:type="dxa"/>
            <w:vAlign w:val="center"/>
          </w:tcPr>
          <w:p w14:paraId="49E119A4">
            <w:pPr>
              <w:keepNext w:val="0"/>
              <w:keepLines w:val="0"/>
              <w:suppressLineNumbers w:val="0"/>
              <w:spacing w:before="0" w:beforeAutospacing="0" w:after="0" w:afterAutospacing="0" w:line="360" w:lineRule="auto"/>
              <w:ind w:left="0" w:right="0"/>
              <w:rPr>
                <w:rFonts w:hint="default" w:ascii="宋体" w:hAnsi="宋体" w:cs="宋体"/>
                <w:b/>
                <w:bCs/>
                <w:color w:val="auto"/>
                <w:sz w:val="28"/>
                <w:szCs w:val="28"/>
                <w:highlight w:val="none"/>
              </w:rPr>
            </w:pPr>
          </w:p>
          <w:p w14:paraId="269E4468">
            <w:pPr>
              <w:keepNext w:val="0"/>
              <w:keepLines w:val="0"/>
              <w:suppressLineNumbers w:val="0"/>
              <w:spacing w:before="0" w:beforeAutospacing="0" w:after="0" w:afterAutospacing="0" w:line="360" w:lineRule="auto"/>
              <w:ind w:left="0" w:right="0"/>
              <w:rPr>
                <w:rFonts w:hint="default" w:ascii="宋体" w:hAnsi="宋体" w:cs="宋体"/>
                <w:b/>
                <w:color w:val="auto"/>
                <w:sz w:val="28"/>
                <w:szCs w:val="28"/>
                <w:highlight w:val="none"/>
              </w:rPr>
            </w:pPr>
          </w:p>
        </w:tc>
      </w:tr>
    </w:tbl>
    <w:p w14:paraId="53B5055D">
      <w:pPr>
        <w:ind w:firstLine="1054" w:firstLineChars="500"/>
        <w:rPr>
          <w:rFonts w:ascii="宋体" w:hAnsi="宋体" w:cs="宋体"/>
          <w:b/>
          <w:bCs/>
          <w:color w:val="auto"/>
          <w:szCs w:val="21"/>
          <w:highlight w:val="none"/>
          <w:lang w:val="zh-CN" w:bidi="zh-CN"/>
        </w:rPr>
      </w:pPr>
    </w:p>
    <w:p w14:paraId="0A1DF9D2">
      <w:pPr>
        <w:spacing w:line="360" w:lineRule="auto"/>
        <w:jc w:val="center"/>
        <w:rPr>
          <w:rFonts w:ascii="宋体" w:hAnsi="宋体" w:cs="宋体"/>
          <w:b/>
          <w:bCs/>
          <w:color w:val="auto"/>
          <w:sz w:val="30"/>
          <w:szCs w:val="20"/>
          <w:highlight w:val="none"/>
        </w:rPr>
      </w:pPr>
      <w:r>
        <w:rPr>
          <w:rFonts w:hint="eastAsia" w:ascii="宋体" w:hAnsi="宋体" w:cs="宋体"/>
          <w:color w:val="auto"/>
          <w:sz w:val="24"/>
          <w:szCs w:val="22"/>
          <w:highlight w:val="none"/>
        </w:rPr>
        <w:br w:type="page"/>
      </w:r>
      <w:r>
        <w:rPr>
          <w:rFonts w:hint="eastAsia" w:ascii="宋体" w:hAnsi="宋体" w:cs="宋体"/>
          <w:b/>
          <w:bCs/>
          <w:color w:val="auto"/>
          <w:sz w:val="30"/>
          <w:szCs w:val="20"/>
          <w:highlight w:val="none"/>
        </w:rPr>
        <w:t>▲1、具有独立承担民事责任的能力的证明材料</w:t>
      </w:r>
    </w:p>
    <w:p w14:paraId="463A8218">
      <w:pPr>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要求：</w:t>
      </w:r>
    </w:p>
    <w:tbl>
      <w:tblPr>
        <w:tblStyle w:val="51"/>
        <w:tblW w:w="0" w:type="auto"/>
        <w:tblInd w:w="292"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634"/>
      </w:tblGrid>
      <w:tr w14:paraId="0D1C102F">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8500" w:hRule="atLeast"/>
        </w:trPr>
        <w:tc>
          <w:tcPr>
            <w:tcW w:w="9634" w:type="dxa"/>
            <w:vAlign w:val="center"/>
          </w:tcPr>
          <w:p w14:paraId="2F605B05">
            <w:pPr>
              <w:keepNext w:val="0"/>
              <w:keepLines w:val="0"/>
              <w:suppressLineNumbers w:val="0"/>
              <w:spacing w:before="0" w:beforeAutospacing="0" w:after="0" w:afterAutospacing="0" w:line="360" w:lineRule="auto"/>
              <w:ind w:left="0" w:right="0" w:firstLine="632" w:firstLineChars="300"/>
              <w:jc w:val="left"/>
              <w:rPr>
                <w:rFonts w:hint="default" w:ascii="宋体" w:hAnsi="宋体" w:cs="宋体"/>
                <w:b/>
                <w:color w:val="auto"/>
                <w:szCs w:val="21"/>
                <w:highlight w:val="none"/>
              </w:rPr>
            </w:pPr>
            <w:r>
              <w:rPr>
                <w:rFonts w:hint="eastAsia" w:ascii="宋体" w:hAnsi="宋体" w:cs="宋体"/>
                <w:b/>
                <w:color w:val="auto"/>
                <w:szCs w:val="21"/>
                <w:highlight w:val="none"/>
              </w:rPr>
              <w:t>证明材料：出具符合以下情况的证明材料复印件（五选一）：</w:t>
            </w:r>
          </w:p>
          <w:p w14:paraId="3A8C48CA">
            <w:pPr>
              <w:keepNext w:val="0"/>
              <w:keepLines w:val="0"/>
              <w:suppressLineNumbers w:val="0"/>
              <w:spacing w:before="0" w:beforeAutospacing="0" w:after="0" w:afterAutospacing="0" w:line="360" w:lineRule="auto"/>
              <w:ind w:left="0" w:right="0" w:firstLine="632" w:firstLineChars="300"/>
              <w:jc w:val="left"/>
              <w:rPr>
                <w:rFonts w:hint="default" w:ascii="宋体" w:hAnsi="宋体" w:cs="宋体"/>
                <w:b/>
                <w:color w:val="auto"/>
                <w:szCs w:val="21"/>
                <w:highlight w:val="none"/>
              </w:rPr>
            </w:pPr>
            <w:r>
              <w:rPr>
                <w:rFonts w:hint="eastAsia" w:ascii="宋体" w:hAnsi="宋体" w:cs="宋体"/>
                <w:b/>
                <w:color w:val="auto"/>
                <w:szCs w:val="21"/>
                <w:highlight w:val="none"/>
              </w:rPr>
              <w:t>A.如投标人是企业（包括合伙企业），提供在工商部门注册的有效“企业法人营业执照”或“营业执照”；</w:t>
            </w:r>
          </w:p>
          <w:p w14:paraId="3D883460">
            <w:pPr>
              <w:keepNext w:val="0"/>
              <w:keepLines w:val="0"/>
              <w:suppressLineNumbers w:val="0"/>
              <w:spacing w:before="0" w:beforeAutospacing="0" w:after="0" w:afterAutospacing="0" w:line="360" w:lineRule="auto"/>
              <w:ind w:left="0" w:right="0" w:firstLine="632" w:firstLineChars="300"/>
              <w:jc w:val="left"/>
              <w:rPr>
                <w:rFonts w:hint="default" w:ascii="宋体" w:hAnsi="宋体" w:cs="宋体"/>
                <w:b/>
                <w:color w:val="auto"/>
                <w:szCs w:val="21"/>
                <w:highlight w:val="none"/>
              </w:rPr>
            </w:pPr>
            <w:r>
              <w:rPr>
                <w:rFonts w:hint="eastAsia" w:ascii="宋体" w:hAnsi="宋体" w:cs="宋体"/>
                <w:b/>
                <w:color w:val="auto"/>
                <w:szCs w:val="21"/>
                <w:highlight w:val="none"/>
              </w:rPr>
              <w:t>B.如投标人是事业单位，提供有效的“事业单位法人证书”；</w:t>
            </w:r>
          </w:p>
          <w:p w14:paraId="6B679157">
            <w:pPr>
              <w:keepNext w:val="0"/>
              <w:keepLines w:val="0"/>
              <w:suppressLineNumbers w:val="0"/>
              <w:spacing w:before="0" w:beforeAutospacing="0" w:after="0" w:afterAutospacing="0" w:line="360" w:lineRule="auto"/>
              <w:ind w:left="0" w:right="0" w:firstLine="632" w:firstLineChars="300"/>
              <w:jc w:val="left"/>
              <w:rPr>
                <w:rFonts w:hint="default" w:ascii="宋体" w:hAnsi="宋体" w:cs="宋体"/>
                <w:b/>
                <w:color w:val="auto"/>
                <w:szCs w:val="21"/>
                <w:highlight w:val="none"/>
              </w:rPr>
            </w:pPr>
            <w:r>
              <w:rPr>
                <w:rFonts w:hint="eastAsia" w:ascii="宋体" w:hAnsi="宋体" w:cs="宋体"/>
                <w:b/>
                <w:color w:val="auto"/>
                <w:szCs w:val="21"/>
                <w:highlight w:val="none"/>
              </w:rPr>
              <w:t>C.如投标人是非企业专业服务机构的，提供执业许可证等证明文件；</w:t>
            </w:r>
          </w:p>
          <w:p w14:paraId="2B229C46">
            <w:pPr>
              <w:keepNext w:val="0"/>
              <w:keepLines w:val="0"/>
              <w:suppressLineNumbers w:val="0"/>
              <w:spacing w:before="0" w:beforeAutospacing="0" w:after="0" w:afterAutospacing="0" w:line="360" w:lineRule="auto"/>
              <w:ind w:left="0" w:right="0" w:firstLine="632" w:firstLineChars="300"/>
              <w:jc w:val="left"/>
              <w:rPr>
                <w:rFonts w:hint="default" w:ascii="宋体" w:hAnsi="宋体" w:cs="宋体"/>
                <w:b/>
                <w:color w:val="auto"/>
                <w:szCs w:val="21"/>
                <w:highlight w:val="none"/>
              </w:rPr>
            </w:pPr>
            <w:r>
              <w:rPr>
                <w:rFonts w:hint="eastAsia" w:ascii="宋体" w:hAnsi="宋体" w:cs="宋体"/>
                <w:b/>
                <w:color w:val="auto"/>
                <w:szCs w:val="21"/>
                <w:highlight w:val="none"/>
              </w:rPr>
              <w:t>D.如投标人是个体工商户，提供有效的“个体工商户营业执照”；</w:t>
            </w:r>
          </w:p>
          <w:p w14:paraId="3D71B6EF">
            <w:pPr>
              <w:keepNext w:val="0"/>
              <w:keepLines w:val="0"/>
              <w:suppressLineNumbers w:val="0"/>
              <w:spacing w:before="0" w:beforeAutospacing="0" w:after="0" w:afterAutospacing="0" w:line="360" w:lineRule="auto"/>
              <w:ind w:left="0" w:right="0" w:firstLine="632" w:firstLineChars="300"/>
              <w:jc w:val="left"/>
              <w:rPr>
                <w:rFonts w:hint="default" w:ascii="宋体" w:hAnsi="宋体" w:cs="宋体"/>
                <w:b/>
                <w:color w:val="auto"/>
                <w:szCs w:val="21"/>
                <w:highlight w:val="none"/>
              </w:rPr>
            </w:pPr>
            <w:r>
              <w:rPr>
                <w:rFonts w:hint="eastAsia" w:ascii="宋体" w:hAnsi="宋体" w:cs="宋体"/>
                <w:b/>
                <w:color w:val="auto"/>
                <w:szCs w:val="21"/>
                <w:highlight w:val="none"/>
              </w:rPr>
              <w:t>E.如投标人是自然人，提供有效的自然人身份证明（居民身份证正反面或公安机关出具的临时居民身份证正反面或港澳台胞证或护照）。</w:t>
            </w:r>
          </w:p>
          <w:p w14:paraId="54FEF3D7">
            <w:pPr>
              <w:keepNext w:val="0"/>
              <w:keepLines w:val="0"/>
              <w:suppressLineNumbers w:val="0"/>
              <w:spacing w:before="0" w:beforeAutospacing="0" w:after="0" w:afterAutospacing="0" w:line="360" w:lineRule="auto"/>
              <w:ind w:left="0" w:right="0" w:firstLine="632" w:firstLineChars="300"/>
              <w:jc w:val="left"/>
              <w:rPr>
                <w:rFonts w:hint="default" w:ascii="宋体" w:hAnsi="宋体" w:cs="宋体"/>
                <w:b/>
                <w:color w:val="auto"/>
                <w:szCs w:val="21"/>
                <w:highlight w:val="none"/>
              </w:rPr>
            </w:pPr>
          </w:p>
          <w:p w14:paraId="0C1EB8F3">
            <w:pPr>
              <w:keepNext w:val="0"/>
              <w:keepLines w:val="0"/>
              <w:suppressLineNumbers w:val="0"/>
              <w:spacing w:before="0" w:beforeAutospacing="0" w:after="0" w:afterAutospacing="0" w:line="360" w:lineRule="auto"/>
              <w:ind w:left="0" w:right="0" w:firstLine="632" w:firstLineChars="300"/>
              <w:jc w:val="left"/>
              <w:rPr>
                <w:rFonts w:hint="default" w:ascii="宋体" w:hAnsi="宋体" w:cs="宋体"/>
                <w:b/>
                <w:color w:val="auto"/>
                <w:szCs w:val="21"/>
                <w:highlight w:val="none"/>
              </w:rPr>
            </w:pPr>
            <w:r>
              <w:rPr>
                <w:rFonts w:hint="eastAsia" w:ascii="宋体" w:hAnsi="宋体" w:cs="宋体"/>
                <w:b/>
                <w:color w:val="auto"/>
                <w:szCs w:val="21"/>
                <w:highlight w:val="none"/>
              </w:rPr>
              <w:t>下附：营业执照或上述提到的其他资料复印件</w:t>
            </w:r>
            <w:r>
              <w:rPr>
                <w:rFonts w:hint="eastAsia" w:ascii="宋体" w:hAnsi="宋体" w:cs="宋体"/>
                <w:b/>
                <w:color w:val="auto"/>
                <w:szCs w:val="21"/>
                <w:highlight w:val="none"/>
                <w:lang w:val="en-US" w:eastAsia="zh-CN"/>
              </w:rPr>
              <w:t>以及房地产开发资质证书</w:t>
            </w:r>
            <w:r>
              <w:rPr>
                <w:rFonts w:hint="eastAsia" w:ascii="宋体" w:hAnsi="宋体" w:cs="宋体"/>
                <w:b/>
                <w:color w:val="auto"/>
                <w:szCs w:val="21"/>
                <w:highlight w:val="none"/>
              </w:rPr>
              <w:t>复印件，加盖投标人公章。</w:t>
            </w:r>
          </w:p>
          <w:p w14:paraId="42A6483A">
            <w:pPr>
              <w:keepNext w:val="0"/>
              <w:keepLines w:val="0"/>
              <w:suppressLineNumbers w:val="0"/>
              <w:spacing w:before="0" w:beforeAutospacing="0" w:after="0" w:afterAutospacing="0" w:line="440" w:lineRule="exact"/>
              <w:ind w:left="0" w:right="42" w:rightChars="20" w:firstLine="840" w:firstLineChars="400"/>
              <w:jc w:val="left"/>
              <w:rPr>
                <w:rFonts w:hint="default" w:ascii="宋体" w:hAnsi="宋体" w:cs="宋体"/>
                <w:color w:val="auto"/>
                <w:szCs w:val="21"/>
                <w:highlight w:val="none"/>
              </w:rPr>
            </w:pPr>
          </w:p>
          <w:p w14:paraId="597E8292">
            <w:pPr>
              <w:keepNext w:val="0"/>
              <w:keepLines w:val="0"/>
              <w:suppressLineNumbers w:val="0"/>
              <w:snapToGrid w:val="0"/>
              <w:spacing w:before="0" w:beforeAutospacing="0" w:after="0" w:afterAutospacing="0" w:line="500" w:lineRule="exact"/>
              <w:ind w:left="0" w:right="0" w:firstLine="300" w:firstLineChars="100"/>
              <w:rPr>
                <w:rFonts w:hint="default" w:ascii="宋体" w:hAnsi="宋体" w:cs="宋体"/>
                <w:color w:val="auto"/>
                <w:kern w:val="0"/>
                <w:szCs w:val="21"/>
                <w:highlight w:val="none"/>
              </w:rPr>
            </w:pPr>
            <w:r>
              <w:rPr>
                <w:rFonts w:hint="eastAsia" w:ascii="宋体" w:hAnsi="宋体" w:cs="宋体"/>
                <w:color w:val="auto"/>
                <w:sz w:val="30"/>
                <w:highlight w:val="none"/>
              </w:rPr>
              <w:t xml:space="preserve"> </w:t>
            </w:r>
            <w:r>
              <w:rPr>
                <w:rFonts w:hint="eastAsia" w:ascii="宋体" w:hAnsi="宋体" w:cs="宋体"/>
                <w:color w:val="auto"/>
                <w:kern w:val="0"/>
                <w:szCs w:val="21"/>
                <w:highlight w:val="none"/>
              </w:rPr>
              <w:t>注：1.金融、保险、通讯等特定行业的全国性企业所设立的区域性分支机构应提供总公司（总机构）授权；</w:t>
            </w:r>
          </w:p>
          <w:p w14:paraId="728FA891">
            <w:pPr>
              <w:keepNext w:val="0"/>
              <w:keepLines w:val="0"/>
              <w:suppressLineNumbers w:val="0"/>
              <w:snapToGrid w:val="0"/>
              <w:spacing w:before="0" w:beforeAutospacing="0" w:after="0" w:afterAutospacing="0" w:line="500" w:lineRule="exact"/>
              <w:ind w:left="0" w:right="0" w:firstLine="840" w:firstLineChars="400"/>
              <w:rPr>
                <w:rFonts w:hint="default" w:ascii="宋体" w:hAnsi="宋体" w:cs="宋体"/>
                <w:color w:val="auto"/>
                <w:kern w:val="0"/>
                <w:szCs w:val="21"/>
                <w:highlight w:val="none"/>
              </w:rPr>
            </w:pPr>
            <w:r>
              <w:rPr>
                <w:rFonts w:hint="eastAsia" w:ascii="宋体" w:hAnsi="宋体" w:cs="宋体"/>
                <w:color w:val="auto"/>
                <w:kern w:val="0"/>
                <w:szCs w:val="21"/>
                <w:highlight w:val="none"/>
              </w:rPr>
              <w:t>2.个体工商户、个人独资企业、合伙企业应提供房产权证或其他有效财产证明材料。</w:t>
            </w:r>
          </w:p>
          <w:p w14:paraId="1E2DA0CF">
            <w:pPr>
              <w:keepNext w:val="0"/>
              <w:keepLines w:val="0"/>
              <w:suppressLineNumbers w:val="0"/>
              <w:spacing w:before="0" w:beforeAutospacing="0" w:after="0" w:afterAutospacing="0" w:line="480" w:lineRule="auto"/>
              <w:ind w:left="0" w:right="0" w:firstLine="364" w:firstLineChars="151"/>
              <w:jc w:val="left"/>
              <w:rPr>
                <w:rFonts w:hint="default" w:ascii="宋体" w:hAnsi="宋体" w:cs="宋体"/>
                <w:b/>
                <w:i/>
                <w:color w:val="auto"/>
                <w:kern w:val="0"/>
                <w:sz w:val="24"/>
                <w:highlight w:val="none"/>
              </w:rPr>
            </w:pPr>
          </w:p>
        </w:tc>
      </w:tr>
    </w:tbl>
    <w:p w14:paraId="5A727D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4D840CB">
      <w:pPr>
        <w:pStyle w:val="28"/>
        <w:spacing w:line="360" w:lineRule="auto"/>
        <w:ind w:firstLine="3373" w:firstLineChars="1050"/>
        <w:rPr>
          <w:rFonts w:hAnsi="宋体" w:cs="宋体"/>
          <w:b/>
          <w:color w:val="auto"/>
          <w:sz w:val="32"/>
          <w:highlight w:val="none"/>
        </w:rPr>
      </w:pPr>
    </w:p>
    <w:p w14:paraId="631E41E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1B497A0">
      <w:pPr>
        <w:pStyle w:val="28"/>
        <w:spacing w:line="360" w:lineRule="auto"/>
        <w:ind w:firstLine="3373" w:firstLineChars="1050"/>
        <w:rPr>
          <w:rFonts w:hAnsi="宋体" w:cs="宋体"/>
          <w:b/>
          <w:color w:val="auto"/>
          <w:sz w:val="32"/>
          <w:highlight w:val="none"/>
        </w:rPr>
      </w:pPr>
    </w:p>
    <w:p w14:paraId="4E2F7A4F">
      <w:pPr>
        <w:rPr>
          <w:color w:val="auto"/>
          <w:highlight w:val="none"/>
        </w:rPr>
      </w:pPr>
    </w:p>
    <w:p w14:paraId="354F9651">
      <w:pPr>
        <w:pStyle w:val="30"/>
        <w:rPr>
          <w:rFonts w:ascii="宋体" w:hAnsi="宋体" w:eastAsia="宋体" w:cs="宋体"/>
          <w:b/>
          <w:color w:val="auto"/>
          <w:sz w:val="32"/>
          <w:highlight w:val="none"/>
        </w:rPr>
      </w:pPr>
    </w:p>
    <w:p w14:paraId="11BC07D9">
      <w:pPr>
        <w:rPr>
          <w:color w:val="auto"/>
          <w:highlight w:val="none"/>
        </w:rPr>
      </w:pPr>
    </w:p>
    <w:p w14:paraId="48AE2734">
      <w:pPr>
        <w:rPr>
          <w:rFonts w:ascii="宋体" w:hAnsi="宋体" w:cs="宋体"/>
          <w:b/>
          <w:color w:val="auto"/>
          <w:sz w:val="32"/>
          <w:highlight w:val="none"/>
        </w:rPr>
      </w:pPr>
    </w:p>
    <w:p w14:paraId="522F345C">
      <w:pPr>
        <w:rPr>
          <w:rFonts w:ascii="宋体" w:hAnsi="宋体" w:cs="宋体"/>
          <w:b/>
          <w:color w:val="auto"/>
          <w:sz w:val="32"/>
          <w:highlight w:val="none"/>
        </w:rPr>
      </w:pPr>
    </w:p>
    <w:p w14:paraId="2A66531C">
      <w:pPr>
        <w:pStyle w:val="22"/>
        <w:rPr>
          <w:rFonts w:ascii="宋体" w:hAnsi="宋体" w:cs="宋体"/>
          <w:color w:val="auto"/>
          <w:highlight w:val="none"/>
        </w:rPr>
      </w:pPr>
    </w:p>
    <w:p w14:paraId="65746D26">
      <w:pPr>
        <w:spacing w:line="360" w:lineRule="auto"/>
        <w:jc w:val="center"/>
        <w:rPr>
          <w:rFonts w:ascii="宋体" w:hAnsi="宋体" w:cs="宋体"/>
          <w:b/>
          <w:bCs/>
          <w:color w:val="auto"/>
          <w:sz w:val="30"/>
          <w:highlight w:val="none"/>
        </w:rPr>
      </w:pPr>
      <w:r>
        <w:rPr>
          <w:rFonts w:hint="eastAsia" w:ascii="宋体" w:hAnsi="宋体" w:cs="宋体"/>
          <w:b/>
          <w:bCs/>
          <w:color w:val="auto"/>
          <w:sz w:val="30"/>
          <w:highlight w:val="none"/>
        </w:rPr>
        <w:t>▲</w:t>
      </w:r>
      <w:r>
        <w:rPr>
          <w:rFonts w:hint="eastAsia" w:hAnsi="宋体" w:cs="宋体"/>
          <w:b/>
          <w:bCs/>
          <w:color w:val="auto"/>
          <w:sz w:val="30"/>
          <w:highlight w:val="none"/>
        </w:rPr>
        <w:t>2</w:t>
      </w:r>
      <w:r>
        <w:rPr>
          <w:rFonts w:hint="eastAsia" w:ascii="宋体" w:hAnsi="宋体" w:cs="宋体"/>
          <w:b/>
          <w:bCs/>
          <w:color w:val="auto"/>
          <w:sz w:val="30"/>
          <w:highlight w:val="none"/>
        </w:rPr>
        <w:t>、符合资格条件的声明函</w:t>
      </w:r>
    </w:p>
    <w:p w14:paraId="6D3F397E">
      <w:pPr>
        <w:pStyle w:val="19"/>
        <w:rPr>
          <w:rStyle w:val="102"/>
          <w:rFonts w:ascii="宋体" w:hAnsi="宋体" w:eastAsia="宋体" w:cs="宋体"/>
          <w:color w:val="auto"/>
          <w:szCs w:val="21"/>
          <w:highlight w:val="none"/>
          <w:u w:val="single" w:color="000000"/>
        </w:rPr>
      </w:pPr>
      <w:r>
        <w:rPr>
          <w:rStyle w:val="102"/>
          <w:rFonts w:hint="eastAsia" w:ascii="宋体" w:hAnsi="宋体" w:eastAsia="宋体" w:cs="宋体"/>
          <w:color w:val="auto"/>
          <w:szCs w:val="21"/>
          <w:highlight w:val="none"/>
          <w:u w:val="single" w:color="000000"/>
        </w:rPr>
        <w:t>云和县城市建设投资集团有限公司、浙江大兴建设项目管理咨询有限公司：</w:t>
      </w:r>
    </w:p>
    <w:p w14:paraId="2484125A">
      <w:pPr>
        <w:snapToGrid w:val="0"/>
        <w:spacing w:line="500" w:lineRule="exact"/>
        <w:ind w:firstLine="420" w:firstLineChars="200"/>
        <w:textAlignment w:val="baseline"/>
        <w:rPr>
          <w:rStyle w:val="102"/>
          <w:rFonts w:ascii="宋体" w:hAnsi="宋体" w:cs="宋体"/>
          <w:color w:val="auto"/>
          <w:szCs w:val="21"/>
          <w:highlight w:val="none"/>
        </w:rPr>
      </w:pPr>
      <w:r>
        <w:rPr>
          <w:rStyle w:val="102"/>
          <w:rFonts w:hint="eastAsia" w:ascii="宋体" w:hAnsi="宋体" w:cs="宋体"/>
          <w:color w:val="auto"/>
          <w:szCs w:val="21"/>
          <w:highlight w:val="none"/>
        </w:rPr>
        <w:t>我单位----</w:t>
      </w:r>
      <w:r>
        <w:rPr>
          <w:rStyle w:val="102"/>
          <w:rFonts w:hint="eastAsia" w:ascii="宋体" w:hAnsi="宋体" w:cs="宋体"/>
          <w:color w:val="auto"/>
          <w:szCs w:val="21"/>
          <w:highlight w:val="none"/>
          <w:u w:val="single" w:color="000000"/>
        </w:rPr>
        <w:t xml:space="preserve">                  （投标人全称）</w:t>
      </w:r>
      <w:r>
        <w:rPr>
          <w:rStyle w:val="102"/>
          <w:rFonts w:hint="eastAsia" w:ascii="宋体" w:hAnsi="宋体" w:cs="宋体"/>
          <w:bCs/>
          <w:color w:val="auto"/>
          <w:szCs w:val="21"/>
          <w:highlight w:val="none"/>
        </w:rPr>
        <w:t>参与</w:t>
      </w:r>
      <w:r>
        <w:rPr>
          <w:color w:val="auto"/>
          <w:highlight w:val="none"/>
        </w:rPr>
        <w:fldChar w:fldCharType="begin"/>
      </w:r>
      <w:r>
        <w:rPr>
          <w:color w:val="auto"/>
          <w:highlight w:val="none"/>
        </w:rPr>
        <w:instrText xml:space="preserve"> HYPERLINK "https://bidding.zcygov.cn/xmgl/projectQuery/queryDetail?projectUuid=5c859e260a927c18" \l "/purchaseFileMake/_blank" \t "https://www.zcygov.cn/bidding-entrust/" </w:instrText>
      </w:r>
      <w:r>
        <w:rPr>
          <w:color w:val="auto"/>
          <w:highlight w:val="none"/>
        </w:rPr>
        <w:fldChar w:fldCharType="separate"/>
      </w:r>
      <w:r>
        <w:rPr>
          <w:color w:val="auto"/>
          <w:highlight w:val="none"/>
        </w:rPr>
        <w:fldChar w:fldCharType="end"/>
      </w:r>
      <w:r>
        <w:rPr>
          <w:rFonts w:hint="eastAsia" w:ascii="宋体" w:hAnsi="宋体" w:cs="宋体"/>
          <w:color w:val="auto"/>
          <w:spacing w:val="6"/>
          <w:szCs w:val="21"/>
          <w:highlight w:val="none"/>
        </w:rPr>
        <w:t>（项目名称</w:t>
      </w:r>
      <w:r>
        <w:rPr>
          <w:rStyle w:val="102"/>
          <w:rFonts w:hint="eastAsia" w:ascii="宋体" w:hAnsi="宋体" w:cs="宋体"/>
          <w:bCs/>
          <w:color w:val="auto"/>
          <w:szCs w:val="21"/>
          <w:highlight w:val="none"/>
        </w:rPr>
        <w:t>：</w:t>
      </w:r>
      <w:r>
        <w:rPr>
          <w:rStyle w:val="102"/>
          <w:rFonts w:hint="eastAsia" w:ascii="宋体" w:hAnsi="宋体" w:cs="宋体"/>
          <w:bCs/>
          <w:color w:val="auto"/>
          <w:szCs w:val="21"/>
          <w:highlight w:val="none"/>
          <w:u w:val="single" w:color="000000"/>
        </w:rPr>
        <w:t xml:space="preserve">            </w:t>
      </w:r>
      <w:r>
        <w:rPr>
          <w:rFonts w:hint="eastAsia" w:ascii="宋体" w:hAnsi="宋体" w:cs="宋体"/>
          <w:color w:val="auto"/>
          <w:spacing w:val="6"/>
          <w:szCs w:val="21"/>
          <w:highlight w:val="none"/>
        </w:rPr>
        <w:t>）</w:t>
      </w:r>
      <w:r>
        <w:rPr>
          <w:rStyle w:val="102"/>
          <w:rFonts w:hint="eastAsia" w:ascii="宋体" w:hAnsi="宋体" w:cs="宋体"/>
          <w:bCs/>
          <w:color w:val="auto"/>
          <w:szCs w:val="21"/>
          <w:highlight w:val="none"/>
        </w:rPr>
        <w:t>（项目编号：</w:t>
      </w:r>
      <w:r>
        <w:rPr>
          <w:rStyle w:val="102"/>
          <w:rFonts w:hint="eastAsia" w:ascii="宋体" w:hAnsi="宋体" w:cs="宋体"/>
          <w:bCs/>
          <w:color w:val="auto"/>
          <w:szCs w:val="21"/>
          <w:highlight w:val="none"/>
          <w:u w:val="single" w:color="000000"/>
        </w:rPr>
        <w:t xml:space="preserve">             </w:t>
      </w:r>
      <w:r>
        <w:rPr>
          <w:rStyle w:val="102"/>
          <w:rFonts w:hint="eastAsia" w:ascii="宋体" w:hAnsi="宋体" w:cs="宋体"/>
          <w:bCs/>
          <w:color w:val="auto"/>
          <w:szCs w:val="21"/>
          <w:highlight w:val="none"/>
        </w:rPr>
        <w:t>）投标，郑重</w:t>
      </w:r>
      <w:r>
        <w:rPr>
          <w:rStyle w:val="102"/>
          <w:rFonts w:hint="eastAsia" w:ascii="宋体" w:hAnsi="宋体" w:cs="宋体"/>
          <w:color w:val="auto"/>
          <w:szCs w:val="21"/>
          <w:highlight w:val="none"/>
        </w:rPr>
        <w:t>承诺具备下列条件：</w:t>
      </w:r>
    </w:p>
    <w:p w14:paraId="396F6D58">
      <w:pPr>
        <w:snapToGrid w:val="0"/>
        <w:spacing w:line="500" w:lineRule="exact"/>
        <w:ind w:firstLine="420" w:firstLineChars="200"/>
        <w:textAlignment w:val="baseline"/>
        <w:rPr>
          <w:rStyle w:val="102"/>
          <w:rFonts w:ascii="宋体" w:hAnsi="宋体" w:cs="宋体"/>
          <w:bCs/>
          <w:color w:val="auto"/>
          <w:szCs w:val="21"/>
          <w:highlight w:val="none"/>
        </w:rPr>
      </w:pPr>
      <w:r>
        <w:rPr>
          <w:rStyle w:val="102"/>
          <w:rFonts w:hint="eastAsia" w:ascii="宋体" w:hAnsi="宋体" w:cs="宋体"/>
          <w:bCs/>
          <w:color w:val="auto"/>
          <w:szCs w:val="21"/>
          <w:highlight w:val="none"/>
        </w:rPr>
        <w:t>1.具有独立承担民事责任的能力；</w:t>
      </w:r>
    </w:p>
    <w:p w14:paraId="57144EB7">
      <w:pPr>
        <w:snapToGrid w:val="0"/>
        <w:spacing w:line="500" w:lineRule="exact"/>
        <w:ind w:firstLine="420" w:firstLineChars="200"/>
        <w:textAlignment w:val="baseline"/>
        <w:rPr>
          <w:rStyle w:val="102"/>
          <w:rFonts w:ascii="宋体" w:hAnsi="宋体" w:cs="宋体"/>
          <w:bCs/>
          <w:color w:val="auto"/>
          <w:szCs w:val="21"/>
          <w:highlight w:val="none"/>
        </w:rPr>
      </w:pPr>
      <w:r>
        <w:rPr>
          <w:rStyle w:val="102"/>
          <w:rFonts w:hint="eastAsia" w:ascii="宋体" w:hAnsi="宋体" w:cs="宋体"/>
          <w:bCs/>
          <w:color w:val="auto"/>
          <w:szCs w:val="21"/>
          <w:highlight w:val="none"/>
        </w:rPr>
        <w:t>2.具有良好的商业信誉和健全的财务会计制度；</w:t>
      </w:r>
    </w:p>
    <w:p w14:paraId="2F654EBC">
      <w:pPr>
        <w:snapToGrid w:val="0"/>
        <w:spacing w:line="500" w:lineRule="exact"/>
        <w:ind w:firstLine="420" w:firstLineChars="200"/>
        <w:textAlignment w:val="baseline"/>
        <w:rPr>
          <w:rStyle w:val="102"/>
          <w:rFonts w:ascii="宋体" w:hAnsi="宋体" w:cs="宋体"/>
          <w:bCs/>
          <w:color w:val="auto"/>
          <w:szCs w:val="21"/>
          <w:highlight w:val="none"/>
        </w:rPr>
      </w:pPr>
      <w:r>
        <w:rPr>
          <w:rStyle w:val="102"/>
          <w:rFonts w:hint="eastAsia" w:ascii="宋体" w:hAnsi="宋体" w:cs="宋体"/>
          <w:bCs/>
          <w:color w:val="auto"/>
          <w:szCs w:val="21"/>
          <w:highlight w:val="none"/>
        </w:rPr>
        <w:t>3.具有履行合同所必需的专业技术能力；</w:t>
      </w:r>
    </w:p>
    <w:p w14:paraId="2AEFD782">
      <w:pPr>
        <w:snapToGrid w:val="0"/>
        <w:spacing w:line="500" w:lineRule="exact"/>
        <w:ind w:firstLine="420" w:firstLineChars="200"/>
        <w:textAlignment w:val="baseline"/>
        <w:rPr>
          <w:rStyle w:val="102"/>
          <w:rFonts w:ascii="宋体" w:hAnsi="宋体" w:cs="宋体"/>
          <w:color w:val="auto"/>
          <w:szCs w:val="21"/>
          <w:highlight w:val="none"/>
        </w:rPr>
      </w:pPr>
      <w:r>
        <w:rPr>
          <w:rStyle w:val="102"/>
          <w:rFonts w:hint="eastAsia" w:ascii="宋体" w:hAnsi="宋体" w:cs="宋体"/>
          <w:bCs/>
          <w:color w:val="auto"/>
          <w:szCs w:val="21"/>
          <w:highlight w:val="none"/>
        </w:rPr>
        <w:t>4.有依法缴纳税收和社会保障资金的良好记</w:t>
      </w:r>
      <w:r>
        <w:rPr>
          <w:rStyle w:val="102"/>
          <w:rFonts w:hint="eastAsia" w:ascii="宋体" w:hAnsi="宋体" w:cs="宋体"/>
          <w:color w:val="auto"/>
          <w:szCs w:val="21"/>
          <w:highlight w:val="none"/>
        </w:rPr>
        <w:t>录；</w:t>
      </w:r>
    </w:p>
    <w:p w14:paraId="552EC1DF">
      <w:pPr>
        <w:snapToGrid w:val="0"/>
        <w:spacing w:line="500" w:lineRule="exact"/>
        <w:ind w:firstLine="420" w:firstLineChars="200"/>
        <w:textAlignment w:val="baseline"/>
        <w:rPr>
          <w:rStyle w:val="102"/>
          <w:rFonts w:ascii="宋体" w:hAnsi="宋体" w:cs="宋体"/>
          <w:color w:val="auto"/>
          <w:szCs w:val="21"/>
          <w:highlight w:val="none"/>
        </w:rPr>
      </w:pPr>
      <w:r>
        <w:rPr>
          <w:rStyle w:val="102"/>
          <w:rFonts w:hint="eastAsia" w:ascii="宋体" w:hAnsi="宋体" w:cs="宋体"/>
          <w:color w:val="auto"/>
          <w:szCs w:val="21"/>
          <w:highlight w:val="none"/>
        </w:rPr>
        <w:t>5.参加</w:t>
      </w:r>
      <w:r>
        <w:rPr>
          <w:rStyle w:val="102"/>
          <w:rFonts w:hint="eastAsia" w:ascii="宋体" w:hAnsi="宋体" w:cs="宋体"/>
          <w:bCs/>
          <w:color w:val="auto"/>
          <w:szCs w:val="21"/>
          <w:highlight w:val="none"/>
        </w:rPr>
        <w:t>本项目采购活动前三</w:t>
      </w:r>
      <w:r>
        <w:rPr>
          <w:rStyle w:val="102"/>
          <w:rFonts w:hint="eastAsia" w:ascii="宋体" w:hAnsi="宋体" w:cs="宋体"/>
          <w:color w:val="auto"/>
          <w:szCs w:val="21"/>
          <w:highlight w:val="none"/>
        </w:rPr>
        <w:t>年内，在经营活动中没有重大违法记录（包括行贿犯罪记录）。</w:t>
      </w:r>
    </w:p>
    <w:p w14:paraId="6849D50E">
      <w:pPr>
        <w:snapToGrid w:val="0"/>
        <w:spacing w:line="500" w:lineRule="exact"/>
        <w:ind w:firstLine="420" w:firstLineChars="200"/>
        <w:textAlignment w:val="baseline"/>
        <w:rPr>
          <w:rStyle w:val="102"/>
          <w:rFonts w:ascii="宋体" w:hAnsi="宋体" w:cs="宋体"/>
          <w:color w:val="auto"/>
          <w:szCs w:val="21"/>
          <w:highlight w:val="none"/>
        </w:rPr>
      </w:pPr>
      <w:r>
        <w:rPr>
          <w:rStyle w:val="102"/>
          <w:rFonts w:hint="eastAsia" w:ascii="宋体" w:hAnsi="宋体" w:cs="宋体"/>
          <w:color w:val="auto"/>
          <w:szCs w:val="21"/>
          <w:highlight w:val="none"/>
        </w:rPr>
        <w:t>6.开标截止时间前未被“信用中国”网站（www.creditchina.gov.cn）、中国政府采购网（www.ccgp.gov.cn）列入失信被执行人、重大税收违法当事人名单、采购严重违法失信行为记录名单</w:t>
      </w:r>
      <w:r>
        <w:rPr>
          <w:rStyle w:val="102"/>
          <w:rFonts w:hint="eastAsia" w:ascii="宋体" w:hAnsi="宋体" w:cs="宋体"/>
          <w:b/>
          <w:color w:val="auto"/>
          <w:szCs w:val="21"/>
          <w:highlight w:val="none"/>
        </w:rPr>
        <w:t>（注：本项内容以代理机构在资格审查现场查询为准）；</w:t>
      </w:r>
    </w:p>
    <w:p w14:paraId="41F65B79">
      <w:pPr>
        <w:snapToGrid w:val="0"/>
        <w:spacing w:line="500" w:lineRule="exact"/>
        <w:ind w:firstLine="420" w:firstLineChars="200"/>
        <w:textAlignment w:val="baseline"/>
        <w:rPr>
          <w:rStyle w:val="102"/>
          <w:rFonts w:ascii="宋体" w:hAnsi="宋体" w:cs="宋体"/>
          <w:color w:val="auto"/>
          <w:szCs w:val="21"/>
          <w:highlight w:val="none"/>
        </w:rPr>
      </w:pPr>
      <w:r>
        <w:rPr>
          <w:rStyle w:val="102"/>
          <w:rFonts w:hint="eastAsia" w:ascii="宋体" w:hAnsi="宋体" w:cs="宋体"/>
          <w:color w:val="auto"/>
          <w:szCs w:val="21"/>
          <w:highlight w:val="none"/>
        </w:rPr>
        <w:t>7</w:t>
      </w:r>
      <w:r>
        <w:rPr>
          <w:rStyle w:val="102"/>
          <w:rFonts w:ascii="宋体" w:hAnsi="宋体" w:cs="宋体"/>
          <w:color w:val="auto"/>
          <w:szCs w:val="21"/>
          <w:highlight w:val="none"/>
        </w:rPr>
        <w:t>.</w:t>
      </w:r>
      <w:r>
        <w:rPr>
          <w:rFonts w:hint="eastAsia"/>
          <w:color w:val="auto"/>
          <w:highlight w:val="none"/>
        </w:rPr>
        <w:t xml:space="preserve"> </w:t>
      </w:r>
      <w:r>
        <w:rPr>
          <w:rStyle w:val="102"/>
          <w:rFonts w:hint="eastAsia" w:ascii="宋体" w:hAnsi="宋体" w:cs="宋体"/>
          <w:color w:val="auto"/>
          <w:szCs w:val="21"/>
          <w:highlight w:val="none"/>
        </w:rPr>
        <w:t>投标人遵守有关的法律法规和规章条例。</w:t>
      </w:r>
    </w:p>
    <w:p w14:paraId="31263DFA">
      <w:pPr>
        <w:pStyle w:val="20"/>
        <w:rPr>
          <w:b/>
          <w:color w:val="auto"/>
          <w:sz w:val="32"/>
          <w:szCs w:val="32"/>
          <w:highlight w:val="none"/>
          <w:lang w:val="en-US"/>
        </w:rPr>
      </w:pPr>
    </w:p>
    <w:p w14:paraId="769CAC2C">
      <w:pPr>
        <w:snapToGrid w:val="0"/>
        <w:spacing w:line="500" w:lineRule="exact"/>
        <w:ind w:firstLine="422" w:firstLineChars="200"/>
        <w:textAlignment w:val="baseline"/>
        <w:rPr>
          <w:rStyle w:val="102"/>
          <w:rFonts w:ascii="宋体" w:hAnsi="宋体" w:cs="宋体"/>
          <w:b/>
          <w:color w:val="auto"/>
          <w:szCs w:val="21"/>
          <w:highlight w:val="none"/>
        </w:rPr>
      </w:pPr>
      <w:r>
        <w:rPr>
          <w:rStyle w:val="102"/>
          <w:rFonts w:hint="eastAsia" w:ascii="宋体" w:hAnsi="宋体" w:cs="宋体"/>
          <w:b/>
          <w:color w:val="auto"/>
          <w:szCs w:val="21"/>
          <w:highlight w:val="none"/>
        </w:rPr>
        <w:t>如有虚假，采购人可取消我单位任何资格（投标/中标/签订合同），我单位对此无任何异议。</w:t>
      </w:r>
    </w:p>
    <w:p w14:paraId="0B2B50C3">
      <w:pPr>
        <w:snapToGrid w:val="0"/>
        <w:spacing w:line="500" w:lineRule="exact"/>
        <w:ind w:firstLine="422" w:firstLineChars="200"/>
        <w:textAlignment w:val="baseline"/>
        <w:rPr>
          <w:rStyle w:val="102"/>
          <w:rFonts w:ascii="宋体" w:hAnsi="宋体" w:cs="宋体"/>
          <w:b/>
          <w:color w:val="auto"/>
          <w:szCs w:val="21"/>
          <w:highlight w:val="none"/>
        </w:rPr>
      </w:pPr>
    </w:p>
    <w:p w14:paraId="6A18BD43">
      <w:pPr>
        <w:snapToGrid w:val="0"/>
        <w:spacing w:line="500" w:lineRule="exact"/>
        <w:ind w:firstLine="422" w:firstLineChars="200"/>
        <w:textAlignment w:val="baseline"/>
        <w:rPr>
          <w:rStyle w:val="102"/>
          <w:rFonts w:ascii="宋体" w:hAnsi="宋体" w:cs="宋体"/>
          <w:b/>
          <w:color w:val="auto"/>
          <w:szCs w:val="21"/>
          <w:highlight w:val="none"/>
        </w:rPr>
      </w:pPr>
      <w:r>
        <w:rPr>
          <w:rStyle w:val="102"/>
          <w:rFonts w:hint="eastAsia" w:ascii="宋体" w:hAnsi="宋体" w:cs="宋体"/>
          <w:b/>
          <w:color w:val="auto"/>
          <w:szCs w:val="21"/>
          <w:highlight w:val="none"/>
        </w:rPr>
        <w:t>特此声明！</w:t>
      </w:r>
    </w:p>
    <w:p w14:paraId="3F517C14">
      <w:pPr>
        <w:tabs>
          <w:tab w:val="left" w:pos="9180"/>
        </w:tabs>
        <w:snapToGrid w:val="0"/>
        <w:spacing w:line="500" w:lineRule="exact"/>
        <w:ind w:firstLine="420" w:firstLineChars="200"/>
        <w:textAlignment w:val="baseline"/>
        <w:rPr>
          <w:rStyle w:val="102"/>
          <w:rFonts w:ascii="宋体" w:hAnsi="宋体" w:cs="宋体"/>
          <w:color w:val="auto"/>
          <w:szCs w:val="21"/>
          <w:highlight w:val="none"/>
        </w:rPr>
      </w:pPr>
    </w:p>
    <w:p w14:paraId="44BC7563">
      <w:pPr>
        <w:tabs>
          <w:tab w:val="left" w:pos="9180"/>
        </w:tabs>
        <w:snapToGrid w:val="0"/>
        <w:spacing w:line="500" w:lineRule="exact"/>
        <w:ind w:firstLine="420" w:firstLineChars="200"/>
        <w:textAlignment w:val="baseline"/>
        <w:rPr>
          <w:rStyle w:val="102"/>
          <w:rFonts w:ascii="宋体" w:hAnsi="宋体" w:cs="宋体"/>
          <w:color w:val="auto"/>
          <w:szCs w:val="21"/>
          <w:highlight w:val="none"/>
        </w:rPr>
      </w:pPr>
      <w:r>
        <w:rPr>
          <w:rStyle w:val="102"/>
          <w:rFonts w:hint="eastAsia" w:ascii="宋体" w:hAnsi="宋体" w:cs="宋体"/>
          <w:color w:val="auto"/>
          <w:szCs w:val="21"/>
          <w:highlight w:val="none"/>
        </w:rPr>
        <w:t>注：参加采购活动的时间是指投标人参加本项目的采购活动时间（具体以开标截止时间为准）。</w:t>
      </w:r>
    </w:p>
    <w:p w14:paraId="37C2AF04">
      <w:pPr>
        <w:tabs>
          <w:tab w:val="left" w:pos="9180"/>
        </w:tabs>
        <w:snapToGrid w:val="0"/>
        <w:spacing w:line="500" w:lineRule="exact"/>
        <w:ind w:firstLine="632" w:firstLineChars="300"/>
        <w:textAlignment w:val="baseline"/>
        <w:rPr>
          <w:rStyle w:val="102"/>
          <w:rFonts w:ascii="宋体" w:hAnsi="宋体" w:cs="宋体"/>
          <w:b/>
          <w:color w:val="auto"/>
          <w:szCs w:val="21"/>
          <w:highlight w:val="none"/>
        </w:rPr>
      </w:pPr>
    </w:p>
    <w:p w14:paraId="32216637">
      <w:pPr>
        <w:snapToGrid w:val="0"/>
        <w:spacing w:line="360" w:lineRule="auto"/>
        <w:jc w:val="center"/>
        <w:textAlignment w:val="baseline"/>
        <w:rPr>
          <w:rStyle w:val="102"/>
          <w:rFonts w:ascii="宋体" w:hAnsi="宋体" w:cs="宋体"/>
          <w:color w:val="auto"/>
          <w:sz w:val="30"/>
          <w:highlight w:val="none"/>
        </w:rPr>
      </w:pPr>
    </w:p>
    <w:p w14:paraId="5638F5B7">
      <w:pPr>
        <w:spacing w:line="500" w:lineRule="exact"/>
        <w:ind w:firstLine="5250" w:firstLineChars="2500"/>
        <w:jc w:val="left"/>
        <w:rPr>
          <w:rFonts w:ascii="宋体" w:hAnsi="宋体" w:cs="宋体"/>
          <w:color w:val="auto"/>
          <w:szCs w:val="21"/>
          <w:highlight w:val="none"/>
        </w:rPr>
      </w:pPr>
      <w:r>
        <w:rPr>
          <w:rFonts w:hint="eastAsia" w:ascii="宋体" w:hAnsi="宋体" w:cs="宋体"/>
          <w:color w:val="auto"/>
          <w:szCs w:val="21"/>
          <w:highlight w:val="none"/>
        </w:rPr>
        <w:t>投标人盖章：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6446228">
      <w:pPr>
        <w:spacing w:line="500" w:lineRule="exact"/>
        <w:ind w:firstLine="5250" w:firstLineChars="2500"/>
        <w:jc w:val="left"/>
        <w:rPr>
          <w:rFonts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03F22EC6">
      <w:pPr>
        <w:pStyle w:val="22"/>
        <w:rPr>
          <w:rFonts w:ascii="宋体" w:hAnsi="宋体" w:cs="宋体"/>
          <w:b/>
          <w:color w:val="auto"/>
          <w:szCs w:val="18"/>
          <w:highlight w:val="none"/>
          <w:u w:val="single"/>
        </w:rPr>
      </w:pPr>
    </w:p>
    <w:p w14:paraId="75A3BD5F">
      <w:pPr>
        <w:rPr>
          <w:rFonts w:ascii="宋体" w:hAnsi="宋体" w:cs="宋体"/>
          <w:b/>
          <w:color w:val="auto"/>
          <w:sz w:val="28"/>
          <w:szCs w:val="18"/>
          <w:highlight w:val="none"/>
          <w:u w:val="single"/>
        </w:rPr>
      </w:pPr>
    </w:p>
    <w:p w14:paraId="3EAD4841">
      <w:pPr>
        <w:pStyle w:val="22"/>
        <w:rPr>
          <w:rFonts w:ascii="宋体" w:hAnsi="宋体" w:cs="宋体"/>
          <w:b/>
          <w:color w:val="auto"/>
          <w:szCs w:val="18"/>
          <w:highlight w:val="none"/>
          <w:u w:val="single"/>
        </w:rPr>
      </w:pPr>
    </w:p>
    <w:p w14:paraId="131958D7">
      <w:pPr>
        <w:rPr>
          <w:color w:val="auto"/>
          <w:highlight w:val="none"/>
        </w:rPr>
      </w:pPr>
    </w:p>
    <w:p w14:paraId="3BAC6300">
      <w:pPr>
        <w:rPr>
          <w:color w:val="auto"/>
          <w:highlight w:val="none"/>
        </w:rPr>
      </w:pPr>
    </w:p>
    <w:p w14:paraId="3E344B47">
      <w:pPr>
        <w:pStyle w:val="24"/>
        <w:rPr>
          <w:color w:val="auto"/>
          <w:highlight w:val="none"/>
        </w:rPr>
      </w:pPr>
    </w:p>
    <w:p w14:paraId="632C07D7">
      <w:pPr>
        <w:pStyle w:val="20"/>
        <w:rPr>
          <w:b/>
          <w:color w:val="auto"/>
          <w:sz w:val="32"/>
          <w:szCs w:val="32"/>
          <w:highlight w:val="none"/>
          <w:lang w:val="en-US"/>
        </w:rPr>
      </w:pPr>
    </w:p>
    <w:p w14:paraId="3058D262">
      <w:pPr>
        <w:pStyle w:val="28"/>
        <w:spacing w:line="360" w:lineRule="auto"/>
        <w:ind w:firstLine="2711" w:firstLineChars="900"/>
        <w:rPr>
          <w:rFonts w:hAnsi="宋体" w:cs="宋体"/>
          <w:b/>
          <w:bCs/>
          <w:color w:val="auto"/>
          <w:sz w:val="30"/>
          <w:highlight w:val="none"/>
        </w:rPr>
      </w:pPr>
      <w:r>
        <w:rPr>
          <w:rFonts w:hint="eastAsia" w:hAnsi="宋体" w:cs="宋体"/>
          <w:b/>
          <w:bCs/>
          <w:color w:val="auto"/>
          <w:sz w:val="30"/>
          <w:highlight w:val="none"/>
        </w:rPr>
        <w:t>▲3、符合特定资格条件的声明函</w:t>
      </w:r>
    </w:p>
    <w:p w14:paraId="4CD2A5ED">
      <w:pPr>
        <w:pStyle w:val="19"/>
        <w:rPr>
          <w:rStyle w:val="102"/>
          <w:rFonts w:ascii="宋体" w:hAnsi="宋体" w:eastAsia="宋体" w:cs="宋体"/>
          <w:color w:val="auto"/>
          <w:szCs w:val="21"/>
          <w:highlight w:val="none"/>
          <w:u w:val="single" w:color="000000"/>
        </w:rPr>
      </w:pPr>
      <w:r>
        <w:rPr>
          <w:rStyle w:val="102"/>
          <w:rFonts w:hint="eastAsia" w:ascii="宋体" w:hAnsi="宋体" w:eastAsia="宋体" w:cs="宋体"/>
          <w:color w:val="auto"/>
          <w:szCs w:val="21"/>
          <w:highlight w:val="none"/>
          <w:u w:val="single" w:color="000000"/>
        </w:rPr>
        <w:t xml:space="preserve"> 云和县城市建设投资集团有限公司、浙江大兴建设项目管理咨询有限公司：</w:t>
      </w:r>
    </w:p>
    <w:p w14:paraId="06D3937A">
      <w:pPr>
        <w:snapToGrid w:val="0"/>
        <w:spacing w:line="500" w:lineRule="exact"/>
        <w:ind w:firstLine="420" w:firstLineChars="200"/>
        <w:textAlignment w:val="baseline"/>
        <w:rPr>
          <w:rStyle w:val="102"/>
          <w:rFonts w:ascii="宋体" w:hAnsi="宋体" w:cs="宋体"/>
          <w:color w:val="auto"/>
          <w:szCs w:val="21"/>
          <w:highlight w:val="none"/>
        </w:rPr>
      </w:pPr>
      <w:r>
        <w:rPr>
          <w:rStyle w:val="102"/>
          <w:rFonts w:hint="eastAsia" w:ascii="宋体" w:hAnsi="宋体" w:cs="宋体"/>
          <w:color w:val="auto"/>
          <w:szCs w:val="21"/>
          <w:highlight w:val="none"/>
        </w:rPr>
        <w:t>我单位----</w:t>
      </w:r>
      <w:r>
        <w:rPr>
          <w:rStyle w:val="102"/>
          <w:rFonts w:hint="eastAsia" w:ascii="宋体" w:hAnsi="宋体" w:cs="宋体"/>
          <w:color w:val="auto"/>
          <w:szCs w:val="21"/>
          <w:highlight w:val="none"/>
          <w:u w:val="single" w:color="000000"/>
        </w:rPr>
        <w:t xml:space="preserve">                  （投标人全称）</w:t>
      </w:r>
      <w:r>
        <w:rPr>
          <w:rStyle w:val="102"/>
          <w:rFonts w:hint="eastAsia" w:ascii="宋体" w:hAnsi="宋体" w:cs="宋体"/>
          <w:bCs/>
          <w:color w:val="auto"/>
          <w:szCs w:val="21"/>
          <w:highlight w:val="none"/>
        </w:rPr>
        <w:t>参与</w:t>
      </w:r>
      <w:r>
        <w:rPr>
          <w:color w:val="auto"/>
          <w:highlight w:val="none"/>
        </w:rPr>
        <w:fldChar w:fldCharType="begin"/>
      </w:r>
      <w:r>
        <w:rPr>
          <w:color w:val="auto"/>
          <w:highlight w:val="none"/>
        </w:rPr>
        <w:instrText xml:space="preserve"> HYPERLINK "https://bidding.zcygov.cn/xmgl/projectQuery/queryDetail?projectUuid=5c859e260a927c18" \l "/purchaseFileMake/_blank" \t "https://www.zcygov.cn/bidding-entrust/" </w:instrText>
      </w:r>
      <w:r>
        <w:rPr>
          <w:color w:val="auto"/>
          <w:highlight w:val="none"/>
        </w:rPr>
        <w:fldChar w:fldCharType="separate"/>
      </w:r>
      <w:r>
        <w:rPr>
          <w:color w:val="auto"/>
          <w:highlight w:val="none"/>
        </w:rPr>
        <w:fldChar w:fldCharType="end"/>
      </w:r>
      <w:r>
        <w:rPr>
          <w:rFonts w:hint="eastAsia" w:ascii="宋体" w:hAnsi="宋体" w:cs="宋体"/>
          <w:color w:val="auto"/>
          <w:spacing w:val="6"/>
          <w:szCs w:val="21"/>
          <w:highlight w:val="none"/>
        </w:rPr>
        <w:t>（项目名称</w:t>
      </w:r>
      <w:r>
        <w:rPr>
          <w:rStyle w:val="102"/>
          <w:rFonts w:hint="eastAsia" w:ascii="宋体" w:hAnsi="宋体" w:cs="宋体"/>
          <w:bCs/>
          <w:color w:val="auto"/>
          <w:szCs w:val="21"/>
          <w:highlight w:val="none"/>
        </w:rPr>
        <w:t>：</w:t>
      </w:r>
      <w:r>
        <w:rPr>
          <w:rStyle w:val="102"/>
          <w:rFonts w:hint="eastAsia" w:ascii="宋体" w:hAnsi="宋体" w:cs="宋体"/>
          <w:bCs/>
          <w:color w:val="auto"/>
          <w:szCs w:val="21"/>
          <w:highlight w:val="none"/>
          <w:u w:val="single" w:color="000000"/>
        </w:rPr>
        <w:t xml:space="preserve">            </w:t>
      </w:r>
      <w:r>
        <w:rPr>
          <w:rFonts w:hint="eastAsia" w:ascii="宋体" w:hAnsi="宋体" w:cs="宋体"/>
          <w:color w:val="auto"/>
          <w:spacing w:val="6"/>
          <w:szCs w:val="21"/>
          <w:highlight w:val="none"/>
        </w:rPr>
        <w:t>）（项目编号</w:t>
      </w:r>
      <w:r>
        <w:rPr>
          <w:rStyle w:val="102"/>
          <w:rFonts w:hint="eastAsia" w:ascii="宋体" w:hAnsi="宋体" w:cs="宋体"/>
          <w:bCs/>
          <w:color w:val="auto"/>
          <w:szCs w:val="21"/>
          <w:highlight w:val="none"/>
        </w:rPr>
        <w:t>：</w:t>
      </w:r>
      <w:r>
        <w:rPr>
          <w:rStyle w:val="102"/>
          <w:rFonts w:hint="eastAsia" w:ascii="宋体" w:hAnsi="宋体" w:cs="宋体"/>
          <w:bCs/>
          <w:color w:val="auto"/>
          <w:szCs w:val="21"/>
          <w:highlight w:val="none"/>
          <w:u w:val="single" w:color="000000"/>
        </w:rPr>
        <w:t xml:space="preserve">            </w:t>
      </w:r>
      <w:r>
        <w:rPr>
          <w:rFonts w:hint="eastAsia" w:ascii="宋体" w:hAnsi="宋体" w:cs="宋体"/>
          <w:color w:val="auto"/>
          <w:spacing w:val="6"/>
          <w:szCs w:val="21"/>
          <w:highlight w:val="none"/>
        </w:rPr>
        <w:t>）</w:t>
      </w:r>
      <w:r>
        <w:rPr>
          <w:rStyle w:val="102"/>
          <w:rFonts w:hint="eastAsia" w:ascii="宋体" w:hAnsi="宋体" w:cs="宋体"/>
          <w:bCs/>
          <w:color w:val="auto"/>
          <w:szCs w:val="21"/>
          <w:highlight w:val="none"/>
        </w:rPr>
        <w:t>投标，郑重</w:t>
      </w:r>
      <w:r>
        <w:rPr>
          <w:rStyle w:val="102"/>
          <w:rFonts w:hint="eastAsia" w:ascii="宋体" w:hAnsi="宋体" w:cs="宋体"/>
          <w:color w:val="auto"/>
          <w:szCs w:val="21"/>
          <w:highlight w:val="none"/>
        </w:rPr>
        <w:t>承诺如下：</w:t>
      </w:r>
    </w:p>
    <w:p w14:paraId="13A05E8F">
      <w:pPr>
        <w:snapToGrid w:val="0"/>
        <w:spacing w:line="500" w:lineRule="exact"/>
        <w:ind w:firstLine="420" w:firstLineChars="200"/>
        <w:rPr>
          <w:rFonts w:ascii="宋体" w:hAnsi="宋体" w:cs="宋体"/>
          <w:color w:val="auto"/>
          <w:szCs w:val="21"/>
          <w:highlight w:val="none"/>
        </w:rPr>
      </w:pPr>
      <w:r>
        <w:rPr>
          <w:rStyle w:val="102"/>
          <w:rFonts w:hint="eastAsia" w:ascii="宋体" w:hAnsi="宋体" w:cs="宋体"/>
          <w:bCs/>
          <w:color w:val="auto"/>
          <w:szCs w:val="21"/>
          <w:highlight w:val="none"/>
        </w:rPr>
        <w:t>1.</w:t>
      </w:r>
      <w:r>
        <w:rPr>
          <w:rFonts w:hint="eastAsia" w:ascii="宋体" w:hAnsi="宋体" w:cs="宋体"/>
          <w:color w:val="auto"/>
          <w:szCs w:val="21"/>
          <w:highlight w:val="none"/>
        </w:rPr>
        <w:t>我方声明与同一标项的其他投标人不存在单位负责人为同一人或</w:t>
      </w:r>
      <w:r>
        <w:rPr>
          <w:rFonts w:hint="eastAsia" w:ascii="宋体" w:hAnsi="宋体" w:cs="宋体"/>
          <w:color w:val="auto"/>
          <w:kern w:val="0"/>
          <w:szCs w:val="21"/>
          <w:highlight w:val="none"/>
        </w:rPr>
        <w:t>存在直接控股、管理关系。</w:t>
      </w:r>
    </w:p>
    <w:p w14:paraId="5C938F35">
      <w:pPr>
        <w:snapToGrid w:val="0"/>
        <w:spacing w:line="500" w:lineRule="exact"/>
        <w:ind w:firstLine="420" w:firstLineChars="200"/>
        <w:textAlignment w:val="baseline"/>
        <w:rPr>
          <w:rStyle w:val="102"/>
          <w:rFonts w:hint="default" w:ascii="宋体" w:hAnsi="宋体" w:cs="宋体"/>
          <w:color w:val="auto"/>
          <w:szCs w:val="21"/>
          <w:highlight w:val="none"/>
          <w:lang w:val="en-US"/>
        </w:rPr>
      </w:pPr>
    </w:p>
    <w:p w14:paraId="770F6BA0">
      <w:pPr>
        <w:snapToGrid w:val="0"/>
        <w:spacing w:line="500" w:lineRule="exact"/>
        <w:ind w:firstLine="422" w:firstLineChars="200"/>
        <w:textAlignment w:val="baseline"/>
        <w:rPr>
          <w:rStyle w:val="102"/>
          <w:rFonts w:ascii="宋体" w:hAnsi="宋体" w:cs="宋体"/>
          <w:b/>
          <w:color w:val="auto"/>
          <w:szCs w:val="21"/>
          <w:highlight w:val="none"/>
        </w:rPr>
      </w:pPr>
      <w:r>
        <w:rPr>
          <w:rStyle w:val="102"/>
          <w:rFonts w:hint="eastAsia" w:ascii="宋体" w:hAnsi="宋体" w:cs="宋体"/>
          <w:b/>
          <w:color w:val="auto"/>
          <w:szCs w:val="21"/>
          <w:highlight w:val="none"/>
        </w:rPr>
        <w:t>如有虚假，采购人可取消我单位任何资格（投标/中标/签订合同），我单位对此无任何异议。</w:t>
      </w:r>
    </w:p>
    <w:p w14:paraId="254D16C6">
      <w:pPr>
        <w:snapToGrid w:val="0"/>
        <w:spacing w:line="500" w:lineRule="exact"/>
        <w:ind w:firstLine="422" w:firstLineChars="200"/>
        <w:textAlignment w:val="baseline"/>
        <w:rPr>
          <w:rStyle w:val="102"/>
          <w:rFonts w:ascii="宋体" w:hAnsi="宋体" w:cs="宋体"/>
          <w:b/>
          <w:color w:val="auto"/>
          <w:szCs w:val="21"/>
          <w:highlight w:val="none"/>
        </w:rPr>
      </w:pPr>
    </w:p>
    <w:p w14:paraId="29AB7874">
      <w:pPr>
        <w:snapToGrid w:val="0"/>
        <w:spacing w:line="500" w:lineRule="exact"/>
        <w:ind w:firstLine="422" w:firstLineChars="200"/>
        <w:textAlignment w:val="baseline"/>
        <w:rPr>
          <w:rStyle w:val="102"/>
          <w:rFonts w:ascii="宋体" w:hAnsi="宋体" w:cs="宋体"/>
          <w:b/>
          <w:color w:val="auto"/>
          <w:szCs w:val="21"/>
          <w:highlight w:val="none"/>
        </w:rPr>
      </w:pPr>
      <w:r>
        <w:rPr>
          <w:rStyle w:val="102"/>
          <w:rFonts w:hint="eastAsia" w:ascii="宋体" w:hAnsi="宋体" w:cs="宋体"/>
          <w:b/>
          <w:color w:val="auto"/>
          <w:szCs w:val="21"/>
          <w:highlight w:val="none"/>
        </w:rPr>
        <w:t>特此声明！</w:t>
      </w:r>
    </w:p>
    <w:p w14:paraId="300CAD4C">
      <w:pPr>
        <w:tabs>
          <w:tab w:val="left" w:pos="9180"/>
        </w:tabs>
        <w:snapToGrid w:val="0"/>
        <w:spacing w:line="500" w:lineRule="exact"/>
        <w:ind w:firstLine="420" w:firstLineChars="200"/>
        <w:textAlignment w:val="baseline"/>
        <w:rPr>
          <w:rStyle w:val="102"/>
          <w:rFonts w:ascii="宋体" w:hAnsi="宋体" w:cs="宋体"/>
          <w:color w:val="auto"/>
          <w:szCs w:val="21"/>
          <w:highlight w:val="none"/>
        </w:rPr>
      </w:pPr>
    </w:p>
    <w:p w14:paraId="333CC4B8">
      <w:pPr>
        <w:snapToGrid w:val="0"/>
        <w:spacing w:line="360" w:lineRule="auto"/>
        <w:jc w:val="center"/>
        <w:textAlignment w:val="baseline"/>
        <w:rPr>
          <w:rStyle w:val="102"/>
          <w:rFonts w:ascii="宋体" w:hAnsi="宋体" w:cs="宋体"/>
          <w:color w:val="auto"/>
          <w:sz w:val="30"/>
          <w:highlight w:val="none"/>
        </w:rPr>
      </w:pPr>
    </w:p>
    <w:p w14:paraId="0D9A4255">
      <w:pPr>
        <w:pStyle w:val="28"/>
        <w:spacing w:line="360" w:lineRule="auto"/>
        <w:ind w:firstLine="3373" w:firstLineChars="1050"/>
        <w:rPr>
          <w:rFonts w:hAnsi="宋体" w:cs="宋体"/>
          <w:b/>
          <w:color w:val="auto"/>
          <w:sz w:val="32"/>
          <w:highlight w:val="none"/>
        </w:rPr>
      </w:pPr>
    </w:p>
    <w:p w14:paraId="7F17C79F">
      <w:pPr>
        <w:pStyle w:val="30"/>
        <w:rPr>
          <w:color w:val="auto"/>
          <w:highlight w:val="none"/>
        </w:rPr>
      </w:pPr>
    </w:p>
    <w:p w14:paraId="5B431127">
      <w:pPr>
        <w:pStyle w:val="28"/>
        <w:adjustRightInd w:val="0"/>
        <w:snapToGrid w:val="0"/>
        <w:spacing w:line="300" w:lineRule="auto"/>
        <w:jc w:val="center"/>
        <w:rPr>
          <w:rFonts w:hAnsi="宋体" w:cs="宋体"/>
          <w:b/>
          <w:bCs/>
          <w:color w:val="auto"/>
          <w:sz w:val="30"/>
          <w:highlight w:val="none"/>
        </w:rPr>
      </w:pPr>
    </w:p>
    <w:p w14:paraId="3B741606">
      <w:pPr>
        <w:pStyle w:val="28"/>
        <w:adjustRightInd w:val="0"/>
        <w:snapToGrid w:val="0"/>
        <w:spacing w:line="300" w:lineRule="auto"/>
        <w:jc w:val="center"/>
        <w:rPr>
          <w:rFonts w:hAnsi="宋体" w:cs="宋体"/>
          <w:b/>
          <w:bCs/>
          <w:color w:val="auto"/>
          <w:sz w:val="30"/>
          <w:highlight w:val="none"/>
        </w:rPr>
      </w:pPr>
    </w:p>
    <w:p w14:paraId="43CF8D2E">
      <w:pPr>
        <w:pStyle w:val="28"/>
        <w:adjustRightInd w:val="0"/>
        <w:snapToGrid w:val="0"/>
        <w:spacing w:line="300" w:lineRule="auto"/>
        <w:jc w:val="center"/>
        <w:rPr>
          <w:rFonts w:hAnsi="宋体" w:cs="宋体"/>
          <w:b/>
          <w:bCs/>
          <w:color w:val="auto"/>
          <w:sz w:val="30"/>
          <w:highlight w:val="none"/>
        </w:rPr>
      </w:pPr>
    </w:p>
    <w:p w14:paraId="0EFEC2B5">
      <w:pPr>
        <w:pStyle w:val="28"/>
        <w:adjustRightInd w:val="0"/>
        <w:snapToGrid w:val="0"/>
        <w:spacing w:line="300" w:lineRule="auto"/>
        <w:jc w:val="center"/>
        <w:rPr>
          <w:rFonts w:hAnsi="宋体" w:cs="宋体"/>
          <w:b/>
          <w:bCs/>
          <w:color w:val="auto"/>
          <w:sz w:val="30"/>
          <w:highlight w:val="none"/>
        </w:rPr>
      </w:pPr>
    </w:p>
    <w:p w14:paraId="4C534163">
      <w:pPr>
        <w:pStyle w:val="28"/>
        <w:adjustRightInd w:val="0"/>
        <w:snapToGrid w:val="0"/>
        <w:spacing w:line="300" w:lineRule="auto"/>
        <w:jc w:val="center"/>
        <w:rPr>
          <w:rFonts w:hAnsi="宋体" w:cs="宋体"/>
          <w:b/>
          <w:bCs/>
          <w:color w:val="auto"/>
          <w:sz w:val="30"/>
          <w:highlight w:val="none"/>
        </w:rPr>
      </w:pPr>
    </w:p>
    <w:p w14:paraId="031C0FA8">
      <w:pPr>
        <w:spacing w:line="500" w:lineRule="exact"/>
        <w:ind w:firstLine="5250" w:firstLineChars="2500"/>
        <w:jc w:val="left"/>
        <w:rPr>
          <w:rFonts w:ascii="宋体" w:hAnsi="宋体" w:cs="宋体"/>
          <w:color w:val="auto"/>
          <w:szCs w:val="21"/>
          <w:highlight w:val="none"/>
        </w:rPr>
      </w:pPr>
    </w:p>
    <w:p w14:paraId="548B0C06">
      <w:pPr>
        <w:spacing w:line="500" w:lineRule="exact"/>
        <w:ind w:firstLine="5250" w:firstLineChars="2500"/>
        <w:jc w:val="left"/>
        <w:rPr>
          <w:rFonts w:ascii="宋体" w:hAnsi="宋体" w:cs="宋体"/>
          <w:color w:val="auto"/>
          <w:szCs w:val="21"/>
          <w:highlight w:val="none"/>
        </w:rPr>
      </w:pPr>
      <w:r>
        <w:rPr>
          <w:rFonts w:hint="eastAsia" w:ascii="宋体" w:hAnsi="宋体" w:cs="宋体"/>
          <w:color w:val="auto"/>
          <w:szCs w:val="21"/>
          <w:highlight w:val="none"/>
        </w:rPr>
        <w:t>投标人盖章：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4CB721B">
      <w:pPr>
        <w:spacing w:line="500" w:lineRule="exact"/>
        <w:ind w:firstLine="5250" w:firstLineChars="2500"/>
        <w:jc w:val="left"/>
        <w:rPr>
          <w:rFonts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375DEBD8">
      <w:pPr>
        <w:pStyle w:val="28"/>
        <w:adjustRightInd w:val="0"/>
        <w:snapToGrid w:val="0"/>
        <w:spacing w:line="300" w:lineRule="auto"/>
        <w:jc w:val="center"/>
        <w:rPr>
          <w:rFonts w:hAnsi="宋体" w:cs="宋体"/>
          <w:b/>
          <w:bCs/>
          <w:color w:val="auto"/>
          <w:sz w:val="30"/>
          <w:highlight w:val="none"/>
        </w:rPr>
      </w:pPr>
    </w:p>
    <w:p w14:paraId="540DBC65">
      <w:pPr>
        <w:pStyle w:val="28"/>
        <w:adjustRightInd w:val="0"/>
        <w:snapToGrid w:val="0"/>
        <w:spacing w:line="300" w:lineRule="auto"/>
        <w:jc w:val="center"/>
        <w:rPr>
          <w:rFonts w:hAnsi="宋体" w:cs="宋体"/>
          <w:b/>
          <w:bCs/>
          <w:color w:val="auto"/>
          <w:sz w:val="30"/>
          <w:highlight w:val="none"/>
        </w:rPr>
      </w:pPr>
    </w:p>
    <w:p w14:paraId="036E8C9D">
      <w:pPr>
        <w:pStyle w:val="28"/>
        <w:adjustRightInd w:val="0"/>
        <w:snapToGrid w:val="0"/>
        <w:spacing w:line="300" w:lineRule="auto"/>
        <w:jc w:val="center"/>
        <w:rPr>
          <w:rFonts w:hAnsi="宋体" w:cs="宋体"/>
          <w:b/>
          <w:bCs/>
          <w:color w:val="auto"/>
          <w:sz w:val="30"/>
          <w:highlight w:val="none"/>
        </w:rPr>
      </w:pPr>
    </w:p>
    <w:p w14:paraId="4C8043DB">
      <w:pPr>
        <w:pStyle w:val="28"/>
        <w:adjustRightInd w:val="0"/>
        <w:snapToGrid w:val="0"/>
        <w:spacing w:line="300" w:lineRule="auto"/>
        <w:jc w:val="center"/>
        <w:rPr>
          <w:rFonts w:hAnsi="宋体" w:cs="宋体"/>
          <w:b/>
          <w:bCs/>
          <w:color w:val="auto"/>
          <w:sz w:val="30"/>
          <w:highlight w:val="none"/>
        </w:rPr>
      </w:pPr>
    </w:p>
    <w:p w14:paraId="417D8664">
      <w:pPr>
        <w:pStyle w:val="28"/>
        <w:adjustRightInd w:val="0"/>
        <w:snapToGrid w:val="0"/>
        <w:spacing w:line="300" w:lineRule="auto"/>
        <w:jc w:val="center"/>
        <w:rPr>
          <w:rFonts w:hAnsi="宋体" w:cs="宋体"/>
          <w:b/>
          <w:bCs/>
          <w:color w:val="auto"/>
          <w:sz w:val="30"/>
          <w:highlight w:val="none"/>
        </w:rPr>
      </w:pPr>
    </w:p>
    <w:p w14:paraId="4C6B620D">
      <w:pPr>
        <w:spacing w:line="440" w:lineRule="exact"/>
        <w:ind w:firstLine="470" w:firstLineChars="196"/>
        <w:jc w:val="left"/>
        <w:rPr>
          <w:rFonts w:ascii="宋体" w:hAnsi="宋体" w:cs="宋体"/>
          <w:b/>
          <w:color w:val="auto"/>
          <w:szCs w:val="21"/>
          <w:highlight w:val="none"/>
        </w:rPr>
      </w:pPr>
      <w:r>
        <w:rPr>
          <w:rFonts w:hint="eastAsia" w:hAnsi="宋体" w:cs="宋体"/>
          <w:color w:val="auto"/>
          <w:sz w:val="24"/>
          <w:highlight w:val="none"/>
        </w:rPr>
        <w:br w:type="page"/>
      </w:r>
      <w:bookmarkStart w:id="182" w:name="_Toc440162800"/>
      <w:bookmarkStart w:id="183" w:name="_Toc424164168"/>
      <w:bookmarkStart w:id="184" w:name="_Toc7988468"/>
      <w:bookmarkStart w:id="185" w:name="_Toc7988414"/>
      <w:bookmarkStart w:id="186" w:name="_Toc66439497"/>
      <w:bookmarkStart w:id="187" w:name="_Toc8008423"/>
    </w:p>
    <w:p w14:paraId="38BA66BA">
      <w:pPr>
        <w:pStyle w:val="3"/>
        <w:tabs>
          <w:tab w:val="left" w:pos="420"/>
        </w:tabs>
        <w:rPr>
          <w:rFonts w:ascii="宋体" w:hAnsi="宋体" w:eastAsia="宋体" w:cs="宋体"/>
          <w:color w:val="auto"/>
          <w:highlight w:val="none"/>
        </w:rPr>
      </w:pPr>
      <w:r>
        <w:rPr>
          <w:rFonts w:hint="eastAsia" w:ascii="宋体" w:hAnsi="宋体" w:eastAsia="宋体" w:cs="宋体"/>
          <w:color w:val="auto"/>
          <w:highlight w:val="none"/>
        </w:rPr>
        <w:t>第二部分 “商务技术文件”格式</w:t>
      </w:r>
      <w:bookmarkEnd w:id="182"/>
      <w:bookmarkEnd w:id="183"/>
      <w:bookmarkEnd w:id="184"/>
      <w:bookmarkEnd w:id="185"/>
      <w:bookmarkEnd w:id="186"/>
      <w:bookmarkEnd w:id="187"/>
    </w:p>
    <w:p w14:paraId="18CA2046">
      <w:pPr>
        <w:pStyle w:val="4"/>
        <w:tabs>
          <w:tab w:val="left" w:pos="420"/>
        </w:tabs>
        <w:ind w:firstLine="0" w:firstLineChars="0"/>
        <w:rPr>
          <w:rFonts w:ascii="宋体" w:hAnsi="宋体" w:eastAsia="宋体" w:cs="宋体"/>
          <w:color w:val="auto"/>
          <w:highlight w:val="none"/>
        </w:rPr>
      </w:pPr>
      <w:r>
        <w:rPr>
          <w:rFonts w:hint="eastAsia" w:ascii="宋体" w:hAnsi="宋体" w:eastAsia="宋体" w:cs="宋体"/>
          <w:color w:val="auto"/>
          <w:highlight w:val="none"/>
        </w:rPr>
        <w:t xml:space="preserve">                                         “商务技术文件”封面格式</w:t>
      </w:r>
    </w:p>
    <w:p w14:paraId="16A800B5">
      <w:pPr>
        <w:pStyle w:val="384"/>
        <w:widowControl/>
        <w:snapToGrid w:val="0"/>
        <w:spacing w:line="360" w:lineRule="auto"/>
        <w:ind w:firstLine="349" w:firstLineChars="116"/>
        <w:jc w:val="right"/>
        <w:rPr>
          <w:rStyle w:val="102"/>
          <w:rFonts w:ascii="宋体" w:hAnsi="宋体" w:cs="宋体"/>
          <w:b/>
          <w:bCs/>
          <w:color w:val="auto"/>
          <w:sz w:val="30"/>
          <w:szCs w:val="30"/>
          <w:highlight w:val="none"/>
        </w:rPr>
      </w:pPr>
      <w:r>
        <w:rPr>
          <w:rStyle w:val="102"/>
          <w:rFonts w:hint="eastAsia" w:ascii="宋体" w:hAnsi="宋体" w:cs="宋体"/>
          <w:b/>
          <w:bCs/>
          <w:color w:val="auto"/>
          <w:sz w:val="30"/>
          <w:szCs w:val="30"/>
          <w:highlight w:val="none"/>
        </w:rPr>
        <w:t>（正本）或（副本）</w:t>
      </w:r>
    </w:p>
    <w:p w14:paraId="3DA3EA57">
      <w:pPr>
        <w:spacing w:line="276" w:lineRule="auto"/>
        <w:jc w:val="center"/>
        <w:rPr>
          <w:rFonts w:ascii="宋体" w:hAnsi="宋体" w:cs="宋体"/>
          <w:b/>
          <w:color w:val="auto"/>
          <w:kern w:val="0"/>
          <w:sz w:val="84"/>
          <w:szCs w:val="84"/>
          <w:highlight w:val="none"/>
        </w:rPr>
      </w:pPr>
      <w:r>
        <w:rPr>
          <w:rFonts w:hint="eastAsia" w:ascii="宋体" w:hAnsi="宋体" w:cs="宋体"/>
          <w:b/>
          <w:color w:val="auto"/>
          <w:kern w:val="0"/>
          <w:sz w:val="84"/>
          <w:szCs w:val="84"/>
          <w:highlight w:val="none"/>
        </w:rPr>
        <w:t>投 标 文 件</w:t>
      </w:r>
    </w:p>
    <w:p w14:paraId="32911523">
      <w:pPr>
        <w:spacing w:line="480" w:lineRule="auto"/>
        <w:jc w:val="center"/>
        <w:rPr>
          <w:rFonts w:ascii="宋体" w:hAnsi="宋体" w:cs="宋体"/>
          <w:b/>
          <w:color w:val="auto"/>
          <w:kern w:val="0"/>
          <w:sz w:val="48"/>
          <w:szCs w:val="84"/>
          <w:highlight w:val="none"/>
        </w:rPr>
      </w:pPr>
      <w:r>
        <w:rPr>
          <w:rFonts w:hint="eastAsia" w:ascii="宋体" w:hAnsi="宋体" w:cs="宋体"/>
          <w:b/>
          <w:color w:val="auto"/>
          <w:kern w:val="0"/>
          <w:sz w:val="48"/>
          <w:szCs w:val="84"/>
          <w:highlight w:val="none"/>
        </w:rPr>
        <w:t>（商务技术文件）</w:t>
      </w:r>
    </w:p>
    <w:tbl>
      <w:tblPr>
        <w:tblStyle w:val="51"/>
        <w:tblW w:w="0" w:type="auto"/>
        <w:tblInd w:w="392" w:type="dxa"/>
        <w:tblLayout w:type="fixed"/>
        <w:tblCellMar>
          <w:top w:w="0" w:type="dxa"/>
          <w:left w:w="108" w:type="dxa"/>
          <w:bottom w:w="0" w:type="dxa"/>
          <w:right w:w="108" w:type="dxa"/>
        </w:tblCellMar>
      </w:tblPr>
      <w:tblGrid>
        <w:gridCol w:w="9204"/>
      </w:tblGrid>
      <w:tr w14:paraId="3AFECF97">
        <w:tblPrEx>
          <w:tblCellMar>
            <w:top w:w="0" w:type="dxa"/>
            <w:left w:w="108" w:type="dxa"/>
            <w:bottom w:w="0" w:type="dxa"/>
            <w:right w:w="108" w:type="dxa"/>
          </w:tblCellMar>
        </w:tblPrEx>
        <w:trPr>
          <w:trHeight w:val="1058" w:hRule="atLeast"/>
        </w:trPr>
        <w:tc>
          <w:tcPr>
            <w:tcW w:w="9204" w:type="dxa"/>
            <w:vAlign w:val="center"/>
          </w:tcPr>
          <w:p w14:paraId="35627930">
            <w:pPr>
              <w:keepNext w:val="0"/>
              <w:keepLines w:val="0"/>
              <w:suppressLineNumbers w:val="0"/>
              <w:spacing w:before="0" w:beforeAutospacing="0" w:after="0" w:afterAutospacing="0" w:line="480" w:lineRule="auto"/>
              <w:ind w:left="0" w:right="0"/>
              <w:rPr>
                <w:rFonts w:hint="default" w:ascii="宋体" w:hAnsi="宋体" w:cs="宋体"/>
                <w:b/>
                <w:bCs/>
                <w:color w:val="auto"/>
                <w:sz w:val="28"/>
                <w:szCs w:val="28"/>
                <w:highlight w:val="none"/>
              </w:rPr>
            </w:pPr>
            <w:r>
              <w:rPr>
                <w:rFonts w:hint="eastAsia" w:ascii="宋体" w:hAnsi="宋体" w:cs="宋体"/>
                <w:b/>
                <w:bCs/>
                <w:color w:val="auto"/>
                <w:sz w:val="28"/>
                <w:szCs w:val="28"/>
                <w:highlight w:val="none"/>
              </w:rPr>
              <w:t>项目名称：</w:t>
            </w:r>
            <w:r>
              <w:rPr>
                <w:rFonts w:hint="default"/>
                <w:color w:val="auto"/>
                <w:highlight w:val="none"/>
              </w:rPr>
              <w:fldChar w:fldCharType="begin"/>
            </w:r>
            <w:r>
              <w:rPr>
                <w:rFonts w:hint="default"/>
                <w:color w:val="auto"/>
                <w:highlight w:val="none"/>
              </w:rPr>
              <w:instrText xml:space="preserve"> HYPERLINK "https://bidding.zcygov.cn/xmgl/projectQuery/queryDetail?projectUuid=5c859e260a927c18" \l "/purchaseFileMake/_blank" \t "https://www.zcygov.cn/bidding-entrust/" </w:instrText>
            </w:r>
            <w:r>
              <w:rPr>
                <w:rFonts w:hint="default"/>
                <w:color w:val="auto"/>
                <w:highlight w:val="none"/>
              </w:rPr>
              <w:fldChar w:fldCharType="separate"/>
            </w:r>
            <w:r>
              <w:rPr>
                <w:rFonts w:hint="default"/>
                <w:color w:val="auto"/>
                <w:highlight w:val="none"/>
              </w:rPr>
              <w:fldChar w:fldCharType="end"/>
            </w:r>
          </w:p>
        </w:tc>
      </w:tr>
      <w:tr w14:paraId="589FDBE1">
        <w:tblPrEx>
          <w:tblCellMar>
            <w:top w:w="0" w:type="dxa"/>
            <w:left w:w="108" w:type="dxa"/>
            <w:bottom w:w="0" w:type="dxa"/>
            <w:right w:w="108" w:type="dxa"/>
          </w:tblCellMar>
        </w:tblPrEx>
        <w:trPr>
          <w:trHeight w:val="1222" w:hRule="atLeast"/>
        </w:trPr>
        <w:tc>
          <w:tcPr>
            <w:tcW w:w="9204" w:type="dxa"/>
            <w:vAlign w:val="center"/>
          </w:tcPr>
          <w:p w14:paraId="6F820F0A">
            <w:pPr>
              <w:keepNext w:val="0"/>
              <w:keepLines w:val="0"/>
              <w:suppressLineNumbers w:val="0"/>
              <w:tabs>
                <w:tab w:val="left" w:pos="2580"/>
                <w:tab w:val="left" w:pos="5940"/>
              </w:tabs>
              <w:autoSpaceDE w:val="0"/>
              <w:autoSpaceDN w:val="0"/>
              <w:adjustRightInd w:val="0"/>
              <w:spacing w:before="0" w:beforeAutospacing="0" w:after="0" w:afterAutospacing="0"/>
              <w:ind w:left="0" w:right="0"/>
              <w:rPr>
                <w:rFonts w:hint="default" w:ascii="宋体" w:hAnsi="宋体" w:cs="宋体"/>
                <w:b/>
                <w:bCs/>
                <w:color w:val="auto"/>
                <w:sz w:val="28"/>
                <w:szCs w:val="28"/>
                <w:highlight w:val="none"/>
              </w:rPr>
            </w:pPr>
            <w:r>
              <w:rPr>
                <w:rFonts w:hint="eastAsia" w:ascii="宋体" w:hAnsi="宋体" w:cs="宋体"/>
                <w:b/>
                <w:bCs/>
                <w:color w:val="auto"/>
                <w:sz w:val="28"/>
                <w:szCs w:val="28"/>
                <w:highlight w:val="none"/>
              </w:rPr>
              <w:t>采 购 人：</w:t>
            </w:r>
          </w:p>
        </w:tc>
      </w:tr>
      <w:tr w14:paraId="6DCFD724">
        <w:tblPrEx>
          <w:tblCellMar>
            <w:top w:w="0" w:type="dxa"/>
            <w:left w:w="108" w:type="dxa"/>
            <w:bottom w:w="0" w:type="dxa"/>
            <w:right w:w="108" w:type="dxa"/>
          </w:tblCellMar>
        </w:tblPrEx>
        <w:trPr>
          <w:trHeight w:val="1071" w:hRule="atLeast"/>
        </w:trPr>
        <w:tc>
          <w:tcPr>
            <w:tcW w:w="9204" w:type="dxa"/>
            <w:vAlign w:val="center"/>
          </w:tcPr>
          <w:p w14:paraId="5AC0CE69">
            <w:pPr>
              <w:keepNext w:val="0"/>
              <w:keepLines w:val="0"/>
              <w:suppressLineNumbers w:val="0"/>
              <w:spacing w:before="0" w:beforeAutospacing="0" w:after="0" w:afterAutospacing="0" w:line="480" w:lineRule="auto"/>
              <w:ind w:left="0" w:right="0"/>
              <w:rPr>
                <w:rFonts w:hint="default" w:ascii="宋体" w:hAnsi="宋体" w:cs="宋体"/>
                <w:b/>
                <w:bCs/>
                <w:color w:val="auto"/>
                <w:sz w:val="28"/>
                <w:szCs w:val="28"/>
                <w:highlight w:val="none"/>
              </w:rPr>
            </w:pPr>
            <w:r>
              <w:rPr>
                <w:rFonts w:hint="eastAsia" w:ascii="宋体" w:hAnsi="宋体" w:cs="宋体"/>
                <w:b/>
                <w:bCs/>
                <w:color w:val="auto"/>
                <w:sz w:val="28"/>
                <w:szCs w:val="28"/>
                <w:highlight w:val="none"/>
              </w:rPr>
              <w:t>项目编号：</w:t>
            </w:r>
          </w:p>
        </w:tc>
      </w:tr>
      <w:tr w14:paraId="09DD4B3A">
        <w:tblPrEx>
          <w:tblCellMar>
            <w:top w:w="0" w:type="dxa"/>
            <w:left w:w="108" w:type="dxa"/>
            <w:bottom w:w="0" w:type="dxa"/>
            <w:right w:w="108" w:type="dxa"/>
          </w:tblCellMar>
        </w:tblPrEx>
        <w:trPr>
          <w:trHeight w:val="1992" w:hRule="atLeast"/>
        </w:trPr>
        <w:tc>
          <w:tcPr>
            <w:tcW w:w="9204" w:type="dxa"/>
            <w:vAlign w:val="center"/>
          </w:tcPr>
          <w:p w14:paraId="0B2103F9">
            <w:pPr>
              <w:keepNext w:val="0"/>
              <w:keepLines w:val="0"/>
              <w:suppressLineNumbers w:val="0"/>
              <w:spacing w:before="0" w:beforeAutospacing="0" w:after="0" w:afterAutospacing="0" w:line="480" w:lineRule="auto"/>
              <w:ind w:left="0" w:right="0"/>
              <w:rPr>
                <w:rFonts w:hint="default" w:ascii="宋体" w:hAnsi="宋体" w:cs="宋体"/>
                <w:color w:val="auto"/>
                <w:sz w:val="28"/>
                <w:szCs w:val="28"/>
                <w:highlight w:val="none"/>
              </w:rPr>
            </w:pPr>
            <w:r>
              <w:rPr>
                <w:rFonts w:hint="eastAsia" w:ascii="宋体" w:hAnsi="宋体" w:cs="宋体"/>
                <w:b/>
                <w:bCs/>
                <w:color w:val="auto"/>
                <w:sz w:val="28"/>
                <w:szCs w:val="28"/>
                <w:highlight w:val="none"/>
              </w:rPr>
              <w:t>投标人名称（公章）：</w:t>
            </w:r>
            <w:r>
              <w:rPr>
                <w:rFonts w:hint="eastAsia" w:ascii="宋体" w:hAnsi="宋体" w:cs="宋体"/>
                <w:color w:val="auto"/>
                <w:w w:val="90"/>
                <w:kern w:val="0"/>
                <w:sz w:val="22"/>
                <w:szCs w:val="22"/>
                <w:highlight w:val="none"/>
              </w:rPr>
              <w:t>_________________________________________________</w:t>
            </w:r>
          </w:p>
        </w:tc>
      </w:tr>
      <w:tr w14:paraId="18E690A3">
        <w:tblPrEx>
          <w:tblCellMar>
            <w:top w:w="0" w:type="dxa"/>
            <w:left w:w="108" w:type="dxa"/>
            <w:bottom w:w="0" w:type="dxa"/>
            <w:right w:w="108" w:type="dxa"/>
          </w:tblCellMar>
        </w:tblPrEx>
        <w:trPr>
          <w:trHeight w:val="802" w:hRule="atLeast"/>
        </w:trPr>
        <w:tc>
          <w:tcPr>
            <w:tcW w:w="9204" w:type="dxa"/>
            <w:vAlign w:val="center"/>
          </w:tcPr>
          <w:p w14:paraId="27C6586E">
            <w:pPr>
              <w:keepNext w:val="0"/>
              <w:keepLines w:val="0"/>
              <w:suppressLineNumbers w:val="0"/>
              <w:spacing w:before="0" w:beforeAutospacing="0" w:after="0" w:afterAutospacing="0" w:line="480" w:lineRule="auto"/>
              <w:ind w:left="0" w:right="0"/>
              <w:rPr>
                <w:rFonts w:hint="default" w:ascii="宋体" w:hAnsi="宋体" w:cs="宋体"/>
                <w:b/>
                <w:bCs/>
                <w:color w:val="auto"/>
                <w:sz w:val="28"/>
                <w:szCs w:val="28"/>
                <w:highlight w:val="none"/>
              </w:rPr>
            </w:pPr>
          </w:p>
          <w:p w14:paraId="123E86EB">
            <w:pPr>
              <w:keepNext w:val="0"/>
              <w:keepLines w:val="0"/>
              <w:suppressLineNumbers w:val="0"/>
              <w:spacing w:before="0" w:beforeAutospacing="0" w:after="0" w:afterAutospacing="0" w:line="480" w:lineRule="auto"/>
              <w:ind w:left="0" w:right="0"/>
              <w:rPr>
                <w:rFonts w:hint="default" w:ascii="宋体" w:hAnsi="宋体" w:cs="宋体"/>
                <w:color w:val="auto"/>
                <w:sz w:val="28"/>
                <w:szCs w:val="28"/>
                <w:highlight w:val="none"/>
              </w:rPr>
            </w:pPr>
            <w:r>
              <w:rPr>
                <w:rFonts w:hint="eastAsia" w:ascii="宋体" w:hAnsi="宋体" w:cs="宋体"/>
                <w:b/>
                <w:bCs/>
                <w:color w:val="auto"/>
                <w:sz w:val="28"/>
                <w:szCs w:val="28"/>
                <w:highlight w:val="none"/>
              </w:rPr>
              <w:t>日期：</w:t>
            </w:r>
            <w:r>
              <w:rPr>
                <w:rFonts w:hint="eastAsia" w:ascii="宋体" w:hAnsi="宋体" w:cs="宋体"/>
                <w:color w:val="auto"/>
                <w:w w:val="90"/>
                <w:kern w:val="0"/>
                <w:sz w:val="22"/>
                <w:szCs w:val="22"/>
                <w:highlight w:val="none"/>
              </w:rPr>
              <w:t>_________________________________________________________________________</w:t>
            </w:r>
          </w:p>
        </w:tc>
      </w:tr>
      <w:tr w14:paraId="78114EE6">
        <w:tblPrEx>
          <w:tblCellMar>
            <w:top w:w="0" w:type="dxa"/>
            <w:left w:w="108" w:type="dxa"/>
            <w:bottom w:w="0" w:type="dxa"/>
            <w:right w:w="108" w:type="dxa"/>
          </w:tblCellMar>
        </w:tblPrEx>
        <w:trPr>
          <w:trHeight w:val="1152" w:hRule="atLeast"/>
        </w:trPr>
        <w:tc>
          <w:tcPr>
            <w:tcW w:w="9204" w:type="dxa"/>
            <w:vAlign w:val="center"/>
          </w:tcPr>
          <w:p w14:paraId="4ADAF0C5">
            <w:pPr>
              <w:keepNext w:val="0"/>
              <w:keepLines w:val="0"/>
              <w:suppressLineNumbers w:val="0"/>
              <w:spacing w:before="0" w:beforeAutospacing="0" w:after="0" w:afterAutospacing="0" w:line="480" w:lineRule="auto"/>
              <w:ind w:left="0" w:right="0"/>
              <w:rPr>
                <w:rFonts w:hint="default" w:ascii="宋体" w:hAnsi="宋体" w:cs="宋体"/>
                <w:b/>
                <w:bCs/>
                <w:color w:val="auto"/>
                <w:sz w:val="28"/>
                <w:szCs w:val="28"/>
                <w:highlight w:val="none"/>
              </w:rPr>
            </w:pPr>
          </w:p>
          <w:p w14:paraId="6F9D6F25">
            <w:pPr>
              <w:keepNext w:val="0"/>
              <w:keepLines w:val="0"/>
              <w:suppressLineNumbers w:val="0"/>
              <w:spacing w:before="0" w:beforeAutospacing="0" w:after="0" w:afterAutospacing="0" w:line="480" w:lineRule="auto"/>
              <w:ind w:left="0" w:right="0"/>
              <w:rPr>
                <w:rFonts w:hint="default" w:ascii="宋体" w:hAnsi="宋体" w:cs="宋体"/>
                <w:b/>
                <w:color w:val="auto"/>
                <w:sz w:val="28"/>
                <w:szCs w:val="28"/>
                <w:highlight w:val="none"/>
              </w:rPr>
            </w:pPr>
          </w:p>
        </w:tc>
      </w:tr>
    </w:tbl>
    <w:p w14:paraId="3345DC71">
      <w:pPr>
        <w:ind w:firstLine="241" w:firstLineChars="100"/>
        <w:rPr>
          <w:rFonts w:hint="default" w:ascii="宋体" w:hAnsi="宋体" w:cs="宋体"/>
          <w:b/>
          <w:bCs/>
          <w:color w:val="auto"/>
          <w:sz w:val="24"/>
          <w:highlight w:val="none"/>
          <w:lang w:val="en-US" w:bidi="zh-CN"/>
        </w:rPr>
      </w:pPr>
      <w:r>
        <w:rPr>
          <w:rFonts w:hint="eastAsia" w:ascii="宋体" w:hAnsi="宋体" w:cs="宋体"/>
          <w:b/>
          <w:bCs/>
          <w:color w:val="auto"/>
          <w:sz w:val="24"/>
          <w:highlight w:val="none"/>
          <w:lang w:val="en-US" w:bidi="zh-CN"/>
        </w:rPr>
        <w:t>注：</w:t>
      </w:r>
      <w:r>
        <w:rPr>
          <w:rFonts w:hint="eastAsia" w:ascii="宋体" w:hAnsi="宋体" w:cs="宋体"/>
          <w:b/>
          <w:bCs/>
          <w:color w:val="auto"/>
          <w:sz w:val="24"/>
          <w:highlight w:val="none"/>
          <w:lang w:val="en-US" w:eastAsia="zh-CN" w:bidi="zh-CN"/>
        </w:rPr>
        <w:t>商务技术投标文件页数（包括封面、封底、目录和图表等）不得超过300页。</w:t>
      </w:r>
    </w:p>
    <w:bookmarkEnd w:id="177"/>
    <w:bookmarkEnd w:id="178"/>
    <w:bookmarkEnd w:id="179"/>
    <w:bookmarkEnd w:id="180"/>
    <w:p w14:paraId="440B9FBB">
      <w:pPr>
        <w:pStyle w:val="3"/>
        <w:numPr>
          <w:ilvl w:val="0"/>
          <w:numId w:val="8"/>
        </w:numPr>
        <w:rPr>
          <w:rFonts w:ascii="宋体" w:hAnsi="宋体" w:eastAsia="宋体" w:cs="宋体"/>
          <w:color w:val="auto"/>
          <w:sz w:val="32"/>
          <w:highlight w:val="none"/>
        </w:rPr>
      </w:pPr>
      <w:bookmarkStart w:id="188" w:name="_Toc173728539"/>
      <w:bookmarkStart w:id="189" w:name="_Toc105230662"/>
      <w:bookmarkStart w:id="190" w:name="_Toc7988415"/>
      <w:bookmarkStart w:id="191" w:name="_Toc440162801"/>
      <w:bookmarkStart w:id="192" w:name="_Toc7988469"/>
      <w:bookmarkStart w:id="193" w:name="_Toc8008424"/>
      <w:bookmarkStart w:id="194" w:name="_Toc66439498"/>
      <w:bookmarkStart w:id="195" w:name="_Toc208049590"/>
      <w:r>
        <w:rPr>
          <w:rFonts w:hint="eastAsia" w:ascii="宋体" w:hAnsi="宋体" w:eastAsia="宋体" w:cs="宋体"/>
          <w:color w:val="auto"/>
          <w:sz w:val="32"/>
          <w:highlight w:val="none"/>
        </w:rPr>
        <w:t>负责人资格证明书或负责人授权委托书</w:t>
      </w:r>
    </w:p>
    <w:p w14:paraId="6B47804A">
      <w:pPr>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 xml:space="preserve"> 1.1负责人资格证明书</w:t>
      </w:r>
    </w:p>
    <w:p w14:paraId="363307F5">
      <w:pPr>
        <w:spacing w:line="360" w:lineRule="auto"/>
        <w:jc w:val="center"/>
        <w:rPr>
          <w:rFonts w:ascii="宋体" w:hAnsi="宋体" w:cs="宋体"/>
          <w:b/>
          <w:color w:val="auto"/>
          <w:sz w:val="24"/>
          <w:szCs w:val="21"/>
          <w:highlight w:val="none"/>
        </w:rPr>
      </w:pPr>
      <w:r>
        <w:rPr>
          <w:rFonts w:hint="eastAsia" w:ascii="宋体" w:hAnsi="宋体" w:cs="宋体"/>
          <w:b/>
          <w:color w:val="auto"/>
          <w:sz w:val="24"/>
          <w:szCs w:val="21"/>
          <w:highlight w:val="none"/>
        </w:rPr>
        <w:t>（注：投标人的负责人作为投标人代表参与本项目采购活动时提供）</w:t>
      </w:r>
    </w:p>
    <w:p w14:paraId="328C03A6">
      <w:pPr>
        <w:adjustRightInd w:val="0"/>
        <w:snapToGrid w:val="0"/>
        <w:spacing w:line="360" w:lineRule="auto"/>
        <w:ind w:firstLine="420" w:firstLineChars="200"/>
        <w:rPr>
          <w:rFonts w:ascii="宋体" w:hAnsi="宋体" w:cs="宋体"/>
          <w:color w:val="auto"/>
          <w:szCs w:val="21"/>
          <w:highlight w:val="none"/>
        </w:rPr>
      </w:pPr>
    </w:p>
    <w:p w14:paraId="14853C50">
      <w:pPr>
        <w:adjustRightInd w:val="0"/>
        <w:snapToGrid w:val="0"/>
        <w:spacing w:line="300" w:lineRule="auto"/>
        <w:ind w:firstLine="420" w:firstLineChars="200"/>
        <w:rPr>
          <w:rFonts w:ascii="宋体" w:hAnsi="宋体" w:cs="宋体"/>
          <w:color w:val="auto"/>
          <w:szCs w:val="21"/>
          <w:highlight w:val="none"/>
        </w:rPr>
      </w:pPr>
    </w:p>
    <w:p w14:paraId="50F9E06B">
      <w:pPr>
        <w:adjustRightInd w:val="0"/>
        <w:snapToGrid w:val="0"/>
        <w:spacing w:line="4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7CE16DD">
      <w:pPr>
        <w:adjustRightInd w:val="0"/>
        <w:snapToGrid w:val="0"/>
        <w:spacing w:line="4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法定地址：</w:t>
      </w:r>
      <w:r>
        <w:rPr>
          <w:rFonts w:hint="eastAsia" w:ascii="宋体" w:hAnsi="宋体" w:cs="宋体"/>
          <w:color w:val="auto"/>
          <w:szCs w:val="21"/>
          <w:highlight w:val="none"/>
          <w:u w:val="single"/>
        </w:rPr>
        <w:t xml:space="preserve">                           </w:t>
      </w:r>
    </w:p>
    <w:p w14:paraId="5907F02F">
      <w:pPr>
        <w:adjustRightInd w:val="0"/>
        <w:snapToGrid w:val="0"/>
        <w:spacing w:line="4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0FE4FF12">
      <w:pPr>
        <w:adjustRightInd w:val="0"/>
        <w:snapToGrid w:val="0"/>
        <w:spacing w:line="4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2BF13454">
      <w:pPr>
        <w:adjustRightInd w:val="0"/>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该同志系单位法定代表人（或负责人）。</w:t>
      </w:r>
    </w:p>
    <w:p w14:paraId="79D5930C">
      <w:pPr>
        <w:adjustRightInd w:val="0"/>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329CF714">
      <w:pPr>
        <w:adjustRightInd w:val="0"/>
        <w:snapToGrid w:val="0"/>
        <w:spacing w:line="480" w:lineRule="exact"/>
        <w:ind w:firstLine="420" w:firstLineChars="200"/>
        <w:rPr>
          <w:rFonts w:ascii="宋体" w:hAnsi="宋体" w:cs="宋体"/>
          <w:color w:val="auto"/>
          <w:szCs w:val="21"/>
          <w:highlight w:val="none"/>
        </w:rPr>
      </w:pPr>
    </w:p>
    <w:p w14:paraId="31E1A980">
      <w:pPr>
        <w:pStyle w:val="116"/>
        <w:spacing w:line="440" w:lineRule="exact"/>
        <w:ind w:firstLine="4766" w:firstLineChars="1900"/>
        <w:rPr>
          <w:rFonts w:ascii="宋体" w:hAnsi="宋体" w:cs="宋体"/>
          <w:b/>
          <w:color w:val="auto"/>
          <w:spacing w:val="20"/>
          <w:szCs w:val="21"/>
          <w:highlight w:val="none"/>
          <w:u w:val="single"/>
        </w:rPr>
      </w:pPr>
      <w:r>
        <w:rPr>
          <w:rFonts w:hint="eastAsia" w:ascii="宋体" w:hAnsi="宋体" w:cs="宋体"/>
          <w:b/>
          <w:color w:val="auto"/>
          <w:spacing w:val="20"/>
          <w:szCs w:val="21"/>
          <w:highlight w:val="none"/>
        </w:rPr>
        <w:t>投标人盖章：</w:t>
      </w:r>
      <w:r>
        <w:rPr>
          <w:rFonts w:hint="eastAsia" w:ascii="宋体" w:hAnsi="宋体" w:cs="宋体"/>
          <w:b/>
          <w:color w:val="auto"/>
          <w:spacing w:val="20"/>
          <w:szCs w:val="21"/>
          <w:highlight w:val="none"/>
          <w:u w:val="single"/>
        </w:rPr>
        <w:t xml:space="preserve">           </w:t>
      </w:r>
    </w:p>
    <w:p w14:paraId="4452F868">
      <w:pPr>
        <w:pStyle w:val="116"/>
        <w:spacing w:line="440" w:lineRule="exact"/>
        <w:ind w:firstLine="4766" w:firstLineChars="1900"/>
        <w:rPr>
          <w:rFonts w:ascii="宋体" w:hAnsi="宋体" w:cs="宋体"/>
          <w:b/>
          <w:color w:val="auto"/>
          <w:spacing w:val="20"/>
          <w:szCs w:val="21"/>
          <w:highlight w:val="none"/>
          <w:u w:val="single"/>
        </w:rPr>
      </w:pPr>
      <w:r>
        <w:rPr>
          <w:rFonts w:hint="eastAsia" w:ascii="宋体" w:hAnsi="宋体" w:cs="宋体"/>
          <w:b/>
          <w:color w:val="auto"/>
          <w:spacing w:val="20"/>
          <w:szCs w:val="21"/>
          <w:highlight w:val="none"/>
        </w:rPr>
        <w:t>日     期：</w:t>
      </w:r>
      <w:r>
        <w:rPr>
          <w:rFonts w:hint="eastAsia" w:ascii="宋体" w:hAnsi="宋体" w:cs="宋体"/>
          <w:b/>
          <w:color w:val="auto"/>
          <w:spacing w:val="20"/>
          <w:szCs w:val="21"/>
          <w:highlight w:val="none"/>
          <w:u w:val="single"/>
        </w:rPr>
        <w:t xml:space="preserve">           </w:t>
      </w:r>
    </w:p>
    <w:p w14:paraId="13406A8C">
      <w:pPr>
        <w:pStyle w:val="116"/>
        <w:spacing w:line="440" w:lineRule="exact"/>
        <w:ind w:firstLine="4766" w:firstLineChars="1900"/>
        <w:rPr>
          <w:rFonts w:ascii="宋体" w:hAnsi="宋体" w:cs="宋体"/>
          <w:b/>
          <w:color w:val="auto"/>
          <w:spacing w:val="20"/>
          <w:szCs w:val="21"/>
          <w:highlight w:val="none"/>
          <w:u w:val="single"/>
        </w:rPr>
      </w:pPr>
    </w:p>
    <w:p w14:paraId="7277BEA8">
      <w:pPr>
        <w:pStyle w:val="116"/>
        <w:spacing w:line="440" w:lineRule="exact"/>
        <w:rPr>
          <w:rFonts w:ascii="宋体" w:hAnsi="宋体" w:cs="宋体"/>
          <w:b/>
          <w:color w:val="auto"/>
          <w:spacing w:val="20"/>
          <w:szCs w:val="21"/>
          <w:highlight w:val="none"/>
          <w:u w:val="single"/>
        </w:rPr>
      </w:pPr>
      <w:r>
        <w:rPr>
          <w:rFonts w:hint="eastAsia" w:ascii="宋体" w:hAnsi="宋体" w:cs="宋体"/>
          <w:b/>
          <w:color w:val="auto"/>
          <w:szCs w:val="21"/>
          <w:highlight w:val="none"/>
        </w:rPr>
        <w:t>注：</w:t>
      </w:r>
      <w:r>
        <w:rPr>
          <w:rFonts w:hint="eastAsia" w:ascii="宋体" w:hAnsi="宋体" w:cs="宋体"/>
          <w:color w:val="auto"/>
          <w:szCs w:val="21"/>
          <w:highlight w:val="none"/>
        </w:rPr>
        <w:t>投标人为法人企业的，其负责人为其法定代表人；投标人为其他组织的，其负责人为法律、行政法规规定代表单位行使职权的主要负责人。</w:t>
      </w:r>
    </w:p>
    <w:p w14:paraId="2E9CF31A">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后附：</w:t>
      </w:r>
    </w:p>
    <w:p w14:paraId="0EA29C89">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负责人联系方式（手机）：</w:t>
      </w:r>
      <w:r>
        <w:rPr>
          <w:rFonts w:hint="eastAsia" w:ascii="宋体" w:hAnsi="宋体" w:cs="宋体"/>
          <w:bCs/>
          <w:color w:val="auto"/>
          <w:szCs w:val="21"/>
          <w:highlight w:val="none"/>
          <w:u w:val="single"/>
        </w:rPr>
        <w:t xml:space="preserve">                     </w:t>
      </w:r>
    </w:p>
    <w:p w14:paraId="0FC17D73">
      <w:pPr>
        <w:pStyle w:val="115"/>
        <w:spacing w:line="440" w:lineRule="exact"/>
        <w:ind w:firstLine="420" w:firstLineChars="200"/>
        <w:rPr>
          <w:rFonts w:hAnsi="宋体" w:cs="宋体"/>
          <w:bCs/>
          <w:color w:val="auto"/>
          <w:highlight w:val="none"/>
        </w:rPr>
      </w:pPr>
      <w:r>
        <w:rPr>
          <w:rFonts w:hint="eastAsia" w:hAnsi="宋体" w:cs="宋体"/>
          <w:bCs/>
          <w:color w:val="auto"/>
          <w:highlight w:val="none"/>
        </w:rPr>
        <w:t>负责人身份证复印件：</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B2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1" w:hRule="atLeast"/>
          <w:jc w:val="center"/>
        </w:trPr>
        <w:tc>
          <w:tcPr>
            <w:tcW w:w="9207" w:type="dxa"/>
          </w:tcPr>
          <w:p w14:paraId="5F9AEE60">
            <w:pPr>
              <w:pStyle w:val="115"/>
              <w:keepNext w:val="0"/>
              <w:keepLines w:val="0"/>
              <w:suppressLineNumbers w:val="0"/>
              <w:spacing w:before="0" w:beforeAutospacing="0" w:after="0" w:afterAutospacing="0" w:line="440" w:lineRule="exact"/>
              <w:ind w:left="0" w:right="0"/>
              <w:rPr>
                <w:rFonts w:hint="default" w:hAnsi="宋体" w:cs="宋体"/>
                <w:bCs/>
                <w:color w:val="auto"/>
                <w:highlight w:val="none"/>
              </w:rPr>
            </w:pPr>
            <w:r>
              <w:rPr>
                <w:rFonts w:hint="eastAsia" w:hAnsi="宋体" w:cs="宋体"/>
                <w:bCs/>
                <w:color w:val="auto"/>
                <w:highlight w:val="none"/>
                <w:lang w:val="en-US" w:eastAsia="zh-CN"/>
              </w:rPr>
              <w:t>人像</w:t>
            </w:r>
            <w:r>
              <w:rPr>
                <w:rFonts w:hint="eastAsia" w:hAnsi="宋体" w:cs="宋体"/>
                <w:bCs/>
                <w:color w:val="auto"/>
                <w:highlight w:val="none"/>
              </w:rPr>
              <w:t xml:space="preserve">面：                                 </w:t>
            </w:r>
            <w:r>
              <w:rPr>
                <w:rFonts w:hint="eastAsia" w:hAnsi="宋体" w:cs="宋体"/>
                <w:bCs/>
                <w:color w:val="auto"/>
                <w:highlight w:val="none"/>
                <w:lang w:val="en-US" w:eastAsia="zh-CN"/>
              </w:rPr>
              <w:t>国徽</w:t>
            </w:r>
            <w:r>
              <w:rPr>
                <w:rFonts w:hint="eastAsia" w:hAnsi="宋体" w:cs="宋体"/>
                <w:bCs/>
                <w:color w:val="auto"/>
                <w:highlight w:val="none"/>
              </w:rPr>
              <w:t>面：</w:t>
            </w:r>
          </w:p>
          <w:p w14:paraId="6A3BFA4F">
            <w:pPr>
              <w:pStyle w:val="115"/>
              <w:keepNext w:val="0"/>
              <w:keepLines w:val="0"/>
              <w:suppressLineNumbers w:val="0"/>
              <w:spacing w:before="0" w:beforeAutospacing="0" w:after="0" w:afterAutospacing="0" w:line="440" w:lineRule="exact"/>
              <w:ind w:left="0" w:right="0"/>
              <w:rPr>
                <w:rFonts w:hint="default" w:hAnsi="宋体" w:cs="宋体"/>
                <w:bCs/>
                <w:color w:val="auto"/>
                <w:highlight w:val="none"/>
              </w:rPr>
            </w:pPr>
          </w:p>
        </w:tc>
      </w:tr>
    </w:tbl>
    <w:p w14:paraId="1BF882DC">
      <w:pPr>
        <w:adjustRightInd w:val="0"/>
        <w:snapToGrid w:val="0"/>
        <w:spacing w:line="300" w:lineRule="auto"/>
        <w:ind w:firstLine="420" w:firstLineChars="200"/>
        <w:rPr>
          <w:rFonts w:ascii="宋体" w:hAnsi="宋体" w:cs="宋体"/>
          <w:color w:val="auto"/>
          <w:szCs w:val="21"/>
          <w:highlight w:val="none"/>
        </w:rPr>
      </w:pPr>
    </w:p>
    <w:p w14:paraId="57DE78E2">
      <w:pPr>
        <w:snapToGrid w:val="0"/>
        <w:spacing w:line="300" w:lineRule="auto"/>
        <w:jc w:val="center"/>
        <w:rPr>
          <w:rFonts w:ascii="宋体" w:hAnsi="宋体" w:cs="宋体"/>
          <w:b/>
          <w:color w:val="auto"/>
          <w:sz w:val="30"/>
          <w:highlight w:val="none"/>
        </w:rPr>
      </w:pPr>
      <w:r>
        <w:rPr>
          <w:rFonts w:hint="eastAsia" w:ascii="宋体" w:hAnsi="宋体" w:cs="宋体"/>
          <w:b/>
          <w:color w:val="auto"/>
          <w:sz w:val="30"/>
          <w:highlight w:val="none"/>
        </w:rPr>
        <w:t>1.2负责人授权委托书</w:t>
      </w:r>
    </w:p>
    <w:p w14:paraId="77C200FB">
      <w:pPr>
        <w:spacing w:line="360" w:lineRule="auto"/>
        <w:jc w:val="center"/>
        <w:rPr>
          <w:rFonts w:ascii="宋体" w:hAnsi="宋体" w:cs="宋体"/>
          <w:b/>
          <w:color w:val="auto"/>
          <w:sz w:val="24"/>
          <w:szCs w:val="21"/>
          <w:highlight w:val="none"/>
        </w:rPr>
      </w:pPr>
      <w:r>
        <w:rPr>
          <w:rFonts w:hint="eastAsia" w:ascii="宋体" w:hAnsi="宋体" w:cs="宋体"/>
          <w:b/>
          <w:color w:val="auto"/>
          <w:sz w:val="24"/>
          <w:szCs w:val="21"/>
          <w:highlight w:val="none"/>
        </w:rPr>
        <w:t>（注：投标人委派委托代理人作为投标人代表参与本项目采购活动时提供）</w:t>
      </w:r>
    </w:p>
    <w:p w14:paraId="3A73FF3F">
      <w:pPr>
        <w:pStyle w:val="28"/>
        <w:ind w:firstLine="3373" w:firstLineChars="1050"/>
        <w:rPr>
          <w:rFonts w:hAnsi="宋体" w:cs="宋体"/>
          <w:b/>
          <w:color w:val="auto"/>
          <w:sz w:val="32"/>
          <w:highlight w:val="none"/>
        </w:rPr>
      </w:pPr>
    </w:p>
    <w:p w14:paraId="353DBCC3">
      <w:pPr>
        <w:pStyle w:val="116"/>
        <w:autoSpaceDE w:val="0"/>
        <w:autoSpaceDN w:val="0"/>
        <w:spacing w:line="440" w:lineRule="exact"/>
        <w:textAlignment w:val="bottom"/>
        <w:rPr>
          <w:rFonts w:ascii="宋体" w:hAnsi="宋体" w:cs="宋体"/>
          <w:color w:val="auto"/>
          <w:szCs w:val="21"/>
          <w:highlight w:val="none"/>
          <w:u w:val="single"/>
        </w:rPr>
      </w:pPr>
      <w:r>
        <w:rPr>
          <w:rStyle w:val="102"/>
          <w:rFonts w:hint="eastAsia" w:ascii="宋体" w:hAnsi="宋体" w:cs="宋体"/>
          <w:color w:val="auto"/>
          <w:szCs w:val="21"/>
          <w:highlight w:val="none"/>
          <w:u w:val="single" w:color="000000"/>
        </w:rPr>
        <w:t>云和县城市建设投资集团有限公司、浙江大兴建设项目管理咨询有限公司</w:t>
      </w:r>
      <w:r>
        <w:rPr>
          <w:rFonts w:hint="eastAsia" w:ascii="宋体" w:hAnsi="宋体" w:cs="宋体"/>
          <w:color w:val="auto"/>
          <w:szCs w:val="21"/>
          <w:highlight w:val="none"/>
          <w:u w:val="single"/>
        </w:rPr>
        <w:t>：</w:t>
      </w:r>
    </w:p>
    <w:p w14:paraId="310D9E05">
      <w:pPr>
        <w:pStyle w:val="116"/>
        <w:autoSpaceDE w:val="0"/>
        <w:autoSpaceDN w:val="0"/>
        <w:spacing w:line="44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     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负责人姓名）系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（投标人全称）的负责人，现授权委托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w:t>
      </w:r>
      <w:r>
        <w:rPr>
          <w:rFonts w:hint="eastAsia" w:ascii="宋体" w:hAnsi="宋体" w:cs="宋体"/>
          <w:color w:val="auto"/>
          <w:szCs w:val="21"/>
          <w:highlight w:val="none"/>
          <w:lang w:eastAsia="zh-CN"/>
        </w:rPr>
        <w:t>参加</w:t>
      </w:r>
      <w:r>
        <w:rPr>
          <w:rFonts w:hint="eastAsia" w:ascii="宋体" w:hAnsi="宋体" w:cs="宋体"/>
          <w:color w:val="auto"/>
          <w:szCs w:val="21"/>
          <w:highlight w:val="none"/>
        </w:rPr>
        <w:t>贵方组织的</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color w:val="auto"/>
          <w:highlight w:val="none"/>
        </w:rPr>
        <w:fldChar w:fldCharType="begin"/>
      </w:r>
      <w:r>
        <w:rPr>
          <w:color w:val="auto"/>
          <w:highlight w:val="none"/>
        </w:rPr>
        <w:instrText xml:space="preserve"> HYPERLINK "https://bidding.zcygov.cn/xmgl/projectQuery/queryDetail?projectUuid=5c859e260a927c18" \l "/purchaseFileMake/_blank" \t "https://www.zcygov.cn/bidding-entrust/" </w:instrText>
      </w:r>
      <w:r>
        <w:rPr>
          <w:color w:val="auto"/>
          <w:highlight w:val="none"/>
        </w:rPr>
        <w:fldChar w:fldCharType="separate"/>
      </w:r>
      <w:r>
        <w:rPr>
          <w:color w:val="auto"/>
          <w:highlight w:val="none"/>
        </w:rPr>
        <w:fldChar w:fldCharType="end"/>
      </w:r>
      <w:r>
        <w:rPr>
          <w:rFonts w:hint="eastAsia" w:ascii="宋体" w:hAnsi="宋体" w:cs="宋体"/>
          <w:color w:val="auto"/>
          <w:spacing w:val="6"/>
          <w:szCs w:val="21"/>
          <w:highlight w:val="none"/>
        </w:rPr>
        <w:t>（项目名称）</w:t>
      </w:r>
      <w:r>
        <w:rPr>
          <w:rFonts w:ascii="宋体" w:hAnsi="宋体" w:eastAsia="仿宋_GB2312"/>
          <w:b/>
          <w:color w:val="auto"/>
          <w:sz w:val="32"/>
          <w:szCs w:val="32"/>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pacing w:val="6"/>
          <w:szCs w:val="21"/>
          <w:highlight w:val="none"/>
        </w:rPr>
        <w:t>（项目编号）</w:t>
      </w:r>
      <w:r>
        <w:rPr>
          <w:rFonts w:hint="eastAsia" w:ascii="宋体" w:hAnsi="宋体" w:cs="宋体"/>
          <w:color w:val="auto"/>
          <w:szCs w:val="21"/>
          <w:highlight w:val="none"/>
        </w:rPr>
        <w:t>项目的招投标活动，并代表我方全权办理针对上述项目的投标、开标、评审、签约等具体事务和签署相关文件。</w:t>
      </w:r>
    </w:p>
    <w:p w14:paraId="7C1076A5">
      <w:pPr>
        <w:pStyle w:val="116"/>
        <w:autoSpaceDE w:val="0"/>
        <w:autoSpaceDN w:val="0"/>
        <w:spacing w:line="44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我方对委托代理人的签字或盖章事项负全部责任。</w:t>
      </w:r>
    </w:p>
    <w:p w14:paraId="0ADA5F91">
      <w:pPr>
        <w:pStyle w:val="116"/>
        <w:spacing w:line="440" w:lineRule="exact"/>
        <w:ind w:firstLine="480"/>
        <w:rPr>
          <w:rFonts w:ascii="宋体" w:hAnsi="宋体" w:cs="宋体"/>
          <w:color w:val="auto"/>
          <w:szCs w:val="21"/>
          <w:highlight w:val="none"/>
        </w:rPr>
      </w:pPr>
      <w:r>
        <w:rPr>
          <w:rFonts w:hint="eastAsia" w:ascii="宋体" w:hAnsi="宋体" w:cs="宋体"/>
          <w:color w:val="auto"/>
          <w:szCs w:val="21"/>
          <w:highlight w:val="none"/>
        </w:rPr>
        <w:t>本授权书自签署之日起生效，至投标文件的提交截止之日起90日内有效。委托代理人在授权书有效期内签署的所有文件不因授权的失效而失效。</w:t>
      </w:r>
    </w:p>
    <w:p w14:paraId="21DA86FE">
      <w:pPr>
        <w:pStyle w:val="116"/>
        <w:spacing w:line="440" w:lineRule="exact"/>
        <w:ind w:firstLine="480"/>
        <w:rPr>
          <w:rFonts w:ascii="宋体" w:hAnsi="宋体" w:cs="宋体"/>
          <w:color w:val="auto"/>
          <w:szCs w:val="21"/>
          <w:highlight w:val="none"/>
        </w:rPr>
      </w:pPr>
      <w:r>
        <w:rPr>
          <w:rFonts w:hint="eastAsia" w:ascii="宋体" w:hAnsi="宋体" w:cs="宋体"/>
          <w:color w:val="auto"/>
          <w:szCs w:val="21"/>
          <w:highlight w:val="none"/>
        </w:rPr>
        <w:t>委托代理人无转委托权，特此声明。</w:t>
      </w:r>
    </w:p>
    <w:p w14:paraId="0F3C2532">
      <w:pPr>
        <w:pStyle w:val="116"/>
        <w:spacing w:line="440" w:lineRule="exact"/>
        <w:ind w:firstLine="480"/>
        <w:rPr>
          <w:rFonts w:ascii="宋体" w:hAnsi="宋体" w:cs="宋体"/>
          <w:color w:val="auto"/>
          <w:szCs w:val="21"/>
          <w:highlight w:val="none"/>
        </w:rPr>
      </w:pPr>
    </w:p>
    <w:p w14:paraId="3E9A93D7">
      <w:pPr>
        <w:pStyle w:val="116"/>
        <w:spacing w:line="440" w:lineRule="exact"/>
        <w:ind w:firstLine="3360" w:firstLineChars="1600"/>
        <w:rPr>
          <w:rFonts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w:t>
      </w:r>
    </w:p>
    <w:p w14:paraId="3FB6BBBE">
      <w:pPr>
        <w:pStyle w:val="116"/>
        <w:spacing w:line="440" w:lineRule="exact"/>
        <w:ind w:firstLine="4766" w:firstLineChars="1900"/>
        <w:rPr>
          <w:rFonts w:ascii="宋体" w:hAnsi="宋体" w:cs="宋体"/>
          <w:b/>
          <w:color w:val="auto"/>
          <w:spacing w:val="20"/>
          <w:szCs w:val="21"/>
          <w:highlight w:val="none"/>
          <w:u w:val="single"/>
        </w:rPr>
      </w:pPr>
      <w:r>
        <w:rPr>
          <w:rFonts w:hint="eastAsia" w:ascii="宋体" w:hAnsi="宋体" w:cs="宋体"/>
          <w:b/>
          <w:color w:val="auto"/>
          <w:spacing w:val="20"/>
          <w:szCs w:val="21"/>
          <w:highlight w:val="none"/>
        </w:rPr>
        <w:t>投标人盖章：</w:t>
      </w:r>
      <w:r>
        <w:rPr>
          <w:rFonts w:hint="eastAsia" w:ascii="宋体" w:hAnsi="宋体" w:cs="宋体"/>
          <w:b/>
          <w:color w:val="auto"/>
          <w:spacing w:val="20"/>
          <w:szCs w:val="21"/>
          <w:highlight w:val="none"/>
          <w:u w:val="single"/>
        </w:rPr>
        <w:t xml:space="preserve">           </w:t>
      </w:r>
    </w:p>
    <w:p w14:paraId="1DEF350F">
      <w:pPr>
        <w:pStyle w:val="116"/>
        <w:spacing w:line="440" w:lineRule="exact"/>
        <w:ind w:firstLine="4766" w:firstLineChars="1900"/>
        <w:rPr>
          <w:rFonts w:ascii="宋体" w:hAnsi="宋体" w:cs="宋体"/>
          <w:b/>
          <w:color w:val="auto"/>
          <w:spacing w:val="20"/>
          <w:szCs w:val="21"/>
          <w:highlight w:val="none"/>
        </w:rPr>
      </w:pPr>
      <w:r>
        <w:rPr>
          <w:rFonts w:hint="eastAsia" w:ascii="宋体" w:hAnsi="宋体" w:cs="宋体"/>
          <w:b/>
          <w:color w:val="auto"/>
          <w:spacing w:val="20"/>
          <w:szCs w:val="21"/>
          <w:highlight w:val="none"/>
          <w:lang w:val="en-US" w:eastAsia="zh-CN"/>
        </w:rPr>
        <w:t>法定代表人</w:t>
      </w:r>
      <w:r>
        <w:rPr>
          <w:rFonts w:hint="eastAsia" w:ascii="宋体" w:hAnsi="宋体" w:cs="宋体"/>
          <w:b/>
          <w:color w:val="auto"/>
          <w:spacing w:val="20"/>
          <w:szCs w:val="21"/>
          <w:highlight w:val="none"/>
        </w:rPr>
        <w:t xml:space="preserve">签字或盖章： </w:t>
      </w:r>
      <w:r>
        <w:rPr>
          <w:rFonts w:ascii="宋体" w:hAnsi="宋体" w:cs="宋体"/>
          <w:b/>
          <w:color w:val="auto"/>
          <w:spacing w:val="20"/>
          <w:szCs w:val="21"/>
          <w:highlight w:val="none"/>
        </w:rPr>
        <w:t xml:space="preserve">  </w:t>
      </w:r>
    </w:p>
    <w:p w14:paraId="5BCBB008">
      <w:pPr>
        <w:pStyle w:val="116"/>
        <w:spacing w:line="440" w:lineRule="exact"/>
        <w:ind w:firstLine="4766" w:firstLineChars="1900"/>
        <w:rPr>
          <w:rFonts w:ascii="宋体" w:hAnsi="宋体" w:cs="宋体"/>
          <w:b/>
          <w:color w:val="auto"/>
          <w:spacing w:val="20"/>
          <w:szCs w:val="21"/>
          <w:highlight w:val="none"/>
          <w:u w:val="single"/>
        </w:rPr>
      </w:pPr>
      <w:r>
        <w:rPr>
          <w:rFonts w:hint="eastAsia" w:ascii="宋体" w:hAnsi="宋体" w:cs="宋体"/>
          <w:b/>
          <w:color w:val="auto"/>
          <w:spacing w:val="20"/>
          <w:szCs w:val="21"/>
          <w:highlight w:val="none"/>
        </w:rPr>
        <w:t>日     期：</w:t>
      </w:r>
      <w:r>
        <w:rPr>
          <w:rFonts w:hint="eastAsia" w:ascii="宋体" w:hAnsi="宋体" w:cs="宋体"/>
          <w:b/>
          <w:color w:val="auto"/>
          <w:spacing w:val="20"/>
          <w:szCs w:val="21"/>
          <w:highlight w:val="none"/>
          <w:u w:val="single"/>
        </w:rPr>
        <w:t xml:space="preserve">           </w:t>
      </w:r>
    </w:p>
    <w:p w14:paraId="0EF8AAC0">
      <w:pPr>
        <w:pStyle w:val="116"/>
        <w:spacing w:line="440" w:lineRule="exact"/>
        <w:rPr>
          <w:rFonts w:ascii="宋体" w:hAnsi="宋体" w:cs="宋体"/>
          <w:color w:val="auto"/>
          <w:szCs w:val="21"/>
          <w:highlight w:val="none"/>
        </w:rPr>
      </w:pPr>
      <w:r>
        <w:rPr>
          <w:rFonts w:hint="eastAsia" w:ascii="宋体" w:hAnsi="宋体" w:cs="宋体"/>
          <w:color w:val="auto"/>
          <w:szCs w:val="21"/>
          <w:highlight w:val="none"/>
        </w:rPr>
        <w:t>___________________________________________________________________</w:t>
      </w:r>
    </w:p>
    <w:p w14:paraId="1CF0C93A">
      <w:pPr>
        <w:pStyle w:val="116"/>
        <w:spacing w:line="440" w:lineRule="exact"/>
        <w:ind w:firstLine="480"/>
        <w:rPr>
          <w:rFonts w:ascii="宋体" w:hAnsi="宋体" w:cs="宋体"/>
          <w:color w:val="auto"/>
          <w:szCs w:val="21"/>
          <w:highlight w:val="none"/>
        </w:rPr>
      </w:pPr>
      <w:r>
        <w:rPr>
          <w:rFonts w:hint="eastAsia" w:ascii="宋体" w:hAnsi="宋体" w:cs="宋体"/>
          <w:color w:val="auto"/>
          <w:szCs w:val="21"/>
          <w:highlight w:val="none"/>
        </w:rPr>
        <w:t>附：委托代理人姓名：</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 xml:space="preserve">职务： </w:t>
      </w:r>
    </w:p>
    <w:p w14:paraId="5D56BF32">
      <w:pPr>
        <w:pStyle w:val="116"/>
        <w:spacing w:line="440" w:lineRule="exact"/>
        <w:ind w:firstLine="480"/>
        <w:rPr>
          <w:rFonts w:ascii="宋体" w:hAnsi="宋体" w:cs="宋体"/>
          <w:color w:val="auto"/>
          <w:szCs w:val="21"/>
          <w:highlight w:val="none"/>
        </w:rPr>
      </w:pPr>
      <w:r>
        <w:rPr>
          <w:rFonts w:hint="eastAsia" w:ascii="宋体" w:hAnsi="宋体" w:cs="宋体"/>
          <w:color w:val="auto"/>
          <w:szCs w:val="21"/>
          <w:highlight w:val="none"/>
        </w:rPr>
        <w:t xml:space="preserve">       身份证号码：　　　　　　　　　　 </w:t>
      </w:r>
      <w:r>
        <w:rPr>
          <w:rFonts w:hint="eastAsia" w:ascii="宋体" w:hAnsi="宋体" w:cs="宋体"/>
          <w:color w:val="auto"/>
          <w:szCs w:val="21"/>
          <w:highlight w:val="none"/>
        </w:rPr>
        <w:tab/>
      </w:r>
      <w:r>
        <w:rPr>
          <w:rFonts w:hint="eastAsia" w:ascii="宋体" w:hAnsi="宋体" w:cs="宋体"/>
          <w:color w:val="auto"/>
          <w:szCs w:val="21"/>
          <w:highlight w:val="none"/>
        </w:rPr>
        <w:t xml:space="preserve">性别：　    </w:t>
      </w:r>
    </w:p>
    <w:p w14:paraId="58228692">
      <w:pPr>
        <w:pStyle w:val="116"/>
        <w:spacing w:line="440" w:lineRule="exact"/>
        <w:ind w:firstLine="420"/>
        <w:rPr>
          <w:rFonts w:ascii="宋体" w:hAnsi="宋体" w:cs="宋体"/>
          <w:b/>
          <w:color w:val="auto"/>
          <w:szCs w:val="21"/>
          <w:highlight w:val="none"/>
        </w:rPr>
      </w:pPr>
    </w:p>
    <w:p w14:paraId="1F5105FD">
      <w:pPr>
        <w:pStyle w:val="116"/>
        <w:spacing w:line="440" w:lineRule="exact"/>
        <w:ind w:firstLine="791" w:firstLineChars="375"/>
        <w:rPr>
          <w:rFonts w:ascii="宋体" w:hAnsi="宋体" w:cs="宋体"/>
          <w:color w:val="auto"/>
          <w:szCs w:val="21"/>
          <w:highlight w:val="none"/>
        </w:rPr>
      </w:pPr>
      <w:r>
        <w:rPr>
          <w:rFonts w:hint="eastAsia" w:ascii="宋体" w:hAnsi="宋体" w:cs="宋体"/>
          <w:b/>
          <w:color w:val="auto"/>
          <w:szCs w:val="21"/>
          <w:highlight w:val="none"/>
        </w:rPr>
        <w:t>注：</w:t>
      </w:r>
      <w:r>
        <w:rPr>
          <w:rFonts w:hint="eastAsia" w:ascii="宋体" w:hAnsi="宋体" w:cs="宋体"/>
          <w:color w:val="auto"/>
          <w:szCs w:val="21"/>
          <w:highlight w:val="none"/>
        </w:rPr>
        <w:t>1、投标人为法人企业的，其负责人为其法定代表人；投标人为其他组织的，其负责人为法律、行政法规规定代表单位行使职权的主要负责人。</w:t>
      </w:r>
    </w:p>
    <w:p w14:paraId="2C6B8CC5">
      <w:pPr>
        <w:pStyle w:val="116"/>
        <w:spacing w:line="440" w:lineRule="exact"/>
        <w:ind w:firstLine="787" w:firstLineChars="375"/>
        <w:rPr>
          <w:rFonts w:ascii="宋体" w:hAnsi="宋体" w:cs="宋体"/>
          <w:color w:val="auto"/>
          <w:szCs w:val="21"/>
          <w:highlight w:val="none"/>
        </w:rPr>
      </w:pPr>
      <w:r>
        <w:rPr>
          <w:rFonts w:hint="eastAsia" w:ascii="宋体" w:hAnsi="宋体" w:cs="宋体"/>
          <w:color w:val="auto"/>
          <w:szCs w:val="21"/>
          <w:highlight w:val="none"/>
        </w:rPr>
        <w:t>2、委托人为上述条款中的负责人。</w:t>
      </w:r>
    </w:p>
    <w:p w14:paraId="3FD68589">
      <w:pPr>
        <w:pStyle w:val="116"/>
        <w:spacing w:line="440" w:lineRule="exact"/>
        <w:ind w:firstLine="787" w:firstLineChars="375"/>
        <w:rPr>
          <w:rFonts w:ascii="宋体" w:hAnsi="宋体" w:cs="宋体"/>
          <w:color w:val="auto"/>
          <w:szCs w:val="21"/>
          <w:highlight w:val="none"/>
        </w:rPr>
      </w:pPr>
      <w:r>
        <w:rPr>
          <w:rFonts w:hint="eastAsia" w:ascii="宋体" w:hAnsi="宋体" w:cs="宋体"/>
          <w:color w:val="auto"/>
          <w:szCs w:val="21"/>
          <w:highlight w:val="none"/>
        </w:rPr>
        <w:t>3、本“授权委托书”需附负责人和委托代理人身份证复印件，如复印件不清晰或错误的，后果由投标人自行承担。</w:t>
      </w:r>
    </w:p>
    <w:p w14:paraId="38638351">
      <w:pPr>
        <w:pStyle w:val="28"/>
        <w:spacing w:line="360" w:lineRule="auto"/>
        <w:jc w:val="center"/>
        <w:rPr>
          <w:rFonts w:hAnsi="宋体" w:cs="宋体"/>
          <w:color w:val="auto"/>
          <w:highlight w:val="none"/>
        </w:rPr>
      </w:pPr>
    </w:p>
    <w:p w14:paraId="5A090E34">
      <w:pPr>
        <w:pStyle w:val="30"/>
        <w:rPr>
          <w:rFonts w:hAnsi="宋体" w:cs="宋体"/>
          <w:color w:val="auto"/>
          <w:highlight w:val="none"/>
        </w:rPr>
      </w:pPr>
    </w:p>
    <w:p w14:paraId="6780B563">
      <w:pPr>
        <w:rPr>
          <w:rFonts w:hAnsi="宋体" w:cs="宋体"/>
          <w:color w:val="auto"/>
          <w:highlight w:val="none"/>
        </w:rPr>
      </w:pPr>
    </w:p>
    <w:p w14:paraId="07591F3C">
      <w:pPr>
        <w:pStyle w:val="30"/>
        <w:rPr>
          <w:color w:val="auto"/>
          <w:highlight w:val="none"/>
        </w:rPr>
      </w:pPr>
    </w:p>
    <w:p w14:paraId="110B664B">
      <w:pPr>
        <w:rPr>
          <w:color w:val="auto"/>
          <w:highlight w:val="none"/>
        </w:rPr>
      </w:pPr>
    </w:p>
    <w:p w14:paraId="35848F81">
      <w:pPr>
        <w:pStyle w:val="20"/>
        <w:rPr>
          <w:color w:val="auto"/>
          <w:highlight w:val="none"/>
        </w:rPr>
      </w:pPr>
    </w:p>
    <w:p w14:paraId="45C3DC9D">
      <w:pPr>
        <w:pStyle w:val="3"/>
        <w:rPr>
          <w:rFonts w:ascii="宋体" w:hAnsi="宋体" w:eastAsia="宋体" w:cs="宋体"/>
          <w:color w:val="auto"/>
          <w:kern w:val="2"/>
          <w:sz w:val="30"/>
          <w:szCs w:val="24"/>
          <w:highlight w:val="none"/>
        </w:rPr>
      </w:pPr>
      <w:r>
        <w:rPr>
          <w:rFonts w:hint="eastAsia" w:ascii="宋体" w:hAnsi="宋体" w:eastAsia="宋体" w:cs="宋体"/>
          <w:color w:val="auto"/>
          <w:kern w:val="2"/>
          <w:sz w:val="30"/>
          <w:szCs w:val="24"/>
          <w:highlight w:val="none"/>
        </w:rPr>
        <w:t>2、投标声明书</w:t>
      </w:r>
    </w:p>
    <w:p w14:paraId="4ECA6E33">
      <w:pPr>
        <w:pStyle w:val="166"/>
        <w:spacing w:line="480" w:lineRule="exact"/>
        <w:rPr>
          <w:rFonts w:hAnsi="宋体" w:cs="宋体"/>
          <w:color w:val="auto"/>
          <w:sz w:val="21"/>
          <w:szCs w:val="21"/>
          <w:highlight w:val="none"/>
          <w:u w:val="single"/>
        </w:rPr>
      </w:pPr>
      <w:r>
        <w:rPr>
          <w:rStyle w:val="102"/>
          <w:rFonts w:hint="eastAsia" w:hAnsi="宋体" w:cs="宋体"/>
          <w:color w:val="auto"/>
          <w:szCs w:val="21"/>
          <w:highlight w:val="none"/>
          <w:u w:val="single" w:color="000000"/>
        </w:rPr>
        <w:t>云和县城市建设投资集团有限公司、浙江大兴建设项目管理咨询有限公司</w:t>
      </w:r>
      <w:r>
        <w:rPr>
          <w:rFonts w:hint="eastAsia" w:hAnsi="宋体" w:cs="宋体"/>
          <w:color w:val="auto"/>
          <w:sz w:val="21"/>
          <w:szCs w:val="21"/>
          <w:highlight w:val="none"/>
          <w:u w:val="single"/>
        </w:rPr>
        <w:t>：</w:t>
      </w:r>
    </w:p>
    <w:p w14:paraId="356F1D61">
      <w:pPr>
        <w:pStyle w:val="166"/>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u w:val="single"/>
        </w:rPr>
        <w:t xml:space="preserve">        (投标人全称</w:t>
      </w:r>
      <w:r>
        <w:rPr>
          <w:rFonts w:hint="eastAsia" w:hAnsi="宋体" w:cs="宋体"/>
          <w:color w:val="auto"/>
          <w:sz w:val="21"/>
          <w:szCs w:val="21"/>
          <w:highlight w:val="none"/>
        </w:rPr>
        <w:t>)系中华人民共和国合法企业，经营地址</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7B23EA37">
      <w:pPr>
        <w:pStyle w:val="166"/>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 xml:space="preserve">   (法定代表人或负责人名字)  </w:t>
      </w:r>
      <w:r>
        <w:rPr>
          <w:rFonts w:hint="eastAsia" w:hAnsi="宋体" w:cs="宋体"/>
          <w:color w:val="auto"/>
          <w:sz w:val="21"/>
          <w:szCs w:val="21"/>
          <w:highlight w:val="none"/>
        </w:rPr>
        <w:t>系</w:t>
      </w:r>
      <w:r>
        <w:rPr>
          <w:rFonts w:hint="eastAsia" w:hAnsi="宋体" w:cs="宋体"/>
          <w:color w:val="auto"/>
          <w:sz w:val="21"/>
          <w:szCs w:val="21"/>
          <w:highlight w:val="none"/>
          <w:u w:val="single"/>
        </w:rPr>
        <w:t xml:space="preserve">    (投标人名称)       </w:t>
      </w:r>
      <w:r>
        <w:rPr>
          <w:rFonts w:hint="eastAsia" w:hAnsi="宋体" w:cs="宋体"/>
          <w:color w:val="auto"/>
          <w:sz w:val="21"/>
          <w:szCs w:val="21"/>
          <w:highlight w:val="none"/>
        </w:rPr>
        <w:t>的负责人，我方愿意参加贵方组织的</w:t>
      </w:r>
      <w:r>
        <w:rPr>
          <w:color w:val="auto"/>
          <w:highlight w:val="none"/>
        </w:rPr>
        <w:fldChar w:fldCharType="begin"/>
      </w:r>
      <w:r>
        <w:rPr>
          <w:color w:val="auto"/>
          <w:highlight w:val="none"/>
        </w:rPr>
        <w:instrText xml:space="preserve"> HYPERLINK "https://bidding.zcygov.cn/xmgl/projectQuery/queryDetail?projectUuid=5c859e260a927c18" \l "/purchaseFileMake/_blank" \t "https://www.zcygov.cn/bidding-entrust/" </w:instrText>
      </w:r>
      <w:r>
        <w:rPr>
          <w:color w:val="auto"/>
          <w:highlight w:val="none"/>
        </w:rPr>
        <w:fldChar w:fldCharType="separate"/>
      </w:r>
      <w:r>
        <w:rPr>
          <w:color w:val="auto"/>
          <w:highlight w:val="none"/>
        </w:rPr>
        <w:fldChar w:fldCharType="end"/>
      </w:r>
      <w:r>
        <w:rPr>
          <w:rFonts w:hint="eastAsia" w:hAnsi="宋体" w:cs="宋体"/>
          <w:color w:val="auto"/>
          <w:spacing w:val="6"/>
          <w:szCs w:val="21"/>
          <w:highlight w:val="none"/>
          <w:u w:val="single"/>
        </w:rPr>
        <w:t>（项目名称）（项目编号）</w:t>
      </w:r>
      <w:r>
        <w:rPr>
          <w:rFonts w:hint="eastAsia" w:hAnsi="宋体" w:cs="宋体"/>
          <w:color w:val="auto"/>
          <w:sz w:val="21"/>
          <w:szCs w:val="21"/>
          <w:highlight w:val="none"/>
        </w:rPr>
        <w:t>的投标。为便于贵方公正、择优地确定中标人以及投标服务，我方就本次投标有关事项郑重承诺如下：</w:t>
      </w:r>
    </w:p>
    <w:p w14:paraId="2F8B0243">
      <w:pPr>
        <w:pStyle w:val="166"/>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1、我方向贵方提交的所有投标文件、资料都是准确的和真实的。</w:t>
      </w:r>
    </w:p>
    <w:p w14:paraId="6607C84A">
      <w:pPr>
        <w:pStyle w:val="166"/>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2、我方承诺已经具备招标公告中规定的参加采购活动的投标人应当具备的条件，并真实提供相关材料。</w:t>
      </w:r>
    </w:p>
    <w:p w14:paraId="54CCF360">
      <w:pPr>
        <w:pStyle w:val="166"/>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3、提供投标人须知规定的全部投标文件，包括：</w:t>
      </w:r>
    </w:p>
    <w:p w14:paraId="5C383F9A">
      <w:pPr>
        <w:pStyle w:val="373"/>
        <w:widowControl/>
        <w:snapToGrid w:val="0"/>
        <w:spacing w:line="440" w:lineRule="exact"/>
        <w:ind w:firstLine="420" w:firstLineChars="200"/>
        <w:rPr>
          <w:rStyle w:val="102"/>
          <w:rFonts w:hAnsi="宋体" w:cs="宋体"/>
          <w:color w:val="auto"/>
          <w:szCs w:val="21"/>
          <w:highlight w:val="none"/>
        </w:rPr>
      </w:pPr>
      <w:r>
        <w:rPr>
          <w:rStyle w:val="102"/>
          <w:rFonts w:hint="eastAsia" w:hAnsi="宋体" w:cs="宋体"/>
          <w:color w:val="auto"/>
          <w:szCs w:val="21"/>
          <w:highlight w:val="none"/>
        </w:rPr>
        <w:t>资格文件正本</w:t>
      </w:r>
      <w:r>
        <w:rPr>
          <w:rStyle w:val="102"/>
          <w:rFonts w:hint="eastAsia" w:hAnsi="宋体" w:cs="宋体"/>
          <w:color w:val="auto"/>
          <w:szCs w:val="21"/>
          <w:highlight w:val="none"/>
          <w:u w:val="single" w:color="000000"/>
        </w:rPr>
        <w:t xml:space="preserve">  </w:t>
      </w:r>
      <w:r>
        <w:rPr>
          <w:rStyle w:val="102"/>
          <w:rFonts w:hint="eastAsia" w:hAnsi="宋体" w:cs="宋体"/>
          <w:color w:val="auto"/>
          <w:szCs w:val="21"/>
          <w:highlight w:val="none"/>
        </w:rPr>
        <w:t>份，副本</w:t>
      </w:r>
      <w:r>
        <w:rPr>
          <w:rStyle w:val="102"/>
          <w:rFonts w:hint="eastAsia" w:hAnsi="宋体" w:cs="宋体"/>
          <w:color w:val="auto"/>
          <w:szCs w:val="21"/>
          <w:highlight w:val="none"/>
          <w:u w:val="single" w:color="000000"/>
        </w:rPr>
        <w:t xml:space="preserve">  </w:t>
      </w:r>
      <w:r>
        <w:rPr>
          <w:rStyle w:val="102"/>
          <w:rFonts w:hint="eastAsia" w:hAnsi="宋体" w:cs="宋体"/>
          <w:color w:val="auto"/>
          <w:szCs w:val="21"/>
          <w:highlight w:val="none"/>
        </w:rPr>
        <w:t>份</w:t>
      </w:r>
    </w:p>
    <w:p w14:paraId="6CDEA13E">
      <w:pPr>
        <w:pStyle w:val="373"/>
        <w:widowControl/>
        <w:snapToGrid w:val="0"/>
        <w:spacing w:line="440" w:lineRule="exact"/>
        <w:ind w:firstLine="420" w:firstLineChars="200"/>
        <w:rPr>
          <w:rStyle w:val="102"/>
          <w:rFonts w:hAnsi="宋体" w:cs="宋体"/>
          <w:color w:val="auto"/>
          <w:szCs w:val="21"/>
          <w:highlight w:val="none"/>
        </w:rPr>
      </w:pPr>
      <w:r>
        <w:rPr>
          <w:rStyle w:val="102"/>
          <w:rFonts w:hint="eastAsia" w:hAnsi="宋体" w:cs="宋体"/>
          <w:color w:val="auto"/>
          <w:szCs w:val="21"/>
          <w:highlight w:val="none"/>
        </w:rPr>
        <w:t>商务技术文件正本</w:t>
      </w:r>
      <w:r>
        <w:rPr>
          <w:rStyle w:val="102"/>
          <w:rFonts w:hint="eastAsia" w:hAnsi="宋体" w:cs="宋体"/>
          <w:color w:val="auto"/>
          <w:szCs w:val="21"/>
          <w:highlight w:val="none"/>
          <w:u w:val="single" w:color="000000"/>
        </w:rPr>
        <w:t xml:space="preserve">  </w:t>
      </w:r>
      <w:r>
        <w:rPr>
          <w:rStyle w:val="102"/>
          <w:rFonts w:hint="eastAsia" w:hAnsi="宋体" w:cs="宋体"/>
          <w:color w:val="auto"/>
          <w:szCs w:val="21"/>
          <w:highlight w:val="none"/>
        </w:rPr>
        <w:t>份，副本</w:t>
      </w:r>
      <w:r>
        <w:rPr>
          <w:rStyle w:val="102"/>
          <w:rFonts w:hint="eastAsia" w:hAnsi="宋体" w:cs="宋体"/>
          <w:color w:val="auto"/>
          <w:szCs w:val="21"/>
          <w:highlight w:val="none"/>
          <w:u w:val="single" w:color="000000"/>
        </w:rPr>
        <w:t xml:space="preserve">  </w:t>
      </w:r>
      <w:r>
        <w:rPr>
          <w:rStyle w:val="102"/>
          <w:rFonts w:hint="eastAsia" w:hAnsi="宋体" w:cs="宋体"/>
          <w:color w:val="auto"/>
          <w:szCs w:val="21"/>
          <w:highlight w:val="none"/>
        </w:rPr>
        <w:t>份；</w:t>
      </w:r>
    </w:p>
    <w:p w14:paraId="1BAE67E0">
      <w:pPr>
        <w:pStyle w:val="373"/>
        <w:widowControl/>
        <w:snapToGrid w:val="0"/>
        <w:spacing w:line="440" w:lineRule="exact"/>
        <w:ind w:firstLine="420" w:firstLineChars="200"/>
        <w:rPr>
          <w:rStyle w:val="102"/>
          <w:rFonts w:hint="eastAsia" w:hAnsi="宋体" w:cs="宋体"/>
          <w:color w:val="auto"/>
          <w:szCs w:val="21"/>
          <w:highlight w:val="none"/>
        </w:rPr>
      </w:pPr>
      <w:r>
        <w:rPr>
          <w:rStyle w:val="102"/>
          <w:rFonts w:hint="eastAsia" w:hAnsi="宋体" w:cs="宋体"/>
          <w:color w:val="auto"/>
          <w:szCs w:val="21"/>
          <w:highlight w:val="none"/>
        </w:rPr>
        <w:t>报价文件正本</w:t>
      </w:r>
      <w:r>
        <w:rPr>
          <w:rStyle w:val="102"/>
          <w:rFonts w:hint="eastAsia" w:hAnsi="宋体" w:cs="宋体"/>
          <w:color w:val="auto"/>
          <w:szCs w:val="21"/>
          <w:highlight w:val="none"/>
          <w:u w:val="single" w:color="000000"/>
        </w:rPr>
        <w:t xml:space="preserve">  </w:t>
      </w:r>
      <w:r>
        <w:rPr>
          <w:rStyle w:val="102"/>
          <w:rFonts w:hint="eastAsia" w:hAnsi="宋体" w:cs="宋体"/>
          <w:color w:val="auto"/>
          <w:szCs w:val="21"/>
          <w:highlight w:val="none"/>
        </w:rPr>
        <w:t>份，副本</w:t>
      </w:r>
      <w:r>
        <w:rPr>
          <w:rStyle w:val="102"/>
          <w:rFonts w:hint="eastAsia" w:hAnsi="宋体" w:cs="宋体"/>
          <w:color w:val="auto"/>
          <w:szCs w:val="21"/>
          <w:highlight w:val="none"/>
          <w:u w:val="single" w:color="000000"/>
        </w:rPr>
        <w:t xml:space="preserve">  </w:t>
      </w:r>
      <w:r>
        <w:rPr>
          <w:rStyle w:val="102"/>
          <w:rFonts w:hint="eastAsia" w:hAnsi="宋体" w:cs="宋体"/>
          <w:color w:val="auto"/>
          <w:szCs w:val="21"/>
          <w:highlight w:val="none"/>
        </w:rPr>
        <w:t>份；</w:t>
      </w:r>
    </w:p>
    <w:p w14:paraId="29FC1D8D">
      <w:pPr>
        <w:pStyle w:val="373"/>
        <w:widowControl/>
        <w:snapToGrid w:val="0"/>
        <w:spacing w:line="440" w:lineRule="exact"/>
        <w:ind w:firstLine="420" w:firstLineChars="200"/>
        <w:rPr>
          <w:color w:val="auto"/>
          <w:highlight w:val="none"/>
        </w:rPr>
      </w:pPr>
      <w:r>
        <w:rPr>
          <w:rStyle w:val="102"/>
          <w:rFonts w:hint="eastAsia" w:ascii="Times New Roman" w:hAnsi="宋体" w:eastAsia="宋体" w:cs="宋体"/>
          <w:color w:val="auto"/>
          <w:szCs w:val="21"/>
          <w:highlight w:val="none"/>
          <w:lang w:val="en-US" w:eastAsia="zh-CN"/>
        </w:rPr>
        <w:t>电子文件</w:t>
      </w:r>
      <w:r>
        <w:rPr>
          <w:rStyle w:val="102"/>
          <w:rFonts w:hint="eastAsia" w:ascii="Times New Roman" w:hAnsi="宋体" w:eastAsia="宋体" w:cs="宋体"/>
          <w:color w:val="auto"/>
          <w:szCs w:val="21"/>
          <w:highlight w:val="none"/>
          <w:u w:val="single"/>
        </w:rPr>
        <w:t xml:space="preserve">  </w:t>
      </w:r>
      <w:r>
        <w:rPr>
          <w:rStyle w:val="102"/>
          <w:rFonts w:hint="eastAsia" w:ascii="Times New Roman" w:hAnsi="宋体" w:eastAsia="宋体" w:cs="宋体"/>
          <w:color w:val="auto"/>
          <w:szCs w:val="21"/>
          <w:highlight w:val="none"/>
        </w:rPr>
        <w:t>份；</w:t>
      </w:r>
    </w:p>
    <w:p w14:paraId="21356683">
      <w:pPr>
        <w:pStyle w:val="373"/>
        <w:widowControl/>
        <w:snapToGrid w:val="0"/>
        <w:spacing w:line="440" w:lineRule="exact"/>
        <w:ind w:firstLine="420" w:firstLineChars="200"/>
        <w:rPr>
          <w:rStyle w:val="102"/>
          <w:rFonts w:hAnsi="宋体" w:cs="宋体"/>
          <w:color w:val="auto"/>
          <w:szCs w:val="21"/>
          <w:highlight w:val="none"/>
        </w:rPr>
      </w:pPr>
      <w:r>
        <w:rPr>
          <w:rStyle w:val="102"/>
          <w:rFonts w:hint="eastAsia" w:hAnsi="宋体" w:cs="宋体"/>
          <w:color w:val="auto"/>
          <w:szCs w:val="21"/>
          <w:highlight w:val="none"/>
        </w:rPr>
        <w:t>投标人须知要求的投标人提交的全部文件；</w:t>
      </w:r>
    </w:p>
    <w:p w14:paraId="24769425">
      <w:pPr>
        <w:pStyle w:val="373"/>
        <w:widowControl/>
        <w:snapToGrid w:val="0"/>
        <w:spacing w:line="440" w:lineRule="exact"/>
        <w:ind w:firstLine="420" w:firstLineChars="200"/>
        <w:rPr>
          <w:rStyle w:val="102"/>
          <w:rFonts w:hAnsi="宋体" w:cs="宋体"/>
          <w:color w:val="auto"/>
          <w:szCs w:val="21"/>
          <w:highlight w:val="none"/>
        </w:rPr>
      </w:pPr>
      <w:r>
        <w:rPr>
          <w:rStyle w:val="102"/>
          <w:rFonts w:hint="eastAsia" w:hAnsi="宋体" w:cs="宋体"/>
          <w:color w:val="auto"/>
          <w:szCs w:val="21"/>
          <w:highlight w:val="none"/>
        </w:rPr>
        <w:t>按招标文件要求提供的服务的价格详见报价表。</w:t>
      </w:r>
    </w:p>
    <w:p w14:paraId="4952C5FB">
      <w:pPr>
        <w:pStyle w:val="166"/>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4、我方的投标有效期自</w:t>
      </w:r>
      <w:r>
        <w:rPr>
          <w:rFonts w:hint="eastAsia" w:hAnsi="宋体" w:cs="宋体"/>
          <w:bCs/>
          <w:snapToGrid w:val="0"/>
          <w:color w:val="auto"/>
          <w:kern w:val="2"/>
          <w:sz w:val="21"/>
          <w:szCs w:val="21"/>
          <w:highlight w:val="none"/>
        </w:rPr>
        <w:t>提交投标文件的截止之日起</w:t>
      </w:r>
      <w:r>
        <w:rPr>
          <w:rFonts w:hint="eastAsia" w:hAnsi="宋体" w:cs="宋体"/>
          <w:color w:val="auto"/>
          <w:sz w:val="21"/>
          <w:szCs w:val="21"/>
          <w:highlight w:val="none"/>
          <w:u w:val="single"/>
        </w:rPr>
        <w:t>90</w:t>
      </w:r>
      <w:r>
        <w:rPr>
          <w:rFonts w:hint="eastAsia" w:hAnsi="宋体" w:cs="宋体"/>
          <w:color w:val="auto"/>
          <w:sz w:val="21"/>
          <w:szCs w:val="21"/>
          <w:highlight w:val="none"/>
        </w:rPr>
        <w:t>天内有效。</w:t>
      </w:r>
    </w:p>
    <w:p w14:paraId="37654B42">
      <w:pPr>
        <w:pStyle w:val="166"/>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5、我方在投标之前已经与贵方进行了充分的沟通，完全理解并接受招标文件的各项规定和要求，对招标文件的合理性、合法性不再有异议。</w:t>
      </w:r>
    </w:p>
    <w:p w14:paraId="06AB0F99">
      <w:pPr>
        <w:pStyle w:val="166"/>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我方愿意向贵方提供真实的与该项投标有关的数据、情况和资料。</w:t>
      </w:r>
    </w:p>
    <w:p w14:paraId="6ECEE4FF">
      <w:pPr>
        <w:pStyle w:val="166"/>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我方已详细审核全部招标文件，包括招标文件的澄清或修改文件（如有）、参考资料及有关附件（如有），已经了解我方对于招标文件、采购过程、采购结果有依法进行询问、质疑、投诉的权利及相关渠道和要求。</w:t>
      </w:r>
    </w:p>
    <w:p w14:paraId="76F6437F">
      <w:pPr>
        <w:pStyle w:val="166"/>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7、我方不是采购人的附属机构，并未为本项目提供整体设计、规范编制或者项目管理、监理、监测等服务。</w:t>
      </w:r>
    </w:p>
    <w:p w14:paraId="7EEC346A">
      <w:pPr>
        <w:pStyle w:val="166"/>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我方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60F8162C">
      <w:pPr>
        <w:pStyle w:val="166"/>
        <w:spacing w:line="48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（一）提供虚假材料谋取中标的；</w:t>
      </w:r>
    </w:p>
    <w:p w14:paraId="6FCD6CB4">
      <w:pPr>
        <w:pStyle w:val="166"/>
        <w:spacing w:line="48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（二）采取不正当手段诋毁、排挤其他投标人的；</w:t>
      </w:r>
    </w:p>
    <w:p w14:paraId="7FD20E7E">
      <w:pPr>
        <w:pStyle w:val="166"/>
        <w:spacing w:line="48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（三）与采购人、</w:t>
      </w:r>
      <w:r>
        <w:rPr>
          <w:rFonts w:hint="eastAsia" w:hAnsi="宋体" w:cs="宋体"/>
          <w:color w:val="auto"/>
          <w:sz w:val="21"/>
          <w:szCs w:val="21"/>
          <w:highlight w:val="none"/>
          <w:lang w:eastAsia="zh-CN"/>
        </w:rPr>
        <w:t>其他</w:t>
      </w:r>
      <w:r>
        <w:rPr>
          <w:rFonts w:hint="eastAsia" w:hAnsi="宋体" w:cs="宋体"/>
          <w:color w:val="auto"/>
          <w:sz w:val="21"/>
          <w:szCs w:val="21"/>
          <w:highlight w:val="none"/>
        </w:rPr>
        <w:t>投标人或者招标代理机构恶意串通的；</w:t>
      </w:r>
    </w:p>
    <w:p w14:paraId="03D2E8EF">
      <w:pPr>
        <w:pStyle w:val="166"/>
        <w:spacing w:line="48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（四）向采购人、招标代理机构行贿或者提供其他不正当利益的；</w:t>
      </w:r>
    </w:p>
    <w:p w14:paraId="2EE5EEFC">
      <w:pPr>
        <w:pStyle w:val="166"/>
        <w:spacing w:line="48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（五）在招标采购过程中与采购人进行协商谈判的；</w:t>
      </w:r>
    </w:p>
    <w:p w14:paraId="6AF7BF63">
      <w:pPr>
        <w:pStyle w:val="166"/>
        <w:spacing w:line="48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（六）拒绝有关部门监督检查或提供虚假情况的。</w:t>
      </w:r>
    </w:p>
    <w:p w14:paraId="2D27D2C2">
      <w:pPr>
        <w:pStyle w:val="166"/>
        <w:spacing w:line="48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9、如中标，本投标文件至本项目合同履行完毕止均保持有效，我方将按招标文件及采购</w:t>
      </w:r>
      <w:r>
        <w:rPr>
          <w:rFonts w:hint="eastAsia" w:hAnsi="宋体" w:cs="宋体"/>
          <w:color w:val="auto"/>
          <w:sz w:val="21"/>
          <w:szCs w:val="21"/>
          <w:highlight w:val="none"/>
          <w:lang w:eastAsia="zh-CN"/>
        </w:rPr>
        <w:t>法律法规</w:t>
      </w:r>
      <w:r>
        <w:rPr>
          <w:rFonts w:hint="eastAsia" w:hAnsi="宋体" w:cs="宋体"/>
          <w:color w:val="auto"/>
          <w:sz w:val="21"/>
          <w:szCs w:val="21"/>
          <w:highlight w:val="none"/>
        </w:rPr>
        <w:t>的规定履行合同责任和义务。</w:t>
      </w:r>
    </w:p>
    <w:p w14:paraId="0402C548">
      <w:pPr>
        <w:pStyle w:val="166"/>
        <w:spacing w:line="48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10、以上事项如有虚假或隐瞒，我方愿意承担一切不利后果，并不再寻求任何旨在减轻或免除法律责任。</w:t>
      </w:r>
    </w:p>
    <w:p w14:paraId="1AD7056C">
      <w:pPr>
        <w:pStyle w:val="166"/>
        <w:spacing w:line="480" w:lineRule="exact"/>
        <w:ind w:firstLine="480"/>
        <w:rPr>
          <w:rFonts w:hAnsi="宋体" w:cs="宋体"/>
          <w:color w:val="auto"/>
          <w:sz w:val="21"/>
          <w:szCs w:val="21"/>
          <w:highlight w:val="none"/>
        </w:rPr>
      </w:pPr>
      <w:r>
        <w:rPr>
          <w:rFonts w:hint="eastAsia" w:hAnsi="宋体" w:cs="宋体"/>
          <w:color w:val="auto"/>
          <w:sz w:val="21"/>
          <w:szCs w:val="21"/>
          <w:highlight w:val="none"/>
        </w:rPr>
        <w:t>与本次投标有关的一切正式往来信函请寄：</w:t>
      </w:r>
    </w:p>
    <w:p w14:paraId="4861314E">
      <w:pPr>
        <w:pStyle w:val="166"/>
        <w:spacing w:line="480" w:lineRule="exact"/>
        <w:ind w:firstLine="480"/>
        <w:rPr>
          <w:rFonts w:hAnsi="宋体" w:cs="宋体"/>
          <w:color w:val="auto"/>
          <w:sz w:val="21"/>
          <w:szCs w:val="21"/>
          <w:highlight w:val="none"/>
        </w:rPr>
      </w:pPr>
      <w:r>
        <w:rPr>
          <w:rFonts w:hint="eastAsia" w:hAnsi="宋体" w:cs="宋体"/>
          <w:color w:val="auto"/>
          <w:sz w:val="21"/>
          <w:szCs w:val="21"/>
          <w:highlight w:val="none"/>
        </w:rPr>
        <w:t>地址：</w:t>
      </w:r>
      <w:r>
        <w:rPr>
          <w:rFonts w:hint="eastAsia" w:hAnsi="宋体" w:cs="宋体"/>
          <w:color w:val="auto"/>
          <w:spacing w:val="20"/>
          <w:sz w:val="21"/>
          <w:szCs w:val="21"/>
          <w:highlight w:val="none"/>
          <w:u w:val="single"/>
        </w:rPr>
        <w:t xml:space="preserve">             </w:t>
      </w:r>
      <w:r>
        <w:rPr>
          <w:rFonts w:hint="eastAsia" w:hAnsi="宋体" w:cs="宋体"/>
          <w:color w:val="auto"/>
          <w:sz w:val="21"/>
          <w:szCs w:val="21"/>
          <w:highlight w:val="none"/>
        </w:rPr>
        <w:t xml:space="preserve">     邮编：</w:t>
      </w:r>
      <w:r>
        <w:rPr>
          <w:rFonts w:hint="eastAsia" w:hAnsi="宋体" w:cs="宋体"/>
          <w:color w:val="auto"/>
          <w:spacing w:val="20"/>
          <w:sz w:val="21"/>
          <w:szCs w:val="21"/>
          <w:highlight w:val="none"/>
          <w:u w:val="single"/>
        </w:rPr>
        <w:t xml:space="preserve">           </w:t>
      </w:r>
      <w:r>
        <w:rPr>
          <w:rFonts w:hint="eastAsia" w:hAnsi="宋体" w:cs="宋体"/>
          <w:color w:val="auto"/>
          <w:sz w:val="21"/>
          <w:szCs w:val="21"/>
          <w:highlight w:val="none"/>
        </w:rPr>
        <w:t>　</w:t>
      </w:r>
    </w:p>
    <w:p w14:paraId="58B0B976">
      <w:pPr>
        <w:pStyle w:val="28"/>
        <w:spacing w:line="480" w:lineRule="exact"/>
        <w:ind w:firstLine="420" w:firstLineChars="200"/>
        <w:rPr>
          <w:rFonts w:hAnsi="宋体" w:cs="宋体"/>
          <w:color w:val="auto"/>
          <w:szCs w:val="21"/>
          <w:highlight w:val="none"/>
        </w:rPr>
      </w:pPr>
      <w:r>
        <w:rPr>
          <w:rFonts w:hint="eastAsia" w:hAnsi="宋体" w:cs="宋体"/>
          <w:color w:val="auto"/>
          <w:szCs w:val="21"/>
          <w:highlight w:val="none"/>
        </w:rPr>
        <w:t>电话：</w:t>
      </w:r>
      <w:r>
        <w:rPr>
          <w:rFonts w:hint="eastAsia" w:hAnsi="宋体" w:cs="宋体"/>
          <w:color w:val="auto"/>
          <w:spacing w:val="20"/>
          <w:szCs w:val="21"/>
          <w:highlight w:val="none"/>
          <w:u w:val="single"/>
        </w:rPr>
        <w:t xml:space="preserve">             </w:t>
      </w:r>
      <w:r>
        <w:rPr>
          <w:rFonts w:hint="eastAsia" w:hAnsi="宋体" w:cs="宋体"/>
          <w:color w:val="auto"/>
          <w:szCs w:val="21"/>
          <w:highlight w:val="none"/>
        </w:rPr>
        <w:t xml:space="preserve">     传真：</w:t>
      </w:r>
      <w:r>
        <w:rPr>
          <w:rFonts w:hint="eastAsia" w:hAnsi="宋体" w:cs="宋体"/>
          <w:color w:val="auto"/>
          <w:spacing w:val="20"/>
          <w:szCs w:val="21"/>
          <w:highlight w:val="none"/>
          <w:u w:val="single"/>
        </w:rPr>
        <w:t xml:space="preserve">           </w:t>
      </w:r>
    </w:p>
    <w:p w14:paraId="481C8A0E">
      <w:pPr>
        <w:pStyle w:val="166"/>
        <w:spacing w:line="480" w:lineRule="exact"/>
        <w:rPr>
          <w:rFonts w:hAnsi="宋体" w:cs="宋体"/>
          <w:color w:val="auto"/>
          <w:sz w:val="21"/>
          <w:szCs w:val="21"/>
          <w:highlight w:val="none"/>
        </w:rPr>
      </w:pPr>
    </w:p>
    <w:p w14:paraId="231F92BC">
      <w:pPr>
        <w:pStyle w:val="118"/>
        <w:spacing w:line="520" w:lineRule="exact"/>
        <w:ind w:firstLine="4750" w:firstLineChars="1900"/>
        <w:rPr>
          <w:rFonts w:hAnsi="宋体" w:cs="宋体"/>
          <w:color w:val="auto"/>
          <w:spacing w:val="20"/>
          <w:szCs w:val="21"/>
          <w:highlight w:val="none"/>
          <w:u w:val="single"/>
        </w:rPr>
      </w:pPr>
    </w:p>
    <w:p w14:paraId="458F0BBA">
      <w:pPr>
        <w:pStyle w:val="118"/>
        <w:spacing w:line="520" w:lineRule="exact"/>
        <w:ind w:firstLine="5320" w:firstLineChars="1900"/>
        <w:rPr>
          <w:rFonts w:hAnsi="宋体" w:cs="宋体"/>
          <w:color w:val="auto"/>
          <w:spacing w:val="20"/>
          <w:sz w:val="24"/>
          <w:highlight w:val="none"/>
          <w:u w:val="single"/>
        </w:rPr>
      </w:pPr>
    </w:p>
    <w:p w14:paraId="25A8AF67">
      <w:pPr>
        <w:pStyle w:val="118"/>
        <w:spacing w:line="520" w:lineRule="exact"/>
        <w:ind w:firstLine="5320" w:firstLineChars="1900"/>
        <w:rPr>
          <w:rFonts w:hAnsi="宋体" w:cs="宋体"/>
          <w:color w:val="auto"/>
          <w:spacing w:val="20"/>
          <w:sz w:val="24"/>
          <w:highlight w:val="none"/>
          <w:u w:val="single"/>
        </w:rPr>
      </w:pPr>
    </w:p>
    <w:p w14:paraId="09099DA5">
      <w:pPr>
        <w:pStyle w:val="118"/>
        <w:spacing w:line="520" w:lineRule="exact"/>
        <w:ind w:firstLine="5320" w:firstLineChars="1900"/>
        <w:rPr>
          <w:rFonts w:hAnsi="宋体" w:cs="宋体"/>
          <w:color w:val="auto"/>
          <w:spacing w:val="20"/>
          <w:sz w:val="24"/>
          <w:highlight w:val="none"/>
          <w:u w:val="single"/>
        </w:rPr>
      </w:pPr>
    </w:p>
    <w:p w14:paraId="6B37C1A7">
      <w:pPr>
        <w:spacing w:line="500" w:lineRule="exact"/>
        <w:ind w:firstLine="5250" w:firstLineChars="2500"/>
        <w:jc w:val="left"/>
        <w:rPr>
          <w:rFonts w:ascii="宋体" w:hAnsi="宋体" w:cs="宋体"/>
          <w:color w:val="auto"/>
          <w:szCs w:val="21"/>
          <w:highlight w:val="none"/>
        </w:rPr>
      </w:pPr>
      <w:r>
        <w:rPr>
          <w:rFonts w:hint="eastAsia" w:ascii="宋体" w:hAnsi="宋体" w:cs="宋体"/>
          <w:color w:val="auto"/>
          <w:szCs w:val="21"/>
          <w:highlight w:val="none"/>
        </w:rPr>
        <w:t>投标人盖章：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F3F2D05">
      <w:pPr>
        <w:spacing w:line="500" w:lineRule="exact"/>
        <w:ind w:firstLine="5250" w:firstLineChars="2500"/>
        <w:jc w:val="left"/>
        <w:rPr>
          <w:rFonts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0C64D8F1">
      <w:pPr>
        <w:rPr>
          <w:rFonts w:ascii="宋体" w:hAnsi="宋体" w:cs="宋体"/>
          <w:b/>
          <w:color w:val="auto"/>
          <w:sz w:val="6"/>
          <w:szCs w:val="2"/>
          <w:highlight w:val="none"/>
        </w:rPr>
      </w:pPr>
      <w:r>
        <w:rPr>
          <w:rFonts w:hint="eastAsia" w:ascii="宋体" w:hAnsi="宋体" w:cs="宋体"/>
          <w:b/>
          <w:color w:val="auto"/>
          <w:highlight w:val="none"/>
        </w:rPr>
        <w:br w:type="page"/>
      </w:r>
    </w:p>
    <w:p w14:paraId="177560CB">
      <w:pPr>
        <w:pStyle w:val="5"/>
        <w:ind w:firstLine="0"/>
        <w:jc w:val="center"/>
        <w:rPr>
          <w:rFonts w:ascii="宋体" w:hAnsi="宋体" w:cs="宋体"/>
          <w:b/>
          <w:color w:val="auto"/>
          <w:sz w:val="30"/>
          <w:highlight w:val="none"/>
        </w:rPr>
      </w:pPr>
      <w:r>
        <w:rPr>
          <w:rFonts w:hint="eastAsia" w:ascii="宋体" w:hAnsi="宋体" w:cs="宋体"/>
          <w:b/>
          <w:color w:val="auto"/>
          <w:sz w:val="30"/>
          <w:highlight w:val="none"/>
        </w:rPr>
        <w:t xml:space="preserve">  3、其他资信资料</w:t>
      </w:r>
    </w:p>
    <w:p w14:paraId="1146A3B5">
      <w:pPr>
        <w:rPr>
          <w:rFonts w:ascii="宋体" w:hAnsi="宋体" w:cs="宋体"/>
          <w:color w:val="auto"/>
          <w:highlight w:val="none"/>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279"/>
        <w:gridCol w:w="1076"/>
        <w:gridCol w:w="975"/>
        <w:gridCol w:w="841"/>
        <w:gridCol w:w="971"/>
        <w:gridCol w:w="971"/>
        <w:gridCol w:w="971"/>
        <w:gridCol w:w="806"/>
        <w:gridCol w:w="1138"/>
      </w:tblGrid>
      <w:tr w14:paraId="2468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684" w:type="dxa"/>
            <w:vAlign w:val="center"/>
          </w:tcPr>
          <w:p w14:paraId="465BE8F7">
            <w:pPr>
              <w:keepNext w:val="0"/>
              <w:keepLines w:val="0"/>
              <w:widowControl/>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单位</w:t>
            </w:r>
          </w:p>
          <w:p w14:paraId="0BF848F7">
            <w:pPr>
              <w:keepNext w:val="0"/>
              <w:keepLines w:val="0"/>
              <w:widowControl/>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名称</w:t>
            </w:r>
          </w:p>
          <w:p w14:paraId="0EDDEE49">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279" w:type="dxa"/>
            <w:vAlign w:val="center"/>
          </w:tcPr>
          <w:p w14:paraId="50D0AB24">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076" w:type="dxa"/>
            <w:vAlign w:val="center"/>
          </w:tcPr>
          <w:p w14:paraId="09EF1B40">
            <w:pPr>
              <w:keepNext w:val="0"/>
              <w:keepLines w:val="0"/>
              <w:widowControl/>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电话</w:t>
            </w:r>
          </w:p>
          <w:p w14:paraId="2A764B96">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75" w:type="dxa"/>
            <w:vAlign w:val="center"/>
          </w:tcPr>
          <w:p w14:paraId="0BD0675F">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41" w:type="dxa"/>
            <w:vAlign w:val="center"/>
          </w:tcPr>
          <w:p w14:paraId="2FD9DCA5">
            <w:pPr>
              <w:keepNext w:val="0"/>
              <w:keepLines w:val="0"/>
              <w:widowControl/>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地址</w:t>
            </w:r>
          </w:p>
          <w:p w14:paraId="457B0F0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71" w:type="dxa"/>
            <w:vAlign w:val="center"/>
          </w:tcPr>
          <w:p w14:paraId="62F0ED5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71" w:type="dxa"/>
            <w:vAlign w:val="center"/>
          </w:tcPr>
          <w:p w14:paraId="402CF3DA">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单位</w:t>
            </w:r>
          </w:p>
          <w:p w14:paraId="18A3208A">
            <w:pPr>
              <w:keepNext w:val="0"/>
              <w:keepLines w:val="0"/>
              <w:widowControl/>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法人</w:t>
            </w:r>
          </w:p>
          <w:p w14:paraId="26159444">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971" w:type="dxa"/>
            <w:vAlign w:val="center"/>
          </w:tcPr>
          <w:p w14:paraId="33A39D2A">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806" w:type="dxa"/>
            <w:vAlign w:val="center"/>
          </w:tcPr>
          <w:p w14:paraId="63F1065F">
            <w:pPr>
              <w:keepNext w:val="0"/>
              <w:keepLines w:val="0"/>
              <w:widowControl/>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单位性质</w:t>
            </w:r>
          </w:p>
          <w:p w14:paraId="50815CD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138" w:type="dxa"/>
            <w:vAlign w:val="center"/>
          </w:tcPr>
          <w:p w14:paraId="7036296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5381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exact"/>
        </w:trPr>
        <w:tc>
          <w:tcPr>
            <w:tcW w:w="684" w:type="dxa"/>
            <w:vMerge w:val="restart"/>
            <w:vAlign w:val="center"/>
          </w:tcPr>
          <w:p w14:paraId="571B33CE">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lang w:bidi="ar"/>
              </w:rPr>
            </w:pPr>
          </w:p>
          <w:p w14:paraId="518E9B83">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单位</w:t>
            </w:r>
          </w:p>
          <w:p w14:paraId="5CBCD469">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概况</w:t>
            </w:r>
          </w:p>
          <w:p w14:paraId="30285EF4">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279" w:type="dxa"/>
            <w:vAlign w:val="center"/>
          </w:tcPr>
          <w:p w14:paraId="09115CF9">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营业执照</w:t>
            </w:r>
          </w:p>
          <w:p w14:paraId="7607BF81">
            <w:pPr>
              <w:keepNext w:val="0"/>
              <w:keepLines w:val="0"/>
              <w:widowControl/>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经营范围</w:t>
            </w:r>
          </w:p>
        </w:tc>
        <w:tc>
          <w:tcPr>
            <w:tcW w:w="7749" w:type="dxa"/>
            <w:gridSpan w:val="8"/>
            <w:vAlign w:val="center"/>
          </w:tcPr>
          <w:p w14:paraId="34FA7EB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49E2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684" w:type="dxa"/>
            <w:vMerge w:val="continue"/>
            <w:vAlign w:val="center"/>
          </w:tcPr>
          <w:p w14:paraId="2004C129">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279" w:type="dxa"/>
            <w:vAlign w:val="center"/>
          </w:tcPr>
          <w:p w14:paraId="5B0830F1">
            <w:pPr>
              <w:keepNext w:val="0"/>
              <w:keepLines w:val="0"/>
              <w:widowControl/>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统一社会信用代码</w:t>
            </w:r>
          </w:p>
        </w:tc>
        <w:tc>
          <w:tcPr>
            <w:tcW w:w="7749" w:type="dxa"/>
            <w:gridSpan w:val="8"/>
            <w:vAlign w:val="center"/>
          </w:tcPr>
          <w:p w14:paraId="3A71971C">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6A7D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684" w:type="dxa"/>
            <w:vMerge w:val="continue"/>
            <w:vAlign w:val="center"/>
          </w:tcPr>
          <w:p w14:paraId="481EDBC1">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279" w:type="dxa"/>
            <w:vAlign w:val="center"/>
          </w:tcPr>
          <w:p w14:paraId="39D69559">
            <w:pPr>
              <w:keepNext w:val="0"/>
              <w:keepLines w:val="0"/>
              <w:widowControl/>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开户银行</w:t>
            </w:r>
          </w:p>
        </w:tc>
        <w:tc>
          <w:tcPr>
            <w:tcW w:w="7749" w:type="dxa"/>
            <w:gridSpan w:val="8"/>
            <w:vAlign w:val="center"/>
          </w:tcPr>
          <w:p w14:paraId="3EE80F4E">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3A8D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684" w:type="dxa"/>
            <w:vMerge w:val="continue"/>
            <w:vAlign w:val="center"/>
          </w:tcPr>
          <w:p w14:paraId="16CA67E8">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279" w:type="dxa"/>
            <w:vAlign w:val="center"/>
          </w:tcPr>
          <w:p w14:paraId="736515BA">
            <w:pPr>
              <w:keepNext w:val="0"/>
              <w:keepLines w:val="0"/>
              <w:widowControl/>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账号</w:t>
            </w:r>
          </w:p>
        </w:tc>
        <w:tc>
          <w:tcPr>
            <w:tcW w:w="7749" w:type="dxa"/>
            <w:gridSpan w:val="8"/>
            <w:vAlign w:val="center"/>
          </w:tcPr>
          <w:p w14:paraId="7E28481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7E86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684" w:type="dxa"/>
            <w:vMerge w:val="continue"/>
            <w:vAlign w:val="center"/>
          </w:tcPr>
          <w:p w14:paraId="42EDC76C">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1279" w:type="dxa"/>
            <w:vAlign w:val="center"/>
          </w:tcPr>
          <w:p w14:paraId="195CE979">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在职员工</w:t>
            </w:r>
          </w:p>
          <w:p w14:paraId="68352306">
            <w:pPr>
              <w:keepNext w:val="0"/>
              <w:keepLines w:val="0"/>
              <w:widowControl/>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总数</w:t>
            </w:r>
          </w:p>
          <w:p w14:paraId="35571CA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7749" w:type="dxa"/>
            <w:gridSpan w:val="8"/>
            <w:vAlign w:val="center"/>
          </w:tcPr>
          <w:p w14:paraId="499585A6">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共 人</w:t>
            </w:r>
          </w:p>
          <w:p w14:paraId="66975E92">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14:paraId="220A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84" w:type="dxa"/>
            <w:vAlign w:val="center"/>
          </w:tcPr>
          <w:p w14:paraId="604C6315">
            <w:pPr>
              <w:keepNext w:val="0"/>
              <w:keepLines w:val="0"/>
              <w:widowControl/>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其他</w:t>
            </w:r>
          </w:p>
          <w:p w14:paraId="6F6F6794">
            <w:pPr>
              <w:keepNext w:val="0"/>
              <w:keepLines w:val="0"/>
              <w:widowControl/>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说明</w:t>
            </w:r>
          </w:p>
        </w:tc>
        <w:tc>
          <w:tcPr>
            <w:tcW w:w="9028" w:type="dxa"/>
            <w:gridSpan w:val="9"/>
            <w:vAlign w:val="center"/>
          </w:tcPr>
          <w:p w14:paraId="3918FF63">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bl>
    <w:p w14:paraId="092295A8">
      <w:pPr>
        <w:rPr>
          <w:rFonts w:ascii="宋体" w:hAnsi="宋体" w:cs="宋体"/>
          <w:color w:val="auto"/>
          <w:highlight w:val="none"/>
        </w:rPr>
      </w:pPr>
    </w:p>
    <w:p w14:paraId="7AA9489B">
      <w:pPr>
        <w:pStyle w:val="116"/>
        <w:wordWrap w:val="0"/>
        <w:spacing w:line="480" w:lineRule="exact"/>
        <w:ind w:firstLine="480"/>
        <w:jc w:val="center"/>
        <w:rPr>
          <w:rFonts w:ascii="宋体" w:hAnsi="宋体" w:cs="宋体"/>
          <w:color w:val="auto"/>
          <w:szCs w:val="21"/>
          <w:highlight w:val="none"/>
          <w:u w:val="single"/>
        </w:rPr>
      </w:pPr>
      <w:r>
        <w:rPr>
          <w:rFonts w:hint="eastAsia" w:ascii="宋体" w:hAnsi="宋体" w:cs="宋体"/>
          <w:color w:val="auto"/>
          <w:szCs w:val="21"/>
          <w:highlight w:val="none"/>
        </w:rPr>
        <w:t xml:space="preserve">                      </w:t>
      </w:r>
    </w:p>
    <w:p w14:paraId="14B1BC76">
      <w:pPr>
        <w:snapToGrid w:val="0"/>
        <w:spacing w:line="480" w:lineRule="exact"/>
        <w:ind w:firstLine="420" w:firstLineChars="200"/>
        <w:rPr>
          <w:rFonts w:ascii="宋体" w:hAnsi="宋体" w:cs="宋体"/>
          <w:color w:val="auto"/>
          <w:szCs w:val="21"/>
          <w:highlight w:val="none"/>
        </w:rPr>
      </w:pPr>
    </w:p>
    <w:p w14:paraId="0994BB78">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说明:投标人应如实填写以上内容。</w:t>
      </w:r>
    </w:p>
    <w:p w14:paraId="247B63D8">
      <w:pPr>
        <w:widowControl/>
        <w:jc w:val="left"/>
        <w:rPr>
          <w:rFonts w:ascii="宋体" w:hAnsi="宋体" w:cs="宋体"/>
          <w:color w:val="auto"/>
          <w:highlight w:val="none"/>
        </w:rPr>
      </w:pPr>
    </w:p>
    <w:p w14:paraId="5DE45C68">
      <w:pPr>
        <w:rPr>
          <w:rFonts w:ascii="宋体" w:hAnsi="宋体" w:cs="宋体"/>
          <w:color w:val="auto"/>
          <w:highlight w:val="none"/>
        </w:rPr>
      </w:pPr>
    </w:p>
    <w:p w14:paraId="4CEEDA7F">
      <w:pPr>
        <w:snapToGrid w:val="0"/>
        <w:spacing w:line="480" w:lineRule="exact"/>
        <w:ind w:firstLine="420" w:firstLineChars="200"/>
        <w:rPr>
          <w:rFonts w:ascii="宋体" w:hAnsi="宋体" w:cs="宋体"/>
          <w:color w:val="auto"/>
          <w:szCs w:val="21"/>
          <w:highlight w:val="none"/>
        </w:rPr>
      </w:pPr>
    </w:p>
    <w:p w14:paraId="20126A9F">
      <w:pPr>
        <w:widowControl/>
        <w:jc w:val="left"/>
        <w:rPr>
          <w:rFonts w:ascii="宋体" w:hAnsi="宋体" w:cs="宋体"/>
          <w:color w:val="auto"/>
          <w:highlight w:val="none"/>
        </w:rPr>
      </w:pPr>
    </w:p>
    <w:p w14:paraId="71DD017A">
      <w:pPr>
        <w:rPr>
          <w:rFonts w:ascii="宋体" w:hAnsi="宋体" w:cs="宋体"/>
          <w:color w:val="auto"/>
          <w:highlight w:val="none"/>
        </w:rPr>
      </w:pPr>
      <w:r>
        <w:rPr>
          <w:rFonts w:ascii="宋体" w:hAnsi="宋体" w:cs="宋体"/>
          <w:color w:val="auto"/>
          <w:highlight w:val="none"/>
        </w:rPr>
        <w:br w:type="page"/>
      </w:r>
    </w:p>
    <w:p w14:paraId="6EFC90B3">
      <w:pPr>
        <w:pStyle w:val="5"/>
        <w:ind w:firstLine="0"/>
        <w:jc w:val="center"/>
        <w:rPr>
          <w:rFonts w:ascii="宋体" w:hAnsi="宋体" w:cs="宋体"/>
          <w:b/>
          <w:color w:val="auto"/>
          <w:sz w:val="30"/>
          <w:highlight w:val="none"/>
        </w:rPr>
      </w:pPr>
      <w:r>
        <w:rPr>
          <w:rFonts w:hint="eastAsia" w:ascii="宋体" w:hAnsi="宋体" w:cs="宋体"/>
          <w:b/>
          <w:color w:val="auto"/>
          <w:sz w:val="30"/>
          <w:highlight w:val="none"/>
        </w:rPr>
        <w:t>4、投标人类似业绩汇总表及证明材料</w:t>
      </w:r>
    </w:p>
    <w:p w14:paraId="4AA5C5DA">
      <w:pPr>
        <w:jc w:val="center"/>
        <w:rPr>
          <w:rFonts w:ascii="宋体" w:hAnsi="宋体" w:cs="宋体"/>
          <w:b/>
          <w:color w:val="auto"/>
          <w:kern w:val="0"/>
          <w:sz w:val="20"/>
          <w:szCs w:val="28"/>
          <w:highlight w:val="none"/>
        </w:rPr>
      </w:pPr>
    </w:p>
    <w:p w14:paraId="7FBBE46A">
      <w:pPr>
        <w:spacing w:line="500" w:lineRule="exact"/>
        <w:ind w:right="-2"/>
        <w:rPr>
          <w:rFonts w:ascii="宋体" w:hAnsi="宋体" w:cs="宋体"/>
          <w:b/>
          <w:color w:val="auto"/>
          <w:szCs w:val="21"/>
          <w:highlight w:val="none"/>
        </w:rPr>
      </w:pPr>
      <w:r>
        <w:rPr>
          <w:rFonts w:hint="eastAsia" w:ascii="宋体" w:hAnsi="宋体" w:cs="宋体"/>
          <w:b/>
          <w:color w:val="auto"/>
          <w:szCs w:val="21"/>
          <w:highlight w:val="none"/>
        </w:rPr>
        <w:t>项目名称：</w:t>
      </w:r>
      <w:r>
        <w:rPr>
          <w:color w:val="auto"/>
          <w:highlight w:val="none"/>
        </w:rPr>
        <w:fldChar w:fldCharType="begin"/>
      </w:r>
      <w:r>
        <w:rPr>
          <w:color w:val="auto"/>
          <w:highlight w:val="none"/>
        </w:rPr>
        <w:instrText xml:space="preserve"> HYPERLINK "https://bidding.zcygov.cn/xmgl/projectQuery/queryDetail?projectUuid=5c859e260a927c18" \l "/purchaseFileMake/_blank" \t "https://www.zcygov.cn/bidding-entrust/" </w:instrText>
      </w:r>
      <w:r>
        <w:rPr>
          <w:color w:val="auto"/>
          <w:highlight w:val="none"/>
        </w:rPr>
        <w:fldChar w:fldCharType="separate"/>
      </w:r>
      <w:r>
        <w:rPr>
          <w:color w:val="auto"/>
          <w:highlight w:val="none"/>
        </w:rPr>
        <w:fldChar w:fldCharType="end"/>
      </w:r>
    </w:p>
    <w:p w14:paraId="07C5CE72">
      <w:pPr>
        <w:spacing w:line="500" w:lineRule="exact"/>
        <w:ind w:right="-426" w:rightChars="-203"/>
        <w:rPr>
          <w:rFonts w:ascii="宋体" w:hAnsi="宋体" w:cs="宋体"/>
          <w:b/>
          <w:color w:val="auto"/>
          <w:kern w:val="0"/>
          <w:szCs w:val="21"/>
          <w:highlight w:val="none"/>
          <w:u w:val="single"/>
        </w:rPr>
      </w:pPr>
      <w:r>
        <w:rPr>
          <w:rFonts w:hint="eastAsia" w:ascii="宋体" w:hAnsi="宋体" w:cs="宋体"/>
          <w:b/>
          <w:color w:val="auto"/>
          <w:szCs w:val="21"/>
          <w:highlight w:val="none"/>
        </w:rPr>
        <w:t>项目编号：</w:t>
      </w:r>
    </w:p>
    <w:tbl>
      <w:tblPr>
        <w:tblStyle w:val="51"/>
        <w:tblW w:w="975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194"/>
        <w:gridCol w:w="1938"/>
        <w:gridCol w:w="2100"/>
        <w:gridCol w:w="1700"/>
        <w:gridCol w:w="1137"/>
      </w:tblGrid>
      <w:tr w14:paraId="32D6E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FFFFFF"/>
            <w:vAlign w:val="center"/>
          </w:tcPr>
          <w:p w14:paraId="15DF1F85">
            <w:pPr>
              <w:keepNext w:val="0"/>
              <w:keepLines w:val="0"/>
              <w:suppressLineNumbers w:val="0"/>
              <w:spacing w:before="0" w:beforeAutospacing="0" w:after="0" w:afterAutospacing="0" w:line="500" w:lineRule="exact"/>
              <w:ind w:left="0" w:right="0"/>
              <w:jc w:val="center"/>
              <w:rPr>
                <w:rFonts w:hint="default"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194" w:type="dxa"/>
            <w:shd w:val="clear" w:color="auto" w:fill="FFFFFF"/>
            <w:vAlign w:val="center"/>
          </w:tcPr>
          <w:p w14:paraId="542C4F07">
            <w:pPr>
              <w:keepNext w:val="0"/>
              <w:keepLines w:val="0"/>
              <w:suppressLineNumbers w:val="0"/>
              <w:spacing w:before="0" w:beforeAutospacing="0" w:after="0" w:afterAutospacing="0" w:line="500" w:lineRule="exact"/>
              <w:ind w:left="0" w:right="0"/>
              <w:jc w:val="center"/>
              <w:rPr>
                <w:rFonts w:hint="default" w:ascii="宋体" w:hAnsi="宋体" w:cs="宋体"/>
                <w:b/>
                <w:color w:val="auto"/>
                <w:kern w:val="0"/>
                <w:szCs w:val="21"/>
                <w:highlight w:val="none"/>
              </w:rPr>
            </w:pPr>
            <w:r>
              <w:rPr>
                <w:rFonts w:hint="eastAsia" w:ascii="宋体" w:hAnsi="宋体" w:cs="宋体"/>
                <w:b/>
                <w:color w:val="auto"/>
                <w:kern w:val="0"/>
                <w:szCs w:val="21"/>
                <w:highlight w:val="none"/>
              </w:rPr>
              <w:t>业主单位</w:t>
            </w:r>
          </w:p>
        </w:tc>
        <w:tc>
          <w:tcPr>
            <w:tcW w:w="1938" w:type="dxa"/>
            <w:shd w:val="clear" w:color="auto" w:fill="FFFFFF"/>
            <w:vAlign w:val="center"/>
          </w:tcPr>
          <w:p w14:paraId="4E3547D7">
            <w:pPr>
              <w:keepNext w:val="0"/>
              <w:keepLines w:val="0"/>
              <w:suppressLineNumbers w:val="0"/>
              <w:spacing w:before="0" w:beforeAutospacing="0" w:after="0" w:afterAutospacing="0" w:line="500" w:lineRule="exact"/>
              <w:ind w:left="0" w:right="0"/>
              <w:jc w:val="center"/>
              <w:rPr>
                <w:rFonts w:hint="default"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2100" w:type="dxa"/>
            <w:shd w:val="clear" w:color="auto" w:fill="FFFFFF"/>
            <w:vAlign w:val="center"/>
          </w:tcPr>
          <w:p w14:paraId="5BD4A365">
            <w:pPr>
              <w:keepNext w:val="0"/>
              <w:keepLines w:val="0"/>
              <w:suppressLineNumbers w:val="0"/>
              <w:spacing w:before="0" w:beforeAutospacing="0" w:after="0" w:afterAutospacing="0" w:line="500" w:lineRule="exact"/>
              <w:ind w:left="0" w:right="0"/>
              <w:jc w:val="center"/>
              <w:rPr>
                <w:rFonts w:hint="default" w:ascii="宋体" w:hAnsi="宋体" w:cs="宋体"/>
                <w:b/>
                <w:color w:val="auto"/>
                <w:kern w:val="0"/>
                <w:szCs w:val="21"/>
                <w:highlight w:val="none"/>
              </w:rPr>
            </w:pPr>
            <w:r>
              <w:rPr>
                <w:rFonts w:hint="eastAsia" w:ascii="宋体" w:hAnsi="宋体" w:cs="宋体"/>
                <w:b/>
                <w:color w:val="auto"/>
                <w:kern w:val="0"/>
                <w:szCs w:val="21"/>
                <w:highlight w:val="none"/>
              </w:rPr>
              <w:t>包含业态</w:t>
            </w:r>
          </w:p>
        </w:tc>
        <w:tc>
          <w:tcPr>
            <w:tcW w:w="1700" w:type="dxa"/>
            <w:shd w:val="clear" w:color="auto" w:fill="FFFFFF"/>
            <w:vAlign w:val="center"/>
          </w:tcPr>
          <w:p w14:paraId="18BB5EDB">
            <w:pPr>
              <w:keepNext w:val="0"/>
              <w:keepLines w:val="0"/>
              <w:suppressLineNumbers w:val="0"/>
              <w:spacing w:before="0" w:beforeAutospacing="0" w:after="0" w:afterAutospacing="0" w:line="500" w:lineRule="exact"/>
              <w:ind w:left="0" w:right="0"/>
              <w:jc w:val="center"/>
              <w:rPr>
                <w:rFonts w:hint="default" w:ascii="宋体" w:hAnsi="宋体" w:cs="宋体"/>
                <w:b/>
                <w:color w:val="auto"/>
                <w:kern w:val="0"/>
                <w:szCs w:val="21"/>
                <w:highlight w:val="none"/>
              </w:rPr>
            </w:pPr>
            <w:r>
              <w:rPr>
                <w:rFonts w:hint="eastAsia" w:ascii="宋体" w:hAnsi="宋体" w:cs="宋体"/>
                <w:b/>
                <w:color w:val="auto"/>
                <w:kern w:val="0"/>
                <w:szCs w:val="21"/>
                <w:highlight w:val="none"/>
              </w:rPr>
              <w:t>合同签订日期</w:t>
            </w:r>
          </w:p>
        </w:tc>
        <w:tc>
          <w:tcPr>
            <w:tcW w:w="1137" w:type="dxa"/>
            <w:shd w:val="clear" w:color="auto" w:fill="FFFFFF"/>
            <w:vAlign w:val="center"/>
          </w:tcPr>
          <w:p w14:paraId="4FF40031">
            <w:pPr>
              <w:keepNext w:val="0"/>
              <w:keepLines w:val="0"/>
              <w:suppressLineNumbers w:val="0"/>
              <w:spacing w:before="0" w:beforeAutospacing="0" w:after="0" w:afterAutospacing="0" w:line="500" w:lineRule="exact"/>
              <w:ind w:left="0" w:right="0"/>
              <w:jc w:val="center"/>
              <w:rPr>
                <w:rFonts w:hint="default"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17F51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22C5C6D4">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2194" w:type="dxa"/>
            <w:vAlign w:val="center"/>
          </w:tcPr>
          <w:p w14:paraId="6493DB0A">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938" w:type="dxa"/>
            <w:vAlign w:val="center"/>
          </w:tcPr>
          <w:p w14:paraId="0CBCB090">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2100" w:type="dxa"/>
            <w:vAlign w:val="center"/>
          </w:tcPr>
          <w:p w14:paraId="62CF5650">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700" w:type="dxa"/>
            <w:vAlign w:val="center"/>
          </w:tcPr>
          <w:p w14:paraId="493580A7">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7" w:type="dxa"/>
            <w:vAlign w:val="center"/>
          </w:tcPr>
          <w:p w14:paraId="49D70B32">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r>
      <w:tr w14:paraId="6E5E8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39740677">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2194" w:type="dxa"/>
            <w:vAlign w:val="center"/>
          </w:tcPr>
          <w:p w14:paraId="77C4C8AC">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938" w:type="dxa"/>
            <w:vAlign w:val="center"/>
          </w:tcPr>
          <w:p w14:paraId="78899FC7">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2100" w:type="dxa"/>
            <w:vAlign w:val="center"/>
          </w:tcPr>
          <w:p w14:paraId="11A5B4FE">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700" w:type="dxa"/>
            <w:vAlign w:val="center"/>
          </w:tcPr>
          <w:p w14:paraId="426E2223">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7" w:type="dxa"/>
            <w:vAlign w:val="center"/>
          </w:tcPr>
          <w:p w14:paraId="1CF610F1">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r>
      <w:tr w14:paraId="4A192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0F0817C3">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2194" w:type="dxa"/>
            <w:vAlign w:val="center"/>
          </w:tcPr>
          <w:p w14:paraId="17B3B531">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938" w:type="dxa"/>
            <w:vAlign w:val="center"/>
          </w:tcPr>
          <w:p w14:paraId="32F5FD54">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2100" w:type="dxa"/>
            <w:vAlign w:val="center"/>
          </w:tcPr>
          <w:p w14:paraId="5A6E4BA8">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700" w:type="dxa"/>
            <w:vAlign w:val="center"/>
          </w:tcPr>
          <w:p w14:paraId="5B1FC05E">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7" w:type="dxa"/>
            <w:vAlign w:val="center"/>
          </w:tcPr>
          <w:p w14:paraId="3C4D9252">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r>
      <w:tr w14:paraId="275A5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37AD9182">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2194" w:type="dxa"/>
            <w:vAlign w:val="center"/>
          </w:tcPr>
          <w:p w14:paraId="494C8062">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938" w:type="dxa"/>
            <w:vAlign w:val="center"/>
          </w:tcPr>
          <w:p w14:paraId="6BF58B1B">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2100" w:type="dxa"/>
            <w:vAlign w:val="center"/>
          </w:tcPr>
          <w:p w14:paraId="7C2A0DCE">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700" w:type="dxa"/>
            <w:vAlign w:val="center"/>
          </w:tcPr>
          <w:p w14:paraId="2A701229">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7" w:type="dxa"/>
            <w:vAlign w:val="center"/>
          </w:tcPr>
          <w:p w14:paraId="5FD9C117">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r>
      <w:tr w14:paraId="15F7AF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316FA405">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2194" w:type="dxa"/>
            <w:vAlign w:val="center"/>
          </w:tcPr>
          <w:p w14:paraId="1D04D27C">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938" w:type="dxa"/>
            <w:vAlign w:val="center"/>
          </w:tcPr>
          <w:p w14:paraId="064A28E6">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2100" w:type="dxa"/>
            <w:vAlign w:val="center"/>
          </w:tcPr>
          <w:p w14:paraId="2526B360">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700" w:type="dxa"/>
            <w:vAlign w:val="center"/>
          </w:tcPr>
          <w:p w14:paraId="3009CD3C">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7" w:type="dxa"/>
            <w:vAlign w:val="center"/>
          </w:tcPr>
          <w:p w14:paraId="3FCC9A0D">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r>
      <w:tr w14:paraId="78D7E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4EAF0607">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2194" w:type="dxa"/>
            <w:vAlign w:val="center"/>
          </w:tcPr>
          <w:p w14:paraId="742F0D1F">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938" w:type="dxa"/>
            <w:vAlign w:val="center"/>
          </w:tcPr>
          <w:p w14:paraId="70D23D89">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2100" w:type="dxa"/>
            <w:vAlign w:val="center"/>
          </w:tcPr>
          <w:p w14:paraId="2F576431">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700" w:type="dxa"/>
            <w:vAlign w:val="center"/>
          </w:tcPr>
          <w:p w14:paraId="27567342">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7" w:type="dxa"/>
            <w:vAlign w:val="center"/>
          </w:tcPr>
          <w:p w14:paraId="2DE6119A">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r>
      <w:tr w14:paraId="2D434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4C7457DF">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2194" w:type="dxa"/>
            <w:vAlign w:val="center"/>
          </w:tcPr>
          <w:p w14:paraId="335CEE4A">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938" w:type="dxa"/>
            <w:vAlign w:val="center"/>
          </w:tcPr>
          <w:p w14:paraId="58633F86">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2100" w:type="dxa"/>
            <w:vAlign w:val="center"/>
          </w:tcPr>
          <w:p w14:paraId="4FEDA5DB">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700" w:type="dxa"/>
            <w:vAlign w:val="center"/>
          </w:tcPr>
          <w:p w14:paraId="69DEEEFA">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7" w:type="dxa"/>
            <w:vAlign w:val="center"/>
          </w:tcPr>
          <w:p w14:paraId="393F3EF5">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r>
    </w:tbl>
    <w:p w14:paraId="732FEE0E">
      <w:pPr>
        <w:spacing w:line="500" w:lineRule="exact"/>
        <w:rPr>
          <w:rFonts w:ascii="宋体" w:hAnsi="宋体" w:cs="宋体"/>
          <w:b/>
          <w:color w:val="auto"/>
          <w:szCs w:val="21"/>
          <w:highlight w:val="none"/>
        </w:rPr>
      </w:pPr>
      <w:r>
        <w:rPr>
          <w:rFonts w:hint="eastAsia" w:ascii="宋体" w:hAnsi="宋体" w:cs="宋体"/>
          <w:b/>
          <w:color w:val="auto"/>
          <w:szCs w:val="21"/>
          <w:highlight w:val="none"/>
        </w:rPr>
        <w:t>备注：证明材料见评审要求。</w:t>
      </w:r>
    </w:p>
    <w:p w14:paraId="04213684">
      <w:pPr>
        <w:spacing w:line="500" w:lineRule="exact"/>
        <w:rPr>
          <w:rFonts w:ascii="宋体" w:hAnsi="宋体" w:cs="宋体"/>
          <w:color w:val="auto"/>
          <w:szCs w:val="21"/>
          <w:highlight w:val="none"/>
        </w:rPr>
      </w:pPr>
    </w:p>
    <w:p w14:paraId="5A0882ED">
      <w:pPr>
        <w:pStyle w:val="116"/>
        <w:wordWrap w:val="0"/>
        <w:spacing w:line="500" w:lineRule="exact"/>
        <w:ind w:firstLine="480"/>
        <w:jc w:val="center"/>
        <w:rPr>
          <w:rFonts w:ascii="宋体" w:hAnsi="宋体" w:cs="宋体"/>
          <w:color w:val="auto"/>
          <w:szCs w:val="21"/>
          <w:highlight w:val="none"/>
          <w:u w:val="single"/>
        </w:rPr>
      </w:pPr>
      <w:r>
        <w:rPr>
          <w:rFonts w:hint="eastAsia" w:ascii="宋体" w:hAnsi="宋体" w:cs="宋体"/>
          <w:color w:val="auto"/>
          <w:szCs w:val="21"/>
          <w:highlight w:val="none"/>
        </w:rPr>
        <w:t xml:space="preserve">                       </w:t>
      </w:r>
    </w:p>
    <w:p w14:paraId="556DD0C5">
      <w:pPr>
        <w:pStyle w:val="104"/>
        <w:spacing w:before="156" w:after="156" w:line="360" w:lineRule="auto"/>
        <w:ind w:firstLine="420" w:firstLineChars="200"/>
        <w:rPr>
          <w:rFonts w:hAnsi="宋体" w:cs="宋体"/>
          <w:color w:val="auto"/>
          <w:szCs w:val="21"/>
          <w:highlight w:val="none"/>
        </w:rPr>
      </w:pPr>
    </w:p>
    <w:p w14:paraId="0EB16F46">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14:paraId="4091E682">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1.此表仅提供了格式，表格不够可自行增加。</w:t>
      </w:r>
    </w:p>
    <w:p w14:paraId="189C71A6">
      <w:pPr>
        <w:snapToGrid w:val="0"/>
        <w:spacing w:line="480" w:lineRule="exact"/>
        <w:ind w:firstLine="1050" w:firstLineChars="500"/>
        <w:rPr>
          <w:rFonts w:ascii="宋体" w:hAnsi="宋体" w:cs="宋体"/>
          <w:color w:val="auto"/>
          <w:szCs w:val="21"/>
          <w:highlight w:val="none"/>
        </w:rPr>
      </w:pPr>
      <w:r>
        <w:rPr>
          <w:rFonts w:hint="eastAsia" w:ascii="宋体" w:hAnsi="宋体" w:cs="宋体"/>
          <w:color w:val="auto"/>
          <w:szCs w:val="21"/>
          <w:highlight w:val="none"/>
        </w:rPr>
        <w:t>2.后附合同关键页等相关证明材料。</w:t>
      </w:r>
    </w:p>
    <w:p w14:paraId="530D5436">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6DA7DBA1">
      <w:pPr>
        <w:pStyle w:val="5"/>
        <w:ind w:firstLine="0"/>
        <w:jc w:val="center"/>
        <w:rPr>
          <w:rFonts w:ascii="宋体" w:hAnsi="宋体" w:cs="宋体"/>
          <w:color w:val="auto"/>
          <w:sz w:val="30"/>
          <w:highlight w:val="none"/>
        </w:rPr>
      </w:pPr>
    </w:p>
    <w:p w14:paraId="615C6ECC">
      <w:pPr>
        <w:pStyle w:val="28"/>
        <w:spacing w:line="560" w:lineRule="exact"/>
        <w:rPr>
          <w:rFonts w:hAnsi="宋体" w:cs="宋体"/>
          <w:color w:val="auto"/>
          <w:sz w:val="30"/>
          <w:highlight w:val="none"/>
        </w:rPr>
      </w:pPr>
    </w:p>
    <w:p w14:paraId="47CB3923">
      <w:pPr>
        <w:pStyle w:val="5"/>
        <w:ind w:firstLine="0"/>
        <w:jc w:val="center"/>
        <w:rPr>
          <w:rFonts w:ascii="宋体" w:hAnsi="宋体" w:cs="宋体"/>
          <w:color w:val="auto"/>
          <w:sz w:val="30"/>
          <w:highlight w:val="none"/>
        </w:rPr>
      </w:pPr>
    </w:p>
    <w:p w14:paraId="3FD1FFF4">
      <w:pPr>
        <w:pStyle w:val="28"/>
        <w:spacing w:line="560" w:lineRule="exact"/>
        <w:rPr>
          <w:rFonts w:hAnsi="宋体" w:cs="宋体"/>
          <w:color w:val="auto"/>
          <w:sz w:val="30"/>
          <w:highlight w:val="none"/>
        </w:rPr>
      </w:pPr>
    </w:p>
    <w:p w14:paraId="0D6436AA">
      <w:pPr>
        <w:spacing w:line="500" w:lineRule="exact"/>
        <w:ind w:firstLine="5250" w:firstLineChars="2500"/>
        <w:jc w:val="left"/>
        <w:rPr>
          <w:rFonts w:ascii="宋体" w:hAnsi="宋体" w:cs="宋体"/>
          <w:color w:val="auto"/>
          <w:szCs w:val="21"/>
          <w:highlight w:val="none"/>
        </w:rPr>
      </w:pPr>
      <w:r>
        <w:rPr>
          <w:rFonts w:hint="eastAsia" w:ascii="宋体" w:hAnsi="宋体" w:cs="宋体"/>
          <w:color w:val="auto"/>
          <w:szCs w:val="21"/>
          <w:highlight w:val="none"/>
        </w:rPr>
        <w:t>投标人盖章：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E2415F4">
      <w:pPr>
        <w:spacing w:line="500" w:lineRule="exact"/>
        <w:ind w:firstLine="5250" w:firstLineChars="2500"/>
        <w:jc w:val="left"/>
        <w:rPr>
          <w:rFonts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35F18E42">
      <w:pPr>
        <w:pStyle w:val="28"/>
        <w:spacing w:line="560" w:lineRule="exact"/>
        <w:rPr>
          <w:rFonts w:hAnsi="宋体" w:cs="宋体"/>
          <w:color w:val="auto"/>
          <w:sz w:val="30"/>
          <w:highlight w:val="none"/>
        </w:rPr>
      </w:pPr>
    </w:p>
    <w:p w14:paraId="36FAD2EB">
      <w:pPr>
        <w:pStyle w:val="5"/>
        <w:spacing w:line="360" w:lineRule="auto"/>
        <w:ind w:firstLine="0"/>
        <w:jc w:val="center"/>
        <w:rPr>
          <w:rFonts w:ascii="宋体" w:hAnsi="宋体" w:eastAsia="仿宋_GB2312"/>
          <w:b/>
          <w:color w:val="auto"/>
          <w:sz w:val="30"/>
          <w:szCs w:val="32"/>
          <w:highlight w:val="none"/>
        </w:rPr>
      </w:pPr>
    </w:p>
    <w:p w14:paraId="34B9AC08">
      <w:pPr>
        <w:pStyle w:val="5"/>
        <w:spacing w:line="360" w:lineRule="auto"/>
        <w:ind w:firstLine="0"/>
        <w:jc w:val="center"/>
        <w:rPr>
          <w:rFonts w:ascii="宋体" w:hAnsi="宋体" w:cs="宋体"/>
          <w:b/>
          <w:bCs/>
          <w:color w:val="auto"/>
          <w:sz w:val="28"/>
          <w:szCs w:val="28"/>
          <w:highlight w:val="none"/>
        </w:rPr>
      </w:pPr>
      <w:r>
        <w:rPr>
          <w:rFonts w:hint="eastAsia" w:ascii="宋体" w:hAnsi="宋体" w:cs="宋体"/>
          <w:b/>
          <w:color w:val="auto"/>
          <w:sz w:val="30"/>
          <w:highlight w:val="none"/>
        </w:rPr>
        <w:t>5、商务响应偏离表</w:t>
      </w:r>
    </w:p>
    <w:p w14:paraId="6B134FAF">
      <w:pPr>
        <w:pStyle w:val="28"/>
        <w:adjustRightInd w:val="0"/>
        <w:snapToGrid w:val="0"/>
        <w:spacing w:line="480" w:lineRule="exact"/>
        <w:rPr>
          <w:rFonts w:hAnsi="宋体" w:cs="宋体"/>
          <w:color w:val="auto"/>
          <w:szCs w:val="21"/>
          <w:highlight w:val="none"/>
        </w:rPr>
      </w:pPr>
      <w:r>
        <w:rPr>
          <w:rFonts w:hint="eastAsia" w:hAnsi="宋体" w:cs="宋体"/>
          <w:color w:val="auto"/>
          <w:szCs w:val="21"/>
          <w:highlight w:val="none"/>
        </w:rPr>
        <w:t>项目名称：</w:t>
      </w:r>
    </w:p>
    <w:p w14:paraId="245CC9DC">
      <w:pPr>
        <w:pStyle w:val="28"/>
        <w:adjustRightInd w:val="0"/>
        <w:snapToGrid w:val="0"/>
        <w:spacing w:line="480" w:lineRule="exact"/>
        <w:rPr>
          <w:rFonts w:hAnsi="宋体" w:cs="宋体"/>
          <w:color w:val="auto"/>
          <w:szCs w:val="21"/>
          <w:highlight w:val="none"/>
        </w:rPr>
      </w:pPr>
      <w:r>
        <w:rPr>
          <w:rFonts w:hint="eastAsia" w:hAnsi="宋体" w:cs="宋体"/>
          <w:color w:val="auto"/>
          <w:szCs w:val="21"/>
          <w:highlight w:val="none"/>
        </w:rPr>
        <w:t>项目编号：</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282"/>
        <w:gridCol w:w="2512"/>
        <w:gridCol w:w="3089"/>
      </w:tblGrid>
      <w:tr w14:paraId="052C9B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13D47914">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3284" w:type="dxa"/>
            <w:vAlign w:val="center"/>
          </w:tcPr>
          <w:p w14:paraId="61A4C4AA">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采购要求</w:t>
            </w:r>
          </w:p>
        </w:tc>
        <w:tc>
          <w:tcPr>
            <w:tcW w:w="2512" w:type="dxa"/>
            <w:vAlign w:val="center"/>
          </w:tcPr>
          <w:p w14:paraId="7B0B0D23">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响应内容</w:t>
            </w:r>
          </w:p>
        </w:tc>
        <w:tc>
          <w:tcPr>
            <w:tcW w:w="3091" w:type="dxa"/>
            <w:vAlign w:val="center"/>
          </w:tcPr>
          <w:p w14:paraId="6E9B4BFA">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说明（正偏离/负偏离）</w:t>
            </w:r>
          </w:p>
        </w:tc>
      </w:tr>
      <w:tr w14:paraId="0E433D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46DDE0FA">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pacing w:val="20"/>
                <w:szCs w:val="21"/>
                <w:highlight w:val="none"/>
              </w:rPr>
            </w:pPr>
          </w:p>
        </w:tc>
        <w:tc>
          <w:tcPr>
            <w:tcW w:w="3284" w:type="dxa"/>
            <w:vAlign w:val="center"/>
          </w:tcPr>
          <w:p w14:paraId="02ADA2A2">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zCs w:val="21"/>
                <w:highlight w:val="none"/>
              </w:rPr>
            </w:pPr>
          </w:p>
        </w:tc>
        <w:tc>
          <w:tcPr>
            <w:tcW w:w="2512" w:type="dxa"/>
            <w:vAlign w:val="center"/>
          </w:tcPr>
          <w:p w14:paraId="129EBBB3">
            <w:pPr>
              <w:keepNext w:val="0"/>
              <w:keepLines w:val="0"/>
              <w:suppressLineNumbers w:val="0"/>
              <w:snapToGrid w:val="0"/>
              <w:spacing w:before="0" w:beforeAutospacing="0" w:after="0" w:afterAutospacing="0" w:line="480" w:lineRule="exact"/>
              <w:ind w:left="0" w:right="0"/>
              <w:jc w:val="center"/>
              <w:rPr>
                <w:rFonts w:hint="default" w:ascii="CIDFont" w:hAnsi="CIDFont" w:eastAsia="CIDFont" w:cs="CIDFont"/>
                <w:color w:val="auto"/>
                <w:kern w:val="0"/>
                <w:szCs w:val="21"/>
                <w:highlight w:val="none"/>
                <w:lang w:bidi="ar"/>
              </w:rPr>
            </w:pPr>
          </w:p>
        </w:tc>
        <w:tc>
          <w:tcPr>
            <w:tcW w:w="3091" w:type="dxa"/>
            <w:vAlign w:val="center"/>
          </w:tcPr>
          <w:p w14:paraId="75537CB2">
            <w:pPr>
              <w:keepNext w:val="0"/>
              <w:keepLines w:val="0"/>
              <w:suppressLineNumbers w:val="0"/>
              <w:snapToGrid w:val="0"/>
              <w:spacing w:before="0" w:beforeAutospacing="0" w:after="0" w:afterAutospacing="0" w:line="480" w:lineRule="exact"/>
              <w:ind w:left="0" w:right="0"/>
              <w:jc w:val="center"/>
              <w:rPr>
                <w:rFonts w:hint="default" w:ascii="CIDFont" w:hAnsi="CIDFont" w:eastAsia="CIDFont" w:cs="CIDFont"/>
                <w:color w:val="auto"/>
                <w:kern w:val="0"/>
                <w:szCs w:val="21"/>
                <w:highlight w:val="none"/>
                <w:lang w:bidi="ar"/>
              </w:rPr>
            </w:pPr>
          </w:p>
        </w:tc>
      </w:tr>
      <w:tr w14:paraId="226AEC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0F702539">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pacing w:val="20"/>
                <w:szCs w:val="21"/>
                <w:highlight w:val="none"/>
              </w:rPr>
            </w:pPr>
          </w:p>
        </w:tc>
        <w:tc>
          <w:tcPr>
            <w:tcW w:w="3284" w:type="dxa"/>
            <w:vAlign w:val="center"/>
          </w:tcPr>
          <w:p w14:paraId="4488A4CB">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zCs w:val="21"/>
                <w:highlight w:val="none"/>
              </w:rPr>
            </w:pPr>
          </w:p>
        </w:tc>
        <w:tc>
          <w:tcPr>
            <w:tcW w:w="2512" w:type="dxa"/>
            <w:vAlign w:val="center"/>
          </w:tcPr>
          <w:p w14:paraId="63F09C00">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pacing w:val="20"/>
                <w:szCs w:val="21"/>
                <w:highlight w:val="none"/>
              </w:rPr>
            </w:pPr>
          </w:p>
        </w:tc>
        <w:tc>
          <w:tcPr>
            <w:tcW w:w="3091" w:type="dxa"/>
            <w:vAlign w:val="center"/>
          </w:tcPr>
          <w:p w14:paraId="5910B914">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pacing w:val="20"/>
                <w:szCs w:val="21"/>
                <w:highlight w:val="none"/>
              </w:rPr>
            </w:pPr>
          </w:p>
        </w:tc>
      </w:tr>
      <w:tr w14:paraId="12960D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2E8F8A21">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pacing w:val="20"/>
                <w:szCs w:val="21"/>
                <w:highlight w:val="none"/>
              </w:rPr>
            </w:pPr>
          </w:p>
        </w:tc>
        <w:tc>
          <w:tcPr>
            <w:tcW w:w="3284" w:type="dxa"/>
            <w:vAlign w:val="center"/>
          </w:tcPr>
          <w:p w14:paraId="7E65195A">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zCs w:val="21"/>
                <w:highlight w:val="none"/>
              </w:rPr>
            </w:pPr>
          </w:p>
        </w:tc>
        <w:tc>
          <w:tcPr>
            <w:tcW w:w="2512" w:type="dxa"/>
            <w:vAlign w:val="center"/>
          </w:tcPr>
          <w:p w14:paraId="16E371AD">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pacing w:val="20"/>
                <w:szCs w:val="21"/>
                <w:highlight w:val="none"/>
              </w:rPr>
            </w:pPr>
          </w:p>
        </w:tc>
        <w:tc>
          <w:tcPr>
            <w:tcW w:w="3091" w:type="dxa"/>
            <w:vAlign w:val="center"/>
          </w:tcPr>
          <w:p w14:paraId="5E62DBD0">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pacing w:val="20"/>
                <w:szCs w:val="21"/>
                <w:highlight w:val="none"/>
              </w:rPr>
            </w:pPr>
          </w:p>
        </w:tc>
      </w:tr>
      <w:tr w14:paraId="399502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2FFB6863">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pacing w:val="20"/>
                <w:szCs w:val="21"/>
                <w:highlight w:val="none"/>
              </w:rPr>
            </w:pPr>
          </w:p>
        </w:tc>
        <w:tc>
          <w:tcPr>
            <w:tcW w:w="3284" w:type="dxa"/>
            <w:vAlign w:val="center"/>
          </w:tcPr>
          <w:p w14:paraId="6A4BE413">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zCs w:val="21"/>
                <w:highlight w:val="none"/>
              </w:rPr>
            </w:pPr>
          </w:p>
        </w:tc>
        <w:tc>
          <w:tcPr>
            <w:tcW w:w="2512" w:type="dxa"/>
            <w:vAlign w:val="center"/>
          </w:tcPr>
          <w:p w14:paraId="118582A7">
            <w:pPr>
              <w:keepNext w:val="0"/>
              <w:keepLines w:val="0"/>
              <w:suppressLineNumbers w:val="0"/>
              <w:snapToGrid w:val="0"/>
              <w:spacing w:before="0" w:beforeAutospacing="0" w:after="0" w:afterAutospacing="0" w:line="480" w:lineRule="exact"/>
              <w:ind w:left="0" w:right="0"/>
              <w:jc w:val="center"/>
              <w:rPr>
                <w:rFonts w:hint="default" w:ascii="CIDFont" w:hAnsi="CIDFont" w:eastAsia="CIDFont" w:cs="CIDFont"/>
                <w:color w:val="auto"/>
                <w:kern w:val="0"/>
                <w:szCs w:val="21"/>
                <w:highlight w:val="none"/>
                <w:lang w:bidi="ar"/>
              </w:rPr>
            </w:pPr>
          </w:p>
        </w:tc>
        <w:tc>
          <w:tcPr>
            <w:tcW w:w="3091" w:type="dxa"/>
            <w:vAlign w:val="center"/>
          </w:tcPr>
          <w:p w14:paraId="26ECE072">
            <w:pPr>
              <w:keepNext w:val="0"/>
              <w:keepLines w:val="0"/>
              <w:suppressLineNumbers w:val="0"/>
              <w:snapToGrid w:val="0"/>
              <w:spacing w:before="0" w:beforeAutospacing="0" w:after="0" w:afterAutospacing="0" w:line="480" w:lineRule="exact"/>
              <w:ind w:left="0" w:right="0"/>
              <w:jc w:val="center"/>
              <w:rPr>
                <w:rFonts w:hint="default" w:ascii="CIDFont" w:hAnsi="CIDFont" w:eastAsia="CIDFont" w:cs="CIDFont"/>
                <w:color w:val="auto"/>
                <w:kern w:val="0"/>
                <w:szCs w:val="21"/>
                <w:highlight w:val="none"/>
                <w:lang w:bidi="ar"/>
              </w:rPr>
            </w:pPr>
          </w:p>
        </w:tc>
      </w:tr>
      <w:tr w14:paraId="52E298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561AA062">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pacing w:val="20"/>
                <w:szCs w:val="21"/>
                <w:highlight w:val="none"/>
              </w:rPr>
            </w:pPr>
          </w:p>
        </w:tc>
        <w:tc>
          <w:tcPr>
            <w:tcW w:w="3284" w:type="dxa"/>
            <w:vAlign w:val="center"/>
          </w:tcPr>
          <w:p w14:paraId="5BFF46FD">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zCs w:val="21"/>
                <w:highlight w:val="none"/>
              </w:rPr>
            </w:pPr>
          </w:p>
        </w:tc>
        <w:tc>
          <w:tcPr>
            <w:tcW w:w="2512" w:type="dxa"/>
            <w:vAlign w:val="center"/>
          </w:tcPr>
          <w:p w14:paraId="24AC908D">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pacing w:val="20"/>
                <w:szCs w:val="21"/>
                <w:highlight w:val="none"/>
              </w:rPr>
            </w:pPr>
          </w:p>
        </w:tc>
        <w:tc>
          <w:tcPr>
            <w:tcW w:w="3091" w:type="dxa"/>
            <w:vAlign w:val="center"/>
          </w:tcPr>
          <w:p w14:paraId="4C31D396">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pacing w:val="20"/>
                <w:szCs w:val="21"/>
                <w:highlight w:val="none"/>
              </w:rPr>
            </w:pPr>
          </w:p>
        </w:tc>
      </w:tr>
      <w:tr w14:paraId="3F3028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0746E232">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pacing w:val="20"/>
                <w:szCs w:val="21"/>
                <w:highlight w:val="none"/>
              </w:rPr>
            </w:pPr>
          </w:p>
        </w:tc>
        <w:tc>
          <w:tcPr>
            <w:tcW w:w="3284" w:type="dxa"/>
            <w:vAlign w:val="center"/>
          </w:tcPr>
          <w:p w14:paraId="59CAEABB">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zCs w:val="21"/>
                <w:highlight w:val="none"/>
              </w:rPr>
            </w:pPr>
          </w:p>
        </w:tc>
        <w:tc>
          <w:tcPr>
            <w:tcW w:w="2512" w:type="dxa"/>
            <w:vAlign w:val="center"/>
          </w:tcPr>
          <w:p w14:paraId="2EF67ADE">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pacing w:val="20"/>
                <w:szCs w:val="21"/>
                <w:highlight w:val="none"/>
              </w:rPr>
            </w:pPr>
          </w:p>
        </w:tc>
        <w:tc>
          <w:tcPr>
            <w:tcW w:w="3091" w:type="dxa"/>
            <w:vAlign w:val="center"/>
          </w:tcPr>
          <w:p w14:paraId="2ACEB4F8">
            <w:pPr>
              <w:keepNext w:val="0"/>
              <w:keepLines w:val="0"/>
              <w:suppressLineNumbers w:val="0"/>
              <w:snapToGrid w:val="0"/>
              <w:spacing w:before="0" w:beforeAutospacing="0" w:after="0" w:afterAutospacing="0" w:line="480" w:lineRule="exact"/>
              <w:ind w:left="0" w:right="0"/>
              <w:jc w:val="center"/>
              <w:rPr>
                <w:rFonts w:hint="default" w:ascii="宋体" w:hAnsi="宋体" w:cs="宋体"/>
                <w:color w:val="auto"/>
                <w:spacing w:val="20"/>
                <w:szCs w:val="21"/>
                <w:highlight w:val="none"/>
              </w:rPr>
            </w:pPr>
          </w:p>
        </w:tc>
      </w:tr>
    </w:tbl>
    <w:p w14:paraId="1CD6A9D1">
      <w:pPr>
        <w:pStyle w:val="116"/>
        <w:wordWrap w:val="0"/>
        <w:spacing w:line="500" w:lineRule="exact"/>
        <w:ind w:firstLine="480"/>
        <w:jc w:val="center"/>
        <w:rPr>
          <w:rFonts w:ascii="宋体" w:hAnsi="宋体" w:cs="宋体"/>
          <w:color w:val="auto"/>
          <w:szCs w:val="21"/>
          <w:highlight w:val="none"/>
        </w:rPr>
      </w:pPr>
      <w:r>
        <w:rPr>
          <w:rFonts w:hint="eastAsia" w:ascii="宋体" w:hAnsi="宋体" w:cs="宋体"/>
          <w:color w:val="auto"/>
          <w:szCs w:val="21"/>
          <w:highlight w:val="none"/>
        </w:rPr>
        <w:t xml:space="preserve">                            </w:t>
      </w:r>
    </w:p>
    <w:p w14:paraId="2BF5D5D3">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22A569C0">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1.对招标文件中“第三章采购需求”商务要求有任何偏离（包括正偏离及负偏离）均应汇总并填写在此表中。</w:t>
      </w:r>
    </w:p>
    <w:p w14:paraId="3A2FDD8F">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2.完全满足招标文件要求的投标人只需在上述表格任意位置填写“</w:t>
      </w:r>
      <w:r>
        <w:rPr>
          <w:rFonts w:hint="eastAsia" w:ascii="宋体" w:hAnsi="宋体" w:cs="宋体"/>
          <w:b/>
          <w:color w:val="auto"/>
          <w:szCs w:val="21"/>
          <w:highlight w:val="none"/>
        </w:rPr>
        <w:t>完全满足招标文件的全部要求</w:t>
      </w:r>
      <w:r>
        <w:rPr>
          <w:rFonts w:hint="eastAsia" w:ascii="宋体" w:hAnsi="宋体" w:cs="宋体"/>
          <w:color w:val="auto"/>
          <w:szCs w:val="21"/>
          <w:highlight w:val="none"/>
        </w:rPr>
        <w:t>”。</w:t>
      </w:r>
    </w:p>
    <w:p w14:paraId="3A9EAA2C">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3.若中标人以未在偏离表中列出的负偏离为由，不按采购要求签约，采购人有权取消该中标人的成交资格并按有关规定重新确定中标人或另行采购。</w:t>
      </w:r>
    </w:p>
    <w:p w14:paraId="1FB47E21">
      <w:pPr>
        <w:pStyle w:val="287"/>
        <w:spacing w:line="48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4.</w:t>
      </w:r>
      <w:r>
        <w:rPr>
          <w:rFonts w:hint="eastAsia" w:ascii="宋体" w:hAnsi="宋体" w:cs="宋体"/>
          <w:color w:val="auto"/>
          <w:szCs w:val="21"/>
          <w:highlight w:val="none"/>
          <w:lang w:val="en-GB"/>
        </w:rPr>
        <w:t>不允许存在实质性负偏离。</w:t>
      </w:r>
    </w:p>
    <w:p w14:paraId="41EEBD1F">
      <w:pPr>
        <w:pStyle w:val="287"/>
        <w:spacing w:line="480" w:lineRule="exact"/>
        <w:ind w:firstLine="422" w:firstLineChars="200"/>
        <w:rPr>
          <w:rFonts w:ascii="宋体" w:hAnsi="宋体" w:cs="宋体"/>
          <w:b/>
          <w:bCs/>
          <w:color w:val="auto"/>
          <w:szCs w:val="21"/>
          <w:highlight w:val="none"/>
          <w:lang w:val="en-GB"/>
        </w:rPr>
      </w:pPr>
    </w:p>
    <w:p w14:paraId="3738160D">
      <w:pPr>
        <w:pStyle w:val="116"/>
        <w:wordWrap w:val="0"/>
        <w:spacing w:line="500" w:lineRule="exact"/>
        <w:ind w:firstLine="480"/>
        <w:jc w:val="center"/>
        <w:rPr>
          <w:rFonts w:ascii="宋体" w:hAnsi="宋体" w:cs="宋体"/>
          <w:color w:val="auto"/>
          <w:szCs w:val="21"/>
          <w:highlight w:val="none"/>
          <w:u w:val="single"/>
        </w:rPr>
      </w:pPr>
      <w:r>
        <w:rPr>
          <w:rFonts w:hint="eastAsia" w:ascii="宋体" w:hAnsi="宋体" w:cs="宋体"/>
          <w:color w:val="auto"/>
          <w:szCs w:val="21"/>
          <w:highlight w:val="none"/>
        </w:rPr>
        <w:t xml:space="preserve">                       </w:t>
      </w:r>
    </w:p>
    <w:p w14:paraId="293CC7A8">
      <w:pPr>
        <w:spacing w:before="120" w:beforeLines="50" w:after="120" w:afterLines="50"/>
        <w:jc w:val="center"/>
        <w:rPr>
          <w:rFonts w:ascii="宋体" w:hAnsi="宋体" w:cs="宋体"/>
          <w:b/>
          <w:color w:val="auto"/>
          <w:sz w:val="32"/>
          <w:szCs w:val="32"/>
          <w:highlight w:val="none"/>
        </w:rPr>
      </w:pPr>
    </w:p>
    <w:p w14:paraId="44F7B634">
      <w:pPr>
        <w:spacing w:line="500" w:lineRule="exact"/>
        <w:ind w:firstLine="5250" w:firstLineChars="2500"/>
        <w:jc w:val="left"/>
        <w:rPr>
          <w:rFonts w:ascii="宋体" w:hAnsi="宋体" w:cs="宋体"/>
          <w:color w:val="auto"/>
          <w:szCs w:val="21"/>
          <w:highlight w:val="none"/>
        </w:rPr>
      </w:pPr>
      <w:r>
        <w:rPr>
          <w:rFonts w:hint="eastAsia" w:ascii="宋体" w:hAnsi="宋体" w:cs="宋体"/>
          <w:color w:val="auto"/>
          <w:szCs w:val="21"/>
          <w:highlight w:val="none"/>
        </w:rPr>
        <w:t>投标人盖章：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5DD3EFA">
      <w:pPr>
        <w:spacing w:line="500" w:lineRule="exact"/>
        <w:ind w:firstLine="5250" w:firstLineChars="2500"/>
        <w:jc w:val="left"/>
        <w:rPr>
          <w:rFonts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4E6F52D5">
      <w:pPr>
        <w:pStyle w:val="4"/>
        <w:ind w:firstLine="640"/>
        <w:rPr>
          <w:rFonts w:ascii="宋体" w:hAnsi="宋体" w:cs="宋体"/>
          <w:b w:val="0"/>
          <w:color w:val="auto"/>
          <w:sz w:val="32"/>
          <w:szCs w:val="32"/>
          <w:highlight w:val="none"/>
        </w:rPr>
      </w:pPr>
    </w:p>
    <w:p w14:paraId="37B35ACC">
      <w:pPr>
        <w:pStyle w:val="5"/>
        <w:rPr>
          <w:rFonts w:ascii="宋体" w:hAnsi="宋体" w:cs="宋体"/>
          <w:b/>
          <w:color w:val="auto"/>
          <w:sz w:val="32"/>
          <w:szCs w:val="32"/>
          <w:highlight w:val="none"/>
        </w:rPr>
      </w:pPr>
    </w:p>
    <w:p w14:paraId="43408531">
      <w:pPr>
        <w:rPr>
          <w:rFonts w:ascii="宋体" w:hAnsi="宋体" w:cs="宋体"/>
          <w:b/>
          <w:color w:val="auto"/>
          <w:sz w:val="32"/>
          <w:szCs w:val="32"/>
          <w:highlight w:val="none"/>
        </w:rPr>
      </w:pPr>
    </w:p>
    <w:bookmarkEnd w:id="188"/>
    <w:bookmarkEnd w:id="189"/>
    <w:p w14:paraId="4729513B">
      <w:pPr>
        <w:snapToGrid w:val="0"/>
        <w:spacing w:line="300" w:lineRule="auto"/>
        <w:ind w:left="301" w:hanging="301" w:hangingChars="100"/>
        <w:jc w:val="center"/>
        <w:rPr>
          <w:rFonts w:ascii="宋体" w:hAnsi="宋体" w:cs="宋体"/>
          <w:b/>
          <w:color w:val="auto"/>
          <w:sz w:val="30"/>
          <w:highlight w:val="none"/>
        </w:rPr>
      </w:pPr>
    </w:p>
    <w:p w14:paraId="07B5AEE0">
      <w:pPr>
        <w:snapToGrid w:val="0"/>
        <w:spacing w:line="300" w:lineRule="auto"/>
        <w:ind w:left="301" w:hanging="301" w:hangingChars="100"/>
        <w:jc w:val="center"/>
        <w:rPr>
          <w:rFonts w:ascii="宋体" w:hAnsi="宋体" w:cs="宋体"/>
          <w:b/>
          <w:color w:val="auto"/>
          <w:sz w:val="30"/>
          <w:highlight w:val="none"/>
        </w:rPr>
      </w:pPr>
      <w:r>
        <w:rPr>
          <w:rFonts w:hint="eastAsia" w:ascii="宋体" w:hAnsi="宋体" w:cs="宋体"/>
          <w:b/>
          <w:color w:val="auto"/>
          <w:sz w:val="30"/>
          <w:highlight w:val="none"/>
        </w:rPr>
        <w:t>6、项目实施方案</w:t>
      </w:r>
    </w:p>
    <w:p w14:paraId="08442BD3">
      <w:pPr>
        <w:pStyle w:val="365"/>
        <w:spacing w:before="120" w:after="120" w:line="360" w:lineRule="auto"/>
        <w:ind w:firstLine="420" w:firstLineChars="200"/>
        <w:rPr>
          <w:rFonts w:ascii="宋体" w:hAnsi="宋体" w:cs="宋体"/>
          <w:color w:val="auto"/>
          <w:szCs w:val="21"/>
          <w:highlight w:val="none"/>
        </w:rPr>
      </w:pPr>
    </w:p>
    <w:p w14:paraId="438D81FB">
      <w:pPr>
        <w:pStyle w:val="306"/>
        <w:spacing w:line="360" w:lineRule="auto"/>
        <w:rPr>
          <w:rFonts w:ascii="宋体" w:hAnsi="宋体" w:cs="宋体"/>
          <w:color w:val="auto"/>
          <w:szCs w:val="21"/>
          <w:highlight w:val="none"/>
        </w:rPr>
      </w:pPr>
    </w:p>
    <w:p w14:paraId="7F74B614">
      <w:pPr>
        <w:pStyle w:val="306"/>
        <w:spacing w:line="360" w:lineRule="auto"/>
        <w:rPr>
          <w:rFonts w:ascii="宋体" w:hAnsi="宋体" w:cs="宋体"/>
          <w:color w:val="auto"/>
          <w:szCs w:val="21"/>
          <w:highlight w:val="none"/>
        </w:rPr>
      </w:pPr>
    </w:p>
    <w:p w14:paraId="0692F204">
      <w:pPr>
        <w:pStyle w:val="306"/>
        <w:spacing w:line="600" w:lineRule="exact"/>
        <w:rPr>
          <w:rFonts w:ascii="宋体" w:hAnsi="宋体" w:cs="宋体"/>
          <w:bCs/>
          <w:color w:val="auto"/>
          <w:szCs w:val="21"/>
          <w:highlight w:val="none"/>
        </w:rPr>
      </w:pPr>
      <w:r>
        <w:rPr>
          <w:rFonts w:hint="eastAsia" w:ascii="宋体" w:hAnsi="宋体" w:cs="宋体"/>
          <w:b/>
          <w:bCs/>
          <w:color w:val="auto"/>
          <w:szCs w:val="21"/>
          <w:highlight w:val="none"/>
        </w:rPr>
        <w:t>注：</w:t>
      </w:r>
      <w:r>
        <w:rPr>
          <w:rFonts w:hint="eastAsia" w:ascii="宋体" w:hAnsi="宋体" w:cs="宋体"/>
          <w:bCs/>
          <w:color w:val="auto"/>
          <w:szCs w:val="21"/>
          <w:highlight w:val="none"/>
        </w:rPr>
        <w:t>1.请按第三章采购需求和第六章中的评标办法和细则所要求的实施方案内容要求编制；</w:t>
      </w:r>
    </w:p>
    <w:p w14:paraId="3D9C9B58">
      <w:pPr>
        <w:pStyle w:val="306"/>
        <w:spacing w:line="600" w:lineRule="exact"/>
        <w:rPr>
          <w:rFonts w:ascii="宋体" w:hAnsi="宋体" w:cs="宋体"/>
          <w:bCs/>
          <w:color w:val="auto"/>
          <w:szCs w:val="21"/>
          <w:highlight w:val="none"/>
        </w:rPr>
      </w:pPr>
      <w:r>
        <w:rPr>
          <w:rFonts w:hint="eastAsia" w:ascii="宋体" w:hAnsi="宋体" w:cs="宋体"/>
          <w:bCs/>
          <w:color w:val="auto"/>
          <w:szCs w:val="21"/>
          <w:highlight w:val="none"/>
        </w:rPr>
        <w:t xml:space="preserve">    2. 格式自拟。</w:t>
      </w:r>
    </w:p>
    <w:p w14:paraId="5080327A">
      <w:pPr>
        <w:pStyle w:val="306"/>
        <w:ind w:firstLine="420" w:firstLineChars="200"/>
        <w:rPr>
          <w:rFonts w:ascii="宋体" w:hAnsi="宋体" w:cs="宋体"/>
          <w:color w:val="auto"/>
          <w:highlight w:val="none"/>
        </w:rPr>
      </w:pPr>
    </w:p>
    <w:p w14:paraId="51424CC9">
      <w:pPr>
        <w:spacing w:line="360" w:lineRule="auto"/>
        <w:rPr>
          <w:rFonts w:ascii="宋体" w:hAnsi="宋体" w:cs="宋体"/>
          <w:color w:val="auto"/>
          <w:sz w:val="30"/>
          <w:highlight w:val="none"/>
        </w:rPr>
      </w:pPr>
    </w:p>
    <w:p w14:paraId="2E1BF6D7">
      <w:pPr>
        <w:spacing w:line="360" w:lineRule="auto"/>
        <w:rPr>
          <w:rFonts w:ascii="宋体" w:hAnsi="宋体" w:cs="宋体"/>
          <w:color w:val="auto"/>
          <w:sz w:val="30"/>
          <w:highlight w:val="none"/>
        </w:rPr>
      </w:pPr>
    </w:p>
    <w:p w14:paraId="73D62209">
      <w:pPr>
        <w:pStyle w:val="3"/>
        <w:rPr>
          <w:rFonts w:ascii="宋体" w:hAnsi="宋体" w:eastAsia="宋体" w:cs="宋体"/>
          <w:color w:val="auto"/>
          <w:sz w:val="30"/>
          <w:highlight w:val="none"/>
        </w:rPr>
      </w:pPr>
    </w:p>
    <w:p w14:paraId="74C8A917">
      <w:pPr>
        <w:rPr>
          <w:rFonts w:ascii="宋体" w:hAnsi="宋体" w:cs="宋体"/>
          <w:color w:val="auto"/>
          <w:sz w:val="30"/>
          <w:highlight w:val="none"/>
        </w:rPr>
      </w:pPr>
    </w:p>
    <w:p w14:paraId="79F17FF8">
      <w:pPr>
        <w:pStyle w:val="3"/>
        <w:rPr>
          <w:rFonts w:ascii="宋体" w:hAnsi="宋体" w:eastAsia="宋体" w:cs="宋体"/>
          <w:color w:val="auto"/>
          <w:sz w:val="30"/>
          <w:highlight w:val="none"/>
        </w:rPr>
      </w:pPr>
    </w:p>
    <w:p w14:paraId="58FFD7F8">
      <w:pPr>
        <w:rPr>
          <w:rFonts w:ascii="宋体" w:hAnsi="宋体" w:cs="宋体"/>
          <w:color w:val="auto"/>
          <w:sz w:val="30"/>
          <w:highlight w:val="none"/>
        </w:rPr>
      </w:pPr>
    </w:p>
    <w:p w14:paraId="77973111">
      <w:pPr>
        <w:pStyle w:val="3"/>
        <w:rPr>
          <w:rFonts w:ascii="宋体" w:hAnsi="宋体" w:eastAsia="宋体" w:cs="宋体"/>
          <w:color w:val="auto"/>
          <w:sz w:val="30"/>
          <w:highlight w:val="none"/>
        </w:rPr>
      </w:pPr>
    </w:p>
    <w:p w14:paraId="6AB12121">
      <w:pPr>
        <w:rPr>
          <w:rFonts w:ascii="宋体" w:hAnsi="宋体" w:cs="宋体"/>
          <w:color w:val="auto"/>
          <w:sz w:val="30"/>
          <w:highlight w:val="none"/>
        </w:rPr>
      </w:pPr>
    </w:p>
    <w:p w14:paraId="15B4A07D">
      <w:pPr>
        <w:spacing w:line="500" w:lineRule="exact"/>
        <w:ind w:firstLine="5250" w:firstLineChars="2500"/>
        <w:jc w:val="left"/>
        <w:rPr>
          <w:rFonts w:ascii="宋体" w:hAnsi="宋体" w:cs="宋体"/>
          <w:color w:val="auto"/>
          <w:szCs w:val="21"/>
          <w:highlight w:val="none"/>
        </w:rPr>
      </w:pPr>
      <w:r>
        <w:rPr>
          <w:rFonts w:hint="eastAsia" w:ascii="宋体" w:hAnsi="宋体" w:cs="宋体"/>
          <w:color w:val="auto"/>
          <w:szCs w:val="21"/>
          <w:highlight w:val="none"/>
        </w:rPr>
        <w:t>投标人盖章：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79FA0A4">
      <w:pPr>
        <w:spacing w:line="500" w:lineRule="exact"/>
        <w:ind w:firstLine="5250" w:firstLineChars="2500"/>
        <w:jc w:val="left"/>
        <w:rPr>
          <w:rFonts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2AC60C40">
      <w:pPr>
        <w:pStyle w:val="3"/>
        <w:rPr>
          <w:rFonts w:ascii="宋体" w:hAnsi="宋体" w:eastAsia="宋体" w:cs="宋体"/>
          <w:color w:val="auto"/>
          <w:sz w:val="30"/>
          <w:highlight w:val="none"/>
        </w:rPr>
      </w:pPr>
    </w:p>
    <w:p w14:paraId="239C783D">
      <w:pPr>
        <w:rPr>
          <w:rFonts w:ascii="宋体" w:hAnsi="宋体" w:cs="宋体"/>
          <w:color w:val="auto"/>
          <w:sz w:val="30"/>
          <w:highlight w:val="none"/>
        </w:rPr>
      </w:pPr>
    </w:p>
    <w:p w14:paraId="3BB86BA5">
      <w:pPr>
        <w:pStyle w:val="20"/>
        <w:rPr>
          <w:rFonts w:ascii="宋体" w:hAnsi="宋体" w:cs="宋体"/>
          <w:color w:val="auto"/>
          <w:sz w:val="30"/>
          <w:highlight w:val="none"/>
        </w:rPr>
      </w:pPr>
    </w:p>
    <w:p w14:paraId="535B05C3">
      <w:pPr>
        <w:rPr>
          <w:rFonts w:ascii="宋体" w:hAnsi="宋体" w:cs="宋体"/>
          <w:color w:val="auto"/>
          <w:sz w:val="30"/>
          <w:highlight w:val="none"/>
        </w:rPr>
      </w:pPr>
    </w:p>
    <w:p w14:paraId="13323834">
      <w:pPr>
        <w:pStyle w:val="20"/>
        <w:rPr>
          <w:rFonts w:ascii="宋体" w:hAnsi="宋体" w:cs="宋体"/>
          <w:color w:val="auto"/>
          <w:sz w:val="30"/>
          <w:highlight w:val="none"/>
        </w:rPr>
      </w:pPr>
    </w:p>
    <w:p w14:paraId="50CB26BB">
      <w:pPr>
        <w:rPr>
          <w:color w:val="auto"/>
          <w:highlight w:val="none"/>
        </w:rPr>
      </w:pPr>
    </w:p>
    <w:p w14:paraId="3D05C7DB">
      <w:pPr>
        <w:pStyle w:val="3"/>
        <w:rPr>
          <w:rFonts w:ascii="宋体" w:hAnsi="宋体" w:eastAsia="宋体" w:cs="宋体"/>
          <w:color w:val="auto"/>
          <w:sz w:val="30"/>
          <w:highlight w:val="none"/>
        </w:rPr>
      </w:pPr>
    </w:p>
    <w:p w14:paraId="16D9CA16">
      <w:pPr>
        <w:rPr>
          <w:rFonts w:ascii="宋体" w:hAnsi="宋体" w:cs="宋体"/>
          <w:color w:val="auto"/>
          <w:sz w:val="30"/>
          <w:highlight w:val="none"/>
        </w:rPr>
      </w:pPr>
    </w:p>
    <w:p w14:paraId="4BA7E819">
      <w:pPr>
        <w:spacing w:line="360" w:lineRule="auto"/>
        <w:rPr>
          <w:rFonts w:ascii="宋体" w:hAnsi="宋体" w:cs="宋体"/>
          <w:color w:val="auto"/>
          <w:szCs w:val="21"/>
          <w:highlight w:val="none"/>
        </w:rPr>
      </w:pPr>
    </w:p>
    <w:p w14:paraId="25DC0712">
      <w:pPr>
        <w:pStyle w:val="3"/>
        <w:rPr>
          <w:rFonts w:ascii="宋体" w:hAnsi="宋体" w:eastAsia="宋体" w:cs="宋体"/>
          <w:color w:val="auto"/>
          <w:sz w:val="21"/>
          <w:szCs w:val="21"/>
          <w:highlight w:val="none"/>
        </w:rPr>
      </w:pPr>
    </w:p>
    <w:p w14:paraId="708D59B4">
      <w:pPr>
        <w:snapToGrid w:val="0"/>
        <w:spacing w:line="300" w:lineRule="auto"/>
        <w:ind w:left="301" w:hanging="301" w:hangingChars="100"/>
        <w:jc w:val="center"/>
        <w:rPr>
          <w:rFonts w:ascii="宋体" w:hAnsi="宋体" w:cs="宋体"/>
          <w:b/>
          <w:color w:val="auto"/>
          <w:sz w:val="30"/>
          <w:highlight w:val="none"/>
        </w:rPr>
      </w:pPr>
      <w:r>
        <w:rPr>
          <w:rFonts w:hint="eastAsia" w:ascii="宋体" w:hAnsi="宋体" w:cs="宋体"/>
          <w:b/>
          <w:color w:val="auto"/>
          <w:sz w:val="30"/>
          <w:highlight w:val="none"/>
        </w:rPr>
        <w:t>7、关于对招标文件中有关条款的拒绝声明</w:t>
      </w:r>
    </w:p>
    <w:p w14:paraId="1303EBED">
      <w:pPr>
        <w:rPr>
          <w:rFonts w:ascii="宋体" w:hAnsi="宋体" w:cs="宋体"/>
          <w:b/>
          <w:color w:val="auto"/>
          <w:sz w:val="32"/>
          <w:szCs w:val="32"/>
          <w:highlight w:val="none"/>
        </w:rPr>
      </w:pPr>
    </w:p>
    <w:p w14:paraId="73C1A7E1">
      <w:pPr>
        <w:pStyle w:val="306"/>
        <w:spacing w:line="600" w:lineRule="exact"/>
        <w:rPr>
          <w:rFonts w:ascii="宋体" w:hAnsi="宋体" w:cs="宋体"/>
          <w:b/>
          <w:bCs/>
          <w:color w:val="auto"/>
          <w:szCs w:val="21"/>
          <w:highlight w:val="none"/>
        </w:rPr>
      </w:pPr>
    </w:p>
    <w:p w14:paraId="01A61E7D">
      <w:pPr>
        <w:pStyle w:val="306"/>
        <w:spacing w:line="600" w:lineRule="exact"/>
        <w:ind w:firstLine="632" w:firstLineChars="300"/>
        <w:rPr>
          <w:rFonts w:ascii="宋体" w:hAnsi="宋体" w:cs="宋体"/>
          <w:b/>
          <w:bCs/>
          <w:color w:val="auto"/>
          <w:szCs w:val="21"/>
          <w:highlight w:val="none"/>
        </w:rPr>
      </w:pPr>
      <w:r>
        <w:rPr>
          <w:rFonts w:hint="eastAsia" w:ascii="宋体" w:hAnsi="宋体" w:cs="宋体"/>
          <w:b/>
          <w:bCs/>
          <w:color w:val="auto"/>
          <w:szCs w:val="21"/>
          <w:highlight w:val="none"/>
        </w:rPr>
        <w:t xml:space="preserve">注：1、无拒绝内容可不填写 </w:t>
      </w:r>
    </w:p>
    <w:p w14:paraId="5D41BBD1">
      <w:pPr>
        <w:pStyle w:val="306"/>
        <w:spacing w:line="600" w:lineRule="exact"/>
        <w:ind w:firstLine="1054" w:firstLineChars="500"/>
        <w:rPr>
          <w:rFonts w:ascii="宋体" w:hAnsi="宋体" w:cs="宋体"/>
          <w:b/>
          <w:bCs/>
          <w:color w:val="auto"/>
          <w:szCs w:val="21"/>
          <w:highlight w:val="none"/>
        </w:rPr>
      </w:pPr>
      <w:r>
        <w:rPr>
          <w:rFonts w:hint="eastAsia" w:ascii="宋体" w:hAnsi="宋体" w:cs="宋体"/>
          <w:b/>
          <w:bCs/>
          <w:color w:val="auto"/>
          <w:szCs w:val="21"/>
          <w:highlight w:val="none"/>
        </w:rPr>
        <w:t>2、标注“▲”的实质性条款不得拒绝，否则投标无效</w:t>
      </w:r>
    </w:p>
    <w:p w14:paraId="5D7E9112">
      <w:pPr>
        <w:pStyle w:val="116"/>
        <w:wordWrap w:val="0"/>
        <w:spacing w:line="500" w:lineRule="exact"/>
        <w:rPr>
          <w:rFonts w:ascii="宋体" w:hAnsi="宋体" w:cs="宋体"/>
          <w:color w:val="auto"/>
          <w:szCs w:val="21"/>
          <w:highlight w:val="none"/>
        </w:rPr>
      </w:pPr>
    </w:p>
    <w:p w14:paraId="564DE7E4">
      <w:pPr>
        <w:pStyle w:val="116"/>
        <w:wordWrap w:val="0"/>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w:t>
      </w:r>
    </w:p>
    <w:p w14:paraId="4CA12449">
      <w:pPr>
        <w:pStyle w:val="116"/>
        <w:wordWrap w:val="0"/>
        <w:spacing w:line="500" w:lineRule="exact"/>
        <w:rPr>
          <w:rFonts w:ascii="宋体" w:hAnsi="宋体" w:cs="宋体"/>
          <w:color w:val="auto"/>
          <w:szCs w:val="21"/>
          <w:highlight w:val="none"/>
        </w:rPr>
      </w:pPr>
    </w:p>
    <w:p w14:paraId="1B48CEE8">
      <w:pPr>
        <w:spacing w:line="500" w:lineRule="exact"/>
        <w:ind w:firstLine="5250" w:firstLineChars="2500"/>
        <w:jc w:val="left"/>
        <w:rPr>
          <w:rFonts w:ascii="宋体" w:hAnsi="宋体" w:cs="宋体"/>
          <w:color w:val="auto"/>
          <w:szCs w:val="21"/>
          <w:highlight w:val="none"/>
        </w:rPr>
      </w:pPr>
      <w:r>
        <w:rPr>
          <w:rFonts w:hint="eastAsia" w:ascii="宋体" w:hAnsi="宋体" w:cs="宋体"/>
          <w:color w:val="auto"/>
          <w:szCs w:val="21"/>
          <w:highlight w:val="none"/>
        </w:rPr>
        <w:t>投标人盖章：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E7B094B">
      <w:pPr>
        <w:spacing w:line="500" w:lineRule="exact"/>
        <w:ind w:firstLine="5250" w:firstLineChars="2500"/>
        <w:jc w:val="left"/>
        <w:rPr>
          <w:rFonts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4C2551CC">
      <w:pPr>
        <w:spacing w:before="240" w:line="360" w:lineRule="auto"/>
        <w:jc w:val="center"/>
        <w:rPr>
          <w:rFonts w:ascii="宋体" w:hAnsi="宋体" w:cs="宋体"/>
          <w:color w:val="auto"/>
          <w:sz w:val="24"/>
          <w:highlight w:val="none"/>
        </w:rPr>
      </w:pPr>
    </w:p>
    <w:p w14:paraId="0BF652FD">
      <w:pPr>
        <w:spacing w:before="240" w:line="360" w:lineRule="auto"/>
        <w:jc w:val="center"/>
        <w:rPr>
          <w:rFonts w:ascii="宋体" w:hAnsi="宋体" w:cs="宋体"/>
          <w:color w:val="auto"/>
          <w:sz w:val="24"/>
          <w:highlight w:val="none"/>
        </w:rPr>
      </w:pPr>
    </w:p>
    <w:p w14:paraId="255FDE9E">
      <w:pPr>
        <w:spacing w:before="240" w:line="360" w:lineRule="auto"/>
        <w:rPr>
          <w:rFonts w:ascii="宋体" w:hAnsi="宋体" w:cs="宋体"/>
          <w:color w:val="auto"/>
          <w:sz w:val="24"/>
          <w:highlight w:val="none"/>
        </w:rPr>
      </w:pPr>
      <w:r>
        <w:rPr>
          <w:rFonts w:ascii="宋体" w:hAnsi="宋体" w:cs="宋体"/>
          <w:color w:val="auto"/>
          <w:sz w:val="24"/>
          <w:highlight w:val="none"/>
        </w:rPr>
        <w:br w:type="page"/>
      </w:r>
    </w:p>
    <w:p w14:paraId="7DA42128">
      <w:pPr>
        <w:pStyle w:val="3"/>
        <w:tabs>
          <w:tab w:val="left" w:pos="420"/>
        </w:tabs>
        <w:rPr>
          <w:rFonts w:ascii="宋体" w:hAnsi="宋体" w:eastAsia="宋体" w:cs="宋体"/>
          <w:color w:val="auto"/>
          <w:highlight w:val="none"/>
        </w:rPr>
      </w:pPr>
      <w:r>
        <w:rPr>
          <w:rFonts w:hint="eastAsia" w:ascii="宋体" w:hAnsi="宋体" w:eastAsia="宋体" w:cs="宋体"/>
          <w:color w:val="auto"/>
          <w:kern w:val="2"/>
          <w:sz w:val="30"/>
          <w:szCs w:val="24"/>
          <w:highlight w:val="none"/>
        </w:rPr>
        <w:t>8、投标人认为有必要提供和评分办法中要求提供的其他资料（不得出现报价）</w:t>
      </w:r>
      <w:r>
        <w:rPr>
          <w:rFonts w:hint="eastAsia" w:ascii="宋体" w:hAnsi="宋体" w:eastAsia="宋体" w:cs="宋体"/>
          <w:color w:val="auto"/>
          <w:sz w:val="24"/>
          <w:highlight w:val="none"/>
        </w:rPr>
        <w:br w:type="page"/>
      </w:r>
      <w:r>
        <w:rPr>
          <w:rFonts w:hint="eastAsia" w:ascii="宋体" w:hAnsi="宋体" w:eastAsia="宋体" w:cs="宋体"/>
          <w:color w:val="auto"/>
          <w:highlight w:val="none"/>
        </w:rPr>
        <w:t>第三部分 “报价文件”格式</w:t>
      </w:r>
      <w:bookmarkEnd w:id="190"/>
      <w:bookmarkEnd w:id="191"/>
      <w:bookmarkEnd w:id="192"/>
      <w:bookmarkEnd w:id="193"/>
      <w:bookmarkEnd w:id="194"/>
    </w:p>
    <w:p w14:paraId="4FF1439A">
      <w:pPr>
        <w:widowControl/>
        <w:snapToGrid w:val="0"/>
        <w:spacing w:line="360" w:lineRule="auto"/>
        <w:ind w:firstLine="6023" w:firstLineChars="2000"/>
        <w:jc w:val="right"/>
        <w:textAlignment w:val="baseline"/>
        <w:rPr>
          <w:rStyle w:val="102"/>
          <w:rFonts w:ascii="宋体" w:hAnsi="宋体" w:cs="宋体"/>
          <w:b/>
          <w:color w:val="auto"/>
          <w:sz w:val="30"/>
          <w:highlight w:val="none"/>
        </w:rPr>
      </w:pPr>
      <w:r>
        <w:rPr>
          <w:rStyle w:val="102"/>
          <w:rFonts w:hint="eastAsia" w:ascii="宋体" w:hAnsi="宋体" w:cs="宋体"/>
          <w:b/>
          <w:color w:val="auto"/>
          <w:sz w:val="30"/>
          <w:highlight w:val="none"/>
        </w:rPr>
        <w:t xml:space="preserve"> “报价文件”封面格式</w:t>
      </w:r>
    </w:p>
    <w:p w14:paraId="01834E01">
      <w:pPr>
        <w:widowControl/>
        <w:snapToGrid w:val="0"/>
        <w:spacing w:line="360" w:lineRule="auto"/>
        <w:jc w:val="right"/>
        <w:textAlignment w:val="baseline"/>
        <w:rPr>
          <w:rStyle w:val="102"/>
          <w:rFonts w:ascii="宋体" w:hAnsi="宋体" w:cs="宋体"/>
          <w:b/>
          <w:color w:val="auto"/>
          <w:sz w:val="30"/>
          <w:highlight w:val="none"/>
        </w:rPr>
      </w:pPr>
      <w:r>
        <w:rPr>
          <w:rStyle w:val="102"/>
          <w:rFonts w:hint="eastAsia" w:ascii="宋体" w:hAnsi="宋体" w:cs="宋体"/>
          <w:b/>
          <w:color w:val="auto"/>
          <w:sz w:val="30"/>
          <w:highlight w:val="none"/>
        </w:rPr>
        <w:t xml:space="preserve">                                       （正本）或（副本）</w:t>
      </w:r>
    </w:p>
    <w:p w14:paraId="5AF7E650">
      <w:pPr>
        <w:pStyle w:val="4"/>
        <w:tabs>
          <w:tab w:val="left" w:pos="420"/>
        </w:tabs>
        <w:ind w:firstLine="5542" w:firstLineChars="2300"/>
        <w:rPr>
          <w:rFonts w:ascii="宋体" w:hAnsi="宋体" w:eastAsia="宋体" w:cs="宋体"/>
          <w:color w:val="auto"/>
          <w:sz w:val="24"/>
          <w:highlight w:val="none"/>
        </w:rPr>
      </w:pPr>
    </w:p>
    <w:p w14:paraId="5CF65D55">
      <w:pPr>
        <w:spacing w:line="276" w:lineRule="auto"/>
        <w:jc w:val="center"/>
        <w:rPr>
          <w:rFonts w:ascii="宋体" w:hAnsi="宋体" w:cs="宋体"/>
          <w:b/>
          <w:color w:val="auto"/>
          <w:kern w:val="0"/>
          <w:sz w:val="84"/>
          <w:szCs w:val="84"/>
          <w:highlight w:val="none"/>
        </w:rPr>
      </w:pPr>
      <w:r>
        <w:rPr>
          <w:rFonts w:hint="eastAsia" w:ascii="宋体" w:hAnsi="宋体" w:cs="宋体"/>
          <w:b/>
          <w:color w:val="auto"/>
          <w:kern w:val="0"/>
          <w:sz w:val="84"/>
          <w:szCs w:val="84"/>
          <w:highlight w:val="none"/>
        </w:rPr>
        <w:t>投 标 文 件</w:t>
      </w:r>
    </w:p>
    <w:p w14:paraId="3310F714">
      <w:pPr>
        <w:spacing w:line="360" w:lineRule="auto"/>
        <w:jc w:val="center"/>
        <w:rPr>
          <w:rFonts w:ascii="宋体" w:hAnsi="宋体" w:cs="宋体"/>
          <w:b/>
          <w:color w:val="auto"/>
          <w:kern w:val="0"/>
          <w:sz w:val="48"/>
          <w:szCs w:val="84"/>
          <w:highlight w:val="none"/>
        </w:rPr>
      </w:pPr>
      <w:r>
        <w:rPr>
          <w:rFonts w:hint="eastAsia" w:ascii="宋体" w:hAnsi="宋体" w:cs="宋体"/>
          <w:b/>
          <w:color w:val="auto"/>
          <w:kern w:val="0"/>
          <w:sz w:val="48"/>
          <w:szCs w:val="84"/>
          <w:highlight w:val="none"/>
        </w:rPr>
        <w:t>（报价文件）</w:t>
      </w:r>
    </w:p>
    <w:p w14:paraId="0BBDDBF4">
      <w:pPr>
        <w:jc w:val="center"/>
        <w:rPr>
          <w:rFonts w:ascii="宋体" w:hAnsi="宋体" w:cs="宋体"/>
          <w:b/>
          <w:color w:val="auto"/>
          <w:kern w:val="0"/>
          <w:sz w:val="48"/>
          <w:szCs w:val="84"/>
          <w:highlight w:val="none"/>
        </w:rPr>
      </w:pPr>
    </w:p>
    <w:tbl>
      <w:tblPr>
        <w:tblStyle w:val="51"/>
        <w:tblW w:w="0" w:type="auto"/>
        <w:tblInd w:w="392" w:type="dxa"/>
        <w:tblLayout w:type="fixed"/>
        <w:tblCellMar>
          <w:top w:w="0" w:type="dxa"/>
          <w:left w:w="108" w:type="dxa"/>
          <w:bottom w:w="0" w:type="dxa"/>
          <w:right w:w="108" w:type="dxa"/>
        </w:tblCellMar>
      </w:tblPr>
      <w:tblGrid>
        <w:gridCol w:w="9204"/>
      </w:tblGrid>
      <w:tr w14:paraId="7C9DB362">
        <w:tblPrEx>
          <w:tblCellMar>
            <w:top w:w="0" w:type="dxa"/>
            <w:left w:w="108" w:type="dxa"/>
            <w:bottom w:w="0" w:type="dxa"/>
            <w:right w:w="108" w:type="dxa"/>
          </w:tblCellMar>
        </w:tblPrEx>
        <w:trPr>
          <w:trHeight w:val="1058" w:hRule="atLeast"/>
        </w:trPr>
        <w:tc>
          <w:tcPr>
            <w:tcW w:w="9204" w:type="dxa"/>
            <w:vAlign w:val="center"/>
          </w:tcPr>
          <w:p w14:paraId="4866737F">
            <w:pPr>
              <w:keepNext w:val="0"/>
              <w:keepLines w:val="0"/>
              <w:suppressLineNumbers w:val="0"/>
              <w:spacing w:before="0" w:beforeAutospacing="0" w:after="0" w:afterAutospacing="0" w:line="360" w:lineRule="auto"/>
              <w:ind w:left="0" w:right="0"/>
              <w:rPr>
                <w:rFonts w:hint="default" w:ascii="宋体" w:hAnsi="宋体" w:cs="宋体"/>
                <w:b/>
                <w:bCs/>
                <w:color w:val="auto"/>
                <w:sz w:val="28"/>
                <w:szCs w:val="28"/>
                <w:highlight w:val="none"/>
              </w:rPr>
            </w:pPr>
            <w:r>
              <w:rPr>
                <w:rFonts w:hint="eastAsia" w:ascii="宋体" w:hAnsi="宋体" w:cs="宋体"/>
                <w:b/>
                <w:bCs/>
                <w:color w:val="auto"/>
                <w:sz w:val="28"/>
                <w:szCs w:val="28"/>
                <w:highlight w:val="none"/>
              </w:rPr>
              <w:t>项目名称：</w:t>
            </w:r>
            <w:r>
              <w:rPr>
                <w:rFonts w:hint="default"/>
                <w:color w:val="auto"/>
                <w:highlight w:val="none"/>
              </w:rPr>
              <w:fldChar w:fldCharType="begin"/>
            </w:r>
            <w:r>
              <w:rPr>
                <w:rFonts w:hint="default"/>
                <w:color w:val="auto"/>
                <w:highlight w:val="none"/>
              </w:rPr>
              <w:instrText xml:space="preserve"> HYPERLINK "https://bidding.zcygov.cn/xmgl/projectQuery/queryDetail?projectUuid=5c859e260a927c18" \l "/purchaseFileMake/_blank" \t "https://www.zcygov.cn/bidding-entrust/" </w:instrText>
            </w:r>
            <w:r>
              <w:rPr>
                <w:rFonts w:hint="default"/>
                <w:color w:val="auto"/>
                <w:highlight w:val="none"/>
              </w:rPr>
              <w:fldChar w:fldCharType="separate"/>
            </w:r>
            <w:r>
              <w:rPr>
                <w:rFonts w:hint="default"/>
                <w:color w:val="auto"/>
                <w:highlight w:val="none"/>
              </w:rPr>
              <w:fldChar w:fldCharType="end"/>
            </w:r>
          </w:p>
        </w:tc>
      </w:tr>
      <w:tr w14:paraId="631D93B9">
        <w:tblPrEx>
          <w:tblCellMar>
            <w:top w:w="0" w:type="dxa"/>
            <w:left w:w="108" w:type="dxa"/>
            <w:bottom w:w="0" w:type="dxa"/>
            <w:right w:w="108" w:type="dxa"/>
          </w:tblCellMar>
        </w:tblPrEx>
        <w:trPr>
          <w:trHeight w:val="1222" w:hRule="atLeast"/>
        </w:trPr>
        <w:tc>
          <w:tcPr>
            <w:tcW w:w="9204" w:type="dxa"/>
            <w:vAlign w:val="center"/>
          </w:tcPr>
          <w:p w14:paraId="7B0633A2">
            <w:pPr>
              <w:keepNext w:val="0"/>
              <w:keepLines w:val="0"/>
              <w:suppressLineNumbers w:val="0"/>
              <w:tabs>
                <w:tab w:val="left" w:pos="2580"/>
                <w:tab w:val="left" w:pos="5940"/>
              </w:tabs>
              <w:autoSpaceDE w:val="0"/>
              <w:autoSpaceDN w:val="0"/>
              <w:adjustRightInd w:val="0"/>
              <w:spacing w:before="0" w:beforeAutospacing="0" w:after="0" w:afterAutospacing="0" w:line="360" w:lineRule="auto"/>
              <w:ind w:left="0" w:right="0"/>
              <w:rPr>
                <w:rFonts w:hint="default" w:ascii="宋体" w:hAnsi="宋体" w:cs="宋体"/>
                <w:b/>
                <w:bCs/>
                <w:color w:val="auto"/>
                <w:sz w:val="28"/>
                <w:szCs w:val="28"/>
                <w:highlight w:val="none"/>
              </w:rPr>
            </w:pPr>
            <w:r>
              <w:rPr>
                <w:rFonts w:hint="eastAsia" w:ascii="宋体" w:hAnsi="宋体" w:cs="宋体"/>
                <w:b/>
                <w:bCs/>
                <w:color w:val="auto"/>
                <w:sz w:val="28"/>
                <w:szCs w:val="28"/>
                <w:highlight w:val="none"/>
              </w:rPr>
              <w:t>采 购 人：</w:t>
            </w:r>
          </w:p>
        </w:tc>
      </w:tr>
      <w:tr w14:paraId="1FE62C3D">
        <w:tblPrEx>
          <w:tblCellMar>
            <w:top w:w="0" w:type="dxa"/>
            <w:left w:w="108" w:type="dxa"/>
            <w:bottom w:w="0" w:type="dxa"/>
            <w:right w:w="108" w:type="dxa"/>
          </w:tblCellMar>
        </w:tblPrEx>
        <w:trPr>
          <w:trHeight w:val="1071" w:hRule="atLeast"/>
        </w:trPr>
        <w:tc>
          <w:tcPr>
            <w:tcW w:w="9204" w:type="dxa"/>
            <w:vAlign w:val="center"/>
          </w:tcPr>
          <w:p w14:paraId="39989837">
            <w:pPr>
              <w:keepNext w:val="0"/>
              <w:keepLines w:val="0"/>
              <w:suppressLineNumbers w:val="0"/>
              <w:spacing w:before="0" w:beforeAutospacing="0" w:after="0" w:afterAutospacing="0" w:line="360" w:lineRule="auto"/>
              <w:ind w:left="0" w:right="0"/>
              <w:rPr>
                <w:rFonts w:hint="default" w:ascii="宋体" w:hAnsi="宋体" w:cs="宋体"/>
                <w:b/>
                <w:bCs/>
                <w:color w:val="auto"/>
                <w:sz w:val="28"/>
                <w:szCs w:val="28"/>
                <w:highlight w:val="none"/>
              </w:rPr>
            </w:pPr>
            <w:r>
              <w:rPr>
                <w:rFonts w:hint="eastAsia" w:ascii="宋体" w:hAnsi="宋体" w:cs="宋体"/>
                <w:b/>
                <w:bCs/>
                <w:color w:val="auto"/>
                <w:sz w:val="28"/>
                <w:szCs w:val="28"/>
                <w:highlight w:val="none"/>
              </w:rPr>
              <w:t>项目编号：</w:t>
            </w:r>
          </w:p>
        </w:tc>
      </w:tr>
      <w:tr w14:paraId="4504B883">
        <w:tblPrEx>
          <w:tblCellMar>
            <w:top w:w="0" w:type="dxa"/>
            <w:left w:w="108" w:type="dxa"/>
            <w:bottom w:w="0" w:type="dxa"/>
            <w:right w:w="108" w:type="dxa"/>
          </w:tblCellMar>
        </w:tblPrEx>
        <w:trPr>
          <w:trHeight w:val="1992" w:hRule="atLeast"/>
        </w:trPr>
        <w:tc>
          <w:tcPr>
            <w:tcW w:w="9204" w:type="dxa"/>
            <w:vAlign w:val="center"/>
          </w:tcPr>
          <w:p w14:paraId="43D2FB03">
            <w:pPr>
              <w:keepNext w:val="0"/>
              <w:keepLines w:val="0"/>
              <w:suppressLineNumbers w:val="0"/>
              <w:spacing w:before="0" w:beforeAutospacing="0" w:after="0" w:afterAutospacing="0" w:line="360" w:lineRule="auto"/>
              <w:ind w:left="0" w:right="0"/>
              <w:rPr>
                <w:rFonts w:hint="default" w:ascii="宋体" w:hAnsi="宋体" w:cs="宋体"/>
                <w:color w:val="auto"/>
                <w:sz w:val="28"/>
                <w:szCs w:val="28"/>
                <w:highlight w:val="none"/>
              </w:rPr>
            </w:pPr>
            <w:r>
              <w:rPr>
                <w:rFonts w:hint="eastAsia" w:ascii="宋体" w:hAnsi="宋体" w:cs="宋体"/>
                <w:b/>
                <w:bCs/>
                <w:color w:val="auto"/>
                <w:sz w:val="28"/>
                <w:szCs w:val="28"/>
                <w:highlight w:val="none"/>
              </w:rPr>
              <w:t>投标人名称（公章）：</w:t>
            </w:r>
            <w:r>
              <w:rPr>
                <w:rFonts w:hint="eastAsia" w:ascii="宋体" w:hAnsi="宋体" w:cs="宋体"/>
                <w:color w:val="auto"/>
                <w:w w:val="90"/>
                <w:kern w:val="0"/>
                <w:sz w:val="22"/>
                <w:szCs w:val="22"/>
                <w:highlight w:val="none"/>
              </w:rPr>
              <w:t>______________________________________________</w:t>
            </w:r>
            <w:r>
              <w:rPr>
                <w:rFonts w:hint="eastAsia" w:ascii="宋体" w:hAnsi="宋体" w:cs="宋体"/>
                <w:color w:val="auto"/>
                <w:w w:val="90"/>
                <w:kern w:val="0"/>
                <w:sz w:val="22"/>
                <w:szCs w:val="22"/>
                <w:highlight w:val="none"/>
                <w:u w:val="single"/>
              </w:rPr>
              <w:t>_</w:t>
            </w:r>
            <w:r>
              <w:rPr>
                <w:rFonts w:hint="default" w:ascii="宋体" w:hAnsi="宋体" w:cs="宋体"/>
                <w:color w:val="auto"/>
                <w:w w:val="90"/>
                <w:kern w:val="0"/>
                <w:sz w:val="22"/>
                <w:szCs w:val="22"/>
                <w:highlight w:val="none"/>
                <w:u w:val="single"/>
              </w:rPr>
              <w:t xml:space="preserve">    </w:t>
            </w:r>
            <w:r>
              <w:rPr>
                <w:rFonts w:hint="eastAsia" w:ascii="宋体" w:hAnsi="宋体" w:cs="宋体"/>
                <w:color w:val="auto"/>
                <w:w w:val="90"/>
                <w:kern w:val="0"/>
                <w:sz w:val="22"/>
                <w:szCs w:val="22"/>
                <w:highlight w:val="none"/>
              </w:rPr>
              <w:t>__</w:t>
            </w:r>
          </w:p>
        </w:tc>
      </w:tr>
      <w:tr w14:paraId="44D479F0">
        <w:tblPrEx>
          <w:tblCellMar>
            <w:top w:w="0" w:type="dxa"/>
            <w:left w:w="108" w:type="dxa"/>
            <w:bottom w:w="0" w:type="dxa"/>
            <w:right w:w="108" w:type="dxa"/>
          </w:tblCellMar>
        </w:tblPrEx>
        <w:trPr>
          <w:trHeight w:val="802" w:hRule="atLeast"/>
        </w:trPr>
        <w:tc>
          <w:tcPr>
            <w:tcW w:w="9204" w:type="dxa"/>
            <w:vAlign w:val="center"/>
          </w:tcPr>
          <w:p w14:paraId="5079FBB1">
            <w:pPr>
              <w:keepNext w:val="0"/>
              <w:keepLines w:val="0"/>
              <w:suppressLineNumbers w:val="0"/>
              <w:spacing w:before="0" w:beforeAutospacing="0" w:after="0" w:afterAutospacing="0" w:line="360" w:lineRule="auto"/>
              <w:ind w:left="0" w:right="0"/>
              <w:rPr>
                <w:rFonts w:hint="default" w:ascii="宋体" w:hAnsi="宋体" w:cs="宋体"/>
                <w:b/>
                <w:bCs/>
                <w:color w:val="auto"/>
                <w:sz w:val="28"/>
                <w:szCs w:val="28"/>
                <w:highlight w:val="none"/>
              </w:rPr>
            </w:pPr>
          </w:p>
          <w:p w14:paraId="608E3B76">
            <w:pPr>
              <w:keepNext w:val="0"/>
              <w:keepLines w:val="0"/>
              <w:suppressLineNumbers w:val="0"/>
              <w:spacing w:before="0" w:beforeAutospacing="0" w:after="0" w:afterAutospacing="0" w:line="360" w:lineRule="auto"/>
              <w:ind w:left="0" w:right="0"/>
              <w:rPr>
                <w:rFonts w:hint="default" w:ascii="宋体" w:hAnsi="宋体" w:cs="宋体"/>
                <w:color w:val="auto"/>
                <w:sz w:val="28"/>
                <w:szCs w:val="28"/>
                <w:highlight w:val="none"/>
              </w:rPr>
            </w:pPr>
            <w:r>
              <w:rPr>
                <w:rFonts w:hint="eastAsia" w:ascii="宋体" w:hAnsi="宋体" w:cs="宋体"/>
                <w:b/>
                <w:bCs/>
                <w:color w:val="auto"/>
                <w:sz w:val="28"/>
                <w:szCs w:val="28"/>
                <w:highlight w:val="none"/>
              </w:rPr>
              <w:t>日期：</w:t>
            </w:r>
            <w:r>
              <w:rPr>
                <w:rFonts w:hint="eastAsia" w:ascii="宋体" w:hAnsi="宋体" w:cs="宋体"/>
                <w:color w:val="auto"/>
                <w:w w:val="90"/>
                <w:kern w:val="0"/>
                <w:sz w:val="22"/>
                <w:szCs w:val="22"/>
                <w:highlight w:val="none"/>
              </w:rPr>
              <w:t>_________________________________________________________________________</w:t>
            </w:r>
          </w:p>
        </w:tc>
      </w:tr>
      <w:tr w14:paraId="0785B131">
        <w:tblPrEx>
          <w:tblCellMar>
            <w:top w:w="0" w:type="dxa"/>
            <w:left w:w="108" w:type="dxa"/>
            <w:bottom w:w="0" w:type="dxa"/>
            <w:right w:w="108" w:type="dxa"/>
          </w:tblCellMar>
        </w:tblPrEx>
        <w:trPr>
          <w:trHeight w:val="1152" w:hRule="atLeast"/>
        </w:trPr>
        <w:tc>
          <w:tcPr>
            <w:tcW w:w="9204" w:type="dxa"/>
            <w:vAlign w:val="center"/>
          </w:tcPr>
          <w:p w14:paraId="4D0B8531">
            <w:pPr>
              <w:keepNext w:val="0"/>
              <w:keepLines w:val="0"/>
              <w:suppressLineNumbers w:val="0"/>
              <w:spacing w:before="0" w:beforeAutospacing="0" w:after="0" w:afterAutospacing="0" w:line="360" w:lineRule="auto"/>
              <w:ind w:left="0" w:right="0"/>
              <w:rPr>
                <w:rFonts w:hint="default" w:ascii="宋体" w:hAnsi="宋体" w:cs="宋体"/>
                <w:b/>
                <w:bCs/>
                <w:color w:val="auto"/>
                <w:sz w:val="28"/>
                <w:szCs w:val="28"/>
                <w:highlight w:val="none"/>
              </w:rPr>
            </w:pPr>
          </w:p>
          <w:p w14:paraId="6D555D1A">
            <w:pPr>
              <w:keepNext w:val="0"/>
              <w:keepLines w:val="0"/>
              <w:suppressLineNumbers w:val="0"/>
              <w:spacing w:before="0" w:beforeAutospacing="0" w:after="0" w:afterAutospacing="0" w:line="360" w:lineRule="auto"/>
              <w:ind w:left="0" w:right="0"/>
              <w:rPr>
                <w:rFonts w:hint="default" w:ascii="宋体" w:hAnsi="宋体" w:cs="宋体"/>
                <w:b/>
                <w:color w:val="auto"/>
                <w:sz w:val="28"/>
                <w:szCs w:val="28"/>
                <w:highlight w:val="none"/>
              </w:rPr>
            </w:pPr>
          </w:p>
        </w:tc>
      </w:tr>
    </w:tbl>
    <w:p w14:paraId="24C60ABE">
      <w:pPr>
        <w:ind w:firstLine="482" w:firstLineChars="200"/>
        <w:rPr>
          <w:rFonts w:ascii="宋体" w:hAnsi="宋体" w:cs="宋体"/>
          <w:b/>
          <w:bCs/>
          <w:color w:val="auto"/>
          <w:sz w:val="24"/>
          <w:highlight w:val="none"/>
          <w:lang w:val="zh-CN" w:bidi="zh-CN"/>
        </w:rPr>
      </w:pPr>
    </w:p>
    <w:p w14:paraId="26D87554">
      <w:pPr>
        <w:spacing w:line="360" w:lineRule="auto"/>
        <w:ind w:firstLine="1260" w:firstLineChars="600"/>
        <w:jc w:val="center"/>
        <w:rPr>
          <w:rFonts w:ascii="宋体" w:hAnsi="宋体" w:cs="宋体"/>
          <w:b/>
          <w:color w:val="auto"/>
          <w:sz w:val="32"/>
          <w:szCs w:val="32"/>
          <w:highlight w:val="none"/>
        </w:rPr>
      </w:pPr>
      <w:r>
        <w:rPr>
          <w:rFonts w:hint="eastAsia" w:ascii="宋体" w:hAnsi="宋体" w:cs="宋体"/>
          <w:color w:val="auto"/>
          <w:highlight w:val="none"/>
        </w:rPr>
        <w:br w:type="page"/>
      </w:r>
      <w:bookmarkEnd w:id="195"/>
      <w:r>
        <w:rPr>
          <w:rFonts w:hint="eastAsia" w:ascii="宋体" w:hAnsi="宋体" w:cs="宋体"/>
          <w:b/>
          <w:color w:val="auto"/>
          <w:sz w:val="32"/>
          <w:szCs w:val="32"/>
          <w:highlight w:val="none"/>
        </w:rPr>
        <w:t>1、报价书（开标一览表）</w:t>
      </w:r>
    </w:p>
    <w:p w14:paraId="392D9FA2">
      <w:pPr>
        <w:spacing w:line="360" w:lineRule="auto"/>
        <w:ind w:firstLine="250" w:firstLineChars="100"/>
        <w:rPr>
          <w:rFonts w:ascii="宋体" w:hAnsi="宋体" w:cs="宋体"/>
          <w:color w:val="auto"/>
          <w:spacing w:val="20"/>
          <w:szCs w:val="21"/>
          <w:highlight w:val="none"/>
        </w:rPr>
      </w:pPr>
      <w:r>
        <w:rPr>
          <w:rFonts w:hint="eastAsia" w:ascii="宋体" w:hAnsi="宋体" w:cs="宋体"/>
          <w:color w:val="auto"/>
          <w:spacing w:val="20"/>
          <w:szCs w:val="21"/>
          <w:highlight w:val="none"/>
        </w:rPr>
        <w:t>项目编号：</w:t>
      </w:r>
    </w:p>
    <w:p w14:paraId="650681A3">
      <w:pPr>
        <w:spacing w:line="360" w:lineRule="auto"/>
        <w:ind w:firstLine="250" w:firstLineChars="100"/>
        <w:rPr>
          <w:rFonts w:ascii="宋体" w:hAnsi="宋体" w:cs="宋体"/>
          <w:color w:val="auto"/>
          <w:spacing w:val="20"/>
          <w:szCs w:val="21"/>
          <w:highlight w:val="none"/>
        </w:rPr>
      </w:pPr>
      <w:r>
        <w:rPr>
          <w:rFonts w:hint="eastAsia" w:ascii="宋体" w:hAnsi="宋体" w:cs="宋体"/>
          <w:color w:val="auto"/>
          <w:spacing w:val="20"/>
          <w:szCs w:val="21"/>
          <w:highlight w:val="none"/>
        </w:rPr>
        <w:t xml:space="preserve">项目名称：                                                </w:t>
      </w:r>
    </w:p>
    <w:tbl>
      <w:tblPr>
        <w:tblStyle w:val="51"/>
        <w:tblW w:w="4876" w:type="pct"/>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912"/>
        <w:gridCol w:w="1393"/>
        <w:gridCol w:w="842"/>
        <w:gridCol w:w="1699"/>
        <w:gridCol w:w="1607"/>
        <w:gridCol w:w="1527"/>
      </w:tblGrid>
      <w:tr w14:paraId="0D7A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81" w:type="pct"/>
            <w:noWrap w:val="0"/>
            <w:vAlign w:val="center"/>
          </w:tcPr>
          <w:p w14:paraId="7ADA961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83" w:type="pct"/>
            <w:noWrap w:val="0"/>
            <w:vAlign w:val="center"/>
          </w:tcPr>
          <w:p w14:paraId="121BBC9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采购内容</w:t>
            </w:r>
          </w:p>
        </w:tc>
        <w:tc>
          <w:tcPr>
            <w:tcW w:w="716" w:type="pct"/>
            <w:noWrap w:val="0"/>
            <w:vAlign w:val="center"/>
          </w:tcPr>
          <w:p w14:paraId="27FB213F">
            <w:pPr>
              <w:keepNext w:val="0"/>
              <w:keepLines w:val="0"/>
              <w:suppressLineNumbers w:val="0"/>
              <w:spacing w:before="0" w:beforeAutospacing="0" w:after="0" w:afterAutospacing="0" w:line="360" w:lineRule="auto"/>
              <w:ind w:left="0" w:right="0"/>
              <w:jc w:val="center"/>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数量（暂定）</w:t>
            </w:r>
          </w:p>
        </w:tc>
        <w:tc>
          <w:tcPr>
            <w:tcW w:w="433" w:type="pct"/>
            <w:noWrap w:val="0"/>
            <w:vAlign w:val="center"/>
          </w:tcPr>
          <w:p w14:paraId="28260984">
            <w:pPr>
              <w:keepNext w:val="0"/>
              <w:keepLines w:val="0"/>
              <w:suppressLineNumbers w:val="0"/>
              <w:spacing w:before="0" w:beforeAutospacing="0" w:after="0" w:afterAutospacing="0"/>
              <w:ind w:left="0" w:right="0"/>
              <w:jc w:val="center"/>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单位</w:t>
            </w:r>
          </w:p>
        </w:tc>
        <w:tc>
          <w:tcPr>
            <w:tcW w:w="873" w:type="pct"/>
            <w:noWrap w:val="0"/>
            <w:vAlign w:val="center"/>
          </w:tcPr>
          <w:p w14:paraId="26181F94">
            <w:pPr>
              <w:keepNext w:val="0"/>
              <w:keepLines w:val="0"/>
              <w:suppressLineNumbers w:val="0"/>
              <w:spacing w:before="0" w:beforeAutospacing="0" w:after="0" w:afterAutospacing="0"/>
              <w:ind w:left="0" w:right="0"/>
              <w:jc w:val="center"/>
              <w:rPr>
                <w:rFonts w:hint="eastAsia" w:ascii="宋体" w:hAnsi="宋体" w:cs="宋体"/>
                <w:b/>
                <w:bCs w:val="0"/>
                <w:color w:val="auto"/>
                <w:sz w:val="21"/>
                <w:szCs w:val="21"/>
                <w:highlight w:val="none"/>
                <w:lang w:val="en-US" w:eastAsia="zh-CN"/>
              </w:rPr>
            </w:pPr>
            <w:r>
              <w:rPr>
                <w:rFonts w:hint="eastAsia" w:ascii="宋体" w:hAnsi="Times New Roman" w:eastAsia="宋体" w:cs="Times New Roman"/>
                <w:b/>
                <w:bCs w:val="0"/>
                <w:color w:val="auto"/>
                <w:sz w:val="21"/>
                <w:szCs w:val="21"/>
                <w:highlight w:val="none"/>
                <w:shd w:val="clear" w:color="auto" w:fill="FFFFFF"/>
                <w:lang w:val="en-US" w:eastAsia="zh-CN"/>
              </w:rPr>
              <w:t>投标</w:t>
            </w:r>
            <w:r>
              <w:rPr>
                <w:rFonts w:hint="eastAsia" w:ascii="宋体" w:cs="Times New Roman"/>
                <w:b/>
                <w:bCs w:val="0"/>
                <w:color w:val="auto"/>
                <w:sz w:val="21"/>
                <w:szCs w:val="21"/>
                <w:highlight w:val="none"/>
                <w:shd w:val="clear" w:color="auto" w:fill="FFFFFF"/>
                <w:lang w:val="en-US" w:eastAsia="zh-CN"/>
              </w:rPr>
              <w:t>单价</w:t>
            </w:r>
          </w:p>
        </w:tc>
        <w:tc>
          <w:tcPr>
            <w:tcW w:w="826" w:type="pct"/>
            <w:noWrap w:val="0"/>
            <w:vAlign w:val="center"/>
          </w:tcPr>
          <w:p w14:paraId="7BDCCB69">
            <w:pPr>
              <w:keepNext w:val="0"/>
              <w:keepLines w:val="0"/>
              <w:suppressLineNumbers w:val="0"/>
              <w:spacing w:before="0" w:beforeAutospacing="0" w:after="0" w:afterAutospacing="0"/>
              <w:ind w:left="0" w:right="0"/>
              <w:jc w:val="center"/>
              <w:rPr>
                <w:rFonts w:hint="eastAsia" w:ascii="宋体" w:hAnsi="宋体" w:eastAsia="宋体" w:cs="宋体"/>
                <w:b/>
                <w:bCs w:val="0"/>
                <w:color w:val="auto"/>
                <w:sz w:val="21"/>
                <w:szCs w:val="21"/>
                <w:highlight w:val="none"/>
                <w:lang w:val="en-US"/>
              </w:rPr>
            </w:pPr>
            <w:r>
              <w:rPr>
                <w:rFonts w:hint="eastAsia" w:ascii="宋体" w:hAnsi="宋体" w:cs="宋体"/>
                <w:b/>
                <w:bCs w:val="0"/>
                <w:color w:val="auto"/>
                <w:sz w:val="21"/>
                <w:szCs w:val="21"/>
                <w:highlight w:val="none"/>
                <w:lang w:val="en-US" w:eastAsia="zh-CN"/>
              </w:rPr>
              <w:t>投标报价</w:t>
            </w:r>
            <w:r>
              <w:rPr>
                <w:rFonts w:hint="eastAsia" w:ascii="宋体" w:eastAsia="宋体"/>
                <w:b/>
                <w:bCs w:val="0"/>
                <w:color w:val="auto"/>
                <w:sz w:val="21"/>
                <w:szCs w:val="21"/>
                <w:highlight w:val="none"/>
                <w:shd w:val="clear" w:color="auto" w:fill="FFFFFF"/>
                <w:lang w:eastAsia="zh-CN"/>
              </w:rPr>
              <w:t>（元）</w:t>
            </w:r>
          </w:p>
        </w:tc>
        <w:tc>
          <w:tcPr>
            <w:tcW w:w="785" w:type="pct"/>
            <w:noWrap w:val="0"/>
            <w:vAlign w:val="center"/>
          </w:tcPr>
          <w:p w14:paraId="732F9CBC">
            <w:pPr>
              <w:keepNext w:val="0"/>
              <w:keepLines w:val="0"/>
              <w:suppressLineNumbers w:val="0"/>
              <w:spacing w:before="0" w:beforeAutospacing="0" w:after="0" w:afterAutospacing="0"/>
              <w:ind w:left="0" w:right="0"/>
              <w:jc w:val="center"/>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备注</w:t>
            </w:r>
          </w:p>
        </w:tc>
      </w:tr>
      <w:tr w14:paraId="6FDD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81" w:type="pct"/>
            <w:noWrap w:val="0"/>
            <w:vAlign w:val="center"/>
          </w:tcPr>
          <w:p w14:paraId="74DA80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83" w:type="pct"/>
            <w:noWrap w:val="0"/>
            <w:vAlign w:val="center"/>
          </w:tcPr>
          <w:p w14:paraId="748947FA">
            <w:pPr>
              <w:pStyle w:val="5"/>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eastAsia" w:cs="Courier New"/>
                <w:b w:val="0"/>
                <w:bCs w:val="0"/>
                <w:color w:val="auto"/>
                <w:sz w:val="21"/>
                <w:szCs w:val="21"/>
                <w:highlight w:val="none"/>
                <w:lang w:val="en-US" w:eastAsia="zh-CN"/>
              </w:rPr>
              <w:t>大平层及排屋代理销售</w:t>
            </w:r>
            <w:r>
              <w:rPr>
                <w:rFonts w:hint="eastAsia" w:hAnsi="Times New Roman" w:cs="Courier New"/>
                <w:b w:val="0"/>
                <w:bCs w:val="0"/>
                <w:color w:val="auto"/>
                <w:sz w:val="21"/>
                <w:szCs w:val="21"/>
                <w:highlight w:val="none"/>
                <w:lang w:val="en-US" w:eastAsia="zh-CN"/>
              </w:rPr>
              <w:t>服务</w:t>
            </w:r>
            <w:r>
              <w:rPr>
                <w:rFonts w:hint="eastAsia" w:ascii="宋体" w:hAnsi="Times New Roman" w:eastAsia="宋体" w:cs="Courier New"/>
                <w:b w:val="0"/>
                <w:bCs w:val="0"/>
                <w:color w:val="auto"/>
                <w:sz w:val="21"/>
                <w:szCs w:val="21"/>
                <w:highlight w:val="none"/>
                <w:lang w:eastAsia="zh-CN"/>
              </w:rPr>
              <w:t>费</w:t>
            </w:r>
          </w:p>
        </w:tc>
        <w:tc>
          <w:tcPr>
            <w:tcW w:w="716" w:type="pct"/>
            <w:noWrap w:val="0"/>
            <w:vAlign w:val="center"/>
          </w:tcPr>
          <w:p w14:paraId="2A8D485B">
            <w:pPr>
              <w:keepNext w:val="0"/>
              <w:keepLines w:val="0"/>
              <w:widowControl/>
              <w:suppressLineNumbers w:val="0"/>
              <w:snapToGrid w:val="0"/>
              <w:spacing w:before="0" w:beforeAutospacing="0" w:after="0" w:afterAutospacing="0" w:line="320" w:lineRule="exact"/>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33" w:type="pct"/>
            <w:noWrap w:val="0"/>
            <w:vAlign w:val="center"/>
          </w:tcPr>
          <w:p w14:paraId="409C2577">
            <w:pPr>
              <w:keepNext w:val="0"/>
              <w:keepLines w:val="0"/>
              <w:widowControl/>
              <w:suppressLineNumbers w:val="0"/>
              <w:snapToGrid w:val="0"/>
              <w:spacing w:before="0" w:beforeAutospacing="0" w:after="0" w:afterAutospacing="0" w:line="320" w:lineRule="exact"/>
              <w:ind w:left="0" w:leftChars="0" w:right="0" w:rightChars="0"/>
              <w:jc w:val="center"/>
              <w:rPr>
                <w:rFonts w:hint="default" w:ascii="宋体" w:hAnsi="Times New Roman" w:eastAsia="宋体" w:cs="Courier New"/>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亿元</w:t>
            </w:r>
          </w:p>
        </w:tc>
        <w:tc>
          <w:tcPr>
            <w:tcW w:w="873" w:type="pct"/>
            <w:noWrap w:val="0"/>
            <w:vAlign w:val="center"/>
          </w:tcPr>
          <w:p w14:paraId="4A3F8A4F">
            <w:pPr>
              <w:pStyle w:val="5"/>
              <w:keepNext w:val="0"/>
              <w:keepLines w:val="0"/>
              <w:suppressLineNumbers w:val="0"/>
              <w:spacing w:before="0" w:beforeAutospacing="0" w:after="0" w:afterAutospacing="0"/>
              <w:ind w:left="0" w:right="0" w:firstLine="0" w:firstLineChars="0"/>
              <w:jc w:val="center"/>
              <w:rPr>
                <w:rFonts w:hint="default" w:ascii="宋体" w:hAnsi="Times New Roman" w:eastAsia="宋体" w:cs="Courier New"/>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该部分销售额的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tc>
        <w:tc>
          <w:tcPr>
            <w:tcW w:w="826" w:type="pct"/>
            <w:noWrap w:val="0"/>
            <w:vAlign w:val="center"/>
          </w:tcPr>
          <w:p w14:paraId="15426605">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1"/>
                <w:szCs w:val="21"/>
                <w:highlight w:val="none"/>
                <w:lang w:val="en-US" w:eastAsia="zh-CN"/>
              </w:rPr>
            </w:pPr>
          </w:p>
        </w:tc>
        <w:tc>
          <w:tcPr>
            <w:tcW w:w="785" w:type="pct"/>
            <w:noWrap w:val="0"/>
            <w:vAlign w:val="center"/>
          </w:tcPr>
          <w:p w14:paraId="1463E2E1">
            <w:pPr>
              <w:keepNext w:val="0"/>
              <w:keepLines w:val="0"/>
              <w:widowControl/>
              <w:suppressLineNumbers w:val="0"/>
              <w:snapToGrid w:val="0"/>
              <w:spacing w:before="0" w:beforeAutospacing="0" w:after="0" w:afterAutospacing="0" w:line="320" w:lineRule="exact"/>
              <w:ind w:left="0" w:leftChars="0" w:right="0" w:rightChars="0"/>
              <w:jc w:val="center"/>
              <w:rPr>
                <w:rFonts w:hint="default" w:cs="Courier New"/>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包含附属用房</w:t>
            </w:r>
          </w:p>
        </w:tc>
      </w:tr>
      <w:tr w14:paraId="67EE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81" w:type="pct"/>
            <w:noWrap w:val="0"/>
            <w:vAlign w:val="center"/>
          </w:tcPr>
          <w:p w14:paraId="44483CE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983" w:type="pct"/>
            <w:noWrap w:val="0"/>
            <w:vAlign w:val="center"/>
          </w:tcPr>
          <w:p w14:paraId="4B5BF92C">
            <w:pPr>
              <w:pStyle w:val="5"/>
              <w:keepNext w:val="0"/>
              <w:keepLines w:val="0"/>
              <w:suppressLineNumbers w:val="0"/>
              <w:spacing w:before="0" w:beforeAutospacing="0" w:after="0" w:afterAutospacing="0"/>
              <w:ind w:left="0" w:leftChars="0" w:right="0" w:rightChars="0" w:firstLine="0" w:firstLineChars="0"/>
              <w:jc w:val="center"/>
              <w:rPr>
                <w:rFonts w:hint="eastAsia" w:ascii="宋体" w:hAnsi="Times New Roman" w:eastAsia="宋体" w:cs="Courier New"/>
                <w:b w:val="0"/>
                <w:bCs w:val="0"/>
                <w:color w:val="auto"/>
                <w:sz w:val="21"/>
                <w:szCs w:val="21"/>
                <w:highlight w:val="none"/>
                <w:lang w:eastAsia="zh-CN"/>
              </w:rPr>
            </w:pPr>
            <w:r>
              <w:rPr>
                <w:rFonts w:hint="eastAsia" w:cs="Courier New"/>
                <w:b w:val="0"/>
                <w:bCs w:val="0"/>
                <w:color w:val="auto"/>
                <w:sz w:val="21"/>
                <w:szCs w:val="21"/>
                <w:highlight w:val="none"/>
                <w:lang w:val="en-US" w:eastAsia="zh-CN"/>
              </w:rPr>
              <w:t>高层住宅、商铺代理销售</w:t>
            </w:r>
            <w:r>
              <w:rPr>
                <w:rFonts w:hint="eastAsia" w:hAnsi="Times New Roman" w:cs="Courier New"/>
                <w:b w:val="0"/>
                <w:bCs w:val="0"/>
                <w:color w:val="auto"/>
                <w:sz w:val="21"/>
                <w:szCs w:val="21"/>
                <w:highlight w:val="none"/>
                <w:lang w:val="en-US" w:eastAsia="zh-CN"/>
              </w:rPr>
              <w:t>服务</w:t>
            </w:r>
            <w:r>
              <w:rPr>
                <w:rFonts w:hint="eastAsia" w:ascii="宋体" w:hAnsi="Times New Roman" w:eastAsia="宋体" w:cs="Courier New"/>
                <w:b w:val="0"/>
                <w:bCs w:val="0"/>
                <w:color w:val="auto"/>
                <w:sz w:val="21"/>
                <w:szCs w:val="21"/>
                <w:highlight w:val="none"/>
                <w:lang w:eastAsia="zh-CN"/>
              </w:rPr>
              <w:t>费</w:t>
            </w:r>
          </w:p>
        </w:tc>
        <w:tc>
          <w:tcPr>
            <w:tcW w:w="716" w:type="pct"/>
            <w:noWrap w:val="0"/>
            <w:vAlign w:val="center"/>
          </w:tcPr>
          <w:p w14:paraId="21C8D9E5">
            <w:pPr>
              <w:keepNext w:val="0"/>
              <w:keepLines w:val="0"/>
              <w:widowControl/>
              <w:suppressLineNumbers w:val="0"/>
              <w:snapToGrid w:val="0"/>
              <w:spacing w:before="0" w:beforeAutospacing="0" w:after="0" w:afterAutospacing="0" w:line="320" w:lineRule="exact"/>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433" w:type="pct"/>
            <w:noWrap w:val="0"/>
            <w:vAlign w:val="center"/>
          </w:tcPr>
          <w:p w14:paraId="3B470768">
            <w:pPr>
              <w:keepNext w:val="0"/>
              <w:keepLines w:val="0"/>
              <w:widowControl/>
              <w:suppressLineNumbers w:val="0"/>
              <w:snapToGrid w:val="0"/>
              <w:spacing w:before="0" w:beforeAutospacing="0" w:after="0" w:afterAutospacing="0" w:line="320" w:lineRule="exact"/>
              <w:ind w:left="0" w:leftChars="0" w:right="0" w:rightChars="0"/>
              <w:jc w:val="center"/>
              <w:rPr>
                <w:rFonts w:hint="eastAsia" w:ascii="宋体" w:cs="Courier New"/>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亿元</w:t>
            </w:r>
          </w:p>
        </w:tc>
        <w:tc>
          <w:tcPr>
            <w:tcW w:w="873" w:type="pct"/>
            <w:noWrap w:val="0"/>
            <w:vAlign w:val="center"/>
          </w:tcPr>
          <w:p w14:paraId="471F297F">
            <w:pPr>
              <w:pStyle w:val="5"/>
              <w:keepNext w:val="0"/>
              <w:keepLines w:val="0"/>
              <w:suppressLineNumbers w:val="0"/>
              <w:spacing w:before="0" w:beforeAutospacing="0" w:after="0" w:afterAutospacing="0"/>
              <w:ind w:left="0" w:right="0" w:firstLine="0" w:firstLineChars="0"/>
              <w:jc w:val="center"/>
              <w:rPr>
                <w:rFonts w:hint="eastAsia" w:ascii="宋体" w:cs="Courier New"/>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该部分销售额的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tc>
        <w:tc>
          <w:tcPr>
            <w:tcW w:w="826" w:type="pct"/>
            <w:noWrap w:val="0"/>
            <w:vAlign w:val="center"/>
          </w:tcPr>
          <w:p w14:paraId="2871ADCE">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1"/>
                <w:szCs w:val="21"/>
                <w:highlight w:val="none"/>
                <w:lang w:val="en-US" w:eastAsia="zh-CN"/>
              </w:rPr>
            </w:pPr>
          </w:p>
        </w:tc>
        <w:tc>
          <w:tcPr>
            <w:tcW w:w="785" w:type="pct"/>
            <w:noWrap w:val="0"/>
            <w:vAlign w:val="center"/>
          </w:tcPr>
          <w:p w14:paraId="2F194CB3">
            <w:pPr>
              <w:keepNext w:val="0"/>
              <w:keepLines w:val="0"/>
              <w:widowControl/>
              <w:suppressLineNumbers w:val="0"/>
              <w:snapToGrid w:val="0"/>
              <w:spacing w:before="0" w:beforeAutospacing="0" w:after="0" w:afterAutospacing="0" w:line="320" w:lineRule="exact"/>
              <w:ind w:left="0" w:leftChars="0" w:right="0" w:rightChars="0"/>
              <w:jc w:val="center"/>
              <w:rPr>
                <w:rFonts w:hint="default" w:cs="Courier New"/>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包含附属用房</w:t>
            </w:r>
          </w:p>
        </w:tc>
      </w:tr>
      <w:tr w14:paraId="753A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81" w:type="pct"/>
            <w:noWrap w:val="0"/>
            <w:vAlign w:val="center"/>
          </w:tcPr>
          <w:p w14:paraId="71F410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983" w:type="pct"/>
            <w:noWrap w:val="0"/>
            <w:vAlign w:val="center"/>
          </w:tcPr>
          <w:p w14:paraId="4F050974">
            <w:pPr>
              <w:pStyle w:val="5"/>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default" w:cs="Courier New"/>
                <w:b w:val="0"/>
                <w:bCs w:val="0"/>
                <w:color w:val="auto"/>
                <w:sz w:val="21"/>
                <w:szCs w:val="21"/>
                <w:highlight w:val="none"/>
                <w:lang w:val="en-US" w:eastAsia="zh-CN"/>
              </w:rPr>
              <w:t>房票房源手续办理服务费</w:t>
            </w:r>
          </w:p>
        </w:tc>
        <w:tc>
          <w:tcPr>
            <w:tcW w:w="716" w:type="pct"/>
            <w:noWrap w:val="0"/>
            <w:vAlign w:val="center"/>
          </w:tcPr>
          <w:p w14:paraId="1A9235A4">
            <w:pPr>
              <w:keepNext w:val="0"/>
              <w:keepLines w:val="0"/>
              <w:widowControl/>
              <w:suppressLineNumbers w:val="0"/>
              <w:snapToGrid w:val="0"/>
              <w:spacing w:before="0" w:beforeAutospacing="0" w:after="0" w:afterAutospacing="0" w:line="320" w:lineRule="exact"/>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100 </w:t>
            </w:r>
          </w:p>
        </w:tc>
        <w:tc>
          <w:tcPr>
            <w:tcW w:w="433" w:type="pct"/>
            <w:noWrap w:val="0"/>
            <w:vAlign w:val="center"/>
          </w:tcPr>
          <w:p w14:paraId="21F448AC">
            <w:pPr>
              <w:keepNext w:val="0"/>
              <w:keepLines w:val="0"/>
              <w:widowControl/>
              <w:suppressLineNumbers w:val="0"/>
              <w:snapToGrid w:val="0"/>
              <w:spacing w:before="0" w:beforeAutospacing="0" w:after="0" w:afterAutospacing="0" w:line="320" w:lineRule="exact"/>
              <w:ind w:left="0" w:leftChars="0" w:right="0" w:rightChars="0"/>
              <w:jc w:val="center"/>
              <w:rPr>
                <w:rFonts w:hint="default" w:ascii="宋体" w:hAnsi="Times New Roman" w:eastAsia="宋体" w:cs="Courier New"/>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873" w:type="pct"/>
            <w:noWrap w:val="0"/>
            <w:vAlign w:val="center"/>
          </w:tcPr>
          <w:p w14:paraId="53647C4E">
            <w:pPr>
              <w:pStyle w:val="5"/>
              <w:keepNext w:val="0"/>
              <w:keepLines w:val="0"/>
              <w:suppressLineNumbers w:val="0"/>
              <w:spacing w:before="0" w:beforeAutospacing="0" w:after="0" w:afterAutospacing="0"/>
              <w:ind w:left="0" w:right="0" w:firstLine="0" w:firstLineChars="0"/>
              <w:jc w:val="center"/>
              <w:rPr>
                <w:rFonts w:hint="default" w:ascii="宋体" w:hAnsi="Times New Roman" w:eastAsia="宋体" w:cs="Courier New"/>
                <w:b w:val="0"/>
                <w:bCs w:val="0"/>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元/套</w:t>
            </w:r>
          </w:p>
        </w:tc>
        <w:tc>
          <w:tcPr>
            <w:tcW w:w="826" w:type="pct"/>
            <w:noWrap w:val="0"/>
            <w:vAlign w:val="center"/>
          </w:tcPr>
          <w:p w14:paraId="1D7BC1D5">
            <w:pPr>
              <w:pStyle w:val="5"/>
              <w:keepNext w:val="0"/>
              <w:keepLines w:val="0"/>
              <w:suppressLineNumbers w:val="0"/>
              <w:spacing w:before="0" w:beforeAutospacing="0" w:after="0" w:afterAutospacing="0"/>
              <w:ind w:left="0" w:right="0" w:firstLine="0" w:firstLineChars="0"/>
              <w:jc w:val="center"/>
              <w:rPr>
                <w:rFonts w:hint="default" w:ascii="宋体" w:hAnsi="宋体" w:cs="宋体"/>
                <w:color w:val="auto"/>
                <w:sz w:val="21"/>
                <w:szCs w:val="21"/>
                <w:highlight w:val="none"/>
                <w:lang w:val="en-US" w:eastAsia="zh-CN"/>
              </w:rPr>
            </w:pPr>
          </w:p>
        </w:tc>
        <w:tc>
          <w:tcPr>
            <w:tcW w:w="785" w:type="pct"/>
            <w:noWrap w:val="0"/>
            <w:vAlign w:val="center"/>
          </w:tcPr>
          <w:p w14:paraId="0FDDFFFC">
            <w:pPr>
              <w:pStyle w:val="5"/>
              <w:keepNext w:val="0"/>
              <w:keepLines w:val="0"/>
              <w:suppressLineNumbers w:val="0"/>
              <w:spacing w:before="0" w:beforeAutospacing="0" w:after="0" w:afterAutospacing="0"/>
              <w:ind w:left="0" w:right="0" w:firstLine="0" w:firstLineChars="0"/>
              <w:jc w:val="center"/>
              <w:rPr>
                <w:rFonts w:hint="eastAsia" w:cs="Courier New"/>
                <w:b w:val="0"/>
                <w:bCs w:val="0"/>
                <w:color w:val="auto"/>
                <w:sz w:val="21"/>
                <w:szCs w:val="21"/>
                <w:highlight w:val="none"/>
                <w:lang w:val="en-US" w:eastAsia="zh-CN"/>
              </w:rPr>
            </w:pPr>
          </w:p>
        </w:tc>
      </w:tr>
      <w:tr w14:paraId="0FB1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81" w:type="pct"/>
            <w:noWrap w:val="0"/>
            <w:vAlign w:val="center"/>
          </w:tcPr>
          <w:p w14:paraId="0FAA4FC3">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983" w:type="pct"/>
            <w:noWrap w:val="0"/>
            <w:vAlign w:val="center"/>
          </w:tcPr>
          <w:p w14:paraId="18EB072F">
            <w:pPr>
              <w:pStyle w:val="5"/>
              <w:keepNext w:val="0"/>
              <w:keepLines w:val="0"/>
              <w:suppressLineNumbers w:val="0"/>
              <w:spacing w:before="0" w:beforeAutospacing="0" w:after="0" w:afterAutospacing="0"/>
              <w:ind w:left="0" w:right="0" w:firstLine="0" w:firstLineChars="0"/>
              <w:jc w:val="center"/>
              <w:rPr>
                <w:rFonts w:hint="default" w:ascii="Times New Roman" w:hAnsi="Times New Roman" w:cs="Courier New"/>
                <w:b w:val="0"/>
                <w:bCs w:val="0"/>
                <w:color w:val="auto"/>
                <w:sz w:val="21"/>
                <w:szCs w:val="21"/>
                <w:highlight w:val="none"/>
                <w:lang w:val="en-US" w:eastAsia="zh-CN"/>
              </w:rPr>
            </w:pPr>
            <w:r>
              <w:rPr>
                <w:rFonts w:hint="eastAsia" w:ascii="Times New Roman" w:hAnsi="Times New Roman" w:cs="Courier New"/>
                <w:b w:val="0"/>
                <w:bCs w:val="0"/>
                <w:color w:val="auto"/>
                <w:sz w:val="21"/>
                <w:szCs w:val="21"/>
                <w:highlight w:val="none"/>
                <w:lang w:val="en-US" w:eastAsia="zh-CN"/>
              </w:rPr>
              <w:t>合</w:t>
            </w:r>
            <w:r>
              <w:rPr>
                <w:rFonts w:hint="eastAsia" w:ascii="Times New Roman" w:hAnsi="Times New Roman" w:eastAsia="宋体" w:cs="Courier New"/>
                <w:b w:val="0"/>
                <w:bCs w:val="0"/>
                <w:color w:val="auto"/>
                <w:sz w:val="21"/>
                <w:szCs w:val="21"/>
                <w:highlight w:val="none"/>
                <w:lang w:val="en-US" w:eastAsia="zh-CN"/>
              </w:rPr>
              <w:t>计（1+2+3）</w:t>
            </w:r>
          </w:p>
        </w:tc>
        <w:tc>
          <w:tcPr>
            <w:tcW w:w="3635" w:type="pct"/>
            <w:gridSpan w:val="5"/>
            <w:noWrap w:val="0"/>
            <w:vAlign w:val="center"/>
          </w:tcPr>
          <w:p w14:paraId="034F73BE">
            <w:pPr>
              <w:pStyle w:val="5"/>
              <w:keepNext w:val="0"/>
              <w:keepLines w:val="0"/>
              <w:suppressLineNumbers w:val="0"/>
              <w:spacing w:before="0" w:beforeAutospacing="0" w:after="0" w:afterAutospacing="0"/>
              <w:ind w:left="0" w:right="0" w:firstLine="0" w:firstLineChars="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大写：                小写：</w:t>
            </w:r>
          </w:p>
        </w:tc>
      </w:tr>
    </w:tbl>
    <w:p w14:paraId="0C5721EC">
      <w:pPr>
        <w:rPr>
          <w:rFonts w:ascii="宋体" w:hAnsi="宋体" w:cs="宋体"/>
          <w:color w:val="auto"/>
          <w:spacing w:val="20"/>
          <w:szCs w:val="21"/>
          <w:highlight w:val="none"/>
        </w:rPr>
      </w:pPr>
    </w:p>
    <w:p w14:paraId="0D740601">
      <w:pPr>
        <w:spacing w:line="360" w:lineRule="auto"/>
        <w:rPr>
          <w:rFonts w:ascii="宋体" w:hAnsi="宋体"/>
          <w:b/>
          <w:color w:val="auto"/>
          <w:szCs w:val="21"/>
          <w:highlight w:val="none"/>
        </w:rPr>
      </w:pPr>
      <w:r>
        <w:rPr>
          <w:rFonts w:ascii="宋体" w:hAnsi="宋体"/>
          <w:color w:val="auto"/>
          <w:spacing w:val="20"/>
          <w:szCs w:val="21"/>
          <w:highlight w:val="none"/>
        </w:rPr>
        <w:t>注：</w:t>
      </w:r>
      <w:r>
        <w:rPr>
          <w:rFonts w:ascii="宋体" w:hAnsi="宋体"/>
          <w:b/>
          <w:color w:val="auto"/>
          <w:szCs w:val="21"/>
          <w:highlight w:val="none"/>
        </w:rPr>
        <w:t>▲</w:t>
      </w:r>
      <w:r>
        <w:rPr>
          <w:rFonts w:hint="eastAsia" w:ascii="宋体" w:hAnsi="宋体"/>
          <w:b/>
          <w:color w:val="auto"/>
          <w:szCs w:val="21"/>
          <w:highlight w:val="none"/>
          <w:lang w:val="en-US" w:eastAsia="zh-CN"/>
        </w:rPr>
        <w:t>1</w:t>
      </w:r>
      <w:r>
        <w:rPr>
          <w:rFonts w:ascii="宋体" w:hAnsi="宋体"/>
          <w:b/>
          <w:color w:val="auto"/>
          <w:szCs w:val="21"/>
          <w:highlight w:val="none"/>
        </w:rPr>
        <w:t>、投标报价超过最高限价或最高单价限价</w:t>
      </w:r>
      <w:r>
        <w:rPr>
          <w:rFonts w:hint="eastAsia" w:ascii="宋体" w:hAnsi="宋体"/>
          <w:b/>
          <w:color w:val="auto"/>
          <w:szCs w:val="21"/>
          <w:highlight w:val="none"/>
        </w:rPr>
        <w:t>（若有）</w:t>
      </w:r>
      <w:r>
        <w:rPr>
          <w:rFonts w:ascii="宋体" w:hAnsi="宋体"/>
          <w:b/>
          <w:color w:val="auto"/>
          <w:szCs w:val="21"/>
          <w:highlight w:val="none"/>
        </w:rPr>
        <w:t>的作无效标处理。</w:t>
      </w:r>
    </w:p>
    <w:p w14:paraId="5437DEEC">
      <w:pPr>
        <w:spacing w:line="360" w:lineRule="auto"/>
        <w:rPr>
          <w:rFonts w:ascii="宋体" w:hAnsi="宋体"/>
          <w:bCs/>
          <w:color w:val="auto"/>
          <w:szCs w:val="21"/>
          <w:highlight w:val="none"/>
        </w:rPr>
      </w:pPr>
      <w:r>
        <w:rPr>
          <w:rFonts w:hint="eastAsia" w:ascii="宋体" w:hAnsi="宋体"/>
          <w:bCs/>
          <w:color w:val="auto"/>
          <w:szCs w:val="21"/>
          <w:highlight w:val="none"/>
          <w:lang w:val="en-US" w:eastAsia="zh-CN"/>
        </w:rPr>
        <w:t>2</w:t>
      </w:r>
      <w:r>
        <w:rPr>
          <w:rFonts w:ascii="宋体" w:hAnsi="宋体"/>
          <w:bCs/>
          <w:color w:val="auto"/>
          <w:szCs w:val="21"/>
          <w:highlight w:val="none"/>
        </w:rPr>
        <w:t>、不接受有选择性的报价。</w:t>
      </w:r>
    </w:p>
    <w:p w14:paraId="3EFF3265">
      <w:pPr>
        <w:spacing w:line="360" w:lineRule="auto"/>
        <w:rPr>
          <w:rFonts w:ascii="宋体" w:hAnsi="宋体"/>
          <w:bCs/>
          <w:color w:val="auto"/>
          <w:szCs w:val="21"/>
          <w:highlight w:val="none"/>
        </w:rPr>
      </w:pPr>
      <w:r>
        <w:rPr>
          <w:rFonts w:ascii="宋体" w:hAnsi="宋体"/>
          <w:b/>
          <w:color w:val="auto"/>
          <w:szCs w:val="21"/>
          <w:highlight w:val="none"/>
        </w:rPr>
        <w:t>▲</w:t>
      </w:r>
      <w:r>
        <w:rPr>
          <w:rFonts w:hint="eastAsia" w:ascii="宋体" w:hAnsi="宋体"/>
          <w:bCs/>
          <w:color w:val="auto"/>
          <w:szCs w:val="21"/>
          <w:highlight w:val="none"/>
          <w:lang w:val="en-US" w:eastAsia="zh-CN"/>
        </w:rPr>
        <w:t>3</w:t>
      </w:r>
      <w:r>
        <w:rPr>
          <w:rFonts w:ascii="宋体" w:hAnsi="宋体"/>
          <w:bCs/>
          <w:color w:val="auto"/>
          <w:szCs w:val="21"/>
          <w:highlight w:val="none"/>
        </w:rPr>
        <w:t>、不提供该报价表的报价文件视为未实质性响应招标文件。</w:t>
      </w:r>
    </w:p>
    <w:p w14:paraId="6D1A2D27">
      <w:pPr>
        <w:numPr>
          <w:ilvl w:val="0"/>
          <w:numId w:val="0"/>
        </w:numPr>
        <w:spacing w:line="360" w:lineRule="auto"/>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lang w:val="en-US" w:eastAsia="zh-CN"/>
        </w:rPr>
        <w:t>4</w:t>
      </w:r>
      <w:r>
        <w:rPr>
          <w:rFonts w:ascii="宋体" w:hAnsi="宋体" w:eastAsia="宋体" w:cs="Times New Roman"/>
          <w:bCs/>
          <w:color w:val="auto"/>
          <w:szCs w:val="21"/>
          <w:highlight w:val="none"/>
          <w:lang w:val="en-US" w:eastAsia="zh-CN"/>
        </w:rPr>
        <w:t>、</w:t>
      </w:r>
      <w:r>
        <w:rPr>
          <w:rFonts w:ascii="宋体" w:hAnsi="宋体" w:eastAsia="宋体" w:cs="Times New Roman"/>
          <w:bCs/>
          <w:color w:val="auto"/>
          <w:szCs w:val="21"/>
          <w:highlight w:val="none"/>
        </w:rPr>
        <w:t>投标人在报价时必须考虑足够的风险，一旦中标，除合同另有约定外，以上报价不得调整。</w:t>
      </w:r>
    </w:p>
    <w:p w14:paraId="1CFDC460">
      <w:pPr>
        <w:numPr>
          <w:ilvl w:val="0"/>
          <w:numId w:val="0"/>
        </w:numPr>
        <w:spacing w:line="360" w:lineRule="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5、投标报价保留到元，费率报价保留两位小数即</w:t>
      </w:r>
      <w:r>
        <w:rPr>
          <w:rFonts w:hint="default" w:ascii="宋体" w:hAnsi="宋体" w:eastAsia="宋体" w:cs="Times New Roman"/>
          <w:bCs/>
          <w:color w:val="auto"/>
          <w:szCs w:val="21"/>
          <w:highlight w:val="none"/>
          <w:lang w:val="en-US" w:eastAsia="zh-CN"/>
        </w:rPr>
        <w:t>0.00%</w:t>
      </w:r>
      <w:r>
        <w:rPr>
          <w:rFonts w:hint="eastAsia" w:ascii="宋体" w:hAnsi="宋体" w:eastAsia="宋体" w:cs="Times New Roman"/>
          <w:bCs/>
          <w:color w:val="auto"/>
          <w:szCs w:val="21"/>
          <w:highlight w:val="none"/>
          <w:lang w:val="en-US" w:eastAsia="zh-CN"/>
        </w:rPr>
        <w:t>。</w:t>
      </w:r>
    </w:p>
    <w:p w14:paraId="69BC5C31">
      <w:pPr>
        <w:numPr>
          <w:ilvl w:val="0"/>
          <w:numId w:val="0"/>
        </w:numPr>
        <w:spacing w:line="360" w:lineRule="auto"/>
        <w:rPr>
          <w:rFonts w:hint="default"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6、附属用房包括储藏室、工具间、摩托车库、车位等产品。</w:t>
      </w:r>
    </w:p>
    <w:p w14:paraId="79BC2FE6">
      <w:pPr>
        <w:pStyle w:val="21"/>
        <w:rPr>
          <w:color w:val="auto"/>
          <w:highlight w:val="none"/>
          <w:lang w:val="en-US" w:eastAsia="zh-CN"/>
        </w:rPr>
      </w:pPr>
    </w:p>
    <w:p w14:paraId="4964F9D9">
      <w:pPr>
        <w:spacing w:line="360" w:lineRule="auto"/>
        <w:rPr>
          <w:rFonts w:ascii="宋体" w:hAnsi="宋体"/>
          <w:bCs/>
          <w:color w:val="auto"/>
          <w:szCs w:val="21"/>
          <w:highlight w:val="none"/>
        </w:rPr>
      </w:pPr>
    </w:p>
    <w:p w14:paraId="688540BF">
      <w:pPr>
        <w:pStyle w:val="5"/>
        <w:rPr>
          <w:rFonts w:hint="eastAsia" w:ascii="宋体" w:hAnsi="宋体" w:cs="宋体"/>
          <w:color w:val="auto"/>
          <w:szCs w:val="21"/>
          <w:highlight w:val="none"/>
        </w:rPr>
      </w:pPr>
    </w:p>
    <w:p w14:paraId="23BD8194">
      <w:pPr>
        <w:spacing w:line="360" w:lineRule="auto"/>
        <w:ind w:firstLine="2730" w:firstLineChars="1300"/>
        <w:rPr>
          <w:rFonts w:hint="eastAsia" w:ascii="宋体" w:hAnsi="宋体" w:cs="宋体"/>
          <w:color w:val="auto"/>
          <w:szCs w:val="21"/>
          <w:highlight w:val="none"/>
        </w:rPr>
      </w:pPr>
    </w:p>
    <w:p w14:paraId="186CDC93">
      <w:pPr>
        <w:spacing w:line="360" w:lineRule="auto"/>
        <w:ind w:firstLine="2730" w:firstLineChars="130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542C4D21">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5C74A649">
      <w:pPr>
        <w:spacing w:line="360" w:lineRule="auto"/>
        <w:ind w:firstLine="2730" w:firstLineChars="1300"/>
        <w:rPr>
          <w:rFonts w:ascii="宋体" w:hAnsi="宋体" w:cs="宋体"/>
          <w:b/>
          <w:color w:val="auto"/>
          <w:sz w:val="30"/>
          <w:highlight w:val="none"/>
        </w:rPr>
      </w:pPr>
      <w:r>
        <w:rPr>
          <w:rFonts w:hint="eastAsia" w:ascii="宋体" w:hAnsi="宋体" w:cs="宋体"/>
          <w:color w:val="auto"/>
          <w:szCs w:val="21"/>
          <w:highlight w:val="none"/>
        </w:rPr>
        <w:t xml:space="preserve"> </w:t>
      </w:r>
      <w:r>
        <w:rPr>
          <w:rFonts w:hint="eastAsia" w:ascii="宋体" w:hAnsi="宋体" w:cs="宋体"/>
          <w:b/>
          <w:color w:val="auto"/>
          <w:sz w:val="30"/>
          <w:highlight w:val="none"/>
          <w:lang w:val="en-US" w:eastAsia="zh-CN"/>
        </w:rPr>
        <w:t>2</w:t>
      </w:r>
      <w:r>
        <w:rPr>
          <w:rFonts w:hint="eastAsia" w:ascii="宋体" w:hAnsi="宋体" w:cs="宋体"/>
          <w:b/>
          <w:color w:val="auto"/>
          <w:sz w:val="30"/>
          <w:highlight w:val="none"/>
        </w:rPr>
        <w:t>、代理服务费支付承诺书</w:t>
      </w:r>
    </w:p>
    <w:p w14:paraId="3CD9819B">
      <w:pPr>
        <w:spacing w:line="360" w:lineRule="auto"/>
        <w:rPr>
          <w:rFonts w:ascii="宋体" w:hAnsi="宋体" w:cs="宋体"/>
          <w:b/>
          <w:color w:val="auto"/>
          <w:sz w:val="30"/>
          <w:highlight w:val="none"/>
        </w:rPr>
      </w:pPr>
    </w:p>
    <w:p w14:paraId="25F887FE">
      <w:pPr>
        <w:spacing w:line="480" w:lineRule="auto"/>
        <w:jc w:val="left"/>
        <w:rPr>
          <w:rFonts w:ascii="宋体" w:hAnsi="宋体" w:cs="宋体"/>
          <w:color w:val="auto"/>
          <w:szCs w:val="21"/>
          <w:highlight w:val="none"/>
        </w:rPr>
      </w:pPr>
      <w:r>
        <w:rPr>
          <w:rFonts w:hint="eastAsia" w:ascii="宋体" w:hAnsi="宋体" w:cs="宋体"/>
          <w:color w:val="auto"/>
          <w:szCs w:val="21"/>
          <w:highlight w:val="none"/>
        </w:rPr>
        <w:t>浙江大兴建设项目管理咨询有限公司：</w:t>
      </w:r>
    </w:p>
    <w:p w14:paraId="6336FAA5">
      <w:pPr>
        <w:spacing w:line="48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如确定我公司为</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项目中标人，我公司承诺在成交公告发布之日起5个工作日之内向贵公司按采购文件约定一次性支付代理服务费。逾期未支付的，贵公司有权就此事项向我公司提出赔偿，我公司愿意承担由此产生的全部赔偿责任，包括但不限于律师费、诉讼费、交通费、误工费等费用。如我公司放弃中标（成交）资格导致重新采购的，我公司愿意承担支付代理费和专家评审费等费用在内的赔偿责任。</w:t>
      </w:r>
    </w:p>
    <w:p w14:paraId="5E9DA81C">
      <w:pPr>
        <w:spacing w:line="360" w:lineRule="auto"/>
        <w:jc w:val="left"/>
        <w:rPr>
          <w:rFonts w:ascii="宋体" w:hAnsi="宋体" w:cs="宋体"/>
          <w:b/>
          <w:color w:val="auto"/>
          <w:sz w:val="28"/>
          <w:szCs w:val="28"/>
          <w:highlight w:val="none"/>
        </w:rPr>
      </w:pPr>
    </w:p>
    <w:p w14:paraId="5944A8D4">
      <w:pPr>
        <w:spacing w:line="360" w:lineRule="auto"/>
        <w:jc w:val="left"/>
        <w:rPr>
          <w:rFonts w:ascii="宋体" w:hAnsi="宋体" w:cs="宋体"/>
          <w:b/>
          <w:color w:val="auto"/>
          <w:sz w:val="28"/>
          <w:szCs w:val="28"/>
          <w:highlight w:val="none"/>
        </w:rPr>
      </w:pPr>
    </w:p>
    <w:p w14:paraId="48C80660">
      <w:pPr>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注：</w:t>
      </w:r>
    </w:p>
    <w:p w14:paraId="6E29EB63">
      <w:pPr>
        <w:spacing w:line="480" w:lineRule="auto"/>
        <w:jc w:val="left"/>
        <w:rPr>
          <w:rFonts w:ascii="宋体" w:hAnsi="宋体" w:cs="宋体"/>
          <w:color w:val="auto"/>
          <w:szCs w:val="21"/>
          <w:highlight w:val="none"/>
        </w:rPr>
      </w:pPr>
      <w:r>
        <w:rPr>
          <w:rFonts w:hint="eastAsia" w:ascii="宋体" w:hAnsi="宋体" w:cs="宋体"/>
          <w:color w:val="auto"/>
          <w:szCs w:val="21"/>
          <w:highlight w:val="none"/>
        </w:rPr>
        <w:t>代理服务费账户信息：</w:t>
      </w:r>
    </w:p>
    <w:p w14:paraId="71A29F5F">
      <w:pPr>
        <w:spacing w:line="480" w:lineRule="auto"/>
        <w:jc w:val="left"/>
        <w:rPr>
          <w:rFonts w:ascii="宋体" w:hAnsi="宋体" w:cs="宋体"/>
          <w:color w:val="auto"/>
          <w:szCs w:val="21"/>
          <w:highlight w:val="none"/>
        </w:rPr>
      </w:pPr>
      <w:r>
        <w:rPr>
          <w:rFonts w:hint="eastAsia" w:ascii="宋体" w:hAnsi="宋体" w:cs="宋体"/>
          <w:color w:val="auto"/>
          <w:szCs w:val="21"/>
          <w:highlight w:val="none"/>
        </w:rPr>
        <w:t>户名：浙江大兴建设项目管理咨询有限公司</w:t>
      </w:r>
    </w:p>
    <w:p w14:paraId="6E30DF53">
      <w:pPr>
        <w:spacing w:line="480" w:lineRule="auto"/>
        <w:jc w:val="left"/>
        <w:rPr>
          <w:rFonts w:ascii="宋体" w:hAnsi="宋体" w:cs="宋体"/>
          <w:color w:val="auto"/>
          <w:szCs w:val="21"/>
          <w:highlight w:val="none"/>
        </w:rPr>
      </w:pPr>
      <w:r>
        <w:rPr>
          <w:rFonts w:hint="eastAsia" w:ascii="宋体" w:hAnsi="宋体" w:cs="宋体"/>
          <w:color w:val="auto"/>
          <w:szCs w:val="21"/>
          <w:highlight w:val="none"/>
        </w:rPr>
        <w:t>账号：33001694400050000430</w:t>
      </w:r>
    </w:p>
    <w:p w14:paraId="2B69A011">
      <w:pPr>
        <w:spacing w:line="480" w:lineRule="auto"/>
        <w:jc w:val="left"/>
        <w:rPr>
          <w:rFonts w:ascii="宋体" w:hAnsi="宋体" w:cs="宋体"/>
          <w:color w:val="auto"/>
          <w:szCs w:val="21"/>
          <w:highlight w:val="none"/>
        </w:rPr>
      </w:pPr>
      <w:r>
        <w:rPr>
          <w:rFonts w:hint="eastAsia" w:ascii="宋体" w:hAnsi="宋体" w:cs="宋体"/>
          <w:color w:val="auto"/>
          <w:szCs w:val="21"/>
          <w:highlight w:val="none"/>
        </w:rPr>
        <w:t xml:space="preserve">开户行：丽水市建行瓯江支行 </w:t>
      </w:r>
    </w:p>
    <w:p w14:paraId="704D4361">
      <w:pPr>
        <w:snapToGrid w:val="0"/>
        <w:spacing w:line="440" w:lineRule="exact"/>
        <w:ind w:left="6598" w:leftChars="342" w:hanging="5880" w:hangingChars="2800"/>
        <w:jc w:val="left"/>
        <w:rPr>
          <w:rFonts w:ascii="宋体" w:hAnsi="宋体" w:cs="宋体"/>
          <w:color w:val="auto"/>
          <w:kern w:val="0"/>
          <w:szCs w:val="22"/>
          <w:highlight w:val="none"/>
        </w:rPr>
      </w:pPr>
      <w:r>
        <w:rPr>
          <w:rFonts w:hint="eastAsia" w:ascii="宋体" w:hAnsi="宋体" w:cs="宋体"/>
          <w:color w:val="auto"/>
          <w:kern w:val="0"/>
          <w:szCs w:val="22"/>
          <w:highlight w:val="none"/>
        </w:rPr>
        <w:t xml:space="preserve">                  </w:t>
      </w:r>
    </w:p>
    <w:p w14:paraId="6B6CE7A2">
      <w:pPr>
        <w:pStyle w:val="22"/>
        <w:rPr>
          <w:rFonts w:ascii="宋体" w:hAnsi="宋体" w:cs="宋体"/>
          <w:color w:val="auto"/>
          <w:kern w:val="0"/>
          <w:szCs w:val="22"/>
          <w:highlight w:val="none"/>
        </w:rPr>
      </w:pPr>
    </w:p>
    <w:p w14:paraId="15DDAB64">
      <w:pPr>
        <w:rPr>
          <w:rFonts w:ascii="宋体" w:hAnsi="宋体" w:cs="宋体"/>
          <w:color w:val="auto"/>
          <w:kern w:val="0"/>
          <w:szCs w:val="22"/>
          <w:highlight w:val="none"/>
        </w:rPr>
      </w:pPr>
    </w:p>
    <w:p w14:paraId="23E9E197">
      <w:pPr>
        <w:pStyle w:val="22"/>
        <w:rPr>
          <w:rFonts w:ascii="宋体" w:hAnsi="宋体" w:cs="宋体"/>
          <w:color w:val="auto"/>
          <w:kern w:val="0"/>
          <w:szCs w:val="22"/>
          <w:highlight w:val="none"/>
        </w:rPr>
      </w:pPr>
    </w:p>
    <w:p w14:paraId="308033CA">
      <w:pPr>
        <w:rPr>
          <w:rFonts w:ascii="宋体" w:hAnsi="宋体" w:cs="宋体"/>
          <w:color w:val="auto"/>
          <w:kern w:val="0"/>
          <w:szCs w:val="22"/>
          <w:highlight w:val="none"/>
        </w:rPr>
      </w:pPr>
    </w:p>
    <w:p w14:paraId="5ECB989F">
      <w:pPr>
        <w:pStyle w:val="22"/>
        <w:rPr>
          <w:rFonts w:ascii="宋体" w:hAnsi="宋体" w:cs="宋体"/>
          <w:color w:val="auto"/>
          <w:kern w:val="0"/>
          <w:szCs w:val="22"/>
          <w:highlight w:val="none"/>
        </w:rPr>
      </w:pPr>
    </w:p>
    <w:p w14:paraId="539F153E">
      <w:pPr>
        <w:rPr>
          <w:rFonts w:ascii="宋体" w:hAnsi="宋体" w:cs="宋体"/>
          <w:color w:val="auto"/>
          <w:kern w:val="0"/>
          <w:szCs w:val="22"/>
          <w:highlight w:val="none"/>
        </w:rPr>
      </w:pPr>
    </w:p>
    <w:p w14:paraId="5965BD39">
      <w:pPr>
        <w:pStyle w:val="22"/>
        <w:rPr>
          <w:rFonts w:ascii="宋体" w:hAnsi="宋体" w:cs="宋体"/>
          <w:color w:val="auto"/>
          <w:kern w:val="0"/>
          <w:szCs w:val="22"/>
          <w:highlight w:val="none"/>
        </w:rPr>
      </w:pPr>
    </w:p>
    <w:p w14:paraId="74E8EE04">
      <w:pPr>
        <w:rPr>
          <w:rFonts w:ascii="宋体" w:hAnsi="宋体" w:cs="宋体"/>
          <w:color w:val="auto"/>
          <w:kern w:val="0"/>
          <w:szCs w:val="22"/>
          <w:highlight w:val="none"/>
        </w:rPr>
      </w:pPr>
    </w:p>
    <w:p w14:paraId="42C0DD2C">
      <w:pPr>
        <w:pStyle w:val="22"/>
        <w:rPr>
          <w:rFonts w:ascii="宋体" w:hAnsi="宋体" w:cs="宋体"/>
          <w:color w:val="auto"/>
          <w:kern w:val="0"/>
          <w:szCs w:val="22"/>
          <w:highlight w:val="none"/>
        </w:rPr>
      </w:pPr>
    </w:p>
    <w:p w14:paraId="15703582">
      <w:pPr>
        <w:rPr>
          <w:rFonts w:ascii="宋体" w:hAnsi="宋体" w:cs="宋体"/>
          <w:color w:val="auto"/>
          <w:kern w:val="0"/>
          <w:szCs w:val="22"/>
          <w:highlight w:val="none"/>
        </w:rPr>
      </w:pPr>
    </w:p>
    <w:p w14:paraId="046D823D">
      <w:pPr>
        <w:pStyle w:val="22"/>
        <w:rPr>
          <w:rFonts w:ascii="宋体" w:hAnsi="宋体" w:cs="宋体"/>
          <w:color w:val="auto"/>
          <w:kern w:val="0"/>
          <w:szCs w:val="22"/>
          <w:highlight w:val="none"/>
        </w:rPr>
      </w:pPr>
    </w:p>
    <w:p w14:paraId="7B5B9C95">
      <w:pPr>
        <w:rPr>
          <w:rFonts w:ascii="宋体" w:hAnsi="宋体" w:cs="宋体"/>
          <w:color w:val="auto"/>
          <w:kern w:val="0"/>
          <w:szCs w:val="22"/>
          <w:highlight w:val="none"/>
        </w:rPr>
      </w:pPr>
    </w:p>
    <w:p w14:paraId="06C67522">
      <w:pPr>
        <w:pStyle w:val="22"/>
        <w:rPr>
          <w:rFonts w:ascii="宋体" w:hAnsi="宋体" w:cs="宋体"/>
          <w:color w:val="auto"/>
          <w:kern w:val="0"/>
          <w:szCs w:val="22"/>
          <w:highlight w:val="none"/>
        </w:rPr>
      </w:pPr>
    </w:p>
    <w:p w14:paraId="4C76F7E8">
      <w:pPr>
        <w:rPr>
          <w:rFonts w:ascii="宋体" w:hAnsi="宋体" w:cs="宋体"/>
          <w:color w:val="auto"/>
          <w:kern w:val="0"/>
          <w:szCs w:val="22"/>
          <w:highlight w:val="none"/>
        </w:rPr>
      </w:pPr>
    </w:p>
    <w:p w14:paraId="7AE26B36">
      <w:pPr>
        <w:pStyle w:val="267"/>
        <w:snapToGrid w:val="0"/>
        <w:jc w:val="both"/>
        <w:rPr>
          <w:rFonts w:hAnsi="宋体" w:cs="宋体"/>
          <w:b/>
          <w:color w:val="auto"/>
          <w:sz w:val="30"/>
          <w:highlight w:val="none"/>
        </w:rPr>
      </w:pPr>
    </w:p>
    <w:p w14:paraId="199AA374">
      <w:pPr>
        <w:rPr>
          <w:rFonts w:hint="eastAsia" w:ascii="宋体" w:hAnsi="宋体" w:eastAsia="宋体" w:cs="宋体"/>
          <w:color w:val="auto"/>
          <w:sz w:val="28"/>
          <w:szCs w:val="16"/>
          <w:highlight w:val="none"/>
        </w:rPr>
      </w:pPr>
      <w:bookmarkStart w:id="196" w:name="_Toc31126"/>
      <w:r>
        <w:rPr>
          <w:rFonts w:hint="eastAsia" w:ascii="宋体" w:hAnsi="宋体" w:eastAsia="宋体" w:cs="宋体"/>
          <w:color w:val="auto"/>
          <w:sz w:val="28"/>
          <w:szCs w:val="16"/>
          <w:highlight w:val="none"/>
        </w:rPr>
        <w:br w:type="page"/>
      </w:r>
    </w:p>
    <w:p w14:paraId="11A57C9C">
      <w:pPr>
        <w:pStyle w:val="3"/>
        <w:spacing w:line="560" w:lineRule="exact"/>
        <w:rPr>
          <w:rFonts w:ascii="宋体" w:hAnsi="宋体" w:eastAsia="宋体" w:cs="宋体"/>
          <w:color w:val="auto"/>
          <w:sz w:val="28"/>
          <w:szCs w:val="16"/>
          <w:highlight w:val="none"/>
        </w:rPr>
      </w:pPr>
      <w:r>
        <w:rPr>
          <w:rFonts w:hint="eastAsia" w:ascii="宋体" w:hAnsi="宋体" w:eastAsia="宋体" w:cs="宋体"/>
          <w:color w:val="auto"/>
          <w:sz w:val="28"/>
          <w:szCs w:val="16"/>
          <w:highlight w:val="none"/>
        </w:rPr>
        <w:t>第六章  评标办法和细则</w:t>
      </w:r>
      <w:bookmarkEnd w:id="176"/>
      <w:r>
        <w:rPr>
          <w:rFonts w:hint="eastAsia" w:ascii="宋体" w:hAnsi="宋体" w:eastAsia="宋体" w:cs="宋体"/>
          <w:color w:val="auto"/>
          <w:sz w:val="28"/>
          <w:szCs w:val="16"/>
          <w:highlight w:val="none"/>
        </w:rPr>
        <w:t>（综合评分法）</w:t>
      </w:r>
      <w:bookmarkEnd w:id="196"/>
    </w:p>
    <w:p w14:paraId="36200EE5">
      <w:pPr>
        <w:pStyle w:val="31"/>
        <w:snapToGrid/>
        <w:spacing w:line="44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根据有关法律法规的规定，并结合本项目的实际，按照公正、公平、科学、择优的原则选择中标人，特制定本办法。</w:t>
      </w:r>
    </w:p>
    <w:p w14:paraId="343BB16C">
      <w:pPr>
        <w:pStyle w:val="4"/>
        <w:spacing w:line="440" w:lineRule="exact"/>
        <w:ind w:firstLine="210" w:firstLineChars="100"/>
        <w:rPr>
          <w:rFonts w:ascii="宋体" w:hAnsi="宋体" w:eastAsia="宋体" w:cs="宋体"/>
          <w:b w:val="0"/>
          <w:bCs w:val="0"/>
          <w:color w:val="auto"/>
          <w:sz w:val="21"/>
          <w:szCs w:val="21"/>
          <w:highlight w:val="none"/>
        </w:rPr>
      </w:pPr>
      <w:bookmarkStart w:id="197" w:name="_Toc55212811"/>
      <w:r>
        <w:rPr>
          <w:rFonts w:hint="eastAsia" w:ascii="宋体" w:hAnsi="宋体" w:eastAsia="宋体" w:cs="宋体"/>
          <w:b w:val="0"/>
          <w:bCs w:val="0"/>
          <w:color w:val="auto"/>
          <w:sz w:val="21"/>
          <w:szCs w:val="21"/>
          <w:highlight w:val="none"/>
        </w:rPr>
        <w:t>一   总则</w:t>
      </w:r>
      <w:bookmarkEnd w:id="197"/>
    </w:p>
    <w:p w14:paraId="290DC1C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 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39639AD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4DE1B45">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1.2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w:t>
      </w:r>
      <w:r>
        <w:rPr>
          <w:rFonts w:hint="eastAsia" w:ascii="宋体" w:hAnsi="宋体" w:cs="宋体"/>
          <w:b/>
          <w:color w:val="auto"/>
          <w:szCs w:val="21"/>
          <w:highlight w:val="none"/>
          <w:lang w:val="en-US" w:eastAsia="zh-CN"/>
        </w:rPr>
        <w:t>1名</w:t>
      </w:r>
      <w:r>
        <w:rPr>
          <w:rFonts w:hint="eastAsia" w:ascii="宋体" w:hAnsi="宋体" w:cs="宋体"/>
          <w:b/>
          <w:color w:val="auto"/>
          <w:szCs w:val="21"/>
          <w:highlight w:val="none"/>
        </w:rPr>
        <w:t>预中标人，由采购人确定本项目中标人。</w:t>
      </w:r>
    </w:p>
    <w:p w14:paraId="690B5F02">
      <w:pPr>
        <w:pStyle w:val="4"/>
        <w:spacing w:line="440" w:lineRule="exact"/>
        <w:ind w:firstLine="210" w:firstLineChars="100"/>
        <w:rPr>
          <w:rFonts w:ascii="宋体" w:hAnsi="宋体" w:eastAsia="宋体" w:cs="宋体"/>
          <w:b w:val="0"/>
          <w:bCs w:val="0"/>
          <w:color w:val="auto"/>
          <w:sz w:val="21"/>
          <w:szCs w:val="21"/>
          <w:highlight w:val="none"/>
        </w:rPr>
      </w:pPr>
      <w:bookmarkStart w:id="198" w:name="_Toc55212812"/>
      <w:r>
        <w:rPr>
          <w:rFonts w:hint="eastAsia" w:ascii="宋体" w:hAnsi="宋体" w:eastAsia="宋体" w:cs="宋体"/>
          <w:b w:val="0"/>
          <w:bCs w:val="0"/>
          <w:color w:val="auto"/>
          <w:sz w:val="21"/>
          <w:szCs w:val="21"/>
          <w:highlight w:val="none"/>
        </w:rPr>
        <w:t>二   评审委员会</w:t>
      </w:r>
      <w:bookmarkEnd w:id="198"/>
    </w:p>
    <w:p w14:paraId="2E978E6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2.1评审委员会</w:t>
      </w:r>
    </w:p>
    <w:p w14:paraId="0BF0A7A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2.1.1成员：由采购人代表和评审专家组成五人及以上单数，其中评审专家不得少于评审委员会总人数的三分之二。</w:t>
      </w:r>
    </w:p>
    <w:p w14:paraId="4FEA5BD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2.1.2职责：严格按法律法规的有关规定执行，评审专家应按招标文件规定的评审要求、评审程序、评审内容、评审方法和评审标准进行评审，对评审意见承担个人责任。</w:t>
      </w:r>
    </w:p>
    <w:p w14:paraId="7DAF7987">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2.2评审专家的评审情况和评审意见受监督人员和招标代理机构审查，如发现评审专家的评审意见带有明显倾向性，或不按规定程序和标准评审、计分的，可要求评审专家进行书面澄清和说明。</w:t>
      </w:r>
    </w:p>
    <w:p w14:paraId="09791E84">
      <w:pPr>
        <w:pStyle w:val="4"/>
        <w:spacing w:line="440" w:lineRule="exact"/>
        <w:ind w:firstLine="210" w:firstLineChars="100"/>
        <w:rPr>
          <w:rFonts w:ascii="宋体" w:hAnsi="宋体" w:eastAsia="宋体" w:cs="宋体"/>
          <w:b w:val="0"/>
          <w:bCs w:val="0"/>
          <w:color w:val="auto"/>
          <w:sz w:val="21"/>
          <w:szCs w:val="21"/>
          <w:highlight w:val="none"/>
        </w:rPr>
      </w:pPr>
      <w:bookmarkStart w:id="199" w:name="_Toc55212813"/>
      <w:r>
        <w:rPr>
          <w:rFonts w:hint="eastAsia" w:ascii="宋体" w:hAnsi="宋体" w:eastAsia="宋体" w:cs="宋体"/>
          <w:b w:val="0"/>
          <w:bCs w:val="0"/>
          <w:color w:val="auto"/>
          <w:sz w:val="21"/>
          <w:szCs w:val="21"/>
          <w:highlight w:val="none"/>
        </w:rPr>
        <w:t>三   评标程序</w:t>
      </w:r>
      <w:bookmarkEnd w:id="199"/>
    </w:p>
    <w:p w14:paraId="53BDEDF2">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3.1 符合性审查</w:t>
      </w:r>
    </w:p>
    <w:p w14:paraId="6DEBE0A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审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2068AB2D">
      <w:pPr>
        <w:adjustRightInd w:val="0"/>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3.1.1资格及响应符合性审查</w:t>
      </w:r>
    </w:p>
    <w:p w14:paraId="4064B65F">
      <w:pPr>
        <w:autoSpaceDE w:val="0"/>
        <w:autoSpaceDN w:val="0"/>
        <w:snapToGrid w:val="0"/>
        <w:spacing w:line="440" w:lineRule="exact"/>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u w:val="single"/>
        </w:rPr>
        <w:t>投标文件如存在以下情况之一的，经评标委员会审核认定，作为符合性审查未通过，判定为无效标，不进入后续评审：</w:t>
      </w:r>
    </w:p>
    <w:p w14:paraId="36FA95C0">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（1）投标文件中未按招标文件要求提供相应资料而无法证明投标人满足招标文件载明的投标人资格要求；</w:t>
      </w:r>
    </w:p>
    <w:p w14:paraId="794700D2">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（2）投标文件标明的商务、技术响应与事实不符或虚假响应的；</w:t>
      </w:r>
    </w:p>
    <w:p w14:paraId="52085FF8">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（3）未按招标文件的要求签署和盖章的；</w:t>
      </w:r>
    </w:p>
    <w:p w14:paraId="016805A7">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（4）未实质性响应招标文件规定的实质性内容的；</w:t>
      </w:r>
    </w:p>
    <w:p w14:paraId="7EC93694">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（5）投标文件提出了不能满足招标文件要求的服务期限要求的；</w:t>
      </w:r>
    </w:p>
    <w:p w14:paraId="538D892A">
      <w:pPr>
        <w:adjustRightInd w:val="0"/>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（6）存在</w:t>
      </w:r>
      <w:r>
        <w:rPr>
          <w:rFonts w:hint="eastAsia" w:ascii="宋体" w:hAnsi="宋体" w:cs="宋体"/>
          <w:color w:val="auto"/>
          <w:szCs w:val="21"/>
          <w:highlight w:val="none"/>
          <w:lang w:eastAsia="zh-CN"/>
        </w:rPr>
        <w:t>法律法规</w:t>
      </w:r>
      <w:r>
        <w:rPr>
          <w:rFonts w:hint="eastAsia" w:ascii="宋体" w:hAnsi="宋体" w:cs="宋体"/>
          <w:color w:val="auto"/>
          <w:szCs w:val="21"/>
          <w:highlight w:val="none"/>
        </w:rPr>
        <w:t>、规章、招标文件规定</w:t>
      </w:r>
      <w:r>
        <w:rPr>
          <w:rFonts w:hint="eastAsia" w:ascii="宋体" w:hAnsi="宋体" w:cs="宋体"/>
          <w:color w:val="auto"/>
          <w:szCs w:val="21"/>
          <w:highlight w:val="none"/>
          <w:lang w:eastAsia="zh-CN"/>
        </w:rPr>
        <w:t>的其他</w:t>
      </w:r>
      <w:r>
        <w:rPr>
          <w:rFonts w:hint="eastAsia" w:ascii="宋体" w:hAnsi="宋体" w:cs="宋体"/>
          <w:color w:val="auto"/>
          <w:szCs w:val="21"/>
          <w:highlight w:val="none"/>
        </w:rPr>
        <w:t>无效情况的</w:t>
      </w:r>
      <w:r>
        <w:rPr>
          <w:rFonts w:hint="eastAsia" w:ascii="宋体" w:hAnsi="宋体" w:cs="宋体"/>
          <w:color w:val="auto"/>
          <w:szCs w:val="21"/>
          <w:highlight w:val="none"/>
          <w:lang w:eastAsia="zh-CN"/>
        </w:rPr>
        <w:t>。</w:t>
      </w:r>
    </w:p>
    <w:p w14:paraId="497D8777">
      <w:pPr>
        <w:adjustRightInd w:val="0"/>
        <w:snapToGrid w:val="0"/>
        <w:spacing w:line="440" w:lineRule="exact"/>
        <w:ind w:firstLine="422" w:firstLineChars="200"/>
        <w:rPr>
          <w:rFonts w:ascii="宋体" w:hAnsi="宋体" w:cs="宋体"/>
          <w:b/>
          <w:color w:val="auto"/>
          <w:szCs w:val="21"/>
          <w:highlight w:val="none"/>
        </w:rPr>
      </w:pPr>
      <w:bookmarkStart w:id="200" w:name="_Toc419708030"/>
      <w:r>
        <w:rPr>
          <w:rFonts w:hint="eastAsia" w:ascii="宋体" w:hAnsi="宋体" w:cs="宋体"/>
          <w:b/>
          <w:color w:val="auto"/>
          <w:szCs w:val="21"/>
          <w:highlight w:val="none"/>
        </w:rPr>
        <w:t>3.1.2.技术</w:t>
      </w:r>
      <w:bookmarkEnd w:id="200"/>
      <w:r>
        <w:rPr>
          <w:rFonts w:hint="eastAsia" w:ascii="宋体" w:hAnsi="宋体" w:cs="宋体"/>
          <w:b/>
          <w:color w:val="auto"/>
          <w:szCs w:val="21"/>
          <w:highlight w:val="none"/>
        </w:rPr>
        <w:t>符合性审查</w:t>
      </w:r>
    </w:p>
    <w:p w14:paraId="5C9BDF5B">
      <w:pPr>
        <w:autoSpaceDE w:val="0"/>
        <w:autoSpaceDN w:val="0"/>
        <w:snapToGrid w:val="0"/>
        <w:spacing w:line="440" w:lineRule="exact"/>
        <w:ind w:firstLine="426" w:firstLineChars="202"/>
        <w:rPr>
          <w:rFonts w:ascii="宋体" w:hAnsi="宋体" w:cs="宋体"/>
          <w:color w:val="auto"/>
          <w:kern w:val="0"/>
          <w:szCs w:val="21"/>
          <w:highlight w:val="none"/>
        </w:rPr>
      </w:pPr>
      <w:r>
        <w:rPr>
          <w:rFonts w:hint="eastAsia" w:ascii="宋体" w:hAnsi="宋体" w:cs="宋体"/>
          <w:b/>
          <w:bCs/>
          <w:color w:val="auto"/>
          <w:kern w:val="0"/>
          <w:szCs w:val="21"/>
          <w:highlight w:val="none"/>
          <w:u w:val="single"/>
        </w:rPr>
        <w:t>投标文件如存在以下情况之一的，经评标委员会审核认定，作为符合性审查未通过，判定为无效标，不进入后续评审：</w:t>
      </w:r>
    </w:p>
    <w:p w14:paraId="3B327596">
      <w:pPr>
        <w:pStyle w:val="373"/>
        <w:tabs>
          <w:tab w:val="left" w:pos="454"/>
        </w:tabs>
        <w:snapToGrid w:val="0"/>
        <w:spacing w:line="360" w:lineRule="auto"/>
        <w:ind w:left="253"/>
        <w:rPr>
          <w:rStyle w:val="102"/>
          <w:rFonts w:hAnsi="宋体" w:cs="宋体"/>
          <w:color w:val="auto"/>
          <w:szCs w:val="21"/>
          <w:highlight w:val="none"/>
        </w:rPr>
      </w:pPr>
      <w:bookmarkStart w:id="201" w:name="_Toc419708029"/>
      <w:r>
        <w:rPr>
          <w:rStyle w:val="102"/>
          <w:rFonts w:hint="eastAsia" w:hAnsi="宋体" w:cs="宋体"/>
          <w:color w:val="auto"/>
          <w:highlight w:val="none"/>
        </w:rPr>
        <w:t>（1）投标文件份数不符合招标文件要求的；</w:t>
      </w:r>
    </w:p>
    <w:p w14:paraId="603F71C7">
      <w:pPr>
        <w:pStyle w:val="373"/>
        <w:tabs>
          <w:tab w:val="left" w:pos="454"/>
        </w:tabs>
        <w:snapToGrid w:val="0"/>
        <w:spacing w:line="360" w:lineRule="auto"/>
        <w:ind w:left="253"/>
        <w:rPr>
          <w:rStyle w:val="102"/>
          <w:rFonts w:hAnsi="宋体" w:cs="宋体"/>
          <w:color w:val="auto"/>
          <w:szCs w:val="21"/>
          <w:highlight w:val="none"/>
        </w:rPr>
      </w:pPr>
      <w:r>
        <w:rPr>
          <w:rStyle w:val="102"/>
          <w:rFonts w:hint="eastAsia" w:hAnsi="宋体" w:cs="宋体"/>
          <w:color w:val="auto"/>
          <w:szCs w:val="21"/>
          <w:highlight w:val="none"/>
        </w:rPr>
        <w:t>（2）投标人不符合招标文件资格条件的；</w:t>
      </w:r>
    </w:p>
    <w:p w14:paraId="6F7FD6DF">
      <w:pPr>
        <w:pStyle w:val="373"/>
        <w:tabs>
          <w:tab w:val="left" w:pos="454"/>
        </w:tabs>
        <w:snapToGrid w:val="0"/>
        <w:spacing w:line="360" w:lineRule="auto"/>
        <w:ind w:left="253"/>
        <w:rPr>
          <w:rStyle w:val="102"/>
          <w:rFonts w:hAnsi="宋体" w:cs="宋体"/>
          <w:color w:val="auto"/>
          <w:szCs w:val="21"/>
          <w:highlight w:val="none"/>
        </w:rPr>
      </w:pPr>
      <w:r>
        <w:rPr>
          <w:rStyle w:val="102"/>
          <w:rFonts w:hint="eastAsia" w:hAnsi="宋体" w:cs="宋体"/>
          <w:color w:val="auto"/>
          <w:highlight w:val="none"/>
        </w:rPr>
        <w:t>（3）投标文件存在一个或一个以上备选（替代）投标方案的；</w:t>
      </w:r>
    </w:p>
    <w:p w14:paraId="1626566E">
      <w:pPr>
        <w:pStyle w:val="373"/>
        <w:tabs>
          <w:tab w:val="left" w:pos="454"/>
        </w:tabs>
        <w:snapToGrid w:val="0"/>
        <w:spacing w:line="360" w:lineRule="auto"/>
        <w:ind w:left="253"/>
        <w:rPr>
          <w:rStyle w:val="102"/>
          <w:rFonts w:hAnsi="宋体" w:cs="宋体"/>
          <w:color w:val="auto"/>
          <w:szCs w:val="21"/>
          <w:highlight w:val="none"/>
        </w:rPr>
      </w:pPr>
      <w:r>
        <w:rPr>
          <w:rStyle w:val="102"/>
          <w:rFonts w:hint="eastAsia" w:hAnsi="宋体" w:cs="宋体"/>
          <w:color w:val="auto"/>
          <w:szCs w:val="21"/>
          <w:highlight w:val="none"/>
        </w:rPr>
        <w:t>（4）获取文件的投标人与参加投标的投标人发生实质性变更的且未提供有效证明的；</w:t>
      </w:r>
    </w:p>
    <w:p w14:paraId="7B1C59EE">
      <w:pPr>
        <w:pStyle w:val="373"/>
        <w:tabs>
          <w:tab w:val="left" w:pos="454"/>
        </w:tabs>
        <w:snapToGrid w:val="0"/>
        <w:spacing w:line="360" w:lineRule="auto"/>
        <w:ind w:left="253"/>
        <w:rPr>
          <w:rStyle w:val="102"/>
          <w:rFonts w:hAnsi="宋体" w:cs="宋体"/>
          <w:color w:val="auto"/>
          <w:szCs w:val="21"/>
          <w:highlight w:val="none"/>
        </w:rPr>
      </w:pPr>
      <w:r>
        <w:rPr>
          <w:rStyle w:val="102"/>
          <w:rFonts w:hint="eastAsia" w:hAnsi="宋体" w:cs="宋体"/>
          <w:color w:val="auto"/>
          <w:highlight w:val="none"/>
        </w:rPr>
        <w:t>（5）投标文件未有效授权，</w:t>
      </w:r>
      <w:r>
        <w:rPr>
          <w:rStyle w:val="102"/>
          <w:rFonts w:hint="eastAsia" w:hAnsi="宋体" w:cs="宋体"/>
          <w:color w:val="auto"/>
          <w:szCs w:val="21"/>
          <w:highlight w:val="none"/>
        </w:rPr>
        <w:t>未提供或提供无效的负责人资格证明书或负责人授权书的；</w:t>
      </w:r>
    </w:p>
    <w:p w14:paraId="693A4086">
      <w:pPr>
        <w:pStyle w:val="373"/>
        <w:tabs>
          <w:tab w:val="left" w:pos="454"/>
        </w:tabs>
        <w:snapToGrid w:val="0"/>
        <w:spacing w:line="360" w:lineRule="auto"/>
        <w:ind w:left="253"/>
        <w:rPr>
          <w:rStyle w:val="102"/>
          <w:rFonts w:hAnsi="宋体" w:cs="宋体"/>
          <w:color w:val="auto"/>
          <w:szCs w:val="21"/>
          <w:highlight w:val="none"/>
        </w:rPr>
      </w:pPr>
      <w:r>
        <w:rPr>
          <w:rStyle w:val="102"/>
          <w:rFonts w:hint="eastAsia" w:hAnsi="宋体" w:cs="宋体"/>
          <w:color w:val="auto"/>
          <w:szCs w:val="21"/>
          <w:highlight w:val="none"/>
        </w:rPr>
        <w:t>（6）投标文件内容未按招标文件规定签字或盖章的；</w:t>
      </w:r>
    </w:p>
    <w:p w14:paraId="395ACC88">
      <w:pPr>
        <w:pStyle w:val="373"/>
        <w:tabs>
          <w:tab w:val="left" w:pos="454"/>
        </w:tabs>
        <w:snapToGrid w:val="0"/>
        <w:spacing w:line="360" w:lineRule="auto"/>
        <w:ind w:left="253"/>
        <w:rPr>
          <w:rStyle w:val="102"/>
          <w:rFonts w:hAnsi="宋体" w:cs="宋体"/>
          <w:color w:val="auto"/>
          <w:szCs w:val="21"/>
          <w:highlight w:val="none"/>
        </w:rPr>
      </w:pPr>
      <w:r>
        <w:rPr>
          <w:rStyle w:val="102"/>
          <w:rFonts w:hint="eastAsia" w:hAnsi="宋体" w:cs="宋体"/>
          <w:color w:val="auto"/>
          <w:szCs w:val="21"/>
          <w:highlight w:val="none"/>
        </w:rPr>
        <w:t>（7）投标文件组成漏项或未按规定的格式编制，内容不全或内容字迹模糊辨认不清的而导致评审活动无法正常进行；</w:t>
      </w:r>
    </w:p>
    <w:p w14:paraId="782ED060">
      <w:pPr>
        <w:pStyle w:val="373"/>
        <w:tabs>
          <w:tab w:val="left" w:pos="454"/>
        </w:tabs>
        <w:snapToGrid w:val="0"/>
        <w:spacing w:line="360" w:lineRule="auto"/>
        <w:ind w:left="253"/>
        <w:rPr>
          <w:rStyle w:val="102"/>
          <w:rFonts w:hAnsi="宋体" w:cs="宋体"/>
          <w:color w:val="auto"/>
          <w:szCs w:val="21"/>
          <w:highlight w:val="none"/>
        </w:rPr>
      </w:pPr>
      <w:r>
        <w:rPr>
          <w:rStyle w:val="102"/>
          <w:rFonts w:hint="eastAsia" w:hAnsi="宋体" w:cs="宋体"/>
          <w:color w:val="auto"/>
          <w:szCs w:val="21"/>
          <w:highlight w:val="none"/>
        </w:rPr>
        <w:t>（8）未实质性响应招标文件中带“▲”条款要求的投标文件；</w:t>
      </w:r>
    </w:p>
    <w:p w14:paraId="796AFC10">
      <w:pPr>
        <w:pStyle w:val="373"/>
        <w:tabs>
          <w:tab w:val="left" w:pos="454"/>
        </w:tabs>
        <w:snapToGrid w:val="0"/>
        <w:spacing w:line="360" w:lineRule="auto"/>
        <w:ind w:left="253"/>
        <w:rPr>
          <w:rStyle w:val="102"/>
          <w:rFonts w:hAnsi="宋体" w:cs="宋体"/>
          <w:color w:val="auto"/>
          <w:szCs w:val="21"/>
          <w:highlight w:val="none"/>
        </w:rPr>
      </w:pPr>
      <w:r>
        <w:rPr>
          <w:rStyle w:val="102"/>
          <w:rFonts w:hint="eastAsia" w:hAnsi="宋体" w:cs="宋体"/>
          <w:color w:val="auto"/>
          <w:szCs w:val="21"/>
          <w:highlight w:val="none"/>
        </w:rPr>
        <w:t>（9）不符合招标范围、服务期限等要求；</w:t>
      </w:r>
    </w:p>
    <w:p w14:paraId="784445E8">
      <w:pPr>
        <w:pStyle w:val="373"/>
        <w:tabs>
          <w:tab w:val="left" w:pos="454"/>
        </w:tabs>
        <w:snapToGrid w:val="0"/>
        <w:spacing w:line="360" w:lineRule="auto"/>
        <w:ind w:left="253"/>
        <w:rPr>
          <w:rStyle w:val="102"/>
          <w:rFonts w:hAnsi="宋体" w:cs="宋体"/>
          <w:color w:val="auto"/>
          <w:szCs w:val="21"/>
          <w:highlight w:val="none"/>
        </w:rPr>
      </w:pPr>
      <w:r>
        <w:rPr>
          <w:rStyle w:val="102"/>
          <w:rFonts w:hint="eastAsia" w:hAnsi="宋体" w:cs="宋体"/>
          <w:color w:val="auto"/>
          <w:szCs w:val="21"/>
          <w:highlight w:val="none"/>
        </w:rPr>
        <w:t>（10）投标文件附有采购人不能接受的条款；</w:t>
      </w:r>
    </w:p>
    <w:p w14:paraId="1183CE4D">
      <w:pPr>
        <w:pStyle w:val="373"/>
        <w:tabs>
          <w:tab w:val="left" w:pos="454"/>
        </w:tabs>
        <w:snapToGrid w:val="0"/>
        <w:spacing w:line="360" w:lineRule="auto"/>
        <w:ind w:left="253"/>
        <w:rPr>
          <w:rStyle w:val="102"/>
          <w:rFonts w:hAnsi="宋体" w:cs="宋体"/>
          <w:color w:val="auto"/>
          <w:szCs w:val="21"/>
          <w:highlight w:val="none"/>
        </w:rPr>
      </w:pPr>
      <w:r>
        <w:rPr>
          <w:rStyle w:val="102"/>
          <w:rFonts w:hint="eastAsia" w:hAnsi="宋体" w:cs="宋体"/>
          <w:color w:val="auto"/>
          <w:szCs w:val="21"/>
          <w:highlight w:val="none"/>
        </w:rPr>
        <w:t>（11）存在串标、抬标或弄虚作假情况的；</w:t>
      </w:r>
    </w:p>
    <w:p w14:paraId="4AC3FE2B">
      <w:pPr>
        <w:pStyle w:val="373"/>
        <w:tabs>
          <w:tab w:val="left" w:pos="454"/>
        </w:tabs>
        <w:snapToGrid w:val="0"/>
        <w:spacing w:line="360" w:lineRule="auto"/>
        <w:ind w:left="253"/>
        <w:rPr>
          <w:rStyle w:val="102"/>
          <w:rFonts w:hAnsi="宋体" w:cs="宋体"/>
          <w:color w:val="auto"/>
          <w:highlight w:val="none"/>
        </w:rPr>
      </w:pPr>
      <w:r>
        <w:rPr>
          <w:rStyle w:val="102"/>
          <w:rFonts w:hint="eastAsia" w:hAnsi="宋体" w:cs="宋体"/>
          <w:color w:val="auto"/>
          <w:szCs w:val="21"/>
          <w:highlight w:val="none"/>
        </w:rPr>
        <w:t>（12）违反国家及</w:t>
      </w:r>
      <w:r>
        <w:rPr>
          <w:rStyle w:val="102"/>
          <w:rFonts w:hint="eastAsia" w:hAnsi="宋体" w:cs="宋体"/>
          <w:color w:val="auto"/>
          <w:highlight w:val="none"/>
        </w:rPr>
        <w:t>政府部门相关法律法规、文件规定或经评标委员会认定的其他属于重大偏离。</w:t>
      </w:r>
    </w:p>
    <w:p w14:paraId="0DB13B47">
      <w:pPr>
        <w:adjustRightInd w:val="0"/>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3.1.3. 报价符合性审查</w:t>
      </w:r>
      <w:bookmarkEnd w:id="201"/>
    </w:p>
    <w:p w14:paraId="266792A6">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（1）报价错误修正</w:t>
      </w:r>
    </w:p>
    <w:p w14:paraId="533C6530">
      <w:pPr>
        <w:adjustRightInd w:val="0"/>
        <w:snapToGrid w:val="0"/>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评标委员会将对报价文件进行校核，报价出现前后不一致的，</w:t>
      </w:r>
      <w:r>
        <w:rPr>
          <w:rFonts w:hint="eastAsia" w:ascii="宋体" w:hAnsi="宋体" w:cs="宋体"/>
          <w:bCs/>
          <w:color w:val="auto"/>
          <w:szCs w:val="21"/>
          <w:highlight w:val="none"/>
        </w:rPr>
        <w:t>按照下列规定修正：</w:t>
      </w:r>
    </w:p>
    <w:p w14:paraId="25395FEC">
      <w:pPr>
        <w:numPr>
          <w:ilvl w:val="0"/>
          <w:numId w:val="9"/>
        </w:numPr>
        <w:adjustRightInd w:val="0"/>
        <w:snapToGri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正本与副本不一致时，以正本为准；</w:t>
      </w:r>
    </w:p>
    <w:p w14:paraId="63BC3774">
      <w:pPr>
        <w:numPr>
          <w:ilvl w:val="0"/>
          <w:numId w:val="9"/>
        </w:numPr>
        <w:adjustRightInd w:val="0"/>
        <w:snapToGri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开标一览表（报价表）内容与投标文件中相应内容不一致的，以开标一览表（报价表）为准；</w:t>
      </w:r>
    </w:p>
    <w:p w14:paraId="76CF6ED6">
      <w:pPr>
        <w:numPr>
          <w:ilvl w:val="0"/>
          <w:numId w:val="9"/>
        </w:numPr>
        <w:adjustRightInd w:val="0"/>
        <w:snapToGri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大写金额和小写金额不一致的，以大写金额为准；</w:t>
      </w:r>
    </w:p>
    <w:p w14:paraId="4E14ACAC">
      <w:pPr>
        <w:numPr>
          <w:ilvl w:val="0"/>
          <w:numId w:val="9"/>
        </w:numPr>
        <w:adjustRightInd w:val="0"/>
        <w:snapToGri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单价金额小数点或者百分比有明显错位的，以开标一览表的总价为准，并修改单价；</w:t>
      </w:r>
    </w:p>
    <w:p w14:paraId="09610C9C">
      <w:pPr>
        <w:numPr>
          <w:ilvl w:val="0"/>
          <w:numId w:val="9"/>
        </w:numPr>
        <w:adjustRightInd w:val="0"/>
        <w:snapToGri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总价金额与按单价汇总金额不一致的，以单价金额计算结果为准。                             </w:t>
      </w:r>
    </w:p>
    <w:p w14:paraId="405FA4A8">
      <w:pPr>
        <w:adjustRightInd w:val="0"/>
        <w:snapToGri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 同时出现两种以上不一致的，按照前款规定的顺序修正。修正后的报价以澄清方式经投标人确认后产生约束力，投标人不确认的，评标委员会应判定其为无效标。</w:t>
      </w:r>
    </w:p>
    <w:p w14:paraId="1DEBCF81">
      <w:pPr>
        <w:adjustRightInd w:val="0"/>
        <w:snapToGri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（2）合理报价澄清说明</w:t>
      </w:r>
    </w:p>
    <w:p w14:paraId="352FC6FD">
      <w:pPr>
        <w:adjustRightInd w:val="0"/>
        <w:snapToGrid w:val="0"/>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评标委员会认为投标人的报价明显低于其他通过符合性审查投标人的报价，有可能影响服务质量或者不能诚信履约的，应当要求投标人在评审现场30分钟内提供书面说明，必要时可要求投标人提交相关证明材料；评标委员会（少数服从多数原则）认为投标人不能证明其报价合理性的，应当将其作为无效标处理。</w:t>
      </w:r>
    </w:p>
    <w:p w14:paraId="446CD98C">
      <w:pPr>
        <w:adjustRightInd w:val="0"/>
        <w:snapToGri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（3）投标文件如存在以下情况之一的，经评标委员会审核认定，作为符合性审查未通过，判定为无效标，不进入后续评审：</w:t>
      </w:r>
    </w:p>
    <w:p w14:paraId="22D536E2">
      <w:pPr>
        <w:adjustRightInd w:val="0"/>
        <w:snapToGrid w:val="0"/>
        <w:spacing w:line="440" w:lineRule="exact"/>
        <w:ind w:firstLine="630" w:firstLineChars="300"/>
        <w:rPr>
          <w:rFonts w:ascii="宋体" w:hAnsi="宋体" w:cs="宋体"/>
          <w:color w:val="auto"/>
          <w:kern w:val="0"/>
          <w:szCs w:val="21"/>
          <w:highlight w:val="none"/>
        </w:rPr>
      </w:pPr>
      <w:r>
        <w:rPr>
          <w:rFonts w:hint="eastAsia" w:ascii="宋体" w:hAnsi="宋体" w:cs="宋体"/>
          <w:bCs/>
          <w:color w:val="auto"/>
          <w:szCs w:val="21"/>
          <w:highlight w:val="none"/>
        </w:rPr>
        <w:t>1）投标人未按招标文件实质性规定要求</w:t>
      </w:r>
      <w:r>
        <w:rPr>
          <w:rFonts w:hint="eastAsia" w:ascii="宋体" w:hAnsi="宋体" w:cs="宋体"/>
          <w:color w:val="auto"/>
          <w:kern w:val="0"/>
          <w:szCs w:val="21"/>
          <w:highlight w:val="none"/>
        </w:rPr>
        <w:t>进行报价或拒绝修正不平衡报价；</w:t>
      </w:r>
    </w:p>
    <w:p w14:paraId="67C512B2">
      <w:pPr>
        <w:autoSpaceDE w:val="0"/>
        <w:autoSpaceDN w:val="0"/>
        <w:snapToGrid w:val="0"/>
        <w:spacing w:line="440" w:lineRule="exact"/>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2）改变采购人提供的需求内容；</w:t>
      </w:r>
    </w:p>
    <w:p w14:paraId="427086EA">
      <w:pPr>
        <w:autoSpaceDE w:val="0"/>
        <w:autoSpaceDN w:val="0"/>
        <w:snapToGrid w:val="0"/>
        <w:spacing w:line="440" w:lineRule="exact"/>
        <w:ind w:firstLine="630" w:firstLineChars="300"/>
        <w:rPr>
          <w:rFonts w:ascii="宋体" w:hAnsi="宋体" w:cs="宋体"/>
          <w:color w:val="auto"/>
          <w:kern w:val="0"/>
          <w:szCs w:val="21"/>
          <w:highlight w:val="none"/>
        </w:rPr>
      </w:pPr>
      <w:r>
        <w:rPr>
          <w:rFonts w:hint="eastAsia" w:ascii="宋体" w:hAnsi="宋体" w:cs="宋体"/>
          <w:color w:val="auto"/>
          <w:szCs w:val="21"/>
          <w:highlight w:val="none"/>
        </w:rPr>
        <w:t>3）评标委员会不调整采购内容及需求的情况下，投标人的报价高于最高限价；</w:t>
      </w:r>
    </w:p>
    <w:p w14:paraId="7F96A7FF">
      <w:pPr>
        <w:autoSpaceDE w:val="0"/>
        <w:autoSpaceDN w:val="0"/>
        <w:snapToGrid w:val="0"/>
        <w:spacing w:line="44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4）报价超过招标文件规定的最高限价；</w:t>
      </w:r>
    </w:p>
    <w:p w14:paraId="0C29A0CB">
      <w:pPr>
        <w:autoSpaceDE w:val="0"/>
        <w:autoSpaceDN w:val="0"/>
        <w:snapToGrid w:val="0"/>
        <w:spacing w:line="440" w:lineRule="exact"/>
        <w:ind w:firstLine="630" w:firstLineChars="3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）评标委员会认为投标人报价不符合“合理报价澄清说明”情形的；</w:t>
      </w:r>
    </w:p>
    <w:p w14:paraId="163DE53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 商务技术文件评审</w:t>
      </w:r>
    </w:p>
    <w:p w14:paraId="57D3276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3.2.1评审委员会依据招标文件的规定，对各</w:t>
      </w:r>
      <w:r>
        <w:rPr>
          <w:rFonts w:hint="eastAsia" w:ascii="宋体" w:hAnsi="宋体" w:cs="宋体"/>
          <w:color w:val="auto"/>
          <w:kern w:val="0"/>
          <w:szCs w:val="21"/>
          <w:highlight w:val="none"/>
        </w:rPr>
        <w:t>投标人的</w:t>
      </w:r>
      <w:r>
        <w:rPr>
          <w:rFonts w:hint="eastAsia" w:ascii="宋体" w:hAnsi="宋体" w:cs="宋体"/>
          <w:color w:val="auto"/>
          <w:szCs w:val="21"/>
          <w:highlight w:val="none"/>
        </w:rPr>
        <w:t>商务部分进行评审，对客观分应统一意见后统一给分。</w:t>
      </w:r>
    </w:p>
    <w:p w14:paraId="0840689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3.2.2评审委员会依据招标文件的规定，对各</w:t>
      </w:r>
      <w:r>
        <w:rPr>
          <w:rFonts w:hint="eastAsia" w:ascii="宋体" w:hAnsi="宋体" w:cs="宋体"/>
          <w:color w:val="auto"/>
          <w:kern w:val="0"/>
          <w:szCs w:val="21"/>
          <w:highlight w:val="none"/>
        </w:rPr>
        <w:t>投标人的</w:t>
      </w:r>
      <w:r>
        <w:rPr>
          <w:rFonts w:hint="eastAsia" w:ascii="宋体" w:hAnsi="宋体" w:cs="宋体"/>
          <w:color w:val="auto"/>
          <w:szCs w:val="21"/>
          <w:highlight w:val="none"/>
        </w:rPr>
        <w:t>技术部分进行独立评审，对各</w:t>
      </w:r>
      <w:r>
        <w:rPr>
          <w:rFonts w:hint="eastAsia" w:ascii="宋体" w:hAnsi="宋体" w:cs="宋体"/>
          <w:color w:val="auto"/>
          <w:kern w:val="0"/>
          <w:szCs w:val="21"/>
          <w:highlight w:val="none"/>
        </w:rPr>
        <w:t>投标文件</w:t>
      </w:r>
      <w:r>
        <w:rPr>
          <w:rFonts w:hint="eastAsia" w:ascii="宋体" w:hAnsi="宋体" w:cs="宋体"/>
          <w:color w:val="auto"/>
          <w:szCs w:val="21"/>
          <w:highlight w:val="none"/>
        </w:rPr>
        <w:t>进行比较，若有演示（或述标）和技术文件评审同步进行，演示（或述标）顺序</w:t>
      </w:r>
      <w:r>
        <w:rPr>
          <w:rFonts w:hint="eastAsia" w:ascii="宋体" w:hAnsi="宋体" w:cs="宋体"/>
          <w:b/>
          <w:color w:val="auto"/>
          <w:szCs w:val="21"/>
          <w:highlight w:val="none"/>
        </w:rPr>
        <w:t>为“投标（响应）文件签收登记表”名单顺序</w:t>
      </w:r>
      <w:r>
        <w:rPr>
          <w:rFonts w:hint="eastAsia" w:ascii="宋体" w:hAnsi="宋体" w:cs="宋体"/>
          <w:color w:val="auto"/>
          <w:szCs w:val="21"/>
          <w:highlight w:val="none"/>
        </w:rPr>
        <w:t>，并根据审查、演示（或述标）、技术文件等情况结合评审办法进行独立打分；</w:t>
      </w:r>
    </w:p>
    <w:p w14:paraId="1DC58ED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3.2.3各投标人的商务技术得分，为各评审专家对该投标人的评分汇总后的算术平均数。</w:t>
      </w:r>
    </w:p>
    <w:p w14:paraId="36364664">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3.4开标现场公布各投标人的商务技术得分，开启有效投标人的报价文件。</w:t>
      </w:r>
    </w:p>
    <w:p w14:paraId="5C93E43F">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3.5 报价文件评审</w:t>
      </w:r>
    </w:p>
    <w:p w14:paraId="6DEE7FC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3.5.1 评审委员会依据招标文件的规定，对各投标人的报价的合理性进行审查，必要时可要求投标人对其报价做出澄清、说明；</w:t>
      </w:r>
    </w:p>
    <w:p w14:paraId="704203A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3.5.2评审委员会根据投标人的报价和评审标准，计算各投标人的报价得分。</w:t>
      </w:r>
    </w:p>
    <w:p w14:paraId="19B56BE6">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3.6 评标结果</w:t>
      </w:r>
    </w:p>
    <w:p w14:paraId="580BF0D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3.6.1 评审结果汇总，投标人结果排序；</w:t>
      </w:r>
    </w:p>
    <w:p w14:paraId="2A1CFB5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3.6.2 起草评标报告，确定中标候选人；</w:t>
      </w:r>
    </w:p>
    <w:p w14:paraId="42690AD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3.6.2.1 评标报告应包括以下内容：</w:t>
      </w:r>
    </w:p>
    <w:p w14:paraId="417B670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（1）招标公告刊登的媒体名称、开标日期和地点；</w:t>
      </w:r>
    </w:p>
    <w:p w14:paraId="6C4B91A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（2）投标人名单和评审委员会成员名单；</w:t>
      </w:r>
    </w:p>
    <w:p w14:paraId="257837E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（3）评审方法和标准；</w:t>
      </w:r>
    </w:p>
    <w:p w14:paraId="3A989AB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（4）资格审查记录；</w:t>
      </w:r>
    </w:p>
    <w:p w14:paraId="71F8CE6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（5）开标记录和评审情况及说明，包括无效投标人名单及原因（若有）；</w:t>
      </w:r>
    </w:p>
    <w:p w14:paraId="61DAF6B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（6）评审结果，确定的中标候选人名单。</w:t>
      </w:r>
    </w:p>
    <w:p w14:paraId="40AC3D1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（7）其他需要说明的情况，包括评审过程中投标人根据评审委员会要求进行的澄清、说明或者补正（若有），评审委员会成员的更换（若有）等。</w:t>
      </w:r>
    </w:p>
    <w:p w14:paraId="6C737BC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 评标报告由全体评审委员会成员确认后提交。</w:t>
      </w:r>
    </w:p>
    <w:p w14:paraId="2FF3E88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3.8 评审结束后，采购人确定中标人后2个工作日内，发出中标通知书，并在相关媒体上公告中标结果。</w:t>
      </w:r>
    </w:p>
    <w:p w14:paraId="065C4D55">
      <w:pPr>
        <w:pStyle w:val="4"/>
        <w:spacing w:line="440" w:lineRule="exact"/>
        <w:ind w:firstLine="210" w:firstLineChars="100"/>
        <w:rPr>
          <w:rFonts w:ascii="宋体" w:hAnsi="宋体" w:eastAsia="宋体" w:cs="宋体"/>
          <w:b w:val="0"/>
          <w:bCs w:val="0"/>
          <w:color w:val="auto"/>
          <w:sz w:val="21"/>
          <w:szCs w:val="21"/>
          <w:highlight w:val="none"/>
        </w:rPr>
      </w:pPr>
      <w:bookmarkStart w:id="202" w:name="_Toc335664301"/>
      <w:bookmarkStart w:id="203" w:name="_Toc494555896"/>
      <w:bookmarkStart w:id="204" w:name="_Toc493956082"/>
      <w:bookmarkStart w:id="205" w:name="_Toc55212816"/>
      <w:r>
        <w:rPr>
          <w:rFonts w:hint="eastAsia" w:ascii="宋体" w:hAnsi="宋体" w:eastAsia="宋体" w:cs="宋体"/>
          <w:b w:val="0"/>
          <w:bCs w:val="0"/>
          <w:color w:val="auto"/>
          <w:sz w:val="21"/>
          <w:szCs w:val="21"/>
          <w:highlight w:val="none"/>
        </w:rPr>
        <w:t>四   评标一般规定</w:t>
      </w:r>
    </w:p>
    <w:p w14:paraId="4DA5CE5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4.本评标办法采用综合评分法,总分100分。</w:t>
      </w:r>
    </w:p>
    <w:p w14:paraId="25177EC1">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4.1商务技术权重为</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0%，分值为</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0分.</w:t>
      </w:r>
    </w:p>
    <w:p w14:paraId="1AE7634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4.1.1商务权重为</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%，分值为</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分，评委在规定的分值内统一打分。</w:t>
      </w:r>
    </w:p>
    <w:p w14:paraId="01A3853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4.1.2技术权重为</w:t>
      </w:r>
      <w:r>
        <w:rPr>
          <w:rFonts w:hint="eastAsia" w:ascii="宋体" w:hAnsi="宋体" w:cs="宋体"/>
          <w:color w:val="auto"/>
          <w:szCs w:val="21"/>
          <w:highlight w:val="none"/>
          <w:lang w:val="en-US" w:eastAsia="zh-CN"/>
        </w:rPr>
        <w:t>62</w:t>
      </w:r>
      <w:r>
        <w:rPr>
          <w:rFonts w:hint="eastAsia" w:ascii="宋体" w:hAnsi="宋体" w:cs="宋体"/>
          <w:color w:val="auto"/>
          <w:szCs w:val="21"/>
          <w:highlight w:val="none"/>
        </w:rPr>
        <w:t>%,分值为</w:t>
      </w:r>
      <w:r>
        <w:rPr>
          <w:rFonts w:hint="eastAsia" w:ascii="宋体" w:hAnsi="宋体" w:cs="宋体"/>
          <w:color w:val="auto"/>
          <w:szCs w:val="21"/>
          <w:highlight w:val="none"/>
          <w:lang w:val="en-US" w:eastAsia="zh-CN"/>
        </w:rPr>
        <w:t>62</w:t>
      </w:r>
      <w:r>
        <w:rPr>
          <w:rFonts w:hint="eastAsia" w:ascii="宋体" w:hAnsi="宋体" w:cs="宋体"/>
          <w:color w:val="auto"/>
          <w:szCs w:val="21"/>
          <w:highlight w:val="none"/>
        </w:rPr>
        <w:t>分，评委对各投标文件的技术标在规定的分值内单独评定打分。如果某个单项的打分超过所规定的分值范围，则该张打分表无效。</w:t>
      </w:r>
    </w:p>
    <w:p w14:paraId="14FAD2A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2报价权重为</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0%，分值为</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0分，由评委按各投标人的报价统一计算。</w:t>
      </w:r>
    </w:p>
    <w:p w14:paraId="5165F27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3评审专家在规定的分值范围内独立打分。</w:t>
      </w:r>
    </w:p>
    <w:p w14:paraId="0DDEBFA7">
      <w:pPr>
        <w:pStyle w:val="4"/>
        <w:spacing w:line="440" w:lineRule="exact"/>
        <w:ind w:firstLine="210" w:firstLineChars="100"/>
        <w:rPr>
          <w:rFonts w:ascii="宋体" w:hAnsi="宋体" w:eastAsia="宋体" w:cs="宋体"/>
          <w:b w:val="0"/>
          <w:bCs w:val="0"/>
          <w:color w:val="auto"/>
          <w:sz w:val="21"/>
          <w:szCs w:val="21"/>
          <w:highlight w:val="none"/>
        </w:rPr>
      </w:pPr>
      <w:bookmarkStart w:id="206" w:name="_Toc55212815"/>
      <w:r>
        <w:rPr>
          <w:rFonts w:hint="eastAsia" w:ascii="宋体" w:hAnsi="宋体" w:eastAsia="宋体" w:cs="宋体"/>
          <w:b w:val="0"/>
          <w:bCs w:val="0"/>
          <w:color w:val="auto"/>
          <w:sz w:val="21"/>
          <w:szCs w:val="21"/>
          <w:highlight w:val="none"/>
        </w:rPr>
        <w:t>五   评标办法和细则</w:t>
      </w:r>
      <w:bookmarkEnd w:id="206"/>
      <w:r>
        <w:rPr>
          <w:rFonts w:hint="eastAsia" w:ascii="宋体" w:hAnsi="宋体" w:eastAsia="宋体" w:cs="宋体"/>
          <w:b w:val="0"/>
          <w:bCs w:val="0"/>
          <w:color w:val="auto"/>
          <w:sz w:val="21"/>
          <w:szCs w:val="21"/>
          <w:highlight w:val="none"/>
        </w:rPr>
        <w:t xml:space="preserve">  </w:t>
      </w:r>
    </w:p>
    <w:p w14:paraId="65E3A540">
      <w:pPr>
        <w:pStyle w:val="4"/>
        <w:spacing w:line="44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5.1.商务技术分值为</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0分，权重为</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w:t>
      </w:r>
    </w:p>
    <w:tbl>
      <w:tblPr>
        <w:tblStyle w:val="51"/>
        <w:tblW w:w="10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816"/>
        <w:gridCol w:w="1043"/>
        <w:gridCol w:w="6296"/>
        <w:gridCol w:w="846"/>
      </w:tblGrid>
      <w:tr w14:paraId="03D9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26" w:type="dxa"/>
            <w:vAlign w:val="center"/>
          </w:tcPr>
          <w:p w14:paraId="3764FD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16" w:type="dxa"/>
            <w:vAlign w:val="center"/>
          </w:tcPr>
          <w:p w14:paraId="11CDFC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7339" w:type="dxa"/>
            <w:gridSpan w:val="2"/>
            <w:vAlign w:val="center"/>
          </w:tcPr>
          <w:p w14:paraId="600101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评审细则</w:t>
            </w:r>
          </w:p>
        </w:tc>
        <w:tc>
          <w:tcPr>
            <w:tcW w:w="846" w:type="dxa"/>
            <w:vAlign w:val="center"/>
          </w:tcPr>
          <w:p w14:paraId="4F063B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p w14:paraId="3B171562">
            <w:pPr>
              <w:pStyle w:val="228"/>
              <w:keepNext w:val="0"/>
              <w:keepLines w:val="0"/>
              <w:pageBreakBefore w:val="0"/>
              <w:widowControl w:val="0"/>
              <w:suppressLineNumbers w:val="0"/>
              <w:kinsoku/>
              <w:wordWrap/>
              <w:overflowPunct/>
              <w:topLinePunct w:val="0"/>
              <w:autoSpaceDE/>
              <w:autoSpaceDN/>
              <w:bidi w:val="0"/>
              <w:spacing w:beforeAutospacing="0" w:afterAutospacing="0" w:line="4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tc>
      </w:tr>
      <w:tr w14:paraId="3FB5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26" w:type="dxa"/>
            <w:vAlign w:val="center"/>
          </w:tcPr>
          <w:p w14:paraId="769E2C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816" w:type="dxa"/>
            <w:vAlign w:val="center"/>
          </w:tcPr>
          <w:p w14:paraId="332C03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tc>
        <w:tc>
          <w:tcPr>
            <w:tcW w:w="7339" w:type="dxa"/>
            <w:gridSpan w:val="2"/>
            <w:vAlign w:val="center"/>
          </w:tcPr>
          <w:p w14:paraId="14DB27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color w:val="auto"/>
                <w:sz w:val="21"/>
                <w:szCs w:val="21"/>
                <w:highlight w:val="none"/>
              </w:rPr>
            </w:pPr>
          </w:p>
        </w:tc>
        <w:tc>
          <w:tcPr>
            <w:tcW w:w="846" w:type="dxa"/>
            <w:vAlign w:val="center"/>
          </w:tcPr>
          <w:p w14:paraId="4764F622">
            <w:pPr>
              <w:pStyle w:val="228"/>
              <w:keepNext w:val="0"/>
              <w:keepLines w:val="0"/>
              <w:pageBreakBefore w:val="0"/>
              <w:widowControl w:val="0"/>
              <w:suppressLineNumbers w:val="0"/>
              <w:kinsoku/>
              <w:wordWrap/>
              <w:overflowPunct/>
              <w:topLinePunct w:val="0"/>
              <w:autoSpaceDE/>
              <w:autoSpaceDN/>
              <w:bidi w:val="0"/>
              <w:spacing w:beforeAutospacing="0" w:afterAutospacing="0" w:line="48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7BB0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26" w:type="dxa"/>
            <w:vAlign w:val="center"/>
          </w:tcPr>
          <w:p w14:paraId="0978D5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16" w:type="dxa"/>
            <w:vAlign w:val="center"/>
          </w:tcPr>
          <w:p w14:paraId="48B936F0">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企业</w:t>
            </w:r>
            <w:r>
              <w:rPr>
                <w:rFonts w:hint="eastAsia" w:ascii="宋体" w:hAnsi="宋体" w:eastAsia="宋体" w:cs="宋体"/>
                <w:color w:val="auto"/>
                <w:sz w:val="21"/>
                <w:szCs w:val="21"/>
                <w:highlight w:val="none"/>
                <w:lang w:bidi="ar"/>
              </w:rPr>
              <w:t>业绩</w:t>
            </w:r>
            <w:r>
              <w:rPr>
                <w:rFonts w:hint="eastAsia" w:ascii="宋体" w:hAnsi="宋体" w:eastAsia="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8</w:t>
            </w:r>
            <w:r>
              <w:rPr>
                <w:rFonts w:hint="eastAsia" w:ascii="宋体" w:hAnsi="宋体" w:eastAsia="宋体" w:cs="宋体"/>
                <w:color w:val="auto"/>
                <w:sz w:val="21"/>
                <w:szCs w:val="21"/>
                <w:highlight w:val="none"/>
                <w:lang w:val="en-US" w:eastAsia="zh-CN" w:bidi="ar"/>
              </w:rPr>
              <w:t>分</w:t>
            </w:r>
            <w:r>
              <w:rPr>
                <w:rFonts w:hint="eastAsia" w:ascii="宋体" w:hAnsi="宋体" w:eastAsia="宋体" w:cs="宋体"/>
                <w:color w:val="auto"/>
                <w:sz w:val="21"/>
                <w:szCs w:val="21"/>
                <w:highlight w:val="none"/>
                <w:lang w:eastAsia="zh-CN" w:bidi="ar"/>
              </w:rPr>
              <w:t>）</w:t>
            </w:r>
          </w:p>
        </w:tc>
        <w:tc>
          <w:tcPr>
            <w:tcW w:w="7339" w:type="dxa"/>
            <w:gridSpan w:val="2"/>
            <w:vAlign w:val="center"/>
          </w:tcPr>
          <w:p w14:paraId="20B6DF0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80" w:lineRule="exact"/>
              <w:ind w:left="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投标人近三年（投标截止日上推三周年，</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val="en-US" w:eastAsia="zh-CN"/>
              </w:rPr>
              <w:t>合同签订</w:t>
            </w:r>
            <w:r>
              <w:rPr>
                <w:rFonts w:hint="eastAsia" w:ascii="宋体" w:hAnsi="宋体" w:eastAsia="宋体" w:cs="宋体"/>
                <w:color w:val="auto"/>
                <w:sz w:val="21"/>
                <w:szCs w:val="21"/>
                <w:highlight w:val="none"/>
              </w:rPr>
              <w:t>时间为准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具有类似房产代销业绩的，每个得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本小项最高得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14:paraId="0B9913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val="en-US" w:eastAsia="zh-CN"/>
              </w:rPr>
              <w:t>1、提供</w:t>
            </w:r>
            <w:r>
              <w:rPr>
                <w:rFonts w:hint="eastAsia" w:ascii="宋体" w:hAnsi="宋体" w:eastAsia="宋体" w:cs="宋体"/>
                <w:color w:val="auto"/>
                <w:sz w:val="21"/>
                <w:szCs w:val="21"/>
                <w:highlight w:val="none"/>
              </w:rPr>
              <w:t>合同复印件加盖公章装入</w:t>
            </w:r>
            <w:r>
              <w:rPr>
                <w:rFonts w:hint="eastAsia" w:ascii="宋体" w:hAnsi="宋体" w:eastAsia="宋体" w:cs="宋体"/>
                <w:color w:val="auto"/>
                <w:sz w:val="21"/>
                <w:szCs w:val="21"/>
                <w:highlight w:val="none"/>
                <w:lang w:val="en-US" w:eastAsia="zh-CN"/>
              </w:rPr>
              <w:t>商务技术</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文件中，否则不得分。</w:t>
            </w:r>
          </w:p>
          <w:p w14:paraId="69E283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是否属于类似业绩由</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小组根据合同的内容、特点以及与本项目的类似程度等进行认定。</w:t>
            </w:r>
          </w:p>
        </w:tc>
        <w:tc>
          <w:tcPr>
            <w:tcW w:w="846" w:type="dxa"/>
            <w:vAlign w:val="center"/>
          </w:tcPr>
          <w:p w14:paraId="660EDC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r>
      <w:tr w14:paraId="0C81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26" w:type="dxa"/>
            <w:vAlign w:val="center"/>
          </w:tcPr>
          <w:p w14:paraId="7B8D91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1816" w:type="dxa"/>
            <w:vAlign w:val="center"/>
          </w:tcPr>
          <w:p w14:paraId="3588B5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tc>
        <w:tc>
          <w:tcPr>
            <w:tcW w:w="7339" w:type="dxa"/>
            <w:gridSpan w:val="2"/>
            <w:vAlign w:val="center"/>
          </w:tcPr>
          <w:p w14:paraId="7E0DC2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p>
        </w:tc>
        <w:tc>
          <w:tcPr>
            <w:tcW w:w="846" w:type="dxa"/>
            <w:vAlign w:val="center"/>
          </w:tcPr>
          <w:p w14:paraId="498DCA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62</w:t>
            </w:r>
          </w:p>
        </w:tc>
      </w:tr>
      <w:tr w14:paraId="73EB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26" w:type="dxa"/>
            <w:vMerge w:val="restart"/>
            <w:vAlign w:val="center"/>
          </w:tcPr>
          <w:p w14:paraId="71010C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1816" w:type="dxa"/>
            <w:vMerge w:val="restart"/>
            <w:vAlign w:val="center"/>
          </w:tcPr>
          <w:p w14:paraId="01A015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项目理解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7339" w:type="dxa"/>
            <w:gridSpan w:val="2"/>
            <w:vAlign w:val="center"/>
          </w:tcPr>
          <w:p w14:paraId="14D1C2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对项目货值、户配、销售指标等基本信息的了解情况</w:t>
            </w:r>
            <w:r>
              <w:rPr>
                <w:rFonts w:hint="eastAsia" w:ascii="宋体" w:hAnsi="宋体" w:eastAsia="宋体" w:cs="宋体"/>
                <w:color w:val="auto"/>
                <w:kern w:val="0"/>
                <w:sz w:val="21"/>
                <w:szCs w:val="21"/>
                <w:highlight w:val="none"/>
              </w:rPr>
              <w:t>由评标委员会成员判定评分。</w:t>
            </w:r>
          </w:p>
        </w:tc>
        <w:tc>
          <w:tcPr>
            <w:tcW w:w="846" w:type="dxa"/>
            <w:vAlign w:val="center"/>
          </w:tcPr>
          <w:p w14:paraId="7565D3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r>
      <w:tr w14:paraId="3BFE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26" w:type="dxa"/>
            <w:vMerge w:val="continue"/>
            <w:vAlign w:val="center"/>
          </w:tcPr>
          <w:p w14:paraId="04567A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p>
        </w:tc>
        <w:tc>
          <w:tcPr>
            <w:tcW w:w="1816" w:type="dxa"/>
            <w:vMerge w:val="continue"/>
            <w:vAlign w:val="center"/>
          </w:tcPr>
          <w:p w14:paraId="050B9C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p>
        </w:tc>
        <w:tc>
          <w:tcPr>
            <w:tcW w:w="7339" w:type="dxa"/>
            <w:gridSpan w:val="2"/>
            <w:vAlign w:val="center"/>
          </w:tcPr>
          <w:p w14:paraId="0FAEBC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投标人对市场环境的调研，包括政策环境、土地市场、住宅市场等，对当前整个市场环境的总结</w:t>
            </w:r>
            <w:r>
              <w:rPr>
                <w:rFonts w:hint="eastAsia" w:ascii="宋体" w:hAnsi="宋体" w:eastAsia="宋体" w:cs="宋体"/>
                <w:color w:val="auto"/>
                <w:kern w:val="0"/>
                <w:sz w:val="21"/>
                <w:szCs w:val="21"/>
                <w:highlight w:val="none"/>
              </w:rPr>
              <w:t>由评标委员会成员判定评分。</w:t>
            </w:r>
          </w:p>
        </w:tc>
        <w:tc>
          <w:tcPr>
            <w:tcW w:w="846" w:type="dxa"/>
            <w:vAlign w:val="center"/>
          </w:tcPr>
          <w:p w14:paraId="4860BC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1487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26" w:type="dxa"/>
            <w:vMerge w:val="restart"/>
            <w:vAlign w:val="center"/>
          </w:tcPr>
          <w:p w14:paraId="0240E4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816" w:type="dxa"/>
            <w:vMerge w:val="restart"/>
            <w:vAlign w:val="center"/>
          </w:tcPr>
          <w:p w14:paraId="324D83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项目实施方案</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043" w:type="dxa"/>
            <w:vMerge w:val="restart"/>
            <w:vAlign w:val="center"/>
          </w:tcPr>
          <w:p w14:paraId="745AEF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营销</w:t>
            </w:r>
          </w:p>
          <w:p w14:paraId="73825B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策划实施方案</w:t>
            </w:r>
          </w:p>
          <w:p w14:paraId="051A18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6296" w:type="dxa"/>
            <w:vAlign w:val="center"/>
          </w:tcPr>
          <w:p w14:paraId="354455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针对本项目的特点及实际需求提供的形象期企划推广服务（含在开盘前，做好全案的推广策略、案场包装以及基础销售道具的准备工作）方案的完整性、合理性，由评标委员会成员判定评分。</w:t>
            </w:r>
          </w:p>
        </w:tc>
        <w:tc>
          <w:tcPr>
            <w:tcW w:w="846" w:type="dxa"/>
            <w:vAlign w:val="center"/>
          </w:tcPr>
          <w:p w14:paraId="08AA08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r>
      <w:tr w14:paraId="770F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26" w:type="dxa"/>
            <w:vMerge w:val="continue"/>
            <w:vAlign w:val="center"/>
          </w:tcPr>
          <w:p w14:paraId="6C51AB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val="en-US" w:eastAsia="zh-CN"/>
              </w:rPr>
            </w:pPr>
          </w:p>
        </w:tc>
        <w:tc>
          <w:tcPr>
            <w:tcW w:w="1816" w:type="dxa"/>
            <w:vMerge w:val="continue"/>
            <w:vAlign w:val="center"/>
          </w:tcPr>
          <w:p w14:paraId="3E56A9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p>
        </w:tc>
        <w:tc>
          <w:tcPr>
            <w:tcW w:w="1043" w:type="dxa"/>
            <w:vMerge w:val="continue"/>
            <w:vAlign w:val="center"/>
          </w:tcPr>
          <w:p w14:paraId="329114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jc w:val="center"/>
              <w:textAlignment w:val="auto"/>
              <w:rPr>
                <w:rFonts w:hint="eastAsia" w:ascii="宋体" w:hAnsi="宋体" w:eastAsia="宋体" w:cs="宋体"/>
                <w:color w:val="auto"/>
                <w:sz w:val="21"/>
                <w:szCs w:val="21"/>
                <w:highlight w:val="none"/>
                <w:lang w:eastAsia="zh-CN"/>
              </w:rPr>
            </w:pPr>
          </w:p>
        </w:tc>
        <w:tc>
          <w:tcPr>
            <w:tcW w:w="6296" w:type="dxa"/>
            <w:vAlign w:val="center"/>
          </w:tcPr>
          <w:p w14:paraId="79DDAF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针对本项目的特点及实际需求提供的续销期企划推广服务（在项目开盘后 ，根据开盘情况做出推广策略上优化与调整， 释放产品信息、价格、价值等信息 ；根据续客情况做好系列暖场活动）方案的完整性、合理性，由评标委员会成员判定评分。</w:t>
            </w:r>
          </w:p>
        </w:tc>
        <w:tc>
          <w:tcPr>
            <w:tcW w:w="846" w:type="dxa"/>
            <w:vAlign w:val="center"/>
          </w:tcPr>
          <w:p w14:paraId="3B6077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r>
      <w:tr w14:paraId="20AC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26" w:type="dxa"/>
            <w:vMerge w:val="continue"/>
            <w:vAlign w:val="center"/>
          </w:tcPr>
          <w:p w14:paraId="303B6E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p>
        </w:tc>
        <w:tc>
          <w:tcPr>
            <w:tcW w:w="1816" w:type="dxa"/>
            <w:vMerge w:val="continue"/>
            <w:vAlign w:val="center"/>
          </w:tcPr>
          <w:p w14:paraId="2110CC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p>
        </w:tc>
        <w:tc>
          <w:tcPr>
            <w:tcW w:w="1043" w:type="dxa"/>
            <w:vMerge w:val="restart"/>
            <w:vAlign w:val="center"/>
          </w:tcPr>
          <w:p w14:paraId="4C6254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房产销售代理实施方案</w:t>
            </w:r>
          </w:p>
          <w:p w14:paraId="77CCF9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w:t>
            </w:r>
          </w:p>
        </w:tc>
        <w:tc>
          <w:tcPr>
            <w:tcW w:w="6296" w:type="dxa"/>
            <w:vAlign w:val="center"/>
          </w:tcPr>
          <w:p w14:paraId="6B96F6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营销节点的铺排及指标分解把控的科学性、合理性、可行性，由评标委员会成员判定评分。</w:t>
            </w:r>
          </w:p>
        </w:tc>
        <w:tc>
          <w:tcPr>
            <w:tcW w:w="846" w:type="dxa"/>
            <w:vAlign w:val="center"/>
          </w:tcPr>
          <w:p w14:paraId="573D4F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r>
      <w:tr w14:paraId="3E46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26" w:type="dxa"/>
            <w:vMerge w:val="continue"/>
            <w:vAlign w:val="center"/>
          </w:tcPr>
          <w:p w14:paraId="1CF72E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p>
        </w:tc>
        <w:tc>
          <w:tcPr>
            <w:tcW w:w="1816" w:type="dxa"/>
            <w:vMerge w:val="continue"/>
            <w:vAlign w:val="center"/>
          </w:tcPr>
          <w:p w14:paraId="08C045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p>
        </w:tc>
        <w:tc>
          <w:tcPr>
            <w:tcW w:w="1043" w:type="dxa"/>
            <w:vMerge w:val="continue"/>
            <w:vAlign w:val="center"/>
          </w:tcPr>
          <w:p w14:paraId="5620A1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color w:val="auto"/>
                <w:sz w:val="21"/>
                <w:szCs w:val="21"/>
                <w:highlight w:val="none"/>
                <w:lang w:val="en-US" w:eastAsia="zh-CN"/>
              </w:rPr>
            </w:pPr>
          </w:p>
        </w:tc>
        <w:tc>
          <w:tcPr>
            <w:tcW w:w="6296" w:type="dxa"/>
            <w:vAlign w:val="center"/>
          </w:tcPr>
          <w:p w14:paraId="5C60F3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方案中目标客户群体排布分析、目标客户群体区域占比排布分析，由评标委员会成员判定评分。</w:t>
            </w:r>
          </w:p>
        </w:tc>
        <w:tc>
          <w:tcPr>
            <w:tcW w:w="846" w:type="dxa"/>
            <w:vAlign w:val="center"/>
          </w:tcPr>
          <w:p w14:paraId="0E8D0B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716E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6" w:type="dxa"/>
            <w:vMerge w:val="continue"/>
            <w:vAlign w:val="center"/>
          </w:tcPr>
          <w:p w14:paraId="78376C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p>
        </w:tc>
        <w:tc>
          <w:tcPr>
            <w:tcW w:w="1816" w:type="dxa"/>
            <w:vMerge w:val="continue"/>
            <w:vAlign w:val="center"/>
          </w:tcPr>
          <w:p w14:paraId="70F698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p>
        </w:tc>
        <w:tc>
          <w:tcPr>
            <w:tcW w:w="1043" w:type="dxa"/>
            <w:vMerge w:val="continue"/>
            <w:vAlign w:val="center"/>
          </w:tcPr>
          <w:p w14:paraId="4E43C3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color w:val="auto"/>
                <w:sz w:val="21"/>
                <w:szCs w:val="21"/>
                <w:highlight w:val="none"/>
                <w:lang w:val="en-US" w:eastAsia="zh-CN"/>
              </w:rPr>
            </w:pPr>
          </w:p>
        </w:tc>
        <w:tc>
          <w:tcPr>
            <w:tcW w:w="6296" w:type="dxa"/>
            <w:vAlign w:val="center"/>
          </w:tcPr>
          <w:p w14:paraId="6A3543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营销方案中精品项目的分析总结、以及方案中项目宣传覆盖情况介绍，由评标委员会成员判定评分。</w:t>
            </w:r>
          </w:p>
        </w:tc>
        <w:tc>
          <w:tcPr>
            <w:tcW w:w="846" w:type="dxa"/>
            <w:vAlign w:val="center"/>
          </w:tcPr>
          <w:p w14:paraId="54E21B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5975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26" w:type="dxa"/>
            <w:vMerge w:val="continue"/>
            <w:vAlign w:val="center"/>
          </w:tcPr>
          <w:p w14:paraId="1462FF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p>
        </w:tc>
        <w:tc>
          <w:tcPr>
            <w:tcW w:w="1816" w:type="dxa"/>
            <w:vMerge w:val="continue"/>
            <w:vAlign w:val="center"/>
          </w:tcPr>
          <w:p w14:paraId="22DF64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p>
        </w:tc>
        <w:tc>
          <w:tcPr>
            <w:tcW w:w="1043" w:type="dxa"/>
            <w:vMerge w:val="continue"/>
            <w:vAlign w:val="center"/>
          </w:tcPr>
          <w:p w14:paraId="4A9922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color w:val="auto"/>
                <w:sz w:val="21"/>
                <w:szCs w:val="21"/>
                <w:highlight w:val="none"/>
                <w:lang w:val="en-US" w:eastAsia="zh-CN"/>
              </w:rPr>
            </w:pPr>
          </w:p>
        </w:tc>
        <w:tc>
          <w:tcPr>
            <w:tcW w:w="6296" w:type="dxa"/>
            <w:vAlign w:val="center"/>
          </w:tcPr>
          <w:p w14:paraId="40A49A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同类或类似房产销售案例分析：</w:t>
            </w:r>
          </w:p>
          <w:p w14:paraId="7FF475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供应商对其已实施的同类或类似房产销售案例进行解析，根据其案例实施所取得的效果，以及吸取的经验是否适合本项目实施等内容，由评标委员会成员判定评分。</w:t>
            </w:r>
          </w:p>
        </w:tc>
        <w:tc>
          <w:tcPr>
            <w:tcW w:w="846" w:type="dxa"/>
            <w:vAlign w:val="center"/>
          </w:tcPr>
          <w:p w14:paraId="776C6D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1970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426" w:type="dxa"/>
            <w:vMerge w:val="restart"/>
            <w:vAlign w:val="center"/>
          </w:tcPr>
          <w:p w14:paraId="2A7275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816" w:type="dxa"/>
            <w:vMerge w:val="restart"/>
            <w:vAlign w:val="center"/>
          </w:tcPr>
          <w:p w14:paraId="380173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项目人员安排</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7339" w:type="dxa"/>
            <w:gridSpan w:val="2"/>
            <w:vAlign w:val="center"/>
          </w:tcPr>
          <w:p w14:paraId="1D950B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针对本项目的房产销售代理服务的实际情况，</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所派遣的销售人员是否具有专业性、积极性、稳定性。营销</w:t>
            </w:r>
            <w:r>
              <w:rPr>
                <w:rFonts w:hint="eastAsia" w:ascii="宋体" w:hAnsi="宋体" w:cs="宋体"/>
                <w:color w:val="auto"/>
                <w:sz w:val="21"/>
                <w:szCs w:val="21"/>
                <w:highlight w:val="none"/>
                <w:lang w:val="en-US" w:eastAsia="zh-CN"/>
              </w:rPr>
              <w:t>负责人</w:t>
            </w:r>
            <w:r>
              <w:rPr>
                <w:rFonts w:hint="eastAsia" w:ascii="宋体" w:hAnsi="宋体" w:eastAsia="宋体" w:cs="宋体"/>
                <w:color w:val="auto"/>
                <w:sz w:val="21"/>
                <w:szCs w:val="21"/>
                <w:highlight w:val="none"/>
                <w:lang w:val="en-US" w:eastAsia="zh-CN"/>
              </w:rPr>
              <w:t>是否具有行业实操经验和人力资源调动能力以及项目组织能力，由评标委员会成员判定评分。</w:t>
            </w:r>
          </w:p>
        </w:tc>
        <w:tc>
          <w:tcPr>
            <w:tcW w:w="846" w:type="dxa"/>
            <w:vAlign w:val="center"/>
          </w:tcPr>
          <w:p w14:paraId="6A3A19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r>
      <w:tr w14:paraId="024E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26" w:type="dxa"/>
            <w:vMerge w:val="continue"/>
            <w:vAlign w:val="center"/>
          </w:tcPr>
          <w:p w14:paraId="6E64D6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p>
        </w:tc>
        <w:tc>
          <w:tcPr>
            <w:tcW w:w="1816" w:type="dxa"/>
            <w:vMerge w:val="continue"/>
            <w:vAlign w:val="center"/>
          </w:tcPr>
          <w:p w14:paraId="3E854E33">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rPr>
            </w:pPr>
          </w:p>
        </w:tc>
        <w:tc>
          <w:tcPr>
            <w:tcW w:w="7339" w:type="dxa"/>
            <w:gridSpan w:val="2"/>
            <w:vAlign w:val="center"/>
          </w:tcPr>
          <w:p w14:paraId="502F2E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针对本项目提供的团队人员素质、技术能力、专业分布、工作经验等情况，由评标委员会成员判定评分。</w:t>
            </w:r>
          </w:p>
        </w:tc>
        <w:tc>
          <w:tcPr>
            <w:tcW w:w="846" w:type="dxa"/>
            <w:vAlign w:val="center"/>
          </w:tcPr>
          <w:p w14:paraId="307210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1176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26" w:type="dxa"/>
            <w:vAlign w:val="center"/>
          </w:tcPr>
          <w:p w14:paraId="1599BB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816" w:type="dxa"/>
            <w:vAlign w:val="center"/>
          </w:tcPr>
          <w:p w14:paraId="08202E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服务质量保证措施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7339" w:type="dxa"/>
            <w:gridSpan w:val="2"/>
            <w:vAlign w:val="center"/>
          </w:tcPr>
          <w:p w14:paraId="32ECB7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根据投标人提供的服务质量承诺、服务响应时间及保障措施等情况，由评标委员会成员判定评分。</w:t>
            </w:r>
          </w:p>
        </w:tc>
        <w:tc>
          <w:tcPr>
            <w:tcW w:w="846" w:type="dxa"/>
            <w:vAlign w:val="center"/>
          </w:tcPr>
          <w:p w14:paraId="213C50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r>
      <w:tr w14:paraId="671F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426" w:type="dxa"/>
            <w:vAlign w:val="center"/>
          </w:tcPr>
          <w:p w14:paraId="47D7CB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816" w:type="dxa"/>
            <w:vAlign w:val="center"/>
          </w:tcPr>
          <w:p w14:paraId="7E527F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突发事件应急预案</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tc>
        <w:tc>
          <w:tcPr>
            <w:tcW w:w="7339" w:type="dxa"/>
            <w:gridSpan w:val="2"/>
            <w:vAlign w:val="center"/>
          </w:tcPr>
          <w:p w14:paraId="16B3D1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突发事件应急处理措施，根据服务各项承诺明确且具有可操作性和监督性，有详细的工作计划，对发生突发性事件后，明确投入的人力、时间、各种应对措施等，由评标委员会成员判定评分。</w:t>
            </w:r>
          </w:p>
        </w:tc>
        <w:tc>
          <w:tcPr>
            <w:tcW w:w="846" w:type="dxa"/>
            <w:vAlign w:val="center"/>
          </w:tcPr>
          <w:p w14:paraId="1F5E78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7F3C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426" w:type="dxa"/>
            <w:vAlign w:val="center"/>
          </w:tcPr>
          <w:p w14:paraId="6E356D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816" w:type="dxa"/>
            <w:vAlign w:val="center"/>
          </w:tcPr>
          <w:p w14:paraId="5EB9F3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7339" w:type="dxa"/>
            <w:gridSpan w:val="2"/>
            <w:vAlign w:val="center"/>
          </w:tcPr>
          <w:p w14:paraId="354AAD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根据投标人提出的合理化建议的合理性、可行性，由评标委员会成员判定评分。</w:t>
            </w:r>
          </w:p>
        </w:tc>
        <w:tc>
          <w:tcPr>
            <w:tcW w:w="846" w:type="dxa"/>
            <w:vAlign w:val="center"/>
          </w:tcPr>
          <w:p w14:paraId="16E1BA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bl>
    <w:p w14:paraId="01B5682F">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5.2.报价分值为</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0分，报价权重为</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0%，其中</w:t>
      </w:r>
      <w:r>
        <w:rPr>
          <w:rFonts w:hint="eastAsia" w:ascii="宋体" w:hAnsi="宋体" w:cs="宋体"/>
          <w:b/>
          <w:color w:val="auto"/>
          <w:szCs w:val="21"/>
          <w:highlight w:val="none"/>
          <w:lang w:val="en-US" w:eastAsia="zh-CN"/>
        </w:rPr>
        <w:t>大平层及排屋代销服务</w:t>
      </w:r>
      <w:r>
        <w:rPr>
          <w:rFonts w:hint="eastAsia" w:ascii="宋体" w:hAnsi="宋体" w:cs="宋体"/>
          <w:b/>
          <w:color w:val="auto"/>
          <w:szCs w:val="21"/>
          <w:highlight w:val="none"/>
          <w:lang w:eastAsia="zh-CN"/>
        </w:rPr>
        <w:t>费</w:t>
      </w:r>
      <w:r>
        <w:rPr>
          <w:rFonts w:hint="eastAsia" w:ascii="宋体" w:hAnsi="宋体" w:cs="宋体"/>
          <w:b/>
          <w:color w:val="auto"/>
          <w:szCs w:val="21"/>
          <w:highlight w:val="none"/>
        </w:rPr>
        <w:t>为</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分，权重</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高层住宅、商铺代理销售服务</w:t>
      </w:r>
      <w:r>
        <w:rPr>
          <w:rFonts w:hint="eastAsia" w:ascii="宋体" w:hAnsi="宋体" w:cs="宋体"/>
          <w:b/>
          <w:color w:val="auto"/>
          <w:szCs w:val="21"/>
          <w:highlight w:val="none"/>
          <w:lang w:eastAsia="zh-CN"/>
        </w:rPr>
        <w:t>费</w:t>
      </w:r>
      <w:r>
        <w:rPr>
          <w:rFonts w:hint="eastAsia" w:ascii="宋体" w:hAnsi="宋体" w:cs="宋体"/>
          <w:b/>
          <w:color w:val="auto"/>
          <w:szCs w:val="21"/>
          <w:highlight w:val="none"/>
        </w:rPr>
        <w:t>为</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分，权重</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；房票房源手续办理服务费</w:t>
      </w:r>
      <w:r>
        <w:rPr>
          <w:rFonts w:hint="eastAsia" w:ascii="宋体" w:hAnsi="宋体" w:cs="宋体"/>
          <w:b/>
          <w:color w:val="auto"/>
          <w:szCs w:val="21"/>
          <w:highlight w:val="none"/>
        </w:rPr>
        <w:t>为</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分，权重</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%组成，由评审委员会根据以下内容统一打分：</w:t>
      </w:r>
    </w:p>
    <w:p w14:paraId="2167003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5.2.1报价评分应在投标报价范围口径一致的评标价基础上进行。属招标文件不清楚引起的报价内容和口径不一致的，则按有关规定统一调整投标报价内容和口径，计算出投标人的最终评标价。属投标人失误造成的报价差错和遗漏，不得调整。</w:t>
      </w:r>
    </w:p>
    <w:p w14:paraId="7FF051D5">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▲5.2.2投标报价高于最高限价的投标人作无效标处理。</w:t>
      </w:r>
    </w:p>
    <w:p w14:paraId="0FDE87AD">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5.2.3报价得分计算：</w:t>
      </w:r>
    </w:p>
    <w:p w14:paraId="2D4310FB">
      <w:pPr>
        <w:pStyle w:val="20"/>
        <w:rPr>
          <w:rFonts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（一）</w:t>
      </w:r>
      <w:r>
        <w:rPr>
          <w:rFonts w:hint="eastAsia" w:ascii="宋体" w:hAnsi="宋体" w:eastAsia="宋体" w:cs="宋体"/>
          <w:b/>
          <w:color w:val="auto"/>
          <w:sz w:val="21"/>
          <w:szCs w:val="21"/>
          <w:highlight w:val="none"/>
          <w:lang w:val="en-US" w:eastAsia="zh-CN"/>
        </w:rPr>
        <w:t>大平层及排屋代销服务费</w:t>
      </w:r>
      <w:r>
        <w:rPr>
          <w:rFonts w:hint="eastAsia" w:ascii="宋体" w:hAnsi="宋体" w:eastAsia="宋体" w:cs="宋体"/>
          <w:b/>
          <w:color w:val="auto"/>
          <w:sz w:val="21"/>
          <w:szCs w:val="21"/>
          <w:highlight w:val="none"/>
          <w:lang w:val="en-US"/>
        </w:rPr>
        <w:t>报价得分（报价分值为</w:t>
      </w:r>
      <w:r>
        <w:rPr>
          <w:rFonts w:hint="eastAsia" w:ascii="宋体" w:hAnsi="宋体" w:cs="宋体"/>
          <w:b/>
          <w:color w:val="auto"/>
          <w:sz w:val="21"/>
          <w:szCs w:val="21"/>
          <w:highlight w:val="none"/>
          <w:lang w:val="en-US" w:eastAsia="zh-CN"/>
        </w:rPr>
        <w:t>10</w:t>
      </w:r>
      <w:r>
        <w:rPr>
          <w:rFonts w:hint="eastAsia" w:ascii="宋体" w:hAnsi="宋体" w:eastAsia="宋体" w:cs="宋体"/>
          <w:b/>
          <w:color w:val="auto"/>
          <w:sz w:val="21"/>
          <w:szCs w:val="21"/>
          <w:highlight w:val="none"/>
          <w:lang w:val="en-US"/>
        </w:rPr>
        <w:t>分，报价权重为</w:t>
      </w:r>
      <w:r>
        <w:rPr>
          <w:rFonts w:hint="eastAsia" w:ascii="宋体" w:hAnsi="宋体" w:cs="宋体"/>
          <w:b/>
          <w:color w:val="auto"/>
          <w:sz w:val="21"/>
          <w:szCs w:val="21"/>
          <w:highlight w:val="none"/>
          <w:lang w:val="en-US" w:eastAsia="zh-CN"/>
        </w:rPr>
        <w:t>10</w:t>
      </w:r>
      <w:r>
        <w:rPr>
          <w:rFonts w:hint="eastAsia" w:ascii="宋体" w:hAnsi="宋体" w:eastAsia="宋体" w:cs="宋体"/>
          <w:b/>
          <w:color w:val="auto"/>
          <w:sz w:val="21"/>
          <w:szCs w:val="21"/>
          <w:highlight w:val="none"/>
          <w:lang w:val="en-US"/>
        </w:rPr>
        <w:t>%，由评审委员会根据以下内容统一打分）</w:t>
      </w:r>
    </w:p>
    <w:p w14:paraId="09ECE8A0">
      <w:pPr>
        <w:pStyle w:val="197"/>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⑴</w:t>
      </w:r>
      <w:r>
        <w:rPr>
          <w:rFonts w:hint="eastAsia" w:ascii="宋体" w:hAnsi="宋体" w:cs="宋体"/>
          <w:color w:val="auto"/>
          <w:szCs w:val="21"/>
          <w:highlight w:val="none"/>
        </w:rPr>
        <w:fldChar w:fldCharType="end"/>
      </w:r>
      <w:r>
        <w:rPr>
          <w:rFonts w:hint="eastAsia"/>
          <w:color w:val="auto"/>
          <w:highlight w:val="none"/>
        </w:rPr>
        <w:t>价格分采用低价优先法计算，即</w:t>
      </w:r>
      <w:r>
        <w:rPr>
          <w:rFonts w:hint="eastAsia" w:ascii="宋体" w:hAnsi="宋体" w:cs="宋体"/>
          <w:color w:val="auto"/>
          <w:szCs w:val="21"/>
          <w:highlight w:val="none"/>
        </w:rPr>
        <w:t>评标基准价指的是满足招标文件要求且最低的参与评审的价格。</w:t>
      </w:r>
    </w:p>
    <w:p w14:paraId="4C565C4D">
      <w:pPr>
        <w:pStyle w:val="197"/>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⑵</w:t>
      </w:r>
      <w:r>
        <w:rPr>
          <w:rFonts w:hint="eastAsia" w:ascii="宋体" w:hAnsi="宋体" w:cs="宋体"/>
          <w:color w:val="auto"/>
          <w:szCs w:val="21"/>
          <w:highlight w:val="none"/>
        </w:rPr>
        <w:fldChar w:fldCharType="end"/>
      </w:r>
      <w:r>
        <w:rPr>
          <w:rFonts w:hint="eastAsia" w:ascii="宋体" w:hAnsi="宋体" w:cs="宋体"/>
          <w:color w:val="auto"/>
          <w:szCs w:val="21"/>
          <w:highlight w:val="none"/>
        </w:rPr>
        <w:t>参与评审的价格=有效投标报价</w:t>
      </w:r>
      <w:r>
        <w:rPr>
          <w:rFonts w:hint="eastAsia" w:ascii="宋体" w:hAnsi="宋体" w:cs="宋体"/>
          <w:b w:val="0"/>
          <w:bCs w:val="0"/>
          <w:color w:val="auto"/>
          <w:szCs w:val="21"/>
          <w:highlight w:val="none"/>
        </w:rPr>
        <w:t>。</w:t>
      </w:r>
    </w:p>
    <w:p w14:paraId="581FA112">
      <w:pPr>
        <w:pStyle w:val="197"/>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3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⑶</w:t>
      </w:r>
      <w:r>
        <w:rPr>
          <w:rFonts w:hint="eastAsia" w:ascii="宋体" w:hAnsi="宋体" w:cs="宋体"/>
          <w:color w:val="auto"/>
          <w:szCs w:val="21"/>
          <w:highlight w:val="none"/>
        </w:rPr>
        <w:fldChar w:fldCharType="end"/>
      </w:r>
      <w:r>
        <w:rPr>
          <w:rFonts w:hint="eastAsia" w:ascii="宋体" w:hAnsi="宋体" w:cs="宋体"/>
          <w:color w:val="auto"/>
          <w:szCs w:val="21"/>
          <w:highlight w:val="none"/>
        </w:rPr>
        <w:t>参与评审的价格等于评标基准价的其价格分得满分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45530B9B">
      <w:pPr>
        <w:pStyle w:val="197"/>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4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⑷</w:t>
      </w:r>
      <w:r>
        <w:rPr>
          <w:rFonts w:hint="eastAsia" w:ascii="宋体" w:hAnsi="宋体" w:cs="宋体"/>
          <w:color w:val="auto"/>
          <w:szCs w:val="21"/>
          <w:highlight w:val="none"/>
        </w:rPr>
        <w:fldChar w:fldCharType="end"/>
      </w:r>
      <w:r>
        <w:rPr>
          <w:rFonts w:hint="eastAsia" w:ascii="宋体" w:hAnsi="宋体" w:cs="宋体"/>
          <w:color w:val="auto"/>
          <w:szCs w:val="21"/>
          <w:highlight w:val="none"/>
        </w:rPr>
        <w:t>其他投标人价格得分按照下列公式计算：</w:t>
      </w:r>
    </w:p>
    <w:p w14:paraId="77C443F4">
      <w:pPr>
        <w:pStyle w:val="197"/>
        <w:spacing w:line="360" w:lineRule="auto"/>
        <w:rPr>
          <w:rFonts w:ascii="宋体" w:hAnsi="宋体" w:cs="宋体"/>
          <w:color w:val="auto"/>
          <w:szCs w:val="21"/>
          <w:highlight w:val="none"/>
        </w:rPr>
      </w:pPr>
      <w:r>
        <w:rPr>
          <w:rFonts w:hint="eastAsia" w:ascii="宋体" w:hAnsi="宋体" w:cs="宋体"/>
          <w:color w:val="auto"/>
          <w:szCs w:val="21"/>
          <w:highlight w:val="none"/>
        </w:rPr>
        <w:t>价格得分=（评标基准价/各投标人参与评审的价格）×</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％×100。</w:t>
      </w:r>
    </w:p>
    <w:p w14:paraId="3050CE46">
      <w:pPr>
        <w:pStyle w:val="20"/>
        <w:rPr>
          <w:rFonts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（二</w:t>
      </w:r>
      <w:r>
        <w:rPr>
          <w:rFonts w:hint="eastAsia" w:ascii="宋体" w:hAnsi="宋体" w:eastAsia="宋体" w:cs="宋体"/>
          <w:b/>
          <w:color w:val="auto"/>
          <w:sz w:val="21"/>
          <w:szCs w:val="21"/>
          <w:highlight w:val="none"/>
          <w:lang w:val="en-US" w:eastAsia="zh-CN"/>
        </w:rPr>
        <w:t>）高层住宅、商铺代理销售服务费</w:t>
      </w:r>
      <w:r>
        <w:rPr>
          <w:rFonts w:hint="eastAsia" w:ascii="宋体" w:hAnsi="宋体" w:eastAsia="宋体" w:cs="宋体"/>
          <w:b/>
          <w:color w:val="auto"/>
          <w:sz w:val="21"/>
          <w:szCs w:val="21"/>
          <w:highlight w:val="none"/>
          <w:lang w:val="en-US"/>
        </w:rPr>
        <w:t>报价得分（报价分值为</w:t>
      </w:r>
      <w:r>
        <w:rPr>
          <w:rFonts w:hint="eastAsia" w:ascii="宋体" w:hAnsi="宋体" w:cs="宋体"/>
          <w:b/>
          <w:color w:val="auto"/>
          <w:sz w:val="21"/>
          <w:szCs w:val="21"/>
          <w:highlight w:val="none"/>
          <w:lang w:val="en-US" w:eastAsia="zh-CN"/>
        </w:rPr>
        <w:t>10</w:t>
      </w:r>
      <w:r>
        <w:rPr>
          <w:rFonts w:hint="eastAsia" w:ascii="宋体" w:hAnsi="宋体" w:eastAsia="宋体" w:cs="宋体"/>
          <w:b/>
          <w:color w:val="auto"/>
          <w:sz w:val="21"/>
          <w:szCs w:val="21"/>
          <w:highlight w:val="none"/>
          <w:lang w:val="en-US"/>
        </w:rPr>
        <w:t>分，报价权重为</w:t>
      </w:r>
      <w:r>
        <w:rPr>
          <w:rFonts w:hint="eastAsia" w:ascii="宋体" w:hAnsi="宋体" w:cs="宋体"/>
          <w:b/>
          <w:color w:val="auto"/>
          <w:sz w:val="21"/>
          <w:szCs w:val="21"/>
          <w:highlight w:val="none"/>
          <w:lang w:val="en-US" w:eastAsia="zh-CN"/>
        </w:rPr>
        <w:t>10</w:t>
      </w:r>
      <w:r>
        <w:rPr>
          <w:rFonts w:hint="eastAsia" w:ascii="宋体" w:hAnsi="宋体" w:eastAsia="宋体" w:cs="宋体"/>
          <w:b/>
          <w:color w:val="auto"/>
          <w:sz w:val="21"/>
          <w:szCs w:val="21"/>
          <w:highlight w:val="none"/>
          <w:lang w:val="en-US"/>
        </w:rPr>
        <w:t>%，由评审委员会根据以下内容统一打分）</w:t>
      </w:r>
    </w:p>
    <w:p w14:paraId="286308A1">
      <w:pPr>
        <w:pStyle w:val="197"/>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⑴</w:t>
      </w:r>
      <w:r>
        <w:rPr>
          <w:rFonts w:hint="eastAsia" w:ascii="宋体" w:hAnsi="宋体" w:cs="宋体"/>
          <w:color w:val="auto"/>
          <w:szCs w:val="21"/>
          <w:highlight w:val="none"/>
        </w:rPr>
        <w:fldChar w:fldCharType="end"/>
      </w:r>
      <w:r>
        <w:rPr>
          <w:rFonts w:hint="eastAsia"/>
          <w:color w:val="auto"/>
          <w:highlight w:val="none"/>
        </w:rPr>
        <w:t>价格分采用低价优先法计算，即</w:t>
      </w:r>
      <w:r>
        <w:rPr>
          <w:rFonts w:hint="eastAsia" w:ascii="宋体" w:hAnsi="宋体" w:cs="宋体"/>
          <w:color w:val="auto"/>
          <w:szCs w:val="21"/>
          <w:highlight w:val="none"/>
        </w:rPr>
        <w:t>评标基准价指的是满足招标文件要求且最低的参与评审的价格。</w:t>
      </w:r>
    </w:p>
    <w:p w14:paraId="54910F29">
      <w:pPr>
        <w:pStyle w:val="197"/>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⑵</w:t>
      </w:r>
      <w:r>
        <w:rPr>
          <w:rFonts w:hint="eastAsia" w:ascii="宋体" w:hAnsi="宋体" w:cs="宋体"/>
          <w:color w:val="auto"/>
          <w:szCs w:val="21"/>
          <w:highlight w:val="none"/>
        </w:rPr>
        <w:fldChar w:fldCharType="end"/>
      </w:r>
      <w:r>
        <w:rPr>
          <w:rFonts w:hint="eastAsia" w:ascii="宋体" w:hAnsi="宋体" w:cs="宋体"/>
          <w:color w:val="auto"/>
          <w:szCs w:val="21"/>
          <w:highlight w:val="none"/>
        </w:rPr>
        <w:t>参与评审的价格=有效投标报价</w:t>
      </w:r>
      <w:r>
        <w:rPr>
          <w:rFonts w:hint="eastAsia" w:ascii="宋体" w:hAnsi="宋体" w:cs="宋体"/>
          <w:b w:val="0"/>
          <w:bCs w:val="0"/>
          <w:color w:val="auto"/>
          <w:szCs w:val="21"/>
          <w:highlight w:val="none"/>
        </w:rPr>
        <w:t>。</w:t>
      </w:r>
    </w:p>
    <w:p w14:paraId="2440F4CE">
      <w:pPr>
        <w:pStyle w:val="197"/>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3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⑶</w:t>
      </w:r>
      <w:r>
        <w:rPr>
          <w:rFonts w:hint="eastAsia" w:ascii="宋体" w:hAnsi="宋体" w:cs="宋体"/>
          <w:color w:val="auto"/>
          <w:szCs w:val="21"/>
          <w:highlight w:val="none"/>
        </w:rPr>
        <w:fldChar w:fldCharType="end"/>
      </w:r>
      <w:r>
        <w:rPr>
          <w:rFonts w:hint="eastAsia" w:ascii="宋体" w:hAnsi="宋体" w:cs="宋体"/>
          <w:color w:val="auto"/>
          <w:szCs w:val="21"/>
          <w:highlight w:val="none"/>
        </w:rPr>
        <w:t>参与评审的价格等于评标基准价的其价格分得满分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697346CD">
      <w:pPr>
        <w:pStyle w:val="197"/>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4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⑷</w:t>
      </w:r>
      <w:r>
        <w:rPr>
          <w:rFonts w:hint="eastAsia" w:ascii="宋体" w:hAnsi="宋体" w:cs="宋体"/>
          <w:color w:val="auto"/>
          <w:szCs w:val="21"/>
          <w:highlight w:val="none"/>
        </w:rPr>
        <w:fldChar w:fldCharType="end"/>
      </w:r>
      <w:r>
        <w:rPr>
          <w:rFonts w:hint="eastAsia" w:ascii="宋体" w:hAnsi="宋体" w:cs="宋体"/>
          <w:color w:val="auto"/>
          <w:szCs w:val="21"/>
          <w:highlight w:val="none"/>
        </w:rPr>
        <w:t>其他投标人价格得分按照下列公式计算：</w:t>
      </w:r>
    </w:p>
    <w:p w14:paraId="32B684EF">
      <w:pPr>
        <w:pStyle w:val="197"/>
        <w:spacing w:line="360" w:lineRule="auto"/>
        <w:rPr>
          <w:rFonts w:ascii="宋体" w:hAnsi="宋体" w:cs="宋体"/>
          <w:color w:val="auto"/>
          <w:szCs w:val="21"/>
          <w:highlight w:val="none"/>
        </w:rPr>
      </w:pPr>
      <w:r>
        <w:rPr>
          <w:rFonts w:hint="eastAsia" w:ascii="宋体" w:hAnsi="宋体" w:cs="宋体"/>
          <w:color w:val="auto"/>
          <w:szCs w:val="21"/>
          <w:highlight w:val="none"/>
        </w:rPr>
        <w:t>价格得分=（评标基准价/各投标人参与评审的价格）×</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％×100。</w:t>
      </w:r>
    </w:p>
    <w:p w14:paraId="269B608A">
      <w:pPr>
        <w:pStyle w:val="20"/>
        <w:rPr>
          <w:rFonts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val="en-US"/>
        </w:rPr>
        <w:t>）</w:t>
      </w:r>
      <w:r>
        <w:rPr>
          <w:rFonts w:hint="eastAsia" w:ascii="宋体" w:hAnsi="宋体" w:eastAsia="宋体" w:cs="宋体"/>
          <w:b/>
          <w:color w:val="auto"/>
          <w:sz w:val="21"/>
          <w:szCs w:val="21"/>
          <w:highlight w:val="none"/>
          <w:lang w:val="en-US" w:eastAsia="zh-CN"/>
        </w:rPr>
        <w:t>房票房源手续办理服务费</w:t>
      </w:r>
      <w:r>
        <w:rPr>
          <w:rFonts w:hint="eastAsia" w:ascii="宋体" w:hAnsi="宋体" w:eastAsia="宋体" w:cs="宋体"/>
          <w:b/>
          <w:color w:val="auto"/>
          <w:sz w:val="21"/>
          <w:szCs w:val="21"/>
          <w:highlight w:val="none"/>
          <w:lang w:val="en-US"/>
        </w:rPr>
        <w:t>报价得分（报价分值为</w:t>
      </w:r>
      <w:r>
        <w:rPr>
          <w:rFonts w:hint="eastAsia" w:ascii="宋体" w:hAnsi="宋体" w:cs="宋体"/>
          <w:b/>
          <w:color w:val="auto"/>
          <w:sz w:val="21"/>
          <w:szCs w:val="21"/>
          <w:highlight w:val="none"/>
          <w:lang w:val="en-US" w:eastAsia="zh-CN"/>
        </w:rPr>
        <w:t>10</w:t>
      </w:r>
      <w:r>
        <w:rPr>
          <w:rFonts w:hint="eastAsia" w:ascii="宋体" w:hAnsi="宋体" w:eastAsia="宋体" w:cs="宋体"/>
          <w:b/>
          <w:color w:val="auto"/>
          <w:sz w:val="21"/>
          <w:szCs w:val="21"/>
          <w:highlight w:val="none"/>
          <w:lang w:val="en-US"/>
        </w:rPr>
        <w:t>分，报价权重为</w:t>
      </w:r>
      <w:r>
        <w:rPr>
          <w:rFonts w:hint="eastAsia" w:ascii="宋体" w:hAnsi="宋体" w:cs="宋体"/>
          <w:b/>
          <w:color w:val="auto"/>
          <w:sz w:val="21"/>
          <w:szCs w:val="21"/>
          <w:highlight w:val="none"/>
          <w:lang w:val="en-US" w:eastAsia="zh-CN"/>
        </w:rPr>
        <w:t>10</w:t>
      </w:r>
      <w:r>
        <w:rPr>
          <w:rFonts w:hint="eastAsia" w:ascii="宋体" w:hAnsi="宋体" w:eastAsia="宋体" w:cs="宋体"/>
          <w:b/>
          <w:color w:val="auto"/>
          <w:sz w:val="21"/>
          <w:szCs w:val="21"/>
          <w:highlight w:val="none"/>
          <w:lang w:val="en-US"/>
        </w:rPr>
        <w:t>%，由评审委员会根据以下内容统一打分）</w:t>
      </w:r>
    </w:p>
    <w:p w14:paraId="2C9C3DBF">
      <w:pPr>
        <w:pStyle w:val="197"/>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⑴</w:t>
      </w:r>
      <w:r>
        <w:rPr>
          <w:rFonts w:hint="eastAsia" w:ascii="宋体" w:hAnsi="宋体" w:cs="宋体"/>
          <w:color w:val="auto"/>
          <w:szCs w:val="21"/>
          <w:highlight w:val="none"/>
        </w:rPr>
        <w:fldChar w:fldCharType="end"/>
      </w:r>
      <w:r>
        <w:rPr>
          <w:rFonts w:hint="eastAsia"/>
          <w:color w:val="auto"/>
          <w:highlight w:val="none"/>
        </w:rPr>
        <w:t>价格分采用低价优先法计算，即</w:t>
      </w:r>
      <w:r>
        <w:rPr>
          <w:rFonts w:hint="eastAsia" w:ascii="宋体" w:hAnsi="宋体" w:cs="宋体"/>
          <w:color w:val="auto"/>
          <w:szCs w:val="21"/>
          <w:highlight w:val="none"/>
        </w:rPr>
        <w:t>评标基准价指的是满足招标文件要求且最低的参与评审的价格。</w:t>
      </w:r>
    </w:p>
    <w:p w14:paraId="68DB755A">
      <w:pPr>
        <w:pStyle w:val="197"/>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⑵</w:t>
      </w:r>
      <w:r>
        <w:rPr>
          <w:rFonts w:hint="eastAsia" w:ascii="宋体" w:hAnsi="宋体" w:cs="宋体"/>
          <w:color w:val="auto"/>
          <w:szCs w:val="21"/>
          <w:highlight w:val="none"/>
        </w:rPr>
        <w:fldChar w:fldCharType="end"/>
      </w:r>
      <w:r>
        <w:rPr>
          <w:rFonts w:hint="eastAsia" w:ascii="宋体" w:hAnsi="宋体" w:cs="宋体"/>
          <w:color w:val="auto"/>
          <w:szCs w:val="21"/>
          <w:highlight w:val="none"/>
        </w:rPr>
        <w:t>参与评审的价格=有效投标报价</w:t>
      </w:r>
      <w:r>
        <w:rPr>
          <w:rFonts w:hint="eastAsia" w:ascii="宋体" w:hAnsi="宋体" w:cs="宋体"/>
          <w:b w:val="0"/>
          <w:bCs w:val="0"/>
          <w:color w:val="auto"/>
          <w:szCs w:val="21"/>
          <w:highlight w:val="none"/>
        </w:rPr>
        <w:t>。</w:t>
      </w:r>
    </w:p>
    <w:p w14:paraId="104D200C">
      <w:pPr>
        <w:pStyle w:val="197"/>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3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⑶</w:t>
      </w:r>
      <w:r>
        <w:rPr>
          <w:rFonts w:hint="eastAsia" w:ascii="宋体" w:hAnsi="宋体" w:cs="宋体"/>
          <w:color w:val="auto"/>
          <w:szCs w:val="21"/>
          <w:highlight w:val="none"/>
        </w:rPr>
        <w:fldChar w:fldCharType="end"/>
      </w:r>
      <w:r>
        <w:rPr>
          <w:rFonts w:hint="eastAsia" w:ascii="宋体" w:hAnsi="宋体" w:cs="宋体"/>
          <w:color w:val="auto"/>
          <w:szCs w:val="21"/>
          <w:highlight w:val="none"/>
        </w:rPr>
        <w:t>参与评审的价格等于评标基准价的其价格分得满分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110CEACC">
      <w:pPr>
        <w:pStyle w:val="197"/>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4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⑷</w:t>
      </w:r>
      <w:r>
        <w:rPr>
          <w:rFonts w:hint="eastAsia" w:ascii="宋体" w:hAnsi="宋体" w:cs="宋体"/>
          <w:color w:val="auto"/>
          <w:szCs w:val="21"/>
          <w:highlight w:val="none"/>
        </w:rPr>
        <w:fldChar w:fldCharType="end"/>
      </w:r>
      <w:r>
        <w:rPr>
          <w:rFonts w:hint="eastAsia" w:ascii="宋体" w:hAnsi="宋体" w:cs="宋体"/>
          <w:color w:val="auto"/>
          <w:szCs w:val="21"/>
          <w:highlight w:val="none"/>
        </w:rPr>
        <w:t>其他投标人价格得分按照下列公式计算：</w:t>
      </w:r>
    </w:p>
    <w:p w14:paraId="27DB6D12">
      <w:pPr>
        <w:pStyle w:val="197"/>
        <w:spacing w:line="360" w:lineRule="auto"/>
        <w:rPr>
          <w:rFonts w:ascii="宋体" w:hAnsi="宋体" w:cs="宋体"/>
          <w:color w:val="auto"/>
          <w:szCs w:val="21"/>
          <w:highlight w:val="none"/>
        </w:rPr>
      </w:pPr>
      <w:r>
        <w:rPr>
          <w:rFonts w:hint="eastAsia" w:ascii="宋体" w:hAnsi="宋体" w:cs="宋体"/>
          <w:color w:val="auto"/>
          <w:szCs w:val="21"/>
          <w:highlight w:val="none"/>
        </w:rPr>
        <w:t>价格得分=（评标基准价/各投标人参与评审的价格）×</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％×100。</w:t>
      </w:r>
    </w:p>
    <w:p w14:paraId="535BE09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5.3本项目最终得分=商务技术得分＋报价得分；</w:t>
      </w:r>
    </w:p>
    <w:p w14:paraId="3ED2D5B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5.4计分过程中，四舍五入，保留</w:t>
      </w:r>
      <w:r>
        <w:rPr>
          <w:rFonts w:hint="eastAsia" w:ascii="宋体" w:hAnsi="宋体" w:cs="宋体"/>
          <w:color w:val="auto"/>
          <w:szCs w:val="21"/>
          <w:highlight w:val="none"/>
          <w:lang w:val="en-US" w:eastAsia="zh-CN"/>
        </w:rPr>
        <w:t>两</w:t>
      </w:r>
      <w:r>
        <w:rPr>
          <w:rFonts w:hint="eastAsia" w:ascii="宋体" w:hAnsi="宋体" w:cs="宋体"/>
          <w:color w:val="auto"/>
          <w:szCs w:val="21"/>
          <w:highlight w:val="none"/>
        </w:rPr>
        <w:t xml:space="preserve">位小数。 </w:t>
      </w:r>
    </w:p>
    <w:p w14:paraId="4C1D3839">
      <w:pPr>
        <w:pStyle w:val="4"/>
        <w:spacing w:before="240" w:after="240" w:line="44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   修改评标结果</w:t>
      </w:r>
    </w:p>
    <w:p w14:paraId="49352CAF">
      <w:pPr>
        <w:pStyle w:val="197"/>
        <w:spacing w:line="440" w:lineRule="exact"/>
        <w:rPr>
          <w:rFonts w:ascii="宋体" w:hAnsi="宋体" w:cs="宋体"/>
          <w:color w:val="auto"/>
          <w:szCs w:val="21"/>
          <w:highlight w:val="none"/>
        </w:rPr>
      </w:pPr>
      <w:r>
        <w:rPr>
          <w:rFonts w:hint="eastAsia" w:ascii="宋体" w:hAnsi="宋体" w:cs="宋体"/>
          <w:color w:val="auto"/>
          <w:szCs w:val="21"/>
          <w:highlight w:val="none"/>
        </w:rPr>
        <w:t>6.1评标结果汇总完成后，除下列情形外，任何人不得修改评标结果：</w:t>
      </w:r>
    </w:p>
    <w:p w14:paraId="4F1F3781">
      <w:pPr>
        <w:pStyle w:val="197"/>
        <w:spacing w:line="440" w:lineRule="exact"/>
        <w:rPr>
          <w:rFonts w:ascii="宋体" w:hAnsi="宋体" w:cs="宋体"/>
          <w:color w:val="auto"/>
          <w:szCs w:val="21"/>
          <w:highlight w:val="none"/>
        </w:rPr>
      </w:pPr>
      <w:r>
        <w:rPr>
          <w:rFonts w:hint="eastAsia" w:ascii="宋体" w:hAnsi="宋体" w:cs="宋体"/>
          <w:color w:val="auto"/>
          <w:szCs w:val="21"/>
          <w:highlight w:val="none"/>
        </w:rPr>
        <w:t>（1）分值汇总计算错误的；</w:t>
      </w:r>
    </w:p>
    <w:p w14:paraId="6A306309">
      <w:pPr>
        <w:pStyle w:val="197"/>
        <w:spacing w:line="440" w:lineRule="exact"/>
        <w:rPr>
          <w:rFonts w:ascii="宋体" w:hAnsi="宋体" w:cs="宋体"/>
          <w:color w:val="auto"/>
          <w:szCs w:val="21"/>
          <w:highlight w:val="none"/>
        </w:rPr>
      </w:pPr>
      <w:r>
        <w:rPr>
          <w:rFonts w:hint="eastAsia" w:ascii="宋体" w:hAnsi="宋体" w:cs="宋体"/>
          <w:color w:val="auto"/>
          <w:szCs w:val="21"/>
          <w:highlight w:val="none"/>
        </w:rPr>
        <w:t>（2）分项评分超出评分标准范围的；</w:t>
      </w:r>
    </w:p>
    <w:p w14:paraId="55EE8324">
      <w:pPr>
        <w:pStyle w:val="197"/>
        <w:spacing w:line="440" w:lineRule="exact"/>
        <w:rPr>
          <w:rFonts w:ascii="宋体" w:hAnsi="宋体" w:cs="宋体"/>
          <w:color w:val="auto"/>
          <w:szCs w:val="21"/>
          <w:highlight w:val="none"/>
        </w:rPr>
      </w:pPr>
      <w:r>
        <w:rPr>
          <w:rFonts w:hint="eastAsia" w:ascii="宋体" w:hAnsi="宋体" w:cs="宋体"/>
          <w:color w:val="auto"/>
          <w:szCs w:val="21"/>
          <w:highlight w:val="none"/>
        </w:rPr>
        <w:t>（3）评标委员会成员对客观评审因素评分不一致的；</w:t>
      </w:r>
    </w:p>
    <w:p w14:paraId="0D8A06A7">
      <w:pPr>
        <w:pStyle w:val="197"/>
        <w:spacing w:line="440" w:lineRule="exact"/>
        <w:rPr>
          <w:rFonts w:ascii="宋体" w:hAnsi="宋体" w:cs="宋体"/>
          <w:color w:val="auto"/>
          <w:szCs w:val="21"/>
          <w:highlight w:val="none"/>
        </w:rPr>
      </w:pPr>
      <w:r>
        <w:rPr>
          <w:rFonts w:hint="eastAsia" w:ascii="宋体" w:hAnsi="宋体" w:cs="宋体"/>
          <w:color w:val="auto"/>
          <w:szCs w:val="21"/>
          <w:highlight w:val="none"/>
        </w:rPr>
        <w:t>（4）经评标委员会认定评分畸高、畸低的。</w:t>
      </w:r>
    </w:p>
    <w:p w14:paraId="76FA07EE">
      <w:pPr>
        <w:pStyle w:val="197"/>
        <w:spacing w:line="440" w:lineRule="exact"/>
        <w:rPr>
          <w:rFonts w:ascii="宋体" w:hAnsi="宋体" w:cs="宋体"/>
          <w:color w:val="auto"/>
          <w:szCs w:val="21"/>
          <w:highlight w:val="none"/>
        </w:rPr>
      </w:pPr>
      <w:r>
        <w:rPr>
          <w:rFonts w:hint="eastAsia" w:ascii="宋体" w:hAnsi="宋体" w:cs="宋体"/>
          <w:color w:val="auto"/>
          <w:szCs w:val="21"/>
          <w:highlight w:val="none"/>
        </w:rPr>
        <w:t>评标报告签署前，经复核发现存在以上情形之一的，评标委员会将当场修改评标结果，并在评标报告中记载。</w:t>
      </w:r>
    </w:p>
    <w:p w14:paraId="0D4B76D6">
      <w:pPr>
        <w:pStyle w:val="197"/>
        <w:spacing w:line="440" w:lineRule="exact"/>
        <w:rPr>
          <w:rFonts w:ascii="宋体" w:hAnsi="宋体" w:cs="宋体"/>
          <w:color w:val="auto"/>
          <w:szCs w:val="21"/>
          <w:highlight w:val="none"/>
        </w:rPr>
      </w:pPr>
      <w:r>
        <w:rPr>
          <w:rFonts w:hint="eastAsia" w:ascii="宋体" w:hAnsi="宋体" w:cs="宋体"/>
          <w:color w:val="auto"/>
          <w:szCs w:val="21"/>
          <w:highlight w:val="none"/>
        </w:rPr>
        <w:t>6.2评标委员会认为投标人报价明显低于其他合格投标人的报价，有可能影响服务质量或者不能诚信履约的，应当要求其在评审现场合理时间内提供书面说明，必要时提供相关证明材料；投标人不能证明其报价合理性的，评标委员会应当将其作为无效投标或者无效响应处理。</w:t>
      </w:r>
    </w:p>
    <w:p w14:paraId="25806E53">
      <w:pPr>
        <w:pStyle w:val="4"/>
        <w:spacing w:before="240" w:after="240" w:line="440" w:lineRule="exact"/>
        <w:ind w:firstLine="0" w:firstLineChars="0"/>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七   评审纪律和要求</w:t>
      </w:r>
      <w:bookmarkEnd w:id="202"/>
      <w:bookmarkEnd w:id="203"/>
      <w:bookmarkEnd w:id="204"/>
      <w:bookmarkEnd w:id="205"/>
    </w:p>
    <w:p w14:paraId="5BA7F7A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 评审专家必须公平、公正评审，遵纪守法，客观、廉洁地履行职责。</w:t>
      </w:r>
    </w:p>
    <w:p w14:paraId="77D8D85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 评审专家在评审开始前，应关闭并上交随身携带的各种通信工具。</w:t>
      </w:r>
    </w:p>
    <w:p w14:paraId="4D72293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 评审专家在评审过程中，未经许可不得中途离开评审现场，不得迟到早退。</w:t>
      </w:r>
    </w:p>
    <w:p w14:paraId="69050CF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7.4 评审专家和工作人员不得透露评审过程中的讨论情况和评审结果。</w:t>
      </w:r>
    </w:p>
    <w:p w14:paraId="481BDFF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DB4B3B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 采购人、招标代理机构不得向评审委员会的评审专家作倾向性、误导性的解释或者说明。</w:t>
      </w:r>
    </w:p>
    <w:p w14:paraId="65261C8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 招标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6F3151F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7.8 评审专家在评审过程中不得将自己的观点强加给其他评审专家，评审专家应自主发表见解，对评审意见承担个人责任。</w:t>
      </w:r>
    </w:p>
    <w:p w14:paraId="1360425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7.9 评审结束后，评审委员会应向招标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81357B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7.10 评审专家应当独立、客观、公正地提出评审意见，不得带有倾向性，不得影响其他评审专家评审，并在评审报告上签字；如对评审报告有异议的，可在报告上签署不同意见，并说明理由，否则将视为同意。</w:t>
      </w:r>
    </w:p>
    <w:p w14:paraId="3A91211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7.11 评审专家应当遵守评审工作纪律，不得泄露评审文件、评审情况和评审中获悉的商业秘密。</w:t>
      </w:r>
    </w:p>
    <w:p w14:paraId="64F38CC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评审委员会在评审过程中发现投标人有行贿、提供虚假材料或者串通等违法行为的，应当及时向</w:t>
      </w:r>
      <w:r>
        <w:rPr>
          <w:rFonts w:hint="eastAsia" w:hAnsi="宋体" w:cs="宋体"/>
          <w:color w:val="auto"/>
          <w:szCs w:val="21"/>
          <w:highlight w:val="none"/>
          <w:lang w:val="en-US" w:eastAsia="zh-CN"/>
        </w:rPr>
        <w:t>监管</w:t>
      </w:r>
      <w:r>
        <w:rPr>
          <w:rFonts w:hint="eastAsia" w:ascii="宋体" w:hAnsi="宋体" w:cs="宋体"/>
          <w:color w:val="auto"/>
          <w:szCs w:val="21"/>
          <w:highlight w:val="none"/>
        </w:rPr>
        <w:t>部门报告。</w:t>
      </w:r>
    </w:p>
    <w:p w14:paraId="63AFEDE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7.12 招标文件内容违反国家有关强制性规定的，评审委员会应当停止评审并向招标代理机构说明情况。</w:t>
      </w:r>
    </w:p>
    <w:p w14:paraId="06AD077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7.13 评审专家应当配合招标代理机构答复投标人提出的质疑。</w:t>
      </w:r>
    </w:p>
    <w:p w14:paraId="050E9C3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7.14 评审专家应当配合</w:t>
      </w:r>
      <w:r>
        <w:rPr>
          <w:rFonts w:hint="eastAsia" w:hAnsi="宋体" w:cs="宋体"/>
          <w:color w:val="auto"/>
          <w:szCs w:val="21"/>
          <w:highlight w:val="none"/>
          <w:lang w:val="en-US" w:eastAsia="zh-CN"/>
        </w:rPr>
        <w:t>监管</w:t>
      </w:r>
      <w:r>
        <w:rPr>
          <w:rFonts w:hint="eastAsia" w:ascii="宋体" w:hAnsi="宋体" w:cs="宋体"/>
          <w:color w:val="auto"/>
          <w:szCs w:val="21"/>
          <w:highlight w:val="none"/>
        </w:rPr>
        <w:t>部门的投诉处理工作。</w:t>
      </w:r>
    </w:p>
    <w:p w14:paraId="006BE34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7.15评审专家有如下行为之一的，责令改正，给予警告，可以并处一千元以下的罚款：</w:t>
      </w:r>
    </w:p>
    <w:p w14:paraId="7AF37CA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7.15.1 明知应当回避而未主动回避的；</w:t>
      </w:r>
    </w:p>
    <w:p w14:paraId="7ED0DAE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7.15.2 在知道自己为评审专家身份后至评审结束前的时段内私下接触投标人的；</w:t>
      </w:r>
    </w:p>
    <w:p w14:paraId="0CF62C0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7.15.3 在评审过程中擅离职守，影响评审程序正常进行的；</w:t>
      </w:r>
    </w:p>
    <w:p w14:paraId="1F55393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7.15.4 在评审过程有明显不合理或者不正当倾向性的；</w:t>
      </w:r>
    </w:p>
    <w:p w14:paraId="3E92076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7.15.5 未按招标文件规定的评审方法和标准进行评审的。</w:t>
      </w:r>
    </w:p>
    <w:p w14:paraId="1AB003B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7.15.6 上述7.15.1至7.15.5行为影响中标结果的，中标结果无效。</w:t>
      </w:r>
    </w:p>
    <w:p w14:paraId="0922F2D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7.16 招标代理机构可对各评审专家的专业技术水平和职业道德素质等情况进行评价，并可将评价意见在评审结束后2个工作日内反馈给</w:t>
      </w:r>
      <w:r>
        <w:rPr>
          <w:rFonts w:hint="eastAsia" w:ascii="宋体" w:hAnsi="宋体" w:cs="宋体"/>
          <w:color w:val="auto"/>
          <w:szCs w:val="21"/>
          <w:highlight w:val="none"/>
          <w:lang w:val="en-US" w:eastAsia="zh-CN"/>
        </w:rPr>
        <w:t>监管</w:t>
      </w:r>
      <w:r>
        <w:rPr>
          <w:rFonts w:hint="eastAsia" w:ascii="宋体" w:hAnsi="宋体" w:cs="宋体"/>
          <w:color w:val="auto"/>
          <w:szCs w:val="21"/>
          <w:highlight w:val="none"/>
        </w:rPr>
        <w:t>部门，</w:t>
      </w:r>
      <w:r>
        <w:rPr>
          <w:rFonts w:hint="eastAsia" w:ascii="宋体" w:hAnsi="宋体" w:cs="宋体"/>
          <w:color w:val="auto"/>
          <w:szCs w:val="21"/>
          <w:highlight w:val="none"/>
          <w:lang w:val="en-US" w:eastAsia="zh-CN"/>
        </w:rPr>
        <w:t>监管</w:t>
      </w:r>
      <w:r>
        <w:rPr>
          <w:rFonts w:hint="eastAsia" w:ascii="宋体" w:hAnsi="宋体" w:cs="宋体"/>
          <w:color w:val="auto"/>
          <w:szCs w:val="21"/>
          <w:highlight w:val="none"/>
        </w:rPr>
        <w:t>部门以此作为对评审专家的考核管理依据。</w:t>
      </w:r>
    </w:p>
    <w:p w14:paraId="2AF7822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7.17 采购评审专家未按照招标文件规定的评审程序、评审方法和评审标准进行独立评审或者泄露评审文件、评审情况的，由</w:t>
      </w:r>
      <w:r>
        <w:rPr>
          <w:rFonts w:hint="eastAsia" w:hAnsi="宋体" w:cs="宋体"/>
          <w:color w:val="auto"/>
          <w:szCs w:val="21"/>
          <w:highlight w:val="none"/>
          <w:lang w:val="en-US" w:eastAsia="zh-CN"/>
        </w:rPr>
        <w:t>监管</w:t>
      </w:r>
      <w:r>
        <w:rPr>
          <w:rFonts w:hint="eastAsia" w:ascii="宋体" w:hAnsi="宋体" w:cs="宋体"/>
          <w:color w:val="auto"/>
          <w:szCs w:val="21"/>
          <w:highlight w:val="none"/>
        </w:rPr>
        <w:t>部门给予警告，并处2000元以上2万元以下的罚款；影响中标、成交结果的，处2万元以上5万元以下的罚款，禁止其参加采购评审活动。</w:t>
      </w:r>
    </w:p>
    <w:p w14:paraId="27672E6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采购评审专家与投标人存在利害关系未回避的，处2万元以上5万元以下的罚款，禁止其参加采购评审活动。</w:t>
      </w:r>
    </w:p>
    <w:p w14:paraId="4014D85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采购评审专家收受采购人、招标代理机构、投标人贿赂或者获取其他不正当利益，构成犯罪的，依法追究刑事责任；尚不构成犯罪的，处2万元以上5万元以下的罚款，禁止其参加采购评审活动。</w:t>
      </w:r>
    </w:p>
    <w:p w14:paraId="3B466068">
      <w:p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采购评审专家有上述违法行为的，其评审意见无效，不得获取评审费；有违法所得的，没收违法所得；给他人造成损失的，依法承担民事责任。</w:t>
      </w:r>
      <w:r>
        <w:rPr>
          <w:rFonts w:hint="eastAsia" w:ascii="宋体" w:hAnsi="宋体" w:cs="宋体"/>
          <w:color w:val="auto"/>
          <w:highlight w:val="none"/>
        </w:rPr>
        <w:tab/>
      </w:r>
    </w:p>
    <w:sectPr>
      <w:headerReference r:id="rId6" w:type="first"/>
      <w:headerReference r:id="rId5" w:type="default"/>
      <w:pgSz w:w="11906" w:h="16838"/>
      <w:pgMar w:top="1276" w:right="1020" w:bottom="1276" w:left="1134" w:header="851" w:footer="992" w:gutter="0"/>
      <w:pgBorders>
        <w:top w:val="none" w:sz="0" w:space="0"/>
        <w:left w:val="none" w:sz="0" w:space="0"/>
        <w:bottom w:val="none" w:sz="0" w:space="0"/>
        <w:right w:val="none" w:sz="0" w:space="0"/>
      </w:pgBorders>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华文细黑">
    <w:altName w:val="微软雅黑"/>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Helvetica Neue">
    <w:altName w:val="微软雅黑"/>
    <w:panose1 w:val="00000000000000000000"/>
    <w:charset w:val="00"/>
    <w:family w:val="roman"/>
    <w:pitch w:val="default"/>
    <w:sig w:usb0="00000000" w:usb1="00000000" w:usb2="00000000" w:usb3="00000000" w:csb0="00040001" w:csb1="00000000"/>
  </w:font>
  <w:font w:name="CIDFon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4A65B">
    <w:pPr>
      <w:pStyle w:val="33"/>
      <w:pBdr>
        <w:top w:val="thinThickSmallGap" w:color="auto" w:sz="24" w:space="1"/>
      </w:pBdr>
      <w:ind w:right="40" w:rightChars="19" w:firstLine="105" w:firstLineChars="50"/>
      <w:rPr>
        <w:rFonts w:ascii="宋体" w:hAnsi="宋体"/>
        <w:kern w:val="0"/>
        <w:sz w:val="21"/>
        <w:szCs w:val="21"/>
      </w:rPr>
    </w:pPr>
    <w:r>
      <w:rPr>
        <w:rFonts w:hint="eastAsia" w:ascii="宋体" w:hAnsi="宋体" w:cs="宋体"/>
        <w:kern w:val="0"/>
        <w:sz w:val="21"/>
        <w:szCs w:val="21"/>
      </w:rPr>
      <w:t>代理机构：浙江大兴建设项目管理咨询有限公司      电话：0578-215</w:t>
    </w:r>
    <w:r>
      <w:rPr>
        <w:rFonts w:hint="eastAsia" w:ascii="宋体" w:hAnsi="宋体" w:cs="宋体"/>
        <w:kern w:val="0"/>
        <w:sz w:val="21"/>
        <w:szCs w:val="21"/>
        <w:lang w:val="en-US" w:eastAsia="zh-CN"/>
      </w:rPr>
      <w:t>3353</w:t>
    </w:r>
    <w:r>
      <w:rPr>
        <w:rFonts w:hint="eastAsia" w:ascii="宋体" w:hAnsi="宋体" w:cs="宋体"/>
        <w:kern w:val="0"/>
        <w:sz w:val="21"/>
        <w:szCs w:val="21"/>
      </w:rPr>
      <w:t xml:space="preserve">     传真：0578-</w: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0740669" name="文本框 105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24B1BF8">
                          <w:pPr>
                            <w:pStyle w:val="33"/>
                          </w:pPr>
                        </w:p>
                      </w:txbxContent>
                    </wps:txbx>
                    <wps:bodyPr rot="0" vert="horz" wrap="none" lIns="0" tIns="0" rIns="0" bIns="0" anchor="t" anchorCtr="0" upright="1">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ql5uc8AAAAFAQAADwAAAAAAAAABACAAAAAiAAAA&#10;ZHJzL2Rvd25yZXYueG1sUEsBAhQAFAAAAAgAh07iQEL2zs4QAgAAEAQAAA4AAAAAAAAAAQAgAAAA&#10;HgEAAGRycy9lMm9Eb2MueG1sUEsFBgAAAAAGAAYAWQEAAKAFAAAAAA==&#10;">
              <v:fill on="f" focussize="0,0"/>
              <v:stroke on="f"/>
              <v:imagedata o:title=""/>
              <o:lock v:ext="edit" aspectratio="f"/>
              <v:textbox inset="0mm,0mm,0mm,0mm" style="mso-fit-shape-to-text:t;">
                <w:txbxContent>
                  <w:p w14:paraId="524B1BF8">
                    <w:pPr>
                      <w:pStyle w:val="33"/>
                    </w:pPr>
                  </w:p>
                </w:txbxContent>
              </v:textbox>
            </v:shape>
          </w:pict>
        </mc:Fallback>
      </mc:AlternateContent>
    </w:r>
    <w:r>
      <w:rPr>
        <w:rFonts w:hint="eastAsia" w:ascii="宋体" w:hAnsi="宋体" w:cs="宋体"/>
        <w:kern w:val="0"/>
        <w:sz w:val="21"/>
        <w:szCs w:val="21"/>
      </w:rPr>
      <w:t>2121173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8E4D1">
    <w:pPr>
      <w:pStyle w:val="35"/>
      <w:pBdr>
        <w:bottom w:val="thinThickMediumGap" w:color="auto" w:sz="18" w:space="1"/>
      </w:pBdr>
      <w:jc w:val="both"/>
    </w:pPr>
    <w:r>
      <w:rPr>
        <w:rFonts w:hint="eastAsia" w:ascii="宋体" w:hAnsi="宋体" w:eastAsia="宋体"/>
        <w:sz w:val="21"/>
        <w:szCs w:val="20"/>
      </w:rPr>
      <w:fldChar w:fldCharType="begin"/>
    </w:r>
    <w:r>
      <w:rPr>
        <w:rFonts w:hint="eastAsia" w:ascii="宋体" w:hAnsi="宋体" w:eastAsia="宋体"/>
        <w:sz w:val="21"/>
        <w:szCs w:val="20"/>
      </w:rPr>
      <w:instrText xml:space="preserve"> HYPERLINK "https://bidding.zcygov.cn/xmgl/projectQuery/queryDetail?projectUuid=5c859e260a927c18" \l "/purchaseFileMake/_blank" \t "https://www.zcygov.cn/bidding-entrust/" </w:instrText>
    </w:r>
    <w:r>
      <w:rPr>
        <w:rFonts w:hint="eastAsia" w:ascii="宋体" w:hAnsi="宋体" w:eastAsia="宋体"/>
        <w:sz w:val="21"/>
        <w:szCs w:val="20"/>
      </w:rPr>
      <w:fldChar w:fldCharType="separate"/>
    </w:r>
    <w:r>
      <w:rPr>
        <w:rFonts w:hint="eastAsia" w:ascii="宋体" w:hAnsi="宋体"/>
        <w:sz w:val="21"/>
        <w:szCs w:val="20"/>
        <w:lang w:eastAsia="zh-CN"/>
      </w:rPr>
      <w:t>云和县白水区块商住项目房产代销项目</w:t>
    </w:r>
    <w:r>
      <w:rPr>
        <w:rFonts w:hint="eastAsia" w:ascii="宋体" w:hAnsi="宋体" w:eastAsia="宋体"/>
        <w:sz w:val="21"/>
        <w:szCs w:val="20"/>
      </w:rPr>
      <w:fldChar w:fldCharType="end"/>
    </w:r>
    <w:r>
      <w:rPr>
        <w:rFonts w:hint="eastAsia" w:ascii="宋体" w:hAnsi="宋体" w:eastAsia="宋体"/>
        <w:sz w:val="21"/>
        <w:szCs w:val="20"/>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51FBC">
    <w:pPr>
      <w:pStyle w:val="35"/>
      <w:pBdr>
        <w:bottom w:val="thinThickMediumGap" w:color="auto" w:sz="18" w:space="1"/>
      </w:pBdr>
      <w:jc w:val="both"/>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78C95">
                          <w:pPr>
                            <w:pStyle w:val="3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978C95">
                    <w:pPr>
                      <w:pStyle w:val="3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r>
      <w:rPr>
        <w:rFonts w:hint="eastAsia" w:ascii="宋体" w:hAnsi="宋体" w:eastAsia="宋体"/>
        <w:sz w:val="21"/>
        <w:szCs w:val="20"/>
      </w:rPr>
      <w:fldChar w:fldCharType="begin"/>
    </w:r>
    <w:r>
      <w:rPr>
        <w:rFonts w:hint="eastAsia" w:ascii="宋体" w:hAnsi="宋体" w:eastAsia="宋体"/>
        <w:sz w:val="21"/>
        <w:szCs w:val="20"/>
      </w:rPr>
      <w:instrText xml:space="preserve"> HYPERLINK "https://bidding.zcygov.cn/xmgl/projectQuery/queryDetail?projectUuid=5c859e260a927c18" \l "/purchaseFileMake/_blank" \t "https://www.zcygov.cn/bidding-entrust/" </w:instrText>
    </w:r>
    <w:r>
      <w:rPr>
        <w:rFonts w:hint="eastAsia" w:ascii="宋体" w:hAnsi="宋体" w:eastAsia="宋体"/>
        <w:sz w:val="21"/>
        <w:szCs w:val="20"/>
      </w:rPr>
      <w:fldChar w:fldCharType="separate"/>
    </w:r>
    <w:r>
      <w:rPr>
        <w:rFonts w:hint="eastAsia" w:ascii="宋体" w:hAnsi="宋体"/>
        <w:sz w:val="21"/>
        <w:szCs w:val="20"/>
        <w:lang w:eastAsia="zh-CN"/>
      </w:rPr>
      <w:t>云和县白水区块商住项目房产代销项目</w:t>
    </w:r>
    <w:r>
      <w:rPr>
        <w:rFonts w:hint="eastAsia" w:ascii="宋体" w:hAnsi="宋体" w:eastAsia="宋体"/>
        <w:sz w:val="21"/>
        <w:szCs w:val="20"/>
      </w:rPr>
      <w:fldChar w:fldCharType="end"/>
    </w:r>
    <w:r>
      <w:rPr>
        <w:rFonts w:hint="eastAsia" w:ascii="宋体" w:hAnsi="宋体"/>
        <w:sz w:val="21"/>
        <w:szCs w:val="20"/>
        <w:lang w:eastAsia="zh-CN"/>
      </w:rPr>
      <w:t>（</w:t>
    </w:r>
    <w:r>
      <w:rPr>
        <w:rFonts w:hint="eastAsia" w:ascii="宋体" w:hAnsi="宋体"/>
        <w:sz w:val="21"/>
        <w:szCs w:val="20"/>
        <w:lang w:val="en-US" w:eastAsia="zh-CN"/>
      </w:rPr>
      <w:t>第三次）</w:t>
    </w:r>
    <w:r>
      <w:rPr>
        <w:rFonts w:hint="eastAsia" w:ascii="宋体" w:hAnsi="宋体" w:eastAsia="宋体"/>
        <w:sz w:val="21"/>
        <w:szCs w:val="20"/>
      </w:rPr>
      <w:t xml:space="preserve">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2EC7A">
    <w:pPr>
      <w:pStyle w:val="35"/>
      <w:pBdr>
        <w:bottom w:val="thinThickMediumGap" w:color="auto" w:sz="18" w:space="1"/>
      </w:pBdr>
      <w:jc w:val="both"/>
    </w:pPr>
    <w:r>
      <w:rPr>
        <w:sz w:val="18"/>
      </w:rPr>
      <mc:AlternateContent>
        <mc:Choice Requires="wps">
          <w:drawing>
            <wp:anchor distT="0" distB="0" distL="114300" distR="114300" simplePos="0" relativeHeight="251661312" behindDoc="0" locked="0" layoutInCell="1" allowOverlap="1">
              <wp:simplePos x="0" y="0"/>
              <wp:positionH relativeFrom="margin">
                <wp:posOffset>5518785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88B9F">
                          <w:pPr>
                            <w:pStyle w:val="35"/>
                            <w:rPr>
                              <w:rFonts w:hint="eastAsia" w:ascii="宋体" w:hAnsi="宋体" w:eastAsia="宋体" w:cs="宋体"/>
                              <w:sz w:val="21"/>
                              <w:szCs w:val="22"/>
                            </w:rPr>
                          </w:pPr>
                          <w:r>
                            <w:rPr>
                              <w:rFonts w:hint="eastAsia" w:ascii="宋体" w:hAnsi="宋体" w:eastAsia="宋体" w:cs="宋体"/>
                              <w:sz w:val="21"/>
                              <w:szCs w:val="22"/>
                            </w:rPr>
                            <w:t xml:space="preserve">第 </w:t>
                          </w:r>
                          <w:r>
                            <w:rPr>
                              <w:rFonts w:hint="eastAsia" w:ascii="宋体" w:hAnsi="宋体" w:eastAsia="宋体" w:cs="宋体"/>
                              <w:sz w:val="21"/>
                              <w:szCs w:val="22"/>
                            </w:rPr>
                            <w:fldChar w:fldCharType="begin"/>
                          </w:r>
                          <w:r>
                            <w:rPr>
                              <w:rFonts w:hint="eastAsia" w:ascii="宋体" w:hAnsi="宋体" w:eastAsia="宋体" w:cs="宋体"/>
                              <w:sz w:val="21"/>
                              <w:szCs w:val="22"/>
                            </w:rPr>
                            <w:instrText xml:space="preserve"> PAGE  \* MERGEFORMAT </w:instrText>
                          </w:r>
                          <w:r>
                            <w:rPr>
                              <w:rFonts w:hint="eastAsia" w:ascii="宋体" w:hAnsi="宋体" w:eastAsia="宋体" w:cs="宋体"/>
                              <w:sz w:val="21"/>
                              <w:szCs w:val="22"/>
                            </w:rPr>
                            <w:fldChar w:fldCharType="separate"/>
                          </w:r>
                          <w:r>
                            <w:rPr>
                              <w:rFonts w:hint="eastAsia" w:ascii="宋体" w:hAnsi="宋体" w:eastAsia="宋体" w:cs="宋体"/>
                              <w:sz w:val="21"/>
                              <w:szCs w:val="22"/>
                            </w:rPr>
                            <w:t>1</w:t>
                          </w:r>
                          <w:r>
                            <w:rPr>
                              <w:rFonts w:hint="eastAsia" w:ascii="宋体" w:hAnsi="宋体" w:eastAsia="宋体" w:cs="宋体"/>
                              <w:sz w:val="21"/>
                              <w:szCs w:val="22"/>
                            </w:rPr>
                            <w:fldChar w:fldCharType="end"/>
                          </w:r>
                          <w:r>
                            <w:rPr>
                              <w:rFonts w:hint="eastAsia" w:ascii="宋体" w:hAnsi="宋体" w:eastAsia="宋体" w:cs="宋体"/>
                              <w:sz w:val="21"/>
                              <w:szCs w:val="2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4.55pt;margin-top:0pt;height:144pt;width:144pt;mso-position-horizontal-relative:margin;mso-wrap-style:none;z-index:251661312;mso-width-relative:page;mso-height-relative:page;" filled="f" stroked="f" coordsize="21600,21600" o:gfxdata="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pnVzVAAAACQ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14:paraId="3F588B9F">
                    <w:pPr>
                      <w:pStyle w:val="35"/>
                      <w:rPr>
                        <w:rFonts w:hint="eastAsia" w:ascii="宋体" w:hAnsi="宋体" w:eastAsia="宋体" w:cs="宋体"/>
                        <w:sz w:val="21"/>
                        <w:szCs w:val="22"/>
                      </w:rPr>
                    </w:pPr>
                    <w:r>
                      <w:rPr>
                        <w:rFonts w:hint="eastAsia" w:ascii="宋体" w:hAnsi="宋体" w:eastAsia="宋体" w:cs="宋体"/>
                        <w:sz w:val="21"/>
                        <w:szCs w:val="22"/>
                      </w:rPr>
                      <w:t xml:space="preserve">第 </w:t>
                    </w:r>
                    <w:r>
                      <w:rPr>
                        <w:rFonts w:hint="eastAsia" w:ascii="宋体" w:hAnsi="宋体" w:eastAsia="宋体" w:cs="宋体"/>
                        <w:sz w:val="21"/>
                        <w:szCs w:val="22"/>
                      </w:rPr>
                      <w:fldChar w:fldCharType="begin"/>
                    </w:r>
                    <w:r>
                      <w:rPr>
                        <w:rFonts w:hint="eastAsia" w:ascii="宋体" w:hAnsi="宋体" w:eastAsia="宋体" w:cs="宋体"/>
                        <w:sz w:val="21"/>
                        <w:szCs w:val="22"/>
                      </w:rPr>
                      <w:instrText xml:space="preserve"> PAGE  \* MERGEFORMAT </w:instrText>
                    </w:r>
                    <w:r>
                      <w:rPr>
                        <w:rFonts w:hint="eastAsia" w:ascii="宋体" w:hAnsi="宋体" w:eastAsia="宋体" w:cs="宋体"/>
                        <w:sz w:val="21"/>
                        <w:szCs w:val="22"/>
                      </w:rPr>
                      <w:fldChar w:fldCharType="separate"/>
                    </w:r>
                    <w:r>
                      <w:rPr>
                        <w:rFonts w:hint="eastAsia" w:ascii="宋体" w:hAnsi="宋体" w:eastAsia="宋体" w:cs="宋体"/>
                        <w:sz w:val="21"/>
                        <w:szCs w:val="22"/>
                      </w:rPr>
                      <w:t>1</w:t>
                    </w:r>
                    <w:r>
                      <w:rPr>
                        <w:rFonts w:hint="eastAsia" w:ascii="宋体" w:hAnsi="宋体" w:eastAsia="宋体" w:cs="宋体"/>
                        <w:sz w:val="21"/>
                        <w:szCs w:val="22"/>
                      </w:rPr>
                      <w:fldChar w:fldCharType="end"/>
                    </w:r>
                    <w:r>
                      <w:rPr>
                        <w:rFonts w:hint="eastAsia" w:ascii="宋体" w:hAnsi="宋体" w:eastAsia="宋体" w:cs="宋体"/>
                        <w:sz w:val="21"/>
                        <w:szCs w:val="22"/>
                      </w:rPr>
                      <w:t xml:space="preserve"> 页</w:t>
                    </w:r>
                  </w:p>
                </w:txbxContent>
              </v:textbox>
            </v:shape>
          </w:pict>
        </mc:Fallback>
      </mc:AlternateContent>
    </w:r>
    <w:r>
      <w:rPr>
        <w:rFonts w:hint="eastAsia" w:ascii="宋体" w:hAnsi="宋体" w:eastAsia="宋体"/>
        <w:sz w:val="21"/>
        <w:szCs w:val="20"/>
      </w:rPr>
      <w:fldChar w:fldCharType="begin"/>
    </w:r>
    <w:r>
      <w:rPr>
        <w:rFonts w:hint="eastAsia" w:ascii="宋体" w:hAnsi="宋体" w:eastAsia="宋体"/>
        <w:sz w:val="21"/>
        <w:szCs w:val="20"/>
      </w:rPr>
      <w:instrText xml:space="preserve"> HYPERLINK "https://bidding.zcygov.cn/xmgl/projectQuery/queryDetail?projectUuid=5c859e260a927c18" \l "/purchaseFileMake/_blank" \t "https://www.zcygov.cn/bidding-entrust/" </w:instrText>
    </w:r>
    <w:r>
      <w:rPr>
        <w:rFonts w:hint="eastAsia" w:ascii="宋体" w:hAnsi="宋体" w:eastAsia="宋体"/>
        <w:sz w:val="21"/>
        <w:szCs w:val="20"/>
      </w:rPr>
      <w:fldChar w:fldCharType="separate"/>
    </w:r>
    <w:r>
      <w:rPr>
        <w:rFonts w:hint="eastAsia" w:ascii="宋体" w:hAnsi="宋体"/>
        <w:sz w:val="21"/>
        <w:szCs w:val="20"/>
        <w:lang w:eastAsia="zh-CN"/>
      </w:rPr>
      <w:t>云和县白水区块商住项目房产代销项目</w:t>
    </w:r>
    <w:r>
      <w:rPr>
        <w:rFonts w:hint="eastAsia" w:ascii="宋体" w:hAnsi="宋体" w:eastAsia="宋体"/>
        <w:sz w:val="21"/>
        <w:szCs w:val="20"/>
      </w:rPr>
      <w:fldChar w:fldCharType="end"/>
    </w:r>
    <w:r>
      <w:rPr>
        <w:rFonts w:hint="eastAsia" w:ascii="宋体" w:hAnsi="宋体"/>
        <w:sz w:val="21"/>
        <w:szCs w:val="20"/>
        <w:lang w:eastAsia="zh-CN"/>
      </w:rPr>
      <w:t>（</w:t>
    </w:r>
    <w:r>
      <w:rPr>
        <w:rFonts w:hint="eastAsia" w:ascii="宋体" w:hAnsi="宋体"/>
        <w:sz w:val="21"/>
        <w:szCs w:val="20"/>
        <w:lang w:val="en-US" w:eastAsia="zh-CN"/>
      </w:rPr>
      <w:t>第三次）</w:t>
    </w:r>
    <w:r>
      <w:rPr>
        <w:rFonts w:hint="eastAsia" w:ascii="宋体" w:hAnsi="宋体" w:eastAsia="宋体"/>
        <w:sz w:val="21"/>
        <w:szCs w:val="20"/>
      </w:rPr>
      <w:t xml:space="preserve">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F2F45"/>
    <w:multiLevelType w:val="singleLevel"/>
    <w:tmpl w:val="96BF2F45"/>
    <w:lvl w:ilvl="0" w:tentative="0">
      <w:start w:val="1"/>
      <w:numFmt w:val="decimal"/>
      <w:suff w:val="nothing"/>
      <w:lvlText w:val="%1、"/>
      <w:lvlJc w:val="left"/>
    </w:lvl>
  </w:abstractNum>
  <w:abstractNum w:abstractNumId="1">
    <w:nsid w:val="B9D2E2A8"/>
    <w:multiLevelType w:val="singleLevel"/>
    <w:tmpl w:val="B9D2E2A8"/>
    <w:lvl w:ilvl="0" w:tentative="0">
      <w:start w:val="11"/>
      <w:numFmt w:val="chineseCounting"/>
      <w:suff w:val="space"/>
      <w:lvlText w:val="第%1条"/>
      <w:lvlJc w:val="left"/>
      <w:rPr>
        <w:rFonts w:hint="eastAsia"/>
        <w:b/>
        <w:bCs/>
      </w:rPr>
    </w:lvl>
  </w:abstractNum>
  <w:abstractNum w:abstractNumId="2">
    <w:nsid w:val="EE944678"/>
    <w:multiLevelType w:val="singleLevel"/>
    <w:tmpl w:val="EE944678"/>
    <w:lvl w:ilvl="0" w:tentative="0">
      <w:start w:val="1"/>
      <w:numFmt w:val="decimal"/>
      <w:suff w:val="nothing"/>
      <w:lvlText w:val="%1）"/>
      <w:lvlJc w:val="left"/>
    </w:lvl>
  </w:abstractNum>
  <w:abstractNum w:abstractNumId="3">
    <w:nsid w:val="F8723996"/>
    <w:multiLevelType w:val="singleLevel"/>
    <w:tmpl w:val="F8723996"/>
    <w:lvl w:ilvl="0" w:tentative="0">
      <w:start w:val="5"/>
      <w:numFmt w:val="chineseCounting"/>
      <w:suff w:val="nothing"/>
      <w:lvlText w:val="第%1章　"/>
      <w:lvlJc w:val="left"/>
      <w:rPr>
        <w:rFonts w:hint="eastAsia"/>
      </w:rPr>
    </w:lvl>
  </w:abstractNum>
  <w:abstractNum w:abstractNumId="4">
    <w:nsid w:val="FEBC55C4"/>
    <w:multiLevelType w:val="singleLevel"/>
    <w:tmpl w:val="FEBC55C4"/>
    <w:lvl w:ilvl="0" w:tentative="0">
      <w:start w:val="1"/>
      <w:numFmt w:val="chineseCounting"/>
      <w:suff w:val="space"/>
      <w:lvlText w:val="第%1章"/>
      <w:lvlJc w:val="left"/>
      <w:pPr>
        <w:ind w:left="2310"/>
      </w:pPr>
      <w:rPr>
        <w:rFonts w:hint="eastAsia"/>
      </w:rPr>
    </w:lvl>
  </w:abstractNum>
  <w:abstractNum w:abstractNumId="5">
    <w:nsid w:val="074054F6"/>
    <w:multiLevelType w:val="multilevel"/>
    <w:tmpl w:val="074054F6"/>
    <w:lvl w:ilvl="0" w:tentative="0">
      <w:start w:val="1"/>
      <w:numFmt w:val="decimal"/>
      <w:pStyle w:val="263"/>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16A26A89"/>
    <w:multiLevelType w:val="singleLevel"/>
    <w:tmpl w:val="16A26A89"/>
    <w:lvl w:ilvl="0" w:tentative="0">
      <w:start w:val="2"/>
      <w:numFmt w:val="decimal"/>
      <w:suff w:val="nothing"/>
      <w:lvlText w:val="%1、"/>
      <w:lvlJc w:val="left"/>
    </w:lvl>
  </w:abstractNum>
  <w:abstractNum w:abstractNumId="7">
    <w:nsid w:val="31F74077"/>
    <w:multiLevelType w:val="singleLevel"/>
    <w:tmpl w:val="31F74077"/>
    <w:lvl w:ilvl="0" w:tentative="0">
      <w:start w:val="6"/>
      <w:numFmt w:val="chineseCounting"/>
      <w:suff w:val="nothing"/>
      <w:lvlText w:val="%1、"/>
      <w:lvlJc w:val="left"/>
      <w:rPr>
        <w:rFonts w:hint="eastAsia"/>
      </w:rPr>
    </w:lvl>
  </w:abstractNum>
  <w:abstractNum w:abstractNumId="8">
    <w:nsid w:val="376F4EEB"/>
    <w:multiLevelType w:val="multilevel"/>
    <w:tmpl w:val="376F4EEB"/>
    <w:lvl w:ilvl="0" w:tentative="0">
      <w:start w:val="3"/>
      <w:numFmt w:val="decimal"/>
      <w:lvlText w:val="%1"/>
      <w:lvlJc w:val="left"/>
      <w:pPr>
        <w:ind w:left="360" w:hanging="360"/>
      </w:pPr>
      <w:rPr>
        <w:rFonts w:hint="default"/>
      </w:rPr>
    </w:lvl>
    <w:lvl w:ilvl="1" w:tentative="0">
      <w:start w:val="1"/>
      <w:numFmt w:val="decimal"/>
      <w:pStyle w:val="319"/>
      <w:lvlText w:val="%1.%2"/>
      <w:lvlJc w:val="left"/>
      <w:pPr>
        <w:ind w:left="644" w:hanging="360"/>
      </w:pPr>
      <w:rPr>
        <w:rFonts w:hint="default" w:ascii="Times New Roman" w:hAnsi="Times New Roman" w:cs="Times New Roman"/>
        <w:b w:val="0"/>
      </w:rPr>
    </w:lvl>
    <w:lvl w:ilvl="2" w:tentative="0">
      <w:start w:val="1"/>
      <w:numFmt w:val="decimal"/>
      <w:pStyle w:val="199"/>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8"/>
  </w:num>
  <w:num w:numId="2">
    <w:abstractNumId w:val="5"/>
  </w:num>
  <w:num w:numId="3">
    <w:abstractNumId w:val="4"/>
  </w:num>
  <w:num w:numId="4">
    <w:abstractNumId w:val="7"/>
  </w:num>
  <w:num w:numId="5">
    <w:abstractNumId w:val="6"/>
  </w:num>
  <w:num w:numId="6">
    <w:abstractNumId w:val="1"/>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yNmU4MjZlYTRlYzFjZjllYmI2MTcyNGM4NGExZWIifQ=="/>
    <w:docVar w:name="KSO_WPS_MARK_KEY" w:val="feac394a-d8bc-41d7-b5ef-fb20586386e5"/>
  </w:docVars>
  <w:rsids>
    <w:rsidRoot w:val="00172A27"/>
    <w:rsid w:val="00000151"/>
    <w:rsid w:val="00000257"/>
    <w:rsid w:val="00000347"/>
    <w:rsid w:val="0000089F"/>
    <w:rsid w:val="00001B64"/>
    <w:rsid w:val="000026C1"/>
    <w:rsid w:val="00002915"/>
    <w:rsid w:val="00002DA3"/>
    <w:rsid w:val="000036BF"/>
    <w:rsid w:val="00004103"/>
    <w:rsid w:val="00004595"/>
    <w:rsid w:val="000045FE"/>
    <w:rsid w:val="0000488C"/>
    <w:rsid w:val="00006BDD"/>
    <w:rsid w:val="00006DA8"/>
    <w:rsid w:val="00006F43"/>
    <w:rsid w:val="00007361"/>
    <w:rsid w:val="0000761C"/>
    <w:rsid w:val="00007965"/>
    <w:rsid w:val="00007BB8"/>
    <w:rsid w:val="00007E72"/>
    <w:rsid w:val="000101DE"/>
    <w:rsid w:val="000103DA"/>
    <w:rsid w:val="000103DD"/>
    <w:rsid w:val="000109A8"/>
    <w:rsid w:val="000110E5"/>
    <w:rsid w:val="0001145B"/>
    <w:rsid w:val="0001237A"/>
    <w:rsid w:val="00012AF5"/>
    <w:rsid w:val="00012E3D"/>
    <w:rsid w:val="000131A2"/>
    <w:rsid w:val="00013676"/>
    <w:rsid w:val="000139CD"/>
    <w:rsid w:val="00013A8E"/>
    <w:rsid w:val="00013C39"/>
    <w:rsid w:val="00014116"/>
    <w:rsid w:val="00014553"/>
    <w:rsid w:val="000146EA"/>
    <w:rsid w:val="000148CB"/>
    <w:rsid w:val="00015064"/>
    <w:rsid w:val="00015297"/>
    <w:rsid w:val="00015555"/>
    <w:rsid w:val="000156DC"/>
    <w:rsid w:val="00015A1C"/>
    <w:rsid w:val="00015CA7"/>
    <w:rsid w:val="00016557"/>
    <w:rsid w:val="00016630"/>
    <w:rsid w:val="000168E3"/>
    <w:rsid w:val="00016AB8"/>
    <w:rsid w:val="00016C63"/>
    <w:rsid w:val="00016CFC"/>
    <w:rsid w:val="00017192"/>
    <w:rsid w:val="00017946"/>
    <w:rsid w:val="00017D32"/>
    <w:rsid w:val="00017DF1"/>
    <w:rsid w:val="00017FBA"/>
    <w:rsid w:val="000209C6"/>
    <w:rsid w:val="00020B3D"/>
    <w:rsid w:val="00020DF3"/>
    <w:rsid w:val="0002102A"/>
    <w:rsid w:val="0002139F"/>
    <w:rsid w:val="000216F7"/>
    <w:rsid w:val="00021872"/>
    <w:rsid w:val="00021C09"/>
    <w:rsid w:val="00022219"/>
    <w:rsid w:val="000223D9"/>
    <w:rsid w:val="0002297B"/>
    <w:rsid w:val="00022AD6"/>
    <w:rsid w:val="00023072"/>
    <w:rsid w:val="00023230"/>
    <w:rsid w:val="00023262"/>
    <w:rsid w:val="0002392B"/>
    <w:rsid w:val="00023E55"/>
    <w:rsid w:val="00024F82"/>
    <w:rsid w:val="000250A0"/>
    <w:rsid w:val="000256B1"/>
    <w:rsid w:val="000257A7"/>
    <w:rsid w:val="00025FCC"/>
    <w:rsid w:val="0002731D"/>
    <w:rsid w:val="00030176"/>
    <w:rsid w:val="0003161E"/>
    <w:rsid w:val="000319B3"/>
    <w:rsid w:val="0003238A"/>
    <w:rsid w:val="000328DF"/>
    <w:rsid w:val="000329E0"/>
    <w:rsid w:val="00032CF1"/>
    <w:rsid w:val="00032DA9"/>
    <w:rsid w:val="00033065"/>
    <w:rsid w:val="000335C4"/>
    <w:rsid w:val="00033721"/>
    <w:rsid w:val="0003398D"/>
    <w:rsid w:val="00033B08"/>
    <w:rsid w:val="00033E85"/>
    <w:rsid w:val="00034628"/>
    <w:rsid w:val="00034684"/>
    <w:rsid w:val="00034B5D"/>
    <w:rsid w:val="00034D5F"/>
    <w:rsid w:val="000358E8"/>
    <w:rsid w:val="00035DAC"/>
    <w:rsid w:val="000370EF"/>
    <w:rsid w:val="000372E4"/>
    <w:rsid w:val="0003758B"/>
    <w:rsid w:val="00037BEA"/>
    <w:rsid w:val="0004021C"/>
    <w:rsid w:val="00040F1B"/>
    <w:rsid w:val="0004108C"/>
    <w:rsid w:val="0004120C"/>
    <w:rsid w:val="000413A0"/>
    <w:rsid w:val="000425A9"/>
    <w:rsid w:val="00042AB2"/>
    <w:rsid w:val="000435B2"/>
    <w:rsid w:val="00043CA2"/>
    <w:rsid w:val="00043E60"/>
    <w:rsid w:val="000440E8"/>
    <w:rsid w:val="0004467D"/>
    <w:rsid w:val="00045BF2"/>
    <w:rsid w:val="0004603F"/>
    <w:rsid w:val="00046DBC"/>
    <w:rsid w:val="00046EA0"/>
    <w:rsid w:val="00046F60"/>
    <w:rsid w:val="00046FC1"/>
    <w:rsid w:val="0004715C"/>
    <w:rsid w:val="00047921"/>
    <w:rsid w:val="00047BC9"/>
    <w:rsid w:val="00050159"/>
    <w:rsid w:val="000501D0"/>
    <w:rsid w:val="000505A6"/>
    <w:rsid w:val="000512EF"/>
    <w:rsid w:val="00051590"/>
    <w:rsid w:val="0005163A"/>
    <w:rsid w:val="00051A6A"/>
    <w:rsid w:val="0005208E"/>
    <w:rsid w:val="000527C6"/>
    <w:rsid w:val="0005280E"/>
    <w:rsid w:val="00053169"/>
    <w:rsid w:val="00053869"/>
    <w:rsid w:val="00053EF6"/>
    <w:rsid w:val="00054228"/>
    <w:rsid w:val="0005450F"/>
    <w:rsid w:val="00054665"/>
    <w:rsid w:val="00054759"/>
    <w:rsid w:val="00054A05"/>
    <w:rsid w:val="00054A7A"/>
    <w:rsid w:val="00054EC4"/>
    <w:rsid w:val="00055161"/>
    <w:rsid w:val="0005654C"/>
    <w:rsid w:val="00056784"/>
    <w:rsid w:val="000569D7"/>
    <w:rsid w:val="00056BCB"/>
    <w:rsid w:val="00056D4E"/>
    <w:rsid w:val="0005764D"/>
    <w:rsid w:val="00057AA3"/>
    <w:rsid w:val="0006013F"/>
    <w:rsid w:val="00060459"/>
    <w:rsid w:val="00060A09"/>
    <w:rsid w:val="00060C53"/>
    <w:rsid w:val="00060D7C"/>
    <w:rsid w:val="00061009"/>
    <w:rsid w:val="0006120B"/>
    <w:rsid w:val="00061A0E"/>
    <w:rsid w:val="00061F76"/>
    <w:rsid w:val="00062902"/>
    <w:rsid w:val="00062A26"/>
    <w:rsid w:val="00062CBD"/>
    <w:rsid w:val="00062D9B"/>
    <w:rsid w:val="00063156"/>
    <w:rsid w:val="00063B4E"/>
    <w:rsid w:val="000650EA"/>
    <w:rsid w:val="00065686"/>
    <w:rsid w:val="00065F47"/>
    <w:rsid w:val="00066053"/>
    <w:rsid w:val="000665E1"/>
    <w:rsid w:val="00066894"/>
    <w:rsid w:val="00066E4E"/>
    <w:rsid w:val="00066EE8"/>
    <w:rsid w:val="00066F83"/>
    <w:rsid w:val="000678CA"/>
    <w:rsid w:val="000701CF"/>
    <w:rsid w:val="00070454"/>
    <w:rsid w:val="00070456"/>
    <w:rsid w:val="00070609"/>
    <w:rsid w:val="000714F8"/>
    <w:rsid w:val="00072216"/>
    <w:rsid w:val="00072805"/>
    <w:rsid w:val="00072F1D"/>
    <w:rsid w:val="00073134"/>
    <w:rsid w:val="000734EB"/>
    <w:rsid w:val="00073C0B"/>
    <w:rsid w:val="000742D6"/>
    <w:rsid w:val="00074EC0"/>
    <w:rsid w:val="00074F6B"/>
    <w:rsid w:val="00074FA7"/>
    <w:rsid w:val="00074FBC"/>
    <w:rsid w:val="00075439"/>
    <w:rsid w:val="000757FE"/>
    <w:rsid w:val="0007598B"/>
    <w:rsid w:val="00075E0D"/>
    <w:rsid w:val="00076023"/>
    <w:rsid w:val="000764F4"/>
    <w:rsid w:val="0007674C"/>
    <w:rsid w:val="00076C45"/>
    <w:rsid w:val="00076E1D"/>
    <w:rsid w:val="000772C6"/>
    <w:rsid w:val="0007757D"/>
    <w:rsid w:val="00077E05"/>
    <w:rsid w:val="00077FDE"/>
    <w:rsid w:val="000800CB"/>
    <w:rsid w:val="00080156"/>
    <w:rsid w:val="000811C7"/>
    <w:rsid w:val="000818CA"/>
    <w:rsid w:val="0008194E"/>
    <w:rsid w:val="00081AE4"/>
    <w:rsid w:val="00081CC1"/>
    <w:rsid w:val="000820B7"/>
    <w:rsid w:val="00083194"/>
    <w:rsid w:val="000833C9"/>
    <w:rsid w:val="000833D3"/>
    <w:rsid w:val="000833E2"/>
    <w:rsid w:val="000835AF"/>
    <w:rsid w:val="000836D1"/>
    <w:rsid w:val="000836F5"/>
    <w:rsid w:val="00083E23"/>
    <w:rsid w:val="00083EBD"/>
    <w:rsid w:val="0008436B"/>
    <w:rsid w:val="00084ADE"/>
    <w:rsid w:val="00086DD2"/>
    <w:rsid w:val="00087179"/>
    <w:rsid w:val="00090268"/>
    <w:rsid w:val="000903B2"/>
    <w:rsid w:val="00090B6C"/>
    <w:rsid w:val="0009186D"/>
    <w:rsid w:val="00092863"/>
    <w:rsid w:val="0009355E"/>
    <w:rsid w:val="00094B07"/>
    <w:rsid w:val="00095CAB"/>
    <w:rsid w:val="00095E92"/>
    <w:rsid w:val="000966E9"/>
    <w:rsid w:val="00096864"/>
    <w:rsid w:val="000969AA"/>
    <w:rsid w:val="00096C61"/>
    <w:rsid w:val="00096C91"/>
    <w:rsid w:val="00097480"/>
    <w:rsid w:val="0009784B"/>
    <w:rsid w:val="000A04FD"/>
    <w:rsid w:val="000A088D"/>
    <w:rsid w:val="000A1AB9"/>
    <w:rsid w:val="000A1B3E"/>
    <w:rsid w:val="000A22EE"/>
    <w:rsid w:val="000A2315"/>
    <w:rsid w:val="000A27E4"/>
    <w:rsid w:val="000A293A"/>
    <w:rsid w:val="000A2B08"/>
    <w:rsid w:val="000A2D1E"/>
    <w:rsid w:val="000A3379"/>
    <w:rsid w:val="000A39D3"/>
    <w:rsid w:val="000A3CE2"/>
    <w:rsid w:val="000A4229"/>
    <w:rsid w:val="000A4A5D"/>
    <w:rsid w:val="000A6014"/>
    <w:rsid w:val="000A63AD"/>
    <w:rsid w:val="000A67D1"/>
    <w:rsid w:val="000A7DB6"/>
    <w:rsid w:val="000A7DFA"/>
    <w:rsid w:val="000A7F6F"/>
    <w:rsid w:val="000B004A"/>
    <w:rsid w:val="000B0188"/>
    <w:rsid w:val="000B01F1"/>
    <w:rsid w:val="000B0738"/>
    <w:rsid w:val="000B08E5"/>
    <w:rsid w:val="000B0C51"/>
    <w:rsid w:val="000B12C3"/>
    <w:rsid w:val="000B12ED"/>
    <w:rsid w:val="000B1F08"/>
    <w:rsid w:val="000B2765"/>
    <w:rsid w:val="000B2CCA"/>
    <w:rsid w:val="000B3744"/>
    <w:rsid w:val="000B4011"/>
    <w:rsid w:val="000B4344"/>
    <w:rsid w:val="000B4377"/>
    <w:rsid w:val="000B46BC"/>
    <w:rsid w:val="000B50CF"/>
    <w:rsid w:val="000B528E"/>
    <w:rsid w:val="000B53D6"/>
    <w:rsid w:val="000B5441"/>
    <w:rsid w:val="000B562A"/>
    <w:rsid w:val="000B5688"/>
    <w:rsid w:val="000B5707"/>
    <w:rsid w:val="000B5B6D"/>
    <w:rsid w:val="000B5EE8"/>
    <w:rsid w:val="000B65AA"/>
    <w:rsid w:val="000B695E"/>
    <w:rsid w:val="000B6FA5"/>
    <w:rsid w:val="000B73BB"/>
    <w:rsid w:val="000B7C7B"/>
    <w:rsid w:val="000B7FF6"/>
    <w:rsid w:val="000C012F"/>
    <w:rsid w:val="000C0DDD"/>
    <w:rsid w:val="000C0E8E"/>
    <w:rsid w:val="000C18A4"/>
    <w:rsid w:val="000C22AF"/>
    <w:rsid w:val="000C33AB"/>
    <w:rsid w:val="000C3765"/>
    <w:rsid w:val="000C3B5D"/>
    <w:rsid w:val="000C5478"/>
    <w:rsid w:val="000C5A03"/>
    <w:rsid w:val="000C5E30"/>
    <w:rsid w:val="000C5F87"/>
    <w:rsid w:val="000C60DA"/>
    <w:rsid w:val="000C702F"/>
    <w:rsid w:val="000C7457"/>
    <w:rsid w:val="000D0317"/>
    <w:rsid w:val="000D0F2F"/>
    <w:rsid w:val="000D124C"/>
    <w:rsid w:val="000D159E"/>
    <w:rsid w:val="000D1A7E"/>
    <w:rsid w:val="000D1E6B"/>
    <w:rsid w:val="000D1E89"/>
    <w:rsid w:val="000D267F"/>
    <w:rsid w:val="000D26ED"/>
    <w:rsid w:val="000D2B96"/>
    <w:rsid w:val="000D2D6C"/>
    <w:rsid w:val="000D2DBA"/>
    <w:rsid w:val="000D39E8"/>
    <w:rsid w:val="000D3E45"/>
    <w:rsid w:val="000D447D"/>
    <w:rsid w:val="000D4CCE"/>
    <w:rsid w:val="000D52AF"/>
    <w:rsid w:val="000D59C1"/>
    <w:rsid w:val="000D682D"/>
    <w:rsid w:val="000D6911"/>
    <w:rsid w:val="000D6D21"/>
    <w:rsid w:val="000D7862"/>
    <w:rsid w:val="000D79FC"/>
    <w:rsid w:val="000D7DAF"/>
    <w:rsid w:val="000E039A"/>
    <w:rsid w:val="000E03F7"/>
    <w:rsid w:val="000E0772"/>
    <w:rsid w:val="000E0CF2"/>
    <w:rsid w:val="000E10C7"/>
    <w:rsid w:val="000E12C5"/>
    <w:rsid w:val="000E166E"/>
    <w:rsid w:val="000E16CC"/>
    <w:rsid w:val="000E1990"/>
    <w:rsid w:val="000E20B1"/>
    <w:rsid w:val="000E21CC"/>
    <w:rsid w:val="000E2239"/>
    <w:rsid w:val="000E28C7"/>
    <w:rsid w:val="000E2A4A"/>
    <w:rsid w:val="000E3067"/>
    <w:rsid w:val="000E3AC9"/>
    <w:rsid w:val="000E42F2"/>
    <w:rsid w:val="000E469B"/>
    <w:rsid w:val="000E4987"/>
    <w:rsid w:val="000E49D9"/>
    <w:rsid w:val="000E4C38"/>
    <w:rsid w:val="000E4CE5"/>
    <w:rsid w:val="000E4E76"/>
    <w:rsid w:val="000E525D"/>
    <w:rsid w:val="000E5827"/>
    <w:rsid w:val="000E59CC"/>
    <w:rsid w:val="000E5ADE"/>
    <w:rsid w:val="000E5DE9"/>
    <w:rsid w:val="000E640C"/>
    <w:rsid w:val="000E64CB"/>
    <w:rsid w:val="000E6610"/>
    <w:rsid w:val="000E72E5"/>
    <w:rsid w:val="000E756B"/>
    <w:rsid w:val="000E7A16"/>
    <w:rsid w:val="000E7F0F"/>
    <w:rsid w:val="000F1E99"/>
    <w:rsid w:val="000F2240"/>
    <w:rsid w:val="000F2EE0"/>
    <w:rsid w:val="000F2F23"/>
    <w:rsid w:val="000F31F9"/>
    <w:rsid w:val="000F3207"/>
    <w:rsid w:val="000F3AA7"/>
    <w:rsid w:val="000F3B88"/>
    <w:rsid w:val="000F3D40"/>
    <w:rsid w:val="000F45A9"/>
    <w:rsid w:val="000F4672"/>
    <w:rsid w:val="000F5611"/>
    <w:rsid w:val="000F5E1D"/>
    <w:rsid w:val="000F5E9A"/>
    <w:rsid w:val="000F648B"/>
    <w:rsid w:val="000F6AA1"/>
    <w:rsid w:val="000F700F"/>
    <w:rsid w:val="000F72F9"/>
    <w:rsid w:val="000F75C6"/>
    <w:rsid w:val="00100B34"/>
    <w:rsid w:val="00101CD7"/>
    <w:rsid w:val="00102063"/>
    <w:rsid w:val="0010215A"/>
    <w:rsid w:val="00102286"/>
    <w:rsid w:val="0010231C"/>
    <w:rsid w:val="00102D03"/>
    <w:rsid w:val="00103C77"/>
    <w:rsid w:val="00104A90"/>
    <w:rsid w:val="00104CC0"/>
    <w:rsid w:val="00104EE9"/>
    <w:rsid w:val="00106695"/>
    <w:rsid w:val="001066B7"/>
    <w:rsid w:val="001077ED"/>
    <w:rsid w:val="00110111"/>
    <w:rsid w:val="001103A9"/>
    <w:rsid w:val="00110770"/>
    <w:rsid w:val="00110958"/>
    <w:rsid w:val="001115B8"/>
    <w:rsid w:val="00111777"/>
    <w:rsid w:val="0011196E"/>
    <w:rsid w:val="00111D5E"/>
    <w:rsid w:val="00111F5F"/>
    <w:rsid w:val="00112137"/>
    <w:rsid w:val="00112489"/>
    <w:rsid w:val="0011281C"/>
    <w:rsid w:val="0011282E"/>
    <w:rsid w:val="00112BD1"/>
    <w:rsid w:val="001131AA"/>
    <w:rsid w:val="0011348A"/>
    <w:rsid w:val="001140D1"/>
    <w:rsid w:val="001140E7"/>
    <w:rsid w:val="001146B0"/>
    <w:rsid w:val="00115EF1"/>
    <w:rsid w:val="001164A8"/>
    <w:rsid w:val="001165A4"/>
    <w:rsid w:val="00116896"/>
    <w:rsid w:val="00117210"/>
    <w:rsid w:val="00120A4E"/>
    <w:rsid w:val="00120E77"/>
    <w:rsid w:val="00121FBC"/>
    <w:rsid w:val="001222CD"/>
    <w:rsid w:val="00122A2E"/>
    <w:rsid w:val="001231F6"/>
    <w:rsid w:val="0012326E"/>
    <w:rsid w:val="00123511"/>
    <w:rsid w:val="0012367D"/>
    <w:rsid w:val="001237DE"/>
    <w:rsid w:val="00124099"/>
    <w:rsid w:val="0012413A"/>
    <w:rsid w:val="0012441C"/>
    <w:rsid w:val="00125576"/>
    <w:rsid w:val="00126B86"/>
    <w:rsid w:val="00126C10"/>
    <w:rsid w:val="00127259"/>
    <w:rsid w:val="001276D2"/>
    <w:rsid w:val="00127DF2"/>
    <w:rsid w:val="001303B2"/>
    <w:rsid w:val="00130B2E"/>
    <w:rsid w:val="001311BE"/>
    <w:rsid w:val="00132597"/>
    <w:rsid w:val="001329C7"/>
    <w:rsid w:val="00132A59"/>
    <w:rsid w:val="00132CD3"/>
    <w:rsid w:val="00132D67"/>
    <w:rsid w:val="00133095"/>
    <w:rsid w:val="00133179"/>
    <w:rsid w:val="001334F2"/>
    <w:rsid w:val="001336A6"/>
    <w:rsid w:val="00133ACE"/>
    <w:rsid w:val="00133D33"/>
    <w:rsid w:val="0013485C"/>
    <w:rsid w:val="00134948"/>
    <w:rsid w:val="00134D5C"/>
    <w:rsid w:val="00135162"/>
    <w:rsid w:val="00135AAD"/>
    <w:rsid w:val="00135F9E"/>
    <w:rsid w:val="00136029"/>
    <w:rsid w:val="001361AF"/>
    <w:rsid w:val="001361E5"/>
    <w:rsid w:val="00136A73"/>
    <w:rsid w:val="001372D5"/>
    <w:rsid w:val="00137749"/>
    <w:rsid w:val="001377A8"/>
    <w:rsid w:val="00140244"/>
    <w:rsid w:val="001409E3"/>
    <w:rsid w:val="0014133E"/>
    <w:rsid w:val="00141BC4"/>
    <w:rsid w:val="00141D82"/>
    <w:rsid w:val="00142654"/>
    <w:rsid w:val="00143787"/>
    <w:rsid w:val="0014384E"/>
    <w:rsid w:val="00143E6A"/>
    <w:rsid w:val="001444DB"/>
    <w:rsid w:val="0014542D"/>
    <w:rsid w:val="0014548F"/>
    <w:rsid w:val="00145CE6"/>
    <w:rsid w:val="00146503"/>
    <w:rsid w:val="001466C2"/>
    <w:rsid w:val="00146A47"/>
    <w:rsid w:val="00146A97"/>
    <w:rsid w:val="00146C31"/>
    <w:rsid w:val="001473CF"/>
    <w:rsid w:val="0014759A"/>
    <w:rsid w:val="001477CA"/>
    <w:rsid w:val="00147A89"/>
    <w:rsid w:val="00147ECB"/>
    <w:rsid w:val="001505E4"/>
    <w:rsid w:val="00151002"/>
    <w:rsid w:val="0015106E"/>
    <w:rsid w:val="001510DD"/>
    <w:rsid w:val="001511BD"/>
    <w:rsid w:val="00151292"/>
    <w:rsid w:val="00152025"/>
    <w:rsid w:val="001520B1"/>
    <w:rsid w:val="00152278"/>
    <w:rsid w:val="001526E1"/>
    <w:rsid w:val="00153DD4"/>
    <w:rsid w:val="00154CA3"/>
    <w:rsid w:val="00155C39"/>
    <w:rsid w:val="00157144"/>
    <w:rsid w:val="00157471"/>
    <w:rsid w:val="001601B0"/>
    <w:rsid w:val="0016034E"/>
    <w:rsid w:val="00160926"/>
    <w:rsid w:val="00160BE3"/>
    <w:rsid w:val="001616AB"/>
    <w:rsid w:val="00161A36"/>
    <w:rsid w:val="00162064"/>
    <w:rsid w:val="00162F0B"/>
    <w:rsid w:val="00163B74"/>
    <w:rsid w:val="00164022"/>
    <w:rsid w:val="00164685"/>
    <w:rsid w:val="00164D1D"/>
    <w:rsid w:val="00165ABE"/>
    <w:rsid w:val="00165DF2"/>
    <w:rsid w:val="00165E38"/>
    <w:rsid w:val="00165EB4"/>
    <w:rsid w:val="00166430"/>
    <w:rsid w:val="00166769"/>
    <w:rsid w:val="00166A47"/>
    <w:rsid w:val="00167438"/>
    <w:rsid w:val="00167D78"/>
    <w:rsid w:val="00170333"/>
    <w:rsid w:val="00170651"/>
    <w:rsid w:val="0017078E"/>
    <w:rsid w:val="001707F4"/>
    <w:rsid w:val="0017098A"/>
    <w:rsid w:val="00170A06"/>
    <w:rsid w:val="001711E3"/>
    <w:rsid w:val="001714DE"/>
    <w:rsid w:val="00171577"/>
    <w:rsid w:val="0017172A"/>
    <w:rsid w:val="00171799"/>
    <w:rsid w:val="00171EA1"/>
    <w:rsid w:val="00171F2D"/>
    <w:rsid w:val="0017217B"/>
    <w:rsid w:val="00172516"/>
    <w:rsid w:val="00172A15"/>
    <w:rsid w:val="00172A27"/>
    <w:rsid w:val="00172BC5"/>
    <w:rsid w:val="00172DB5"/>
    <w:rsid w:val="00173349"/>
    <w:rsid w:val="00173446"/>
    <w:rsid w:val="001739F2"/>
    <w:rsid w:val="00173F9B"/>
    <w:rsid w:val="00174134"/>
    <w:rsid w:val="001747AB"/>
    <w:rsid w:val="00174863"/>
    <w:rsid w:val="001748B1"/>
    <w:rsid w:val="0017557F"/>
    <w:rsid w:val="00175AE9"/>
    <w:rsid w:val="00176483"/>
    <w:rsid w:val="001767DF"/>
    <w:rsid w:val="00176BD0"/>
    <w:rsid w:val="00176C21"/>
    <w:rsid w:val="00176C9D"/>
    <w:rsid w:val="001770A7"/>
    <w:rsid w:val="00177FD6"/>
    <w:rsid w:val="001801A6"/>
    <w:rsid w:val="001802A5"/>
    <w:rsid w:val="001806C6"/>
    <w:rsid w:val="001809A0"/>
    <w:rsid w:val="00180E6D"/>
    <w:rsid w:val="0018138E"/>
    <w:rsid w:val="001818C5"/>
    <w:rsid w:val="00181B95"/>
    <w:rsid w:val="001827C2"/>
    <w:rsid w:val="00182AA4"/>
    <w:rsid w:val="00182D2F"/>
    <w:rsid w:val="001844F8"/>
    <w:rsid w:val="001847DF"/>
    <w:rsid w:val="0018502B"/>
    <w:rsid w:val="001852CA"/>
    <w:rsid w:val="001855A1"/>
    <w:rsid w:val="00185BA2"/>
    <w:rsid w:val="00185F6A"/>
    <w:rsid w:val="001860D3"/>
    <w:rsid w:val="00186241"/>
    <w:rsid w:val="0018647B"/>
    <w:rsid w:val="00186DF5"/>
    <w:rsid w:val="001870E2"/>
    <w:rsid w:val="001870F5"/>
    <w:rsid w:val="001877CA"/>
    <w:rsid w:val="00187838"/>
    <w:rsid w:val="00187B45"/>
    <w:rsid w:val="00187E8C"/>
    <w:rsid w:val="001901A1"/>
    <w:rsid w:val="0019048F"/>
    <w:rsid w:val="00190ADB"/>
    <w:rsid w:val="00190B94"/>
    <w:rsid w:val="00190D04"/>
    <w:rsid w:val="0019230D"/>
    <w:rsid w:val="001925ED"/>
    <w:rsid w:val="00192F7B"/>
    <w:rsid w:val="001932C9"/>
    <w:rsid w:val="0019338E"/>
    <w:rsid w:val="00193E0D"/>
    <w:rsid w:val="001948A8"/>
    <w:rsid w:val="00194D45"/>
    <w:rsid w:val="00194EB7"/>
    <w:rsid w:val="00195449"/>
    <w:rsid w:val="001954E7"/>
    <w:rsid w:val="00196320"/>
    <w:rsid w:val="0019653B"/>
    <w:rsid w:val="00197346"/>
    <w:rsid w:val="00197744"/>
    <w:rsid w:val="00197F54"/>
    <w:rsid w:val="001A0001"/>
    <w:rsid w:val="001A00BF"/>
    <w:rsid w:val="001A0118"/>
    <w:rsid w:val="001A082E"/>
    <w:rsid w:val="001A0865"/>
    <w:rsid w:val="001A1295"/>
    <w:rsid w:val="001A193D"/>
    <w:rsid w:val="001A19A6"/>
    <w:rsid w:val="001A2183"/>
    <w:rsid w:val="001A2728"/>
    <w:rsid w:val="001A2DDF"/>
    <w:rsid w:val="001A2FA4"/>
    <w:rsid w:val="001A343B"/>
    <w:rsid w:val="001A3557"/>
    <w:rsid w:val="001A3579"/>
    <w:rsid w:val="001A3614"/>
    <w:rsid w:val="001A3B3F"/>
    <w:rsid w:val="001A3EE8"/>
    <w:rsid w:val="001A493B"/>
    <w:rsid w:val="001A5598"/>
    <w:rsid w:val="001A5922"/>
    <w:rsid w:val="001A5F79"/>
    <w:rsid w:val="001A5F8C"/>
    <w:rsid w:val="001A5FEC"/>
    <w:rsid w:val="001A6254"/>
    <w:rsid w:val="001A6B31"/>
    <w:rsid w:val="001A6C82"/>
    <w:rsid w:val="001A73A6"/>
    <w:rsid w:val="001A7A12"/>
    <w:rsid w:val="001A7B6D"/>
    <w:rsid w:val="001B01CE"/>
    <w:rsid w:val="001B0451"/>
    <w:rsid w:val="001B0B1D"/>
    <w:rsid w:val="001B0EE2"/>
    <w:rsid w:val="001B17B8"/>
    <w:rsid w:val="001B189C"/>
    <w:rsid w:val="001B1C8C"/>
    <w:rsid w:val="001B23DF"/>
    <w:rsid w:val="001B251E"/>
    <w:rsid w:val="001B2635"/>
    <w:rsid w:val="001B27FC"/>
    <w:rsid w:val="001B3268"/>
    <w:rsid w:val="001B36FA"/>
    <w:rsid w:val="001B3BE4"/>
    <w:rsid w:val="001B419A"/>
    <w:rsid w:val="001B42C7"/>
    <w:rsid w:val="001B49E5"/>
    <w:rsid w:val="001B4F36"/>
    <w:rsid w:val="001B54D4"/>
    <w:rsid w:val="001B58A4"/>
    <w:rsid w:val="001B5A25"/>
    <w:rsid w:val="001B6AD7"/>
    <w:rsid w:val="001B6C7A"/>
    <w:rsid w:val="001B6D04"/>
    <w:rsid w:val="001B6F2F"/>
    <w:rsid w:val="001C002A"/>
    <w:rsid w:val="001C02C4"/>
    <w:rsid w:val="001C03A0"/>
    <w:rsid w:val="001C043F"/>
    <w:rsid w:val="001C1833"/>
    <w:rsid w:val="001C1DEB"/>
    <w:rsid w:val="001C1EA6"/>
    <w:rsid w:val="001C27F6"/>
    <w:rsid w:val="001C2815"/>
    <w:rsid w:val="001C3529"/>
    <w:rsid w:val="001C36C8"/>
    <w:rsid w:val="001C3B75"/>
    <w:rsid w:val="001C4045"/>
    <w:rsid w:val="001C4362"/>
    <w:rsid w:val="001C44C5"/>
    <w:rsid w:val="001C62DE"/>
    <w:rsid w:val="001C66AB"/>
    <w:rsid w:val="001C6F03"/>
    <w:rsid w:val="001C7199"/>
    <w:rsid w:val="001C71A3"/>
    <w:rsid w:val="001C75E9"/>
    <w:rsid w:val="001C79A0"/>
    <w:rsid w:val="001C7AAF"/>
    <w:rsid w:val="001D00F0"/>
    <w:rsid w:val="001D0AB3"/>
    <w:rsid w:val="001D0F13"/>
    <w:rsid w:val="001D15A7"/>
    <w:rsid w:val="001D19DA"/>
    <w:rsid w:val="001D1DCF"/>
    <w:rsid w:val="001D2B5F"/>
    <w:rsid w:val="001D33A8"/>
    <w:rsid w:val="001D34BB"/>
    <w:rsid w:val="001D34D7"/>
    <w:rsid w:val="001D3A3F"/>
    <w:rsid w:val="001D3BE0"/>
    <w:rsid w:val="001D40F4"/>
    <w:rsid w:val="001D4425"/>
    <w:rsid w:val="001D469C"/>
    <w:rsid w:val="001D4B1E"/>
    <w:rsid w:val="001D57A9"/>
    <w:rsid w:val="001D61DE"/>
    <w:rsid w:val="001D6414"/>
    <w:rsid w:val="001D6915"/>
    <w:rsid w:val="001D6ED1"/>
    <w:rsid w:val="001D742B"/>
    <w:rsid w:val="001D7924"/>
    <w:rsid w:val="001D7CB7"/>
    <w:rsid w:val="001D7E48"/>
    <w:rsid w:val="001E04E1"/>
    <w:rsid w:val="001E05F7"/>
    <w:rsid w:val="001E0851"/>
    <w:rsid w:val="001E0F29"/>
    <w:rsid w:val="001E1838"/>
    <w:rsid w:val="001E1C13"/>
    <w:rsid w:val="001E1E90"/>
    <w:rsid w:val="001E2DC4"/>
    <w:rsid w:val="001E2E81"/>
    <w:rsid w:val="001E2F7D"/>
    <w:rsid w:val="001E4AFD"/>
    <w:rsid w:val="001E4C17"/>
    <w:rsid w:val="001E514B"/>
    <w:rsid w:val="001E5694"/>
    <w:rsid w:val="001E68FF"/>
    <w:rsid w:val="001E6AC6"/>
    <w:rsid w:val="001E6C86"/>
    <w:rsid w:val="001E6E9B"/>
    <w:rsid w:val="001E71A9"/>
    <w:rsid w:val="001E7350"/>
    <w:rsid w:val="001E79AC"/>
    <w:rsid w:val="001E7BC9"/>
    <w:rsid w:val="001F04CB"/>
    <w:rsid w:val="001F074D"/>
    <w:rsid w:val="001F0A03"/>
    <w:rsid w:val="001F0A16"/>
    <w:rsid w:val="001F0A2E"/>
    <w:rsid w:val="001F0DC5"/>
    <w:rsid w:val="001F0ED3"/>
    <w:rsid w:val="001F0EFA"/>
    <w:rsid w:val="001F149B"/>
    <w:rsid w:val="001F1D11"/>
    <w:rsid w:val="001F2431"/>
    <w:rsid w:val="001F278F"/>
    <w:rsid w:val="001F2863"/>
    <w:rsid w:val="001F2991"/>
    <w:rsid w:val="001F2ADB"/>
    <w:rsid w:val="001F2E57"/>
    <w:rsid w:val="001F309B"/>
    <w:rsid w:val="001F3337"/>
    <w:rsid w:val="001F35D8"/>
    <w:rsid w:val="001F412B"/>
    <w:rsid w:val="001F43EB"/>
    <w:rsid w:val="001F48D5"/>
    <w:rsid w:val="001F49BD"/>
    <w:rsid w:val="001F4B7F"/>
    <w:rsid w:val="001F4BD5"/>
    <w:rsid w:val="001F4D04"/>
    <w:rsid w:val="001F4FDD"/>
    <w:rsid w:val="001F50E3"/>
    <w:rsid w:val="001F6F3B"/>
    <w:rsid w:val="001F7003"/>
    <w:rsid w:val="001F737A"/>
    <w:rsid w:val="001F7580"/>
    <w:rsid w:val="0020028B"/>
    <w:rsid w:val="0020070C"/>
    <w:rsid w:val="00201698"/>
    <w:rsid w:val="00201E00"/>
    <w:rsid w:val="00202336"/>
    <w:rsid w:val="00202340"/>
    <w:rsid w:val="0020266B"/>
    <w:rsid w:val="00202FA3"/>
    <w:rsid w:val="002035B1"/>
    <w:rsid w:val="00203796"/>
    <w:rsid w:val="00203999"/>
    <w:rsid w:val="00204322"/>
    <w:rsid w:val="0020476B"/>
    <w:rsid w:val="00205A7B"/>
    <w:rsid w:val="00206480"/>
    <w:rsid w:val="00206A73"/>
    <w:rsid w:val="00206E11"/>
    <w:rsid w:val="002070AB"/>
    <w:rsid w:val="002074F9"/>
    <w:rsid w:val="00207B9A"/>
    <w:rsid w:val="002103C5"/>
    <w:rsid w:val="00210454"/>
    <w:rsid w:val="002106EC"/>
    <w:rsid w:val="0021089B"/>
    <w:rsid w:val="00210A3C"/>
    <w:rsid w:val="00211343"/>
    <w:rsid w:val="002113DF"/>
    <w:rsid w:val="002117E8"/>
    <w:rsid w:val="00211978"/>
    <w:rsid w:val="0021282E"/>
    <w:rsid w:val="00212A96"/>
    <w:rsid w:val="0021321F"/>
    <w:rsid w:val="00213590"/>
    <w:rsid w:val="0021359C"/>
    <w:rsid w:val="002136A2"/>
    <w:rsid w:val="00213F5F"/>
    <w:rsid w:val="00214515"/>
    <w:rsid w:val="00214B35"/>
    <w:rsid w:val="00214C0D"/>
    <w:rsid w:val="0021544F"/>
    <w:rsid w:val="0021562D"/>
    <w:rsid w:val="00215896"/>
    <w:rsid w:val="00215C50"/>
    <w:rsid w:val="002167E2"/>
    <w:rsid w:val="00216E53"/>
    <w:rsid w:val="00216EF9"/>
    <w:rsid w:val="002172DF"/>
    <w:rsid w:val="002172E3"/>
    <w:rsid w:val="002173E5"/>
    <w:rsid w:val="00217425"/>
    <w:rsid w:val="00217A8C"/>
    <w:rsid w:val="00217E67"/>
    <w:rsid w:val="00217EDC"/>
    <w:rsid w:val="0022007B"/>
    <w:rsid w:val="00220374"/>
    <w:rsid w:val="002203BE"/>
    <w:rsid w:val="002210BE"/>
    <w:rsid w:val="002212AF"/>
    <w:rsid w:val="002213FF"/>
    <w:rsid w:val="002219C4"/>
    <w:rsid w:val="0022224C"/>
    <w:rsid w:val="002222FD"/>
    <w:rsid w:val="002225E4"/>
    <w:rsid w:val="0022309D"/>
    <w:rsid w:val="00223127"/>
    <w:rsid w:val="002232BE"/>
    <w:rsid w:val="002233CE"/>
    <w:rsid w:val="00223845"/>
    <w:rsid w:val="00223A29"/>
    <w:rsid w:val="00224264"/>
    <w:rsid w:val="002247F1"/>
    <w:rsid w:val="00224C9E"/>
    <w:rsid w:val="00225297"/>
    <w:rsid w:val="002257B7"/>
    <w:rsid w:val="00226246"/>
    <w:rsid w:val="0022693C"/>
    <w:rsid w:val="00226DCF"/>
    <w:rsid w:val="00227088"/>
    <w:rsid w:val="002275AD"/>
    <w:rsid w:val="00227C59"/>
    <w:rsid w:val="00227E9A"/>
    <w:rsid w:val="002305EC"/>
    <w:rsid w:val="00231A3E"/>
    <w:rsid w:val="00231ADA"/>
    <w:rsid w:val="00232220"/>
    <w:rsid w:val="0023392B"/>
    <w:rsid w:val="00233B9B"/>
    <w:rsid w:val="00233DA7"/>
    <w:rsid w:val="00233EBA"/>
    <w:rsid w:val="0023411B"/>
    <w:rsid w:val="002342BB"/>
    <w:rsid w:val="00234E2D"/>
    <w:rsid w:val="00234E75"/>
    <w:rsid w:val="00234FCB"/>
    <w:rsid w:val="00235315"/>
    <w:rsid w:val="002353D3"/>
    <w:rsid w:val="00235D49"/>
    <w:rsid w:val="00235FCD"/>
    <w:rsid w:val="00236101"/>
    <w:rsid w:val="00236615"/>
    <w:rsid w:val="002366DC"/>
    <w:rsid w:val="00236766"/>
    <w:rsid w:val="00236809"/>
    <w:rsid w:val="00236C23"/>
    <w:rsid w:val="00237655"/>
    <w:rsid w:val="002377F2"/>
    <w:rsid w:val="00237C8A"/>
    <w:rsid w:val="002402B4"/>
    <w:rsid w:val="002404EC"/>
    <w:rsid w:val="0024060B"/>
    <w:rsid w:val="00240A4F"/>
    <w:rsid w:val="00240DA4"/>
    <w:rsid w:val="00241025"/>
    <w:rsid w:val="00241079"/>
    <w:rsid w:val="0024130B"/>
    <w:rsid w:val="002413C4"/>
    <w:rsid w:val="00241DEE"/>
    <w:rsid w:val="0024201D"/>
    <w:rsid w:val="002426AD"/>
    <w:rsid w:val="00242AFC"/>
    <w:rsid w:val="00242B60"/>
    <w:rsid w:val="00242C24"/>
    <w:rsid w:val="00242C4F"/>
    <w:rsid w:val="002432AD"/>
    <w:rsid w:val="00243528"/>
    <w:rsid w:val="00243DBA"/>
    <w:rsid w:val="00243DF6"/>
    <w:rsid w:val="00243E24"/>
    <w:rsid w:val="0024449B"/>
    <w:rsid w:val="00244658"/>
    <w:rsid w:val="00244C3C"/>
    <w:rsid w:val="0024509C"/>
    <w:rsid w:val="002455B1"/>
    <w:rsid w:val="002455DA"/>
    <w:rsid w:val="0024601D"/>
    <w:rsid w:val="00246698"/>
    <w:rsid w:val="00246786"/>
    <w:rsid w:val="0024754D"/>
    <w:rsid w:val="002479F0"/>
    <w:rsid w:val="00247A3D"/>
    <w:rsid w:val="00250323"/>
    <w:rsid w:val="00250472"/>
    <w:rsid w:val="0025099B"/>
    <w:rsid w:val="00250C5C"/>
    <w:rsid w:val="00250CC2"/>
    <w:rsid w:val="00250EDB"/>
    <w:rsid w:val="00250EEF"/>
    <w:rsid w:val="00251212"/>
    <w:rsid w:val="0025160E"/>
    <w:rsid w:val="00251652"/>
    <w:rsid w:val="00251B86"/>
    <w:rsid w:val="00251D03"/>
    <w:rsid w:val="00252023"/>
    <w:rsid w:val="00252A7F"/>
    <w:rsid w:val="00253780"/>
    <w:rsid w:val="002537C6"/>
    <w:rsid w:val="00254437"/>
    <w:rsid w:val="00254D2E"/>
    <w:rsid w:val="00255EB9"/>
    <w:rsid w:val="00256A1F"/>
    <w:rsid w:val="00256E26"/>
    <w:rsid w:val="002578BF"/>
    <w:rsid w:val="00257C2A"/>
    <w:rsid w:val="00257E1F"/>
    <w:rsid w:val="00260006"/>
    <w:rsid w:val="00260703"/>
    <w:rsid w:val="00260C96"/>
    <w:rsid w:val="00261B94"/>
    <w:rsid w:val="002622ED"/>
    <w:rsid w:val="00262328"/>
    <w:rsid w:val="00262730"/>
    <w:rsid w:val="00262DA8"/>
    <w:rsid w:val="002648B7"/>
    <w:rsid w:val="002656B7"/>
    <w:rsid w:val="00265DE2"/>
    <w:rsid w:val="0026628D"/>
    <w:rsid w:val="002665A8"/>
    <w:rsid w:val="00266831"/>
    <w:rsid w:val="00266F1E"/>
    <w:rsid w:val="00267486"/>
    <w:rsid w:val="002676FC"/>
    <w:rsid w:val="002679E5"/>
    <w:rsid w:val="002700DC"/>
    <w:rsid w:val="00270EC4"/>
    <w:rsid w:val="00271275"/>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657C"/>
    <w:rsid w:val="0028083F"/>
    <w:rsid w:val="0028169C"/>
    <w:rsid w:val="00281E80"/>
    <w:rsid w:val="00281E84"/>
    <w:rsid w:val="002827FD"/>
    <w:rsid w:val="00282E5B"/>
    <w:rsid w:val="00282E5F"/>
    <w:rsid w:val="00282F2D"/>
    <w:rsid w:val="0028429E"/>
    <w:rsid w:val="0028530F"/>
    <w:rsid w:val="0028569B"/>
    <w:rsid w:val="00285A30"/>
    <w:rsid w:val="002863E3"/>
    <w:rsid w:val="00286467"/>
    <w:rsid w:val="0028674D"/>
    <w:rsid w:val="00286882"/>
    <w:rsid w:val="00286FD4"/>
    <w:rsid w:val="0028721F"/>
    <w:rsid w:val="00287261"/>
    <w:rsid w:val="002874C3"/>
    <w:rsid w:val="00287C3E"/>
    <w:rsid w:val="00287EC2"/>
    <w:rsid w:val="00287FB4"/>
    <w:rsid w:val="0029017E"/>
    <w:rsid w:val="0029054C"/>
    <w:rsid w:val="0029104B"/>
    <w:rsid w:val="0029151B"/>
    <w:rsid w:val="00292019"/>
    <w:rsid w:val="00292214"/>
    <w:rsid w:val="00292713"/>
    <w:rsid w:val="00292DD3"/>
    <w:rsid w:val="00293C4A"/>
    <w:rsid w:val="00293CBD"/>
    <w:rsid w:val="0029436D"/>
    <w:rsid w:val="002949A2"/>
    <w:rsid w:val="002951D9"/>
    <w:rsid w:val="002954A8"/>
    <w:rsid w:val="002954CD"/>
    <w:rsid w:val="0029588F"/>
    <w:rsid w:val="002958C8"/>
    <w:rsid w:val="00295B8F"/>
    <w:rsid w:val="00295D2D"/>
    <w:rsid w:val="0029655D"/>
    <w:rsid w:val="00296AA5"/>
    <w:rsid w:val="00297621"/>
    <w:rsid w:val="002979F1"/>
    <w:rsid w:val="00297CB5"/>
    <w:rsid w:val="00297DE2"/>
    <w:rsid w:val="002A1037"/>
    <w:rsid w:val="002A125C"/>
    <w:rsid w:val="002A12EA"/>
    <w:rsid w:val="002A1691"/>
    <w:rsid w:val="002A2111"/>
    <w:rsid w:val="002A2376"/>
    <w:rsid w:val="002A2805"/>
    <w:rsid w:val="002A2B65"/>
    <w:rsid w:val="002A52BE"/>
    <w:rsid w:val="002A5469"/>
    <w:rsid w:val="002A6DDB"/>
    <w:rsid w:val="002A72B8"/>
    <w:rsid w:val="002A72BD"/>
    <w:rsid w:val="002A74FB"/>
    <w:rsid w:val="002A76D5"/>
    <w:rsid w:val="002B034C"/>
    <w:rsid w:val="002B03E8"/>
    <w:rsid w:val="002B0F63"/>
    <w:rsid w:val="002B1438"/>
    <w:rsid w:val="002B15BA"/>
    <w:rsid w:val="002B1885"/>
    <w:rsid w:val="002B1AFA"/>
    <w:rsid w:val="002B1DF5"/>
    <w:rsid w:val="002B3409"/>
    <w:rsid w:val="002B35A2"/>
    <w:rsid w:val="002B360A"/>
    <w:rsid w:val="002B3F42"/>
    <w:rsid w:val="002B4434"/>
    <w:rsid w:val="002B4755"/>
    <w:rsid w:val="002B4A67"/>
    <w:rsid w:val="002B4FA8"/>
    <w:rsid w:val="002B538A"/>
    <w:rsid w:val="002B654D"/>
    <w:rsid w:val="002B6E48"/>
    <w:rsid w:val="002B705F"/>
    <w:rsid w:val="002B7563"/>
    <w:rsid w:val="002C003B"/>
    <w:rsid w:val="002C05F2"/>
    <w:rsid w:val="002C0A37"/>
    <w:rsid w:val="002C1304"/>
    <w:rsid w:val="002C1833"/>
    <w:rsid w:val="002C1D12"/>
    <w:rsid w:val="002C1F2B"/>
    <w:rsid w:val="002C2199"/>
    <w:rsid w:val="002C2797"/>
    <w:rsid w:val="002C2A15"/>
    <w:rsid w:val="002C2D05"/>
    <w:rsid w:val="002C2FE8"/>
    <w:rsid w:val="002C31DC"/>
    <w:rsid w:val="002C3F02"/>
    <w:rsid w:val="002C41A0"/>
    <w:rsid w:val="002C5548"/>
    <w:rsid w:val="002C5A46"/>
    <w:rsid w:val="002C5CF3"/>
    <w:rsid w:val="002C6025"/>
    <w:rsid w:val="002C619D"/>
    <w:rsid w:val="002C648A"/>
    <w:rsid w:val="002C699F"/>
    <w:rsid w:val="002C6AC2"/>
    <w:rsid w:val="002C71D8"/>
    <w:rsid w:val="002C7564"/>
    <w:rsid w:val="002C7661"/>
    <w:rsid w:val="002C7E3B"/>
    <w:rsid w:val="002C7F62"/>
    <w:rsid w:val="002D1418"/>
    <w:rsid w:val="002D23B4"/>
    <w:rsid w:val="002D2593"/>
    <w:rsid w:val="002D2A1C"/>
    <w:rsid w:val="002D2A3A"/>
    <w:rsid w:val="002D2CB2"/>
    <w:rsid w:val="002D300B"/>
    <w:rsid w:val="002D3536"/>
    <w:rsid w:val="002D3D29"/>
    <w:rsid w:val="002D43B2"/>
    <w:rsid w:val="002D5132"/>
    <w:rsid w:val="002D5996"/>
    <w:rsid w:val="002D5ECE"/>
    <w:rsid w:val="002D627D"/>
    <w:rsid w:val="002D65AA"/>
    <w:rsid w:val="002D6973"/>
    <w:rsid w:val="002D6FD9"/>
    <w:rsid w:val="002D735B"/>
    <w:rsid w:val="002D7507"/>
    <w:rsid w:val="002E1060"/>
    <w:rsid w:val="002E1CEE"/>
    <w:rsid w:val="002E1E40"/>
    <w:rsid w:val="002E2DCA"/>
    <w:rsid w:val="002E3872"/>
    <w:rsid w:val="002E39F1"/>
    <w:rsid w:val="002E48BA"/>
    <w:rsid w:val="002E4A30"/>
    <w:rsid w:val="002E4B12"/>
    <w:rsid w:val="002E4C77"/>
    <w:rsid w:val="002E4FC7"/>
    <w:rsid w:val="002E5134"/>
    <w:rsid w:val="002E57A2"/>
    <w:rsid w:val="002E57F1"/>
    <w:rsid w:val="002E5C92"/>
    <w:rsid w:val="002E6624"/>
    <w:rsid w:val="002E6859"/>
    <w:rsid w:val="002E6E80"/>
    <w:rsid w:val="002E70FC"/>
    <w:rsid w:val="002E71D7"/>
    <w:rsid w:val="002E74AC"/>
    <w:rsid w:val="002E7E44"/>
    <w:rsid w:val="002E7F14"/>
    <w:rsid w:val="002E7F88"/>
    <w:rsid w:val="002F191E"/>
    <w:rsid w:val="002F227C"/>
    <w:rsid w:val="002F26B4"/>
    <w:rsid w:val="002F337E"/>
    <w:rsid w:val="002F3449"/>
    <w:rsid w:val="002F43FF"/>
    <w:rsid w:val="002F442D"/>
    <w:rsid w:val="002F4C1F"/>
    <w:rsid w:val="002F4D95"/>
    <w:rsid w:val="002F53C0"/>
    <w:rsid w:val="002F67A4"/>
    <w:rsid w:val="002F6CBB"/>
    <w:rsid w:val="002F726B"/>
    <w:rsid w:val="002F72D3"/>
    <w:rsid w:val="002F7708"/>
    <w:rsid w:val="002F7D13"/>
    <w:rsid w:val="003005E3"/>
    <w:rsid w:val="00300651"/>
    <w:rsid w:val="00300CEA"/>
    <w:rsid w:val="0030175D"/>
    <w:rsid w:val="0030208B"/>
    <w:rsid w:val="0030231F"/>
    <w:rsid w:val="00302953"/>
    <w:rsid w:val="00302E42"/>
    <w:rsid w:val="003036FD"/>
    <w:rsid w:val="003037BE"/>
    <w:rsid w:val="003037CC"/>
    <w:rsid w:val="00303B5F"/>
    <w:rsid w:val="00303DDD"/>
    <w:rsid w:val="00303F86"/>
    <w:rsid w:val="00304199"/>
    <w:rsid w:val="003042AF"/>
    <w:rsid w:val="00304479"/>
    <w:rsid w:val="00304730"/>
    <w:rsid w:val="00304B2C"/>
    <w:rsid w:val="00304BA3"/>
    <w:rsid w:val="00305306"/>
    <w:rsid w:val="00305DAC"/>
    <w:rsid w:val="00305F49"/>
    <w:rsid w:val="0030629B"/>
    <w:rsid w:val="003063AA"/>
    <w:rsid w:val="00307018"/>
    <w:rsid w:val="003074AB"/>
    <w:rsid w:val="00307A0C"/>
    <w:rsid w:val="00307A73"/>
    <w:rsid w:val="00307CB2"/>
    <w:rsid w:val="00307E3C"/>
    <w:rsid w:val="00310791"/>
    <w:rsid w:val="00310D59"/>
    <w:rsid w:val="0031160B"/>
    <w:rsid w:val="00311806"/>
    <w:rsid w:val="0031182C"/>
    <w:rsid w:val="00311CC7"/>
    <w:rsid w:val="00312847"/>
    <w:rsid w:val="003128BD"/>
    <w:rsid w:val="00313761"/>
    <w:rsid w:val="0031393D"/>
    <w:rsid w:val="003145C4"/>
    <w:rsid w:val="00314C50"/>
    <w:rsid w:val="003152C7"/>
    <w:rsid w:val="00315CE1"/>
    <w:rsid w:val="00315F70"/>
    <w:rsid w:val="00315F9F"/>
    <w:rsid w:val="003160DC"/>
    <w:rsid w:val="0031626F"/>
    <w:rsid w:val="00317AF8"/>
    <w:rsid w:val="00320551"/>
    <w:rsid w:val="00320802"/>
    <w:rsid w:val="00320F0C"/>
    <w:rsid w:val="0032167F"/>
    <w:rsid w:val="0032209D"/>
    <w:rsid w:val="003222E4"/>
    <w:rsid w:val="00322FC3"/>
    <w:rsid w:val="0032327F"/>
    <w:rsid w:val="003235BC"/>
    <w:rsid w:val="0032361C"/>
    <w:rsid w:val="00323EA0"/>
    <w:rsid w:val="00325094"/>
    <w:rsid w:val="00325562"/>
    <w:rsid w:val="00325C66"/>
    <w:rsid w:val="00326588"/>
    <w:rsid w:val="00327455"/>
    <w:rsid w:val="003275D1"/>
    <w:rsid w:val="00327A12"/>
    <w:rsid w:val="003300D2"/>
    <w:rsid w:val="00330584"/>
    <w:rsid w:val="00330D04"/>
    <w:rsid w:val="00330EAB"/>
    <w:rsid w:val="00330FD3"/>
    <w:rsid w:val="0033251D"/>
    <w:rsid w:val="00332BAA"/>
    <w:rsid w:val="003330A5"/>
    <w:rsid w:val="00333869"/>
    <w:rsid w:val="00333A2A"/>
    <w:rsid w:val="00333E86"/>
    <w:rsid w:val="00334619"/>
    <w:rsid w:val="00334A4D"/>
    <w:rsid w:val="00334BED"/>
    <w:rsid w:val="00335379"/>
    <w:rsid w:val="003353AC"/>
    <w:rsid w:val="003356B6"/>
    <w:rsid w:val="003357A2"/>
    <w:rsid w:val="00335898"/>
    <w:rsid w:val="0033682D"/>
    <w:rsid w:val="00336FB3"/>
    <w:rsid w:val="00337633"/>
    <w:rsid w:val="00337C6F"/>
    <w:rsid w:val="00337CA4"/>
    <w:rsid w:val="00340292"/>
    <w:rsid w:val="003405D9"/>
    <w:rsid w:val="0034071C"/>
    <w:rsid w:val="00340996"/>
    <w:rsid w:val="00340B74"/>
    <w:rsid w:val="00340BDF"/>
    <w:rsid w:val="00340D66"/>
    <w:rsid w:val="00341618"/>
    <w:rsid w:val="00341B33"/>
    <w:rsid w:val="00341D08"/>
    <w:rsid w:val="00342348"/>
    <w:rsid w:val="00343345"/>
    <w:rsid w:val="00343474"/>
    <w:rsid w:val="0034347C"/>
    <w:rsid w:val="003438D7"/>
    <w:rsid w:val="00343F65"/>
    <w:rsid w:val="0034495E"/>
    <w:rsid w:val="00344E94"/>
    <w:rsid w:val="00345150"/>
    <w:rsid w:val="00345223"/>
    <w:rsid w:val="0034525E"/>
    <w:rsid w:val="00345473"/>
    <w:rsid w:val="00345EDB"/>
    <w:rsid w:val="0034623E"/>
    <w:rsid w:val="00346331"/>
    <w:rsid w:val="003465A1"/>
    <w:rsid w:val="00346804"/>
    <w:rsid w:val="00346867"/>
    <w:rsid w:val="00347536"/>
    <w:rsid w:val="0034766F"/>
    <w:rsid w:val="0034784B"/>
    <w:rsid w:val="00350109"/>
    <w:rsid w:val="00350775"/>
    <w:rsid w:val="0035119C"/>
    <w:rsid w:val="00351A5F"/>
    <w:rsid w:val="00351FAA"/>
    <w:rsid w:val="00352F84"/>
    <w:rsid w:val="00353E19"/>
    <w:rsid w:val="003541DD"/>
    <w:rsid w:val="00354A9C"/>
    <w:rsid w:val="00356185"/>
    <w:rsid w:val="00356760"/>
    <w:rsid w:val="00357019"/>
    <w:rsid w:val="003571CA"/>
    <w:rsid w:val="003577F4"/>
    <w:rsid w:val="00357B20"/>
    <w:rsid w:val="00360112"/>
    <w:rsid w:val="00360981"/>
    <w:rsid w:val="003609D4"/>
    <w:rsid w:val="003613ED"/>
    <w:rsid w:val="00361408"/>
    <w:rsid w:val="0036146C"/>
    <w:rsid w:val="00361629"/>
    <w:rsid w:val="00361FB2"/>
    <w:rsid w:val="003622CD"/>
    <w:rsid w:val="00362450"/>
    <w:rsid w:val="00362633"/>
    <w:rsid w:val="00362DE0"/>
    <w:rsid w:val="003630E6"/>
    <w:rsid w:val="003633CD"/>
    <w:rsid w:val="0036391A"/>
    <w:rsid w:val="00363D6A"/>
    <w:rsid w:val="00363E3F"/>
    <w:rsid w:val="00364847"/>
    <w:rsid w:val="003656DA"/>
    <w:rsid w:val="003659BC"/>
    <w:rsid w:val="00365B6E"/>
    <w:rsid w:val="0036625C"/>
    <w:rsid w:val="00366926"/>
    <w:rsid w:val="00366EF6"/>
    <w:rsid w:val="003678F0"/>
    <w:rsid w:val="0036790B"/>
    <w:rsid w:val="00367B53"/>
    <w:rsid w:val="00367FB1"/>
    <w:rsid w:val="00367FE5"/>
    <w:rsid w:val="00370710"/>
    <w:rsid w:val="003709A8"/>
    <w:rsid w:val="00370BCB"/>
    <w:rsid w:val="003716AF"/>
    <w:rsid w:val="00371E2B"/>
    <w:rsid w:val="00372672"/>
    <w:rsid w:val="003727C2"/>
    <w:rsid w:val="00372CA7"/>
    <w:rsid w:val="003738F6"/>
    <w:rsid w:val="00373E23"/>
    <w:rsid w:val="00373E88"/>
    <w:rsid w:val="003745A0"/>
    <w:rsid w:val="00374FD4"/>
    <w:rsid w:val="00375167"/>
    <w:rsid w:val="00375579"/>
    <w:rsid w:val="00375846"/>
    <w:rsid w:val="0037590C"/>
    <w:rsid w:val="0037709B"/>
    <w:rsid w:val="00377F07"/>
    <w:rsid w:val="00377FC5"/>
    <w:rsid w:val="00380011"/>
    <w:rsid w:val="003802BC"/>
    <w:rsid w:val="0038040D"/>
    <w:rsid w:val="003807B1"/>
    <w:rsid w:val="00380D3B"/>
    <w:rsid w:val="003813CF"/>
    <w:rsid w:val="00381EFF"/>
    <w:rsid w:val="003825B6"/>
    <w:rsid w:val="00382895"/>
    <w:rsid w:val="0038295D"/>
    <w:rsid w:val="00383059"/>
    <w:rsid w:val="00383283"/>
    <w:rsid w:val="003834D4"/>
    <w:rsid w:val="003837AE"/>
    <w:rsid w:val="003838EB"/>
    <w:rsid w:val="00383949"/>
    <w:rsid w:val="00383C3B"/>
    <w:rsid w:val="003844CA"/>
    <w:rsid w:val="003846E7"/>
    <w:rsid w:val="00384BC9"/>
    <w:rsid w:val="00384C18"/>
    <w:rsid w:val="00385024"/>
    <w:rsid w:val="003856F5"/>
    <w:rsid w:val="00385801"/>
    <w:rsid w:val="00385B35"/>
    <w:rsid w:val="003868BF"/>
    <w:rsid w:val="00386CAF"/>
    <w:rsid w:val="003873BA"/>
    <w:rsid w:val="003874C1"/>
    <w:rsid w:val="00387503"/>
    <w:rsid w:val="00387CE5"/>
    <w:rsid w:val="00390267"/>
    <w:rsid w:val="003906BF"/>
    <w:rsid w:val="0039159C"/>
    <w:rsid w:val="00391F5B"/>
    <w:rsid w:val="00392718"/>
    <w:rsid w:val="003931FD"/>
    <w:rsid w:val="00393205"/>
    <w:rsid w:val="00393BBA"/>
    <w:rsid w:val="00393D2B"/>
    <w:rsid w:val="00393FEB"/>
    <w:rsid w:val="00394066"/>
    <w:rsid w:val="00394908"/>
    <w:rsid w:val="00394CA3"/>
    <w:rsid w:val="00395708"/>
    <w:rsid w:val="00395DBD"/>
    <w:rsid w:val="0039699C"/>
    <w:rsid w:val="00396BBE"/>
    <w:rsid w:val="003972A0"/>
    <w:rsid w:val="0039739D"/>
    <w:rsid w:val="00397CF2"/>
    <w:rsid w:val="00397E85"/>
    <w:rsid w:val="003A0D9B"/>
    <w:rsid w:val="003A1346"/>
    <w:rsid w:val="003A1670"/>
    <w:rsid w:val="003A1AB9"/>
    <w:rsid w:val="003A1F03"/>
    <w:rsid w:val="003A2245"/>
    <w:rsid w:val="003A25E8"/>
    <w:rsid w:val="003A2E14"/>
    <w:rsid w:val="003A357E"/>
    <w:rsid w:val="003A3892"/>
    <w:rsid w:val="003A392A"/>
    <w:rsid w:val="003A39E4"/>
    <w:rsid w:val="003A413C"/>
    <w:rsid w:val="003A4908"/>
    <w:rsid w:val="003A4928"/>
    <w:rsid w:val="003A4ACD"/>
    <w:rsid w:val="003A4D4B"/>
    <w:rsid w:val="003A4F2E"/>
    <w:rsid w:val="003A505C"/>
    <w:rsid w:val="003A51AD"/>
    <w:rsid w:val="003A5257"/>
    <w:rsid w:val="003A59F7"/>
    <w:rsid w:val="003A5C12"/>
    <w:rsid w:val="003A5F2A"/>
    <w:rsid w:val="003A633A"/>
    <w:rsid w:val="003A6FEA"/>
    <w:rsid w:val="003A75B5"/>
    <w:rsid w:val="003A77F0"/>
    <w:rsid w:val="003A7950"/>
    <w:rsid w:val="003A7E8F"/>
    <w:rsid w:val="003B003B"/>
    <w:rsid w:val="003B0C62"/>
    <w:rsid w:val="003B1355"/>
    <w:rsid w:val="003B16A8"/>
    <w:rsid w:val="003B1AB9"/>
    <w:rsid w:val="003B1B75"/>
    <w:rsid w:val="003B1FA3"/>
    <w:rsid w:val="003B27EC"/>
    <w:rsid w:val="003B2832"/>
    <w:rsid w:val="003B34D6"/>
    <w:rsid w:val="003B3A13"/>
    <w:rsid w:val="003B3ADC"/>
    <w:rsid w:val="003B40B4"/>
    <w:rsid w:val="003B41B0"/>
    <w:rsid w:val="003B41C1"/>
    <w:rsid w:val="003B4406"/>
    <w:rsid w:val="003B4AB4"/>
    <w:rsid w:val="003B524D"/>
    <w:rsid w:val="003B5B61"/>
    <w:rsid w:val="003B5C58"/>
    <w:rsid w:val="003B7131"/>
    <w:rsid w:val="003B71BF"/>
    <w:rsid w:val="003B7629"/>
    <w:rsid w:val="003B77A3"/>
    <w:rsid w:val="003B7AAF"/>
    <w:rsid w:val="003B7C70"/>
    <w:rsid w:val="003B7E3F"/>
    <w:rsid w:val="003C02E8"/>
    <w:rsid w:val="003C032B"/>
    <w:rsid w:val="003C0CDA"/>
    <w:rsid w:val="003C0F3C"/>
    <w:rsid w:val="003C1B4D"/>
    <w:rsid w:val="003C1C5C"/>
    <w:rsid w:val="003C1FE2"/>
    <w:rsid w:val="003C2028"/>
    <w:rsid w:val="003C2155"/>
    <w:rsid w:val="003C2316"/>
    <w:rsid w:val="003C2A65"/>
    <w:rsid w:val="003C32E7"/>
    <w:rsid w:val="003C3659"/>
    <w:rsid w:val="003C47C0"/>
    <w:rsid w:val="003C49CD"/>
    <w:rsid w:val="003C4D85"/>
    <w:rsid w:val="003C52EC"/>
    <w:rsid w:val="003C56F4"/>
    <w:rsid w:val="003C5B58"/>
    <w:rsid w:val="003C5BBB"/>
    <w:rsid w:val="003C5DA2"/>
    <w:rsid w:val="003C62AC"/>
    <w:rsid w:val="003C646F"/>
    <w:rsid w:val="003C6BA6"/>
    <w:rsid w:val="003C757D"/>
    <w:rsid w:val="003C7A8C"/>
    <w:rsid w:val="003D0D4A"/>
    <w:rsid w:val="003D14A2"/>
    <w:rsid w:val="003D17DB"/>
    <w:rsid w:val="003D22CC"/>
    <w:rsid w:val="003D24D9"/>
    <w:rsid w:val="003D25BD"/>
    <w:rsid w:val="003D2C18"/>
    <w:rsid w:val="003D346C"/>
    <w:rsid w:val="003D37E5"/>
    <w:rsid w:val="003D3CBB"/>
    <w:rsid w:val="003D432A"/>
    <w:rsid w:val="003D475D"/>
    <w:rsid w:val="003D4B90"/>
    <w:rsid w:val="003D56EE"/>
    <w:rsid w:val="003D5A1F"/>
    <w:rsid w:val="003D5BA9"/>
    <w:rsid w:val="003D62AE"/>
    <w:rsid w:val="003D71F9"/>
    <w:rsid w:val="003D73E8"/>
    <w:rsid w:val="003E0656"/>
    <w:rsid w:val="003E06A2"/>
    <w:rsid w:val="003E0C80"/>
    <w:rsid w:val="003E0D53"/>
    <w:rsid w:val="003E200E"/>
    <w:rsid w:val="003E2720"/>
    <w:rsid w:val="003E31E5"/>
    <w:rsid w:val="003E3555"/>
    <w:rsid w:val="003E3902"/>
    <w:rsid w:val="003E3A14"/>
    <w:rsid w:val="003E3BE4"/>
    <w:rsid w:val="003E4018"/>
    <w:rsid w:val="003E41A3"/>
    <w:rsid w:val="003E4329"/>
    <w:rsid w:val="003E4C5E"/>
    <w:rsid w:val="003E5573"/>
    <w:rsid w:val="003E5C93"/>
    <w:rsid w:val="003E6040"/>
    <w:rsid w:val="003E646B"/>
    <w:rsid w:val="003E646E"/>
    <w:rsid w:val="003E64A8"/>
    <w:rsid w:val="003E6740"/>
    <w:rsid w:val="003E68CB"/>
    <w:rsid w:val="003E7870"/>
    <w:rsid w:val="003E7B40"/>
    <w:rsid w:val="003E7CED"/>
    <w:rsid w:val="003E7DD8"/>
    <w:rsid w:val="003F00A9"/>
    <w:rsid w:val="003F0113"/>
    <w:rsid w:val="003F0592"/>
    <w:rsid w:val="003F0AF4"/>
    <w:rsid w:val="003F113B"/>
    <w:rsid w:val="003F1493"/>
    <w:rsid w:val="003F1B61"/>
    <w:rsid w:val="003F1D40"/>
    <w:rsid w:val="003F2B38"/>
    <w:rsid w:val="003F2E16"/>
    <w:rsid w:val="003F33E7"/>
    <w:rsid w:val="003F3A8F"/>
    <w:rsid w:val="003F4010"/>
    <w:rsid w:val="003F4044"/>
    <w:rsid w:val="003F44CF"/>
    <w:rsid w:val="003F4CE5"/>
    <w:rsid w:val="003F5646"/>
    <w:rsid w:val="003F591B"/>
    <w:rsid w:val="003F675D"/>
    <w:rsid w:val="003F7285"/>
    <w:rsid w:val="003F7679"/>
    <w:rsid w:val="003F77B2"/>
    <w:rsid w:val="003F79DE"/>
    <w:rsid w:val="003F7A5C"/>
    <w:rsid w:val="00400279"/>
    <w:rsid w:val="00400726"/>
    <w:rsid w:val="004007EB"/>
    <w:rsid w:val="004010BD"/>
    <w:rsid w:val="004034F5"/>
    <w:rsid w:val="0040358A"/>
    <w:rsid w:val="00403EE3"/>
    <w:rsid w:val="004040BE"/>
    <w:rsid w:val="0040427E"/>
    <w:rsid w:val="00404707"/>
    <w:rsid w:val="00404AE3"/>
    <w:rsid w:val="00404DBA"/>
    <w:rsid w:val="00405044"/>
    <w:rsid w:val="004060D5"/>
    <w:rsid w:val="00406F8C"/>
    <w:rsid w:val="00406F9B"/>
    <w:rsid w:val="0040708E"/>
    <w:rsid w:val="004072C3"/>
    <w:rsid w:val="004113A1"/>
    <w:rsid w:val="0041147B"/>
    <w:rsid w:val="0041252D"/>
    <w:rsid w:val="0041279C"/>
    <w:rsid w:val="00412B7E"/>
    <w:rsid w:val="00412DEF"/>
    <w:rsid w:val="00412E80"/>
    <w:rsid w:val="00413111"/>
    <w:rsid w:val="0041324A"/>
    <w:rsid w:val="004135A8"/>
    <w:rsid w:val="00413BB9"/>
    <w:rsid w:val="0041471F"/>
    <w:rsid w:val="00414AA3"/>
    <w:rsid w:val="00414B6C"/>
    <w:rsid w:val="00415793"/>
    <w:rsid w:val="004159A1"/>
    <w:rsid w:val="00415D6B"/>
    <w:rsid w:val="00416749"/>
    <w:rsid w:val="004167DB"/>
    <w:rsid w:val="00416C25"/>
    <w:rsid w:val="00416EAB"/>
    <w:rsid w:val="0041764A"/>
    <w:rsid w:val="004177A1"/>
    <w:rsid w:val="004179FB"/>
    <w:rsid w:val="00417A5B"/>
    <w:rsid w:val="00417EA8"/>
    <w:rsid w:val="004200A1"/>
    <w:rsid w:val="00420576"/>
    <w:rsid w:val="0042087A"/>
    <w:rsid w:val="004211B9"/>
    <w:rsid w:val="00421364"/>
    <w:rsid w:val="00421F4D"/>
    <w:rsid w:val="00421FB0"/>
    <w:rsid w:val="00422662"/>
    <w:rsid w:val="0042284F"/>
    <w:rsid w:val="004228D2"/>
    <w:rsid w:val="00423396"/>
    <w:rsid w:val="00423570"/>
    <w:rsid w:val="00423A57"/>
    <w:rsid w:val="00423BF7"/>
    <w:rsid w:val="00423CBD"/>
    <w:rsid w:val="0042431F"/>
    <w:rsid w:val="0042442F"/>
    <w:rsid w:val="00424A0B"/>
    <w:rsid w:val="00425446"/>
    <w:rsid w:val="004256A0"/>
    <w:rsid w:val="00425718"/>
    <w:rsid w:val="00425BE7"/>
    <w:rsid w:val="0042645F"/>
    <w:rsid w:val="00426708"/>
    <w:rsid w:val="004270DC"/>
    <w:rsid w:val="0042723C"/>
    <w:rsid w:val="00427FDF"/>
    <w:rsid w:val="004310BB"/>
    <w:rsid w:val="004313E2"/>
    <w:rsid w:val="0043140C"/>
    <w:rsid w:val="004317E2"/>
    <w:rsid w:val="00431863"/>
    <w:rsid w:val="00432143"/>
    <w:rsid w:val="00432ABE"/>
    <w:rsid w:val="0043360B"/>
    <w:rsid w:val="0043363F"/>
    <w:rsid w:val="0043381D"/>
    <w:rsid w:val="00433E95"/>
    <w:rsid w:val="004342EE"/>
    <w:rsid w:val="004345D9"/>
    <w:rsid w:val="00435245"/>
    <w:rsid w:val="004352C9"/>
    <w:rsid w:val="004354EE"/>
    <w:rsid w:val="004356B7"/>
    <w:rsid w:val="004357BB"/>
    <w:rsid w:val="00435BE4"/>
    <w:rsid w:val="0043604C"/>
    <w:rsid w:val="00436EBE"/>
    <w:rsid w:val="00436F27"/>
    <w:rsid w:val="004371D9"/>
    <w:rsid w:val="004375F0"/>
    <w:rsid w:val="00440020"/>
    <w:rsid w:val="00440323"/>
    <w:rsid w:val="004404AC"/>
    <w:rsid w:val="004411B5"/>
    <w:rsid w:val="0044130C"/>
    <w:rsid w:val="0044190F"/>
    <w:rsid w:val="00441A5D"/>
    <w:rsid w:val="004420F7"/>
    <w:rsid w:val="00442380"/>
    <w:rsid w:val="0044253C"/>
    <w:rsid w:val="00442845"/>
    <w:rsid w:val="0044328C"/>
    <w:rsid w:val="00443E5E"/>
    <w:rsid w:val="00443ECD"/>
    <w:rsid w:val="0044435B"/>
    <w:rsid w:val="00444DB0"/>
    <w:rsid w:val="00445D8D"/>
    <w:rsid w:val="0044614E"/>
    <w:rsid w:val="004461EB"/>
    <w:rsid w:val="0044700D"/>
    <w:rsid w:val="004473E5"/>
    <w:rsid w:val="00447B95"/>
    <w:rsid w:val="00447BAF"/>
    <w:rsid w:val="00447F5E"/>
    <w:rsid w:val="0045008A"/>
    <w:rsid w:val="00450486"/>
    <w:rsid w:val="004512CD"/>
    <w:rsid w:val="0045141A"/>
    <w:rsid w:val="004516E1"/>
    <w:rsid w:val="004520E2"/>
    <w:rsid w:val="004522D7"/>
    <w:rsid w:val="0045267D"/>
    <w:rsid w:val="004531BD"/>
    <w:rsid w:val="00453F90"/>
    <w:rsid w:val="004544AF"/>
    <w:rsid w:val="00454509"/>
    <w:rsid w:val="0045452E"/>
    <w:rsid w:val="004547D5"/>
    <w:rsid w:val="0045483E"/>
    <w:rsid w:val="00454C97"/>
    <w:rsid w:val="00455964"/>
    <w:rsid w:val="00455EBA"/>
    <w:rsid w:val="0045609D"/>
    <w:rsid w:val="004561B5"/>
    <w:rsid w:val="0045627B"/>
    <w:rsid w:val="00456489"/>
    <w:rsid w:val="0045662A"/>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57FC9"/>
    <w:rsid w:val="00460263"/>
    <w:rsid w:val="00460B1B"/>
    <w:rsid w:val="00460C4E"/>
    <w:rsid w:val="004610A7"/>
    <w:rsid w:val="004613E6"/>
    <w:rsid w:val="0046147F"/>
    <w:rsid w:val="0046149F"/>
    <w:rsid w:val="00461874"/>
    <w:rsid w:val="00461952"/>
    <w:rsid w:val="00461BFF"/>
    <w:rsid w:val="00461E35"/>
    <w:rsid w:val="00462F28"/>
    <w:rsid w:val="0046321E"/>
    <w:rsid w:val="00463573"/>
    <w:rsid w:val="0046365A"/>
    <w:rsid w:val="0046437F"/>
    <w:rsid w:val="00464420"/>
    <w:rsid w:val="004648F9"/>
    <w:rsid w:val="00464EEB"/>
    <w:rsid w:val="004651BF"/>
    <w:rsid w:val="004654DC"/>
    <w:rsid w:val="004655EA"/>
    <w:rsid w:val="00465EBA"/>
    <w:rsid w:val="00466E1A"/>
    <w:rsid w:val="00466E21"/>
    <w:rsid w:val="00466EA4"/>
    <w:rsid w:val="00466F37"/>
    <w:rsid w:val="00467085"/>
    <w:rsid w:val="004677FA"/>
    <w:rsid w:val="00470126"/>
    <w:rsid w:val="0047019E"/>
    <w:rsid w:val="0047078D"/>
    <w:rsid w:val="00470AF5"/>
    <w:rsid w:val="00470B78"/>
    <w:rsid w:val="00470F85"/>
    <w:rsid w:val="0047118C"/>
    <w:rsid w:val="004712E0"/>
    <w:rsid w:val="00473011"/>
    <w:rsid w:val="00474249"/>
    <w:rsid w:val="00474447"/>
    <w:rsid w:val="0047457C"/>
    <w:rsid w:val="00474AC4"/>
    <w:rsid w:val="00474BA5"/>
    <w:rsid w:val="00474D58"/>
    <w:rsid w:val="00474ECD"/>
    <w:rsid w:val="0047566E"/>
    <w:rsid w:val="0047575B"/>
    <w:rsid w:val="00475A6C"/>
    <w:rsid w:val="00476017"/>
    <w:rsid w:val="00476142"/>
    <w:rsid w:val="004761E5"/>
    <w:rsid w:val="004777E4"/>
    <w:rsid w:val="00477CB1"/>
    <w:rsid w:val="00477CC9"/>
    <w:rsid w:val="00477F67"/>
    <w:rsid w:val="004801BC"/>
    <w:rsid w:val="004806ED"/>
    <w:rsid w:val="00480C39"/>
    <w:rsid w:val="004811A1"/>
    <w:rsid w:val="004818F3"/>
    <w:rsid w:val="00482442"/>
    <w:rsid w:val="00482EDA"/>
    <w:rsid w:val="00483536"/>
    <w:rsid w:val="00483B08"/>
    <w:rsid w:val="00483C4D"/>
    <w:rsid w:val="00483F18"/>
    <w:rsid w:val="00483FD1"/>
    <w:rsid w:val="00484029"/>
    <w:rsid w:val="00484388"/>
    <w:rsid w:val="0048447E"/>
    <w:rsid w:val="00484805"/>
    <w:rsid w:val="0048529C"/>
    <w:rsid w:val="00485318"/>
    <w:rsid w:val="00485577"/>
    <w:rsid w:val="00485883"/>
    <w:rsid w:val="0048631D"/>
    <w:rsid w:val="0048635A"/>
    <w:rsid w:val="004863D4"/>
    <w:rsid w:val="004864EA"/>
    <w:rsid w:val="00486656"/>
    <w:rsid w:val="00486AC8"/>
    <w:rsid w:val="00486BEC"/>
    <w:rsid w:val="00486EE4"/>
    <w:rsid w:val="00487172"/>
    <w:rsid w:val="004873F2"/>
    <w:rsid w:val="004876FD"/>
    <w:rsid w:val="004878EA"/>
    <w:rsid w:val="00487B97"/>
    <w:rsid w:val="00487DC3"/>
    <w:rsid w:val="004905D3"/>
    <w:rsid w:val="00490915"/>
    <w:rsid w:val="00490A9F"/>
    <w:rsid w:val="00490AD7"/>
    <w:rsid w:val="00491AF2"/>
    <w:rsid w:val="00491D48"/>
    <w:rsid w:val="00492081"/>
    <w:rsid w:val="00492276"/>
    <w:rsid w:val="00492716"/>
    <w:rsid w:val="00494903"/>
    <w:rsid w:val="00494B8F"/>
    <w:rsid w:val="00495F16"/>
    <w:rsid w:val="00496435"/>
    <w:rsid w:val="00496A08"/>
    <w:rsid w:val="004970CD"/>
    <w:rsid w:val="00497C32"/>
    <w:rsid w:val="004A02EB"/>
    <w:rsid w:val="004A0ACB"/>
    <w:rsid w:val="004A1699"/>
    <w:rsid w:val="004A1A82"/>
    <w:rsid w:val="004A1F95"/>
    <w:rsid w:val="004A3150"/>
    <w:rsid w:val="004A342D"/>
    <w:rsid w:val="004A3DF6"/>
    <w:rsid w:val="004A400F"/>
    <w:rsid w:val="004A4C54"/>
    <w:rsid w:val="004A5779"/>
    <w:rsid w:val="004A57E9"/>
    <w:rsid w:val="004A5EF1"/>
    <w:rsid w:val="004A5EF7"/>
    <w:rsid w:val="004A5F10"/>
    <w:rsid w:val="004A674A"/>
    <w:rsid w:val="004A68BD"/>
    <w:rsid w:val="004A6B93"/>
    <w:rsid w:val="004A6F5C"/>
    <w:rsid w:val="004A71C8"/>
    <w:rsid w:val="004A7A99"/>
    <w:rsid w:val="004B02E1"/>
    <w:rsid w:val="004B02F8"/>
    <w:rsid w:val="004B044F"/>
    <w:rsid w:val="004B0452"/>
    <w:rsid w:val="004B0969"/>
    <w:rsid w:val="004B1315"/>
    <w:rsid w:val="004B1437"/>
    <w:rsid w:val="004B1D67"/>
    <w:rsid w:val="004B2F9B"/>
    <w:rsid w:val="004B2FF6"/>
    <w:rsid w:val="004B3045"/>
    <w:rsid w:val="004B316D"/>
    <w:rsid w:val="004B31BF"/>
    <w:rsid w:val="004B3446"/>
    <w:rsid w:val="004B3646"/>
    <w:rsid w:val="004B3872"/>
    <w:rsid w:val="004B3F05"/>
    <w:rsid w:val="004B3F1A"/>
    <w:rsid w:val="004B4E83"/>
    <w:rsid w:val="004B4EBE"/>
    <w:rsid w:val="004B5054"/>
    <w:rsid w:val="004B599A"/>
    <w:rsid w:val="004B5B5E"/>
    <w:rsid w:val="004B5EF5"/>
    <w:rsid w:val="004B6667"/>
    <w:rsid w:val="004B7082"/>
    <w:rsid w:val="004B7242"/>
    <w:rsid w:val="004B732E"/>
    <w:rsid w:val="004B757C"/>
    <w:rsid w:val="004B75D2"/>
    <w:rsid w:val="004B7CB9"/>
    <w:rsid w:val="004C10C6"/>
    <w:rsid w:val="004C14FC"/>
    <w:rsid w:val="004C1A41"/>
    <w:rsid w:val="004C20D5"/>
    <w:rsid w:val="004C39AA"/>
    <w:rsid w:val="004C3A12"/>
    <w:rsid w:val="004C3B37"/>
    <w:rsid w:val="004C3B59"/>
    <w:rsid w:val="004C3E10"/>
    <w:rsid w:val="004C3F4F"/>
    <w:rsid w:val="004C465E"/>
    <w:rsid w:val="004C501C"/>
    <w:rsid w:val="004C502B"/>
    <w:rsid w:val="004C5488"/>
    <w:rsid w:val="004C5681"/>
    <w:rsid w:val="004C56B1"/>
    <w:rsid w:val="004C6855"/>
    <w:rsid w:val="004C74E4"/>
    <w:rsid w:val="004C7610"/>
    <w:rsid w:val="004C7817"/>
    <w:rsid w:val="004C7B2E"/>
    <w:rsid w:val="004C7BA6"/>
    <w:rsid w:val="004D03AE"/>
    <w:rsid w:val="004D05A7"/>
    <w:rsid w:val="004D0943"/>
    <w:rsid w:val="004D0D95"/>
    <w:rsid w:val="004D0F6C"/>
    <w:rsid w:val="004D1B78"/>
    <w:rsid w:val="004D28C4"/>
    <w:rsid w:val="004D2935"/>
    <w:rsid w:val="004D2956"/>
    <w:rsid w:val="004D2C28"/>
    <w:rsid w:val="004D3454"/>
    <w:rsid w:val="004D3B7F"/>
    <w:rsid w:val="004D3D41"/>
    <w:rsid w:val="004D3D7C"/>
    <w:rsid w:val="004D3F8F"/>
    <w:rsid w:val="004D4E8D"/>
    <w:rsid w:val="004D5402"/>
    <w:rsid w:val="004D546C"/>
    <w:rsid w:val="004D593A"/>
    <w:rsid w:val="004D6592"/>
    <w:rsid w:val="004D6891"/>
    <w:rsid w:val="004D6AA5"/>
    <w:rsid w:val="004D76CB"/>
    <w:rsid w:val="004D7CBA"/>
    <w:rsid w:val="004E0C89"/>
    <w:rsid w:val="004E13B5"/>
    <w:rsid w:val="004E1EB7"/>
    <w:rsid w:val="004E20FE"/>
    <w:rsid w:val="004E360E"/>
    <w:rsid w:val="004E3AA2"/>
    <w:rsid w:val="004E42D2"/>
    <w:rsid w:val="004E518E"/>
    <w:rsid w:val="004E5302"/>
    <w:rsid w:val="004E5945"/>
    <w:rsid w:val="004E6C48"/>
    <w:rsid w:val="004E7772"/>
    <w:rsid w:val="004F0AFD"/>
    <w:rsid w:val="004F0E1C"/>
    <w:rsid w:val="004F1974"/>
    <w:rsid w:val="004F2523"/>
    <w:rsid w:val="004F271A"/>
    <w:rsid w:val="004F2874"/>
    <w:rsid w:val="004F2E31"/>
    <w:rsid w:val="004F318B"/>
    <w:rsid w:val="004F3738"/>
    <w:rsid w:val="004F3799"/>
    <w:rsid w:val="004F430D"/>
    <w:rsid w:val="004F55A2"/>
    <w:rsid w:val="004F55CC"/>
    <w:rsid w:val="004F6D9B"/>
    <w:rsid w:val="004F6F9A"/>
    <w:rsid w:val="004F7DB7"/>
    <w:rsid w:val="004F7F01"/>
    <w:rsid w:val="005010E9"/>
    <w:rsid w:val="00501131"/>
    <w:rsid w:val="00501DCE"/>
    <w:rsid w:val="00501E32"/>
    <w:rsid w:val="00502282"/>
    <w:rsid w:val="005035EC"/>
    <w:rsid w:val="00503F90"/>
    <w:rsid w:val="00503F9C"/>
    <w:rsid w:val="005043F0"/>
    <w:rsid w:val="005055FD"/>
    <w:rsid w:val="0050575D"/>
    <w:rsid w:val="005058C0"/>
    <w:rsid w:val="00505B3F"/>
    <w:rsid w:val="00505FE6"/>
    <w:rsid w:val="00506001"/>
    <w:rsid w:val="0050679A"/>
    <w:rsid w:val="00506A63"/>
    <w:rsid w:val="005074AA"/>
    <w:rsid w:val="0050756F"/>
    <w:rsid w:val="00507D39"/>
    <w:rsid w:val="00510113"/>
    <w:rsid w:val="00510835"/>
    <w:rsid w:val="00512904"/>
    <w:rsid w:val="0051365B"/>
    <w:rsid w:val="00514997"/>
    <w:rsid w:val="00514F9E"/>
    <w:rsid w:val="00515343"/>
    <w:rsid w:val="0051546D"/>
    <w:rsid w:val="0051605A"/>
    <w:rsid w:val="0051632D"/>
    <w:rsid w:val="005169AD"/>
    <w:rsid w:val="0051723F"/>
    <w:rsid w:val="00520FF3"/>
    <w:rsid w:val="00521403"/>
    <w:rsid w:val="00521553"/>
    <w:rsid w:val="005218CB"/>
    <w:rsid w:val="005218E8"/>
    <w:rsid w:val="00521A99"/>
    <w:rsid w:val="00523147"/>
    <w:rsid w:val="005236E3"/>
    <w:rsid w:val="00523A5F"/>
    <w:rsid w:val="00523D3C"/>
    <w:rsid w:val="00523D57"/>
    <w:rsid w:val="00523D64"/>
    <w:rsid w:val="00524212"/>
    <w:rsid w:val="0052491F"/>
    <w:rsid w:val="00524966"/>
    <w:rsid w:val="00524F4D"/>
    <w:rsid w:val="00525281"/>
    <w:rsid w:val="00525D93"/>
    <w:rsid w:val="0052600B"/>
    <w:rsid w:val="0052624F"/>
    <w:rsid w:val="005262EF"/>
    <w:rsid w:val="00526E21"/>
    <w:rsid w:val="005272B5"/>
    <w:rsid w:val="00527337"/>
    <w:rsid w:val="005275FE"/>
    <w:rsid w:val="00527C70"/>
    <w:rsid w:val="00530001"/>
    <w:rsid w:val="005300E3"/>
    <w:rsid w:val="005316D5"/>
    <w:rsid w:val="005318CF"/>
    <w:rsid w:val="00531A22"/>
    <w:rsid w:val="00531B4F"/>
    <w:rsid w:val="005320AC"/>
    <w:rsid w:val="00532542"/>
    <w:rsid w:val="005325C4"/>
    <w:rsid w:val="00533407"/>
    <w:rsid w:val="00533F9F"/>
    <w:rsid w:val="00534396"/>
    <w:rsid w:val="00534487"/>
    <w:rsid w:val="0053470A"/>
    <w:rsid w:val="00534A3E"/>
    <w:rsid w:val="00534AC5"/>
    <w:rsid w:val="00535346"/>
    <w:rsid w:val="00535A3A"/>
    <w:rsid w:val="00535D39"/>
    <w:rsid w:val="00536B2D"/>
    <w:rsid w:val="005372B3"/>
    <w:rsid w:val="00540360"/>
    <w:rsid w:val="005406DF"/>
    <w:rsid w:val="00540FDF"/>
    <w:rsid w:val="005416BA"/>
    <w:rsid w:val="0054184B"/>
    <w:rsid w:val="0054301B"/>
    <w:rsid w:val="00543AC1"/>
    <w:rsid w:val="00544142"/>
    <w:rsid w:val="005443F0"/>
    <w:rsid w:val="00544B70"/>
    <w:rsid w:val="0054505D"/>
    <w:rsid w:val="0054534F"/>
    <w:rsid w:val="0054592D"/>
    <w:rsid w:val="00545ADA"/>
    <w:rsid w:val="0054630D"/>
    <w:rsid w:val="005466D8"/>
    <w:rsid w:val="00546F4A"/>
    <w:rsid w:val="005471AF"/>
    <w:rsid w:val="00547C18"/>
    <w:rsid w:val="00547D2E"/>
    <w:rsid w:val="00547F33"/>
    <w:rsid w:val="005506DB"/>
    <w:rsid w:val="00550987"/>
    <w:rsid w:val="00551097"/>
    <w:rsid w:val="005513DB"/>
    <w:rsid w:val="005515AB"/>
    <w:rsid w:val="005517EB"/>
    <w:rsid w:val="00552456"/>
    <w:rsid w:val="005525D9"/>
    <w:rsid w:val="00552933"/>
    <w:rsid w:val="00552B0D"/>
    <w:rsid w:val="00552BA9"/>
    <w:rsid w:val="0055333B"/>
    <w:rsid w:val="00553703"/>
    <w:rsid w:val="00553B21"/>
    <w:rsid w:val="00553ED9"/>
    <w:rsid w:val="0055454E"/>
    <w:rsid w:val="00554B4E"/>
    <w:rsid w:val="00554FD3"/>
    <w:rsid w:val="0055503B"/>
    <w:rsid w:val="005551F1"/>
    <w:rsid w:val="0055558B"/>
    <w:rsid w:val="00555BBA"/>
    <w:rsid w:val="005560BD"/>
    <w:rsid w:val="0055640E"/>
    <w:rsid w:val="0055642A"/>
    <w:rsid w:val="0055663B"/>
    <w:rsid w:val="00556690"/>
    <w:rsid w:val="005568AA"/>
    <w:rsid w:val="005568D2"/>
    <w:rsid w:val="00556C73"/>
    <w:rsid w:val="00556F36"/>
    <w:rsid w:val="00557126"/>
    <w:rsid w:val="00557404"/>
    <w:rsid w:val="005575B8"/>
    <w:rsid w:val="0056037F"/>
    <w:rsid w:val="0056038D"/>
    <w:rsid w:val="00560401"/>
    <w:rsid w:val="00561CEA"/>
    <w:rsid w:val="0056220B"/>
    <w:rsid w:val="0056364A"/>
    <w:rsid w:val="00564001"/>
    <w:rsid w:val="005649C4"/>
    <w:rsid w:val="00564D48"/>
    <w:rsid w:val="00564F45"/>
    <w:rsid w:val="00565A9A"/>
    <w:rsid w:val="00565B77"/>
    <w:rsid w:val="00566276"/>
    <w:rsid w:val="005666C2"/>
    <w:rsid w:val="005671E0"/>
    <w:rsid w:val="00567205"/>
    <w:rsid w:val="00567B13"/>
    <w:rsid w:val="00570E07"/>
    <w:rsid w:val="00571480"/>
    <w:rsid w:val="005715B4"/>
    <w:rsid w:val="005728AF"/>
    <w:rsid w:val="00573792"/>
    <w:rsid w:val="00573ED4"/>
    <w:rsid w:val="00574BDB"/>
    <w:rsid w:val="005760D8"/>
    <w:rsid w:val="005762DB"/>
    <w:rsid w:val="00576ACF"/>
    <w:rsid w:val="00576F3E"/>
    <w:rsid w:val="005775D4"/>
    <w:rsid w:val="0057765D"/>
    <w:rsid w:val="00577736"/>
    <w:rsid w:val="00577CC1"/>
    <w:rsid w:val="00580188"/>
    <w:rsid w:val="00580BDF"/>
    <w:rsid w:val="00581408"/>
    <w:rsid w:val="0058158E"/>
    <w:rsid w:val="00581A25"/>
    <w:rsid w:val="00581CB5"/>
    <w:rsid w:val="00581EA8"/>
    <w:rsid w:val="005822C2"/>
    <w:rsid w:val="00582FB5"/>
    <w:rsid w:val="00582FDC"/>
    <w:rsid w:val="0058376F"/>
    <w:rsid w:val="00583831"/>
    <w:rsid w:val="00583A4E"/>
    <w:rsid w:val="00583D98"/>
    <w:rsid w:val="00583EEB"/>
    <w:rsid w:val="00583FDB"/>
    <w:rsid w:val="005844EC"/>
    <w:rsid w:val="00584943"/>
    <w:rsid w:val="00584F16"/>
    <w:rsid w:val="0058529E"/>
    <w:rsid w:val="0058539B"/>
    <w:rsid w:val="005856AC"/>
    <w:rsid w:val="00585B05"/>
    <w:rsid w:val="00585B9A"/>
    <w:rsid w:val="00585C0E"/>
    <w:rsid w:val="00585C14"/>
    <w:rsid w:val="00586043"/>
    <w:rsid w:val="005860A6"/>
    <w:rsid w:val="0058643D"/>
    <w:rsid w:val="00587421"/>
    <w:rsid w:val="00587731"/>
    <w:rsid w:val="005902EC"/>
    <w:rsid w:val="00590316"/>
    <w:rsid w:val="005905E6"/>
    <w:rsid w:val="0059088D"/>
    <w:rsid w:val="00591CDC"/>
    <w:rsid w:val="0059263F"/>
    <w:rsid w:val="00592652"/>
    <w:rsid w:val="0059313D"/>
    <w:rsid w:val="005937D0"/>
    <w:rsid w:val="00593CFD"/>
    <w:rsid w:val="00594054"/>
    <w:rsid w:val="00594807"/>
    <w:rsid w:val="005963F5"/>
    <w:rsid w:val="00596871"/>
    <w:rsid w:val="00596F9A"/>
    <w:rsid w:val="005974C1"/>
    <w:rsid w:val="00597ABC"/>
    <w:rsid w:val="00597B4E"/>
    <w:rsid w:val="005A037E"/>
    <w:rsid w:val="005A16F6"/>
    <w:rsid w:val="005A219E"/>
    <w:rsid w:val="005A2668"/>
    <w:rsid w:val="005A284D"/>
    <w:rsid w:val="005A2D7D"/>
    <w:rsid w:val="005A3126"/>
    <w:rsid w:val="005A3215"/>
    <w:rsid w:val="005A347F"/>
    <w:rsid w:val="005A3747"/>
    <w:rsid w:val="005A3D1F"/>
    <w:rsid w:val="005A4011"/>
    <w:rsid w:val="005A4158"/>
    <w:rsid w:val="005A4B12"/>
    <w:rsid w:val="005A547A"/>
    <w:rsid w:val="005A54F2"/>
    <w:rsid w:val="005A58DD"/>
    <w:rsid w:val="005A5B3E"/>
    <w:rsid w:val="005A5DC4"/>
    <w:rsid w:val="005A6150"/>
    <w:rsid w:val="005A67AA"/>
    <w:rsid w:val="005A7203"/>
    <w:rsid w:val="005A7419"/>
    <w:rsid w:val="005A7539"/>
    <w:rsid w:val="005A7571"/>
    <w:rsid w:val="005A7EDC"/>
    <w:rsid w:val="005B0DE3"/>
    <w:rsid w:val="005B1A0A"/>
    <w:rsid w:val="005B1D35"/>
    <w:rsid w:val="005B259C"/>
    <w:rsid w:val="005B2879"/>
    <w:rsid w:val="005B2944"/>
    <w:rsid w:val="005B29B9"/>
    <w:rsid w:val="005B2EE5"/>
    <w:rsid w:val="005B2F99"/>
    <w:rsid w:val="005B30F6"/>
    <w:rsid w:val="005B3932"/>
    <w:rsid w:val="005B3A67"/>
    <w:rsid w:val="005B3D35"/>
    <w:rsid w:val="005B3E51"/>
    <w:rsid w:val="005B4346"/>
    <w:rsid w:val="005B4EC0"/>
    <w:rsid w:val="005B5C01"/>
    <w:rsid w:val="005B6494"/>
    <w:rsid w:val="005B6B67"/>
    <w:rsid w:val="005B6CA4"/>
    <w:rsid w:val="005B6FF1"/>
    <w:rsid w:val="005B766F"/>
    <w:rsid w:val="005B7F42"/>
    <w:rsid w:val="005C01E6"/>
    <w:rsid w:val="005C09DA"/>
    <w:rsid w:val="005C1102"/>
    <w:rsid w:val="005C168C"/>
    <w:rsid w:val="005C1A3D"/>
    <w:rsid w:val="005C21D4"/>
    <w:rsid w:val="005C2460"/>
    <w:rsid w:val="005C278A"/>
    <w:rsid w:val="005C2833"/>
    <w:rsid w:val="005C2B57"/>
    <w:rsid w:val="005C2F7B"/>
    <w:rsid w:val="005C3098"/>
    <w:rsid w:val="005C3411"/>
    <w:rsid w:val="005C3448"/>
    <w:rsid w:val="005C3955"/>
    <w:rsid w:val="005C40BE"/>
    <w:rsid w:val="005C50D2"/>
    <w:rsid w:val="005C5312"/>
    <w:rsid w:val="005C5763"/>
    <w:rsid w:val="005C5789"/>
    <w:rsid w:val="005C58FC"/>
    <w:rsid w:val="005C5BA5"/>
    <w:rsid w:val="005C5EE3"/>
    <w:rsid w:val="005C6F1C"/>
    <w:rsid w:val="005C7CD3"/>
    <w:rsid w:val="005C7F8B"/>
    <w:rsid w:val="005D0630"/>
    <w:rsid w:val="005D0906"/>
    <w:rsid w:val="005D09BD"/>
    <w:rsid w:val="005D169F"/>
    <w:rsid w:val="005D16F5"/>
    <w:rsid w:val="005D1BF9"/>
    <w:rsid w:val="005D1D90"/>
    <w:rsid w:val="005D21A9"/>
    <w:rsid w:val="005D3A24"/>
    <w:rsid w:val="005D3E4C"/>
    <w:rsid w:val="005D49C1"/>
    <w:rsid w:val="005D4C4E"/>
    <w:rsid w:val="005D5763"/>
    <w:rsid w:val="005D5BE6"/>
    <w:rsid w:val="005D5C69"/>
    <w:rsid w:val="005D6299"/>
    <w:rsid w:val="005D6D05"/>
    <w:rsid w:val="005D6D5F"/>
    <w:rsid w:val="005D709F"/>
    <w:rsid w:val="005D7631"/>
    <w:rsid w:val="005D7719"/>
    <w:rsid w:val="005D782E"/>
    <w:rsid w:val="005D7B61"/>
    <w:rsid w:val="005E0598"/>
    <w:rsid w:val="005E0E86"/>
    <w:rsid w:val="005E0EFA"/>
    <w:rsid w:val="005E0FE9"/>
    <w:rsid w:val="005E11B6"/>
    <w:rsid w:val="005E1832"/>
    <w:rsid w:val="005E1920"/>
    <w:rsid w:val="005E1C9F"/>
    <w:rsid w:val="005E1F25"/>
    <w:rsid w:val="005E2E0C"/>
    <w:rsid w:val="005E2E92"/>
    <w:rsid w:val="005E346D"/>
    <w:rsid w:val="005E3C41"/>
    <w:rsid w:val="005E3D38"/>
    <w:rsid w:val="005E3EAA"/>
    <w:rsid w:val="005E47D6"/>
    <w:rsid w:val="005E4B85"/>
    <w:rsid w:val="005E5248"/>
    <w:rsid w:val="005E53EB"/>
    <w:rsid w:val="005E55FD"/>
    <w:rsid w:val="005E580F"/>
    <w:rsid w:val="005E6533"/>
    <w:rsid w:val="005E6A2A"/>
    <w:rsid w:val="005E7846"/>
    <w:rsid w:val="005E787B"/>
    <w:rsid w:val="005E7B28"/>
    <w:rsid w:val="005F02B1"/>
    <w:rsid w:val="005F05D9"/>
    <w:rsid w:val="005F114C"/>
    <w:rsid w:val="005F137D"/>
    <w:rsid w:val="005F16D6"/>
    <w:rsid w:val="005F1BAF"/>
    <w:rsid w:val="005F1FC4"/>
    <w:rsid w:val="005F2385"/>
    <w:rsid w:val="005F282C"/>
    <w:rsid w:val="005F28DF"/>
    <w:rsid w:val="005F2D7C"/>
    <w:rsid w:val="005F3480"/>
    <w:rsid w:val="005F361F"/>
    <w:rsid w:val="005F366C"/>
    <w:rsid w:val="005F4582"/>
    <w:rsid w:val="005F4654"/>
    <w:rsid w:val="005F526D"/>
    <w:rsid w:val="005F5330"/>
    <w:rsid w:val="005F5579"/>
    <w:rsid w:val="005F56F6"/>
    <w:rsid w:val="005F5C0C"/>
    <w:rsid w:val="005F646D"/>
    <w:rsid w:val="005F6984"/>
    <w:rsid w:val="005F73F6"/>
    <w:rsid w:val="005F7CE8"/>
    <w:rsid w:val="005F7D94"/>
    <w:rsid w:val="005F7DE9"/>
    <w:rsid w:val="00600288"/>
    <w:rsid w:val="006003C6"/>
    <w:rsid w:val="0060055B"/>
    <w:rsid w:val="006007E6"/>
    <w:rsid w:val="00600ADD"/>
    <w:rsid w:val="00600AEA"/>
    <w:rsid w:val="00600C0A"/>
    <w:rsid w:val="00600DEA"/>
    <w:rsid w:val="00600F73"/>
    <w:rsid w:val="0060129F"/>
    <w:rsid w:val="00602D0D"/>
    <w:rsid w:val="00602DBD"/>
    <w:rsid w:val="0060320B"/>
    <w:rsid w:val="006034B3"/>
    <w:rsid w:val="006035D4"/>
    <w:rsid w:val="006038E6"/>
    <w:rsid w:val="006041BE"/>
    <w:rsid w:val="00604A29"/>
    <w:rsid w:val="00604DCF"/>
    <w:rsid w:val="006054CE"/>
    <w:rsid w:val="00605D84"/>
    <w:rsid w:val="00605E5D"/>
    <w:rsid w:val="006072D0"/>
    <w:rsid w:val="00607829"/>
    <w:rsid w:val="00607EB5"/>
    <w:rsid w:val="006104ED"/>
    <w:rsid w:val="00610E33"/>
    <w:rsid w:val="00610FEE"/>
    <w:rsid w:val="006114CD"/>
    <w:rsid w:val="006126C2"/>
    <w:rsid w:val="00612844"/>
    <w:rsid w:val="00613479"/>
    <w:rsid w:val="006134A7"/>
    <w:rsid w:val="00613824"/>
    <w:rsid w:val="00614171"/>
    <w:rsid w:val="00615440"/>
    <w:rsid w:val="00616298"/>
    <w:rsid w:val="006165AC"/>
    <w:rsid w:val="006169B6"/>
    <w:rsid w:val="00617636"/>
    <w:rsid w:val="00617A74"/>
    <w:rsid w:val="00620CCE"/>
    <w:rsid w:val="00620CEF"/>
    <w:rsid w:val="00622C24"/>
    <w:rsid w:val="00622CD3"/>
    <w:rsid w:val="0062314E"/>
    <w:rsid w:val="006235B4"/>
    <w:rsid w:val="00623931"/>
    <w:rsid w:val="00623C47"/>
    <w:rsid w:val="00624085"/>
    <w:rsid w:val="006249EE"/>
    <w:rsid w:val="00624E08"/>
    <w:rsid w:val="00625231"/>
    <w:rsid w:val="006252B5"/>
    <w:rsid w:val="006254B1"/>
    <w:rsid w:val="0062566C"/>
    <w:rsid w:val="00625C9B"/>
    <w:rsid w:val="006260AD"/>
    <w:rsid w:val="0062680F"/>
    <w:rsid w:val="00626BFA"/>
    <w:rsid w:val="00626D05"/>
    <w:rsid w:val="00627073"/>
    <w:rsid w:val="00627284"/>
    <w:rsid w:val="006273AA"/>
    <w:rsid w:val="006275A9"/>
    <w:rsid w:val="00627938"/>
    <w:rsid w:val="00627B4C"/>
    <w:rsid w:val="0063051A"/>
    <w:rsid w:val="00630573"/>
    <w:rsid w:val="00630712"/>
    <w:rsid w:val="00631170"/>
    <w:rsid w:val="006319B5"/>
    <w:rsid w:val="00631C83"/>
    <w:rsid w:val="00632DBD"/>
    <w:rsid w:val="006332A9"/>
    <w:rsid w:val="0063399F"/>
    <w:rsid w:val="006344C9"/>
    <w:rsid w:val="00634F37"/>
    <w:rsid w:val="0063512C"/>
    <w:rsid w:val="006358C3"/>
    <w:rsid w:val="00635BD3"/>
    <w:rsid w:val="00635D06"/>
    <w:rsid w:val="00635F0D"/>
    <w:rsid w:val="00636894"/>
    <w:rsid w:val="006370AA"/>
    <w:rsid w:val="006378AA"/>
    <w:rsid w:val="006403CE"/>
    <w:rsid w:val="006406E3"/>
    <w:rsid w:val="0064075C"/>
    <w:rsid w:val="00640EC9"/>
    <w:rsid w:val="00641394"/>
    <w:rsid w:val="006414C4"/>
    <w:rsid w:val="006414F2"/>
    <w:rsid w:val="0064155E"/>
    <w:rsid w:val="0064162D"/>
    <w:rsid w:val="0064183E"/>
    <w:rsid w:val="006418F1"/>
    <w:rsid w:val="00641B49"/>
    <w:rsid w:val="00642207"/>
    <w:rsid w:val="00642968"/>
    <w:rsid w:val="00642E3F"/>
    <w:rsid w:val="00643F4F"/>
    <w:rsid w:val="00644EAE"/>
    <w:rsid w:val="0064528F"/>
    <w:rsid w:val="006452D8"/>
    <w:rsid w:val="00645B3F"/>
    <w:rsid w:val="006463FC"/>
    <w:rsid w:val="0064676B"/>
    <w:rsid w:val="00646C1C"/>
    <w:rsid w:val="00647108"/>
    <w:rsid w:val="006474C1"/>
    <w:rsid w:val="00647833"/>
    <w:rsid w:val="00647A05"/>
    <w:rsid w:val="00647CDA"/>
    <w:rsid w:val="00650266"/>
    <w:rsid w:val="0065033A"/>
    <w:rsid w:val="00650798"/>
    <w:rsid w:val="006508CB"/>
    <w:rsid w:val="00651B2D"/>
    <w:rsid w:val="006528E7"/>
    <w:rsid w:val="00652F73"/>
    <w:rsid w:val="006530AE"/>
    <w:rsid w:val="0065314D"/>
    <w:rsid w:val="006536A3"/>
    <w:rsid w:val="006540D2"/>
    <w:rsid w:val="006542B3"/>
    <w:rsid w:val="0065483C"/>
    <w:rsid w:val="00654A91"/>
    <w:rsid w:val="006550BC"/>
    <w:rsid w:val="006557F4"/>
    <w:rsid w:val="00655EA3"/>
    <w:rsid w:val="00657345"/>
    <w:rsid w:val="006579D8"/>
    <w:rsid w:val="006603C3"/>
    <w:rsid w:val="006605B6"/>
    <w:rsid w:val="00660AD5"/>
    <w:rsid w:val="00660C97"/>
    <w:rsid w:val="006612D7"/>
    <w:rsid w:val="0066164B"/>
    <w:rsid w:val="00661707"/>
    <w:rsid w:val="00661B62"/>
    <w:rsid w:val="00662566"/>
    <w:rsid w:val="00662C89"/>
    <w:rsid w:val="0066317E"/>
    <w:rsid w:val="006636AA"/>
    <w:rsid w:val="00663F83"/>
    <w:rsid w:val="00664230"/>
    <w:rsid w:val="006642F7"/>
    <w:rsid w:val="006644D0"/>
    <w:rsid w:val="00664EE8"/>
    <w:rsid w:val="00665132"/>
    <w:rsid w:val="006659C6"/>
    <w:rsid w:val="00666B92"/>
    <w:rsid w:val="00666BED"/>
    <w:rsid w:val="00666DDF"/>
    <w:rsid w:val="00667912"/>
    <w:rsid w:val="00667A8F"/>
    <w:rsid w:val="00667C47"/>
    <w:rsid w:val="00667D4E"/>
    <w:rsid w:val="0067043B"/>
    <w:rsid w:val="006706C2"/>
    <w:rsid w:val="006709A7"/>
    <w:rsid w:val="00670AFF"/>
    <w:rsid w:val="00671107"/>
    <w:rsid w:val="006719E4"/>
    <w:rsid w:val="00671CC3"/>
    <w:rsid w:val="00671E6A"/>
    <w:rsid w:val="00672096"/>
    <w:rsid w:val="0067215E"/>
    <w:rsid w:val="006729AA"/>
    <w:rsid w:val="00673022"/>
    <w:rsid w:val="006735FF"/>
    <w:rsid w:val="00673CDE"/>
    <w:rsid w:val="00673EA7"/>
    <w:rsid w:val="00673FE3"/>
    <w:rsid w:val="006741E9"/>
    <w:rsid w:val="00674268"/>
    <w:rsid w:val="006744E8"/>
    <w:rsid w:val="00674750"/>
    <w:rsid w:val="006749EC"/>
    <w:rsid w:val="0067579A"/>
    <w:rsid w:val="00675DE8"/>
    <w:rsid w:val="00675F2B"/>
    <w:rsid w:val="0067657F"/>
    <w:rsid w:val="00676605"/>
    <w:rsid w:val="006768B8"/>
    <w:rsid w:val="00677E78"/>
    <w:rsid w:val="00680226"/>
    <w:rsid w:val="0068034C"/>
    <w:rsid w:val="006805FE"/>
    <w:rsid w:val="00680CDE"/>
    <w:rsid w:val="0068192B"/>
    <w:rsid w:val="00682749"/>
    <w:rsid w:val="00682866"/>
    <w:rsid w:val="0068301F"/>
    <w:rsid w:val="00683161"/>
    <w:rsid w:val="00683AD1"/>
    <w:rsid w:val="00683AD2"/>
    <w:rsid w:val="00683C1A"/>
    <w:rsid w:val="00684746"/>
    <w:rsid w:val="006851C3"/>
    <w:rsid w:val="00685403"/>
    <w:rsid w:val="00686270"/>
    <w:rsid w:val="00686391"/>
    <w:rsid w:val="006866DF"/>
    <w:rsid w:val="0069022A"/>
    <w:rsid w:val="006904FD"/>
    <w:rsid w:val="00690765"/>
    <w:rsid w:val="00690C75"/>
    <w:rsid w:val="00690EBE"/>
    <w:rsid w:val="0069162F"/>
    <w:rsid w:val="00691B38"/>
    <w:rsid w:val="00692347"/>
    <w:rsid w:val="0069238E"/>
    <w:rsid w:val="00692C19"/>
    <w:rsid w:val="00693095"/>
    <w:rsid w:val="006937B6"/>
    <w:rsid w:val="006940F3"/>
    <w:rsid w:val="0069450D"/>
    <w:rsid w:val="006945E3"/>
    <w:rsid w:val="00694886"/>
    <w:rsid w:val="00694959"/>
    <w:rsid w:val="00694BF4"/>
    <w:rsid w:val="006956E2"/>
    <w:rsid w:val="00695D41"/>
    <w:rsid w:val="00696135"/>
    <w:rsid w:val="0069620A"/>
    <w:rsid w:val="00697076"/>
    <w:rsid w:val="00697962"/>
    <w:rsid w:val="006A0545"/>
    <w:rsid w:val="006A071F"/>
    <w:rsid w:val="006A0771"/>
    <w:rsid w:val="006A1187"/>
    <w:rsid w:val="006A136E"/>
    <w:rsid w:val="006A1C59"/>
    <w:rsid w:val="006A226C"/>
    <w:rsid w:val="006A2933"/>
    <w:rsid w:val="006A2D21"/>
    <w:rsid w:val="006A2F26"/>
    <w:rsid w:val="006A318A"/>
    <w:rsid w:val="006A3398"/>
    <w:rsid w:val="006A430A"/>
    <w:rsid w:val="006A4C8A"/>
    <w:rsid w:val="006A5184"/>
    <w:rsid w:val="006A52D2"/>
    <w:rsid w:val="006A57EC"/>
    <w:rsid w:val="006A5C39"/>
    <w:rsid w:val="006A5DAC"/>
    <w:rsid w:val="006A651C"/>
    <w:rsid w:val="006A69B6"/>
    <w:rsid w:val="006A6A64"/>
    <w:rsid w:val="006A6C52"/>
    <w:rsid w:val="006A6D7E"/>
    <w:rsid w:val="006A793C"/>
    <w:rsid w:val="006A7FC6"/>
    <w:rsid w:val="006B0856"/>
    <w:rsid w:val="006B09BD"/>
    <w:rsid w:val="006B1A63"/>
    <w:rsid w:val="006B1F0E"/>
    <w:rsid w:val="006B294B"/>
    <w:rsid w:val="006B29E3"/>
    <w:rsid w:val="006B2A03"/>
    <w:rsid w:val="006B2E19"/>
    <w:rsid w:val="006B3098"/>
    <w:rsid w:val="006B37BB"/>
    <w:rsid w:val="006B3FB8"/>
    <w:rsid w:val="006B416E"/>
    <w:rsid w:val="006B4205"/>
    <w:rsid w:val="006B42A5"/>
    <w:rsid w:val="006B431F"/>
    <w:rsid w:val="006B435B"/>
    <w:rsid w:val="006B46A9"/>
    <w:rsid w:val="006B5092"/>
    <w:rsid w:val="006B5184"/>
    <w:rsid w:val="006B533D"/>
    <w:rsid w:val="006B5DF4"/>
    <w:rsid w:val="006B5ED9"/>
    <w:rsid w:val="006B6265"/>
    <w:rsid w:val="006B68C5"/>
    <w:rsid w:val="006B6BAC"/>
    <w:rsid w:val="006B7019"/>
    <w:rsid w:val="006B76A1"/>
    <w:rsid w:val="006C0747"/>
    <w:rsid w:val="006C0801"/>
    <w:rsid w:val="006C179C"/>
    <w:rsid w:val="006C1CA7"/>
    <w:rsid w:val="006C209D"/>
    <w:rsid w:val="006C2131"/>
    <w:rsid w:val="006C218D"/>
    <w:rsid w:val="006C21C7"/>
    <w:rsid w:val="006C2394"/>
    <w:rsid w:val="006C28CA"/>
    <w:rsid w:val="006C291D"/>
    <w:rsid w:val="006C2D2B"/>
    <w:rsid w:val="006C3269"/>
    <w:rsid w:val="006C35CF"/>
    <w:rsid w:val="006C35F7"/>
    <w:rsid w:val="006C3FAA"/>
    <w:rsid w:val="006C58DB"/>
    <w:rsid w:val="006C5991"/>
    <w:rsid w:val="006C5AFD"/>
    <w:rsid w:val="006C6035"/>
    <w:rsid w:val="006C666E"/>
    <w:rsid w:val="006C6EB2"/>
    <w:rsid w:val="006C7284"/>
    <w:rsid w:val="006C788E"/>
    <w:rsid w:val="006C7B78"/>
    <w:rsid w:val="006C7EAD"/>
    <w:rsid w:val="006D02F1"/>
    <w:rsid w:val="006D16D9"/>
    <w:rsid w:val="006D2224"/>
    <w:rsid w:val="006D26EE"/>
    <w:rsid w:val="006D2BF1"/>
    <w:rsid w:val="006D3A26"/>
    <w:rsid w:val="006D3A33"/>
    <w:rsid w:val="006D3F8F"/>
    <w:rsid w:val="006D43A5"/>
    <w:rsid w:val="006D497A"/>
    <w:rsid w:val="006D4FF1"/>
    <w:rsid w:val="006D591F"/>
    <w:rsid w:val="006D5DBB"/>
    <w:rsid w:val="006D5F6E"/>
    <w:rsid w:val="006D736D"/>
    <w:rsid w:val="006D7697"/>
    <w:rsid w:val="006D7A9D"/>
    <w:rsid w:val="006E08AE"/>
    <w:rsid w:val="006E1477"/>
    <w:rsid w:val="006E1865"/>
    <w:rsid w:val="006E1AD0"/>
    <w:rsid w:val="006E1E62"/>
    <w:rsid w:val="006E1F31"/>
    <w:rsid w:val="006E2015"/>
    <w:rsid w:val="006E2520"/>
    <w:rsid w:val="006E2769"/>
    <w:rsid w:val="006E28FF"/>
    <w:rsid w:val="006E2D0B"/>
    <w:rsid w:val="006E3415"/>
    <w:rsid w:val="006E3E63"/>
    <w:rsid w:val="006E48AC"/>
    <w:rsid w:val="006E4AB9"/>
    <w:rsid w:val="006E503C"/>
    <w:rsid w:val="006E553D"/>
    <w:rsid w:val="006E56C9"/>
    <w:rsid w:val="006E57E3"/>
    <w:rsid w:val="006E620C"/>
    <w:rsid w:val="006E6C21"/>
    <w:rsid w:val="006E7366"/>
    <w:rsid w:val="006F0369"/>
    <w:rsid w:val="006F07C7"/>
    <w:rsid w:val="006F0899"/>
    <w:rsid w:val="006F0952"/>
    <w:rsid w:val="006F0E51"/>
    <w:rsid w:val="006F0EF3"/>
    <w:rsid w:val="006F137C"/>
    <w:rsid w:val="006F1633"/>
    <w:rsid w:val="006F22FD"/>
    <w:rsid w:val="006F2674"/>
    <w:rsid w:val="006F3292"/>
    <w:rsid w:val="006F3479"/>
    <w:rsid w:val="006F34BD"/>
    <w:rsid w:val="006F36A0"/>
    <w:rsid w:val="006F3C11"/>
    <w:rsid w:val="006F3C35"/>
    <w:rsid w:val="006F4209"/>
    <w:rsid w:val="006F4679"/>
    <w:rsid w:val="006F4FDF"/>
    <w:rsid w:val="006F53BA"/>
    <w:rsid w:val="006F5AC0"/>
    <w:rsid w:val="006F5E46"/>
    <w:rsid w:val="006F610D"/>
    <w:rsid w:val="006F66CA"/>
    <w:rsid w:val="006F66E4"/>
    <w:rsid w:val="006F6836"/>
    <w:rsid w:val="006F7062"/>
    <w:rsid w:val="006F7548"/>
    <w:rsid w:val="006F7E15"/>
    <w:rsid w:val="00700298"/>
    <w:rsid w:val="007005ED"/>
    <w:rsid w:val="007006EC"/>
    <w:rsid w:val="00701370"/>
    <w:rsid w:val="00701658"/>
    <w:rsid w:val="00701C86"/>
    <w:rsid w:val="00701C8E"/>
    <w:rsid w:val="007023CD"/>
    <w:rsid w:val="007023EA"/>
    <w:rsid w:val="00702AF0"/>
    <w:rsid w:val="007031D2"/>
    <w:rsid w:val="007032CF"/>
    <w:rsid w:val="00703349"/>
    <w:rsid w:val="00703391"/>
    <w:rsid w:val="0070342B"/>
    <w:rsid w:val="0070428A"/>
    <w:rsid w:val="007043C8"/>
    <w:rsid w:val="00704429"/>
    <w:rsid w:val="0070489D"/>
    <w:rsid w:val="0070521B"/>
    <w:rsid w:val="00705967"/>
    <w:rsid w:val="00705A8F"/>
    <w:rsid w:val="00705D4E"/>
    <w:rsid w:val="00705E71"/>
    <w:rsid w:val="007060C5"/>
    <w:rsid w:val="00706B23"/>
    <w:rsid w:val="00706D94"/>
    <w:rsid w:val="0070718B"/>
    <w:rsid w:val="00710312"/>
    <w:rsid w:val="0071036D"/>
    <w:rsid w:val="00710434"/>
    <w:rsid w:val="007110C0"/>
    <w:rsid w:val="007111DC"/>
    <w:rsid w:val="007115C5"/>
    <w:rsid w:val="0071163D"/>
    <w:rsid w:val="0071178F"/>
    <w:rsid w:val="00712174"/>
    <w:rsid w:val="0071252B"/>
    <w:rsid w:val="00712F49"/>
    <w:rsid w:val="00712F50"/>
    <w:rsid w:val="007135A1"/>
    <w:rsid w:val="007135A2"/>
    <w:rsid w:val="007137B6"/>
    <w:rsid w:val="00713860"/>
    <w:rsid w:val="007140E1"/>
    <w:rsid w:val="00714466"/>
    <w:rsid w:val="00714A41"/>
    <w:rsid w:val="00715A99"/>
    <w:rsid w:val="00716D75"/>
    <w:rsid w:val="007170FB"/>
    <w:rsid w:val="007200D9"/>
    <w:rsid w:val="00720370"/>
    <w:rsid w:val="0072082D"/>
    <w:rsid w:val="00720D89"/>
    <w:rsid w:val="00720F10"/>
    <w:rsid w:val="0072128E"/>
    <w:rsid w:val="0072153B"/>
    <w:rsid w:val="00721AF7"/>
    <w:rsid w:val="00721EF0"/>
    <w:rsid w:val="00721FF9"/>
    <w:rsid w:val="00722064"/>
    <w:rsid w:val="00722573"/>
    <w:rsid w:val="00722741"/>
    <w:rsid w:val="00722773"/>
    <w:rsid w:val="00722AF0"/>
    <w:rsid w:val="007232D1"/>
    <w:rsid w:val="00723626"/>
    <w:rsid w:val="007242ED"/>
    <w:rsid w:val="00724545"/>
    <w:rsid w:val="007246D9"/>
    <w:rsid w:val="00724C4B"/>
    <w:rsid w:val="00725B82"/>
    <w:rsid w:val="00725D0F"/>
    <w:rsid w:val="00725FC4"/>
    <w:rsid w:val="0072614A"/>
    <w:rsid w:val="007261BF"/>
    <w:rsid w:val="007262AD"/>
    <w:rsid w:val="007265FF"/>
    <w:rsid w:val="0072680E"/>
    <w:rsid w:val="00726887"/>
    <w:rsid w:val="00726EB0"/>
    <w:rsid w:val="007279E1"/>
    <w:rsid w:val="00727E0B"/>
    <w:rsid w:val="00727ED3"/>
    <w:rsid w:val="007301D9"/>
    <w:rsid w:val="00730BBE"/>
    <w:rsid w:val="007318C8"/>
    <w:rsid w:val="00731A15"/>
    <w:rsid w:val="00731D2C"/>
    <w:rsid w:val="007333FF"/>
    <w:rsid w:val="00733437"/>
    <w:rsid w:val="00733A81"/>
    <w:rsid w:val="00733C56"/>
    <w:rsid w:val="00734017"/>
    <w:rsid w:val="00734617"/>
    <w:rsid w:val="00734A49"/>
    <w:rsid w:val="00734FF4"/>
    <w:rsid w:val="00734FF9"/>
    <w:rsid w:val="00735761"/>
    <w:rsid w:val="00735966"/>
    <w:rsid w:val="00735A70"/>
    <w:rsid w:val="00735D68"/>
    <w:rsid w:val="00736879"/>
    <w:rsid w:val="00736921"/>
    <w:rsid w:val="00737456"/>
    <w:rsid w:val="00737F86"/>
    <w:rsid w:val="007404AB"/>
    <w:rsid w:val="00740956"/>
    <w:rsid w:val="007413E8"/>
    <w:rsid w:val="0074247A"/>
    <w:rsid w:val="00742576"/>
    <w:rsid w:val="007436CD"/>
    <w:rsid w:val="00743943"/>
    <w:rsid w:val="00743FA9"/>
    <w:rsid w:val="007441F0"/>
    <w:rsid w:val="00744416"/>
    <w:rsid w:val="0074486C"/>
    <w:rsid w:val="00744ACB"/>
    <w:rsid w:val="00744AD2"/>
    <w:rsid w:val="00744F1D"/>
    <w:rsid w:val="007451C9"/>
    <w:rsid w:val="00745395"/>
    <w:rsid w:val="0074561A"/>
    <w:rsid w:val="00745683"/>
    <w:rsid w:val="007457ED"/>
    <w:rsid w:val="00745E5A"/>
    <w:rsid w:val="007461E8"/>
    <w:rsid w:val="007467D5"/>
    <w:rsid w:val="007468F1"/>
    <w:rsid w:val="00746AAF"/>
    <w:rsid w:val="00746FBB"/>
    <w:rsid w:val="00747266"/>
    <w:rsid w:val="00747F58"/>
    <w:rsid w:val="00750328"/>
    <w:rsid w:val="00750491"/>
    <w:rsid w:val="007513C1"/>
    <w:rsid w:val="00751719"/>
    <w:rsid w:val="00752667"/>
    <w:rsid w:val="00752954"/>
    <w:rsid w:val="00752B5C"/>
    <w:rsid w:val="00752E9D"/>
    <w:rsid w:val="00753625"/>
    <w:rsid w:val="007539FB"/>
    <w:rsid w:val="00753A70"/>
    <w:rsid w:val="00753B4C"/>
    <w:rsid w:val="00754009"/>
    <w:rsid w:val="00755031"/>
    <w:rsid w:val="00755252"/>
    <w:rsid w:val="0075591E"/>
    <w:rsid w:val="0075640A"/>
    <w:rsid w:val="007571A2"/>
    <w:rsid w:val="00757433"/>
    <w:rsid w:val="00760AD7"/>
    <w:rsid w:val="00760AF1"/>
    <w:rsid w:val="00760C47"/>
    <w:rsid w:val="00760D83"/>
    <w:rsid w:val="007611D3"/>
    <w:rsid w:val="007611EA"/>
    <w:rsid w:val="0076185A"/>
    <w:rsid w:val="00761D19"/>
    <w:rsid w:val="00762612"/>
    <w:rsid w:val="00762A12"/>
    <w:rsid w:val="00762C9B"/>
    <w:rsid w:val="0076367E"/>
    <w:rsid w:val="007641F9"/>
    <w:rsid w:val="00764EAF"/>
    <w:rsid w:val="00764F25"/>
    <w:rsid w:val="007657FE"/>
    <w:rsid w:val="00765D0D"/>
    <w:rsid w:val="0076696F"/>
    <w:rsid w:val="00766E06"/>
    <w:rsid w:val="0076745D"/>
    <w:rsid w:val="00767550"/>
    <w:rsid w:val="007704B3"/>
    <w:rsid w:val="007709FC"/>
    <w:rsid w:val="00770A27"/>
    <w:rsid w:val="00770A89"/>
    <w:rsid w:val="007710C1"/>
    <w:rsid w:val="00772326"/>
    <w:rsid w:val="0077271B"/>
    <w:rsid w:val="00772933"/>
    <w:rsid w:val="00772B38"/>
    <w:rsid w:val="00772CA2"/>
    <w:rsid w:val="00773068"/>
    <w:rsid w:val="00773084"/>
    <w:rsid w:val="00773169"/>
    <w:rsid w:val="007732EB"/>
    <w:rsid w:val="00773987"/>
    <w:rsid w:val="00773D66"/>
    <w:rsid w:val="00774191"/>
    <w:rsid w:val="00774B28"/>
    <w:rsid w:val="00775C27"/>
    <w:rsid w:val="00776032"/>
    <w:rsid w:val="0077614B"/>
    <w:rsid w:val="00776189"/>
    <w:rsid w:val="0077696E"/>
    <w:rsid w:val="00776AFF"/>
    <w:rsid w:val="00776D9D"/>
    <w:rsid w:val="007775BD"/>
    <w:rsid w:val="00780C76"/>
    <w:rsid w:val="00780D79"/>
    <w:rsid w:val="007810DF"/>
    <w:rsid w:val="00781329"/>
    <w:rsid w:val="0078184C"/>
    <w:rsid w:val="00781ED2"/>
    <w:rsid w:val="0078220E"/>
    <w:rsid w:val="00782524"/>
    <w:rsid w:val="007829AF"/>
    <w:rsid w:val="0078319C"/>
    <w:rsid w:val="00783292"/>
    <w:rsid w:val="00783662"/>
    <w:rsid w:val="007841EC"/>
    <w:rsid w:val="007844CB"/>
    <w:rsid w:val="007848D2"/>
    <w:rsid w:val="007851B1"/>
    <w:rsid w:val="007854A1"/>
    <w:rsid w:val="007854BA"/>
    <w:rsid w:val="007855C9"/>
    <w:rsid w:val="00785970"/>
    <w:rsid w:val="00785A05"/>
    <w:rsid w:val="00786441"/>
    <w:rsid w:val="007865AD"/>
    <w:rsid w:val="007869E1"/>
    <w:rsid w:val="00787506"/>
    <w:rsid w:val="00790472"/>
    <w:rsid w:val="007907E6"/>
    <w:rsid w:val="007907ED"/>
    <w:rsid w:val="00790B83"/>
    <w:rsid w:val="00790BF2"/>
    <w:rsid w:val="00790CA1"/>
    <w:rsid w:val="00790DA3"/>
    <w:rsid w:val="00790ECB"/>
    <w:rsid w:val="00791983"/>
    <w:rsid w:val="00792963"/>
    <w:rsid w:val="00793409"/>
    <w:rsid w:val="00793BCE"/>
    <w:rsid w:val="00794994"/>
    <w:rsid w:val="00794B03"/>
    <w:rsid w:val="00795623"/>
    <w:rsid w:val="0079593A"/>
    <w:rsid w:val="00795BE7"/>
    <w:rsid w:val="0079722B"/>
    <w:rsid w:val="0079750B"/>
    <w:rsid w:val="00797881"/>
    <w:rsid w:val="00797C63"/>
    <w:rsid w:val="00797FC9"/>
    <w:rsid w:val="007A0150"/>
    <w:rsid w:val="007A0200"/>
    <w:rsid w:val="007A0214"/>
    <w:rsid w:val="007A02B8"/>
    <w:rsid w:val="007A02BF"/>
    <w:rsid w:val="007A07DB"/>
    <w:rsid w:val="007A1773"/>
    <w:rsid w:val="007A1B42"/>
    <w:rsid w:val="007A1D1A"/>
    <w:rsid w:val="007A2059"/>
    <w:rsid w:val="007A21C7"/>
    <w:rsid w:val="007A2B3D"/>
    <w:rsid w:val="007A2BEE"/>
    <w:rsid w:val="007A2D79"/>
    <w:rsid w:val="007A40AD"/>
    <w:rsid w:val="007A5861"/>
    <w:rsid w:val="007A5B55"/>
    <w:rsid w:val="007A618E"/>
    <w:rsid w:val="007A6627"/>
    <w:rsid w:val="007A6DEE"/>
    <w:rsid w:val="007A6E19"/>
    <w:rsid w:val="007A6E77"/>
    <w:rsid w:val="007A6F7C"/>
    <w:rsid w:val="007A7304"/>
    <w:rsid w:val="007A7343"/>
    <w:rsid w:val="007A74D7"/>
    <w:rsid w:val="007B06AF"/>
    <w:rsid w:val="007B0730"/>
    <w:rsid w:val="007B2430"/>
    <w:rsid w:val="007B35B9"/>
    <w:rsid w:val="007B3730"/>
    <w:rsid w:val="007B37D9"/>
    <w:rsid w:val="007B3D58"/>
    <w:rsid w:val="007B3E1E"/>
    <w:rsid w:val="007B4E2C"/>
    <w:rsid w:val="007B555E"/>
    <w:rsid w:val="007B5795"/>
    <w:rsid w:val="007B5BED"/>
    <w:rsid w:val="007B5BF3"/>
    <w:rsid w:val="007B64F4"/>
    <w:rsid w:val="007B6D5B"/>
    <w:rsid w:val="007B7B51"/>
    <w:rsid w:val="007C0BF6"/>
    <w:rsid w:val="007C0C30"/>
    <w:rsid w:val="007C1167"/>
    <w:rsid w:val="007C18B8"/>
    <w:rsid w:val="007C1E16"/>
    <w:rsid w:val="007C2020"/>
    <w:rsid w:val="007C2230"/>
    <w:rsid w:val="007C22FE"/>
    <w:rsid w:val="007C247A"/>
    <w:rsid w:val="007C275D"/>
    <w:rsid w:val="007C296E"/>
    <w:rsid w:val="007C2C33"/>
    <w:rsid w:val="007C2E31"/>
    <w:rsid w:val="007C31EF"/>
    <w:rsid w:val="007C332D"/>
    <w:rsid w:val="007C3DA5"/>
    <w:rsid w:val="007C3F6E"/>
    <w:rsid w:val="007C43B5"/>
    <w:rsid w:val="007C44D7"/>
    <w:rsid w:val="007C5487"/>
    <w:rsid w:val="007C55A0"/>
    <w:rsid w:val="007C5B66"/>
    <w:rsid w:val="007C66D4"/>
    <w:rsid w:val="007C6F67"/>
    <w:rsid w:val="007C7B8E"/>
    <w:rsid w:val="007D0067"/>
    <w:rsid w:val="007D0329"/>
    <w:rsid w:val="007D0E9A"/>
    <w:rsid w:val="007D0FE3"/>
    <w:rsid w:val="007D187E"/>
    <w:rsid w:val="007D291F"/>
    <w:rsid w:val="007D2FF6"/>
    <w:rsid w:val="007D3599"/>
    <w:rsid w:val="007D3706"/>
    <w:rsid w:val="007D3A14"/>
    <w:rsid w:val="007D3A65"/>
    <w:rsid w:val="007D3DD5"/>
    <w:rsid w:val="007D438C"/>
    <w:rsid w:val="007D474C"/>
    <w:rsid w:val="007D5255"/>
    <w:rsid w:val="007D5584"/>
    <w:rsid w:val="007D5BFE"/>
    <w:rsid w:val="007D5D54"/>
    <w:rsid w:val="007D5E56"/>
    <w:rsid w:val="007D647D"/>
    <w:rsid w:val="007D651B"/>
    <w:rsid w:val="007D65AD"/>
    <w:rsid w:val="007D6F58"/>
    <w:rsid w:val="007D70BB"/>
    <w:rsid w:val="007E0790"/>
    <w:rsid w:val="007E0BA3"/>
    <w:rsid w:val="007E0FC3"/>
    <w:rsid w:val="007E1174"/>
    <w:rsid w:val="007E1C5D"/>
    <w:rsid w:val="007E2EE6"/>
    <w:rsid w:val="007E353F"/>
    <w:rsid w:val="007E3BD5"/>
    <w:rsid w:val="007E3D82"/>
    <w:rsid w:val="007E4E25"/>
    <w:rsid w:val="007E50E9"/>
    <w:rsid w:val="007E53B7"/>
    <w:rsid w:val="007E5A03"/>
    <w:rsid w:val="007E5AFA"/>
    <w:rsid w:val="007E5BFF"/>
    <w:rsid w:val="007E6618"/>
    <w:rsid w:val="007E6DD4"/>
    <w:rsid w:val="007E6E05"/>
    <w:rsid w:val="007E70A5"/>
    <w:rsid w:val="007E7417"/>
    <w:rsid w:val="007F012A"/>
    <w:rsid w:val="007F0290"/>
    <w:rsid w:val="007F07BE"/>
    <w:rsid w:val="007F0800"/>
    <w:rsid w:val="007F1396"/>
    <w:rsid w:val="007F155D"/>
    <w:rsid w:val="007F179C"/>
    <w:rsid w:val="007F190E"/>
    <w:rsid w:val="007F295D"/>
    <w:rsid w:val="007F2E49"/>
    <w:rsid w:val="007F2ECE"/>
    <w:rsid w:val="007F2F43"/>
    <w:rsid w:val="007F3575"/>
    <w:rsid w:val="007F3635"/>
    <w:rsid w:val="007F36A6"/>
    <w:rsid w:val="007F3815"/>
    <w:rsid w:val="007F497A"/>
    <w:rsid w:val="007F49A5"/>
    <w:rsid w:val="007F4C24"/>
    <w:rsid w:val="007F4C75"/>
    <w:rsid w:val="007F4EE9"/>
    <w:rsid w:val="007F5184"/>
    <w:rsid w:val="007F5302"/>
    <w:rsid w:val="007F580D"/>
    <w:rsid w:val="007F59E1"/>
    <w:rsid w:val="007F5C03"/>
    <w:rsid w:val="007F5FE9"/>
    <w:rsid w:val="007F6229"/>
    <w:rsid w:val="007F65CF"/>
    <w:rsid w:val="007F76D8"/>
    <w:rsid w:val="007F7DF3"/>
    <w:rsid w:val="007F7FFB"/>
    <w:rsid w:val="00800323"/>
    <w:rsid w:val="00800407"/>
    <w:rsid w:val="008004F0"/>
    <w:rsid w:val="008015E7"/>
    <w:rsid w:val="008018B4"/>
    <w:rsid w:val="0080262B"/>
    <w:rsid w:val="00802C41"/>
    <w:rsid w:val="008035B9"/>
    <w:rsid w:val="008035FC"/>
    <w:rsid w:val="00803AC7"/>
    <w:rsid w:val="00804268"/>
    <w:rsid w:val="0080458B"/>
    <w:rsid w:val="008045E5"/>
    <w:rsid w:val="00804A3C"/>
    <w:rsid w:val="00805790"/>
    <w:rsid w:val="008058F0"/>
    <w:rsid w:val="00805C6B"/>
    <w:rsid w:val="00806200"/>
    <w:rsid w:val="00806BD4"/>
    <w:rsid w:val="00806DAC"/>
    <w:rsid w:val="00806E61"/>
    <w:rsid w:val="00806F44"/>
    <w:rsid w:val="008073FB"/>
    <w:rsid w:val="00807F27"/>
    <w:rsid w:val="00810140"/>
    <w:rsid w:val="00810150"/>
    <w:rsid w:val="008101DF"/>
    <w:rsid w:val="008101EF"/>
    <w:rsid w:val="008106B2"/>
    <w:rsid w:val="00810784"/>
    <w:rsid w:val="00810C2B"/>
    <w:rsid w:val="00810D6D"/>
    <w:rsid w:val="0081137D"/>
    <w:rsid w:val="00811C6A"/>
    <w:rsid w:val="00812AE1"/>
    <w:rsid w:val="00812D92"/>
    <w:rsid w:val="008146DA"/>
    <w:rsid w:val="00814810"/>
    <w:rsid w:val="00814A18"/>
    <w:rsid w:val="00814A4D"/>
    <w:rsid w:val="00814F53"/>
    <w:rsid w:val="00815346"/>
    <w:rsid w:val="008154FB"/>
    <w:rsid w:val="00815A82"/>
    <w:rsid w:val="008164A5"/>
    <w:rsid w:val="008165F0"/>
    <w:rsid w:val="0081663E"/>
    <w:rsid w:val="00816BDC"/>
    <w:rsid w:val="0081784D"/>
    <w:rsid w:val="008179DA"/>
    <w:rsid w:val="00817AF6"/>
    <w:rsid w:val="00820045"/>
    <w:rsid w:val="00820810"/>
    <w:rsid w:val="00820ED8"/>
    <w:rsid w:val="00820F7C"/>
    <w:rsid w:val="00821552"/>
    <w:rsid w:val="00821981"/>
    <w:rsid w:val="00821FC3"/>
    <w:rsid w:val="0082218D"/>
    <w:rsid w:val="00822418"/>
    <w:rsid w:val="00822515"/>
    <w:rsid w:val="00822F8A"/>
    <w:rsid w:val="0082312F"/>
    <w:rsid w:val="00823992"/>
    <w:rsid w:val="00823FFA"/>
    <w:rsid w:val="0082488C"/>
    <w:rsid w:val="00824AD4"/>
    <w:rsid w:val="00824EEE"/>
    <w:rsid w:val="00825058"/>
    <w:rsid w:val="008251DB"/>
    <w:rsid w:val="008253A6"/>
    <w:rsid w:val="0082608F"/>
    <w:rsid w:val="00826A19"/>
    <w:rsid w:val="008271ED"/>
    <w:rsid w:val="0082742B"/>
    <w:rsid w:val="0082793A"/>
    <w:rsid w:val="00827A76"/>
    <w:rsid w:val="00827E86"/>
    <w:rsid w:val="00830104"/>
    <w:rsid w:val="00830413"/>
    <w:rsid w:val="00830687"/>
    <w:rsid w:val="008313F6"/>
    <w:rsid w:val="008322C7"/>
    <w:rsid w:val="0083361B"/>
    <w:rsid w:val="0083383A"/>
    <w:rsid w:val="00833BDB"/>
    <w:rsid w:val="00833FC6"/>
    <w:rsid w:val="00834B29"/>
    <w:rsid w:val="008360C2"/>
    <w:rsid w:val="00836C2A"/>
    <w:rsid w:val="00837A48"/>
    <w:rsid w:val="00837B75"/>
    <w:rsid w:val="00840068"/>
    <w:rsid w:val="0084057A"/>
    <w:rsid w:val="00840FAC"/>
    <w:rsid w:val="00841518"/>
    <w:rsid w:val="008418F5"/>
    <w:rsid w:val="00842032"/>
    <w:rsid w:val="00842079"/>
    <w:rsid w:val="00842679"/>
    <w:rsid w:val="00842816"/>
    <w:rsid w:val="00842D81"/>
    <w:rsid w:val="00842F1E"/>
    <w:rsid w:val="008435E8"/>
    <w:rsid w:val="00843BAE"/>
    <w:rsid w:val="00844E0F"/>
    <w:rsid w:val="0084545E"/>
    <w:rsid w:val="008460F6"/>
    <w:rsid w:val="00846321"/>
    <w:rsid w:val="00846848"/>
    <w:rsid w:val="00846ABF"/>
    <w:rsid w:val="00846EA6"/>
    <w:rsid w:val="00846FAC"/>
    <w:rsid w:val="008471FF"/>
    <w:rsid w:val="00847505"/>
    <w:rsid w:val="00847B7C"/>
    <w:rsid w:val="00850049"/>
    <w:rsid w:val="0085023C"/>
    <w:rsid w:val="00850A4A"/>
    <w:rsid w:val="0085178D"/>
    <w:rsid w:val="00851A7C"/>
    <w:rsid w:val="00851CBF"/>
    <w:rsid w:val="00851E9C"/>
    <w:rsid w:val="00852177"/>
    <w:rsid w:val="008521D9"/>
    <w:rsid w:val="008524CB"/>
    <w:rsid w:val="00852501"/>
    <w:rsid w:val="00852871"/>
    <w:rsid w:val="00853224"/>
    <w:rsid w:val="00853239"/>
    <w:rsid w:val="008534C1"/>
    <w:rsid w:val="00853998"/>
    <w:rsid w:val="008547D2"/>
    <w:rsid w:val="00854EE6"/>
    <w:rsid w:val="0085578F"/>
    <w:rsid w:val="0085598E"/>
    <w:rsid w:val="00855EAB"/>
    <w:rsid w:val="00856AE2"/>
    <w:rsid w:val="00856E18"/>
    <w:rsid w:val="00857065"/>
    <w:rsid w:val="008571E6"/>
    <w:rsid w:val="0085783C"/>
    <w:rsid w:val="008578C4"/>
    <w:rsid w:val="008579E5"/>
    <w:rsid w:val="00857D3D"/>
    <w:rsid w:val="00860DA8"/>
    <w:rsid w:val="008619C2"/>
    <w:rsid w:val="00861A07"/>
    <w:rsid w:val="00861B88"/>
    <w:rsid w:val="00861DE2"/>
    <w:rsid w:val="00861EDA"/>
    <w:rsid w:val="00862068"/>
    <w:rsid w:val="0086316E"/>
    <w:rsid w:val="008634FF"/>
    <w:rsid w:val="00863BC3"/>
    <w:rsid w:val="00864126"/>
    <w:rsid w:val="00864E3F"/>
    <w:rsid w:val="00865206"/>
    <w:rsid w:val="00865872"/>
    <w:rsid w:val="0086680D"/>
    <w:rsid w:val="0086703E"/>
    <w:rsid w:val="008678A8"/>
    <w:rsid w:val="00867B60"/>
    <w:rsid w:val="00867F2F"/>
    <w:rsid w:val="00867FD7"/>
    <w:rsid w:val="008701E6"/>
    <w:rsid w:val="0087022A"/>
    <w:rsid w:val="00870461"/>
    <w:rsid w:val="008704DC"/>
    <w:rsid w:val="0087152C"/>
    <w:rsid w:val="00871BFE"/>
    <w:rsid w:val="00871C8A"/>
    <w:rsid w:val="00871C9B"/>
    <w:rsid w:val="00872391"/>
    <w:rsid w:val="00872A99"/>
    <w:rsid w:val="00872BE2"/>
    <w:rsid w:val="0087304A"/>
    <w:rsid w:val="00873213"/>
    <w:rsid w:val="00873825"/>
    <w:rsid w:val="0087388D"/>
    <w:rsid w:val="008744EF"/>
    <w:rsid w:val="008746AE"/>
    <w:rsid w:val="0087498B"/>
    <w:rsid w:val="00874A9B"/>
    <w:rsid w:val="00875674"/>
    <w:rsid w:val="008763FF"/>
    <w:rsid w:val="00876599"/>
    <w:rsid w:val="00876A0E"/>
    <w:rsid w:val="00876ACD"/>
    <w:rsid w:val="00876B5A"/>
    <w:rsid w:val="008801E3"/>
    <w:rsid w:val="00880A37"/>
    <w:rsid w:val="00880ADE"/>
    <w:rsid w:val="00880BE5"/>
    <w:rsid w:val="00880C56"/>
    <w:rsid w:val="008811E7"/>
    <w:rsid w:val="008811E9"/>
    <w:rsid w:val="00881D41"/>
    <w:rsid w:val="00881F43"/>
    <w:rsid w:val="008822E8"/>
    <w:rsid w:val="008823CD"/>
    <w:rsid w:val="008826E0"/>
    <w:rsid w:val="008828EC"/>
    <w:rsid w:val="00882901"/>
    <w:rsid w:val="008829F3"/>
    <w:rsid w:val="00882C3C"/>
    <w:rsid w:val="0088311E"/>
    <w:rsid w:val="008831B8"/>
    <w:rsid w:val="00883340"/>
    <w:rsid w:val="00883787"/>
    <w:rsid w:val="00883FB2"/>
    <w:rsid w:val="008841F9"/>
    <w:rsid w:val="0088492C"/>
    <w:rsid w:val="00884F2A"/>
    <w:rsid w:val="00885179"/>
    <w:rsid w:val="00885658"/>
    <w:rsid w:val="008856C5"/>
    <w:rsid w:val="008858ED"/>
    <w:rsid w:val="00885E3A"/>
    <w:rsid w:val="008863C6"/>
    <w:rsid w:val="00886511"/>
    <w:rsid w:val="00886668"/>
    <w:rsid w:val="008869B7"/>
    <w:rsid w:val="00886B9F"/>
    <w:rsid w:val="00886D1D"/>
    <w:rsid w:val="008874BD"/>
    <w:rsid w:val="0089006C"/>
    <w:rsid w:val="00890B44"/>
    <w:rsid w:val="00890B50"/>
    <w:rsid w:val="00891355"/>
    <w:rsid w:val="00891596"/>
    <w:rsid w:val="00891E52"/>
    <w:rsid w:val="0089223A"/>
    <w:rsid w:val="008923BE"/>
    <w:rsid w:val="008923EF"/>
    <w:rsid w:val="00893234"/>
    <w:rsid w:val="00893FDF"/>
    <w:rsid w:val="00894107"/>
    <w:rsid w:val="00894C7E"/>
    <w:rsid w:val="008963E6"/>
    <w:rsid w:val="00896440"/>
    <w:rsid w:val="00897256"/>
    <w:rsid w:val="0089739E"/>
    <w:rsid w:val="00897C32"/>
    <w:rsid w:val="008A015E"/>
    <w:rsid w:val="008A09C8"/>
    <w:rsid w:val="008A0F89"/>
    <w:rsid w:val="008A119D"/>
    <w:rsid w:val="008A11A8"/>
    <w:rsid w:val="008A1A3D"/>
    <w:rsid w:val="008A1E2F"/>
    <w:rsid w:val="008A2805"/>
    <w:rsid w:val="008A2990"/>
    <w:rsid w:val="008A36D8"/>
    <w:rsid w:val="008A3BAE"/>
    <w:rsid w:val="008A4307"/>
    <w:rsid w:val="008A439A"/>
    <w:rsid w:val="008A4938"/>
    <w:rsid w:val="008A52F2"/>
    <w:rsid w:val="008A54B9"/>
    <w:rsid w:val="008A5772"/>
    <w:rsid w:val="008A6057"/>
    <w:rsid w:val="008A63A4"/>
    <w:rsid w:val="008A649C"/>
    <w:rsid w:val="008A7765"/>
    <w:rsid w:val="008A787D"/>
    <w:rsid w:val="008A789C"/>
    <w:rsid w:val="008A7E89"/>
    <w:rsid w:val="008A7EE9"/>
    <w:rsid w:val="008B07F5"/>
    <w:rsid w:val="008B139D"/>
    <w:rsid w:val="008B1670"/>
    <w:rsid w:val="008B1F95"/>
    <w:rsid w:val="008B2393"/>
    <w:rsid w:val="008B2474"/>
    <w:rsid w:val="008B27F0"/>
    <w:rsid w:val="008B2F58"/>
    <w:rsid w:val="008B3C29"/>
    <w:rsid w:val="008B3E45"/>
    <w:rsid w:val="008B4B1F"/>
    <w:rsid w:val="008B4F3F"/>
    <w:rsid w:val="008B506D"/>
    <w:rsid w:val="008B556F"/>
    <w:rsid w:val="008B616A"/>
    <w:rsid w:val="008B63BC"/>
    <w:rsid w:val="008B6A45"/>
    <w:rsid w:val="008B6C71"/>
    <w:rsid w:val="008C0633"/>
    <w:rsid w:val="008C0A0E"/>
    <w:rsid w:val="008C11AC"/>
    <w:rsid w:val="008C178F"/>
    <w:rsid w:val="008C18E8"/>
    <w:rsid w:val="008C1AE0"/>
    <w:rsid w:val="008C1CED"/>
    <w:rsid w:val="008C1DD0"/>
    <w:rsid w:val="008C1EBB"/>
    <w:rsid w:val="008C1F51"/>
    <w:rsid w:val="008C20CC"/>
    <w:rsid w:val="008C245B"/>
    <w:rsid w:val="008C2F02"/>
    <w:rsid w:val="008C30E0"/>
    <w:rsid w:val="008C33E1"/>
    <w:rsid w:val="008C3A75"/>
    <w:rsid w:val="008C4151"/>
    <w:rsid w:val="008C4A17"/>
    <w:rsid w:val="008C4DAA"/>
    <w:rsid w:val="008C5396"/>
    <w:rsid w:val="008C5442"/>
    <w:rsid w:val="008C5D8A"/>
    <w:rsid w:val="008C6C6F"/>
    <w:rsid w:val="008C72F2"/>
    <w:rsid w:val="008C7587"/>
    <w:rsid w:val="008C7820"/>
    <w:rsid w:val="008C7C8F"/>
    <w:rsid w:val="008C7DED"/>
    <w:rsid w:val="008D02E8"/>
    <w:rsid w:val="008D06CF"/>
    <w:rsid w:val="008D0C01"/>
    <w:rsid w:val="008D0CBA"/>
    <w:rsid w:val="008D11F0"/>
    <w:rsid w:val="008D122C"/>
    <w:rsid w:val="008D12A5"/>
    <w:rsid w:val="008D14EA"/>
    <w:rsid w:val="008D175A"/>
    <w:rsid w:val="008D1D61"/>
    <w:rsid w:val="008D25E1"/>
    <w:rsid w:val="008D2EB0"/>
    <w:rsid w:val="008D3691"/>
    <w:rsid w:val="008D3A3B"/>
    <w:rsid w:val="008D3C40"/>
    <w:rsid w:val="008D3DD4"/>
    <w:rsid w:val="008D45D1"/>
    <w:rsid w:val="008D4EA3"/>
    <w:rsid w:val="008D517E"/>
    <w:rsid w:val="008D58B1"/>
    <w:rsid w:val="008D5CBE"/>
    <w:rsid w:val="008D5E2A"/>
    <w:rsid w:val="008D623D"/>
    <w:rsid w:val="008D745B"/>
    <w:rsid w:val="008D7E60"/>
    <w:rsid w:val="008E019F"/>
    <w:rsid w:val="008E06DF"/>
    <w:rsid w:val="008E0AA3"/>
    <w:rsid w:val="008E0B8C"/>
    <w:rsid w:val="008E0BEF"/>
    <w:rsid w:val="008E215E"/>
    <w:rsid w:val="008E21FF"/>
    <w:rsid w:val="008E26C5"/>
    <w:rsid w:val="008E34E3"/>
    <w:rsid w:val="008E4542"/>
    <w:rsid w:val="008E45BF"/>
    <w:rsid w:val="008E4936"/>
    <w:rsid w:val="008E57A6"/>
    <w:rsid w:val="008E5935"/>
    <w:rsid w:val="008E6061"/>
    <w:rsid w:val="008E621A"/>
    <w:rsid w:val="008E7160"/>
    <w:rsid w:val="008E75F7"/>
    <w:rsid w:val="008E7FF4"/>
    <w:rsid w:val="008F00C3"/>
    <w:rsid w:val="008F013A"/>
    <w:rsid w:val="008F01D9"/>
    <w:rsid w:val="008F0446"/>
    <w:rsid w:val="008F0641"/>
    <w:rsid w:val="008F064C"/>
    <w:rsid w:val="008F06BB"/>
    <w:rsid w:val="008F0EEB"/>
    <w:rsid w:val="008F109B"/>
    <w:rsid w:val="008F1FD6"/>
    <w:rsid w:val="008F2171"/>
    <w:rsid w:val="008F2675"/>
    <w:rsid w:val="008F3222"/>
    <w:rsid w:val="008F32C2"/>
    <w:rsid w:val="008F3C9A"/>
    <w:rsid w:val="008F3CFF"/>
    <w:rsid w:val="008F4182"/>
    <w:rsid w:val="008F4311"/>
    <w:rsid w:val="008F4FF2"/>
    <w:rsid w:val="008F5590"/>
    <w:rsid w:val="008F56A6"/>
    <w:rsid w:val="008F574D"/>
    <w:rsid w:val="008F5A46"/>
    <w:rsid w:val="008F5EFB"/>
    <w:rsid w:val="008F6DFE"/>
    <w:rsid w:val="008F7403"/>
    <w:rsid w:val="008F77AE"/>
    <w:rsid w:val="008F7861"/>
    <w:rsid w:val="00900104"/>
    <w:rsid w:val="00900246"/>
    <w:rsid w:val="0090082A"/>
    <w:rsid w:val="00900A5B"/>
    <w:rsid w:val="009012F5"/>
    <w:rsid w:val="0090141E"/>
    <w:rsid w:val="0090161B"/>
    <w:rsid w:val="00901B13"/>
    <w:rsid w:val="009027F2"/>
    <w:rsid w:val="00902AF2"/>
    <w:rsid w:val="00902DD0"/>
    <w:rsid w:val="00902EAB"/>
    <w:rsid w:val="009031F8"/>
    <w:rsid w:val="00903374"/>
    <w:rsid w:val="0090349E"/>
    <w:rsid w:val="00903550"/>
    <w:rsid w:val="00904359"/>
    <w:rsid w:val="00904804"/>
    <w:rsid w:val="00904F38"/>
    <w:rsid w:val="0090516B"/>
    <w:rsid w:val="00906E85"/>
    <w:rsid w:val="00907563"/>
    <w:rsid w:val="009100A5"/>
    <w:rsid w:val="009106DB"/>
    <w:rsid w:val="00910BB9"/>
    <w:rsid w:val="0091140C"/>
    <w:rsid w:val="00911F8E"/>
    <w:rsid w:val="0091283A"/>
    <w:rsid w:val="00912B37"/>
    <w:rsid w:val="00912CB1"/>
    <w:rsid w:val="00912EFD"/>
    <w:rsid w:val="00912F8D"/>
    <w:rsid w:val="009139BB"/>
    <w:rsid w:val="00913A53"/>
    <w:rsid w:val="00913D3A"/>
    <w:rsid w:val="009144A7"/>
    <w:rsid w:val="009151D9"/>
    <w:rsid w:val="009156BF"/>
    <w:rsid w:val="009160F4"/>
    <w:rsid w:val="00916649"/>
    <w:rsid w:val="00916F44"/>
    <w:rsid w:val="00917716"/>
    <w:rsid w:val="009179E3"/>
    <w:rsid w:val="00917A69"/>
    <w:rsid w:val="00917C03"/>
    <w:rsid w:val="00920AF4"/>
    <w:rsid w:val="00920D27"/>
    <w:rsid w:val="00921195"/>
    <w:rsid w:val="009213C5"/>
    <w:rsid w:val="0092158F"/>
    <w:rsid w:val="00921A50"/>
    <w:rsid w:val="00922592"/>
    <w:rsid w:val="00922EAB"/>
    <w:rsid w:val="009233BE"/>
    <w:rsid w:val="009239C3"/>
    <w:rsid w:val="00923B18"/>
    <w:rsid w:val="00923D24"/>
    <w:rsid w:val="00923E6E"/>
    <w:rsid w:val="00923F91"/>
    <w:rsid w:val="0092415E"/>
    <w:rsid w:val="00924412"/>
    <w:rsid w:val="00924957"/>
    <w:rsid w:val="00924AA8"/>
    <w:rsid w:val="00925155"/>
    <w:rsid w:val="00925D5C"/>
    <w:rsid w:val="009261E8"/>
    <w:rsid w:val="00926988"/>
    <w:rsid w:val="009270C9"/>
    <w:rsid w:val="00930C60"/>
    <w:rsid w:val="009310E5"/>
    <w:rsid w:val="00931142"/>
    <w:rsid w:val="009314A6"/>
    <w:rsid w:val="009316BB"/>
    <w:rsid w:val="00931BCF"/>
    <w:rsid w:val="00932107"/>
    <w:rsid w:val="0093215C"/>
    <w:rsid w:val="009321CF"/>
    <w:rsid w:val="009324F8"/>
    <w:rsid w:val="009329E3"/>
    <w:rsid w:val="00932AD3"/>
    <w:rsid w:val="00933111"/>
    <w:rsid w:val="00933255"/>
    <w:rsid w:val="00933581"/>
    <w:rsid w:val="00933770"/>
    <w:rsid w:val="00933C04"/>
    <w:rsid w:val="0093438F"/>
    <w:rsid w:val="00934486"/>
    <w:rsid w:val="009344AC"/>
    <w:rsid w:val="009349BE"/>
    <w:rsid w:val="00935823"/>
    <w:rsid w:val="009360DD"/>
    <w:rsid w:val="00936276"/>
    <w:rsid w:val="00936A4F"/>
    <w:rsid w:val="00936FD0"/>
    <w:rsid w:val="009371DA"/>
    <w:rsid w:val="0093753F"/>
    <w:rsid w:val="0093758A"/>
    <w:rsid w:val="00937A7F"/>
    <w:rsid w:val="0094089C"/>
    <w:rsid w:val="0094090A"/>
    <w:rsid w:val="00940B51"/>
    <w:rsid w:val="009417D7"/>
    <w:rsid w:val="009423DF"/>
    <w:rsid w:val="009427F7"/>
    <w:rsid w:val="00942C61"/>
    <w:rsid w:val="00942CE5"/>
    <w:rsid w:val="00942DC8"/>
    <w:rsid w:val="009430C1"/>
    <w:rsid w:val="00943168"/>
    <w:rsid w:val="00943414"/>
    <w:rsid w:val="0094374C"/>
    <w:rsid w:val="009439F5"/>
    <w:rsid w:val="00944EEF"/>
    <w:rsid w:val="009459E9"/>
    <w:rsid w:val="00946F88"/>
    <w:rsid w:val="0094755E"/>
    <w:rsid w:val="00947680"/>
    <w:rsid w:val="009478B9"/>
    <w:rsid w:val="00947A78"/>
    <w:rsid w:val="00947EF9"/>
    <w:rsid w:val="0095008E"/>
    <w:rsid w:val="009502FD"/>
    <w:rsid w:val="00950A7D"/>
    <w:rsid w:val="00950F83"/>
    <w:rsid w:val="009512EC"/>
    <w:rsid w:val="00951379"/>
    <w:rsid w:val="009523DD"/>
    <w:rsid w:val="00952C1F"/>
    <w:rsid w:val="00952E41"/>
    <w:rsid w:val="00952F56"/>
    <w:rsid w:val="00953C76"/>
    <w:rsid w:val="0095410E"/>
    <w:rsid w:val="00954342"/>
    <w:rsid w:val="00954405"/>
    <w:rsid w:val="00954B55"/>
    <w:rsid w:val="00955061"/>
    <w:rsid w:val="009551F0"/>
    <w:rsid w:val="009553D3"/>
    <w:rsid w:val="00955940"/>
    <w:rsid w:val="00955998"/>
    <w:rsid w:val="00955E36"/>
    <w:rsid w:val="009571EA"/>
    <w:rsid w:val="0095797E"/>
    <w:rsid w:val="00957A58"/>
    <w:rsid w:val="00957B71"/>
    <w:rsid w:val="00957C03"/>
    <w:rsid w:val="00957E48"/>
    <w:rsid w:val="009600FA"/>
    <w:rsid w:val="00960CAF"/>
    <w:rsid w:val="00960D16"/>
    <w:rsid w:val="00960F1A"/>
    <w:rsid w:val="009611F3"/>
    <w:rsid w:val="009615B4"/>
    <w:rsid w:val="009617F0"/>
    <w:rsid w:val="0096212B"/>
    <w:rsid w:val="0096259E"/>
    <w:rsid w:val="00962969"/>
    <w:rsid w:val="00962EF3"/>
    <w:rsid w:val="009632DD"/>
    <w:rsid w:val="0096377C"/>
    <w:rsid w:val="00963CB0"/>
    <w:rsid w:val="00963F34"/>
    <w:rsid w:val="009649FF"/>
    <w:rsid w:val="00964CFE"/>
    <w:rsid w:val="0096563D"/>
    <w:rsid w:val="009657D1"/>
    <w:rsid w:val="009662AC"/>
    <w:rsid w:val="009662F8"/>
    <w:rsid w:val="00966524"/>
    <w:rsid w:val="009665D8"/>
    <w:rsid w:val="00966DDA"/>
    <w:rsid w:val="00966F85"/>
    <w:rsid w:val="009673AE"/>
    <w:rsid w:val="009676B5"/>
    <w:rsid w:val="009676CF"/>
    <w:rsid w:val="009676D5"/>
    <w:rsid w:val="00967D27"/>
    <w:rsid w:val="00970529"/>
    <w:rsid w:val="0097065E"/>
    <w:rsid w:val="00970B28"/>
    <w:rsid w:val="00970CAB"/>
    <w:rsid w:val="0097121E"/>
    <w:rsid w:val="00971303"/>
    <w:rsid w:val="00971660"/>
    <w:rsid w:val="00971F7B"/>
    <w:rsid w:val="009727E9"/>
    <w:rsid w:val="00972904"/>
    <w:rsid w:val="00972CE1"/>
    <w:rsid w:val="00973304"/>
    <w:rsid w:val="009735E9"/>
    <w:rsid w:val="00973748"/>
    <w:rsid w:val="00973C2E"/>
    <w:rsid w:val="00975096"/>
    <w:rsid w:val="009756CB"/>
    <w:rsid w:val="00975722"/>
    <w:rsid w:val="00975883"/>
    <w:rsid w:val="00976915"/>
    <w:rsid w:val="00976BCA"/>
    <w:rsid w:val="00976C72"/>
    <w:rsid w:val="00976F51"/>
    <w:rsid w:val="009808EA"/>
    <w:rsid w:val="00980F0B"/>
    <w:rsid w:val="009813C0"/>
    <w:rsid w:val="009813CA"/>
    <w:rsid w:val="009818C6"/>
    <w:rsid w:val="00981BF0"/>
    <w:rsid w:val="00981FED"/>
    <w:rsid w:val="009823AD"/>
    <w:rsid w:val="0098253D"/>
    <w:rsid w:val="009827AD"/>
    <w:rsid w:val="009829DC"/>
    <w:rsid w:val="00982E63"/>
    <w:rsid w:val="00982EC1"/>
    <w:rsid w:val="009835B2"/>
    <w:rsid w:val="009838E9"/>
    <w:rsid w:val="00983B54"/>
    <w:rsid w:val="00983C71"/>
    <w:rsid w:val="009844DE"/>
    <w:rsid w:val="00984F07"/>
    <w:rsid w:val="00985BBF"/>
    <w:rsid w:val="00987964"/>
    <w:rsid w:val="00987C0B"/>
    <w:rsid w:val="00987DB4"/>
    <w:rsid w:val="00990296"/>
    <w:rsid w:val="009902A2"/>
    <w:rsid w:val="0099033E"/>
    <w:rsid w:val="00990885"/>
    <w:rsid w:val="00991033"/>
    <w:rsid w:val="0099130A"/>
    <w:rsid w:val="00991825"/>
    <w:rsid w:val="0099197A"/>
    <w:rsid w:val="00991D2C"/>
    <w:rsid w:val="0099235F"/>
    <w:rsid w:val="009923A6"/>
    <w:rsid w:val="00992E73"/>
    <w:rsid w:val="00993B34"/>
    <w:rsid w:val="00993B85"/>
    <w:rsid w:val="0099414D"/>
    <w:rsid w:val="00994313"/>
    <w:rsid w:val="009944DD"/>
    <w:rsid w:val="00994704"/>
    <w:rsid w:val="00994C73"/>
    <w:rsid w:val="00994E0B"/>
    <w:rsid w:val="00996F39"/>
    <w:rsid w:val="009971BB"/>
    <w:rsid w:val="0099753D"/>
    <w:rsid w:val="009A0D40"/>
    <w:rsid w:val="009A0EC0"/>
    <w:rsid w:val="009A109F"/>
    <w:rsid w:val="009A1612"/>
    <w:rsid w:val="009A1B1D"/>
    <w:rsid w:val="009A23AC"/>
    <w:rsid w:val="009A2536"/>
    <w:rsid w:val="009A33D5"/>
    <w:rsid w:val="009A38AF"/>
    <w:rsid w:val="009A3D43"/>
    <w:rsid w:val="009A3FAC"/>
    <w:rsid w:val="009A4554"/>
    <w:rsid w:val="009A46FA"/>
    <w:rsid w:val="009A47D0"/>
    <w:rsid w:val="009A5CB7"/>
    <w:rsid w:val="009A5E1E"/>
    <w:rsid w:val="009A6C2A"/>
    <w:rsid w:val="009A7330"/>
    <w:rsid w:val="009A7963"/>
    <w:rsid w:val="009A7F9A"/>
    <w:rsid w:val="009B004E"/>
    <w:rsid w:val="009B071E"/>
    <w:rsid w:val="009B092B"/>
    <w:rsid w:val="009B0CE9"/>
    <w:rsid w:val="009B14CE"/>
    <w:rsid w:val="009B1E24"/>
    <w:rsid w:val="009B25A2"/>
    <w:rsid w:val="009B30FA"/>
    <w:rsid w:val="009B3B16"/>
    <w:rsid w:val="009B3CD4"/>
    <w:rsid w:val="009B3D78"/>
    <w:rsid w:val="009B4454"/>
    <w:rsid w:val="009B4C1E"/>
    <w:rsid w:val="009B5133"/>
    <w:rsid w:val="009B532E"/>
    <w:rsid w:val="009B5B91"/>
    <w:rsid w:val="009B6141"/>
    <w:rsid w:val="009B6235"/>
    <w:rsid w:val="009B62CA"/>
    <w:rsid w:val="009B62EB"/>
    <w:rsid w:val="009B652E"/>
    <w:rsid w:val="009B6853"/>
    <w:rsid w:val="009B6A7D"/>
    <w:rsid w:val="009B6BD4"/>
    <w:rsid w:val="009B6C32"/>
    <w:rsid w:val="009B7083"/>
    <w:rsid w:val="009B7B86"/>
    <w:rsid w:val="009B7C2D"/>
    <w:rsid w:val="009C0B02"/>
    <w:rsid w:val="009C1272"/>
    <w:rsid w:val="009C1523"/>
    <w:rsid w:val="009C19EB"/>
    <w:rsid w:val="009C1C3E"/>
    <w:rsid w:val="009C273A"/>
    <w:rsid w:val="009C2EDD"/>
    <w:rsid w:val="009C30AB"/>
    <w:rsid w:val="009C3B5D"/>
    <w:rsid w:val="009C3C21"/>
    <w:rsid w:val="009C3CB0"/>
    <w:rsid w:val="009C3E19"/>
    <w:rsid w:val="009C4134"/>
    <w:rsid w:val="009C45B7"/>
    <w:rsid w:val="009C4975"/>
    <w:rsid w:val="009C4DAC"/>
    <w:rsid w:val="009C5BDD"/>
    <w:rsid w:val="009C5CB6"/>
    <w:rsid w:val="009C5E25"/>
    <w:rsid w:val="009C665D"/>
    <w:rsid w:val="009C6A8F"/>
    <w:rsid w:val="009C730A"/>
    <w:rsid w:val="009C7DDC"/>
    <w:rsid w:val="009D012E"/>
    <w:rsid w:val="009D047F"/>
    <w:rsid w:val="009D04FC"/>
    <w:rsid w:val="009D05E2"/>
    <w:rsid w:val="009D0A57"/>
    <w:rsid w:val="009D1C30"/>
    <w:rsid w:val="009D30C2"/>
    <w:rsid w:val="009D38F0"/>
    <w:rsid w:val="009D4B7A"/>
    <w:rsid w:val="009D4EBE"/>
    <w:rsid w:val="009D5769"/>
    <w:rsid w:val="009D5973"/>
    <w:rsid w:val="009D5FDD"/>
    <w:rsid w:val="009D63A7"/>
    <w:rsid w:val="009D644B"/>
    <w:rsid w:val="009D663A"/>
    <w:rsid w:val="009D6991"/>
    <w:rsid w:val="009D7084"/>
    <w:rsid w:val="009D7368"/>
    <w:rsid w:val="009D7F4E"/>
    <w:rsid w:val="009D7FE7"/>
    <w:rsid w:val="009E01FF"/>
    <w:rsid w:val="009E05B0"/>
    <w:rsid w:val="009E07F2"/>
    <w:rsid w:val="009E0E59"/>
    <w:rsid w:val="009E10BC"/>
    <w:rsid w:val="009E10F9"/>
    <w:rsid w:val="009E11FA"/>
    <w:rsid w:val="009E14E3"/>
    <w:rsid w:val="009E1B5A"/>
    <w:rsid w:val="009E280A"/>
    <w:rsid w:val="009E293F"/>
    <w:rsid w:val="009E2DAA"/>
    <w:rsid w:val="009E36C9"/>
    <w:rsid w:val="009E3789"/>
    <w:rsid w:val="009E38E3"/>
    <w:rsid w:val="009E3BE8"/>
    <w:rsid w:val="009E40F3"/>
    <w:rsid w:val="009E44EC"/>
    <w:rsid w:val="009E47C1"/>
    <w:rsid w:val="009E49A4"/>
    <w:rsid w:val="009E5F17"/>
    <w:rsid w:val="009E6B36"/>
    <w:rsid w:val="009E7BE4"/>
    <w:rsid w:val="009F02D3"/>
    <w:rsid w:val="009F0795"/>
    <w:rsid w:val="009F0964"/>
    <w:rsid w:val="009F1173"/>
    <w:rsid w:val="009F13C0"/>
    <w:rsid w:val="009F1B6E"/>
    <w:rsid w:val="009F1DBF"/>
    <w:rsid w:val="009F2145"/>
    <w:rsid w:val="009F256F"/>
    <w:rsid w:val="009F2C70"/>
    <w:rsid w:val="009F2E79"/>
    <w:rsid w:val="009F3526"/>
    <w:rsid w:val="009F3C2B"/>
    <w:rsid w:val="009F3E87"/>
    <w:rsid w:val="009F445A"/>
    <w:rsid w:val="009F46D4"/>
    <w:rsid w:val="009F4998"/>
    <w:rsid w:val="009F5000"/>
    <w:rsid w:val="009F5108"/>
    <w:rsid w:val="009F534F"/>
    <w:rsid w:val="009F552A"/>
    <w:rsid w:val="009F56A4"/>
    <w:rsid w:val="009F5A01"/>
    <w:rsid w:val="009F6020"/>
    <w:rsid w:val="009F63E9"/>
    <w:rsid w:val="009F6A28"/>
    <w:rsid w:val="009F7015"/>
    <w:rsid w:val="009F75E9"/>
    <w:rsid w:val="009F7DD6"/>
    <w:rsid w:val="00A01040"/>
    <w:rsid w:val="00A012BB"/>
    <w:rsid w:val="00A0145D"/>
    <w:rsid w:val="00A01EC9"/>
    <w:rsid w:val="00A02442"/>
    <w:rsid w:val="00A02758"/>
    <w:rsid w:val="00A0319B"/>
    <w:rsid w:val="00A03253"/>
    <w:rsid w:val="00A039A5"/>
    <w:rsid w:val="00A03B24"/>
    <w:rsid w:val="00A03C39"/>
    <w:rsid w:val="00A0441F"/>
    <w:rsid w:val="00A0475E"/>
    <w:rsid w:val="00A0514F"/>
    <w:rsid w:val="00A0517D"/>
    <w:rsid w:val="00A05B44"/>
    <w:rsid w:val="00A05E44"/>
    <w:rsid w:val="00A06055"/>
    <w:rsid w:val="00A0793B"/>
    <w:rsid w:val="00A1050B"/>
    <w:rsid w:val="00A10D17"/>
    <w:rsid w:val="00A115F1"/>
    <w:rsid w:val="00A123A6"/>
    <w:rsid w:val="00A1263B"/>
    <w:rsid w:val="00A12A71"/>
    <w:rsid w:val="00A12AA4"/>
    <w:rsid w:val="00A13DEA"/>
    <w:rsid w:val="00A140A1"/>
    <w:rsid w:val="00A141A6"/>
    <w:rsid w:val="00A148CC"/>
    <w:rsid w:val="00A14A97"/>
    <w:rsid w:val="00A15393"/>
    <w:rsid w:val="00A1578A"/>
    <w:rsid w:val="00A15BDB"/>
    <w:rsid w:val="00A15FAC"/>
    <w:rsid w:val="00A1653E"/>
    <w:rsid w:val="00A16A82"/>
    <w:rsid w:val="00A1703D"/>
    <w:rsid w:val="00A171E8"/>
    <w:rsid w:val="00A177F0"/>
    <w:rsid w:val="00A178DB"/>
    <w:rsid w:val="00A17ADE"/>
    <w:rsid w:val="00A17DBC"/>
    <w:rsid w:val="00A17E8F"/>
    <w:rsid w:val="00A20216"/>
    <w:rsid w:val="00A2061E"/>
    <w:rsid w:val="00A20A8D"/>
    <w:rsid w:val="00A20D85"/>
    <w:rsid w:val="00A20DB6"/>
    <w:rsid w:val="00A20DC7"/>
    <w:rsid w:val="00A20E16"/>
    <w:rsid w:val="00A2109E"/>
    <w:rsid w:val="00A21F51"/>
    <w:rsid w:val="00A21F74"/>
    <w:rsid w:val="00A22394"/>
    <w:rsid w:val="00A22D90"/>
    <w:rsid w:val="00A23110"/>
    <w:rsid w:val="00A235E9"/>
    <w:rsid w:val="00A2375A"/>
    <w:rsid w:val="00A23A92"/>
    <w:rsid w:val="00A23E89"/>
    <w:rsid w:val="00A24D1D"/>
    <w:rsid w:val="00A24F18"/>
    <w:rsid w:val="00A24F38"/>
    <w:rsid w:val="00A25679"/>
    <w:rsid w:val="00A25C3B"/>
    <w:rsid w:val="00A26B7B"/>
    <w:rsid w:val="00A26F0C"/>
    <w:rsid w:val="00A2701D"/>
    <w:rsid w:val="00A27A39"/>
    <w:rsid w:val="00A27D06"/>
    <w:rsid w:val="00A30099"/>
    <w:rsid w:val="00A30611"/>
    <w:rsid w:val="00A3099D"/>
    <w:rsid w:val="00A318C7"/>
    <w:rsid w:val="00A31957"/>
    <w:rsid w:val="00A3389C"/>
    <w:rsid w:val="00A33ADD"/>
    <w:rsid w:val="00A33C0D"/>
    <w:rsid w:val="00A34214"/>
    <w:rsid w:val="00A34382"/>
    <w:rsid w:val="00A34721"/>
    <w:rsid w:val="00A34984"/>
    <w:rsid w:val="00A349B3"/>
    <w:rsid w:val="00A34F81"/>
    <w:rsid w:val="00A35013"/>
    <w:rsid w:val="00A351B8"/>
    <w:rsid w:val="00A35469"/>
    <w:rsid w:val="00A3573A"/>
    <w:rsid w:val="00A35EDE"/>
    <w:rsid w:val="00A37451"/>
    <w:rsid w:val="00A37598"/>
    <w:rsid w:val="00A376F8"/>
    <w:rsid w:val="00A37AB4"/>
    <w:rsid w:val="00A37BCA"/>
    <w:rsid w:val="00A4040B"/>
    <w:rsid w:val="00A40E23"/>
    <w:rsid w:val="00A40EA6"/>
    <w:rsid w:val="00A41050"/>
    <w:rsid w:val="00A412E0"/>
    <w:rsid w:val="00A4141A"/>
    <w:rsid w:val="00A41D69"/>
    <w:rsid w:val="00A42042"/>
    <w:rsid w:val="00A421CD"/>
    <w:rsid w:val="00A423FD"/>
    <w:rsid w:val="00A4247A"/>
    <w:rsid w:val="00A42C27"/>
    <w:rsid w:val="00A42EDC"/>
    <w:rsid w:val="00A4312F"/>
    <w:rsid w:val="00A433B9"/>
    <w:rsid w:val="00A433D2"/>
    <w:rsid w:val="00A43CC9"/>
    <w:rsid w:val="00A444E6"/>
    <w:rsid w:val="00A44544"/>
    <w:rsid w:val="00A449E4"/>
    <w:rsid w:val="00A44DE5"/>
    <w:rsid w:val="00A4533B"/>
    <w:rsid w:val="00A453A4"/>
    <w:rsid w:val="00A455FA"/>
    <w:rsid w:val="00A45AEA"/>
    <w:rsid w:val="00A45EC1"/>
    <w:rsid w:val="00A461B6"/>
    <w:rsid w:val="00A461FB"/>
    <w:rsid w:val="00A46D92"/>
    <w:rsid w:val="00A47D5F"/>
    <w:rsid w:val="00A50396"/>
    <w:rsid w:val="00A507EA"/>
    <w:rsid w:val="00A50EAB"/>
    <w:rsid w:val="00A50EDB"/>
    <w:rsid w:val="00A5167E"/>
    <w:rsid w:val="00A52146"/>
    <w:rsid w:val="00A52757"/>
    <w:rsid w:val="00A52C01"/>
    <w:rsid w:val="00A52CF3"/>
    <w:rsid w:val="00A53DB1"/>
    <w:rsid w:val="00A540B2"/>
    <w:rsid w:val="00A55756"/>
    <w:rsid w:val="00A55BAA"/>
    <w:rsid w:val="00A562BD"/>
    <w:rsid w:val="00A56A7D"/>
    <w:rsid w:val="00A574F4"/>
    <w:rsid w:val="00A5768B"/>
    <w:rsid w:val="00A57873"/>
    <w:rsid w:val="00A57E6B"/>
    <w:rsid w:val="00A57E82"/>
    <w:rsid w:val="00A60D69"/>
    <w:rsid w:val="00A61429"/>
    <w:rsid w:val="00A61AA0"/>
    <w:rsid w:val="00A61F8E"/>
    <w:rsid w:val="00A622F7"/>
    <w:rsid w:val="00A625A3"/>
    <w:rsid w:val="00A62C2C"/>
    <w:rsid w:val="00A635BF"/>
    <w:rsid w:val="00A63E05"/>
    <w:rsid w:val="00A64AEE"/>
    <w:rsid w:val="00A64E4B"/>
    <w:rsid w:val="00A65067"/>
    <w:rsid w:val="00A655C6"/>
    <w:rsid w:val="00A65FA1"/>
    <w:rsid w:val="00A66510"/>
    <w:rsid w:val="00A66CA3"/>
    <w:rsid w:val="00A66E2E"/>
    <w:rsid w:val="00A66EB2"/>
    <w:rsid w:val="00A66FF3"/>
    <w:rsid w:val="00A67143"/>
    <w:rsid w:val="00A704EE"/>
    <w:rsid w:val="00A713E1"/>
    <w:rsid w:val="00A71474"/>
    <w:rsid w:val="00A7185C"/>
    <w:rsid w:val="00A71B1E"/>
    <w:rsid w:val="00A71C00"/>
    <w:rsid w:val="00A71CE0"/>
    <w:rsid w:val="00A71DF1"/>
    <w:rsid w:val="00A72A91"/>
    <w:rsid w:val="00A72ADF"/>
    <w:rsid w:val="00A7321B"/>
    <w:rsid w:val="00A73283"/>
    <w:rsid w:val="00A732AC"/>
    <w:rsid w:val="00A73F2E"/>
    <w:rsid w:val="00A743DC"/>
    <w:rsid w:val="00A743EB"/>
    <w:rsid w:val="00A74B74"/>
    <w:rsid w:val="00A74D2A"/>
    <w:rsid w:val="00A74E26"/>
    <w:rsid w:val="00A74EB5"/>
    <w:rsid w:val="00A753B6"/>
    <w:rsid w:val="00A75573"/>
    <w:rsid w:val="00A75E12"/>
    <w:rsid w:val="00A76CA5"/>
    <w:rsid w:val="00A77666"/>
    <w:rsid w:val="00A77717"/>
    <w:rsid w:val="00A77A30"/>
    <w:rsid w:val="00A77AC3"/>
    <w:rsid w:val="00A77D0D"/>
    <w:rsid w:val="00A80B7B"/>
    <w:rsid w:val="00A82101"/>
    <w:rsid w:val="00A8219C"/>
    <w:rsid w:val="00A82556"/>
    <w:rsid w:val="00A82B43"/>
    <w:rsid w:val="00A8356F"/>
    <w:rsid w:val="00A83FC5"/>
    <w:rsid w:val="00A84188"/>
    <w:rsid w:val="00A841BA"/>
    <w:rsid w:val="00A8503B"/>
    <w:rsid w:val="00A854EA"/>
    <w:rsid w:val="00A85522"/>
    <w:rsid w:val="00A857A1"/>
    <w:rsid w:val="00A857E6"/>
    <w:rsid w:val="00A85A55"/>
    <w:rsid w:val="00A85ADE"/>
    <w:rsid w:val="00A85BEA"/>
    <w:rsid w:val="00A85C60"/>
    <w:rsid w:val="00A860B1"/>
    <w:rsid w:val="00A87144"/>
    <w:rsid w:val="00A90475"/>
    <w:rsid w:val="00A9073F"/>
    <w:rsid w:val="00A9080C"/>
    <w:rsid w:val="00A9106A"/>
    <w:rsid w:val="00A91349"/>
    <w:rsid w:val="00A91866"/>
    <w:rsid w:val="00A92FAA"/>
    <w:rsid w:val="00A93346"/>
    <w:rsid w:val="00A93862"/>
    <w:rsid w:val="00A939FE"/>
    <w:rsid w:val="00A93DAD"/>
    <w:rsid w:val="00A94969"/>
    <w:rsid w:val="00A94C86"/>
    <w:rsid w:val="00A94E72"/>
    <w:rsid w:val="00A9532A"/>
    <w:rsid w:val="00A962DA"/>
    <w:rsid w:val="00A968A2"/>
    <w:rsid w:val="00A96B86"/>
    <w:rsid w:val="00A97217"/>
    <w:rsid w:val="00A97A39"/>
    <w:rsid w:val="00A97C5E"/>
    <w:rsid w:val="00AA036C"/>
    <w:rsid w:val="00AA2145"/>
    <w:rsid w:val="00AA265B"/>
    <w:rsid w:val="00AA2705"/>
    <w:rsid w:val="00AA2A0D"/>
    <w:rsid w:val="00AA2B96"/>
    <w:rsid w:val="00AA2F7B"/>
    <w:rsid w:val="00AA39DF"/>
    <w:rsid w:val="00AA436C"/>
    <w:rsid w:val="00AA4FE3"/>
    <w:rsid w:val="00AA5C00"/>
    <w:rsid w:val="00AA5F70"/>
    <w:rsid w:val="00AA6B95"/>
    <w:rsid w:val="00AA71FE"/>
    <w:rsid w:val="00AA73EF"/>
    <w:rsid w:val="00AA7555"/>
    <w:rsid w:val="00AA767D"/>
    <w:rsid w:val="00AA799C"/>
    <w:rsid w:val="00AB1954"/>
    <w:rsid w:val="00AB2CF9"/>
    <w:rsid w:val="00AB2FF1"/>
    <w:rsid w:val="00AB3DCD"/>
    <w:rsid w:val="00AB4172"/>
    <w:rsid w:val="00AB41F9"/>
    <w:rsid w:val="00AB4255"/>
    <w:rsid w:val="00AB4445"/>
    <w:rsid w:val="00AB4856"/>
    <w:rsid w:val="00AB4B5B"/>
    <w:rsid w:val="00AB5E43"/>
    <w:rsid w:val="00AB6663"/>
    <w:rsid w:val="00AB75EB"/>
    <w:rsid w:val="00AC06E9"/>
    <w:rsid w:val="00AC143E"/>
    <w:rsid w:val="00AC1C9C"/>
    <w:rsid w:val="00AC2431"/>
    <w:rsid w:val="00AC2F97"/>
    <w:rsid w:val="00AC4D9D"/>
    <w:rsid w:val="00AC58AB"/>
    <w:rsid w:val="00AC5A55"/>
    <w:rsid w:val="00AC5F04"/>
    <w:rsid w:val="00AC6061"/>
    <w:rsid w:val="00AC61C2"/>
    <w:rsid w:val="00AC65E8"/>
    <w:rsid w:val="00AC6901"/>
    <w:rsid w:val="00AC698C"/>
    <w:rsid w:val="00AC7B3F"/>
    <w:rsid w:val="00AC7B77"/>
    <w:rsid w:val="00AC7E1C"/>
    <w:rsid w:val="00AD0A79"/>
    <w:rsid w:val="00AD0B94"/>
    <w:rsid w:val="00AD0D40"/>
    <w:rsid w:val="00AD0FEB"/>
    <w:rsid w:val="00AD1D0F"/>
    <w:rsid w:val="00AD1D5F"/>
    <w:rsid w:val="00AD2A45"/>
    <w:rsid w:val="00AD2B38"/>
    <w:rsid w:val="00AD361A"/>
    <w:rsid w:val="00AD3F8C"/>
    <w:rsid w:val="00AD4F7E"/>
    <w:rsid w:val="00AD512E"/>
    <w:rsid w:val="00AD5788"/>
    <w:rsid w:val="00AD677B"/>
    <w:rsid w:val="00AD6B07"/>
    <w:rsid w:val="00AD6D09"/>
    <w:rsid w:val="00AD73DE"/>
    <w:rsid w:val="00AD78D1"/>
    <w:rsid w:val="00AD7F31"/>
    <w:rsid w:val="00AE00A7"/>
    <w:rsid w:val="00AE00DF"/>
    <w:rsid w:val="00AE10DF"/>
    <w:rsid w:val="00AE148A"/>
    <w:rsid w:val="00AE156A"/>
    <w:rsid w:val="00AE1B1E"/>
    <w:rsid w:val="00AE1BAA"/>
    <w:rsid w:val="00AE1C4C"/>
    <w:rsid w:val="00AE2770"/>
    <w:rsid w:val="00AE30A8"/>
    <w:rsid w:val="00AE3525"/>
    <w:rsid w:val="00AE355D"/>
    <w:rsid w:val="00AE475E"/>
    <w:rsid w:val="00AE59FD"/>
    <w:rsid w:val="00AE5BC7"/>
    <w:rsid w:val="00AE5C47"/>
    <w:rsid w:val="00AE6188"/>
    <w:rsid w:val="00AE6B68"/>
    <w:rsid w:val="00AE7593"/>
    <w:rsid w:val="00AE789A"/>
    <w:rsid w:val="00AF009B"/>
    <w:rsid w:val="00AF03BF"/>
    <w:rsid w:val="00AF0AED"/>
    <w:rsid w:val="00AF15E8"/>
    <w:rsid w:val="00AF18CE"/>
    <w:rsid w:val="00AF24DE"/>
    <w:rsid w:val="00AF26CB"/>
    <w:rsid w:val="00AF3A06"/>
    <w:rsid w:val="00AF3E95"/>
    <w:rsid w:val="00AF42E0"/>
    <w:rsid w:val="00AF4A86"/>
    <w:rsid w:val="00AF4AF4"/>
    <w:rsid w:val="00AF503B"/>
    <w:rsid w:val="00AF5129"/>
    <w:rsid w:val="00AF585D"/>
    <w:rsid w:val="00AF5895"/>
    <w:rsid w:val="00AF5899"/>
    <w:rsid w:val="00AF6729"/>
    <w:rsid w:val="00AF6B5C"/>
    <w:rsid w:val="00AF6E37"/>
    <w:rsid w:val="00AF70B5"/>
    <w:rsid w:val="00AF72D4"/>
    <w:rsid w:val="00B003A2"/>
    <w:rsid w:val="00B008F4"/>
    <w:rsid w:val="00B017FB"/>
    <w:rsid w:val="00B01EA8"/>
    <w:rsid w:val="00B025E8"/>
    <w:rsid w:val="00B03128"/>
    <w:rsid w:val="00B032D0"/>
    <w:rsid w:val="00B033ED"/>
    <w:rsid w:val="00B03411"/>
    <w:rsid w:val="00B03B20"/>
    <w:rsid w:val="00B04E68"/>
    <w:rsid w:val="00B0750D"/>
    <w:rsid w:val="00B0759E"/>
    <w:rsid w:val="00B07714"/>
    <w:rsid w:val="00B077BE"/>
    <w:rsid w:val="00B07A57"/>
    <w:rsid w:val="00B07AF5"/>
    <w:rsid w:val="00B07B89"/>
    <w:rsid w:val="00B10FCA"/>
    <w:rsid w:val="00B113C4"/>
    <w:rsid w:val="00B115A5"/>
    <w:rsid w:val="00B11D9D"/>
    <w:rsid w:val="00B120D8"/>
    <w:rsid w:val="00B12FAD"/>
    <w:rsid w:val="00B13AF7"/>
    <w:rsid w:val="00B13D0F"/>
    <w:rsid w:val="00B13DB8"/>
    <w:rsid w:val="00B140FC"/>
    <w:rsid w:val="00B1463D"/>
    <w:rsid w:val="00B14A67"/>
    <w:rsid w:val="00B14A82"/>
    <w:rsid w:val="00B14B1B"/>
    <w:rsid w:val="00B1546F"/>
    <w:rsid w:val="00B15AD8"/>
    <w:rsid w:val="00B16CE3"/>
    <w:rsid w:val="00B172A9"/>
    <w:rsid w:val="00B17B6B"/>
    <w:rsid w:val="00B202A3"/>
    <w:rsid w:val="00B204DD"/>
    <w:rsid w:val="00B20D74"/>
    <w:rsid w:val="00B21269"/>
    <w:rsid w:val="00B212F8"/>
    <w:rsid w:val="00B21764"/>
    <w:rsid w:val="00B217D3"/>
    <w:rsid w:val="00B21A4C"/>
    <w:rsid w:val="00B225A0"/>
    <w:rsid w:val="00B228F6"/>
    <w:rsid w:val="00B23005"/>
    <w:rsid w:val="00B23AF7"/>
    <w:rsid w:val="00B241E4"/>
    <w:rsid w:val="00B24756"/>
    <w:rsid w:val="00B24950"/>
    <w:rsid w:val="00B2495A"/>
    <w:rsid w:val="00B24F70"/>
    <w:rsid w:val="00B25A47"/>
    <w:rsid w:val="00B25E88"/>
    <w:rsid w:val="00B25F5D"/>
    <w:rsid w:val="00B262E0"/>
    <w:rsid w:val="00B2699E"/>
    <w:rsid w:val="00B274A7"/>
    <w:rsid w:val="00B27513"/>
    <w:rsid w:val="00B27781"/>
    <w:rsid w:val="00B315F8"/>
    <w:rsid w:val="00B31672"/>
    <w:rsid w:val="00B32440"/>
    <w:rsid w:val="00B325DD"/>
    <w:rsid w:val="00B32F8C"/>
    <w:rsid w:val="00B332AB"/>
    <w:rsid w:val="00B336F5"/>
    <w:rsid w:val="00B33FC5"/>
    <w:rsid w:val="00B34352"/>
    <w:rsid w:val="00B347CC"/>
    <w:rsid w:val="00B34A16"/>
    <w:rsid w:val="00B34CDB"/>
    <w:rsid w:val="00B353D7"/>
    <w:rsid w:val="00B35737"/>
    <w:rsid w:val="00B35DFF"/>
    <w:rsid w:val="00B35EA3"/>
    <w:rsid w:val="00B360E5"/>
    <w:rsid w:val="00B3616F"/>
    <w:rsid w:val="00B3633A"/>
    <w:rsid w:val="00B36444"/>
    <w:rsid w:val="00B36532"/>
    <w:rsid w:val="00B3689F"/>
    <w:rsid w:val="00B36CBC"/>
    <w:rsid w:val="00B36FFC"/>
    <w:rsid w:val="00B3754F"/>
    <w:rsid w:val="00B37E1D"/>
    <w:rsid w:val="00B37F7A"/>
    <w:rsid w:val="00B409BB"/>
    <w:rsid w:val="00B40CF7"/>
    <w:rsid w:val="00B41A20"/>
    <w:rsid w:val="00B41B3E"/>
    <w:rsid w:val="00B4205C"/>
    <w:rsid w:val="00B421F0"/>
    <w:rsid w:val="00B4228C"/>
    <w:rsid w:val="00B42548"/>
    <w:rsid w:val="00B428EE"/>
    <w:rsid w:val="00B42E1C"/>
    <w:rsid w:val="00B42F65"/>
    <w:rsid w:val="00B43035"/>
    <w:rsid w:val="00B4324E"/>
    <w:rsid w:val="00B434DC"/>
    <w:rsid w:val="00B436D9"/>
    <w:rsid w:val="00B4376D"/>
    <w:rsid w:val="00B438F1"/>
    <w:rsid w:val="00B4391A"/>
    <w:rsid w:val="00B43F36"/>
    <w:rsid w:val="00B44290"/>
    <w:rsid w:val="00B44FE5"/>
    <w:rsid w:val="00B456D8"/>
    <w:rsid w:val="00B45E41"/>
    <w:rsid w:val="00B45E68"/>
    <w:rsid w:val="00B464D2"/>
    <w:rsid w:val="00B46A00"/>
    <w:rsid w:val="00B46B3D"/>
    <w:rsid w:val="00B46D35"/>
    <w:rsid w:val="00B46D62"/>
    <w:rsid w:val="00B47FCE"/>
    <w:rsid w:val="00B5027D"/>
    <w:rsid w:val="00B50374"/>
    <w:rsid w:val="00B504EA"/>
    <w:rsid w:val="00B515C0"/>
    <w:rsid w:val="00B51612"/>
    <w:rsid w:val="00B51916"/>
    <w:rsid w:val="00B521E8"/>
    <w:rsid w:val="00B52444"/>
    <w:rsid w:val="00B524E0"/>
    <w:rsid w:val="00B52AAF"/>
    <w:rsid w:val="00B52B55"/>
    <w:rsid w:val="00B53215"/>
    <w:rsid w:val="00B5344D"/>
    <w:rsid w:val="00B5359C"/>
    <w:rsid w:val="00B54235"/>
    <w:rsid w:val="00B543C0"/>
    <w:rsid w:val="00B54439"/>
    <w:rsid w:val="00B54710"/>
    <w:rsid w:val="00B54C0B"/>
    <w:rsid w:val="00B54EDC"/>
    <w:rsid w:val="00B54EDF"/>
    <w:rsid w:val="00B5514E"/>
    <w:rsid w:val="00B55437"/>
    <w:rsid w:val="00B55BDC"/>
    <w:rsid w:val="00B55C75"/>
    <w:rsid w:val="00B55E76"/>
    <w:rsid w:val="00B57265"/>
    <w:rsid w:val="00B5797F"/>
    <w:rsid w:val="00B60188"/>
    <w:rsid w:val="00B6041F"/>
    <w:rsid w:val="00B60C41"/>
    <w:rsid w:val="00B62612"/>
    <w:rsid w:val="00B62DAA"/>
    <w:rsid w:val="00B6334A"/>
    <w:rsid w:val="00B63B40"/>
    <w:rsid w:val="00B643C0"/>
    <w:rsid w:val="00B648FE"/>
    <w:rsid w:val="00B64B0E"/>
    <w:rsid w:val="00B64B23"/>
    <w:rsid w:val="00B64D13"/>
    <w:rsid w:val="00B6540A"/>
    <w:rsid w:val="00B654A4"/>
    <w:rsid w:val="00B66458"/>
    <w:rsid w:val="00B669F0"/>
    <w:rsid w:val="00B66AE8"/>
    <w:rsid w:val="00B66C01"/>
    <w:rsid w:val="00B677DB"/>
    <w:rsid w:val="00B67E96"/>
    <w:rsid w:val="00B70D37"/>
    <w:rsid w:val="00B70DA7"/>
    <w:rsid w:val="00B70E2A"/>
    <w:rsid w:val="00B71062"/>
    <w:rsid w:val="00B71A19"/>
    <w:rsid w:val="00B71CE6"/>
    <w:rsid w:val="00B71DAC"/>
    <w:rsid w:val="00B72818"/>
    <w:rsid w:val="00B729A4"/>
    <w:rsid w:val="00B72ED5"/>
    <w:rsid w:val="00B7332D"/>
    <w:rsid w:val="00B734B0"/>
    <w:rsid w:val="00B74323"/>
    <w:rsid w:val="00B74F6E"/>
    <w:rsid w:val="00B75CB4"/>
    <w:rsid w:val="00B75D38"/>
    <w:rsid w:val="00B75D6F"/>
    <w:rsid w:val="00B76188"/>
    <w:rsid w:val="00B77223"/>
    <w:rsid w:val="00B773DE"/>
    <w:rsid w:val="00B77413"/>
    <w:rsid w:val="00B77A1B"/>
    <w:rsid w:val="00B8042E"/>
    <w:rsid w:val="00B80BF6"/>
    <w:rsid w:val="00B81108"/>
    <w:rsid w:val="00B81202"/>
    <w:rsid w:val="00B81394"/>
    <w:rsid w:val="00B8139F"/>
    <w:rsid w:val="00B815D3"/>
    <w:rsid w:val="00B82447"/>
    <w:rsid w:val="00B82864"/>
    <w:rsid w:val="00B82A78"/>
    <w:rsid w:val="00B82B09"/>
    <w:rsid w:val="00B83294"/>
    <w:rsid w:val="00B837D9"/>
    <w:rsid w:val="00B841A4"/>
    <w:rsid w:val="00B844CC"/>
    <w:rsid w:val="00B84674"/>
    <w:rsid w:val="00B848D0"/>
    <w:rsid w:val="00B85127"/>
    <w:rsid w:val="00B85649"/>
    <w:rsid w:val="00B85CB7"/>
    <w:rsid w:val="00B8622A"/>
    <w:rsid w:val="00B86297"/>
    <w:rsid w:val="00B86CE0"/>
    <w:rsid w:val="00B86E2A"/>
    <w:rsid w:val="00B86EBD"/>
    <w:rsid w:val="00B86F62"/>
    <w:rsid w:val="00B87896"/>
    <w:rsid w:val="00B908E3"/>
    <w:rsid w:val="00B90BA6"/>
    <w:rsid w:val="00B90E45"/>
    <w:rsid w:val="00B91843"/>
    <w:rsid w:val="00B92508"/>
    <w:rsid w:val="00B92816"/>
    <w:rsid w:val="00B92886"/>
    <w:rsid w:val="00B92925"/>
    <w:rsid w:val="00B92D53"/>
    <w:rsid w:val="00B92E3C"/>
    <w:rsid w:val="00B93224"/>
    <w:rsid w:val="00B932DF"/>
    <w:rsid w:val="00B93530"/>
    <w:rsid w:val="00B93969"/>
    <w:rsid w:val="00B93ADD"/>
    <w:rsid w:val="00B943AB"/>
    <w:rsid w:val="00B94F67"/>
    <w:rsid w:val="00B9513C"/>
    <w:rsid w:val="00B952BC"/>
    <w:rsid w:val="00B9540D"/>
    <w:rsid w:val="00B95546"/>
    <w:rsid w:val="00B95793"/>
    <w:rsid w:val="00B96078"/>
    <w:rsid w:val="00B96507"/>
    <w:rsid w:val="00B9709D"/>
    <w:rsid w:val="00B97739"/>
    <w:rsid w:val="00B977DF"/>
    <w:rsid w:val="00B9780C"/>
    <w:rsid w:val="00B97CAE"/>
    <w:rsid w:val="00BA1112"/>
    <w:rsid w:val="00BA114D"/>
    <w:rsid w:val="00BA1626"/>
    <w:rsid w:val="00BA190C"/>
    <w:rsid w:val="00BA2147"/>
    <w:rsid w:val="00BA2229"/>
    <w:rsid w:val="00BA25C7"/>
    <w:rsid w:val="00BA2831"/>
    <w:rsid w:val="00BA2D82"/>
    <w:rsid w:val="00BA3130"/>
    <w:rsid w:val="00BA34F1"/>
    <w:rsid w:val="00BA3A82"/>
    <w:rsid w:val="00BA3E58"/>
    <w:rsid w:val="00BA41DE"/>
    <w:rsid w:val="00BA42C2"/>
    <w:rsid w:val="00BA43E1"/>
    <w:rsid w:val="00BA44E8"/>
    <w:rsid w:val="00BA48BF"/>
    <w:rsid w:val="00BA4A8B"/>
    <w:rsid w:val="00BA59AA"/>
    <w:rsid w:val="00BA5D32"/>
    <w:rsid w:val="00BA61B1"/>
    <w:rsid w:val="00BA6C21"/>
    <w:rsid w:val="00BA74E9"/>
    <w:rsid w:val="00BA75AC"/>
    <w:rsid w:val="00BA761A"/>
    <w:rsid w:val="00BA7798"/>
    <w:rsid w:val="00BA788A"/>
    <w:rsid w:val="00BB0AA3"/>
    <w:rsid w:val="00BB0BB4"/>
    <w:rsid w:val="00BB0C57"/>
    <w:rsid w:val="00BB132E"/>
    <w:rsid w:val="00BB1A6A"/>
    <w:rsid w:val="00BB1B4D"/>
    <w:rsid w:val="00BB1C4F"/>
    <w:rsid w:val="00BB2451"/>
    <w:rsid w:val="00BB2518"/>
    <w:rsid w:val="00BB2750"/>
    <w:rsid w:val="00BB2EB7"/>
    <w:rsid w:val="00BB3567"/>
    <w:rsid w:val="00BB3723"/>
    <w:rsid w:val="00BB3FE9"/>
    <w:rsid w:val="00BB46E4"/>
    <w:rsid w:val="00BB5255"/>
    <w:rsid w:val="00BB5A1B"/>
    <w:rsid w:val="00BB69F7"/>
    <w:rsid w:val="00BB70F7"/>
    <w:rsid w:val="00BB7C8B"/>
    <w:rsid w:val="00BB7EB3"/>
    <w:rsid w:val="00BB7F79"/>
    <w:rsid w:val="00BC03DB"/>
    <w:rsid w:val="00BC070E"/>
    <w:rsid w:val="00BC0E26"/>
    <w:rsid w:val="00BC1224"/>
    <w:rsid w:val="00BC1DA9"/>
    <w:rsid w:val="00BC1ED5"/>
    <w:rsid w:val="00BC2BCF"/>
    <w:rsid w:val="00BC30C9"/>
    <w:rsid w:val="00BC33A4"/>
    <w:rsid w:val="00BC3748"/>
    <w:rsid w:val="00BC3A1F"/>
    <w:rsid w:val="00BC4243"/>
    <w:rsid w:val="00BC490E"/>
    <w:rsid w:val="00BC49E4"/>
    <w:rsid w:val="00BC4E6F"/>
    <w:rsid w:val="00BC5420"/>
    <w:rsid w:val="00BC57E6"/>
    <w:rsid w:val="00BC5F29"/>
    <w:rsid w:val="00BC635D"/>
    <w:rsid w:val="00BC6498"/>
    <w:rsid w:val="00BC67E5"/>
    <w:rsid w:val="00BC7867"/>
    <w:rsid w:val="00BD1388"/>
    <w:rsid w:val="00BD1B7A"/>
    <w:rsid w:val="00BD1E14"/>
    <w:rsid w:val="00BD22F1"/>
    <w:rsid w:val="00BD25C4"/>
    <w:rsid w:val="00BD29C5"/>
    <w:rsid w:val="00BD357B"/>
    <w:rsid w:val="00BD373D"/>
    <w:rsid w:val="00BD3A4C"/>
    <w:rsid w:val="00BD4130"/>
    <w:rsid w:val="00BD4570"/>
    <w:rsid w:val="00BD47BF"/>
    <w:rsid w:val="00BD4E7D"/>
    <w:rsid w:val="00BD5036"/>
    <w:rsid w:val="00BD639F"/>
    <w:rsid w:val="00BD66D3"/>
    <w:rsid w:val="00BD6ACC"/>
    <w:rsid w:val="00BD6B89"/>
    <w:rsid w:val="00BD6DE0"/>
    <w:rsid w:val="00BD7330"/>
    <w:rsid w:val="00BD79C3"/>
    <w:rsid w:val="00BE014C"/>
    <w:rsid w:val="00BE04B7"/>
    <w:rsid w:val="00BE0C98"/>
    <w:rsid w:val="00BE0EFF"/>
    <w:rsid w:val="00BE17E9"/>
    <w:rsid w:val="00BE24EE"/>
    <w:rsid w:val="00BE2A31"/>
    <w:rsid w:val="00BE2ACE"/>
    <w:rsid w:val="00BE30C9"/>
    <w:rsid w:val="00BE3900"/>
    <w:rsid w:val="00BE39D3"/>
    <w:rsid w:val="00BE3A16"/>
    <w:rsid w:val="00BE3A80"/>
    <w:rsid w:val="00BE4365"/>
    <w:rsid w:val="00BE4571"/>
    <w:rsid w:val="00BE4CE4"/>
    <w:rsid w:val="00BE4E06"/>
    <w:rsid w:val="00BE50D1"/>
    <w:rsid w:val="00BE5927"/>
    <w:rsid w:val="00BE5C51"/>
    <w:rsid w:val="00BE5D14"/>
    <w:rsid w:val="00BE745D"/>
    <w:rsid w:val="00BE7717"/>
    <w:rsid w:val="00BE7D89"/>
    <w:rsid w:val="00BE7DDB"/>
    <w:rsid w:val="00BF1037"/>
    <w:rsid w:val="00BF1484"/>
    <w:rsid w:val="00BF1D34"/>
    <w:rsid w:val="00BF2037"/>
    <w:rsid w:val="00BF24BC"/>
    <w:rsid w:val="00BF2620"/>
    <w:rsid w:val="00BF35A6"/>
    <w:rsid w:val="00BF427D"/>
    <w:rsid w:val="00BF46E9"/>
    <w:rsid w:val="00BF4F52"/>
    <w:rsid w:val="00BF519D"/>
    <w:rsid w:val="00BF554E"/>
    <w:rsid w:val="00BF5686"/>
    <w:rsid w:val="00BF5D71"/>
    <w:rsid w:val="00BF6042"/>
    <w:rsid w:val="00BF625A"/>
    <w:rsid w:val="00BF6574"/>
    <w:rsid w:val="00BF6AAF"/>
    <w:rsid w:val="00BF6E27"/>
    <w:rsid w:val="00BF7326"/>
    <w:rsid w:val="00BF7423"/>
    <w:rsid w:val="00BF7579"/>
    <w:rsid w:val="00BF7B6F"/>
    <w:rsid w:val="00C00DF0"/>
    <w:rsid w:val="00C01118"/>
    <w:rsid w:val="00C01352"/>
    <w:rsid w:val="00C01596"/>
    <w:rsid w:val="00C02474"/>
    <w:rsid w:val="00C0286E"/>
    <w:rsid w:val="00C02E62"/>
    <w:rsid w:val="00C0324B"/>
    <w:rsid w:val="00C0327C"/>
    <w:rsid w:val="00C04895"/>
    <w:rsid w:val="00C048EC"/>
    <w:rsid w:val="00C04B94"/>
    <w:rsid w:val="00C06596"/>
    <w:rsid w:val="00C06635"/>
    <w:rsid w:val="00C0677A"/>
    <w:rsid w:val="00C0723D"/>
    <w:rsid w:val="00C0754B"/>
    <w:rsid w:val="00C07887"/>
    <w:rsid w:val="00C100CA"/>
    <w:rsid w:val="00C1208E"/>
    <w:rsid w:val="00C12416"/>
    <w:rsid w:val="00C1285E"/>
    <w:rsid w:val="00C12FE2"/>
    <w:rsid w:val="00C13148"/>
    <w:rsid w:val="00C131BA"/>
    <w:rsid w:val="00C132E0"/>
    <w:rsid w:val="00C13661"/>
    <w:rsid w:val="00C137B2"/>
    <w:rsid w:val="00C13840"/>
    <w:rsid w:val="00C13F22"/>
    <w:rsid w:val="00C1468A"/>
    <w:rsid w:val="00C15181"/>
    <w:rsid w:val="00C152EC"/>
    <w:rsid w:val="00C1535C"/>
    <w:rsid w:val="00C155E6"/>
    <w:rsid w:val="00C159C3"/>
    <w:rsid w:val="00C15DB3"/>
    <w:rsid w:val="00C164BC"/>
    <w:rsid w:val="00C1691F"/>
    <w:rsid w:val="00C16F3C"/>
    <w:rsid w:val="00C204A5"/>
    <w:rsid w:val="00C20C9A"/>
    <w:rsid w:val="00C20E1E"/>
    <w:rsid w:val="00C20F2A"/>
    <w:rsid w:val="00C211C9"/>
    <w:rsid w:val="00C21671"/>
    <w:rsid w:val="00C21DB9"/>
    <w:rsid w:val="00C21DF2"/>
    <w:rsid w:val="00C221BB"/>
    <w:rsid w:val="00C2256A"/>
    <w:rsid w:val="00C228CE"/>
    <w:rsid w:val="00C23A82"/>
    <w:rsid w:val="00C23CBE"/>
    <w:rsid w:val="00C23D69"/>
    <w:rsid w:val="00C23E09"/>
    <w:rsid w:val="00C23F7D"/>
    <w:rsid w:val="00C244E2"/>
    <w:rsid w:val="00C25201"/>
    <w:rsid w:val="00C2536B"/>
    <w:rsid w:val="00C258D2"/>
    <w:rsid w:val="00C25C97"/>
    <w:rsid w:val="00C25E2E"/>
    <w:rsid w:val="00C260C9"/>
    <w:rsid w:val="00C26498"/>
    <w:rsid w:val="00C27120"/>
    <w:rsid w:val="00C27151"/>
    <w:rsid w:val="00C2747B"/>
    <w:rsid w:val="00C27E1E"/>
    <w:rsid w:val="00C3074B"/>
    <w:rsid w:val="00C30AE2"/>
    <w:rsid w:val="00C31076"/>
    <w:rsid w:val="00C315BC"/>
    <w:rsid w:val="00C318AE"/>
    <w:rsid w:val="00C31AF8"/>
    <w:rsid w:val="00C31EA1"/>
    <w:rsid w:val="00C320A8"/>
    <w:rsid w:val="00C321AD"/>
    <w:rsid w:val="00C322E4"/>
    <w:rsid w:val="00C3261D"/>
    <w:rsid w:val="00C32FBF"/>
    <w:rsid w:val="00C3346F"/>
    <w:rsid w:val="00C33734"/>
    <w:rsid w:val="00C33A49"/>
    <w:rsid w:val="00C33F0B"/>
    <w:rsid w:val="00C33F77"/>
    <w:rsid w:val="00C3499A"/>
    <w:rsid w:val="00C34A53"/>
    <w:rsid w:val="00C3533B"/>
    <w:rsid w:val="00C3615E"/>
    <w:rsid w:val="00C361F1"/>
    <w:rsid w:val="00C369AC"/>
    <w:rsid w:val="00C36E4F"/>
    <w:rsid w:val="00C40025"/>
    <w:rsid w:val="00C40ED9"/>
    <w:rsid w:val="00C416C3"/>
    <w:rsid w:val="00C4224E"/>
    <w:rsid w:val="00C42A07"/>
    <w:rsid w:val="00C42A88"/>
    <w:rsid w:val="00C42AA1"/>
    <w:rsid w:val="00C42AE5"/>
    <w:rsid w:val="00C42C05"/>
    <w:rsid w:val="00C4322B"/>
    <w:rsid w:val="00C43475"/>
    <w:rsid w:val="00C43D9E"/>
    <w:rsid w:val="00C44132"/>
    <w:rsid w:val="00C44248"/>
    <w:rsid w:val="00C44918"/>
    <w:rsid w:val="00C44C05"/>
    <w:rsid w:val="00C458EE"/>
    <w:rsid w:val="00C45DB4"/>
    <w:rsid w:val="00C45F94"/>
    <w:rsid w:val="00C461DF"/>
    <w:rsid w:val="00C47DFD"/>
    <w:rsid w:val="00C50074"/>
    <w:rsid w:val="00C50128"/>
    <w:rsid w:val="00C50ADD"/>
    <w:rsid w:val="00C515F0"/>
    <w:rsid w:val="00C51A40"/>
    <w:rsid w:val="00C52286"/>
    <w:rsid w:val="00C526DA"/>
    <w:rsid w:val="00C527A6"/>
    <w:rsid w:val="00C52808"/>
    <w:rsid w:val="00C5296B"/>
    <w:rsid w:val="00C52D9F"/>
    <w:rsid w:val="00C53063"/>
    <w:rsid w:val="00C533C1"/>
    <w:rsid w:val="00C53AE5"/>
    <w:rsid w:val="00C53B78"/>
    <w:rsid w:val="00C5409B"/>
    <w:rsid w:val="00C542D9"/>
    <w:rsid w:val="00C55057"/>
    <w:rsid w:val="00C55AD6"/>
    <w:rsid w:val="00C55F13"/>
    <w:rsid w:val="00C55FBA"/>
    <w:rsid w:val="00C561F0"/>
    <w:rsid w:val="00C5623B"/>
    <w:rsid w:val="00C568D0"/>
    <w:rsid w:val="00C574CB"/>
    <w:rsid w:val="00C57A7C"/>
    <w:rsid w:val="00C57BDF"/>
    <w:rsid w:val="00C57EBE"/>
    <w:rsid w:val="00C600E8"/>
    <w:rsid w:val="00C600EA"/>
    <w:rsid w:val="00C60BD5"/>
    <w:rsid w:val="00C61467"/>
    <w:rsid w:val="00C61ADA"/>
    <w:rsid w:val="00C61B12"/>
    <w:rsid w:val="00C62309"/>
    <w:rsid w:val="00C62428"/>
    <w:rsid w:val="00C6255B"/>
    <w:rsid w:val="00C6315A"/>
    <w:rsid w:val="00C635E2"/>
    <w:rsid w:val="00C63E3B"/>
    <w:rsid w:val="00C64BA2"/>
    <w:rsid w:val="00C650B5"/>
    <w:rsid w:val="00C652D3"/>
    <w:rsid w:val="00C653FE"/>
    <w:rsid w:val="00C654E2"/>
    <w:rsid w:val="00C65D1B"/>
    <w:rsid w:val="00C663E8"/>
    <w:rsid w:val="00C6685B"/>
    <w:rsid w:val="00C66980"/>
    <w:rsid w:val="00C66A48"/>
    <w:rsid w:val="00C66BF3"/>
    <w:rsid w:val="00C67626"/>
    <w:rsid w:val="00C67C9B"/>
    <w:rsid w:val="00C67F71"/>
    <w:rsid w:val="00C702D6"/>
    <w:rsid w:val="00C70AA2"/>
    <w:rsid w:val="00C71B18"/>
    <w:rsid w:val="00C71B31"/>
    <w:rsid w:val="00C71CF8"/>
    <w:rsid w:val="00C72AF4"/>
    <w:rsid w:val="00C72B52"/>
    <w:rsid w:val="00C72E00"/>
    <w:rsid w:val="00C731F5"/>
    <w:rsid w:val="00C73DD9"/>
    <w:rsid w:val="00C74446"/>
    <w:rsid w:val="00C74543"/>
    <w:rsid w:val="00C748EB"/>
    <w:rsid w:val="00C74B67"/>
    <w:rsid w:val="00C74EDB"/>
    <w:rsid w:val="00C7506E"/>
    <w:rsid w:val="00C75107"/>
    <w:rsid w:val="00C75555"/>
    <w:rsid w:val="00C7595B"/>
    <w:rsid w:val="00C75B44"/>
    <w:rsid w:val="00C75D51"/>
    <w:rsid w:val="00C763C9"/>
    <w:rsid w:val="00C7668D"/>
    <w:rsid w:val="00C76758"/>
    <w:rsid w:val="00C768CC"/>
    <w:rsid w:val="00C76CE2"/>
    <w:rsid w:val="00C7745B"/>
    <w:rsid w:val="00C77495"/>
    <w:rsid w:val="00C77672"/>
    <w:rsid w:val="00C80120"/>
    <w:rsid w:val="00C80204"/>
    <w:rsid w:val="00C81043"/>
    <w:rsid w:val="00C81442"/>
    <w:rsid w:val="00C8159F"/>
    <w:rsid w:val="00C818CE"/>
    <w:rsid w:val="00C824ED"/>
    <w:rsid w:val="00C82660"/>
    <w:rsid w:val="00C8340C"/>
    <w:rsid w:val="00C835F0"/>
    <w:rsid w:val="00C83852"/>
    <w:rsid w:val="00C83C28"/>
    <w:rsid w:val="00C8436E"/>
    <w:rsid w:val="00C84716"/>
    <w:rsid w:val="00C84891"/>
    <w:rsid w:val="00C84B18"/>
    <w:rsid w:val="00C84DBA"/>
    <w:rsid w:val="00C84DF8"/>
    <w:rsid w:val="00C84F76"/>
    <w:rsid w:val="00C85171"/>
    <w:rsid w:val="00C851C9"/>
    <w:rsid w:val="00C85420"/>
    <w:rsid w:val="00C8543E"/>
    <w:rsid w:val="00C85C08"/>
    <w:rsid w:val="00C86544"/>
    <w:rsid w:val="00C86619"/>
    <w:rsid w:val="00C86B8F"/>
    <w:rsid w:val="00C8737B"/>
    <w:rsid w:val="00C874F1"/>
    <w:rsid w:val="00C8779C"/>
    <w:rsid w:val="00C87AF5"/>
    <w:rsid w:val="00C90729"/>
    <w:rsid w:val="00C91AF3"/>
    <w:rsid w:val="00C920EE"/>
    <w:rsid w:val="00C924C5"/>
    <w:rsid w:val="00C92BB0"/>
    <w:rsid w:val="00C92C03"/>
    <w:rsid w:val="00C93005"/>
    <w:rsid w:val="00C93189"/>
    <w:rsid w:val="00C93BAC"/>
    <w:rsid w:val="00C942F1"/>
    <w:rsid w:val="00C94A7A"/>
    <w:rsid w:val="00C94C4A"/>
    <w:rsid w:val="00C953C5"/>
    <w:rsid w:val="00C95C32"/>
    <w:rsid w:val="00C95E18"/>
    <w:rsid w:val="00C96032"/>
    <w:rsid w:val="00C96192"/>
    <w:rsid w:val="00C968CF"/>
    <w:rsid w:val="00C96923"/>
    <w:rsid w:val="00C96A80"/>
    <w:rsid w:val="00C96AD5"/>
    <w:rsid w:val="00C96B8A"/>
    <w:rsid w:val="00C97ED6"/>
    <w:rsid w:val="00C97EF5"/>
    <w:rsid w:val="00CA0A9D"/>
    <w:rsid w:val="00CA0C7A"/>
    <w:rsid w:val="00CA1BB5"/>
    <w:rsid w:val="00CA2696"/>
    <w:rsid w:val="00CA2BC5"/>
    <w:rsid w:val="00CA31FB"/>
    <w:rsid w:val="00CA351D"/>
    <w:rsid w:val="00CA4293"/>
    <w:rsid w:val="00CA4D42"/>
    <w:rsid w:val="00CA530F"/>
    <w:rsid w:val="00CA55EF"/>
    <w:rsid w:val="00CA5988"/>
    <w:rsid w:val="00CA59C7"/>
    <w:rsid w:val="00CA5D9A"/>
    <w:rsid w:val="00CA6241"/>
    <w:rsid w:val="00CA738D"/>
    <w:rsid w:val="00CA7741"/>
    <w:rsid w:val="00CA7BCB"/>
    <w:rsid w:val="00CB00CE"/>
    <w:rsid w:val="00CB0880"/>
    <w:rsid w:val="00CB1E20"/>
    <w:rsid w:val="00CB1E9D"/>
    <w:rsid w:val="00CB1FA4"/>
    <w:rsid w:val="00CB24C3"/>
    <w:rsid w:val="00CB24F7"/>
    <w:rsid w:val="00CB2E48"/>
    <w:rsid w:val="00CB2F78"/>
    <w:rsid w:val="00CB316D"/>
    <w:rsid w:val="00CB3216"/>
    <w:rsid w:val="00CB44EF"/>
    <w:rsid w:val="00CB57BD"/>
    <w:rsid w:val="00CB5B6A"/>
    <w:rsid w:val="00CB5BC6"/>
    <w:rsid w:val="00CB5E97"/>
    <w:rsid w:val="00CB6746"/>
    <w:rsid w:val="00CB68B8"/>
    <w:rsid w:val="00CB6FEC"/>
    <w:rsid w:val="00CB7817"/>
    <w:rsid w:val="00CB7838"/>
    <w:rsid w:val="00CB7A9A"/>
    <w:rsid w:val="00CC05D9"/>
    <w:rsid w:val="00CC0B67"/>
    <w:rsid w:val="00CC108E"/>
    <w:rsid w:val="00CC126B"/>
    <w:rsid w:val="00CC15AC"/>
    <w:rsid w:val="00CC1653"/>
    <w:rsid w:val="00CC1B4E"/>
    <w:rsid w:val="00CC265D"/>
    <w:rsid w:val="00CC3391"/>
    <w:rsid w:val="00CC3A44"/>
    <w:rsid w:val="00CC3A96"/>
    <w:rsid w:val="00CC3B65"/>
    <w:rsid w:val="00CC3FF6"/>
    <w:rsid w:val="00CC4086"/>
    <w:rsid w:val="00CC4175"/>
    <w:rsid w:val="00CC497F"/>
    <w:rsid w:val="00CC535A"/>
    <w:rsid w:val="00CC5A48"/>
    <w:rsid w:val="00CC5CE8"/>
    <w:rsid w:val="00CC6750"/>
    <w:rsid w:val="00CC68D2"/>
    <w:rsid w:val="00CC7780"/>
    <w:rsid w:val="00CC79FF"/>
    <w:rsid w:val="00CC7F07"/>
    <w:rsid w:val="00CD00DC"/>
    <w:rsid w:val="00CD0281"/>
    <w:rsid w:val="00CD0B02"/>
    <w:rsid w:val="00CD1395"/>
    <w:rsid w:val="00CD2396"/>
    <w:rsid w:val="00CD25C8"/>
    <w:rsid w:val="00CD27A5"/>
    <w:rsid w:val="00CD2CBD"/>
    <w:rsid w:val="00CD2D35"/>
    <w:rsid w:val="00CD31D5"/>
    <w:rsid w:val="00CD38D7"/>
    <w:rsid w:val="00CD397B"/>
    <w:rsid w:val="00CD4508"/>
    <w:rsid w:val="00CD4959"/>
    <w:rsid w:val="00CD4B14"/>
    <w:rsid w:val="00CD552A"/>
    <w:rsid w:val="00CD55CA"/>
    <w:rsid w:val="00CD56E3"/>
    <w:rsid w:val="00CD613D"/>
    <w:rsid w:val="00CD629E"/>
    <w:rsid w:val="00CD68E2"/>
    <w:rsid w:val="00CD6ECE"/>
    <w:rsid w:val="00CD790F"/>
    <w:rsid w:val="00CD7C5F"/>
    <w:rsid w:val="00CE001E"/>
    <w:rsid w:val="00CE0323"/>
    <w:rsid w:val="00CE11EA"/>
    <w:rsid w:val="00CE1204"/>
    <w:rsid w:val="00CE131B"/>
    <w:rsid w:val="00CE1437"/>
    <w:rsid w:val="00CE1514"/>
    <w:rsid w:val="00CE1B76"/>
    <w:rsid w:val="00CE1BC6"/>
    <w:rsid w:val="00CE22D7"/>
    <w:rsid w:val="00CE23E3"/>
    <w:rsid w:val="00CE2AFD"/>
    <w:rsid w:val="00CE336D"/>
    <w:rsid w:val="00CE37AA"/>
    <w:rsid w:val="00CE3814"/>
    <w:rsid w:val="00CE3F90"/>
    <w:rsid w:val="00CE4248"/>
    <w:rsid w:val="00CE51C8"/>
    <w:rsid w:val="00CE5E74"/>
    <w:rsid w:val="00CE5EE3"/>
    <w:rsid w:val="00CE60C9"/>
    <w:rsid w:val="00CE6EF8"/>
    <w:rsid w:val="00CE7751"/>
    <w:rsid w:val="00CE7CD8"/>
    <w:rsid w:val="00CF0415"/>
    <w:rsid w:val="00CF07C6"/>
    <w:rsid w:val="00CF08F9"/>
    <w:rsid w:val="00CF0B71"/>
    <w:rsid w:val="00CF0E5E"/>
    <w:rsid w:val="00CF0EA3"/>
    <w:rsid w:val="00CF0FC1"/>
    <w:rsid w:val="00CF104A"/>
    <w:rsid w:val="00CF162E"/>
    <w:rsid w:val="00CF23B2"/>
    <w:rsid w:val="00CF26A8"/>
    <w:rsid w:val="00CF2CAB"/>
    <w:rsid w:val="00CF2E90"/>
    <w:rsid w:val="00CF39AA"/>
    <w:rsid w:val="00CF42E4"/>
    <w:rsid w:val="00CF46ED"/>
    <w:rsid w:val="00CF5048"/>
    <w:rsid w:val="00CF560B"/>
    <w:rsid w:val="00CF578C"/>
    <w:rsid w:val="00CF5F76"/>
    <w:rsid w:val="00CF6289"/>
    <w:rsid w:val="00CF675E"/>
    <w:rsid w:val="00D00151"/>
    <w:rsid w:val="00D004D6"/>
    <w:rsid w:val="00D00846"/>
    <w:rsid w:val="00D0114F"/>
    <w:rsid w:val="00D01F0F"/>
    <w:rsid w:val="00D01F5B"/>
    <w:rsid w:val="00D03071"/>
    <w:rsid w:val="00D03532"/>
    <w:rsid w:val="00D037CA"/>
    <w:rsid w:val="00D04454"/>
    <w:rsid w:val="00D04671"/>
    <w:rsid w:val="00D0476B"/>
    <w:rsid w:val="00D0551A"/>
    <w:rsid w:val="00D0582E"/>
    <w:rsid w:val="00D0672C"/>
    <w:rsid w:val="00D06E2E"/>
    <w:rsid w:val="00D06FC8"/>
    <w:rsid w:val="00D0702F"/>
    <w:rsid w:val="00D07197"/>
    <w:rsid w:val="00D073B6"/>
    <w:rsid w:val="00D07571"/>
    <w:rsid w:val="00D075AB"/>
    <w:rsid w:val="00D07F54"/>
    <w:rsid w:val="00D105F7"/>
    <w:rsid w:val="00D1068B"/>
    <w:rsid w:val="00D108DF"/>
    <w:rsid w:val="00D10B02"/>
    <w:rsid w:val="00D10DB8"/>
    <w:rsid w:val="00D1119D"/>
    <w:rsid w:val="00D11F5E"/>
    <w:rsid w:val="00D12C69"/>
    <w:rsid w:val="00D133B7"/>
    <w:rsid w:val="00D13415"/>
    <w:rsid w:val="00D136BF"/>
    <w:rsid w:val="00D13968"/>
    <w:rsid w:val="00D13BA6"/>
    <w:rsid w:val="00D13E7B"/>
    <w:rsid w:val="00D14552"/>
    <w:rsid w:val="00D14B35"/>
    <w:rsid w:val="00D14BE3"/>
    <w:rsid w:val="00D14FEA"/>
    <w:rsid w:val="00D167C6"/>
    <w:rsid w:val="00D170CD"/>
    <w:rsid w:val="00D17340"/>
    <w:rsid w:val="00D17A02"/>
    <w:rsid w:val="00D20085"/>
    <w:rsid w:val="00D201A6"/>
    <w:rsid w:val="00D20354"/>
    <w:rsid w:val="00D206F4"/>
    <w:rsid w:val="00D2070D"/>
    <w:rsid w:val="00D20826"/>
    <w:rsid w:val="00D20C0D"/>
    <w:rsid w:val="00D20F83"/>
    <w:rsid w:val="00D210A0"/>
    <w:rsid w:val="00D2183C"/>
    <w:rsid w:val="00D21AF1"/>
    <w:rsid w:val="00D21C10"/>
    <w:rsid w:val="00D21F4B"/>
    <w:rsid w:val="00D2226E"/>
    <w:rsid w:val="00D22664"/>
    <w:rsid w:val="00D22EC0"/>
    <w:rsid w:val="00D233D1"/>
    <w:rsid w:val="00D23AAB"/>
    <w:rsid w:val="00D24532"/>
    <w:rsid w:val="00D24623"/>
    <w:rsid w:val="00D24BE6"/>
    <w:rsid w:val="00D24E01"/>
    <w:rsid w:val="00D24E91"/>
    <w:rsid w:val="00D254D4"/>
    <w:rsid w:val="00D259D4"/>
    <w:rsid w:val="00D25A55"/>
    <w:rsid w:val="00D26445"/>
    <w:rsid w:val="00D26A09"/>
    <w:rsid w:val="00D26E48"/>
    <w:rsid w:val="00D270CD"/>
    <w:rsid w:val="00D274A2"/>
    <w:rsid w:val="00D3028D"/>
    <w:rsid w:val="00D302B7"/>
    <w:rsid w:val="00D30DE9"/>
    <w:rsid w:val="00D3172A"/>
    <w:rsid w:val="00D31C8D"/>
    <w:rsid w:val="00D32243"/>
    <w:rsid w:val="00D3229D"/>
    <w:rsid w:val="00D324C7"/>
    <w:rsid w:val="00D327A0"/>
    <w:rsid w:val="00D328F0"/>
    <w:rsid w:val="00D32C83"/>
    <w:rsid w:val="00D34251"/>
    <w:rsid w:val="00D34461"/>
    <w:rsid w:val="00D345E8"/>
    <w:rsid w:val="00D34A03"/>
    <w:rsid w:val="00D35043"/>
    <w:rsid w:val="00D354D4"/>
    <w:rsid w:val="00D355E1"/>
    <w:rsid w:val="00D356B5"/>
    <w:rsid w:val="00D36036"/>
    <w:rsid w:val="00D36BFF"/>
    <w:rsid w:val="00D37227"/>
    <w:rsid w:val="00D40093"/>
    <w:rsid w:val="00D4015C"/>
    <w:rsid w:val="00D4042F"/>
    <w:rsid w:val="00D40E95"/>
    <w:rsid w:val="00D413B3"/>
    <w:rsid w:val="00D41B8A"/>
    <w:rsid w:val="00D42960"/>
    <w:rsid w:val="00D42B4C"/>
    <w:rsid w:val="00D42DAD"/>
    <w:rsid w:val="00D43ED9"/>
    <w:rsid w:val="00D441AD"/>
    <w:rsid w:val="00D442A1"/>
    <w:rsid w:val="00D466D8"/>
    <w:rsid w:val="00D467A3"/>
    <w:rsid w:val="00D46CE9"/>
    <w:rsid w:val="00D470C3"/>
    <w:rsid w:val="00D473AB"/>
    <w:rsid w:val="00D47F04"/>
    <w:rsid w:val="00D50A78"/>
    <w:rsid w:val="00D51E3E"/>
    <w:rsid w:val="00D51F0D"/>
    <w:rsid w:val="00D52C72"/>
    <w:rsid w:val="00D52DFD"/>
    <w:rsid w:val="00D53292"/>
    <w:rsid w:val="00D533FB"/>
    <w:rsid w:val="00D53794"/>
    <w:rsid w:val="00D537ED"/>
    <w:rsid w:val="00D5388D"/>
    <w:rsid w:val="00D53A95"/>
    <w:rsid w:val="00D53F11"/>
    <w:rsid w:val="00D5508C"/>
    <w:rsid w:val="00D55894"/>
    <w:rsid w:val="00D56323"/>
    <w:rsid w:val="00D565ED"/>
    <w:rsid w:val="00D565FE"/>
    <w:rsid w:val="00D569DD"/>
    <w:rsid w:val="00D56BE9"/>
    <w:rsid w:val="00D57184"/>
    <w:rsid w:val="00D57DDC"/>
    <w:rsid w:val="00D614A4"/>
    <w:rsid w:val="00D614B1"/>
    <w:rsid w:val="00D61857"/>
    <w:rsid w:val="00D62B16"/>
    <w:rsid w:val="00D62BBC"/>
    <w:rsid w:val="00D62C57"/>
    <w:rsid w:val="00D62C60"/>
    <w:rsid w:val="00D63282"/>
    <w:rsid w:val="00D63B5A"/>
    <w:rsid w:val="00D63BD0"/>
    <w:rsid w:val="00D63C7A"/>
    <w:rsid w:val="00D63DA5"/>
    <w:rsid w:val="00D647A0"/>
    <w:rsid w:val="00D64BAF"/>
    <w:rsid w:val="00D64D3C"/>
    <w:rsid w:val="00D6511F"/>
    <w:rsid w:val="00D65C67"/>
    <w:rsid w:val="00D66617"/>
    <w:rsid w:val="00D66D9F"/>
    <w:rsid w:val="00D671D1"/>
    <w:rsid w:val="00D67388"/>
    <w:rsid w:val="00D67BDA"/>
    <w:rsid w:val="00D71394"/>
    <w:rsid w:val="00D7142D"/>
    <w:rsid w:val="00D71823"/>
    <w:rsid w:val="00D71B93"/>
    <w:rsid w:val="00D71E17"/>
    <w:rsid w:val="00D722C5"/>
    <w:rsid w:val="00D724C4"/>
    <w:rsid w:val="00D72A9C"/>
    <w:rsid w:val="00D7390C"/>
    <w:rsid w:val="00D73AA0"/>
    <w:rsid w:val="00D73D07"/>
    <w:rsid w:val="00D73E14"/>
    <w:rsid w:val="00D73F50"/>
    <w:rsid w:val="00D746E3"/>
    <w:rsid w:val="00D74888"/>
    <w:rsid w:val="00D74CB3"/>
    <w:rsid w:val="00D7583A"/>
    <w:rsid w:val="00D75A81"/>
    <w:rsid w:val="00D75E00"/>
    <w:rsid w:val="00D75E5C"/>
    <w:rsid w:val="00D766FB"/>
    <w:rsid w:val="00D76EEE"/>
    <w:rsid w:val="00D77659"/>
    <w:rsid w:val="00D800A0"/>
    <w:rsid w:val="00D80CF3"/>
    <w:rsid w:val="00D80D1F"/>
    <w:rsid w:val="00D80EB2"/>
    <w:rsid w:val="00D80EE8"/>
    <w:rsid w:val="00D81164"/>
    <w:rsid w:val="00D81E27"/>
    <w:rsid w:val="00D81F85"/>
    <w:rsid w:val="00D8306E"/>
    <w:rsid w:val="00D831A3"/>
    <w:rsid w:val="00D83231"/>
    <w:rsid w:val="00D83353"/>
    <w:rsid w:val="00D8351C"/>
    <w:rsid w:val="00D83998"/>
    <w:rsid w:val="00D84C81"/>
    <w:rsid w:val="00D84F4C"/>
    <w:rsid w:val="00D84F78"/>
    <w:rsid w:val="00D8502D"/>
    <w:rsid w:val="00D8558C"/>
    <w:rsid w:val="00D85ACA"/>
    <w:rsid w:val="00D867A0"/>
    <w:rsid w:val="00D867CD"/>
    <w:rsid w:val="00D8782E"/>
    <w:rsid w:val="00D878F6"/>
    <w:rsid w:val="00D87D55"/>
    <w:rsid w:val="00D90690"/>
    <w:rsid w:val="00D907E5"/>
    <w:rsid w:val="00D9097C"/>
    <w:rsid w:val="00D90AF9"/>
    <w:rsid w:val="00D91091"/>
    <w:rsid w:val="00D91272"/>
    <w:rsid w:val="00D912F9"/>
    <w:rsid w:val="00D92A9F"/>
    <w:rsid w:val="00D933FF"/>
    <w:rsid w:val="00D9453B"/>
    <w:rsid w:val="00D94C1C"/>
    <w:rsid w:val="00D94E0F"/>
    <w:rsid w:val="00D94ED2"/>
    <w:rsid w:val="00D955DE"/>
    <w:rsid w:val="00D95645"/>
    <w:rsid w:val="00D95AA8"/>
    <w:rsid w:val="00D965D3"/>
    <w:rsid w:val="00D96CBD"/>
    <w:rsid w:val="00D96CC6"/>
    <w:rsid w:val="00D96E2B"/>
    <w:rsid w:val="00D97A58"/>
    <w:rsid w:val="00D97ABA"/>
    <w:rsid w:val="00D97BE4"/>
    <w:rsid w:val="00DA05E3"/>
    <w:rsid w:val="00DA0DB0"/>
    <w:rsid w:val="00DA11CC"/>
    <w:rsid w:val="00DA1382"/>
    <w:rsid w:val="00DA13EB"/>
    <w:rsid w:val="00DA1E95"/>
    <w:rsid w:val="00DA2419"/>
    <w:rsid w:val="00DA2630"/>
    <w:rsid w:val="00DA2CAC"/>
    <w:rsid w:val="00DA31AF"/>
    <w:rsid w:val="00DA3412"/>
    <w:rsid w:val="00DA39BE"/>
    <w:rsid w:val="00DA5C2A"/>
    <w:rsid w:val="00DA5D43"/>
    <w:rsid w:val="00DA6546"/>
    <w:rsid w:val="00DA6ABD"/>
    <w:rsid w:val="00DA6CB1"/>
    <w:rsid w:val="00DA6D47"/>
    <w:rsid w:val="00DA7457"/>
    <w:rsid w:val="00DA77F4"/>
    <w:rsid w:val="00DA7946"/>
    <w:rsid w:val="00DA7AF3"/>
    <w:rsid w:val="00DB05C4"/>
    <w:rsid w:val="00DB0871"/>
    <w:rsid w:val="00DB102C"/>
    <w:rsid w:val="00DB13FE"/>
    <w:rsid w:val="00DB2B81"/>
    <w:rsid w:val="00DB30A8"/>
    <w:rsid w:val="00DB427A"/>
    <w:rsid w:val="00DB4C61"/>
    <w:rsid w:val="00DB4F05"/>
    <w:rsid w:val="00DB50B6"/>
    <w:rsid w:val="00DB5543"/>
    <w:rsid w:val="00DB56D4"/>
    <w:rsid w:val="00DB57E7"/>
    <w:rsid w:val="00DB5A75"/>
    <w:rsid w:val="00DB64CD"/>
    <w:rsid w:val="00DB6602"/>
    <w:rsid w:val="00DB662A"/>
    <w:rsid w:val="00DB6B75"/>
    <w:rsid w:val="00DB70C1"/>
    <w:rsid w:val="00DB73DC"/>
    <w:rsid w:val="00DB75CF"/>
    <w:rsid w:val="00DB7612"/>
    <w:rsid w:val="00DC023C"/>
    <w:rsid w:val="00DC0771"/>
    <w:rsid w:val="00DC0A6B"/>
    <w:rsid w:val="00DC1439"/>
    <w:rsid w:val="00DC1468"/>
    <w:rsid w:val="00DC18ED"/>
    <w:rsid w:val="00DC1919"/>
    <w:rsid w:val="00DC1C02"/>
    <w:rsid w:val="00DC1DF0"/>
    <w:rsid w:val="00DC223A"/>
    <w:rsid w:val="00DC228A"/>
    <w:rsid w:val="00DC2832"/>
    <w:rsid w:val="00DC29F6"/>
    <w:rsid w:val="00DC2F87"/>
    <w:rsid w:val="00DC35AF"/>
    <w:rsid w:val="00DC3BE5"/>
    <w:rsid w:val="00DC4EC5"/>
    <w:rsid w:val="00DC66F1"/>
    <w:rsid w:val="00DC6754"/>
    <w:rsid w:val="00DC682E"/>
    <w:rsid w:val="00DC68CB"/>
    <w:rsid w:val="00DC69B6"/>
    <w:rsid w:val="00DC76F9"/>
    <w:rsid w:val="00DC7956"/>
    <w:rsid w:val="00DC7D13"/>
    <w:rsid w:val="00DD0001"/>
    <w:rsid w:val="00DD0E2C"/>
    <w:rsid w:val="00DD1BDC"/>
    <w:rsid w:val="00DD25C9"/>
    <w:rsid w:val="00DD26A4"/>
    <w:rsid w:val="00DD2F6D"/>
    <w:rsid w:val="00DD3465"/>
    <w:rsid w:val="00DD4169"/>
    <w:rsid w:val="00DD4228"/>
    <w:rsid w:val="00DD446C"/>
    <w:rsid w:val="00DD4A59"/>
    <w:rsid w:val="00DD4DA9"/>
    <w:rsid w:val="00DD526D"/>
    <w:rsid w:val="00DD5C35"/>
    <w:rsid w:val="00DD5D76"/>
    <w:rsid w:val="00DD693A"/>
    <w:rsid w:val="00DD69D7"/>
    <w:rsid w:val="00DD6E24"/>
    <w:rsid w:val="00DD70DA"/>
    <w:rsid w:val="00DD75CF"/>
    <w:rsid w:val="00DD78CA"/>
    <w:rsid w:val="00DD7F8B"/>
    <w:rsid w:val="00DE0036"/>
    <w:rsid w:val="00DE0472"/>
    <w:rsid w:val="00DE07B3"/>
    <w:rsid w:val="00DE126A"/>
    <w:rsid w:val="00DE1504"/>
    <w:rsid w:val="00DE1AB8"/>
    <w:rsid w:val="00DE1B14"/>
    <w:rsid w:val="00DE1BD9"/>
    <w:rsid w:val="00DE2538"/>
    <w:rsid w:val="00DE26C1"/>
    <w:rsid w:val="00DE2CC1"/>
    <w:rsid w:val="00DE2E2A"/>
    <w:rsid w:val="00DE2F03"/>
    <w:rsid w:val="00DE3190"/>
    <w:rsid w:val="00DE3F08"/>
    <w:rsid w:val="00DE43B3"/>
    <w:rsid w:val="00DE4641"/>
    <w:rsid w:val="00DE4914"/>
    <w:rsid w:val="00DE4F52"/>
    <w:rsid w:val="00DE5846"/>
    <w:rsid w:val="00DE5BE2"/>
    <w:rsid w:val="00DE6B0E"/>
    <w:rsid w:val="00DE76B6"/>
    <w:rsid w:val="00DE78D7"/>
    <w:rsid w:val="00DE7902"/>
    <w:rsid w:val="00DE7B87"/>
    <w:rsid w:val="00DF06CC"/>
    <w:rsid w:val="00DF07BA"/>
    <w:rsid w:val="00DF144C"/>
    <w:rsid w:val="00DF18FA"/>
    <w:rsid w:val="00DF1DFC"/>
    <w:rsid w:val="00DF20D1"/>
    <w:rsid w:val="00DF22AD"/>
    <w:rsid w:val="00DF3342"/>
    <w:rsid w:val="00DF3CE0"/>
    <w:rsid w:val="00DF3F9B"/>
    <w:rsid w:val="00DF4091"/>
    <w:rsid w:val="00DF4C6B"/>
    <w:rsid w:val="00DF5104"/>
    <w:rsid w:val="00DF675D"/>
    <w:rsid w:val="00DF67F4"/>
    <w:rsid w:val="00DF739C"/>
    <w:rsid w:val="00DF7767"/>
    <w:rsid w:val="00DF7BE2"/>
    <w:rsid w:val="00DF7C5F"/>
    <w:rsid w:val="00E00078"/>
    <w:rsid w:val="00E000C4"/>
    <w:rsid w:val="00E004A2"/>
    <w:rsid w:val="00E007FF"/>
    <w:rsid w:val="00E01019"/>
    <w:rsid w:val="00E012A5"/>
    <w:rsid w:val="00E013AC"/>
    <w:rsid w:val="00E017D8"/>
    <w:rsid w:val="00E01B49"/>
    <w:rsid w:val="00E01D08"/>
    <w:rsid w:val="00E0205C"/>
    <w:rsid w:val="00E02352"/>
    <w:rsid w:val="00E02FAE"/>
    <w:rsid w:val="00E03BC4"/>
    <w:rsid w:val="00E03CFE"/>
    <w:rsid w:val="00E03D63"/>
    <w:rsid w:val="00E03DBB"/>
    <w:rsid w:val="00E04BE4"/>
    <w:rsid w:val="00E04CC7"/>
    <w:rsid w:val="00E0504E"/>
    <w:rsid w:val="00E05D27"/>
    <w:rsid w:val="00E05DB8"/>
    <w:rsid w:val="00E05E5A"/>
    <w:rsid w:val="00E0681A"/>
    <w:rsid w:val="00E06D99"/>
    <w:rsid w:val="00E06F73"/>
    <w:rsid w:val="00E07529"/>
    <w:rsid w:val="00E075C0"/>
    <w:rsid w:val="00E07994"/>
    <w:rsid w:val="00E07B10"/>
    <w:rsid w:val="00E07DBD"/>
    <w:rsid w:val="00E07FC9"/>
    <w:rsid w:val="00E10547"/>
    <w:rsid w:val="00E1066E"/>
    <w:rsid w:val="00E1158E"/>
    <w:rsid w:val="00E123CC"/>
    <w:rsid w:val="00E1253F"/>
    <w:rsid w:val="00E13E09"/>
    <w:rsid w:val="00E14FC9"/>
    <w:rsid w:val="00E1530F"/>
    <w:rsid w:val="00E15864"/>
    <w:rsid w:val="00E158B1"/>
    <w:rsid w:val="00E16215"/>
    <w:rsid w:val="00E16385"/>
    <w:rsid w:val="00E163AC"/>
    <w:rsid w:val="00E165A0"/>
    <w:rsid w:val="00E16734"/>
    <w:rsid w:val="00E1691D"/>
    <w:rsid w:val="00E16ACA"/>
    <w:rsid w:val="00E16B1E"/>
    <w:rsid w:val="00E16F6E"/>
    <w:rsid w:val="00E17CFB"/>
    <w:rsid w:val="00E2060A"/>
    <w:rsid w:val="00E2064F"/>
    <w:rsid w:val="00E214DA"/>
    <w:rsid w:val="00E22762"/>
    <w:rsid w:val="00E233F1"/>
    <w:rsid w:val="00E23B8D"/>
    <w:rsid w:val="00E23BA8"/>
    <w:rsid w:val="00E23C76"/>
    <w:rsid w:val="00E246FC"/>
    <w:rsid w:val="00E255B4"/>
    <w:rsid w:val="00E258CC"/>
    <w:rsid w:val="00E25E63"/>
    <w:rsid w:val="00E26644"/>
    <w:rsid w:val="00E268ED"/>
    <w:rsid w:val="00E26E42"/>
    <w:rsid w:val="00E27541"/>
    <w:rsid w:val="00E3006F"/>
    <w:rsid w:val="00E30EFD"/>
    <w:rsid w:val="00E32367"/>
    <w:rsid w:val="00E324D5"/>
    <w:rsid w:val="00E32788"/>
    <w:rsid w:val="00E329FD"/>
    <w:rsid w:val="00E3324A"/>
    <w:rsid w:val="00E33387"/>
    <w:rsid w:val="00E3358A"/>
    <w:rsid w:val="00E337DA"/>
    <w:rsid w:val="00E34661"/>
    <w:rsid w:val="00E349C1"/>
    <w:rsid w:val="00E34B83"/>
    <w:rsid w:val="00E34D71"/>
    <w:rsid w:val="00E3532B"/>
    <w:rsid w:val="00E3578F"/>
    <w:rsid w:val="00E35C7D"/>
    <w:rsid w:val="00E35D2D"/>
    <w:rsid w:val="00E35E67"/>
    <w:rsid w:val="00E36393"/>
    <w:rsid w:val="00E36662"/>
    <w:rsid w:val="00E36755"/>
    <w:rsid w:val="00E36B62"/>
    <w:rsid w:val="00E36C8B"/>
    <w:rsid w:val="00E36FD8"/>
    <w:rsid w:val="00E37233"/>
    <w:rsid w:val="00E378F3"/>
    <w:rsid w:val="00E37D4D"/>
    <w:rsid w:val="00E4000F"/>
    <w:rsid w:val="00E401CE"/>
    <w:rsid w:val="00E40368"/>
    <w:rsid w:val="00E40460"/>
    <w:rsid w:val="00E40BE7"/>
    <w:rsid w:val="00E40EB6"/>
    <w:rsid w:val="00E41E99"/>
    <w:rsid w:val="00E42128"/>
    <w:rsid w:val="00E4263B"/>
    <w:rsid w:val="00E42DA4"/>
    <w:rsid w:val="00E42F6B"/>
    <w:rsid w:val="00E42FBF"/>
    <w:rsid w:val="00E43084"/>
    <w:rsid w:val="00E43F86"/>
    <w:rsid w:val="00E44673"/>
    <w:rsid w:val="00E447FC"/>
    <w:rsid w:val="00E44CF8"/>
    <w:rsid w:val="00E44DAD"/>
    <w:rsid w:val="00E451F1"/>
    <w:rsid w:val="00E45340"/>
    <w:rsid w:val="00E45E16"/>
    <w:rsid w:val="00E4648E"/>
    <w:rsid w:val="00E46B62"/>
    <w:rsid w:val="00E46C79"/>
    <w:rsid w:val="00E46C7C"/>
    <w:rsid w:val="00E47275"/>
    <w:rsid w:val="00E47582"/>
    <w:rsid w:val="00E500BD"/>
    <w:rsid w:val="00E51157"/>
    <w:rsid w:val="00E51AE9"/>
    <w:rsid w:val="00E51E7E"/>
    <w:rsid w:val="00E52C58"/>
    <w:rsid w:val="00E54821"/>
    <w:rsid w:val="00E548E5"/>
    <w:rsid w:val="00E54A1F"/>
    <w:rsid w:val="00E54CFC"/>
    <w:rsid w:val="00E55103"/>
    <w:rsid w:val="00E55F51"/>
    <w:rsid w:val="00E56519"/>
    <w:rsid w:val="00E56872"/>
    <w:rsid w:val="00E56B43"/>
    <w:rsid w:val="00E56ED5"/>
    <w:rsid w:val="00E5775E"/>
    <w:rsid w:val="00E57880"/>
    <w:rsid w:val="00E608CD"/>
    <w:rsid w:val="00E60D87"/>
    <w:rsid w:val="00E61757"/>
    <w:rsid w:val="00E61E07"/>
    <w:rsid w:val="00E6265F"/>
    <w:rsid w:val="00E626F4"/>
    <w:rsid w:val="00E62752"/>
    <w:rsid w:val="00E62A7B"/>
    <w:rsid w:val="00E62BB9"/>
    <w:rsid w:val="00E62F2F"/>
    <w:rsid w:val="00E6310D"/>
    <w:rsid w:val="00E63970"/>
    <w:rsid w:val="00E63998"/>
    <w:rsid w:val="00E639EF"/>
    <w:rsid w:val="00E63AA9"/>
    <w:rsid w:val="00E63F5D"/>
    <w:rsid w:val="00E63FF4"/>
    <w:rsid w:val="00E64B5B"/>
    <w:rsid w:val="00E6514B"/>
    <w:rsid w:val="00E65844"/>
    <w:rsid w:val="00E65A47"/>
    <w:rsid w:val="00E6644F"/>
    <w:rsid w:val="00E66CD0"/>
    <w:rsid w:val="00E6726C"/>
    <w:rsid w:val="00E67459"/>
    <w:rsid w:val="00E67A6D"/>
    <w:rsid w:val="00E67E9A"/>
    <w:rsid w:val="00E67F81"/>
    <w:rsid w:val="00E702AE"/>
    <w:rsid w:val="00E70380"/>
    <w:rsid w:val="00E70443"/>
    <w:rsid w:val="00E705B9"/>
    <w:rsid w:val="00E70925"/>
    <w:rsid w:val="00E70DD5"/>
    <w:rsid w:val="00E71C91"/>
    <w:rsid w:val="00E72947"/>
    <w:rsid w:val="00E72BF3"/>
    <w:rsid w:val="00E72C5C"/>
    <w:rsid w:val="00E733C4"/>
    <w:rsid w:val="00E735DF"/>
    <w:rsid w:val="00E73A4A"/>
    <w:rsid w:val="00E73D2E"/>
    <w:rsid w:val="00E7445A"/>
    <w:rsid w:val="00E74A37"/>
    <w:rsid w:val="00E74C93"/>
    <w:rsid w:val="00E7526C"/>
    <w:rsid w:val="00E754B4"/>
    <w:rsid w:val="00E75E07"/>
    <w:rsid w:val="00E76860"/>
    <w:rsid w:val="00E777E6"/>
    <w:rsid w:val="00E77A99"/>
    <w:rsid w:val="00E8049C"/>
    <w:rsid w:val="00E80787"/>
    <w:rsid w:val="00E81170"/>
    <w:rsid w:val="00E814B6"/>
    <w:rsid w:val="00E81EB3"/>
    <w:rsid w:val="00E83125"/>
    <w:rsid w:val="00E83DB4"/>
    <w:rsid w:val="00E8411A"/>
    <w:rsid w:val="00E85209"/>
    <w:rsid w:val="00E85F9A"/>
    <w:rsid w:val="00E860E1"/>
    <w:rsid w:val="00E86183"/>
    <w:rsid w:val="00E86270"/>
    <w:rsid w:val="00E86480"/>
    <w:rsid w:val="00E866A6"/>
    <w:rsid w:val="00E8679D"/>
    <w:rsid w:val="00E87079"/>
    <w:rsid w:val="00E8733B"/>
    <w:rsid w:val="00E87D59"/>
    <w:rsid w:val="00E90558"/>
    <w:rsid w:val="00E908D3"/>
    <w:rsid w:val="00E91110"/>
    <w:rsid w:val="00E914C0"/>
    <w:rsid w:val="00E916ED"/>
    <w:rsid w:val="00E91D25"/>
    <w:rsid w:val="00E921C5"/>
    <w:rsid w:val="00E922E8"/>
    <w:rsid w:val="00E92712"/>
    <w:rsid w:val="00E932FE"/>
    <w:rsid w:val="00E93852"/>
    <w:rsid w:val="00E94262"/>
    <w:rsid w:val="00E94D5A"/>
    <w:rsid w:val="00E95789"/>
    <w:rsid w:val="00E966FB"/>
    <w:rsid w:val="00E96CC1"/>
    <w:rsid w:val="00E96FB0"/>
    <w:rsid w:val="00E97027"/>
    <w:rsid w:val="00E9705C"/>
    <w:rsid w:val="00E9735A"/>
    <w:rsid w:val="00E9764F"/>
    <w:rsid w:val="00E97D1C"/>
    <w:rsid w:val="00EA02AF"/>
    <w:rsid w:val="00EA0397"/>
    <w:rsid w:val="00EA0570"/>
    <w:rsid w:val="00EA102B"/>
    <w:rsid w:val="00EA1074"/>
    <w:rsid w:val="00EA157A"/>
    <w:rsid w:val="00EA1664"/>
    <w:rsid w:val="00EA1D10"/>
    <w:rsid w:val="00EA1FB9"/>
    <w:rsid w:val="00EA33E4"/>
    <w:rsid w:val="00EA3C30"/>
    <w:rsid w:val="00EA3E2D"/>
    <w:rsid w:val="00EA4112"/>
    <w:rsid w:val="00EA4248"/>
    <w:rsid w:val="00EA462A"/>
    <w:rsid w:val="00EA46F1"/>
    <w:rsid w:val="00EA4BCC"/>
    <w:rsid w:val="00EA584E"/>
    <w:rsid w:val="00EA5DF8"/>
    <w:rsid w:val="00EA5F44"/>
    <w:rsid w:val="00EA6408"/>
    <w:rsid w:val="00EA680D"/>
    <w:rsid w:val="00EA6ADD"/>
    <w:rsid w:val="00EA7005"/>
    <w:rsid w:val="00EA78FC"/>
    <w:rsid w:val="00EA7975"/>
    <w:rsid w:val="00EB0681"/>
    <w:rsid w:val="00EB0A6A"/>
    <w:rsid w:val="00EB22B2"/>
    <w:rsid w:val="00EB2F42"/>
    <w:rsid w:val="00EB331B"/>
    <w:rsid w:val="00EB343E"/>
    <w:rsid w:val="00EB350A"/>
    <w:rsid w:val="00EB35C4"/>
    <w:rsid w:val="00EB3779"/>
    <w:rsid w:val="00EB3A7C"/>
    <w:rsid w:val="00EB4118"/>
    <w:rsid w:val="00EB418D"/>
    <w:rsid w:val="00EB4684"/>
    <w:rsid w:val="00EB4BE9"/>
    <w:rsid w:val="00EB52DF"/>
    <w:rsid w:val="00EB5A34"/>
    <w:rsid w:val="00EB68C3"/>
    <w:rsid w:val="00EB690F"/>
    <w:rsid w:val="00EB6B55"/>
    <w:rsid w:val="00EB6BFA"/>
    <w:rsid w:val="00EB6EE3"/>
    <w:rsid w:val="00EB705F"/>
    <w:rsid w:val="00EB71A5"/>
    <w:rsid w:val="00EB74ED"/>
    <w:rsid w:val="00EB75FB"/>
    <w:rsid w:val="00EB78C5"/>
    <w:rsid w:val="00EC0033"/>
    <w:rsid w:val="00EC1157"/>
    <w:rsid w:val="00EC1CB6"/>
    <w:rsid w:val="00EC229D"/>
    <w:rsid w:val="00EC27F1"/>
    <w:rsid w:val="00EC3285"/>
    <w:rsid w:val="00EC399E"/>
    <w:rsid w:val="00EC3E5F"/>
    <w:rsid w:val="00EC40CC"/>
    <w:rsid w:val="00EC41D1"/>
    <w:rsid w:val="00EC46AC"/>
    <w:rsid w:val="00EC4C74"/>
    <w:rsid w:val="00EC4E6B"/>
    <w:rsid w:val="00EC587C"/>
    <w:rsid w:val="00EC5ABC"/>
    <w:rsid w:val="00EC6C27"/>
    <w:rsid w:val="00EC6FEE"/>
    <w:rsid w:val="00EC7934"/>
    <w:rsid w:val="00ED0D2F"/>
    <w:rsid w:val="00ED13E4"/>
    <w:rsid w:val="00ED1DF1"/>
    <w:rsid w:val="00ED22C5"/>
    <w:rsid w:val="00ED2710"/>
    <w:rsid w:val="00ED2720"/>
    <w:rsid w:val="00ED2772"/>
    <w:rsid w:val="00ED3F81"/>
    <w:rsid w:val="00ED43C9"/>
    <w:rsid w:val="00ED464A"/>
    <w:rsid w:val="00ED476F"/>
    <w:rsid w:val="00ED47AD"/>
    <w:rsid w:val="00ED4B5E"/>
    <w:rsid w:val="00ED4E2E"/>
    <w:rsid w:val="00ED4E6C"/>
    <w:rsid w:val="00ED50DD"/>
    <w:rsid w:val="00ED5301"/>
    <w:rsid w:val="00ED5398"/>
    <w:rsid w:val="00ED660A"/>
    <w:rsid w:val="00ED6A47"/>
    <w:rsid w:val="00ED6C1F"/>
    <w:rsid w:val="00ED70BE"/>
    <w:rsid w:val="00ED7863"/>
    <w:rsid w:val="00ED7C3E"/>
    <w:rsid w:val="00ED7D11"/>
    <w:rsid w:val="00ED7F10"/>
    <w:rsid w:val="00EE1032"/>
    <w:rsid w:val="00EE14F8"/>
    <w:rsid w:val="00EE1764"/>
    <w:rsid w:val="00EE19FE"/>
    <w:rsid w:val="00EE258E"/>
    <w:rsid w:val="00EE27B1"/>
    <w:rsid w:val="00EE27E9"/>
    <w:rsid w:val="00EE2BA6"/>
    <w:rsid w:val="00EE2EDE"/>
    <w:rsid w:val="00EE38B1"/>
    <w:rsid w:val="00EE3DFE"/>
    <w:rsid w:val="00EE4322"/>
    <w:rsid w:val="00EE4EC9"/>
    <w:rsid w:val="00EE53C1"/>
    <w:rsid w:val="00EE5F93"/>
    <w:rsid w:val="00EE7081"/>
    <w:rsid w:val="00EE7A84"/>
    <w:rsid w:val="00EF0184"/>
    <w:rsid w:val="00EF0C88"/>
    <w:rsid w:val="00EF0EE8"/>
    <w:rsid w:val="00EF0F0B"/>
    <w:rsid w:val="00EF1486"/>
    <w:rsid w:val="00EF14A2"/>
    <w:rsid w:val="00EF18F3"/>
    <w:rsid w:val="00EF1D4B"/>
    <w:rsid w:val="00EF20E4"/>
    <w:rsid w:val="00EF2CAB"/>
    <w:rsid w:val="00EF2D7D"/>
    <w:rsid w:val="00EF33BC"/>
    <w:rsid w:val="00EF33F7"/>
    <w:rsid w:val="00EF37D8"/>
    <w:rsid w:val="00EF3D3E"/>
    <w:rsid w:val="00EF4266"/>
    <w:rsid w:val="00EF44B6"/>
    <w:rsid w:val="00EF5F16"/>
    <w:rsid w:val="00EF66C7"/>
    <w:rsid w:val="00EF6726"/>
    <w:rsid w:val="00EF704A"/>
    <w:rsid w:val="00F011D8"/>
    <w:rsid w:val="00F01231"/>
    <w:rsid w:val="00F01442"/>
    <w:rsid w:val="00F017C2"/>
    <w:rsid w:val="00F01896"/>
    <w:rsid w:val="00F02A2D"/>
    <w:rsid w:val="00F03557"/>
    <w:rsid w:val="00F0379D"/>
    <w:rsid w:val="00F052B2"/>
    <w:rsid w:val="00F0554F"/>
    <w:rsid w:val="00F05948"/>
    <w:rsid w:val="00F05AFA"/>
    <w:rsid w:val="00F05F2B"/>
    <w:rsid w:val="00F06E9C"/>
    <w:rsid w:val="00F07A44"/>
    <w:rsid w:val="00F07DBD"/>
    <w:rsid w:val="00F1008E"/>
    <w:rsid w:val="00F106A3"/>
    <w:rsid w:val="00F106CD"/>
    <w:rsid w:val="00F1085D"/>
    <w:rsid w:val="00F10A14"/>
    <w:rsid w:val="00F10D45"/>
    <w:rsid w:val="00F110E2"/>
    <w:rsid w:val="00F111E7"/>
    <w:rsid w:val="00F119E0"/>
    <w:rsid w:val="00F1246B"/>
    <w:rsid w:val="00F125AC"/>
    <w:rsid w:val="00F127A5"/>
    <w:rsid w:val="00F13205"/>
    <w:rsid w:val="00F13520"/>
    <w:rsid w:val="00F15090"/>
    <w:rsid w:val="00F150F2"/>
    <w:rsid w:val="00F1539A"/>
    <w:rsid w:val="00F15605"/>
    <w:rsid w:val="00F157AA"/>
    <w:rsid w:val="00F15A40"/>
    <w:rsid w:val="00F15B6A"/>
    <w:rsid w:val="00F15CA3"/>
    <w:rsid w:val="00F16563"/>
    <w:rsid w:val="00F16BBD"/>
    <w:rsid w:val="00F16FF9"/>
    <w:rsid w:val="00F173E8"/>
    <w:rsid w:val="00F17D98"/>
    <w:rsid w:val="00F17F99"/>
    <w:rsid w:val="00F200CC"/>
    <w:rsid w:val="00F20334"/>
    <w:rsid w:val="00F204F7"/>
    <w:rsid w:val="00F20ADA"/>
    <w:rsid w:val="00F216F3"/>
    <w:rsid w:val="00F21F31"/>
    <w:rsid w:val="00F21F43"/>
    <w:rsid w:val="00F22132"/>
    <w:rsid w:val="00F221C7"/>
    <w:rsid w:val="00F225D6"/>
    <w:rsid w:val="00F22ABF"/>
    <w:rsid w:val="00F243B6"/>
    <w:rsid w:val="00F24499"/>
    <w:rsid w:val="00F2497B"/>
    <w:rsid w:val="00F24E8B"/>
    <w:rsid w:val="00F24FFE"/>
    <w:rsid w:val="00F250CC"/>
    <w:rsid w:val="00F25483"/>
    <w:rsid w:val="00F254B1"/>
    <w:rsid w:val="00F25754"/>
    <w:rsid w:val="00F25F94"/>
    <w:rsid w:val="00F26735"/>
    <w:rsid w:val="00F26948"/>
    <w:rsid w:val="00F269D8"/>
    <w:rsid w:val="00F26CB0"/>
    <w:rsid w:val="00F27653"/>
    <w:rsid w:val="00F27A55"/>
    <w:rsid w:val="00F27B21"/>
    <w:rsid w:val="00F27BE4"/>
    <w:rsid w:val="00F27C03"/>
    <w:rsid w:val="00F27CD1"/>
    <w:rsid w:val="00F27FB8"/>
    <w:rsid w:val="00F305CC"/>
    <w:rsid w:val="00F3083C"/>
    <w:rsid w:val="00F31A36"/>
    <w:rsid w:val="00F325BC"/>
    <w:rsid w:val="00F32759"/>
    <w:rsid w:val="00F328E2"/>
    <w:rsid w:val="00F329CB"/>
    <w:rsid w:val="00F32AC0"/>
    <w:rsid w:val="00F32BA3"/>
    <w:rsid w:val="00F32F1D"/>
    <w:rsid w:val="00F32FB3"/>
    <w:rsid w:val="00F3351D"/>
    <w:rsid w:val="00F33719"/>
    <w:rsid w:val="00F33D9D"/>
    <w:rsid w:val="00F34140"/>
    <w:rsid w:val="00F34B20"/>
    <w:rsid w:val="00F34B2C"/>
    <w:rsid w:val="00F34D42"/>
    <w:rsid w:val="00F34FD9"/>
    <w:rsid w:val="00F354DA"/>
    <w:rsid w:val="00F35755"/>
    <w:rsid w:val="00F35D76"/>
    <w:rsid w:val="00F35E1F"/>
    <w:rsid w:val="00F3671E"/>
    <w:rsid w:val="00F373F2"/>
    <w:rsid w:val="00F3793B"/>
    <w:rsid w:val="00F37F60"/>
    <w:rsid w:val="00F40010"/>
    <w:rsid w:val="00F400B4"/>
    <w:rsid w:val="00F40654"/>
    <w:rsid w:val="00F41108"/>
    <w:rsid w:val="00F413CF"/>
    <w:rsid w:val="00F41DE4"/>
    <w:rsid w:val="00F42742"/>
    <w:rsid w:val="00F4284E"/>
    <w:rsid w:val="00F43B3A"/>
    <w:rsid w:val="00F43B8E"/>
    <w:rsid w:val="00F445E2"/>
    <w:rsid w:val="00F449F8"/>
    <w:rsid w:val="00F451FF"/>
    <w:rsid w:val="00F45A0B"/>
    <w:rsid w:val="00F45A0E"/>
    <w:rsid w:val="00F45D1B"/>
    <w:rsid w:val="00F45ED8"/>
    <w:rsid w:val="00F45FED"/>
    <w:rsid w:val="00F46CB5"/>
    <w:rsid w:val="00F47035"/>
    <w:rsid w:val="00F470F7"/>
    <w:rsid w:val="00F50303"/>
    <w:rsid w:val="00F50E58"/>
    <w:rsid w:val="00F50F04"/>
    <w:rsid w:val="00F510EF"/>
    <w:rsid w:val="00F517D2"/>
    <w:rsid w:val="00F51FB3"/>
    <w:rsid w:val="00F52CF6"/>
    <w:rsid w:val="00F52F8D"/>
    <w:rsid w:val="00F53108"/>
    <w:rsid w:val="00F5398D"/>
    <w:rsid w:val="00F54C2F"/>
    <w:rsid w:val="00F557A0"/>
    <w:rsid w:val="00F55DC9"/>
    <w:rsid w:val="00F55F63"/>
    <w:rsid w:val="00F562B2"/>
    <w:rsid w:val="00F56384"/>
    <w:rsid w:val="00F56468"/>
    <w:rsid w:val="00F5667A"/>
    <w:rsid w:val="00F56C24"/>
    <w:rsid w:val="00F5771C"/>
    <w:rsid w:val="00F57CFE"/>
    <w:rsid w:val="00F60133"/>
    <w:rsid w:val="00F60151"/>
    <w:rsid w:val="00F60160"/>
    <w:rsid w:val="00F601F8"/>
    <w:rsid w:val="00F60361"/>
    <w:rsid w:val="00F604C4"/>
    <w:rsid w:val="00F60A17"/>
    <w:rsid w:val="00F60F4F"/>
    <w:rsid w:val="00F614B3"/>
    <w:rsid w:val="00F61915"/>
    <w:rsid w:val="00F619A2"/>
    <w:rsid w:val="00F61A5C"/>
    <w:rsid w:val="00F626C0"/>
    <w:rsid w:val="00F627D3"/>
    <w:rsid w:val="00F62D90"/>
    <w:rsid w:val="00F63207"/>
    <w:rsid w:val="00F633C5"/>
    <w:rsid w:val="00F64B35"/>
    <w:rsid w:val="00F654E1"/>
    <w:rsid w:val="00F65EDC"/>
    <w:rsid w:val="00F664DE"/>
    <w:rsid w:val="00F66676"/>
    <w:rsid w:val="00F66A93"/>
    <w:rsid w:val="00F66E31"/>
    <w:rsid w:val="00F6707A"/>
    <w:rsid w:val="00F67903"/>
    <w:rsid w:val="00F67E56"/>
    <w:rsid w:val="00F67EC0"/>
    <w:rsid w:val="00F70751"/>
    <w:rsid w:val="00F70796"/>
    <w:rsid w:val="00F707CB"/>
    <w:rsid w:val="00F70AFD"/>
    <w:rsid w:val="00F70DB7"/>
    <w:rsid w:val="00F70F33"/>
    <w:rsid w:val="00F72109"/>
    <w:rsid w:val="00F73314"/>
    <w:rsid w:val="00F733FA"/>
    <w:rsid w:val="00F7396F"/>
    <w:rsid w:val="00F73A9A"/>
    <w:rsid w:val="00F73FD2"/>
    <w:rsid w:val="00F74086"/>
    <w:rsid w:val="00F74438"/>
    <w:rsid w:val="00F7518A"/>
    <w:rsid w:val="00F75289"/>
    <w:rsid w:val="00F7712C"/>
    <w:rsid w:val="00F77193"/>
    <w:rsid w:val="00F774C2"/>
    <w:rsid w:val="00F77947"/>
    <w:rsid w:val="00F779AB"/>
    <w:rsid w:val="00F800FE"/>
    <w:rsid w:val="00F805A9"/>
    <w:rsid w:val="00F80EB1"/>
    <w:rsid w:val="00F811FF"/>
    <w:rsid w:val="00F819E7"/>
    <w:rsid w:val="00F81BC3"/>
    <w:rsid w:val="00F82AE2"/>
    <w:rsid w:val="00F82AE4"/>
    <w:rsid w:val="00F82F87"/>
    <w:rsid w:val="00F82F8F"/>
    <w:rsid w:val="00F83943"/>
    <w:rsid w:val="00F846F0"/>
    <w:rsid w:val="00F84719"/>
    <w:rsid w:val="00F84D27"/>
    <w:rsid w:val="00F8525C"/>
    <w:rsid w:val="00F85506"/>
    <w:rsid w:val="00F85741"/>
    <w:rsid w:val="00F859BA"/>
    <w:rsid w:val="00F859EF"/>
    <w:rsid w:val="00F85B7B"/>
    <w:rsid w:val="00F85BC5"/>
    <w:rsid w:val="00F85DFB"/>
    <w:rsid w:val="00F865D5"/>
    <w:rsid w:val="00F8672C"/>
    <w:rsid w:val="00F86954"/>
    <w:rsid w:val="00F869BA"/>
    <w:rsid w:val="00F86E7B"/>
    <w:rsid w:val="00F87FC8"/>
    <w:rsid w:val="00F905B0"/>
    <w:rsid w:val="00F9146A"/>
    <w:rsid w:val="00F916B6"/>
    <w:rsid w:val="00F91D1C"/>
    <w:rsid w:val="00F924D4"/>
    <w:rsid w:val="00F92BBB"/>
    <w:rsid w:val="00F92DF5"/>
    <w:rsid w:val="00F9300D"/>
    <w:rsid w:val="00F9314E"/>
    <w:rsid w:val="00F93857"/>
    <w:rsid w:val="00F93B93"/>
    <w:rsid w:val="00F93C15"/>
    <w:rsid w:val="00F9400A"/>
    <w:rsid w:val="00F94297"/>
    <w:rsid w:val="00F94DFE"/>
    <w:rsid w:val="00F950A7"/>
    <w:rsid w:val="00F95799"/>
    <w:rsid w:val="00F95886"/>
    <w:rsid w:val="00F9598A"/>
    <w:rsid w:val="00F961F4"/>
    <w:rsid w:val="00F965D8"/>
    <w:rsid w:val="00F965E5"/>
    <w:rsid w:val="00F97B8A"/>
    <w:rsid w:val="00F97EFD"/>
    <w:rsid w:val="00FA05F6"/>
    <w:rsid w:val="00FA189B"/>
    <w:rsid w:val="00FA2113"/>
    <w:rsid w:val="00FA29A7"/>
    <w:rsid w:val="00FA2B78"/>
    <w:rsid w:val="00FA308A"/>
    <w:rsid w:val="00FA3191"/>
    <w:rsid w:val="00FA3588"/>
    <w:rsid w:val="00FA396D"/>
    <w:rsid w:val="00FA3B09"/>
    <w:rsid w:val="00FA3DF4"/>
    <w:rsid w:val="00FA3FD0"/>
    <w:rsid w:val="00FA43E1"/>
    <w:rsid w:val="00FA46ED"/>
    <w:rsid w:val="00FA4EC4"/>
    <w:rsid w:val="00FA5B5C"/>
    <w:rsid w:val="00FA5BD1"/>
    <w:rsid w:val="00FA5DD4"/>
    <w:rsid w:val="00FA5E8A"/>
    <w:rsid w:val="00FA60C8"/>
    <w:rsid w:val="00FA6195"/>
    <w:rsid w:val="00FA6263"/>
    <w:rsid w:val="00FA6916"/>
    <w:rsid w:val="00FA6AA3"/>
    <w:rsid w:val="00FA6F20"/>
    <w:rsid w:val="00FA7318"/>
    <w:rsid w:val="00FA7751"/>
    <w:rsid w:val="00FA7782"/>
    <w:rsid w:val="00FA77DF"/>
    <w:rsid w:val="00FA7ADF"/>
    <w:rsid w:val="00FA7DDD"/>
    <w:rsid w:val="00FB075B"/>
    <w:rsid w:val="00FB0C38"/>
    <w:rsid w:val="00FB1275"/>
    <w:rsid w:val="00FB16C7"/>
    <w:rsid w:val="00FB1795"/>
    <w:rsid w:val="00FB1A39"/>
    <w:rsid w:val="00FB1A52"/>
    <w:rsid w:val="00FB1BC4"/>
    <w:rsid w:val="00FB2333"/>
    <w:rsid w:val="00FB2C4E"/>
    <w:rsid w:val="00FB2FE3"/>
    <w:rsid w:val="00FB307C"/>
    <w:rsid w:val="00FB3412"/>
    <w:rsid w:val="00FB382F"/>
    <w:rsid w:val="00FB3F98"/>
    <w:rsid w:val="00FB477B"/>
    <w:rsid w:val="00FB4B8E"/>
    <w:rsid w:val="00FB586D"/>
    <w:rsid w:val="00FB5B83"/>
    <w:rsid w:val="00FB6330"/>
    <w:rsid w:val="00FB67E0"/>
    <w:rsid w:val="00FB778D"/>
    <w:rsid w:val="00FB7A15"/>
    <w:rsid w:val="00FC0026"/>
    <w:rsid w:val="00FC0103"/>
    <w:rsid w:val="00FC18ED"/>
    <w:rsid w:val="00FC23A8"/>
    <w:rsid w:val="00FC27E4"/>
    <w:rsid w:val="00FC27F7"/>
    <w:rsid w:val="00FC2B9B"/>
    <w:rsid w:val="00FC2E96"/>
    <w:rsid w:val="00FC2EE9"/>
    <w:rsid w:val="00FC2F47"/>
    <w:rsid w:val="00FC3038"/>
    <w:rsid w:val="00FC3541"/>
    <w:rsid w:val="00FC3C6F"/>
    <w:rsid w:val="00FC3D7E"/>
    <w:rsid w:val="00FC3F43"/>
    <w:rsid w:val="00FC41E0"/>
    <w:rsid w:val="00FC442D"/>
    <w:rsid w:val="00FC487D"/>
    <w:rsid w:val="00FC4ADC"/>
    <w:rsid w:val="00FC4E49"/>
    <w:rsid w:val="00FC4F91"/>
    <w:rsid w:val="00FC5263"/>
    <w:rsid w:val="00FC553E"/>
    <w:rsid w:val="00FC57E7"/>
    <w:rsid w:val="00FC60ED"/>
    <w:rsid w:val="00FC6562"/>
    <w:rsid w:val="00FC6740"/>
    <w:rsid w:val="00FC72CA"/>
    <w:rsid w:val="00FC78AD"/>
    <w:rsid w:val="00FC7ABF"/>
    <w:rsid w:val="00FC7CD5"/>
    <w:rsid w:val="00FC7E15"/>
    <w:rsid w:val="00FC7EEB"/>
    <w:rsid w:val="00FC7F77"/>
    <w:rsid w:val="00FD0586"/>
    <w:rsid w:val="00FD06DA"/>
    <w:rsid w:val="00FD0AA0"/>
    <w:rsid w:val="00FD0BDC"/>
    <w:rsid w:val="00FD0C6D"/>
    <w:rsid w:val="00FD1468"/>
    <w:rsid w:val="00FD1846"/>
    <w:rsid w:val="00FD1986"/>
    <w:rsid w:val="00FD1ACB"/>
    <w:rsid w:val="00FD1E0A"/>
    <w:rsid w:val="00FD2383"/>
    <w:rsid w:val="00FD238E"/>
    <w:rsid w:val="00FD2992"/>
    <w:rsid w:val="00FD2B7C"/>
    <w:rsid w:val="00FD2C9C"/>
    <w:rsid w:val="00FD2D8E"/>
    <w:rsid w:val="00FD2DB6"/>
    <w:rsid w:val="00FD33ED"/>
    <w:rsid w:val="00FD3F09"/>
    <w:rsid w:val="00FD4676"/>
    <w:rsid w:val="00FD4801"/>
    <w:rsid w:val="00FD4A5C"/>
    <w:rsid w:val="00FD4D69"/>
    <w:rsid w:val="00FD4FEF"/>
    <w:rsid w:val="00FD641B"/>
    <w:rsid w:val="00FD6714"/>
    <w:rsid w:val="00FD6D38"/>
    <w:rsid w:val="00FD720D"/>
    <w:rsid w:val="00FD7419"/>
    <w:rsid w:val="00FD74E7"/>
    <w:rsid w:val="00FD7679"/>
    <w:rsid w:val="00FD7AD2"/>
    <w:rsid w:val="00FD7E10"/>
    <w:rsid w:val="00FE0295"/>
    <w:rsid w:val="00FE04DF"/>
    <w:rsid w:val="00FE0912"/>
    <w:rsid w:val="00FE0B81"/>
    <w:rsid w:val="00FE176F"/>
    <w:rsid w:val="00FE21A3"/>
    <w:rsid w:val="00FE2AB5"/>
    <w:rsid w:val="00FE2D7C"/>
    <w:rsid w:val="00FE390C"/>
    <w:rsid w:val="00FE4A42"/>
    <w:rsid w:val="00FE4A6E"/>
    <w:rsid w:val="00FE4BB7"/>
    <w:rsid w:val="00FE4D1F"/>
    <w:rsid w:val="00FE5257"/>
    <w:rsid w:val="00FE5283"/>
    <w:rsid w:val="00FE5F31"/>
    <w:rsid w:val="00FE6939"/>
    <w:rsid w:val="00FE753A"/>
    <w:rsid w:val="00FE7CA3"/>
    <w:rsid w:val="00FF0417"/>
    <w:rsid w:val="00FF07B3"/>
    <w:rsid w:val="00FF0BED"/>
    <w:rsid w:val="00FF0CFF"/>
    <w:rsid w:val="00FF1118"/>
    <w:rsid w:val="00FF198A"/>
    <w:rsid w:val="00FF227A"/>
    <w:rsid w:val="00FF22A4"/>
    <w:rsid w:val="00FF230B"/>
    <w:rsid w:val="00FF252C"/>
    <w:rsid w:val="00FF2723"/>
    <w:rsid w:val="00FF2BDF"/>
    <w:rsid w:val="00FF3589"/>
    <w:rsid w:val="00FF409E"/>
    <w:rsid w:val="00FF4194"/>
    <w:rsid w:val="00FF45B2"/>
    <w:rsid w:val="00FF4685"/>
    <w:rsid w:val="00FF4721"/>
    <w:rsid w:val="00FF4908"/>
    <w:rsid w:val="00FF4A93"/>
    <w:rsid w:val="00FF4C0C"/>
    <w:rsid w:val="00FF51AF"/>
    <w:rsid w:val="00FF5F46"/>
    <w:rsid w:val="00FF6069"/>
    <w:rsid w:val="00FF6781"/>
    <w:rsid w:val="00FF6D6A"/>
    <w:rsid w:val="00FF6EDF"/>
    <w:rsid w:val="00FF7631"/>
    <w:rsid w:val="00FF7E96"/>
    <w:rsid w:val="011D55C9"/>
    <w:rsid w:val="01603B53"/>
    <w:rsid w:val="01770B09"/>
    <w:rsid w:val="018A58CB"/>
    <w:rsid w:val="019F27C9"/>
    <w:rsid w:val="01B16BAD"/>
    <w:rsid w:val="01BD35AB"/>
    <w:rsid w:val="01D507BB"/>
    <w:rsid w:val="01DD0149"/>
    <w:rsid w:val="01EB03FA"/>
    <w:rsid w:val="02095202"/>
    <w:rsid w:val="02231610"/>
    <w:rsid w:val="023215B6"/>
    <w:rsid w:val="02691984"/>
    <w:rsid w:val="02E02F3A"/>
    <w:rsid w:val="02ED1BE1"/>
    <w:rsid w:val="02F57297"/>
    <w:rsid w:val="030E74AD"/>
    <w:rsid w:val="031A4A2D"/>
    <w:rsid w:val="03250CC1"/>
    <w:rsid w:val="03250ECD"/>
    <w:rsid w:val="0332621A"/>
    <w:rsid w:val="03782B4D"/>
    <w:rsid w:val="0388024E"/>
    <w:rsid w:val="038B5F0E"/>
    <w:rsid w:val="03A87C32"/>
    <w:rsid w:val="03C113E9"/>
    <w:rsid w:val="03CD1A9F"/>
    <w:rsid w:val="03DB62AC"/>
    <w:rsid w:val="03E43D4E"/>
    <w:rsid w:val="04247911"/>
    <w:rsid w:val="04253689"/>
    <w:rsid w:val="04411C9E"/>
    <w:rsid w:val="04525A53"/>
    <w:rsid w:val="049030B9"/>
    <w:rsid w:val="04996F07"/>
    <w:rsid w:val="04A44EF6"/>
    <w:rsid w:val="04A722F0"/>
    <w:rsid w:val="04AC777E"/>
    <w:rsid w:val="04EF43C3"/>
    <w:rsid w:val="052878D5"/>
    <w:rsid w:val="053D07A7"/>
    <w:rsid w:val="056337C4"/>
    <w:rsid w:val="058B0568"/>
    <w:rsid w:val="05900FD6"/>
    <w:rsid w:val="05B9677F"/>
    <w:rsid w:val="05BF0AA9"/>
    <w:rsid w:val="05DB03DC"/>
    <w:rsid w:val="05F41565"/>
    <w:rsid w:val="05F67671"/>
    <w:rsid w:val="060774EA"/>
    <w:rsid w:val="0610294F"/>
    <w:rsid w:val="063A13BC"/>
    <w:rsid w:val="0648365F"/>
    <w:rsid w:val="065B3392"/>
    <w:rsid w:val="06686C7F"/>
    <w:rsid w:val="06702A6F"/>
    <w:rsid w:val="06AA4295"/>
    <w:rsid w:val="06BA5EFA"/>
    <w:rsid w:val="06F21F49"/>
    <w:rsid w:val="06F25742"/>
    <w:rsid w:val="07170910"/>
    <w:rsid w:val="071A324D"/>
    <w:rsid w:val="072B6A7D"/>
    <w:rsid w:val="0730481F"/>
    <w:rsid w:val="074B4991"/>
    <w:rsid w:val="07702E6D"/>
    <w:rsid w:val="07D478A0"/>
    <w:rsid w:val="07E34C3D"/>
    <w:rsid w:val="080A32C2"/>
    <w:rsid w:val="08762705"/>
    <w:rsid w:val="089C1B6D"/>
    <w:rsid w:val="08C519B8"/>
    <w:rsid w:val="08C605DA"/>
    <w:rsid w:val="08CC0577"/>
    <w:rsid w:val="08FD2E27"/>
    <w:rsid w:val="091F0FEF"/>
    <w:rsid w:val="092F0863"/>
    <w:rsid w:val="09353D5E"/>
    <w:rsid w:val="094D67CA"/>
    <w:rsid w:val="096E7880"/>
    <w:rsid w:val="0973007B"/>
    <w:rsid w:val="099077F7"/>
    <w:rsid w:val="099079F2"/>
    <w:rsid w:val="09945207"/>
    <w:rsid w:val="09B32FC2"/>
    <w:rsid w:val="09C31915"/>
    <w:rsid w:val="09D5345C"/>
    <w:rsid w:val="09D714DE"/>
    <w:rsid w:val="09EA50F6"/>
    <w:rsid w:val="09F02DA8"/>
    <w:rsid w:val="0A053D41"/>
    <w:rsid w:val="0A1A3D78"/>
    <w:rsid w:val="0A574299"/>
    <w:rsid w:val="0A873C0A"/>
    <w:rsid w:val="0A8C4CB3"/>
    <w:rsid w:val="0A940EB3"/>
    <w:rsid w:val="0ABE37EC"/>
    <w:rsid w:val="0AC6424D"/>
    <w:rsid w:val="0AEC70DD"/>
    <w:rsid w:val="0B462863"/>
    <w:rsid w:val="0B7B651D"/>
    <w:rsid w:val="0BA139A5"/>
    <w:rsid w:val="0BB82738"/>
    <w:rsid w:val="0BD469E6"/>
    <w:rsid w:val="0BDA2FAB"/>
    <w:rsid w:val="0BEE3906"/>
    <w:rsid w:val="0BF955D5"/>
    <w:rsid w:val="0BFA2DB1"/>
    <w:rsid w:val="0C337593"/>
    <w:rsid w:val="0C3D1EB8"/>
    <w:rsid w:val="0C4A0987"/>
    <w:rsid w:val="0C8C0749"/>
    <w:rsid w:val="0CEE5CFF"/>
    <w:rsid w:val="0CF8663B"/>
    <w:rsid w:val="0D2B06F2"/>
    <w:rsid w:val="0D2E1801"/>
    <w:rsid w:val="0D4508F8"/>
    <w:rsid w:val="0D591E85"/>
    <w:rsid w:val="0D817B82"/>
    <w:rsid w:val="0D933D59"/>
    <w:rsid w:val="0DF447F8"/>
    <w:rsid w:val="0DFB3A33"/>
    <w:rsid w:val="0E141615"/>
    <w:rsid w:val="0E2624D8"/>
    <w:rsid w:val="0E3A41D5"/>
    <w:rsid w:val="0E3B3935"/>
    <w:rsid w:val="0E603908"/>
    <w:rsid w:val="0E680485"/>
    <w:rsid w:val="0E90419B"/>
    <w:rsid w:val="0E94410E"/>
    <w:rsid w:val="0EC64101"/>
    <w:rsid w:val="0EF41B62"/>
    <w:rsid w:val="0F0F11BE"/>
    <w:rsid w:val="0F1669F0"/>
    <w:rsid w:val="0F1A64E0"/>
    <w:rsid w:val="0F602545"/>
    <w:rsid w:val="0F7737FF"/>
    <w:rsid w:val="0FA25406"/>
    <w:rsid w:val="0FCF76A4"/>
    <w:rsid w:val="0FD857C7"/>
    <w:rsid w:val="0FE21425"/>
    <w:rsid w:val="0FE32D76"/>
    <w:rsid w:val="0FE34B24"/>
    <w:rsid w:val="101B5E63"/>
    <w:rsid w:val="10264A11"/>
    <w:rsid w:val="10284C2D"/>
    <w:rsid w:val="10325A67"/>
    <w:rsid w:val="10741B4D"/>
    <w:rsid w:val="107C2883"/>
    <w:rsid w:val="10B657AF"/>
    <w:rsid w:val="11347948"/>
    <w:rsid w:val="116A4DD1"/>
    <w:rsid w:val="118C2F9A"/>
    <w:rsid w:val="11904838"/>
    <w:rsid w:val="119B31DD"/>
    <w:rsid w:val="121B1730"/>
    <w:rsid w:val="123F1DBA"/>
    <w:rsid w:val="126516FD"/>
    <w:rsid w:val="12661A3D"/>
    <w:rsid w:val="12720C6F"/>
    <w:rsid w:val="12753D52"/>
    <w:rsid w:val="127B662E"/>
    <w:rsid w:val="12A12A75"/>
    <w:rsid w:val="12A45D3E"/>
    <w:rsid w:val="12BA46A8"/>
    <w:rsid w:val="12D333DC"/>
    <w:rsid w:val="130A77F0"/>
    <w:rsid w:val="131D1B36"/>
    <w:rsid w:val="132D765F"/>
    <w:rsid w:val="136917E4"/>
    <w:rsid w:val="137A5E29"/>
    <w:rsid w:val="13E34EE6"/>
    <w:rsid w:val="13F53004"/>
    <w:rsid w:val="1451687B"/>
    <w:rsid w:val="145D29CB"/>
    <w:rsid w:val="1486494F"/>
    <w:rsid w:val="148E0DD7"/>
    <w:rsid w:val="14A95C11"/>
    <w:rsid w:val="14E210CD"/>
    <w:rsid w:val="14F670A8"/>
    <w:rsid w:val="14FA7D18"/>
    <w:rsid w:val="14FB4C0F"/>
    <w:rsid w:val="152A0AFF"/>
    <w:rsid w:val="153876C0"/>
    <w:rsid w:val="159A64E3"/>
    <w:rsid w:val="159B37AB"/>
    <w:rsid w:val="159D7523"/>
    <w:rsid w:val="15B80AFE"/>
    <w:rsid w:val="15EE7D7F"/>
    <w:rsid w:val="16270A5C"/>
    <w:rsid w:val="163956F3"/>
    <w:rsid w:val="16725700"/>
    <w:rsid w:val="1694454F"/>
    <w:rsid w:val="169E6EDA"/>
    <w:rsid w:val="16B20DAC"/>
    <w:rsid w:val="16CA07EC"/>
    <w:rsid w:val="16DF0C72"/>
    <w:rsid w:val="16E01DBD"/>
    <w:rsid w:val="16FD4542"/>
    <w:rsid w:val="17157CEB"/>
    <w:rsid w:val="172F083D"/>
    <w:rsid w:val="173B535E"/>
    <w:rsid w:val="17626C76"/>
    <w:rsid w:val="17654071"/>
    <w:rsid w:val="1771301C"/>
    <w:rsid w:val="17782419"/>
    <w:rsid w:val="17942BA8"/>
    <w:rsid w:val="17CC0594"/>
    <w:rsid w:val="17D9680D"/>
    <w:rsid w:val="17EB24C8"/>
    <w:rsid w:val="18062E4C"/>
    <w:rsid w:val="18115FA7"/>
    <w:rsid w:val="18581E27"/>
    <w:rsid w:val="187F7BA0"/>
    <w:rsid w:val="1881137E"/>
    <w:rsid w:val="189015C1"/>
    <w:rsid w:val="189A0008"/>
    <w:rsid w:val="18B22256"/>
    <w:rsid w:val="19093ADF"/>
    <w:rsid w:val="190B709F"/>
    <w:rsid w:val="19280238"/>
    <w:rsid w:val="194D74B2"/>
    <w:rsid w:val="19A10856"/>
    <w:rsid w:val="19F2610E"/>
    <w:rsid w:val="1A0832FB"/>
    <w:rsid w:val="1A19318C"/>
    <w:rsid w:val="1A332204"/>
    <w:rsid w:val="1A463317"/>
    <w:rsid w:val="1A5546A9"/>
    <w:rsid w:val="1A7B177E"/>
    <w:rsid w:val="1A8A746C"/>
    <w:rsid w:val="1A900E41"/>
    <w:rsid w:val="1A9737BA"/>
    <w:rsid w:val="1AA42128"/>
    <w:rsid w:val="1ABC131A"/>
    <w:rsid w:val="1AD02CA0"/>
    <w:rsid w:val="1B3A04A9"/>
    <w:rsid w:val="1B430B6D"/>
    <w:rsid w:val="1B4B07AF"/>
    <w:rsid w:val="1B4F13BF"/>
    <w:rsid w:val="1B5A6DEB"/>
    <w:rsid w:val="1B602A9E"/>
    <w:rsid w:val="1B75612F"/>
    <w:rsid w:val="1BCB3B88"/>
    <w:rsid w:val="1BCC1384"/>
    <w:rsid w:val="1BCD6688"/>
    <w:rsid w:val="1BDF6015"/>
    <w:rsid w:val="1BF47D8F"/>
    <w:rsid w:val="1C00112C"/>
    <w:rsid w:val="1C0A01FE"/>
    <w:rsid w:val="1C1E7EE9"/>
    <w:rsid w:val="1C3F44A2"/>
    <w:rsid w:val="1C502501"/>
    <w:rsid w:val="1C5446E0"/>
    <w:rsid w:val="1C6A421A"/>
    <w:rsid w:val="1C8F7795"/>
    <w:rsid w:val="1CC361CB"/>
    <w:rsid w:val="1CD62D0B"/>
    <w:rsid w:val="1CFA276B"/>
    <w:rsid w:val="1D1B6E43"/>
    <w:rsid w:val="1D4B7A15"/>
    <w:rsid w:val="1D63299D"/>
    <w:rsid w:val="1D6D1ED1"/>
    <w:rsid w:val="1DC8619A"/>
    <w:rsid w:val="1DD31AD2"/>
    <w:rsid w:val="1DE10284"/>
    <w:rsid w:val="1DF443A0"/>
    <w:rsid w:val="1DF63C75"/>
    <w:rsid w:val="1E01086B"/>
    <w:rsid w:val="1E060E37"/>
    <w:rsid w:val="1E116D00"/>
    <w:rsid w:val="1E39023B"/>
    <w:rsid w:val="1E3D19E5"/>
    <w:rsid w:val="1E47798D"/>
    <w:rsid w:val="1E4F15D7"/>
    <w:rsid w:val="1E5E7E37"/>
    <w:rsid w:val="1E641526"/>
    <w:rsid w:val="1E9516DF"/>
    <w:rsid w:val="1E967F51"/>
    <w:rsid w:val="1EA77665"/>
    <w:rsid w:val="1EDD2B2F"/>
    <w:rsid w:val="1EEE0DF0"/>
    <w:rsid w:val="1EEF7CED"/>
    <w:rsid w:val="1EF924FD"/>
    <w:rsid w:val="1F260ACA"/>
    <w:rsid w:val="1F3275CD"/>
    <w:rsid w:val="1F3F164B"/>
    <w:rsid w:val="1F6B70C9"/>
    <w:rsid w:val="1F6D61B8"/>
    <w:rsid w:val="1F953961"/>
    <w:rsid w:val="1FC57DA2"/>
    <w:rsid w:val="1FD20711"/>
    <w:rsid w:val="1FDD6AEA"/>
    <w:rsid w:val="1FE12702"/>
    <w:rsid w:val="1FEB12BF"/>
    <w:rsid w:val="203040EB"/>
    <w:rsid w:val="20940E9E"/>
    <w:rsid w:val="20C60FA5"/>
    <w:rsid w:val="20C91B14"/>
    <w:rsid w:val="20CB450D"/>
    <w:rsid w:val="20CE712B"/>
    <w:rsid w:val="20DA03F5"/>
    <w:rsid w:val="20F841A8"/>
    <w:rsid w:val="20F85DD4"/>
    <w:rsid w:val="21073FF9"/>
    <w:rsid w:val="210E601A"/>
    <w:rsid w:val="214F4B39"/>
    <w:rsid w:val="21717AB6"/>
    <w:rsid w:val="21B02D81"/>
    <w:rsid w:val="21B75E11"/>
    <w:rsid w:val="21CB366A"/>
    <w:rsid w:val="220765AB"/>
    <w:rsid w:val="22372939"/>
    <w:rsid w:val="224B0307"/>
    <w:rsid w:val="226118D9"/>
    <w:rsid w:val="22765384"/>
    <w:rsid w:val="229D52C5"/>
    <w:rsid w:val="22AC349C"/>
    <w:rsid w:val="22E83DA8"/>
    <w:rsid w:val="22F96C12"/>
    <w:rsid w:val="23045086"/>
    <w:rsid w:val="230B6414"/>
    <w:rsid w:val="230D0415"/>
    <w:rsid w:val="231D6147"/>
    <w:rsid w:val="2335523F"/>
    <w:rsid w:val="233D40F4"/>
    <w:rsid w:val="235932AD"/>
    <w:rsid w:val="235D23DB"/>
    <w:rsid w:val="2369313B"/>
    <w:rsid w:val="237C4C1C"/>
    <w:rsid w:val="23944948"/>
    <w:rsid w:val="239C19CE"/>
    <w:rsid w:val="23B93E21"/>
    <w:rsid w:val="23CA4AB7"/>
    <w:rsid w:val="23CB2DC0"/>
    <w:rsid w:val="23D278D3"/>
    <w:rsid w:val="23D73B2F"/>
    <w:rsid w:val="23FF13A9"/>
    <w:rsid w:val="241412F8"/>
    <w:rsid w:val="242157C3"/>
    <w:rsid w:val="24533EA6"/>
    <w:rsid w:val="245C2FE4"/>
    <w:rsid w:val="24675B1C"/>
    <w:rsid w:val="247A5638"/>
    <w:rsid w:val="24C51676"/>
    <w:rsid w:val="24F609FE"/>
    <w:rsid w:val="253C3621"/>
    <w:rsid w:val="254C40BE"/>
    <w:rsid w:val="255027A3"/>
    <w:rsid w:val="257639E7"/>
    <w:rsid w:val="2579602E"/>
    <w:rsid w:val="25804D1E"/>
    <w:rsid w:val="258904E7"/>
    <w:rsid w:val="259D0E7A"/>
    <w:rsid w:val="25B95484"/>
    <w:rsid w:val="25C60BA1"/>
    <w:rsid w:val="25EF714A"/>
    <w:rsid w:val="26002131"/>
    <w:rsid w:val="26105F6C"/>
    <w:rsid w:val="262C4F70"/>
    <w:rsid w:val="263B17C8"/>
    <w:rsid w:val="26776F81"/>
    <w:rsid w:val="2681079B"/>
    <w:rsid w:val="269221D6"/>
    <w:rsid w:val="269456DA"/>
    <w:rsid w:val="26995227"/>
    <w:rsid w:val="26F33248"/>
    <w:rsid w:val="26FD2518"/>
    <w:rsid w:val="27375B27"/>
    <w:rsid w:val="277D3FBB"/>
    <w:rsid w:val="27876612"/>
    <w:rsid w:val="27927598"/>
    <w:rsid w:val="27C97225"/>
    <w:rsid w:val="27CC6398"/>
    <w:rsid w:val="27CE1E0A"/>
    <w:rsid w:val="28017DE6"/>
    <w:rsid w:val="280B3C66"/>
    <w:rsid w:val="28696910"/>
    <w:rsid w:val="286B1703"/>
    <w:rsid w:val="288822B5"/>
    <w:rsid w:val="28883E1A"/>
    <w:rsid w:val="289C222B"/>
    <w:rsid w:val="28AF15F0"/>
    <w:rsid w:val="28D15A0A"/>
    <w:rsid w:val="28FB3A00"/>
    <w:rsid w:val="28FE60D3"/>
    <w:rsid w:val="291D7302"/>
    <w:rsid w:val="292C1707"/>
    <w:rsid w:val="29506540"/>
    <w:rsid w:val="295355A3"/>
    <w:rsid w:val="296F25C0"/>
    <w:rsid w:val="29785E86"/>
    <w:rsid w:val="29B00F79"/>
    <w:rsid w:val="29C54E43"/>
    <w:rsid w:val="29F373F5"/>
    <w:rsid w:val="2A015EDB"/>
    <w:rsid w:val="2A257690"/>
    <w:rsid w:val="2A4A0DE9"/>
    <w:rsid w:val="2A565121"/>
    <w:rsid w:val="2A70290C"/>
    <w:rsid w:val="2A7A79DB"/>
    <w:rsid w:val="2AEB2032"/>
    <w:rsid w:val="2AEC0115"/>
    <w:rsid w:val="2AF223D6"/>
    <w:rsid w:val="2B3B3DC5"/>
    <w:rsid w:val="2B402DAA"/>
    <w:rsid w:val="2B6210C1"/>
    <w:rsid w:val="2B832868"/>
    <w:rsid w:val="2BA96E03"/>
    <w:rsid w:val="2BAA42F0"/>
    <w:rsid w:val="2BF50DCA"/>
    <w:rsid w:val="2C0E0D23"/>
    <w:rsid w:val="2C2A54DE"/>
    <w:rsid w:val="2C2E5BDA"/>
    <w:rsid w:val="2C4464F3"/>
    <w:rsid w:val="2C5F332D"/>
    <w:rsid w:val="2CB12DAD"/>
    <w:rsid w:val="2CC31B0E"/>
    <w:rsid w:val="2CD92AF8"/>
    <w:rsid w:val="2CDE06F5"/>
    <w:rsid w:val="2D197980"/>
    <w:rsid w:val="2D277F74"/>
    <w:rsid w:val="2D4D5E6B"/>
    <w:rsid w:val="2DA51213"/>
    <w:rsid w:val="2DC77A05"/>
    <w:rsid w:val="2DD42307"/>
    <w:rsid w:val="2DF15171"/>
    <w:rsid w:val="2DFE521A"/>
    <w:rsid w:val="2E4D4AF4"/>
    <w:rsid w:val="2E611F66"/>
    <w:rsid w:val="2E843493"/>
    <w:rsid w:val="2E894691"/>
    <w:rsid w:val="2EC102CF"/>
    <w:rsid w:val="2EC905FD"/>
    <w:rsid w:val="2EE1627B"/>
    <w:rsid w:val="2EE8585B"/>
    <w:rsid w:val="2F10090E"/>
    <w:rsid w:val="2F1523C9"/>
    <w:rsid w:val="2F191EB9"/>
    <w:rsid w:val="2F4945A5"/>
    <w:rsid w:val="2FB30590"/>
    <w:rsid w:val="2FD94295"/>
    <w:rsid w:val="2FEC62A6"/>
    <w:rsid w:val="2FF16992"/>
    <w:rsid w:val="302E3A51"/>
    <w:rsid w:val="303348B4"/>
    <w:rsid w:val="30A12166"/>
    <w:rsid w:val="30BB0193"/>
    <w:rsid w:val="30BC6FA0"/>
    <w:rsid w:val="30BF3922"/>
    <w:rsid w:val="30FA32ED"/>
    <w:rsid w:val="31106F05"/>
    <w:rsid w:val="315076E8"/>
    <w:rsid w:val="31552F50"/>
    <w:rsid w:val="316C3324"/>
    <w:rsid w:val="316D3DF6"/>
    <w:rsid w:val="31771119"/>
    <w:rsid w:val="3179279B"/>
    <w:rsid w:val="319E0453"/>
    <w:rsid w:val="32266810"/>
    <w:rsid w:val="3231068C"/>
    <w:rsid w:val="3244331F"/>
    <w:rsid w:val="324A4137"/>
    <w:rsid w:val="328967FE"/>
    <w:rsid w:val="32AC4DF2"/>
    <w:rsid w:val="32B425C9"/>
    <w:rsid w:val="32C829FF"/>
    <w:rsid w:val="32F34878"/>
    <w:rsid w:val="33004250"/>
    <w:rsid w:val="33090F2A"/>
    <w:rsid w:val="33146037"/>
    <w:rsid w:val="331603EA"/>
    <w:rsid w:val="335E6B3B"/>
    <w:rsid w:val="336A3155"/>
    <w:rsid w:val="337929BD"/>
    <w:rsid w:val="33813B89"/>
    <w:rsid w:val="338171F2"/>
    <w:rsid w:val="33C10429"/>
    <w:rsid w:val="33F96EE8"/>
    <w:rsid w:val="340B0F98"/>
    <w:rsid w:val="342536FF"/>
    <w:rsid w:val="34482B7E"/>
    <w:rsid w:val="345E211C"/>
    <w:rsid w:val="346E1088"/>
    <w:rsid w:val="34773097"/>
    <w:rsid w:val="3490464D"/>
    <w:rsid w:val="34AF4725"/>
    <w:rsid w:val="34C227BA"/>
    <w:rsid w:val="34D26679"/>
    <w:rsid w:val="358D06DF"/>
    <w:rsid w:val="35931A27"/>
    <w:rsid w:val="35AA187C"/>
    <w:rsid w:val="35B15AE7"/>
    <w:rsid w:val="35E665B4"/>
    <w:rsid w:val="36177517"/>
    <w:rsid w:val="361B6DBE"/>
    <w:rsid w:val="3639699D"/>
    <w:rsid w:val="364A2222"/>
    <w:rsid w:val="368403DC"/>
    <w:rsid w:val="368C06B9"/>
    <w:rsid w:val="36A62B5A"/>
    <w:rsid w:val="36A91D74"/>
    <w:rsid w:val="36E47B9D"/>
    <w:rsid w:val="36EA20AF"/>
    <w:rsid w:val="372066CF"/>
    <w:rsid w:val="37305781"/>
    <w:rsid w:val="373F6FF7"/>
    <w:rsid w:val="37515F68"/>
    <w:rsid w:val="37585548"/>
    <w:rsid w:val="37AB74A8"/>
    <w:rsid w:val="37CF580A"/>
    <w:rsid w:val="37F4701F"/>
    <w:rsid w:val="3825542A"/>
    <w:rsid w:val="382E21D3"/>
    <w:rsid w:val="384F05B4"/>
    <w:rsid w:val="38521F98"/>
    <w:rsid w:val="38B32C13"/>
    <w:rsid w:val="38BB5FCA"/>
    <w:rsid w:val="38D23DF5"/>
    <w:rsid w:val="38DD7AB3"/>
    <w:rsid w:val="39602492"/>
    <w:rsid w:val="39876D01"/>
    <w:rsid w:val="39D321E7"/>
    <w:rsid w:val="3A513BB2"/>
    <w:rsid w:val="3A704957"/>
    <w:rsid w:val="3A791A5E"/>
    <w:rsid w:val="3A7B2781"/>
    <w:rsid w:val="3AD75FD5"/>
    <w:rsid w:val="3B1E43B3"/>
    <w:rsid w:val="3B415455"/>
    <w:rsid w:val="3B5624C1"/>
    <w:rsid w:val="3BBE6FBD"/>
    <w:rsid w:val="3BCB5F2A"/>
    <w:rsid w:val="3BFF9DF2"/>
    <w:rsid w:val="3C111A19"/>
    <w:rsid w:val="3C1E5D0B"/>
    <w:rsid w:val="3C28750D"/>
    <w:rsid w:val="3C3E4D0D"/>
    <w:rsid w:val="3C44609B"/>
    <w:rsid w:val="3C850B8E"/>
    <w:rsid w:val="3C9E1C4F"/>
    <w:rsid w:val="3CC535A1"/>
    <w:rsid w:val="3CF363E9"/>
    <w:rsid w:val="3D253EC9"/>
    <w:rsid w:val="3D7F55DD"/>
    <w:rsid w:val="3D9372DA"/>
    <w:rsid w:val="3DA05553"/>
    <w:rsid w:val="3DA908AC"/>
    <w:rsid w:val="3DB53C3A"/>
    <w:rsid w:val="3DC3718A"/>
    <w:rsid w:val="3DF044B2"/>
    <w:rsid w:val="3DF5564E"/>
    <w:rsid w:val="3DFE21D2"/>
    <w:rsid w:val="3E153786"/>
    <w:rsid w:val="3E1A3557"/>
    <w:rsid w:val="3E4252D9"/>
    <w:rsid w:val="3E4779D4"/>
    <w:rsid w:val="3E707B28"/>
    <w:rsid w:val="3E9E05C5"/>
    <w:rsid w:val="3EA016BE"/>
    <w:rsid w:val="3EA51B3E"/>
    <w:rsid w:val="3EAC6FD6"/>
    <w:rsid w:val="3EDA65A9"/>
    <w:rsid w:val="3EF1250A"/>
    <w:rsid w:val="3EF93BF7"/>
    <w:rsid w:val="3EFB61C9"/>
    <w:rsid w:val="3F212C1D"/>
    <w:rsid w:val="3F247168"/>
    <w:rsid w:val="3F3302C7"/>
    <w:rsid w:val="3F3643C1"/>
    <w:rsid w:val="3F4C7741"/>
    <w:rsid w:val="3F4F7231"/>
    <w:rsid w:val="3F7153F9"/>
    <w:rsid w:val="3F8743D5"/>
    <w:rsid w:val="3FAD2D29"/>
    <w:rsid w:val="40511B68"/>
    <w:rsid w:val="407563E8"/>
    <w:rsid w:val="409F5CFB"/>
    <w:rsid w:val="40A30754"/>
    <w:rsid w:val="40D02459"/>
    <w:rsid w:val="40D06276"/>
    <w:rsid w:val="40DE7E87"/>
    <w:rsid w:val="40E63BC5"/>
    <w:rsid w:val="41214BFD"/>
    <w:rsid w:val="412C782A"/>
    <w:rsid w:val="41320BB8"/>
    <w:rsid w:val="41401527"/>
    <w:rsid w:val="4153125A"/>
    <w:rsid w:val="416C231C"/>
    <w:rsid w:val="417116E0"/>
    <w:rsid w:val="41730C21"/>
    <w:rsid w:val="417E2A73"/>
    <w:rsid w:val="419323DA"/>
    <w:rsid w:val="419E624E"/>
    <w:rsid w:val="41C07F72"/>
    <w:rsid w:val="41C71300"/>
    <w:rsid w:val="41CE6B33"/>
    <w:rsid w:val="41D57EC1"/>
    <w:rsid w:val="41E006A7"/>
    <w:rsid w:val="41F04587"/>
    <w:rsid w:val="42022339"/>
    <w:rsid w:val="421B789E"/>
    <w:rsid w:val="422449A5"/>
    <w:rsid w:val="423821FE"/>
    <w:rsid w:val="423B6EEB"/>
    <w:rsid w:val="426C3E2B"/>
    <w:rsid w:val="4279703B"/>
    <w:rsid w:val="42E12896"/>
    <w:rsid w:val="42E32FD4"/>
    <w:rsid w:val="43195B8C"/>
    <w:rsid w:val="431C1B20"/>
    <w:rsid w:val="43217136"/>
    <w:rsid w:val="43291B47"/>
    <w:rsid w:val="432B1D63"/>
    <w:rsid w:val="435369BF"/>
    <w:rsid w:val="43657023"/>
    <w:rsid w:val="43A911C3"/>
    <w:rsid w:val="43B21B3C"/>
    <w:rsid w:val="43C532DD"/>
    <w:rsid w:val="43E748CD"/>
    <w:rsid w:val="43EE42E0"/>
    <w:rsid w:val="43FD5B08"/>
    <w:rsid w:val="44161619"/>
    <w:rsid w:val="441C3663"/>
    <w:rsid w:val="44320343"/>
    <w:rsid w:val="44350B1B"/>
    <w:rsid w:val="447017C9"/>
    <w:rsid w:val="449007B6"/>
    <w:rsid w:val="44A66E20"/>
    <w:rsid w:val="44CD23E9"/>
    <w:rsid w:val="44CE186B"/>
    <w:rsid w:val="44EE1136"/>
    <w:rsid w:val="44FA719A"/>
    <w:rsid w:val="45115776"/>
    <w:rsid w:val="452847AC"/>
    <w:rsid w:val="45310E6A"/>
    <w:rsid w:val="45423E2F"/>
    <w:rsid w:val="45534061"/>
    <w:rsid w:val="455E3402"/>
    <w:rsid w:val="456A4A37"/>
    <w:rsid w:val="4591247D"/>
    <w:rsid w:val="45C85F51"/>
    <w:rsid w:val="45D24055"/>
    <w:rsid w:val="45FD7E80"/>
    <w:rsid w:val="46001285"/>
    <w:rsid w:val="461031F4"/>
    <w:rsid w:val="461E127D"/>
    <w:rsid w:val="465070D3"/>
    <w:rsid w:val="465117D4"/>
    <w:rsid w:val="46686E80"/>
    <w:rsid w:val="466C691A"/>
    <w:rsid w:val="467264E5"/>
    <w:rsid w:val="46A2058E"/>
    <w:rsid w:val="472B2331"/>
    <w:rsid w:val="473518A9"/>
    <w:rsid w:val="4740088A"/>
    <w:rsid w:val="4743440C"/>
    <w:rsid w:val="47687855"/>
    <w:rsid w:val="47705F96"/>
    <w:rsid w:val="47935D3E"/>
    <w:rsid w:val="47944B6B"/>
    <w:rsid w:val="47A0687C"/>
    <w:rsid w:val="47B02837"/>
    <w:rsid w:val="480C16A2"/>
    <w:rsid w:val="48142DC6"/>
    <w:rsid w:val="48490746"/>
    <w:rsid w:val="48547666"/>
    <w:rsid w:val="48790E7B"/>
    <w:rsid w:val="488149E3"/>
    <w:rsid w:val="49044390"/>
    <w:rsid w:val="4908796E"/>
    <w:rsid w:val="49172B6D"/>
    <w:rsid w:val="493B42D4"/>
    <w:rsid w:val="493C25D4"/>
    <w:rsid w:val="493D634C"/>
    <w:rsid w:val="493E459E"/>
    <w:rsid w:val="4959203B"/>
    <w:rsid w:val="497C7E57"/>
    <w:rsid w:val="49D01E2A"/>
    <w:rsid w:val="49E70143"/>
    <w:rsid w:val="49FC7FB5"/>
    <w:rsid w:val="49FF239B"/>
    <w:rsid w:val="4A0F2373"/>
    <w:rsid w:val="4A1341BE"/>
    <w:rsid w:val="4A151160"/>
    <w:rsid w:val="4A1E7F2C"/>
    <w:rsid w:val="4A351D37"/>
    <w:rsid w:val="4A401292"/>
    <w:rsid w:val="4A54198D"/>
    <w:rsid w:val="4A83704E"/>
    <w:rsid w:val="4AA85A47"/>
    <w:rsid w:val="4AE922E8"/>
    <w:rsid w:val="4AEE3DA2"/>
    <w:rsid w:val="4B116603"/>
    <w:rsid w:val="4B1D70B4"/>
    <w:rsid w:val="4B302EC6"/>
    <w:rsid w:val="4B3578D7"/>
    <w:rsid w:val="4B4E48ED"/>
    <w:rsid w:val="4B540803"/>
    <w:rsid w:val="4B546176"/>
    <w:rsid w:val="4B670B02"/>
    <w:rsid w:val="4B8169C4"/>
    <w:rsid w:val="4BAE52DF"/>
    <w:rsid w:val="4BBE2E05"/>
    <w:rsid w:val="4BD765E4"/>
    <w:rsid w:val="4C4206D4"/>
    <w:rsid w:val="4C465518"/>
    <w:rsid w:val="4C5D32D8"/>
    <w:rsid w:val="4C612870"/>
    <w:rsid w:val="4C791022"/>
    <w:rsid w:val="4C7B1665"/>
    <w:rsid w:val="4CCB6D27"/>
    <w:rsid w:val="4CD323B3"/>
    <w:rsid w:val="4CD95323"/>
    <w:rsid w:val="4CE46140"/>
    <w:rsid w:val="4D0A5E63"/>
    <w:rsid w:val="4D924EB8"/>
    <w:rsid w:val="4DB82445"/>
    <w:rsid w:val="4DDC61B0"/>
    <w:rsid w:val="4DE81347"/>
    <w:rsid w:val="4DF71896"/>
    <w:rsid w:val="4DFB65D5"/>
    <w:rsid w:val="4E1622A9"/>
    <w:rsid w:val="4E320449"/>
    <w:rsid w:val="4E3917D8"/>
    <w:rsid w:val="4E3C637F"/>
    <w:rsid w:val="4E571C5E"/>
    <w:rsid w:val="4E721196"/>
    <w:rsid w:val="4E7523A0"/>
    <w:rsid w:val="4E9B63EE"/>
    <w:rsid w:val="4E9D64FC"/>
    <w:rsid w:val="4EAD4F96"/>
    <w:rsid w:val="4F18319B"/>
    <w:rsid w:val="4F1C38EB"/>
    <w:rsid w:val="4F4017FB"/>
    <w:rsid w:val="4F437095"/>
    <w:rsid w:val="4F7C7BCE"/>
    <w:rsid w:val="4F806F93"/>
    <w:rsid w:val="4F8E6A00"/>
    <w:rsid w:val="4FC21359"/>
    <w:rsid w:val="4FC2399F"/>
    <w:rsid w:val="4FDD05B6"/>
    <w:rsid w:val="4FE05CE2"/>
    <w:rsid w:val="5020691E"/>
    <w:rsid w:val="503023D6"/>
    <w:rsid w:val="503E4FD3"/>
    <w:rsid w:val="504339B6"/>
    <w:rsid w:val="504A4535"/>
    <w:rsid w:val="50AF4E94"/>
    <w:rsid w:val="50C914CA"/>
    <w:rsid w:val="50D07244"/>
    <w:rsid w:val="50E27F05"/>
    <w:rsid w:val="51016109"/>
    <w:rsid w:val="513F5357"/>
    <w:rsid w:val="514767A9"/>
    <w:rsid w:val="514F5CC9"/>
    <w:rsid w:val="51545D16"/>
    <w:rsid w:val="51606809"/>
    <w:rsid w:val="51711289"/>
    <w:rsid w:val="51A018DA"/>
    <w:rsid w:val="522B4CC8"/>
    <w:rsid w:val="522E5EFF"/>
    <w:rsid w:val="52405132"/>
    <w:rsid w:val="52522205"/>
    <w:rsid w:val="525F2797"/>
    <w:rsid w:val="526C337C"/>
    <w:rsid w:val="52730954"/>
    <w:rsid w:val="528560F5"/>
    <w:rsid w:val="528A051A"/>
    <w:rsid w:val="528E2EBF"/>
    <w:rsid w:val="52AC4942"/>
    <w:rsid w:val="52B92EE7"/>
    <w:rsid w:val="52BC078A"/>
    <w:rsid w:val="530745F2"/>
    <w:rsid w:val="53095C1D"/>
    <w:rsid w:val="53106620"/>
    <w:rsid w:val="531427A3"/>
    <w:rsid w:val="532A4F70"/>
    <w:rsid w:val="533267F6"/>
    <w:rsid w:val="533662E6"/>
    <w:rsid w:val="53664B6C"/>
    <w:rsid w:val="53772781"/>
    <w:rsid w:val="537D3F15"/>
    <w:rsid w:val="538321D1"/>
    <w:rsid w:val="538C4158"/>
    <w:rsid w:val="53A21BCD"/>
    <w:rsid w:val="53BA6F17"/>
    <w:rsid w:val="53CB14A9"/>
    <w:rsid w:val="53EF7B49"/>
    <w:rsid w:val="54280325"/>
    <w:rsid w:val="542B01C1"/>
    <w:rsid w:val="542B1BC3"/>
    <w:rsid w:val="54315301"/>
    <w:rsid w:val="543775F6"/>
    <w:rsid w:val="544113E6"/>
    <w:rsid w:val="54857525"/>
    <w:rsid w:val="548E5D77"/>
    <w:rsid w:val="54BA402F"/>
    <w:rsid w:val="54BE2A37"/>
    <w:rsid w:val="54EF76B6"/>
    <w:rsid w:val="54FE2E33"/>
    <w:rsid w:val="55124B31"/>
    <w:rsid w:val="55366A71"/>
    <w:rsid w:val="55B1434A"/>
    <w:rsid w:val="55C415BF"/>
    <w:rsid w:val="55E431CB"/>
    <w:rsid w:val="561225E1"/>
    <w:rsid w:val="56240464"/>
    <w:rsid w:val="56384123"/>
    <w:rsid w:val="564A2F8F"/>
    <w:rsid w:val="56515981"/>
    <w:rsid w:val="56644F18"/>
    <w:rsid w:val="56BF4844"/>
    <w:rsid w:val="56D7393C"/>
    <w:rsid w:val="56F8761D"/>
    <w:rsid w:val="572950E7"/>
    <w:rsid w:val="572F5526"/>
    <w:rsid w:val="57340D8E"/>
    <w:rsid w:val="5781726E"/>
    <w:rsid w:val="57817670"/>
    <w:rsid w:val="57961A49"/>
    <w:rsid w:val="57B63D82"/>
    <w:rsid w:val="57D305A7"/>
    <w:rsid w:val="58057058"/>
    <w:rsid w:val="580A7D41"/>
    <w:rsid w:val="5853154F"/>
    <w:rsid w:val="5886561A"/>
    <w:rsid w:val="58906498"/>
    <w:rsid w:val="589656B9"/>
    <w:rsid w:val="589A6C13"/>
    <w:rsid w:val="58B764CA"/>
    <w:rsid w:val="58D16285"/>
    <w:rsid w:val="58E81E30"/>
    <w:rsid w:val="58F702C5"/>
    <w:rsid w:val="59020372"/>
    <w:rsid w:val="592E68C7"/>
    <w:rsid w:val="59594ADC"/>
    <w:rsid w:val="59771C60"/>
    <w:rsid w:val="59930854"/>
    <w:rsid w:val="59B47F65"/>
    <w:rsid w:val="59BE5287"/>
    <w:rsid w:val="59EE3D5C"/>
    <w:rsid w:val="5A0C1BF7"/>
    <w:rsid w:val="5A0D4F2C"/>
    <w:rsid w:val="5A4620CF"/>
    <w:rsid w:val="5A5F4374"/>
    <w:rsid w:val="5A787BA5"/>
    <w:rsid w:val="5A9164F8"/>
    <w:rsid w:val="5AC5005A"/>
    <w:rsid w:val="5ADF1011"/>
    <w:rsid w:val="5AE44879"/>
    <w:rsid w:val="5B055B53"/>
    <w:rsid w:val="5B2335F4"/>
    <w:rsid w:val="5B590DC3"/>
    <w:rsid w:val="5B5F03A4"/>
    <w:rsid w:val="5B81656C"/>
    <w:rsid w:val="5B846F22"/>
    <w:rsid w:val="5B934AB3"/>
    <w:rsid w:val="5BA33419"/>
    <w:rsid w:val="5BB36680"/>
    <w:rsid w:val="5BD46816"/>
    <w:rsid w:val="5BDE3CA2"/>
    <w:rsid w:val="5C20140C"/>
    <w:rsid w:val="5C224486"/>
    <w:rsid w:val="5C384E7D"/>
    <w:rsid w:val="5C3E354F"/>
    <w:rsid w:val="5C43036C"/>
    <w:rsid w:val="5C445842"/>
    <w:rsid w:val="5C6527A3"/>
    <w:rsid w:val="5C6A59AD"/>
    <w:rsid w:val="5C846858"/>
    <w:rsid w:val="5D447D15"/>
    <w:rsid w:val="5D46181B"/>
    <w:rsid w:val="5D46469E"/>
    <w:rsid w:val="5D6677C8"/>
    <w:rsid w:val="5DA86956"/>
    <w:rsid w:val="5DCF585C"/>
    <w:rsid w:val="5DD0626C"/>
    <w:rsid w:val="5DF8472E"/>
    <w:rsid w:val="5E2916ED"/>
    <w:rsid w:val="5E2D37D0"/>
    <w:rsid w:val="5E88676E"/>
    <w:rsid w:val="5EAB402C"/>
    <w:rsid w:val="5EB716DF"/>
    <w:rsid w:val="5EBD78BB"/>
    <w:rsid w:val="5EEA4F9C"/>
    <w:rsid w:val="5EF17565"/>
    <w:rsid w:val="5F02757E"/>
    <w:rsid w:val="5F0C439F"/>
    <w:rsid w:val="5F116B44"/>
    <w:rsid w:val="5F3758FE"/>
    <w:rsid w:val="5F4D7B24"/>
    <w:rsid w:val="5F5963FD"/>
    <w:rsid w:val="5F7268F8"/>
    <w:rsid w:val="5F8A1E93"/>
    <w:rsid w:val="5F9034FE"/>
    <w:rsid w:val="602219D3"/>
    <w:rsid w:val="60395667"/>
    <w:rsid w:val="60557A8E"/>
    <w:rsid w:val="605D1356"/>
    <w:rsid w:val="609B298C"/>
    <w:rsid w:val="60B051B3"/>
    <w:rsid w:val="612D770C"/>
    <w:rsid w:val="612E2CF2"/>
    <w:rsid w:val="61581B1D"/>
    <w:rsid w:val="61621CBD"/>
    <w:rsid w:val="61665FE8"/>
    <w:rsid w:val="61AB7E9F"/>
    <w:rsid w:val="61AE5BE1"/>
    <w:rsid w:val="61EE5FDE"/>
    <w:rsid w:val="61FF0E6B"/>
    <w:rsid w:val="6202664F"/>
    <w:rsid w:val="621101C8"/>
    <w:rsid w:val="6218294B"/>
    <w:rsid w:val="621B36EF"/>
    <w:rsid w:val="623E51B7"/>
    <w:rsid w:val="625B18C5"/>
    <w:rsid w:val="62C8684A"/>
    <w:rsid w:val="62F92997"/>
    <w:rsid w:val="630A6E47"/>
    <w:rsid w:val="630B5766"/>
    <w:rsid w:val="633E547C"/>
    <w:rsid w:val="63512CC8"/>
    <w:rsid w:val="639B000C"/>
    <w:rsid w:val="63A177AC"/>
    <w:rsid w:val="63B6311D"/>
    <w:rsid w:val="63B63D2A"/>
    <w:rsid w:val="63BB761B"/>
    <w:rsid w:val="63BD3EBA"/>
    <w:rsid w:val="63C60FC0"/>
    <w:rsid w:val="63CB38FC"/>
    <w:rsid w:val="63D80CF3"/>
    <w:rsid w:val="63E43C37"/>
    <w:rsid w:val="640146EE"/>
    <w:rsid w:val="6404001D"/>
    <w:rsid w:val="641F2E5F"/>
    <w:rsid w:val="643C5726"/>
    <w:rsid w:val="645E071D"/>
    <w:rsid w:val="647E189B"/>
    <w:rsid w:val="6497295D"/>
    <w:rsid w:val="649E1D48"/>
    <w:rsid w:val="65200BA4"/>
    <w:rsid w:val="65225AD8"/>
    <w:rsid w:val="652513A6"/>
    <w:rsid w:val="652E1513"/>
    <w:rsid w:val="65474383"/>
    <w:rsid w:val="654B7C55"/>
    <w:rsid w:val="654C3747"/>
    <w:rsid w:val="65602DE6"/>
    <w:rsid w:val="65A2095F"/>
    <w:rsid w:val="65B21C6C"/>
    <w:rsid w:val="65C21C5B"/>
    <w:rsid w:val="65CA0552"/>
    <w:rsid w:val="65CF1B33"/>
    <w:rsid w:val="65E16585"/>
    <w:rsid w:val="663B1875"/>
    <w:rsid w:val="665737F0"/>
    <w:rsid w:val="665E0C3A"/>
    <w:rsid w:val="66772A46"/>
    <w:rsid w:val="667747F4"/>
    <w:rsid w:val="667A18D9"/>
    <w:rsid w:val="667E6257"/>
    <w:rsid w:val="66842B11"/>
    <w:rsid w:val="668837C6"/>
    <w:rsid w:val="66C0263F"/>
    <w:rsid w:val="66E6069B"/>
    <w:rsid w:val="670E3096"/>
    <w:rsid w:val="6722134D"/>
    <w:rsid w:val="672D71C3"/>
    <w:rsid w:val="67371C5C"/>
    <w:rsid w:val="67456546"/>
    <w:rsid w:val="674F5770"/>
    <w:rsid w:val="67542D87"/>
    <w:rsid w:val="675A65EF"/>
    <w:rsid w:val="675A6D1E"/>
    <w:rsid w:val="675B3684"/>
    <w:rsid w:val="67651F97"/>
    <w:rsid w:val="67750CD1"/>
    <w:rsid w:val="67EB0EB4"/>
    <w:rsid w:val="6807709F"/>
    <w:rsid w:val="68526337"/>
    <w:rsid w:val="68570D81"/>
    <w:rsid w:val="689113A3"/>
    <w:rsid w:val="68C44151"/>
    <w:rsid w:val="68CC61B1"/>
    <w:rsid w:val="68DB3760"/>
    <w:rsid w:val="68DC4DE2"/>
    <w:rsid w:val="68F74DE0"/>
    <w:rsid w:val="69006F93"/>
    <w:rsid w:val="691579EA"/>
    <w:rsid w:val="69691D7E"/>
    <w:rsid w:val="697115BB"/>
    <w:rsid w:val="69807E63"/>
    <w:rsid w:val="699A0847"/>
    <w:rsid w:val="69A95D09"/>
    <w:rsid w:val="69E4040E"/>
    <w:rsid w:val="69FA40C4"/>
    <w:rsid w:val="6A114F5F"/>
    <w:rsid w:val="6A3B3D8A"/>
    <w:rsid w:val="6A55589A"/>
    <w:rsid w:val="6A677417"/>
    <w:rsid w:val="6A745C1A"/>
    <w:rsid w:val="6A7725DE"/>
    <w:rsid w:val="6AAE0859"/>
    <w:rsid w:val="6AB03CAC"/>
    <w:rsid w:val="6ACD3234"/>
    <w:rsid w:val="6AF4016B"/>
    <w:rsid w:val="6B213BD1"/>
    <w:rsid w:val="6B237FEF"/>
    <w:rsid w:val="6B63404E"/>
    <w:rsid w:val="6B655563"/>
    <w:rsid w:val="6B6F17F0"/>
    <w:rsid w:val="6BB107A8"/>
    <w:rsid w:val="6BB805D1"/>
    <w:rsid w:val="6BC32A3F"/>
    <w:rsid w:val="6C0576C7"/>
    <w:rsid w:val="6C947344"/>
    <w:rsid w:val="6CC367EC"/>
    <w:rsid w:val="6CC54847"/>
    <w:rsid w:val="6CD966B6"/>
    <w:rsid w:val="6CDC619A"/>
    <w:rsid w:val="6D0B038C"/>
    <w:rsid w:val="6D1C33C4"/>
    <w:rsid w:val="6D2235DD"/>
    <w:rsid w:val="6D2C27DC"/>
    <w:rsid w:val="6D5D0BE7"/>
    <w:rsid w:val="6D7C7C3F"/>
    <w:rsid w:val="6D910891"/>
    <w:rsid w:val="6D962F9D"/>
    <w:rsid w:val="6D9914F3"/>
    <w:rsid w:val="6DAF3F6E"/>
    <w:rsid w:val="6DF95668"/>
    <w:rsid w:val="6E096679"/>
    <w:rsid w:val="6E117203"/>
    <w:rsid w:val="6E1A0886"/>
    <w:rsid w:val="6E1A34FC"/>
    <w:rsid w:val="6E1D0376"/>
    <w:rsid w:val="6E1F0F36"/>
    <w:rsid w:val="6E3D37E1"/>
    <w:rsid w:val="6E421E01"/>
    <w:rsid w:val="6E56086E"/>
    <w:rsid w:val="6E7066F8"/>
    <w:rsid w:val="6E755ABD"/>
    <w:rsid w:val="6E9D5013"/>
    <w:rsid w:val="6EA53F44"/>
    <w:rsid w:val="6EBA3E17"/>
    <w:rsid w:val="6EC0658C"/>
    <w:rsid w:val="6EDB6D74"/>
    <w:rsid w:val="6EDC3D8E"/>
    <w:rsid w:val="6EDF73DA"/>
    <w:rsid w:val="6EEF6CEC"/>
    <w:rsid w:val="6EF07839"/>
    <w:rsid w:val="6F082DD5"/>
    <w:rsid w:val="6F241291"/>
    <w:rsid w:val="6F3C65DA"/>
    <w:rsid w:val="6F46274A"/>
    <w:rsid w:val="6F7632AC"/>
    <w:rsid w:val="6F7C2E7B"/>
    <w:rsid w:val="6F811D25"/>
    <w:rsid w:val="6F827D7A"/>
    <w:rsid w:val="6F8866D3"/>
    <w:rsid w:val="6F9D0F48"/>
    <w:rsid w:val="6FB83DC2"/>
    <w:rsid w:val="6FCA0D33"/>
    <w:rsid w:val="6FDD0149"/>
    <w:rsid w:val="6FEB2133"/>
    <w:rsid w:val="6FEE1FCA"/>
    <w:rsid w:val="702C47B3"/>
    <w:rsid w:val="70585696"/>
    <w:rsid w:val="70700C31"/>
    <w:rsid w:val="709661BE"/>
    <w:rsid w:val="709A1CAA"/>
    <w:rsid w:val="70C1475B"/>
    <w:rsid w:val="70CF74E9"/>
    <w:rsid w:val="70D44CF0"/>
    <w:rsid w:val="70E564B3"/>
    <w:rsid w:val="70FF7121"/>
    <w:rsid w:val="711B3B3E"/>
    <w:rsid w:val="711C5BE9"/>
    <w:rsid w:val="716B31A7"/>
    <w:rsid w:val="71973F9C"/>
    <w:rsid w:val="71A14E1B"/>
    <w:rsid w:val="71AE3447"/>
    <w:rsid w:val="71C034F3"/>
    <w:rsid w:val="71E847F7"/>
    <w:rsid w:val="71F633B8"/>
    <w:rsid w:val="71FE39D1"/>
    <w:rsid w:val="72200435"/>
    <w:rsid w:val="722717C4"/>
    <w:rsid w:val="72320B35"/>
    <w:rsid w:val="723C7D92"/>
    <w:rsid w:val="725325B9"/>
    <w:rsid w:val="72A921D9"/>
    <w:rsid w:val="72AC50DA"/>
    <w:rsid w:val="72EA4687"/>
    <w:rsid w:val="73171711"/>
    <w:rsid w:val="732D6613"/>
    <w:rsid w:val="733028FA"/>
    <w:rsid w:val="733C14B5"/>
    <w:rsid w:val="735A34D3"/>
    <w:rsid w:val="736E7D25"/>
    <w:rsid w:val="7370697F"/>
    <w:rsid w:val="73771699"/>
    <w:rsid w:val="73A72328"/>
    <w:rsid w:val="73D51940"/>
    <w:rsid w:val="73D601D2"/>
    <w:rsid w:val="73E21E46"/>
    <w:rsid w:val="743066A0"/>
    <w:rsid w:val="744C67DD"/>
    <w:rsid w:val="745D771F"/>
    <w:rsid w:val="746C5BB4"/>
    <w:rsid w:val="74784559"/>
    <w:rsid w:val="74844CAB"/>
    <w:rsid w:val="7487479C"/>
    <w:rsid w:val="74984649"/>
    <w:rsid w:val="74A470FC"/>
    <w:rsid w:val="74CD038D"/>
    <w:rsid w:val="74D540E1"/>
    <w:rsid w:val="74E216BD"/>
    <w:rsid w:val="74EA38A8"/>
    <w:rsid w:val="74FE1A53"/>
    <w:rsid w:val="75262180"/>
    <w:rsid w:val="75664C88"/>
    <w:rsid w:val="75787FC9"/>
    <w:rsid w:val="75960248"/>
    <w:rsid w:val="75990035"/>
    <w:rsid w:val="760F284C"/>
    <w:rsid w:val="76143E0D"/>
    <w:rsid w:val="76492F70"/>
    <w:rsid w:val="76564426"/>
    <w:rsid w:val="76566B6E"/>
    <w:rsid w:val="765F29E9"/>
    <w:rsid w:val="766745AB"/>
    <w:rsid w:val="768B79D3"/>
    <w:rsid w:val="76B67B2D"/>
    <w:rsid w:val="76C476CF"/>
    <w:rsid w:val="770F2314"/>
    <w:rsid w:val="77242776"/>
    <w:rsid w:val="772938E8"/>
    <w:rsid w:val="776C7C79"/>
    <w:rsid w:val="77752FD1"/>
    <w:rsid w:val="777559A3"/>
    <w:rsid w:val="77875DC2"/>
    <w:rsid w:val="778E2A95"/>
    <w:rsid w:val="77AB07A1"/>
    <w:rsid w:val="77D47CF8"/>
    <w:rsid w:val="7817023F"/>
    <w:rsid w:val="781A1B50"/>
    <w:rsid w:val="781E0F73"/>
    <w:rsid w:val="782976AF"/>
    <w:rsid w:val="782B182B"/>
    <w:rsid w:val="7863019E"/>
    <w:rsid w:val="786A065C"/>
    <w:rsid w:val="7871688A"/>
    <w:rsid w:val="788B35C7"/>
    <w:rsid w:val="78B00068"/>
    <w:rsid w:val="78B26191"/>
    <w:rsid w:val="792425B9"/>
    <w:rsid w:val="79272CBF"/>
    <w:rsid w:val="79525736"/>
    <w:rsid w:val="795C6AF6"/>
    <w:rsid w:val="796A5668"/>
    <w:rsid w:val="79A3070D"/>
    <w:rsid w:val="79BF482B"/>
    <w:rsid w:val="79D57442"/>
    <w:rsid w:val="79E71591"/>
    <w:rsid w:val="7A036672"/>
    <w:rsid w:val="7A2E2E1F"/>
    <w:rsid w:val="7A425E4F"/>
    <w:rsid w:val="7A7742E4"/>
    <w:rsid w:val="7A85177D"/>
    <w:rsid w:val="7A8552D9"/>
    <w:rsid w:val="7A9523A1"/>
    <w:rsid w:val="7ABB1D26"/>
    <w:rsid w:val="7AD55C91"/>
    <w:rsid w:val="7AFB2F41"/>
    <w:rsid w:val="7B105156"/>
    <w:rsid w:val="7B130B37"/>
    <w:rsid w:val="7B2E3BC3"/>
    <w:rsid w:val="7B4B1461"/>
    <w:rsid w:val="7B4C6F9D"/>
    <w:rsid w:val="7B7610C6"/>
    <w:rsid w:val="7B810197"/>
    <w:rsid w:val="7B8408D3"/>
    <w:rsid w:val="7B95754E"/>
    <w:rsid w:val="7B957737"/>
    <w:rsid w:val="7B9F1197"/>
    <w:rsid w:val="7BBF0CBF"/>
    <w:rsid w:val="7BD124CD"/>
    <w:rsid w:val="7BE66DF7"/>
    <w:rsid w:val="7BEE2093"/>
    <w:rsid w:val="7BEF0EAA"/>
    <w:rsid w:val="7C0469D6"/>
    <w:rsid w:val="7C264A87"/>
    <w:rsid w:val="7C336FB7"/>
    <w:rsid w:val="7C552191"/>
    <w:rsid w:val="7C6000DE"/>
    <w:rsid w:val="7CAA7279"/>
    <w:rsid w:val="7CAC4B65"/>
    <w:rsid w:val="7CAF2AE1"/>
    <w:rsid w:val="7CB870FE"/>
    <w:rsid w:val="7CC31990"/>
    <w:rsid w:val="7CD506B4"/>
    <w:rsid w:val="7CF16C56"/>
    <w:rsid w:val="7D0270B5"/>
    <w:rsid w:val="7D083FA0"/>
    <w:rsid w:val="7D1D58C3"/>
    <w:rsid w:val="7D284642"/>
    <w:rsid w:val="7D472B83"/>
    <w:rsid w:val="7D7C5A30"/>
    <w:rsid w:val="7D9838BE"/>
    <w:rsid w:val="7DB902D0"/>
    <w:rsid w:val="7DBD62BC"/>
    <w:rsid w:val="7DBE4C1D"/>
    <w:rsid w:val="7DD00F61"/>
    <w:rsid w:val="7DD01411"/>
    <w:rsid w:val="7DE62533"/>
    <w:rsid w:val="7DE9350E"/>
    <w:rsid w:val="7DEB7FBA"/>
    <w:rsid w:val="7DFF1847"/>
    <w:rsid w:val="7E0F51E0"/>
    <w:rsid w:val="7E12562B"/>
    <w:rsid w:val="7E4E1E86"/>
    <w:rsid w:val="7E935ABE"/>
    <w:rsid w:val="7E9F63C7"/>
    <w:rsid w:val="7EFC7E0C"/>
    <w:rsid w:val="7F460DAF"/>
    <w:rsid w:val="7F751A51"/>
    <w:rsid w:val="7F92679B"/>
    <w:rsid w:val="7F9935D5"/>
    <w:rsid w:val="7FB64284"/>
    <w:rsid w:val="7FD51564"/>
    <w:rsid w:val="7FDF36DE"/>
    <w:rsid w:val="B75BB2B8"/>
    <w:rsid w:val="BEDED221"/>
    <w:rsid w:val="DFD9E036"/>
    <w:rsid w:val="F7BFD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link w:val="73"/>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74"/>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76"/>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2"/>
    <w:next w:val="1"/>
    <w:link w:val="77"/>
    <w:qFormat/>
    <w:uiPriority w:val="0"/>
    <w:pPr>
      <w:keepLines/>
      <w:widowControl/>
      <w:spacing w:before="280" w:after="290" w:line="372" w:lineRule="auto"/>
      <w:outlineLvl w:val="4"/>
    </w:pPr>
    <w:rPr>
      <w:b w:val="0"/>
      <w:color w:val="000000"/>
      <w:sz w:val="28"/>
      <w:szCs w:val="20"/>
    </w:rPr>
  </w:style>
  <w:style w:type="paragraph" w:styleId="8">
    <w:name w:val="heading 6"/>
    <w:basedOn w:val="1"/>
    <w:next w:val="1"/>
    <w:link w:val="78"/>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link w:val="79"/>
    <w:qFormat/>
    <w:uiPriority w:val="9"/>
    <w:pPr>
      <w:keepLines/>
      <w:widowControl/>
      <w:spacing w:before="240" w:after="64" w:line="312" w:lineRule="auto"/>
      <w:outlineLvl w:val="6"/>
    </w:pPr>
    <w:rPr>
      <w:b/>
      <w:color w:val="000000"/>
      <w:sz w:val="24"/>
      <w:szCs w:val="20"/>
    </w:rPr>
  </w:style>
  <w:style w:type="paragraph" w:styleId="10">
    <w:name w:val="heading 8"/>
    <w:basedOn w:val="1"/>
    <w:next w:val="1"/>
    <w:link w:val="80"/>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81"/>
    <w:qFormat/>
    <w:uiPriority w:val="0"/>
    <w:pPr>
      <w:keepLines/>
      <w:widowControl/>
      <w:spacing w:before="240" w:after="64" w:line="312" w:lineRule="auto"/>
      <w:outlineLvl w:val="8"/>
    </w:pPr>
    <w:rPr>
      <w:rFonts w:ascii="Arial" w:hAnsi="Arial" w:eastAsia="黑体"/>
      <w:color w:val="000000"/>
      <w:szCs w:val="20"/>
    </w:rPr>
  </w:style>
  <w:style w:type="character" w:default="1" w:styleId="55">
    <w:name w:val="Default Paragraph Font"/>
    <w:semiHidden/>
    <w:unhideWhenUsed/>
    <w:qFormat/>
    <w:uiPriority w:val="1"/>
  </w:style>
  <w:style w:type="table" w:default="1" w:styleId="5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1"/>
    <w:link w:val="75"/>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table of authorities"/>
    <w:basedOn w:val="1"/>
    <w:next w:val="1"/>
    <w:unhideWhenUsed/>
    <w:qFormat/>
    <w:uiPriority w:val="99"/>
    <w:pPr>
      <w:ind w:left="420" w:leftChars="20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82"/>
    <w:qFormat/>
    <w:uiPriority w:val="99"/>
    <w:pPr>
      <w:widowControl/>
      <w:adjustRightInd w:val="0"/>
      <w:snapToGrid w:val="0"/>
      <w:spacing w:after="200"/>
      <w:jc w:val="left"/>
    </w:pPr>
    <w:rPr>
      <w:rFonts w:ascii="宋体" w:hAnsi="Tahoma"/>
      <w:kern w:val="0"/>
      <w:sz w:val="18"/>
      <w:szCs w:val="18"/>
    </w:rPr>
  </w:style>
  <w:style w:type="paragraph" w:styleId="17">
    <w:name w:val="annotation text"/>
    <w:basedOn w:val="1"/>
    <w:link w:val="83"/>
    <w:qFormat/>
    <w:uiPriority w:val="0"/>
    <w:pPr>
      <w:jc w:val="left"/>
    </w:pPr>
  </w:style>
  <w:style w:type="paragraph" w:styleId="18">
    <w:name w:val="Body Text 3"/>
    <w:basedOn w:val="1"/>
    <w:qFormat/>
    <w:uiPriority w:val="0"/>
    <w:pPr>
      <w:widowControl/>
      <w:spacing w:line="360" w:lineRule="auto"/>
    </w:pPr>
    <w:rPr>
      <w:rFonts w:ascii="仿宋_GB2312" w:eastAsia="仿宋_GB2312"/>
      <w:sz w:val="24"/>
      <w:szCs w:val="20"/>
    </w:rPr>
  </w:style>
  <w:style w:type="paragraph" w:styleId="19">
    <w:name w:val="Body Text"/>
    <w:basedOn w:val="1"/>
    <w:next w:val="20"/>
    <w:link w:val="70"/>
    <w:qFormat/>
    <w:uiPriority w:val="0"/>
    <w:pPr>
      <w:tabs>
        <w:tab w:val="left" w:pos="208"/>
      </w:tabs>
      <w:spacing w:line="432" w:lineRule="auto"/>
    </w:pPr>
    <w:rPr>
      <w:rFonts w:ascii="仿宋_GB2312" w:eastAsia="仿宋_GB2312"/>
      <w:sz w:val="28"/>
    </w:rPr>
  </w:style>
  <w:style w:type="paragraph" w:styleId="20">
    <w:name w:val="Body Text First Indent"/>
    <w:basedOn w:val="19"/>
    <w:next w:val="21"/>
    <w:link w:val="71"/>
    <w:qFormat/>
    <w:uiPriority w:val="0"/>
    <w:pPr>
      <w:spacing w:after="120" w:line="240" w:lineRule="auto"/>
      <w:ind w:firstLine="420"/>
    </w:pPr>
    <w:rPr>
      <w:lang w:val="zh-CN"/>
    </w:rPr>
  </w:style>
  <w:style w:type="paragraph" w:styleId="21">
    <w:name w:val="toc 6"/>
    <w:basedOn w:val="1"/>
    <w:next w:val="1"/>
    <w:unhideWhenUsed/>
    <w:qFormat/>
    <w:uiPriority w:val="39"/>
    <w:pPr>
      <w:ind w:left="2100" w:leftChars="1000"/>
    </w:pPr>
    <w:rPr>
      <w:rFonts w:ascii="Calibri" w:hAnsi="Calibri"/>
      <w:szCs w:val="22"/>
    </w:rPr>
  </w:style>
  <w:style w:type="paragraph" w:styleId="22">
    <w:name w:val="Body Text Indent"/>
    <w:basedOn w:val="1"/>
    <w:next w:val="1"/>
    <w:link w:val="84"/>
    <w:qFormat/>
    <w:uiPriority w:val="0"/>
    <w:pPr>
      <w:ind w:firstLine="540"/>
    </w:pPr>
    <w:rPr>
      <w:sz w:val="28"/>
      <w:szCs w:val="20"/>
    </w:rPr>
  </w:style>
  <w:style w:type="paragraph" w:styleId="23">
    <w:name w:val="List Number 3"/>
    <w:basedOn w:val="1"/>
    <w:qFormat/>
    <w:uiPriority w:val="0"/>
    <w:pPr>
      <w:tabs>
        <w:tab w:val="left" w:pos="1200"/>
      </w:tabs>
      <w:spacing w:beforeLines="40" w:afterLines="40" w:line="300" w:lineRule="auto"/>
      <w:ind w:left="1200" w:hanging="360"/>
    </w:pPr>
    <w:rPr>
      <w:sz w:val="24"/>
    </w:rPr>
  </w:style>
  <w:style w:type="paragraph" w:styleId="24">
    <w:name w:val="List 2"/>
    <w:basedOn w:val="1"/>
    <w:qFormat/>
    <w:uiPriority w:val="0"/>
    <w:pPr>
      <w:widowControl/>
      <w:spacing w:after="160"/>
      <w:ind w:left="100" w:leftChars="200" w:hanging="200" w:hangingChars="200"/>
      <w:jc w:val="left"/>
    </w:pPr>
    <w:rPr>
      <w:kern w:val="0"/>
      <w:szCs w:val="20"/>
      <w:lang w:eastAsia="en-US"/>
    </w:rPr>
  </w:style>
  <w:style w:type="paragraph" w:styleId="25">
    <w:name w:val="Block Text"/>
    <w:basedOn w:val="1"/>
    <w:qFormat/>
    <w:uiPriority w:val="0"/>
    <w:pPr>
      <w:spacing w:after="120"/>
      <w:ind w:left="1440" w:leftChars="700" w:right="1440" w:rightChars="700"/>
    </w:pPr>
    <w:rPr>
      <w:rFonts w:ascii="Calibri" w:hAnsi="Calibri"/>
    </w:rPr>
  </w:style>
  <w:style w:type="paragraph" w:styleId="26">
    <w:name w:val="toc 5"/>
    <w:basedOn w:val="1"/>
    <w:next w:val="1"/>
    <w:unhideWhenUsed/>
    <w:qFormat/>
    <w:uiPriority w:val="39"/>
    <w:pPr>
      <w:ind w:left="1680" w:leftChars="800"/>
    </w:pPr>
    <w:rPr>
      <w:rFonts w:ascii="Calibri" w:hAnsi="Calibri"/>
      <w:szCs w:val="22"/>
    </w:rPr>
  </w:style>
  <w:style w:type="paragraph" w:styleId="27">
    <w:name w:val="toc 3"/>
    <w:basedOn w:val="1"/>
    <w:next w:val="1"/>
    <w:qFormat/>
    <w:uiPriority w:val="39"/>
    <w:pPr>
      <w:tabs>
        <w:tab w:val="right" w:leader="dot" w:pos="9060"/>
      </w:tabs>
      <w:ind w:left="750" w:leftChars="300" w:hanging="120" w:hangingChars="50"/>
    </w:pPr>
    <w:rPr>
      <w:rFonts w:ascii="仿宋_GB2312" w:eastAsia="仿宋_GB2312"/>
      <w:sz w:val="24"/>
      <w:szCs w:val="36"/>
    </w:rPr>
  </w:style>
  <w:style w:type="paragraph" w:styleId="28">
    <w:name w:val="Plain Text"/>
    <w:basedOn w:val="1"/>
    <w:next w:val="1"/>
    <w:link w:val="85"/>
    <w:qFormat/>
    <w:uiPriority w:val="0"/>
    <w:rPr>
      <w:rFonts w:ascii="宋体" w:hAnsi="Courier New"/>
      <w:szCs w:val="20"/>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86"/>
    <w:qFormat/>
    <w:uiPriority w:val="0"/>
    <w:pPr>
      <w:adjustRightInd w:val="0"/>
      <w:spacing w:line="312" w:lineRule="atLeast"/>
    </w:pPr>
    <w:rPr>
      <w:rFonts w:ascii="仿宋_GB2312" w:eastAsia="仿宋_GB2312"/>
      <w:kern w:val="0"/>
      <w:sz w:val="28"/>
      <w:szCs w:val="20"/>
    </w:rPr>
  </w:style>
  <w:style w:type="paragraph" w:styleId="31">
    <w:name w:val="Body Text Indent 2"/>
    <w:basedOn w:val="1"/>
    <w:link w:val="87"/>
    <w:qFormat/>
    <w:uiPriority w:val="0"/>
    <w:pPr>
      <w:snapToGrid w:val="0"/>
      <w:spacing w:line="400" w:lineRule="exact"/>
      <w:ind w:firstLine="480"/>
    </w:pPr>
    <w:rPr>
      <w:rFonts w:eastAsia="仿宋_GB2312"/>
      <w:sz w:val="24"/>
    </w:rPr>
  </w:style>
  <w:style w:type="paragraph" w:styleId="32">
    <w:name w:val="Balloon Text"/>
    <w:basedOn w:val="1"/>
    <w:link w:val="88"/>
    <w:qFormat/>
    <w:uiPriority w:val="0"/>
    <w:rPr>
      <w:sz w:val="18"/>
      <w:szCs w:val="18"/>
    </w:rPr>
  </w:style>
  <w:style w:type="paragraph" w:styleId="33">
    <w:name w:val="footer"/>
    <w:basedOn w:val="1"/>
    <w:link w:val="89"/>
    <w:qFormat/>
    <w:uiPriority w:val="99"/>
    <w:pPr>
      <w:tabs>
        <w:tab w:val="center" w:pos="4153"/>
        <w:tab w:val="right" w:pos="8306"/>
      </w:tabs>
      <w:snapToGrid w:val="0"/>
      <w:jc w:val="left"/>
    </w:pPr>
    <w:rPr>
      <w:sz w:val="18"/>
      <w:szCs w:val="18"/>
    </w:rPr>
  </w:style>
  <w:style w:type="paragraph" w:styleId="34">
    <w:name w:val="envelope return"/>
    <w:basedOn w:val="1"/>
    <w:qFormat/>
    <w:uiPriority w:val="99"/>
    <w:pPr>
      <w:snapToGrid w:val="0"/>
    </w:pPr>
    <w:rPr>
      <w:rFonts w:ascii="Arial" w:hAnsi="Arial" w:cs="Arial"/>
    </w:rPr>
  </w:style>
  <w:style w:type="paragraph" w:styleId="35">
    <w:name w:val="header"/>
    <w:basedOn w:val="1"/>
    <w:link w:val="90"/>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6">
    <w:name w:val="Signature"/>
    <w:basedOn w:val="1"/>
    <w:next w:val="1"/>
    <w:link w:val="91"/>
    <w:qFormat/>
    <w:uiPriority w:val="0"/>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37">
    <w:name w:val="toc 1"/>
    <w:basedOn w:val="1"/>
    <w:next w:val="1"/>
    <w:qFormat/>
    <w:uiPriority w:val="39"/>
    <w:pPr>
      <w:tabs>
        <w:tab w:val="left" w:pos="1470"/>
        <w:tab w:val="right" w:leader="dot" w:pos="9016"/>
      </w:tabs>
      <w:ind w:firstLine="480"/>
    </w:pPr>
    <w:rPr>
      <w:rFonts w:ascii="宋体" w:hAnsi="宋体" w:eastAsia="仿宋_GB2312"/>
      <w:b/>
      <w:sz w:val="30"/>
      <w:szCs w:val="30"/>
    </w:rPr>
  </w:style>
  <w:style w:type="paragraph" w:styleId="38">
    <w:name w:val="toc 4"/>
    <w:basedOn w:val="1"/>
    <w:next w:val="1"/>
    <w:unhideWhenUsed/>
    <w:qFormat/>
    <w:uiPriority w:val="39"/>
    <w:pPr>
      <w:ind w:left="1260" w:leftChars="600"/>
    </w:pPr>
    <w:rPr>
      <w:rFonts w:ascii="Calibri" w:hAnsi="Calibri"/>
      <w:szCs w:val="22"/>
    </w:rPr>
  </w:style>
  <w:style w:type="paragraph" w:styleId="39">
    <w:name w:val="Subtitle"/>
    <w:basedOn w:val="1"/>
    <w:link w:val="92"/>
    <w:qFormat/>
    <w:uiPriority w:val="11"/>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00" w:hanging="200" w:hangingChars="200"/>
    </w:pPr>
  </w:style>
  <w:style w:type="paragraph" w:styleId="41">
    <w:name w:val="footnote text"/>
    <w:basedOn w:val="1"/>
    <w:qFormat/>
    <w:uiPriority w:val="0"/>
    <w:pPr>
      <w:snapToGrid w:val="0"/>
      <w:jc w:val="left"/>
    </w:pPr>
    <w:rPr>
      <w:sz w:val="18"/>
    </w:rPr>
  </w:style>
  <w:style w:type="paragraph" w:styleId="42">
    <w:name w:val="Body Text Indent 3"/>
    <w:basedOn w:val="1"/>
    <w:qFormat/>
    <w:uiPriority w:val="0"/>
    <w:pPr>
      <w:spacing w:line="360" w:lineRule="auto"/>
      <w:ind w:left="220"/>
      <w:jc w:val="left"/>
    </w:pPr>
    <w:rPr>
      <w:rFonts w:ascii="仿宋_GB2312" w:eastAsia="仿宋_GB2312"/>
      <w:color w:val="000000"/>
      <w:sz w:val="24"/>
    </w:rPr>
  </w:style>
  <w:style w:type="paragraph" w:styleId="43">
    <w:name w:val="toc 2"/>
    <w:basedOn w:val="1"/>
    <w:next w:val="1"/>
    <w:qFormat/>
    <w:uiPriority w:val="39"/>
    <w:pPr>
      <w:tabs>
        <w:tab w:val="right" w:leader="dot" w:pos="9060"/>
      </w:tabs>
      <w:ind w:left="525" w:leftChars="250"/>
      <w:jc w:val="center"/>
    </w:pPr>
    <w:rPr>
      <w:rFonts w:ascii="宋体" w:hAnsi="宋体" w:eastAsia="仿宋_GB2312"/>
      <w:b/>
      <w:bCs/>
      <w:sz w:val="30"/>
      <w:szCs w:val="30"/>
    </w:rPr>
  </w:style>
  <w:style w:type="paragraph" w:styleId="44">
    <w:name w:val="toc 9"/>
    <w:basedOn w:val="1"/>
    <w:next w:val="1"/>
    <w:unhideWhenUsed/>
    <w:qFormat/>
    <w:uiPriority w:val="39"/>
    <w:pPr>
      <w:ind w:left="3360" w:leftChars="1600"/>
    </w:pPr>
    <w:rPr>
      <w:rFonts w:ascii="Calibri" w:hAnsi="Calibri"/>
      <w:szCs w:val="22"/>
    </w:rPr>
  </w:style>
  <w:style w:type="paragraph" w:styleId="45">
    <w:name w:val="Body Text 2"/>
    <w:basedOn w:val="1"/>
    <w:qFormat/>
    <w:uiPriority w:val="0"/>
    <w:pPr>
      <w:spacing w:line="560" w:lineRule="exact"/>
    </w:pPr>
    <w:rPr>
      <w:rFonts w:ascii="仿宋_GB2312" w:eastAsia="仿宋_GB2312"/>
      <w:sz w:val="24"/>
    </w:rPr>
  </w:style>
  <w:style w:type="paragraph" w:styleId="46">
    <w:name w:val="HTML Preformatted"/>
    <w:basedOn w:val="1"/>
    <w:link w:val="93"/>
    <w:qFormat/>
    <w:uiPriority w:val="99"/>
    <w:rPr>
      <w:rFonts w:ascii="Arial Unicode MS" w:hAnsi="Arial Unicode MS" w:eastAsia="Arial Unicode MS"/>
      <w:kern w:val="0"/>
      <w:sz w:val="20"/>
      <w:szCs w:val="20"/>
    </w:rPr>
  </w:style>
  <w:style w:type="paragraph" w:styleId="47">
    <w:name w:val="Normal (Web)"/>
    <w:basedOn w:val="1"/>
    <w:link w:val="94"/>
    <w:qFormat/>
    <w:uiPriority w:val="0"/>
    <w:pPr>
      <w:widowControl/>
      <w:jc w:val="left"/>
    </w:pPr>
    <w:rPr>
      <w:rFonts w:ascii="宋体" w:hAnsi="宋体"/>
      <w:kern w:val="0"/>
      <w:sz w:val="24"/>
    </w:rPr>
  </w:style>
  <w:style w:type="paragraph" w:styleId="48">
    <w:name w:val="Title"/>
    <w:basedOn w:val="1"/>
    <w:next w:val="1"/>
    <w:link w:val="95"/>
    <w:qFormat/>
    <w:uiPriority w:val="1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49">
    <w:name w:val="annotation subject"/>
    <w:basedOn w:val="17"/>
    <w:next w:val="17"/>
    <w:link w:val="96"/>
    <w:unhideWhenUsed/>
    <w:qFormat/>
    <w:uiPriority w:val="99"/>
    <w:rPr>
      <w:rFonts w:ascii="Calibri" w:hAnsi="Calibri"/>
      <w:b/>
      <w:bCs/>
      <w:szCs w:val="22"/>
    </w:rPr>
  </w:style>
  <w:style w:type="paragraph" w:styleId="50">
    <w:name w:val="Body Text First Indent 2"/>
    <w:basedOn w:val="22"/>
    <w:next w:val="1"/>
    <w:qFormat/>
    <w:uiPriority w:val="0"/>
    <w:pPr>
      <w:spacing w:after="120"/>
      <w:ind w:left="420" w:leftChars="200" w:firstLine="420" w:firstLineChars="200"/>
    </w:pPr>
    <w:rPr>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3">
    <w:name w:val="Table Elegant"/>
    <w:basedOn w:val="5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4"/>
    <w:basedOn w:val="51"/>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6">
    <w:name w:val="Strong"/>
    <w:qFormat/>
    <w:uiPriority w:val="22"/>
  </w:style>
  <w:style w:type="character" w:styleId="57">
    <w:name w:val="page number"/>
    <w:qFormat/>
    <w:uiPriority w:val="0"/>
  </w:style>
  <w:style w:type="character" w:styleId="58">
    <w:name w:val="FollowedHyperlink"/>
    <w:qFormat/>
    <w:uiPriority w:val="0"/>
    <w:rPr>
      <w:rFonts w:hint="eastAsia" w:ascii="微软雅黑" w:hAnsi="微软雅黑" w:eastAsia="微软雅黑" w:cs="微软雅黑"/>
      <w:color w:val="02396F"/>
      <w:u w:val="single"/>
    </w:rPr>
  </w:style>
  <w:style w:type="character" w:styleId="59">
    <w:name w:val="Emphasis"/>
    <w:qFormat/>
    <w:uiPriority w:val="0"/>
    <w:rPr>
      <w:color w:val="CC0000"/>
    </w:rPr>
  </w:style>
  <w:style w:type="character" w:styleId="60">
    <w:name w:val="HTML Definition"/>
    <w:qFormat/>
    <w:uiPriority w:val="0"/>
  </w:style>
  <w:style w:type="character" w:styleId="61">
    <w:name w:val="HTML Acronym"/>
    <w:qFormat/>
    <w:uiPriority w:val="0"/>
  </w:style>
  <w:style w:type="character" w:styleId="62">
    <w:name w:val="HTML Variable"/>
    <w:qFormat/>
    <w:uiPriority w:val="0"/>
  </w:style>
  <w:style w:type="character" w:styleId="63">
    <w:name w:val="Hyperlink"/>
    <w:qFormat/>
    <w:uiPriority w:val="99"/>
    <w:rPr>
      <w:rFonts w:hint="eastAsia" w:ascii="微软雅黑" w:hAnsi="微软雅黑" w:eastAsia="微软雅黑" w:cs="微软雅黑"/>
      <w:color w:val="02396F"/>
      <w:u w:val="single"/>
    </w:rPr>
  </w:style>
  <w:style w:type="character" w:styleId="64">
    <w:name w:val="HTML Code"/>
    <w:qFormat/>
    <w:uiPriority w:val="0"/>
    <w:rPr>
      <w:rFonts w:ascii="Courier New" w:hAnsi="Courier New"/>
      <w:sz w:val="20"/>
    </w:rPr>
  </w:style>
  <w:style w:type="character" w:styleId="65">
    <w:name w:val="annotation reference"/>
    <w:qFormat/>
    <w:uiPriority w:val="99"/>
    <w:rPr>
      <w:sz w:val="21"/>
      <w:szCs w:val="21"/>
    </w:rPr>
  </w:style>
  <w:style w:type="character" w:styleId="66">
    <w:name w:val="HTML Cite"/>
    <w:qFormat/>
    <w:uiPriority w:val="0"/>
  </w:style>
  <w:style w:type="paragraph" w:customStyle="1" w:styleId="67">
    <w:name w:val="表格文字"/>
    <w:basedOn w:val="1"/>
    <w:next w:val="19"/>
    <w:qFormat/>
    <w:uiPriority w:val="0"/>
    <w:pPr>
      <w:adjustRightInd w:val="0"/>
      <w:spacing w:line="420" w:lineRule="atLeast"/>
      <w:ind w:firstLine="643" w:firstLineChars="200"/>
      <w:textAlignment w:val="baseline"/>
    </w:pPr>
    <w:rPr>
      <w:rFonts w:ascii="仿宋" w:hAnsi="仿宋" w:eastAsia="仿宋"/>
      <w:sz w:val="24"/>
    </w:rPr>
  </w:style>
  <w:style w:type="paragraph" w:customStyle="1" w:styleId="68">
    <w:name w:val="Normal Indent1"/>
    <w:basedOn w:val="1"/>
    <w:qFormat/>
    <w:uiPriority w:val="0"/>
    <w:pPr>
      <w:ind w:firstLine="420" w:firstLineChars="200"/>
    </w:pPr>
  </w:style>
  <w:style w:type="paragraph" w:customStyle="1" w:styleId="69">
    <w:name w:val="正文1"/>
    <w:basedOn w:val="27"/>
    <w:next w:val="5"/>
    <w:qFormat/>
    <w:uiPriority w:val="0"/>
    <w:pPr>
      <w:adjustRightInd w:val="0"/>
      <w:spacing w:line="360" w:lineRule="atLeast"/>
      <w:jc w:val="left"/>
      <w:textAlignment w:val="baseline"/>
    </w:pPr>
    <w:rPr>
      <w:rFonts w:ascii="宋体"/>
      <w:kern w:val="0"/>
      <w:sz w:val="24"/>
      <w:szCs w:val="20"/>
    </w:rPr>
  </w:style>
  <w:style w:type="character" w:customStyle="1" w:styleId="70">
    <w:name w:val="正文文本 字符"/>
    <w:link w:val="19"/>
    <w:qFormat/>
    <w:uiPriority w:val="0"/>
    <w:rPr>
      <w:rFonts w:ascii="仿宋_GB2312" w:eastAsia="仿宋_GB2312"/>
      <w:kern w:val="2"/>
      <w:sz w:val="28"/>
      <w:szCs w:val="24"/>
    </w:rPr>
  </w:style>
  <w:style w:type="character" w:customStyle="1" w:styleId="71">
    <w:name w:val="正文文本首行缩进 字符"/>
    <w:link w:val="20"/>
    <w:qFormat/>
    <w:uiPriority w:val="0"/>
    <w:rPr>
      <w:rFonts w:ascii="仿宋_GB2312" w:eastAsia="仿宋_GB2312"/>
      <w:kern w:val="2"/>
      <w:sz w:val="28"/>
      <w:szCs w:val="24"/>
      <w:lang w:val="zh-CN"/>
    </w:rPr>
  </w:style>
  <w:style w:type="character" w:customStyle="1" w:styleId="72">
    <w:name w:val="标题 1 字符"/>
    <w:link w:val="2"/>
    <w:qFormat/>
    <w:uiPriority w:val="0"/>
    <w:rPr>
      <w:rFonts w:ascii="仿宋_GB2312" w:eastAsia="仿宋_GB2312"/>
      <w:b/>
      <w:kern w:val="2"/>
      <w:sz w:val="44"/>
      <w:szCs w:val="24"/>
      <w:lang w:val="en-US" w:eastAsia="zh-CN" w:bidi="ar-SA"/>
    </w:rPr>
  </w:style>
  <w:style w:type="character" w:customStyle="1" w:styleId="73">
    <w:name w:val="标题 2 字符"/>
    <w:link w:val="3"/>
    <w:qFormat/>
    <w:uiPriority w:val="0"/>
    <w:rPr>
      <w:rFonts w:ascii="仿宋_GB2312" w:eastAsia="仿宋_GB2312"/>
      <w:b/>
      <w:sz w:val="36"/>
    </w:rPr>
  </w:style>
  <w:style w:type="character" w:customStyle="1" w:styleId="74">
    <w:name w:val="标题 3 字符1"/>
    <w:link w:val="4"/>
    <w:qFormat/>
    <w:uiPriority w:val="0"/>
    <w:rPr>
      <w:rFonts w:ascii="仿宋_GB2312" w:eastAsia="仿宋_GB2312"/>
      <w:b/>
      <w:bCs/>
      <w:kern w:val="2"/>
      <w:sz w:val="30"/>
    </w:rPr>
  </w:style>
  <w:style w:type="character" w:customStyle="1" w:styleId="75">
    <w:name w:val="正文缩进 字符1"/>
    <w:link w:val="5"/>
    <w:qFormat/>
    <w:uiPriority w:val="0"/>
    <w:rPr>
      <w:kern w:val="2"/>
      <w:sz w:val="21"/>
    </w:rPr>
  </w:style>
  <w:style w:type="character" w:customStyle="1" w:styleId="76">
    <w:name w:val="标题 4 字符"/>
    <w:link w:val="6"/>
    <w:qFormat/>
    <w:uiPriority w:val="0"/>
    <w:rPr>
      <w:rFonts w:ascii="Arial" w:hAnsi="Arial" w:eastAsia="黑体"/>
      <w:b/>
      <w:color w:val="000000"/>
      <w:kern w:val="2"/>
      <w:sz w:val="28"/>
    </w:rPr>
  </w:style>
  <w:style w:type="character" w:customStyle="1" w:styleId="77">
    <w:name w:val="标题 5 字符"/>
    <w:link w:val="7"/>
    <w:qFormat/>
    <w:uiPriority w:val="0"/>
    <w:rPr>
      <w:b/>
      <w:color w:val="000000"/>
      <w:kern w:val="2"/>
      <w:sz w:val="28"/>
    </w:rPr>
  </w:style>
  <w:style w:type="character" w:customStyle="1" w:styleId="78">
    <w:name w:val="标题 6 字符"/>
    <w:link w:val="8"/>
    <w:qFormat/>
    <w:uiPriority w:val="0"/>
    <w:rPr>
      <w:rFonts w:ascii="Arial" w:hAnsi="Arial" w:eastAsia="黑体"/>
      <w:b/>
      <w:color w:val="000000"/>
      <w:kern w:val="2"/>
      <w:sz w:val="24"/>
    </w:rPr>
  </w:style>
  <w:style w:type="character" w:customStyle="1" w:styleId="79">
    <w:name w:val="标题 7 字符"/>
    <w:link w:val="9"/>
    <w:qFormat/>
    <w:uiPriority w:val="9"/>
    <w:rPr>
      <w:b/>
      <w:color w:val="000000"/>
      <w:kern w:val="2"/>
      <w:sz w:val="24"/>
    </w:rPr>
  </w:style>
  <w:style w:type="character" w:customStyle="1" w:styleId="80">
    <w:name w:val="标题 8 字符"/>
    <w:link w:val="10"/>
    <w:qFormat/>
    <w:uiPriority w:val="0"/>
    <w:rPr>
      <w:rFonts w:ascii="Arial" w:hAnsi="Arial" w:eastAsia="黑体"/>
      <w:color w:val="000000"/>
      <w:kern w:val="2"/>
      <w:sz w:val="24"/>
    </w:rPr>
  </w:style>
  <w:style w:type="character" w:customStyle="1" w:styleId="81">
    <w:name w:val="标题 9 字符"/>
    <w:link w:val="11"/>
    <w:qFormat/>
    <w:uiPriority w:val="0"/>
    <w:rPr>
      <w:rFonts w:ascii="Arial" w:hAnsi="Arial" w:eastAsia="黑体"/>
      <w:color w:val="000000"/>
      <w:kern w:val="2"/>
      <w:sz w:val="21"/>
    </w:rPr>
  </w:style>
  <w:style w:type="character" w:customStyle="1" w:styleId="82">
    <w:name w:val="文档结构图 字符"/>
    <w:link w:val="16"/>
    <w:qFormat/>
    <w:uiPriority w:val="99"/>
    <w:rPr>
      <w:rFonts w:ascii="宋体" w:hAnsi="Tahoma" w:cs="黑体"/>
      <w:sz w:val="18"/>
      <w:szCs w:val="18"/>
    </w:rPr>
  </w:style>
  <w:style w:type="character" w:customStyle="1" w:styleId="83">
    <w:name w:val="批注文字 字符"/>
    <w:link w:val="17"/>
    <w:qFormat/>
    <w:uiPriority w:val="0"/>
    <w:rPr>
      <w:kern w:val="2"/>
      <w:sz w:val="21"/>
      <w:szCs w:val="24"/>
    </w:rPr>
  </w:style>
  <w:style w:type="character" w:customStyle="1" w:styleId="84">
    <w:name w:val="正文文本缩进 字符"/>
    <w:link w:val="22"/>
    <w:qFormat/>
    <w:uiPriority w:val="0"/>
    <w:rPr>
      <w:kern w:val="2"/>
      <w:sz w:val="28"/>
    </w:rPr>
  </w:style>
  <w:style w:type="character" w:customStyle="1" w:styleId="85">
    <w:name w:val="纯文本 字符"/>
    <w:link w:val="28"/>
    <w:qFormat/>
    <w:uiPriority w:val="0"/>
    <w:rPr>
      <w:rFonts w:ascii="宋体" w:hAnsi="Courier New" w:eastAsia="宋体"/>
      <w:kern w:val="2"/>
      <w:sz w:val="21"/>
      <w:lang w:val="en-US" w:eastAsia="zh-CN" w:bidi="ar-SA"/>
    </w:rPr>
  </w:style>
  <w:style w:type="character" w:customStyle="1" w:styleId="86">
    <w:name w:val="日期 字符"/>
    <w:link w:val="30"/>
    <w:qFormat/>
    <w:uiPriority w:val="0"/>
    <w:rPr>
      <w:rFonts w:ascii="仿宋_GB2312" w:eastAsia="仿宋_GB2312"/>
      <w:sz w:val="28"/>
    </w:rPr>
  </w:style>
  <w:style w:type="character" w:customStyle="1" w:styleId="87">
    <w:name w:val="正文文本缩进 2 字符"/>
    <w:link w:val="31"/>
    <w:qFormat/>
    <w:uiPriority w:val="0"/>
    <w:rPr>
      <w:rFonts w:eastAsia="仿宋_GB2312"/>
      <w:kern w:val="2"/>
      <w:sz w:val="24"/>
      <w:szCs w:val="24"/>
    </w:rPr>
  </w:style>
  <w:style w:type="character" w:customStyle="1" w:styleId="88">
    <w:name w:val="批注框文本 字符"/>
    <w:link w:val="32"/>
    <w:qFormat/>
    <w:uiPriority w:val="0"/>
    <w:rPr>
      <w:kern w:val="2"/>
      <w:sz w:val="18"/>
      <w:szCs w:val="18"/>
    </w:rPr>
  </w:style>
  <w:style w:type="character" w:customStyle="1" w:styleId="89">
    <w:name w:val="页脚 字符"/>
    <w:link w:val="33"/>
    <w:qFormat/>
    <w:uiPriority w:val="99"/>
    <w:rPr>
      <w:kern w:val="2"/>
      <w:sz w:val="18"/>
      <w:szCs w:val="18"/>
    </w:rPr>
  </w:style>
  <w:style w:type="character" w:customStyle="1" w:styleId="90">
    <w:name w:val="页眉 字符"/>
    <w:link w:val="35"/>
    <w:qFormat/>
    <w:uiPriority w:val="99"/>
    <w:rPr>
      <w:sz w:val="18"/>
    </w:rPr>
  </w:style>
  <w:style w:type="character" w:customStyle="1" w:styleId="91">
    <w:name w:val="签名 字符"/>
    <w:link w:val="36"/>
    <w:qFormat/>
    <w:uiPriority w:val="0"/>
    <w:rPr>
      <w:rFonts w:ascii="Arial" w:hAnsi="Arial"/>
      <w:spacing w:val="-5"/>
      <w:sz w:val="24"/>
    </w:rPr>
  </w:style>
  <w:style w:type="character" w:customStyle="1" w:styleId="92">
    <w:name w:val="副标题 字符"/>
    <w:link w:val="39"/>
    <w:qFormat/>
    <w:uiPriority w:val="11"/>
    <w:rPr>
      <w:rFonts w:ascii="Cambria" w:hAnsi="Cambria"/>
      <w:b/>
      <w:bCs/>
      <w:kern w:val="28"/>
      <w:sz w:val="32"/>
      <w:szCs w:val="32"/>
    </w:rPr>
  </w:style>
  <w:style w:type="character" w:customStyle="1" w:styleId="93">
    <w:name w:val="HTML 预设格式 字符"/>
    <w:link w:val="46"/>
    <w:qFormat/>
    <w:uiPriority w:val="99"/>
    <w:rPr>
      <w:rFonts w:ascii="Arial Unicode MS" w:hAnsi="Arial Unicode MS" w:eastAsia="Arial Unicode MS"/>
    </w:rPr>
  </w:style>
  <w:style w:type="character" w:customStyle="1" w:styleId="94">
    <w:name w:val="普通(网站) 字符"/>
    <w:link w:val="47"/>
    <w:qFormat/>
    <w:uiPriority w:val="0"/>
    <w:rPr>
      <w:rFonts w:ascii="宋体" w:hAnsi="宋体" w:cs="宋体"/>
      <w:sz w:val="24"/>
      <w:szCs w:val="24"/>
    </w:rPr>
  </w:style>
  <w:style w:type="character" w:customStyle="1" w:styleId="95">
    <w:name w:val="标题 字符"/>
    <w:link w:val="48"/>
    <w:qFormat/>
    <w:uiPriority w:val="10"/>
    <w:rPr>
      <w:rFonts w:eastAsia="黑体"/>
      <w:b/>
      <w:sz w:val="28"/>
      <w:lang w:val="en-GB"/>
    </w:rPr>
  </w:style>
  <w:style w:type="character" w:customStyle="1" w:styleId="96">
    <w:name w:val="批注主题 字符"/>
    <w:link w:val="49"/>
    <w:qFormat/>
    <w:uiPriority w:val="99"/>
    <w:rPr>
      <w:rFonts w:ascii="Calibri" w:hAnsi="Calibri"/>
      <w:b/>
      <w:bCs/>
      <w:kern w:val="2"/>
      <w:sz w:val="21"/>
      <w:szCs w:val="22"/>
    </w:rPr>
  </w:style>
  <w:style w:type="paragraph" w:customStyle="1" w:styleId="97">
    <w:name w:val="_Style 10"/>
    <w:basedOn w:val="1"/>
    <w:qFormat/>
    <w:uiPriority w:val="0"/>
    <w:rPr>
      <w:rFonts w:ascii="仿宋_GB2312" w:eastAsia="仿宋_GB2312"/>
      <w:b/>
      <w:sz w:val="32"/>
      <w:szCs w:val="32"/>
    </w:rPr>
  </w:style>
  <w:style w:type="character" w:customStyle="1" w:styleId="98">
    <w:name w:val="font51"/>
    <w:qFormat/>
    <w:uiPriority w:val="0"/>
    <w:rPr>
      <w:rFonts w:hint="eastAsia" w:ascii="宋体" w:hAnsi="宋体" w:eastAsia="宋体" w:cs="宋体"/>
      <w:color w:val="000000"/>
      <w:sz w:val="24"/>
      <w:szCs w:val="24"/>
      <w:u w:val="none"/>
    </w:rPr>
  </w:style>
  <w:style w:type="character" w:customStyle="1" w:styleId="99">
    <w:name w:val="Char Char1_0"/>
    <w:link w:val="100"/>
    <w:qFormat/>
    <w:uiPriority w:val="0"/>
    <w:rPr>
      <w:rFonts w:ascii="Tahoma" w:hAnsi="Tahoma"/>
      <w:kern w:val="2"/>
      <w:sz w:val="24"/>
    </w:rPr>
  </w:style>
  <w:style w:type="paragraph" w:customStyle="1" w:styleId="100">
    <w:name w:val="Char_0"/>
    <w:basedOn w:val="101"/>
    <w:link w:val="99"/>
    <w:qFormat/>
    <w:uiPriority w:val="0"/>
    <w:rPr>
      <w:rFonts w:ascii="Tahoma" w:hAnsi="Tahoma"/>
      <w:sz w:val="24"/>
      <w:szCs w:val="20"/>
    </w:rPr>
  </w:style>
  <w:style w:type="paragraph" w:customStyle="1" w:styleId="10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2">
    <w:name w:val="NormalCharacter"/>
    <w:qFormat/>
    <w:uiPriority w:val="0"/>
    <w:rPr>
      <w:kern w:val="2"/>
      <w:sz w:val="21"/>
      <w:szCs w:val="24"/>
      <w:lang w:val="en-US" w:eastAsia="zh-CN" w:bidi="ar-SA"/>
    </w:rPr>
  </w:style>
  <w:style w:type="character" w:customStyle="1" w:styleId="103">
    <w:name w:val="纯文本 Char1_4_3"/>
    <w:link w:val="104"/>
    <w:qFormat/>
    <w:uiPriority w:val="0"/>
    <w:rPr>
      <w:rFonts w:ascii="宋体" w:hAnsi="Courier New"/>
      <w:kern w:val="2"/>
      <w:sz w:val="21"/>
      <w:lang w:val="en-US" w:eastAsia="zh-CN"/>
    </w:rPr>
  </w:style>
  <w:style w:type="paragraph" w:customStyle="1" w:styleId="104">
    <w:name w:val="纯文本_5_0"/>
    <w:basedOn w:val="1"/>
    <w:link w:val="103"/>
    <w:qFormat/>
    <w:uiPriority w:val="0"/>
    <w:rPr>
      <w:rFonts w:ascii="宋体" w:hAnsi="Courier New"/>
      <w:szCs w:val="20"/>
    </w:rPr>
  </w:style>
  <w:style w:type="character" w:customStyle="1" w:styleId="105">
    <w:name w:val="ca-11"/>
    <w:qFormat/>
    <w:uiPriority w:val="99"/>
    <w:rPr>
      <w:rFonts w:ascii="仿宋_GB2312" w:eastAsia="仿宋_GB2312" w:cs="Times New Roman"/>
      <w:sz w:val="28"/>
      <w:szCs w:val="28"/>
    </w:rPr>
  </w:style>
  <w:style w:type="character" w:customStyle="1" w:styleId="106">
    <w:name w:val="样式 正文缩进 + 首行缩进:  2 字符 Char"/>
    <w:link w:val="107"/>
    <w:qFormat/>
    <w:uiPriority w:val="0"/>
    <w:rPr>
      <w:rFonts w:ascii="Tahoma" w:hAnsi="Tahoma"/>
    </w:rPr>
  </w:style>
  <w:style w:type="paragraph" w:customStyle="1" w:styleId="107">
    <w:name w:val="样式 正文缩进 + 首行缩进:  2 字符"/>
    <w:basedOn w:val="5"/>
    <w:link w:val="106"/>
    <w:qFormat/>
    <w:uiPriority w:val="0"/>
    <w:pPr>
      <w:spacing w:line="360" w:lineRule="auto"/>
      <w:ind w:firstLine="200" w:firstLineChars="200"/>
    </w:pPr>
    <w:rPr>
      <w:rFonts w:ascii="Tahoma" w:hAnsi="Tahoma"/>
      <w:kern w:val="0"/>
      <w:sz w:val="20"/>
    </w:rPr>
  </w:style>
  <w:style w:type="character" w:customStyle="1" w:styleId="108">
    <w:name w:val="font41"/>
    <w:qFormat/>
    <w:uiPriority w:val="0"/>
    <w:rPr>
      <w:rFonts w:hint="eastAsia" w:ascii="宋体" w:hAnsi="宋体" w:eastAsia="宋体" w:cs="宋体"/>
      <w:color w:val="000000"/>
      <w:sz w:val="24"/>
      <w:szCs w:val="24"/>
      <w:u w:val="none"/>
    </w:rPr>
  </w:style>
  <w:style w:type="character" w:customStyle="1" w:styleId="109">
    <w:name w:val="font151"/>
    <w:qFormat/>
    <w:uiPriority w:val="0"/>
    <w:rPr>
      <w:rFonts w:ascii="Calibri" w:hAnsi="Calibri" w:cs="Calibri"/>
      <w:color w:val="000000"/>
      <w:sz w:val="24"/>
      <w:szCs w:val="24"/>
      <w:u w:val="none"/>
    </w:rPr>
  </w:style>
  <w:style w:type="character" w:customStyle="1" w:styleId="110">
    <w:name w:val="不明显强调1"/>
    <w:qFormat/>
    <w:uiPriority w:val="0"/>
    <w:rPr>
      <w:i/>
      <w:color w:val="808080"/>
    </w:rPr>
  </w:style>
  <w:style w:type="character" w:customStyle="1" w:styleId="111">
    <w:name w:val="正文文本缩进 2 Char"/>
    <w:semiHidden/>
    <w:qFormat/>
    <w:uiPriority w:val="99"/>
  </w:style>
  <w:style w:type="character" w:customStyle="1" w:styleId="112">
    <w:name w:val="next1"/>
    <w:qFormat/>
    <w:uiPriority w:val="0"/>
    <w:rPr>
      <w:color w:val="888888"/>
    </w:rPr>
  </w:style>
  <w:style w:type="character" w:customStyle="1" w:styleId="113">
    <w:name w:val="标题 1 Char Char"/>
    <w:qFormat/>
    <w:uiPriority w:val="0"/>
    <w:rPr>
      <w:rFonts w:eastAsia="宋体"/>
      <w:spacing w:val="-2"/>
      <w:sz w:val="24"/>
      <w:lang w:val="en-US" w:eastAsia="zh-CN" w:bidi="ar-SA"/>
    </w:rPr>
  </w:style>
  <w:style w:type="character" w:customStyle="1" w:styleId="114">
    <w:name w:val="纯文本 Char_0"/>
    <w:link w:val="115"/>
    <w:qFormat/>
    <w:uiPriority w:val="0"/>
    <w:rPr>
      <w:rFonts w:ascii="宋体" w:hAnsi="Courier New"/>
      <w:kern w:val="2"/>
      <w:sz w:val="21"/>
      <w:szCs w:val="21"/>
      <w:lang w:val="en-US" w:eastAsia="zh-CN"/>
    </w:rPr>
  </w:style>
  <w:style w:type="paragraph" w:customStyle="1" w:styleId="115">
    <w:name w:val="纯文本_0_0"/>
    <w:basedOn w:val="116"/>
    <w:link w:val="114"/>
    <w:qFormat/>
    <w:uiPriority w:val="0"/>
    <w:rPr>
      <w:rFonts w:ascii="宋体" w:hAnsi="Courier New"/>
      <w:szCs w:val="21"/>
    </w:rPr>
  </w:style>
  <w:style w:type="paragraph" w:customStyle="1" w:styleId="1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7">
    <w:name w:val="纯文本 Char1_1"/>
    <w:link w:val="118"/>
    <w:qFormat/>
    <w:uiPriority w:val="0"/>
    <w:rPr>
      <w:rFonts w:ascii="宋体" w:hAnsi="Courier New"/>
      <w:kern w:val="2"/>
      <w:sz w:val="21"/>
      <w:lang w:val="en-US" w:eastAsia="zh-CN"/>
    </w:rPr>
  </w:style>
  <w:style w:type="paragraph" w:customStyle="1" w:styleId="118">
    <w:name w:val="纯文本_1"/>
    <w:basedOn w:val="1"/>
    <w:link w:val="117"/>
    <w:qFormat/>
    <w:uiPriority w:val="0"/>
    <w:rPr>
      <w:rFonts w:ascii="宋体" w:hAnsi="Courier New"/>
      <w:szCs w:val="20"/>
    </w:rPr>
  </w:style>
  <w:style w:type="character" w:customStyle="1" w:styleId="119">
    <w:name w:val="无间隔 字符"/>
    <w:link w:val="120"/>
    <w:qFormat/>
    <w:uiPriority w:val="1"/>
    <w:rPr>
      <w:rFonts w:ascii="等线" w:hAnsi="等线" w:eastAsia="等线"/>
      <w:sz w:val="22"/>
      <w:szCs w:val="22"/>
      <w:lang w:val="en-US" w:eastAsia="zh-CN" w:bidi="ar-SA"/>
    </w:rPr>
  </w:style>
  <w:style w:type="paragraph" w:customStyle="1" w:styleId="120">
    <w:name w:val="无间隔1"/>
    <w:link w:val="119"/>
    <w:qFormat/>
    <w:uiPriority w:val="1"/>
    <w:rPr>
      <w:rFonts w:ascii="等线" w:hAnsi="等线" w:eastAsia="等线" w:cs="Times New Roman"/>
      <w:sz w:val="22"/>
      <w:szCs w:val="22"/>
      <w:lang w:val="en-US" w:eastAsia="zh-CN" w:bidi="ar-SA"/>
    </w:rPr>
  </w:style>
  <w:style w:type="character" w:customStyle="1" w:styleId="121">
    <w:name w:val="正文2 Char"/>
    <w:link w:val="122"/>
    <w:qFormat/>
    <w:uiPriority w:val="0"/>
  </w:style>
  <w:style w:type="paragraph" w:customStyle="1" w:styleId="122">
    <w:name w:val="正文2"/>
    <w:basedOn w:val="1"/>
    <w:link w:val="121"/>
    <w:qFormat/>
    <w:uiPriority w:val="0"/>
    <w:pPr>
      <w:spacing w:line="300" w:lineRule="auto"/>
      <w:ind w:left="500" w:leftChars="500"/>
    </w:pPr>
    <w:rPr>
      <w:kern w:val="0"/>
      <w:sz w:val="20"/>
      <w:szCs w:val="20"/>
    </w:rPr>
  </w:style>
  <w:style w:type="character" w:customStyle="1" w:styleId="123">
    <w:name w:val="font71"/>
    <w:qFormat/>
    <w:uiPriority w:val="0"/>
    <w:rPr>
      <w:rFonts w:hint="eastAsia" w:ascii="宋体" w:hAnsi="宋体" w:eastAsia="宋体" w:cs="宋体"/>
      <w:color w:val="000000"/>
      <w:sz w:val="20"/>
      <w:szCs w:val="20"/>
      <w:u w:val="none"/>
    </w:rPr>
  </w:style>
  <w:style w:type="character" w:customStyle="1" w:styleId="124">
    <w:name w:val="不明显强调2"/>
    <w:qFormat/>
    <w:uiPriority w:val="19"/>
    <w:rPr>
      <w:i/>
      <w:iCs/>
      <w:color w:val="808080"/>
    </w:rPr>
  </w:style>
  <w:style w:type="character" w:customStyle="1" w:styleId="125">
    <w:name w:val="disabled"/>
    <w:qFormat/>
    <w:uiPriority w:val="0"/>
    <w:rPr>
      <w:color w:val="999999"/>
      <w:bdr w:val="single" w:color="C5C5C5" w:sz="6" w:space="0"/>
    </w:rPr>
  </w:style>
  <w:style w:type="character" w:customStyle="1" w:styleId="126">
    <w:name w:val="明显引用 字符"/>
    <w:link w:val="127"/>
    <w:qFormat/>
    <w:uiPriority w:val="30"/>
    <w:rPr>
      <w:rFonts w:ascii="Calibri" w:hAnsi="Calibri"/>
      <w:b/>
      <w:bCs/>
      <w:i/>
      <w:iCs/>
      <w:color w:val="4F81BD"/>
      <w:kern w:val="2"/>
      <w:sz w:val="21"/>
      <w:szCs w:val="22"/>
    </w:rPr>
  </w:style>
  <w:style w:type="paragraph" w:styleId="127">
    <w:name w:val="Intense Quote"/>
    <w:basedOn w:val="1"/>
    <w:next w:val="1"/>
    <w:link w:val="126"/>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128">
    <w:name w:val="style21"/>
    <w:qFormat/>
    <w:uiPriority w:val="0"/>
    <w:rPr>
      <w:color w:val="003366"/>
    </w:rPr>
  </w:style>
  <w:style w:type="character" w:customStyle="1" w:styleId="129">
    <w:name w:val="不明显参考1"/>
    <w:qFormat/>
    <w:uiPriority w:val="31"/>
    <w:rPr>
      <w:smallCaps/>
      <w:color w:val="C0504D"/>
      <w:u w:val="single"/>
    </w:rPr>
  </w:style>
  <w:style w:type="character" w:customStyle="1" w:styleId="130">
    <w:name w:val="gjfg"/>
    <w:qFormat/>
    <w:uiPriority w:val="0"/>
  </w:style>
  <w:style w:type="character" w:customStyle="1" w:styleId="131">
    <w:name w:val="标题 3 Char1"/>
    <w:qFormat/>
    <w:locked/>
    <w:uiPriority w:val="0"/>
    <w:rPr>
      <w:rFonts w:ascii="仿宋_GB2312" w:eastAsia="仿宋_GB2312"/>
      <w:b/>
      <w:bCs/>
      <w:kern w:val="2"/>
      <w:sz w:val="30"/>
    </w:rPr>
  </w:style>
  <w:style w:type="character" w:customStyle="1" w:styleId="132">
    <w:name w:val="HTML 预设格式 Char1"/>
    <w:qFormat/>
    <w:uiPriority w:val="0"/>
    <w:rPr>
      <w:rFonts w:ascii="Courier New" w:hAnsi="Courier New" w:cs="Courier New"/>
      <w:kern w:val="2"/>
    </w:rPr>
  </w:style>
  <w:style w:type="character" w:customStyle="1" w:styleId="133">
    <w:name w:val="SANGFOR_6_正文 Char"/>
    <w:link w:val="134"/>
    <w:qFormat/>
    <w:uiPriority w:val="0"/>
    <w:rPr>
      <w:rFonts w:ascii="楷体_gb18030" w:hAnsi="Verdana" w:eastAsia="楷体_gb18030"/>
      <w:color w:val="000000"/>
      <w:kern w:val="2"/>
      <w:sz w:val="28"/>
      <w:szCs w:val="28"/>
    </w:rPr>
  </w:style>
  <w:style w:type="paragraph" w:customStyle="1" w:styleId="134">
    <w:name w:val="SANGFOR_6_正文"/>
    <w:basedOn w:val="1"/>
    <w:link w:val="133"/>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35">
    <w:name w:val="headline-content2"/>
    <w:qFormat/>
    <w:uiPriority w:val="0"/>
  </w:style>
  <w:style w:type="character" w:customStyle="1" w:styleId="136">
    <w:name w:val="纯文本 Char1_3"/>
    <w:link w:val="137"/>
    <w:qFormat/>
    <w:uiPriority w:val="0"/>
    <w:rPr>
      <w:rFonts w:ascii="宋体" w:hAnsi="Courier New"/>
      <w:kern w:val="2"/>
      <w:sz w:val="21"/>
      <w:lang w:val="en-US" w:eastAsia="zh-CN"/>
    </w:rPr>
  </w:style>
  <w:style w:type="paragraph" w:customStyle="1" w:styleId="137">
    <w:name w:val="纯文本_3"/>
    <w:basedOn w:val="138"/>
    <w:link w:val="136"/>
    <w:qFormat/>
    <w:uiPriority w:val="0"/>
    <w:rPr>
      <w:rFonts w:ascii="宋体" w:hAnsi="Courier New"/>
      <w:szCs w:val="20"/>
    </w:rPr>
  </w:style>
  <w:style w:type="paragraph" w:customStyle="1" w:styleId="1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9">
    <w:name w:val="displayarti"/>
    <w:qFormat/>
    <w:uiPriority w:val="0"/>
    <w:rPr>
      <w:color w:val="FFFFFF"/>
      <w:shd w:val="clear" w:color="auto" w:fill="A00000"/>
    </w:rPr>
  </w:style>
  <w:style w:type="character" w:customStyle="1" w:styleId="140">
    <w:name w:val="font21"/>
    <w:qFormat/>
    <w:uiPriority w:val="0"/>
    <w:rPr>
      <w:rFonts w:hint="eastAsia" w:ascii="宋体" w:hAnsi="宋体" w:eastAsia="宋体" w:cs="宋体"/>
      <w:color w:val="000000"/>
      <w:sz w:val="20"/>
      <w:szCs w:val="20"/>
      <w:u w:val="none"/>
    </w:rPr>
  </w:style>
  <w:style w:type="character" w:customStyle="1" w:styleId="141">
    <w:name w:val="redfilenumber"/>
    <w:qFormat/>
    <w:uiPriority w:val="0"/>
    <w:rPr>
      <w:color w:val="BA2636"/>
      <w:sz w:val="18"/>
      <w:szCs w:val="18"/>
    </w:rPr>
  </w:style>
  <w:style w:type="character" w:customStyle="1" w:styleId="142">
    <w:name w:val="font131"/>
    <w:qFormat/>
    <w:uiPriority w:val="0"/>
    <w:rPr>
      <w:rFonts w:hint="default" w:ascii="Calibri" w:hAnsi="Calibri" w:cs="Calibri"/>
      <w:color w:val="000000"/>
      <w:sz w:val="24"/>
      <w:szCs w:val="24"/>
      <w:u w:val="none"/>
    </w:rPr>
  </w:style>
  <w:style w:type="character" w:customStyle="1" w:styleId="143">
    <w:name w:val="批注文字 Char"/>
    <w:qFormat/>
    <w:uiPriority w:val="0"/>
  </w:style>
  <w:style w:type="character" w:customStyle="1" w:styleId="144">
    <w:name w:val="redfilefwwh"/>
    <w:qFormat/>
    <w:uiPriority w:val="0"/>
    <w:rPr>
      <w:color w:val="BA2636"/>
      <w:sz w:val="18"/>
      <w:szCs w:val="18"/>
    </w:rPr>
  </w:style>
  <w:style w:type="character" w:customStyle="1" w:styleId="145">
    <w:name w:val="font161"/>
    <w:qFormat/>
    <w:uiPriority w:val="0"/>
    <w:rPr>
      <w:rFonts w:hint="default" w:ascii="Times New Roman" w:hAnsi="Times New Roman" w:cs="Times New Roman"/>
      <w:color w:val="000000"/>
      <w:sz w:val="24"/>
      <w:szCs w:val="24"/>
      <w:u w:val="none"/>
    </w:rPr>
  </w:style>
  <w:style w:type="character" w:customStyle="1" w:styleId="146">
    <w:name w:val="Char Char1"/>
    <w:link w:val="147"/>
    <w:qFormat/>
    <w:uiPriority w:val="0"/>
    <w:rPr>
      <w:rFonts w:ascii="Tahoma" w:hAnsi="Tahoma"/>
      <w:kern w:val="2"/>
      <w:sz w:val="24"/>
    </w:rPr>
  </w:style>
  <w:style w:type="paragraph" w:customStyle="1" w:styleId="147">
    <w:name w:val="Char"/>
    <w:basedOn w:val="1"/>
    <w:link w:val="146"/>
    <w:qFormat/>
    <w:uiPriority w:val="0"/>
    <w:rPr>
      <w:rFonts w:ascii="Tahoma" w:hAnsi="Tahoma"/>
      <w:sz w:val="24"/>
      <w:szCs w:val="20"/>
    </w:rPr>
  </w:style>
  <w:style w:type="character" w:customStyle="1" w:styleId="148">
    <w:name w:val="表正文 Char"/>
    <w:qFormat/>
    <w:uiPriority w:val="0"/>
    <w:rPr>
      <w:rFonts w:eastAsia="宋体"/>
      <w:kern w:val="2"/>
      <w:sz w:val="21"/>
      <w:lang w:val="en-US" w:eastAsia="zh-CN" w:bidi="ar-SA"/>
    </w:rPr>
  </w:style>
  <w:style w:type="character" w:customStyle="1" w:styleId="149">
    <w:name w:val="明显强调1"/>
    <w:qFormat/>
    <w:uiPriority w:val="0"/>
    <w:rPr>
      <w:b/>
      <w:bCs/>
      <w:i/>
      <w:iCs/>
      <w:color w:val="4F81BD"/>
    </w:rPr>
  </w:style>
  <w:style w:type="character" w:customStyle="1" w:styleId="150">
    <w:name w:val="纯文本 Char1_4_0"/>
    <w:link w:val="151"/>
    <w:qFormat/>
    <w:uiPriority w:val="0"/>
    <w:rPr>
      <w:rFonts w:ascii="宋体" w:hAnsi="Courier New"/>
      <w:kern w:val="2"/>
      <w:sz w:val="21"/>
      <w:lang w:val="en-US" w:eastAsia="zh-CN"/>
    </w:rPr>
  </w:style>
  <w:style w:type="paragraph" w:customStyle="1" w:styleId="151">
    <w:name w:val="纯文本_4_0"/>
    <w:basedOn w:val="1"/>
    <w:link w:val="150"/>
    <w:qFormat/>
    <w:uiPriority w:val="0"/>
    <w:rPr>
      <w:rFonts w:ascii="宋体" w:hAnsi="Courier New"/>
      <w:szCs w:val="20"/>
    </w:rPr>
  </w:style>
  <w:style w:type="character" w:customStyle="1" w:styleId="152">
    <w:name w:val="font01"/>
    <w:qFormat/>
    <w:uiPriority w:val="0"/>
    <w:rPr>
      <w:rFonts w:hint="default" w:ascii="Times New Roman" w:hAnsi="Times New Roman" w:cs="Times New Roman"/>
      <w:color w:val="000000"/>
      <w:sz w:val="20"/>
      <w:szCs w:val="20"/>
      <w:u w:val="none"/>
    </w:rPr>
  </w:style>
  <w:style w:type="character" w:customStyle="1" w:styleId="153">
    <w:name w:val="我的正文 Char"/>
    <w:link w:val="154"/>
    <w:qFormat/>
    <w:uiPriority w:val="0"/>
    <w:rPr>
      <w:sz w:val="24"/>
      <w:szCs w:val="24"/>
    </w:rPr>
  </w:style>
  <w:style w:type="paragraph" w:customStyle="1" w:styleId="154">
    <w:name w:val="我的正文"/>
    <w:basedOn w:val="1"/>
    <w:link w:val="153"/>
    <w:qFormat/>
    <w:uiPriority w:val="0"/>
    <w:pPr>
      <w:spacing w:line="360" w:lineRule="auto"/>
      <w:ind w:hanging="202" w:hangingChars="202"/>
      <w:jc w:val="left"/>
    </w:pPr>
    <w:rPr>
      <w:kern w:val="0"/>
      <w:sz w:val="24"/>
    </w:rPr>
  </w:style>
  <w:style w:type="character" w:customStyle="1" w:styleId="155">
    <w:name w:val="SANGFOR_4_标题4 Char"/>
    <w:link w:val="156"/>
    <w:qFormat/>
    <w:uiPriority w:val="0"/>
    <w:rPr>
      <w:rFonts w:ascii="Arial" w:hAnsi="Arial" w:eastAsia="黑体"/>
      <w:b/>
      <w:bCs/>
      <w:kern w:val="2"/>
      <w:sz w:val="24"/>
      <w:szCs w:val="24"/>
    </w:rPr>
  </w:style>
  <w:style w:type="paragraph" w:customStyle="1" w:styleId="156">
    <w:name w:val="SANGFOR_4_标题4"/>
    <w:basedOn w:val="6"/>
    <w:next w:val="134"/>
    <w:link w:val="155"/>
    <w:qFormat/>
    <w:uiPriority w:val="0"/>
    <w:pPr>
      <w:keepNext/>
      <w:widowControl w:val="0"/>
      <w:tabs>
        <w:tab w:val="left" w:pos="567"/>
      </w:tabs>
      <w:spacing w:beforeLines="50" w:afterLines="50" w:line="240" w:lineRule="auto"/>
      <w:ind w:left="720" w:hanging="720"/>
    </w:pPr>
    <w:rPr>
      <w:bCs/>
      <w:color w:val="auto"/>
      <w:sz w:val="24"/>
      <w:szCs w:val="24"/>
    </w:rPr>
  </w:style>
  <w:style w:type="character" w:customStyle="1" w:styleId="157">
    <w:name w:val="正文缩进 字符"/>
    <w:qFormat/>
    <w:uiPriority w:val="0"/>
    <w:rPr>
      <w:kern w:val="2"/>
      <w:sz w:val="21"/>
    </w:rPr>
  </w:style>
  <w:style w:type="character" w:customStyle="1" w:styleId="158">
    <w:name w:val="font111"/>
    <w:qFormat/>
    <w:uiPriority w:val="0"/>
    <w:rPr>
      <w:rFonts w:hint="default" w:ascii="Calibri" w:hAnsi="Calibri" w:cs="Calibri"/>
      <w:color w:val="000000"/>
      <w:sz w:val="20"/>
      <w:szCs w:val="20"/>
      <w:u w:val="none"/>
    </w:rPr>
  </w:style>
  <w:style w:type="character" w:customStyle="1" w:styleId="159">
    <w:name w:val="htd0"/>
    <w:qFormat/>
    <w:uiPriority w:val="0"/>
  </w:style>
  <w:style w:type="character" w:customStyle="1" w:styleId="160">
    <w:name w:val="普通文字 Char Char1"/>
    <w:qFormat/>
    <w:uiPriority w:val="0"/>
    <w:rPr>
      <w:rFonts w:ascii="宋体" w:hAnsi="Courier New" w:eastAsia="宋体"/>
      <w:kern w:val="2"/>
      <w:sz w:val="21"/>
      <w:lang w:val="en-US" w:eastAsia="zh-CN" w:bidi="ar-SA"/>
    </w:rPr>
  </w:style>
  <w:style w:type="character" w:customStyle="1" w:styleId="161">
    <w:name w:val="current"/>
    <w:qFormat/>
    <w:uiPriority w:val="0"/>
    <w:rPr>
      <w:b/>
      <w:color w:val="FFFFFF"/>
      <w:bdr w:val="single" w:color="0C64AB" w:sz="6" w:space="0"/>
      <w:shd w:val="clear" w:color="auto" w:fill="0C64AB"/>
    </w:rPr>
  </w:style>
  <w:style w:type="character" w:customStyle="1" w:styleId="162">
    <w:name w:val="prev1"/>
    <w:qFormat/>
    <w:uiPriority w:val="0"/>
    <w:rPr>
      <w:color w:val="888888"/>
    </w:rPr>
  </w:style>
  <w:style w:type="character" w:customStyle="1" w:styleId="163">
    <w:name w:val="标题 3 字符"/>
    <w:qFormat/>
    <w:uiPriority w:val="0"/>
    <w:rPr>
      <w:rFonts w:ascii="仿宋_GB2312" w:eastAsia="仿宋_GB2312"/>
      <w:b/>
      <w:bCs/>
      <w:kern w:val="2"/>
      <w:sz w:val="30"/>
    </w:rPr>
  </w:style>
  <w:style w:type="character" w:customStyle="1" w:styleId="164">
    <w:name w:val="页脚 Char Char"/>
    <w:qFormat/>
    <w:uiPriority w:val="0"/>
    <w:rPr>
      <w:sz w:val="18"/>
    </w:rPr>
  </w:style>
  <w:style w:type="character" w:customStyle="1" w:styleId="165">
    <w:name w:val="纯文本 Char1_0"/>
    <w:link w:val="166"/>
    <w:qFormat/>
    <w:locked/>
    <w:uiPriority w:val="0"/>
    <w:rPr>
      <w:rFonts w:ascii="宋体" w:hAnsi="Courier New"/>
      <w:lang w:val="en-US" w:eastAsia="zh-CN"/>
    </w:rPr>
  </w:style>
  <w:style w:type="paragraph" w:customStyle="1" w:styleId="166">
    <w:name w:val="纯文本_0"/>
    <w:basedOn w:val="1"/>
    <w:link w:val="165"/>
    <w:unhideWhenUsed/>
    <w:qFormat/>
    <w:uiPriority w:val="0"/>
    <w:rPr>
      <w:rFonts w:ascii="宋体" w:hAnsi="Courier New"/>
      <w:kern w:val="0"/>
      <w:sz w:val="20"/>
      <w:szCs w:val="20"/>
    </w:rPr>
  </w:style>
  <w:style w:type="character" w:customStyle="1" w:styleId="167">
    <w:name w:val="明显强调2"/>
    <w:qFormat/>
    <w:uiPriority w:val="21"/>
    <w:rPr>
      <w:b/>
      <w:bCs/>
      <w:i/>
      <w:iCs/>
      <w:color w:val="4F81BD"/>
    </w:rPr>
  </w:style>
  <w:style w:type="character" w:customStyle="1" w:styleId="168">
    <w:name w:val="签名 Char1"/>
    <w:qFormat/>
    <w:uiPriority w:val="0"/>
    <w:rPr>
      <w:kern w:val="2"/>
      <w:sz w:val="21"/>
      <w:szCs w:val="24"/>
    </w:rPr>
  </w:style>
  <w:style w:type="character" w:customStyle="1" w:styleId="169">
    <w:name w:val="书籍标题1"/>
    <w:qFormat/>
    <w:uiPriority w:val="33"/>
    <w:rPr>
      <w:b/>
      <w:bCs/>
      <w:smallCaps/>
      <w:spacing w:val="5"/>
    </w:rPr>
  </w:style>
  <w:style w:type="character" w:customStyle="1" w:styleId="170">
    <w:name w:val="正文缩进 Char1"/>
    <w:qFormat/>
    <w:uiPriority w:val="0"/>
    <w:rPr>
      <w:rFonts w:ascii="Times New Roman" w:hAnsi="Times New Roman" w:eastAsia="宋体" w:cs="Times New Roman"/>
      <w:szCs w:val="20"/>
    </w:rPr>
  </w:style>
  <w:style w:type="character" w:customStyle="1" w:styleId="171">
    <w:name w:val="无间隔 字符1"/>
    <w:link w:val="172"/>
    <w:qFormat/>
    <w:uiPriority w:val="1"/>
    <w:rPr>
      <w:rFonts w:ascii="Calibri" w:hAnsi="Calibri"/>
      <w:kern w:val="2"/>
      <w:sz w:val="21"/>
      <w:szCs w:val="22"/>
    </w:rPr>
  </w:style>
  <w:style w:type="paragraph" w:styleId="172">
    <w:name w:val="No Spacing"/>
    <w:basedOn w:val="1"/>
    <w:link w:val="171"/>
    <w:qFormat/>
    <w:uiPriority w:val="1"/>
    <w:rPr>
      <w:rFonts w:ascii="Calibri" w:hAnsi="Calibri"/>
      <w:szCs w:val="22"/>
    </w:rPr>
  </w:style>
  <w:style w:type="character" w:customStyle="1" w:styleId="173">
    <w:name w:val="font31"/>
    <w:qFormat/>
    <w:uiPriority w:val="0"/>
    <w:rPr>
      <w:rFonts w:ascii="Arial" w:hAnsi="Arial" w:cs="Arial"/>
      <w:color w:val="000000"/>
      <w:sz w:val="21"/>
      <w:szCs w:val="21"/>
      <w:u w:val="none"/>
    </w:rPr>
  </w:style>
  <w:style w:type="character" w:customStyle="1" w:styleId="174">
    <w:name w:val="p141"/>
    <w:qFormat/>
    <w:uiPriority w:val="0"/>
    <w:rPr>
      <w:sz w:val="21"/>
      <w:szCs w:val="21"/>
      <w:u w:val="none"/>
    </w:rPr>
  </w:style>
  <w:style w:type="character" w:customStyle="1" w:styleId="175">
    <w:name w:val="prev"/>
    <w:qFormat/>
    <w:uiPriority w:val="0"/>
    <w:rPr>
      <w:rFonts w:hint="eastAsia" w:ascii="微软雅黑" w:hAnsi="微软雅黑" w:eastAsia="微软雅黑" w:cs="微软雅黑"/>
      <w:sz w:val="21"/>
      <w:szCs w:val="21"/>
    </w:rPr>
  </w:style>
  <w:style w:type="character" w:customStyle="1" w:styleId="176">
    <w:name w:val="cfdate"/>
    <w:qFormat/>
    <w:uiPriority w:val="0"/>
    <w:rPr>
      <w:color w:val="333333"/>
      <w:sz w:val="18"/>
      <w:szCs w:val="18"/>
    </w:rPr>
  </w:style>
  <w:style w:type="character" w:customStyle="1" w:styleId="177">
    <w:name w:val="明显参考1"/>
    <w:qFormat/>
    <w:uiPriority w:val="32"/>
    <w:rPr>
      <w:b/>
      <w:bCs/>
      <w:smallCaps/>
      <w:color w:val="C0504D"/>
      <w:spacing w:val="5"/>
      <w:u w:val="single"/>
    </w:rPr>
  </w:style>
  <w:style w:type="character" w:customStyle="1" w:styleId="178">
    <w:name w:val="Char Char11"/>
    <w:link w:val="179"/>
    <w:qFormat/>
    <w:locked/>
    <w:uiPriority w:val="0"/>
    <w:rPr>
      <w:rFonts w:ascii="Tahoma" w:hAnsi="Tahoma" w:cs="仿宋_GB2312"/>
      <w:kern w:val="2"/>
      <w:sz w:val="24"/>
      <w:szCs w:val="28"/>
    </w:rPr>
  </w:style>
  <w:style w:type="paragraph" w:customStyle="1" w:styleId="179">
    <w:name w:val="Char11"/>
    <w:basedOn w:val="1"/>
    <w:link w:val="178"/>
    <w:qFormat/>
    <w:uiPriority w:val="0"/>
    <w:rPr>
      <w:rFonts w:ascii="Tahoma" w:hAnsi="Tahoma"/>
      <w:sz w:val="24"/>
      <w:szCs w:val="28"/>
    </w:rPr>
  </w:style>
  <w:style w:type="character" w:customStyle="1" w:styleId="180">
    <w:name w:val="Item List Char"/>
    <w:link w:val="181"/>
    <w:qFormat/>
    <w:uiPriority w:val="0"/>
    <w:rPr>
      <w:rFonts w:ascii="Arial" w:hAnsi="Arial"/>
      <w:sz w:val="21"/>
      <w:szCs w:val="21"/>
      <w:lang w:val="en-US" w:eastAsia="zh-CN" w:bidi="ar-SA"/>
    </w:rPr>
  </w:style>
  <w:style w:type="paragraph" w:customStyle="1" w:styleId="181">
    <w:name w:val="Item List"/>
    <w:link w:val="180"/>
    <w:qFormat/>
    <w:uiPriority w:val="0"/>
    <w:pPr>
      <w:tabs>
        <w:tab w:val="left" w:pos="482"/>
      </w:tabs>
      <w:spacing w:line="300" w:lineRule="auto"/>
      <w:ind w:left="709" w:hanging="284"/>
      <w:jc w:val="both"/>
    </w:pPr>
    <w:rPr>
      <w:rFonts w:ascii="Arial" w:hAnsi="Arial" w:eastAsia="宋体" w:cs="Times New Roman"/>
      <w:sz w:val="21"/>
      <w:szCs w:val="21"/>
      <w:lang w:val="en-US" w:eastAsia="zh-CN" w:bidi="ar-SA"/>
    </w:rPr>
  </w:style>
  <w:style w:type="character" w:customStyle="1" w:styleId="182">
    <w:name w:val="textfont1"/>
    <w:qFormat/>
    <w:uiPriority w:val="0"/>
  </w:style>
  <w:style w:type="character" w:customStyle="1" w:styleId="183">
    <w:name w:val="titlestylelight1"/>
    <w:qFormat/>
    <w:uiPriority w:val="0"/>
    <w:rPr>
      <w:rFonts w:hint="default" w:ascii="Arial" w:hAnsi="Arial" w:cs="Arial"/>
      <w:b/>
      <w:bCs/>
      <w:color w:val="666666"/>
      <w:sz w:val="18"/>
      <w:szCs w:val="18"/>
    </w:rPr>
  </w:style>
  <w:style w:type="character" w:customStyle="1" w:styleId="184">
    <w:name w:val="font181"/>
    <w:qFormat/>
    <w:uiPriority w:val="0"/>
    <w:rPr>
      <w:rFonts w:ascii="Wingdings 2" w:hAnsi="Wingdings 2" w:eastAsia="Wingdings 2" w:cs="Wingdings 2"/>
      <w:color w:val="000000"/>
      <w:sz w:val="24"/>
      <w:szCs w:val="24"/>
      <w:u w:val="none"/>
    </w:rPr>
  </w:style>
  <w:style w:type="character" w:customStyle="1" w:styleId="185">
    <w:name w:val="SANGFOR_3_标题3 Char"/>
    <w:link w:val="186"/>
    <w:qFormat/>
    <w:uiPriority w:val="0"/>
    <w:rPr>
      <w:rFonts w:ascii="黑体" w:hAnsi="黑体" w:eastAsia="黑体"/>
      <w:b/>
      <w:bCs/>
      <w:kern w:val="2"/>
      <w:sz w:val="36"/>
      <w:szCs w:val="36"/>
    </w:rPr>
  </w:style>
  <w:style w:type="paragraph" w:customStyle="1" w:styleId="186">
    <w:name w:val="SANGFOR_3_标题3"/>
    <w:basedOn w:val="4"/>
    <w:next w:val="1"/>
    <w:link w:val="185"/>
    <w:qFormat/>
    <w:uiPriority w:val="0"/>
    <w:pPr>
      <w:spacing w:beforeLines="50" w:afterLines="50" w:line="240" w:lineRule="auto"/>
      <w:ind w:left="142" w:firstLine="0" w:firstLineChars="0"/>
    </w:pPr>
    <w:rPr>
      <w:rFonts w:ascii="黑体" w:hAnsi="黑体" w:eastAsia="黑体"/>
      <w:sz w:val="36"/>
      <w:szCs w:val="36"/>
    </w:rPr>
  </w:style>
  <w:style w:type="character" w:customStyle="1" w:styleId="187">
    <w:name w:val="font101"/>
    <w:qFormat/>
    <w:uiPriority w:val="0"/>
    <w:rPr>
      <w:rFonts w:ascii="Symbol" w:hAnsi="Symbol" w:cs="Symbol"/>
      <w:color w:val="000000"/>
      <w:sz w:val="20"/>
      <w:szCs w:val="20"/>
      <w:u w:val="none"/>
    </w:rPr>
  </w:style>
  <w:style w:type="character" w:customStyle="1" w:styleId="188">
    <w:name w:val="next"/>
    <w:qFormat/>
    <w:uiPriority w:val="0"/>
    <w:rPr>
      <w:rFonts w:ascii="微软雅黑" w:hAnsi="微软雅黑" w:eastAsia="微软雅黑" w:cs="微软雅黑"/>
      <w:sz w:val="21"/>
      <w:szCs w:val="21"/>
    </w:rPr>
  </w:style>
  <w:style w:type="character" w:customStyle="1" w:styleId="189">
    <w:name w:val="qxdate"/>
    <w:qFormat/>
    <w:uiPriority w:val="0"/>
    <w:rPr>
      <w:color w:val="333333"/>
      <w:sz w:val="18"/>
      <w:szCs w:val="18"/>
    </w:rPr>
  </w:style>
  <w:style w:type="character" w:customStyle="1" w:styleId="190">
    <w:name w:val="font91"/>
    <w:qFormat/>
    <w:uiPriority w:val="0"/>
    <w:rPr>
      <w:rFonts w:hint="eastAsia" w:ascii="宋体" w:hAnsi="宋体" w:eastAsia="宋体" w:cs="宋体"/>
      <w:color w:val="000000"/>
      <w:sz w:val="24"/>
      <w:szCs w:val="24"/>
      <w:u w:val="none"/>
    </w:rPr>
  </w:style>
  <w:style w:type="character" w:customStyle="1" w:styleId="191">
    <w:name w:val="引用 字符"/>
    <w:link w:val="192"/>
    <w:qFormat/>
    <w:uiPriority w:val="29"/>
    <w:rPr>
      <w:rFonts w:ascii="Calibri" w:hAnsi="Calibri"/>
      <w:i/>
      <w:iCs/>
      <w:color w:val="000000"/>
      <w:kern w:val="2"/>
      <w:sz w:val="21"/>
      <w:szCs w:val="22"/>
    </w:rPr>
  </w:style>
  <w:style w:type="paragraph" w:styleId="192">
    <w:name w:val="Quote"/>
    <w:basedOn w:val="1"/>
    <w:next w:val="1"/>
    <w:link w:val="191"/>
    <w:qFormat/>
    <w:uiPriority w:val="29"/>
    <w:rPr>
      <w:rFonts w:ascii="Calibri" w:hAnsi="Calibri"/>
      <w:i/>
      <w:iCs/>
      <w:color w:val="000000"/>
      <w:szCs w:val="22"/>
    </w:rPr>
  </w:style>
  <w:style w:type="character" w:customStyle="1" w:styleId="193">
    <w:name w:val="font81"/>
    <w:qFormat/>
    <w:uiPriority w:val="0"/>
    <w:rPr>
      <w:rFonts w:hint="eastAsia" w:ascii="宋体" w:hAnsi="宋体" w:eastAsia="宋体" w:cs="宋体"/>
      <w:color w:val="000000"/>
      <w:sz w:val="24"/>
      <w:szCs w:val="24"/>
      <w:u w:val="none"/>
    </w:rPr>
  </w:style>
  <w:style w:type="character" w:customStyle="1" w:styleId="194">
    <w:name w:val="apple-converted-space"/>
    <w:qFormat/>
    <w:uiPriority w:val="0"/>
  </w:style>
  <w:style w:type="character" w:customStyle="1" w:styleId="195">
    <w:name w:val="font171"/>
    <w:qFormat/>
    <w:uiPriority w:val="0"/>
    <w:rPr>
      <w:rFonts w:ascii="Arial Unicode MS" w:hAnsi="Arial Unicode MS" w:eastAsia="Arial Unicode MS" w:cs="Arial Unicode MS"/>
      <w:color w:val="000000"/>
      <w:sz w:val="24"/>
      <w:szCs w:val="24"/>
      <w:u w:val="none"/>
    </w:rPr>
  </w:style>
  <w:style w:type="character" w:customStyle="1" w:styleId="196">
    <w:name w:val="列表段落 字符"/>
    <w:link w:val="197"/>
    <w:qFormat/>
    <w:locked/>
    <w:uiPriority w:val="34"/>
    <w:rPr>
      <w:rFonts w:ascii="Calibri" w:hAnsi="Calibri"/>
      <w:kern w:val="2"/>
      <w:sz w:val="21"/>
      <w:szCs w:val="22"/>
    </w:rPr>
  </w:style>
  <w:style w:type="paragraph" w:styleId="197">
    <w:name w:val="List Paragraph"/>
    <w:basedOn w:val="1"/>
    <w:link w:val="196"/>
    <w:qFormat/>
    <w:uiPriority w:val="34"/>
    <w:pPr>
      <w:ind w:firstLine="420" w:firstLineChars="200"/>
    </w:pPr>
    <w:rPr>
      <w:rFonts w:ascii="Calibri" w:hAnsi="Calibri"/>
      <w:szCs w:val="22"/>
    </w:rPr>
  </w:style>
  <w:style w:type="character" w:customStyle="1" w:styleId="198">
    <w:name w:val="head 1.1.1 Char"/>
    <w:link w:val="199"/>
    <w:qFormat/>
    <w:uiPriority w:val="0"/>
    <w:rPr>
      <w:bCs/>
      <w:kern w:val="2"/>
      <w:sz w:val="21"/>
      <w:szCs w:val="24"/>
    </w:rPr>
  </w:style>
  <w:style w:type="paragraph" w:customStyle="1" w:styleId="199">
    <w:name w:val="head 1.1.1"/>
    <w:basedOn w:val="197"/>
    <w:link w:val="198"/>
    <w:qFormat/>
    <w:uiPriority w:val="0"/>
    <w:pPr>
      <w:numPr>
        <w:ilvl w:val="2"/>
        <w:numId w:val="1"/>
      </w:numPr>
      <w:ind w:firstLine="0" w:firstLineChars="0"/>
    </w:pPr>
    <w:rPr>
      <w:rFonts w:ascii="Times New Roman" w:hAnsi="Times New Roman"/>
      <w:bCs/>
      <w:szCs w:val="24"/>
    </w:rPr>
  </w:style>
  <w:style w:type="character" w:customStyle="1" w:styleId="200">
    <w:name w:val="font61"/>
    <w:qFormat/>
    <w:uiPriority w:val="0"/>
    <w:rPr>
      <w:rFonts w:hint="default" w:ascii="Times New Roman" w:hAnsi="Times New Roman" w:cs="Times New Roman"/>
      <w:color w:val="000000"/>
      <w:sz w:val="21"/>
      <w:szCs w:val="21"/>
      <w:u w:val="none"/>
      <w:vertAlign w:val="superscript"/>
    </w:rPr>
  </w:style>
  <w:style w:type="paragraph" w:customStyle="1" w:styleId="201">
    <w:name w:val="样式74"/>
    <w:basedOn w:val="1"/>
    <w:qFormat/>
    <w:uiPriority w:val="0"/>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20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03">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04">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06">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07">
    <w:name w:val="模板标题5"/>
    <w:basedOn w:val="1"/>
    <w:next w:val="20"/>
    <w:qFormat/>
    <w:uiPriority w:val="0"/>
    <w:pPr>
      <w:tabs>
        <w:tab w:val="left" w:pos="1800"/>
      </w:tabs>
      <w:spacing w:afterLines="50"/>
      <w:outlineLvl w:val="4"/>
    </w:pPr>
    <w:rPr>
      <w:rFonts w:ascii="宋体" w:hAnsi="宋体"/>
      <w:b/>
      <w:szCs w:val="20"/>
    </w:rPr>
  </w:style>
  <w:style w:type="paragraph" w:customStyle="1" w:styleId="208">
    <w:name w:val="CM106"/>
    <w:basedOn w:val="209"/>
    <w:next w:val="209"/>
    <w:qFormat/>
    <w:uiPriority w:val="0"/>
    <w:rPr>
      <w:rFonts w:ascii="宋体" w:eastAsia="宋体" w:cs="Times New Roman"/>
      <w:color w:val="auto"/>
    </w:rPr>
  </w:style>
  <w:style w:type="paragraph" w:customStyle="1" w:styleId="209">
    <w:name w:val="Default"/>
    <w:next w:val="33"/>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210">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11">
    <w:name w:val="2章节"/>
    <w:qFormat/>
    <w:uiPriority w:val="0"/>
    <w:p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customStyle="1" w:styleId="212">
    <w:name w:val="列出段落1"/>
    <w:basedOn w:val="1"/>
    <w:qFormat/>
    <w:uiPriority w:val="34"/>
    <w:pPr>
      <w:ind w:firstLine="420" w:firstLineChars="200"/>
    </w:pPr>
    <w:rPr>
      <w:rFonts w:ascii="Calibri" w:hAnsi="Calibri"/>
      <w:szCs w:val="22"/>
    </w:rPr>
  </w:style>
  <w:style w:type="paragraph" w:customStyle="1" w:styleId="213">
    <w:name w:val="_Style 5"/>
    <w:basedOn w:val="1"/>
    <w:qFormat/>
    <w:uiPriority w:val="0"/>
    <w:pPr>
      <w:ind w:firstLine="420"/>
    </w:pPr>
    <w:rPr>
      <w:rFonts w:ascii="Calibri" w:hAnsi="Calibri"/>
      <w:szCs w:val="22"/>
    </w:rPr>
  </w:style>
  <w:style w:type="paragraph" w:customStyle="1" w:styleId="214">
    <w:name w:val="特点标题"/>
    <w:basedOn w:val="1"/>
    <w:next w:val="22"/>
    <w:qFormat/>
    <w:uiPriority w:val="0"/>
    <w:pPr>
      <w:widowControl/>
      <w:overflowPunct w:val="0"/>
      <w:autoSpaceDE w:val="0"/>
      <w:autoSpaceDN w:val="0"/>
      <w:adjustRightInd w:val="0"/>
      <w:spacing w:after="120" w:afterLines="50" w:line="360" w:lineRule="auto"/>
      <w:jc w:val="left"/>
    </w:pPr>
    <w:rPr>
      <w:kern w:val="0"/>
      <w:sz w:val="24"/>
      <w:szCs w:val="20"/>
    </w:rPr>
  </w:style>
  <w:style w:type="paragraph" w:customStyle="1" w:styleId="215">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16">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17">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19">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0">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1">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rPr>
  </w:style>
  <w:style w:type="paragraph" w:customStyle="1" w:styleId="222">
    <w:name w:val="段落"/>
    <w:basedOn w:val="223"/>
    <w:qFormat/>
    <w:uiPriority w:val="0"/>
    <w:pPr>
      <w:ind w:firstLine="200"/>
    </w:pPr>
    <w:rPr>
      <w:rFonts w:ascii="Verdana" w:hAnsi="Verdana"/>
      <w:color w:val="000000"/>
      <w:shd w:val="clear" w:color="auto" w:fill="FFFFFF"/>
    </w:rPr>
  </w:style>
  <w:style w:type="paragraph" w:customStyle="1" w:styleId="223">
    <w:name w:val="列表段落1"/>
    <w:basedOn w:val="1"/>
    <w:qFormat/>
    <w:uiPriority w:val="0"/>
    <w:pPr>
      <w:ind w:firstLine="420" w:firstLineChars="200"/>
    </w:pPr>
    <w:rPr>
      <w:szCs w:val="20"/>
    </w:rPr>
  </w:style>
  <w:style w:type="paragraph" w:customStyle="1" w:styleId="224">
    <w:name w:val="纯文本1"/>
    <w:basedOn w:val="1"/>
    <w:qFormat/>
    <w:uiPriority w:val="0"/>
    <w:pPr>
      <w:adjustRightInd w:val="0"/>
      <w:jc w:val="left"/>
      <w:textAlignment w:val="baseline"/>
    </w:pPr>
    <w:rPr>
      <w:rFonts w:ascii="宋体" w:hAnsi="Courier New"/>
      <w:sz w:val="24"/>
      <w:szCs w:val="20"/>
    </w:rPr>
  </w:style>
  <w:style w:type="paragraph" w:customStyle="1" w:styleId="225">
    <w:name w:val="_Style 9"/>
    <w:basedOn w:val="1"/>
    <w:qFormat/>
    <w:uiPriority w:val="0"/>
    <w:pPr>
      <w:spacing w:line="360" w:lineRule="auto"/>
      <w:ind w:firstLine="420" w:firstLineChars="200"/>
    </w:pPr>
    <w:rPr>
      <w:rFonts w:ascii="Calibri" w:hAnsi="Calibri" w:eastAsia="仿宋"/>
      <w:sz w:val="24"/>
    </w:rPr>
  </w:style>
  <w:style w:type="paragraph" w:customStyle="1" w:styleId="226">
    <w:name w:val="正文首行缩进 21"/>
    <w:basedOn w:val="22"/>
    <w:qFormat/>
    <w:uiPriority w:val="99"/>
    <w:pPr>
      <w:spacing w:line="200" w:lineRule="atLeast"/>
      <w:ind w:firstLine="420"/>
    </w:pPr>
    <w:rPr>
      <w:rFonts w:ascii="宋体" w:hAnsi="Courier New"/>
      <w:spacing w:val="-4"/>
      <w:sz w:val="18"/>
    </w:rPr>
  </w:style>
  <w:style w:type="paragraph" w:customStyle="1" w:styleId="227">
    <w:name w:val="_Style 96"/>
    <w:basedOn w:val="1"/>
    <w:qFormat/>
    <w:uiPriority w:val="0"/>
    <w:rPr>
      <w:rFonts w:ascii="Calibri" w:hAnsi="Calibri"/>
      <w:szCs w:val="20"/>
    </w:rPr>
  </w:style>
  <w:style w:type="paragraph" w:customStyle="1" w:styleId="228">
    <w:name w:val="Heading3"/>
    <w:basedOn w:val="1"/>
    <w:next w:val="1"/>
    <w:qFormat/>
    <w:uiPriority w:val="0"/>
    <w:pPr>
      <w:spacing w:before="120" w:after="120" w:line="300" w:lineRule="auto"/>
    </w:pPr>
    <w:rPr>
      <w:sz w:val="24"/>
      <w:szCs w:val="20"/>
    </w:rPr>
  </w:style>
  <w:style w:type="paragraph" w:customStyle="1" w:styleId="229">
    <w:name w:val="样式 正文首行缩进 2 + 左侧:  1.5 字符 首行缩进:  2 字符2"/>
    <w:basedOn w:val="1"/>
    <w:next w:val="1"/>
    <w:qFormat/>
    <w:uiPriority w:val="0"/>
    <w:pPr>
      <w:spacing w:line="360" w:lineRule="auto"/>
      <w:ind w:firstLine="480" w:firstLineChars="200"/>
    </w:pPr>
    <w:rPr>
      <w:rFonts w:ascii="宋体" w:hAnsi="宋体"/>
      <w:sz w:val="24"/>
    </w:rPr>
  </w:style>
  <w:style w:type="paragraph" w:customStyle="1" w:styleId="23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31">
    <w:name w:val="*正文"/>
    <w:basedOn w:val="1"/>
    <w:qFormat/>
    <w:uiPriority w:val="0"/>
    <w:pPr>
      <w:ind w:firstLine="200" w:firstLineChars="200"/>
    </w:pPr>
    <w:rPr>
      <w:rFonts w:ascii="宋体" w:hAnsi="宋体"/>
      <w:szCs w:val="22"/>
    </w:rPr>
  </w:style>
  <w:style w:type="paragraph" w:customStyle="1" w:styleId="23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34">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35">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37">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8">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39">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4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2">
    <w:name w:val="节前说明"/>
    <w:next w:val="243"/>
    <w:qFormat/>
    <w:uiPriority w:val="0"/>
    <w:pPr>
      <w:pBdr>
        <w:top w:val="single" w:color="auto" w:sz="2" w:space="1"/>
      </w:pBdr>
      <w:tabs>
        <w:tab w:val="left" w:pos="928"/>
      </w:tabs>
      <w:spacing w:before="40" w:after="40"/>
      <w:ind w:left="1701"/>
    </w:pPr>
    <w:rPr>
      <w:rFonts w:ascii="Times New Roman" w:hAnsi="Times New Roman" w:eastAsia="黑体" w:cs="Times New Roman"/>
      <w:b/>
      <w:sz w:val="21"/>
      <w:lang w:val="en-US" w:eastAsia="zh-CN" w:bidi="ar-SA"/>
    </w:rPr>
  </w:style>
  <w:style w:type="paragraph" w:customStyle="1" w:styleId="243">
    <w:name w:val="说明内容"/>
    <w:qFormat/>
    <w:uiPriority w:val="0"/>
    <w:pPr>
      <w:pBdr>
        <w:bottom w:val="single" w:color="auto" w:sz="2" w:space="1"/>
      </w:pBdr>
      <w:tabs>
        <w:tab w:val="left" w:pos="2268"/>
      </w:tabs>
      <w:ind w:left="1701"/>
    </w:pPr>
    <w:rPr>
      <w:rFonts w:ascii="Times New Roman" w:hAnsi="Times New Roman" w:eastAsia="仿宋_GB2312" w:cs="Times New Roman"/>
      <w:sz w:val="21"/>
      <w:lang w:val="en-US" w:eastAsia="zh-CN" w:bidi="ar-SA"/>
    </w:rPr>
  </w:style>
  <w:style w:type="paragraph" w:customStyle="1" w:styleId="2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45">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6">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4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48">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9">
    <w:name w:val="第四级标题"/>
    <w:basedOn w:val="6"/>
    <w:next w:val="1"/>
    <w:qFormat/>
    <w:uiPriority w:val="0"/>
    <w:pPr>
      <w:keepNext/>
      <w:widowControl w:val="0"/>
      <w:spacing w:before="120" w:after="0" w:line="360" w:lineRule="auto"/>
    </w:pPr>
    <w:rPr>
      <w:rFonts w:ascii="Cambria" w:hAnsi="Cambria" w:eastAsia="仿宋"/>
      <w:bCs/>
      <w:color w:val="auto"/>
      <w:sz w:val="24"/>
      <w:szCs w:val="28"/>
    </w:rPr>
  </w:style>
  <w:style w:type="paragraph" w:customStyle="1" w:styleId="25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5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52">
    <w:name w:val="正文首行缩进1"/>
    <w:basedOn w:val="19"/>
    <w:qFormat/>
    <w:uiPriority w:val="0"/>
    <w:pPr>
      <w:tabs>
        <w:tab w:val="clear" w:pos="208"/>
      </w:tabs>
      <w:spacing w:after="120" w:line="240" w:lineRule="auto"/>
      <w:ind w:firstLine="420" w:firstLineChars="100"/>
    </w:pPr>
    <w:rPr>
      <w:rFonts w:ascii="Times New Roman" w:eastAsia="宋体"/>
      <w:sz w:val="21"/>
    </w:rPr>
  </w:style>
  <w:style w:type="paragraph" w:customStyle="1" w:styleId="253">
    <w:name w:val="第一级标题"/>
    <w:basedOn w:val="2"/>
    <w:next w:val="1"/>
    <w:qFormat/>
    <w:uiPriority w:val="0"/>
    <w:pPr>
      <w:keepLines/>
      <w:tabs>
        <w:tab w:val="left" w:pos="360"/>
      </w:tabs>
      <w:autoSpaceDE/>
      <w:autoSpaceDN/>
      <w:spacing w:before="340" w:after="330" w:line="578" w:lineRule="auto"/>
      <w:ind w:left="360" w:hanging="360"/>
      <w:jc w:val="both"/>
      <w:textAlignment w:val="auto"/>
    </w:pPr>
    <w:rPr>
      <w:rFonts w:ascii="Calibri" w:hAnsi="Calibri" w:eastAsia="宋体"/>
      <w:bCs/>
      <w:kern w:val="44"/>
      <w:szCs w:val="44"/>
    </w:rPr>
  </w:style>
  <w:style w:type="paragraph" w:customStyle="1" w:styleId="254">
    <w:name w:val="_Style 1"/>
    <w:basedOn w:val="1"/>
    <w:qFormat/>
    <w:uiPriority w:val="0"/>
    <w:pPr>
      <w:ind w:firstLine="420"/>
    </w:pPr>
    <w:rPr>
      <w:rFonts w:ascii="Calibri" w:hAnsi="Calibri"/>
      <w:szCs w:val="22"/>
    </w:rPr>
  </w:style>
  <w:style w:type="paragraph" w:customStyle="1" w:styleId="255">
    <w:name w:val="普通(网站)_1"/>
    <w:basedOn w:val="10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56">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5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58">
    <w:name w:val="页码1"/>
    <w:basedOn w:val="1"/>
    <w:next w:val="1"/>
    <w:qFormat/>
    <w:uiPriority w:val="0"/>
    <w:pPr>
      <w:widowControl/>
    </w:pPr>
    <w:rPr>
      <w:color w:val="000000"/>
      <w:szCs w:val="20"/>
    </w:rPr>
  </w:style>
  <w:style w:type="paragraph" w:customStyle="1" w:styleId="259">
    <w:name w:val="图片"/>
    <w:basedOn w:val="1"/>
    <w:qFormat/>
    <w:uiPriority w:val="0"/>
    <w:pPr>
      <w:widowControl/>
      <w:spacing w:after="200" w:line="360" w:lineRule="auto"/>
      <w:jc w:val="center"/>
    </w:pPr>
    <w:rPr>
      <w:rFonts w:hint="eastAsia" w:ascii="宋体" w:hAnsi="宋体"/>
      <w:sz w:val="24"/>
      <w:szCs w:val="22"/>
    </w:rPr>
  </w:style>
  <w:style w:type="paragraph" w:customStyle="1" w:styleId="260">
    <w:name w:val="默认段落字体 Para Char Char Char Char Char Char Char Char Char Char1 Char Char Char Char"/>
    <w:basedOn w:val="1"/>
    <w:qFormat/>
    <w:uiPriority w:val="0"/>
    <w:pPr>
      <w:spacing w:line="500" w:lineRule="exact"/>
      <w:ind w:firstLine="200" w:firstLineChars="200"/>
    </w:pPr>
    <w:rPr>
      <w:szCs w:val="20"/>
    </w:rPr>
  </w:style>
  <w:style w:type="paragraph" w:customStyle="1" w:styleId="261">
    <w:name w:val="SANGFOR_7_2级编号"/>
    <w:basedOn w:val="1"/>
    <w:qFormat/>
    <w:uiPriority w:val="0"/>
    <w:pPr>
      <w:tabs>
        <w:tab w:val="left" w:pos="709"/>
      </w:tabs>
      <w:spacing w:line="400" w:lineRule="exact"/>
      <w:ind w:left="740" w:hanging="425"/>
    </w:pPr>
    <w:rPr>
      <w:rFonts w:ascii="楷体_gb18030" w:hAnsi="Verdana" w:eastAsia="楷体_gb18030"/>
      <w:color w:val="000000"/>
      <w:sz w:val="28"/>
      <w:szCs w:val="28"/>
    </w:rPr>
  </w:style>
  <w:style w:type="paragraph" w:customStyle="1" w:styleId="26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3">
    <w:name w:val="Style1"/>
    <w:next w:val="231"/>
    <w:qFormat/>
    <w:uiPriority w:val="0"/>
    <w:pPr>
      <w:numPr>
        <w:ilvl w:val="0"/>
        <w:numId w:val="2"/>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264">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265">
    <w:name w:val="正文（缩进）"/>
    <w:basedOn w:val="1"/>
    <w:qFormat/>
    <w:uiPriority w:val="0"/>
    <w:pPr>
      <w:spacing w:beforeLines="50" w:afterLines="50" w:line="360" w:lineRule="auto"/>
      <w:ind w:firstLine="480" w:firstLineChars="200"/>
    </w:pPr>
    <w:rPr>
      <w:rFonts w:ascii="Arial" w:hAnsi="Arial" w:eastAsia="仿宋" w:cs="Arial"/>
      <w:sz w:val="24"/>
    </w:rPr>
  </w:style>
  <w:style w:type="paragraph" w:customStyle="1" w:styleId="26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67">
    <w:name w:val="纯文本11"/>
    <w:basedOn w:val="1"/>
    <w:qFormat/>
    <w:uiPriority w:val="0"/>
    <w:pPr>
      <w:adjustRightInd w:val="0"/>
      <w:jc w:val="left"/>
    </w:pPr>
    <w:rPr>
      <w:rFonts w:ascii="宋体" w:hAnsi="Courier New"/>
      <w:sz w:val="24"/>
      <w:szCs w:val="20"/>
    </w:rPr>
  </w:style>
  <w:style w:type="paragraph" w:customStyle="1" w:styleId="268">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269">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70">
    <w:name w:val="第三极标题"/>
    <w:basedOn w:val="4"/>
    <w:next w:val="1"/>
    <w:qFormat/>
    <w:uiPriority w:val="0"/>
    <w:pPr>
      <w:spacing w:before="120" w:after="120"/>
      <w:ind w:left="1418" w:hanging="709" w:firstLineChars="0"/>
    </w:pPr>
    <w:rPr>
      <w:rFonts w:ascii="Calibri" w:hAnsi="Calibri" w:eastAsia="仿宋"/>
      <w:szCs w:val="32"/>
    </w:rPr>
  </w:style>
  <w:style w:type="paragraph" w:customStyle="1" w:styleId="27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Item List in Table"/>
    <w:basedOn w:val="1"/>
    <w:qFormat/>
    <w:uiPriority w:val="0"/>
    <w:pPr>
      <w:tabs>
        <w:tab w:val="left" w:pos="420"/>
      </w:tabs>
      <w:ind w:left="420" w:hanging="420"/>
    </w:pPr>
    <w:rPr>
      <w:sz w:val="18"/>
    </w:rPr>
  </w:style>
  <w:style w:type="paragraph" w:customStyle="1" w:styleId="273">
    <w:name w:val="无间隔2"/>
    <w:qFormat/>
    <w:uiPriority w:val="1"/>
    <w:pPr>
      <w:widowControl w:val="0"/>
    </w:pPr>
    <w:rPr>
      <w:rFonts w:ascii="宋体" w:hAnsi="Times New Roman" w:eastAsia="宋体" w:cs="Times New Roman"/>
      <w:kern w:val="2"/>
      <w:sz w:val="24"/>
      <w:szCs w:val="22"/>
      <w:lang w:val="en-US" w:eastAsia="zh-CN" w:bidi="ar-SA"/>
    </w:rPr>
  </w:style>
  <w:style w:type="paragraph" w:customStyle="1" w:styleId="274">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7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76">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77">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78">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cs="宋体"/>
      <w:kern w:val="0"/>
      <w:sz w:val="24"/>
      <w:szCs w:val="20"/>
    </w:rPr>
  </w:style>
  <w:style w:type="paragraph" w:customStyle="1" w:styleId="279">
    <w:name w:val="正文段落"/>
    <w:basedOn w:val="1"/>
    <w:qFormat/>
    <w:uiPriority w:val="0"/>
    <w:pPr>
      <w:spacing w:line="360" w:lineRule="auto"/>
      <w:ind w:firstLine="482"/>
    </w:pPr>
    <w:rPr>
      <w:rFonts w:ascii="宋体"/>
      <w:sz w:val="24"/>
      <w:szCs w:val="20"/>
    </w:rPr>
  </w:style>
  <w:style w:type="paragraph" w:customStyle="1" w:styleId="280">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28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82">
    <w:name w:val="SANGFOR_8_表格文字"/>
    <w:basedOn w:val="1"/>
    <w:qFormat/>
    <w:uiPriority w:val="0"/>
    <w:pPr>
      <w:snapToGrid w:val="0"/>
    </w:pPr>
    <w:rPr>
      <w:szCs w:val="21"/>
    </w:rPr>
  </w:style>
  <w:style w:type="paragraph" w:customStyle="1" w:styleId="283">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84">
    <w:name w:val="_Style 2"/>
    <w:basedOn w:val="1"/>
    <w:next w:val="19"/>
    <w:qFormat/>
    <w:uiPriority w:val="0"/>
    <w:rPr>
      <w:sz w:val="28"/>
    </w:rPr>
  </w:style>
  <w:style w:type="paragraph" w:customStyle="1" w:styleId="285">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28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8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T - 文档正文"/>
    <w:basedOn w:val="1"/>
    <w:qFormat/>
    <w:uiPriority w:val="0"/>
    <w:pPr>
      <w:spacing w:beforeLines="50" w:afterLines="50"/>
      <w:ind w:firstLine="200" w:firstLineChars="200"/>
    </w:pPr>
    <w:rPr>
      <w:rFonts w:ascii="Verdana" w:hAnsi="Verdana" w:eastAsia="仿宋"/>
      <w:sz w:val="28"/>
      <w:szCs w:val="22"/>
    </w:rPr>
  </w:style>
  <w:style w:type="paragraph" w:customStyle="1" w:styleId="289">
    <w:name w:val="我的正文(首行缩进)"/>
    <w:basedOn w:val="1"/>
    <w:qFormat/>
    <w:uiPriority w:val="0"/>
    <w:pPr>
      <w:spacing w:line="360" w:lineRule="auto"/>
      <w:ind w:firstLine="560" w:firstLineChars="200"/>
      <w:jc w:val="left"/>
    </w:pPr>
    <w:rPr>
      <w:rFonts w:ascii="宋体" w:hAnsi="宋体" w:eastAsia="仿宋"/>
      <w:sz w:val="24"/>
      <w:szCs w:val="21"/>
    </w:rPr>
  </w:style>
  <w:style w:type="paragraph" w:customStyle="1" w:styleId="29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91">
    <w:name w:val="def正文"/>
    <w:basedOn w:val="19"/>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292">
    <w:name w:val="样式 标题 2 + 宋体 加粗 行距: 1.5 倍行距"/>
    <w:basedOn w:val="3"/>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bCs/>
      <w:sz w:val="24"/>
    </w:rPr>
  </w:style>
  <w:style w:type="paragraph" w:customStyle="1" w:styleId="293">
    <w:name w:val="config"/>
    <w:basedOn w:val="1"/>
    <w:qFormat/>
    <w:uiPriority w:val="0"/>
    <w:pPr>
      <w:widowControl/>
      <w:spacing w:after="160"/>
      <w:ind w:left="1134"/>
      <w:jc w:val="left"/>
    </w:pPr>
    <w:rPr>
      <w:rFonts w:ascii="Arial" w:hAnsi="Arial" w:eastAsia="Arial"/>
      <w:kern w:val="0"/>
      <w:szCs w:val="20"/>
      <w:lang w:eastAsia="en-US"/>
    </w:rPr>
  </w:style>
  <w:style w:type="paragraph" w:customStyle="1" w:styleId="294">
    <w:name w:val="SJ2"/>
    <w:basedOn w:val="1"/>
    <w:qFormat/>
    <w:uiPriority w:val="0"/>
    <w:pPr>
      <w:spacing w:line="360" w:lineRule="auto"/>
      <w:ind w:firstLine="480" w:firstLineChars="200"/>
      <w:jc w:val="left"/>
    </w:pPr>
    <w:rPr>
      <w:rFonts w:cs="宋体"/>
      <w:sz w:val="24"/>
      <w:szCs w:val="20"/>
    </w:rPr>
  </w:style>
  <w:style w:type="paragraph" w:customStyle="1" w:styleId="295">
    <w:name w:val="默认段落字体 Para Char Char Char Char Char Char Char Char Char1 Char Char Char Char Char Char Char"/>
    <w:basedOn w:val="1"/>
    <w:qFormat/>
    <w:uiPriority w:val="0"/>
    <w:pPr>
      <w:keepNext/>
      <w:autoSpaceDE w:val="0"/>
      <w:autoSpaceDN w:val="0"/>
      <w:spacing w:before="40" w:after="40"/>
      <w:jc w:val="center"/>
    </w:pPr>
    <w:rPr>
      <w:szCs w:val="20"/>
    </w:rPr>
  </w:style>
  <w:style w:type="paragraph" w:customStyle="1" w:styleId="296">
    <w:name w:val="SANGFOR_2_标题2"/>
    <w:basedOn w:val="3"/>
    <w:next w:val="134"/>
    <w:qFormat/>
    <w:uiPriority w:val="0"/>
    <w:pPr>
      <w:keepLines/>
      <w:adjustRightInd/>
      <w:snapToGrid/>
      <w:spacing w:before="260" w:beforeLines="50" w:after="260" w:afterLines="50" w:line="240" w:lineRule="auto"/>
      <w:jc w:val="both"/>
      <w:textAlignment w:val="auto"/>
    </w:pPr>
    <w:rPr>
      <w:rFonts w:ascii="黑体" w:hAnsi="黑体" w:eastAsia="黑体"/>
      <w:bCs/>
      <w:kern w:val="2"/>
      <w:szCs w:val="36"/>
    </w:rPr>
  </w:style>
  <w:style w:type="paragraph" w:customStyle="1" w:styleId="297">
    <w:name w:val="模板标题6"/>
    <w:basedOn w:val="1"/>
    <w:next w:val="20"/>
    <w:qFormat/>
    <w:uiPriority w:val="0"/>
    <w:pPr>
      <w:tabs>
        <w:tab w:val="left" w:pos="2160"/>
      </w:tabs>
      <w:spacing w:afterLines="50"/>
      <w:outlineLvl w:val="5"/>
    </w:pPr>
    <w:rPr>
      <w:rFonts w:ascii="宋体" w:hAnsi="宋体"/>
      <w:b/>
      <w:szCs w:val="20"/>
    </w:rPr>
  </w:style>
  <w:style w:type="paragraph" w:customStyle="1" w:styleId="298">
    <w:name w:val="font8"/>
    <w:basedOn w:val="1"/>
    <w:qFormat/>
    <w:uiPriority w:val="0"/>
    <w:pPr>
      <w:widowControl/>
      <w:spacing w:before="100" w:beforeAutospacing="1" w:after="100" w:afterAutospacing="1"/>
      <w:jc w:val="left"/>
    </w:pPr>
    <w:rPr>
      <w:kern w:val="0"/>
      <w:sz w:val="20"/>
      <w:szCs w:val="20"/>
    </w:rPr>
  </w:style>
  <w:style w:type="paragraph" w:customStyle="1" w:styleId="299">
    <w:name w:val="模板标题2"/>
    <w:basedOn w:val="1"/>
    <w:next w:val="1"/>
    <w:qFormat/>
    <w:uiPriority w:val="0"/>
    <w:pPr>
      <w:keepNext/>
      <w:keepLines/>
      <w:tabs>
        <w:tab w:val="left" w:pos="1080"/>
      </w:tabs>
      <w:spacing w:afterLines="50"/>
      <w:outlineLvl w:val="1"/>
    </w:pPr>
    <w:rPr>
      <w:rFonts w:ascii="Arial" w:hAnsi="Arial"/>
      <w:b/>
      <w:kern w:val="32"/>
      <w:sz w:val="28"/>
      <w:szCs w:val="20"/>
    </w:rPr>
  </w:style>
  <w:style w:type="paragraph" w:customStyle="1" w:styleId="300">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01">
    <w:name w:val="样式2"/>
    <w:basedOn w:val="1"/>
    <w:qFormat/>
    <w:uiPriority w:val="0"/>
    <w:pPr>
      <w:widowControl/>
      <w:tabs>
        <w:tab w:val="left" w:pos="840"/>
      </w:tabs>
      <w:overflowPunct w:val="0"/>
      <w:autoSpaceDE w:val="0"/>
      <w:autoSpaceDN w:val="0"/>
      <w:adjustRightInd w:val="0"/>
      <w:snapToGrid w:val="0"/>
      <w:spacing w:before="48" w:beforeLines="20" w:after="48" w:afterLines="20" w:line="440" w:lineRule="exact"/>
      <w:ind w:left="840" w:hanging="420"/>
      <w:jc w:val="left"/>
      <w:outlineLvl w:val="0"/>
    </w:pPr>
    <w:rPr>
      <w:rFonts w:ascii="宋体" w:hAnsi="宋体"/>
      <w:kern w:val="0"/>
      <w:szCs w:val="21"/>
      <w:lang w:bidi="he-IL"/>
    </w:rPr>
  </w:style>
  <w:style w:type="paragraph" w:customStyle="1" w:styleId="302">
    <w:name w:val="标题二自定义"/>
    <w:basedOn w:val="3"/>
    <w:next w:val="1"/>
    <w:qFormat/>
    <w:uiPriority w:val="0"/>
    <w:pPr>
      <w:keepLines/>
      <w:pBdr>
        <w:top w:val="none" w:color="auto" w:sz="0" w:space="1"/>
        <w:left w:val="none" w:color="auto" w:sz="0" w:space="4"/>
        <w:bottom w:val="none" w:color="auto" w:sz="0" w:space="1"/>
        <w:right w:val="none" w:color="auto" w:sz="0" w:space="4"/>
      </w:pBdr>
      <w:adjustRightInd/>
      <w:snapToGrid/>
      <w:spacing w:before="312" w:after="312"/>
      <w:ind w:left="141"/>
      <w:jc w:val="both"/>
      <w:textAlignment w:val="auto"/>
    </w:pPr>
    <w:rPr>
      <w:rFonts w:ascii="仿宋" w:hAnsi="仿宋" w:eastAsia="仿宋"/>
      <w:sz w:val="30"/>
      <w:szCs w:val="24"/>
    </w:rPr>
  </w:style>
  <w:style w:type="paragraph" w:customStyle="1" w:styleId="303">
    <w:name w:val="5正文"/>
    <w:qFormat/>
    <w:uiPriority w:val="0"/>
    <w:pPr>
      <w:spacing w:after="200"/>
      <w:ind w:left="420" w:right="240" w:rightChars="100"/>
    </w:pPr>
    <w:rPr>
      <w:rFonts w:ascii="宋体" w:hAnsi="宋体" w:eastAsia="宋体" w:cs="Times New Roman"/>
      <w:sz w:val="24"/>
      <w:szCs w:val="28"/>
      <w:lang w:val="en-US" w:eastAsia="zh-CN" w:bidi="ar-SA"/>
    </w:rPr>
  </w:style>
  <w:style w:type="paragraph" w:customStyle="1" w:styleId="30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0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06">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08">
    <w:name w:val="Char Char Char Char Char Char Char"/>
    <w:basedOn w:val="1"/>
    <w:qFormat/>
    <w:uiPriority w:val="0"/>
    <w:rPr>
      <w:rFonts w:ascii="仿宋_GB2312" w:eastAsia="仿宋_GB2312"/>
      <w:b/>
      <w:sz w:val="32"/>
      <w:szCs w:val="32"/>
    </w:rPr>
  </w:style>
  <w:style w:type="paragraph" w:customStyle="1" w:styleId="309">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10">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1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12">
    <w:name w:val="模板标题3"/>
    <w:basedOn w:val="1"/>
    <w:next w:val="20"/>
    <w:qFormat/>
    <w:uiPriority w:val="0"/>
    <w:pPr>
      <w:keepNext/>
      <w:keepLines/>
      <w:tabs>
        <w:tab w:val="left" w:pos="1080"/>
      </w:tabs>
      <w:spacing w:afterLines="50"/>
      <w:outlineLvl w:val="2"/>
    </w:pPr>
    <w:rPr>
      <w:rFonts w:ascii="Arial" w:hAnsi="Arial"/>
      <w:b/>
      <w:kern w:val="21"/>
      <w:sz w:val="24"/>
      <w:szCs w:val="20"/>
    </w:rPr>
  </w:style>
  <w:style w:type="paragraph" w:customStyle="1" w:styleId="313">
    <w:name w:val="标题一自定义"/>
    <w:basedOn w:val="2"/>
    <w:next w:val="1"/>
    <w:qFormat/>
    <w:uiPriority w:val="0"/>
    <w:pPr>
      <w:keepLines/>
      <w:pageBreakBefore/>
      <w:tabs>
        <w:tab w:val="left" w:pos="980"/>
      </w:tabs>
      <w:autoSpaceDE/>
      <w:autoSpaceDN/>
      <w:ind w:left="980" w:hanging="360"/>
      <w:jc w:val="both"/>
      <w:textAlignment w:val="auto"/>
    </w:pPr>
    <w:rPr>
      <w:rFonts w:ascii="仿宋" w:hAnsi="仿宋" w:eastAsia="仿宋"/>
      <w:kern w:val="44"/>
      <w:sz w:val="32"/>
    </w:rPr>
  </w:style>
  <w:style w:type="paragraph" w:customStyle="1" w:styleId="31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15">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16">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17">
    <w:name w:val="Char1 Char Char Char Char Char Char"/>
    <w:basedOn w:val="2"/>
    <w:semiHidden/>
    <w:qFormat/>
    <w:uiPriority w:val="0"/>
    <w:pPr>
      <w:adjustRightInd w:val="0"/>
      <w:snapToGrid w:val="0"/>
      <w:spacing w:before="100" w:beforeLines="100" w:after="100" w:afterLines="100" w:line="480" w:lineRule="auto"/>
      <w:jc w:val="both"/>
      <w:textAlignment w:val="auto"/>
    </w:pPr>
    <w:rPr>
      <w:rFonts w:ascii="宋体" w:hAnsi="宋体" w:eastAsia="宋体"/>
      <w:sz w:val="32"/>
    </w:rPr>
  </w:style>
  <w:style w:type="paragraph" w:customStyle="1" w:styleId="318">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19">
    <w:name w:val="head 1.1"/>
    <w:basedOn w:val="197"/>
    <w:qFormat/>
    <w:uiPriority w:val="0"/>
    <w:pPr>
      <w:numPr>
        <w:ilvl w:val="1"/>
        <w:numId w:val="1"/>
      </w:numPr>
      <w:spacing w:before="260" w:after="260"/>
      <w:ind w:firstLine="0" w:firstLineChars="0"/>
    </w:pPr>
    <w:rPr>
      <w:rFonts w:ascii="宋体" w:hAnsi="宋体"/>
      <w:bCs/>
      <w:szCs w:val="24"/>
    </w:rPr>
  </w:style>
  <w:style w:type="paragraph" w:customStyle="1" w:styleId="320">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2">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323">
    <w:name w:val="Body Text 21"/>
    <w:basedOn w:val="1"/>
    <w:next w:val="1"/>
    <w:qFormat/>
    <w:uiPriority w:val="0"/>
    <w:pPr>
      <w:widowControl/>
      <w:spacing w:line="300" w:lineRule="auto"/>
      <w:jc w:val="center"/>
    </w:pPr>
    <w:rPr>
      <w:rFonts w:ascii="宋体"/>
      <w:color w:val="000000"/>
      <w:sz w:val="24"/>
      <w:szCs w:val="20"/>
    </w:rPr>
  </w:style>
  <w:style w:type="paragraph" w:customStyle="1" w:styleId="324">
    <w:name w:val="模板标题1"/>
    <w:basedOn w:val="1"/>
    <w:next w:val="1"/>
    <w:qFormat/>
    <w:uiPriority w:val="0"/>
    <w:pPr>
      <w:keepNext/>
      <w:keepLines/>
      <w:tabs>
        <w:tab w:val="left" w:pos="360"/>
      </w:tabs>
      <w:spacing w:afterLines="50"/>
      <w:jc w:val="left"/>
      <w:outlineLvl w:val="0"/>
    </w:pPr>
    <w:rPr>
      <w:rFonts w:ascii="Arial" w:hAnsi="Arial"/>
      <w:b/>
      <w:kern w:val="32"/>
      <w:sz w:val="32"/>
      <w:szCs w:val="20"/>
    </w:rPr>
  </w:style>
  <w:style w:type="paragraph" w:customStyle="1" w:styleId="325">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6">
    <w:name w:val="3级标题"/>
    <w:basedOn w:val="1"/>
    <w:qFormat/>
    <w:uiPriority w:val="0"/>
    <w:pPr>
      <w:keepLines/>
      <w:spacing w:before="120" w:after="120" w:line="360" w:lineRule="auto"/>
      <w:ind w:left="720" w:hanging="720"/>
      <w:contextualSpacing/>
      <w:jc w:val="left"/>
      <w:outlineLvl w:val="2"/>
    </w:pPr>
    <w:rPr>
      <w:rFonts w:ascii="黑体" w:hAnsi="黑体" w:eastAsia="黑体"/>
      <w:kern w:val="0"/>
      <w:sz w:val="28"/>
      <w:szCs w:val="36"/>
      <w:lang w:eastAsia="en-US" w:bidi="en-US"/>
    </w:rPr>
  </w:style>
  <w:style w:type="paragraph" w:customStyle="1" w:styleId="327">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328">
    <w:name w:val="Char Char"/>
    <w:basedOn w:val="1"/>
    <w:qFormat/>
    <w:uiPriority w:val="0"/>
    <w:pPr>
      <w:adjustRightInd w:val="0"/>
      <w:spacing w:line="360" w:lineRule="auto"/>
    </w:pPr>
    <w:rPr>
      <w:kern w:val="0"/>
      <w:sz w:val="24"/>
      <w:szCs w:val="20"/>
    </w:rPr>
  </w:style>
  <w:style w:type="paragraph" w:customStyle="1" w:styleId="329">
    <w:name w:val="样式1"/>
    <w:basedOn w:val="19"/>
    <w:qFormat/>
    <w:uiPriority w:val="0"/>
    <w:pPr>
      <w:keepLines/>
      <w:spacing w:before="260" w:after="260" w:line="416" w:lineRule="auto"/>
    </w:pPr>
    <w:rPr>
      <w:rFonts w:ascii="宋体" w:hAnsi="宋体" w:eastAsia="黑体"/>
      <w:bCs/>
      <w:szCs w:val="36"/>
    </w:rPr>
  </w:style>
  <w:style w:type="paragraph" w:customStyle="1" w:styleId="330">
    <w:name w:val="TOC 标题1"/>
    <w:basedOn w:val="2"/>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bCs/>
      <w:color w:val="365F91"/>
      <w:kern w:val="0"/>
      <w:sz w:val="28"/>
      <w:szCs w:val="28"/>
      <w:lang w:val="zh-CN"/>
    </w:rPr>
  </w:style>
  <w:style w:type="paragraph" w:customStyle="1" w:styleId="331">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3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33">
    <w:name w:val="正文0"/>
    <w:basedOn w:val="1"/>
    <w:qFormat/>
    <w:uiPriority w:val="0"/>
    <w:pPr>
      <w:widowControl/>
      <w:adjustRightInd w:val="0"/>
      <w:snapToGrid w:val="0"/>
      <w:spacing w:line="360" w:lineRule="auto"/>
      <w:ind w:firstLine="482"/>
      <w:jc w:val="left"/>
    </w:pPr>
    <w:rPr>
      <w:rFonts w:ascii="仿宋" w:hAnsi="仿宋" w:eastAsia="仿宋"/>
      <w:color w:val="000000"/>
      <w:kern w:val="52"/>
      <w:sz w:val="24"/>
    </w:rPr>
  </w:style>
  <w:style w:type="paragraph" w:customStyle="1" w:styleId="334">
    <w:name w:val="文章标题4级"/>
    <w:basedOn w:val="1"/>
    <w:next w:val="1"/>
    <w:qFormat/>
    <w:uiPriority w:val="0"/>
    <w:pPr>
      <w:widowControl/>
      <w:tabs>
        <w:tab w:val="left" w:pos="1034"/>
        <w:tab w:val="left" w:pos="1680"/>
        <w:tab w:val="left" w:pos="2760"/>
      </w:tabs>
      <w:spacing w:before="156" w:beforeLines="50" w:after="156" w:afterLines="50"/>
      <w:ind w:left="1680" w:hanging="420"/>
      <w:jc w:val="left"/>
      <w:outlineLvl w:val="3"/>
    </w:pPr>
    <w:rPr>
      <w:b/>
      <w:bCs/>
      <w:caps/>
      <w:sz w:val="24"/>
      <w:szCs w:val="18"/>
    </w:rPr>
  </w:style>
  <w:style w:type="paragraph" w:customStyle="1" w:styleId="335">
    <w:name w:val="模板标题4"/>
    <w:basedOn w:val="1"/>
    <w:next w:val="20"/>
    <w:qFormat/>
    <w:uiPriority w:val="0"/>
    <w:pPr>
      <w:tabs>
        <w:tab w:val="left" w:pos="1440"/>
      </w:tabs>
      <w:spacing w:afterLines="50"/>
      <w:outlineLvl w:val="3"/>
    </w:pPr>
    <w:rPr>
      <w:rFonts w:ascii="宋体" w:hAnsi="宋体"/>
      <w:b/>
      <w:szCs w:val="20"/>
    </w:rPr>
  </w:style>
  <w:style w:type="paragraph" w:customStyle="1" w:styleId="336">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37">
    <w:name w:val="_Style 8"/>
    <w:basedOn w:val="1"/>
    <w:qFormat/>
    <w:uiPriority w:val="0"/>
    <w:pPr>
      <w:ind w:firstLine="420" w:firstLineChars="200"/>
    </w:pPr>
    <w:rPr>
      <w:rFonts w:ascii="仿宋" w:hAnsi="仿宋" w:eastAsia="仿宋"/>
      <w:szCs w:val="22"/>
    </w:rPr>
  </w:style>
  <w:style w:type="paragraph" w:customStyle="1" w:styleId="338">
    <w:name w:val="WPSOffice手动目录 1"/>
    <w:qFormat/>
    <w:uiPriority w:val="0"/>
    <w:rPr>
      <w:rFonts w:ascii="Times New Roman" w:hAnsi="Times New Roman" w:eastAsia="宋体" w:cs="Times New Roman"/>
      <w:lang w:val="en-US" w:eastAsia="zh-CN" w:bidi="ar-SA"/>
    </w:rPr>
  </w:style>
  <w:style w:type="paragraph" w:customStyle="1" w:styleId="339">
    <w:name w:val="正文缩进1"/>
    <w:basedOn w:val="1"/>
    <w:qFormat/>
    <w:uiPriority w:val="0"/>
    <w:pPr>
      <w:spacing w:line="300" w:lineRule="auto"/>
      <w:ind w:firstLine="425"/>
    </w:pPr>
    <w:rPr>
      <w:szCs w:val="20"/>
    </w:rPr>
  </w:style>
  <w:style w:type="paragraph" w:customStyle="1" w:styleId="340">
    <w:name w:val="默认段落字体 Para Char Char Char Char Char Char Char Char Char1 Char Char Char Char"/>
    <w:basedOn w:val="1"/>
    <w:qFormat/>
    <w:uiPriority w:val="0"/>
    <w:rPr>
      <w:rFonts w:ascii="Tahoma" w:hAnsi="Tahoma"/>
      <w:sz w:val="24"/>
      <w:szCs w:val="20"/>
    </w:rPr>
  </w:style>
  <w:style w:type="paragraph" w:customStyle="1" w:styleId="341">
    <w:name w:val="TOC 标题2"/>
    <w:basedOn w:val="2"/>
    <w:next w:val="1"/>
    <w:qFormat/>
    <w:uiPriority w:val="39"/>
    <w:pPr>
      <w:keepLines/>
      <w:tabs>
        <w:tab w:val="left" w:pos="360"/>
      </w:tabs>
      <w:autoSpaceDE/>
      <w:autoSpaceDN/>
      <w:spacing w:before="340" w:after="330" w:line="578" w:lineRule="auto"/>
      <w:ind w:left="360" w:hanging="360"/>
      <w:jc w:val="both"/>
      <w:textAlignment w:val="auto"/>
      <w:outlineLvl w:val="9"/>
    </w:pPr>
    <w:rPr>
      <w:rFonts w:ascii="Calibri" w:hAnsi="Calibri" w:eastAsia="宋体"/>
      <w:bCs/>
      <w:kern w:val="44"/>
      <w:szCs w:val="44"/>
    </w:rPr>
  </w:style>
  <w:style w:type="paragraph" w:customStyle="1" w:styleId="342">
    <w:name w:val="Table Paragraph"/>
    <w:basedOn w:val="1"/>
    <w:qFormat/>
    <w:uiPriority w:val="1"/>
    <w:rPr>
      <w:rFonts w:ascii="仿宋" w:hAnsi="仿宋" w:eastAsia="仿宋" w:cs="仿宋"/>
      <w:lang w:val="zh-CN" w:bidi="zh-CN"/>
    </w:rPr>
  </w:style>
  <w:style w:type="paragraph" w:customStyle="1" w:styleId="343">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344">
    <w:name w:val="表内文字"/>
    <w:basedOn w:val="1"/>
    <w:qFormat/>
    <w:uiPriority w:val="0"/>
    <w:pPr>
      <w:jc w:val="center"/>
    </w:pPr>
    <w:rPr>
      <w:rFonts w:ascii="仿宋_GB2312" w:eastAsia="仿宋_GB2312"/>
      <w:sz w:val="24"/>
    </w:rPr>
  </w:style>
  <w:style w:type="paragraph" w:customStyle="1" w:styleId="345">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46">
    <w:name w:val="彩色列表 - 着色 11"/>
    <w:basedOn w:val="1"/>
    <w:qFormat/>
    <w:uiPriority w:val="99"/>
    <w:pPr>
      <w:widowControl/>
      <w:tabs>
        <w:tab w:val="left" w:pos="720"/>
      </w:tabs>
      <w:suppressAutoHyphens/>
      <w:overflowPunct w:val="0"/>
      <w:spacing w:after="200" w:line="276" w:lineRule="auto"/>
      <w:ind w:left="720"/>
      <w:contextualSpacing/>
      <w:jc w:val="left"/>
    </w:pPr>
    <w:rPr>
      <w:rFonts w:ascii="Calibri" w:hAnsi="Calibri"/>
      <w:color w:val="00000A"/>
      <w:kern w:val="0"/>
      <w:sz w:val="22"/>
      <w:szCs w:val="22"/>
    </w:rPr>
  </w:style>
  <w:style w:type="paragraph" w:customStyle="1" w:styleId="347">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34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49">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350">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351">
    <w:name w:val="正文文本缩进1"/>
    <w:basedOn w:val="1"/>
    <w:qFormat/>
    <w:uiPriority w:val="0"/>
    <w:pPr>
      <w:spacing w:line="520" w:lineRule="exact"/>
      <w:ind w:firstLine="555"/>
    </w:pPr>
    <w:rPr>
      <w:rFonts w:ascii="Calibri" w:hAnsi="Calibri"/>
      <w:kern w:val="0"/>
      <w:sz w:val="20"/>
    </w:rPr>
  </w:style>
  <w:style w:type="paragraph" w:customStyle="1" w:styleId="35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3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54">
    <w:name w:val="图片标注"/>
    <w:basedOn w:val="1"/>
    <w:next w:val="5"/>
    <w:qFormat/>
    <w:uiPriority w:val="0"/>
    <w:pPr>
      <w:widowControl/>
      <w:spacing w:after="120"/>
      <w:jc w:val="center"/>
    </w:pPr>
    <w:rPr>
      <w:rFonts w:hint="eastAsia" w:ascii="宋体" w:hAnsi="宋体"/>
      <w:szCs w:val="22"/>
    </w:rPr>
  </w:style>
  <w:style w:type="paragraph" w:customStyle="1" w:styleId="35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7">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3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5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0">
    <w:name w:val="第二级标题"/>
    <w:basedOn w:val="3"/>
    <w:next w:val="1"/>
    <w:qFormat/>
    <w:uiPriority w:val="0"/>
    <w:pPr>
      <w:keepLines/>
      <w:adjustRightInd/>
      <w:snapToGrid/>
      <w:spacing w:before="260" w:after="260" w:line="416" w:lineRule="auto"/>
      <w:ind w:left="576" w:hanging="576"/>
      <w:jc w:val="both"/>
      <w:textAlignment w:val="auto"/>
    </w:pPr>
    <w:rPr>
      <w:rFonts w:ascii="Cambria" w:hAnsi="Cambria" w:eastAsia="仿宋"/>
      <w:bCs/>
      <w:kern w:val="2"/>
      <w:sz w:val="32"/>
      <w:szCs w:val="32"/>
    </w:rPr>
  </w:style>
  <w:style w:type="paragraph" w:customStyle="1" w:styleId="36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362">
    <w:name w:val="List Paragraph1"/>
    <w:basedOn w:val="1"/>
    <w:qFormat/>
    <w:uiPriority w:val="99"/>
    <w:pPr>
      <w:ind w:firstLine="420" w:firstLineChars="200"/>
    </w:pPr>
    <w:rPr>
      <w:rFonts w:ascii="Calibri" w:hAnsi="Calibri"/>
      <w:szCs w:val="22"/>
    </w:rPr>
  </w:style>
  <w:style w:type="paragraph" w:customStyle="1" w:styleId="363">
    <w:name w:val="font11"/>
    <w:basedOn w:val="1"/>
    <w:qFormat/>
    <w:uiPriority w:val="0"/>
    <w:pPr>
      <w:widowControl/>
      <w:spacing w:before="100" w:beforeAutospacing="1" w:after="100" w:afterAutospacing="1"/>
      <w:jc w:val="left"/>
    </w:pPr>
    <w:rPr>
      <w:b/>
      <w:bCs/>
      <w:i/>
      <w:iCs/>
      <w:kern w:val="0"/>
      <w:sz w:val="24"/>
    </w:rPr>
  </w:style>
  <w:style w:type="paragraph" w:customStyle="1" w:styleId="364">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365">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正文样式"/>
    <w:basedOn w:val="1"/>
    <w:qFormat/>
    <w:uiPriority w:val="0"/>
    <w:pPr>
      <w:spacing w:line="360" w:lineRule="auto"/>
      <w:ind w:firstLine="480" w:firstLineChars="200"/>
    </w:pPr>
    <w:rPr>
      <w:rFonts w:cs="宋体"/>
      <w:sz w:val="24"/>
      <w:szCs w:val="20"/>
    </w:rPr>
  </w:style>
  <w:style w:type="paragraph" w:customStyle="1" w:styleId="367">
    <w:name w:val="pa-2"/>
    <w:basedOn w:val="1"/>
    <w:qFormat/>
    <w:uiPriority w:val="99"/>
    <w:pPr>
      <w:widowControl/>
      <w:spacing w:line="360" w:lineRule="atLeast"/>
      <w:ind w:firstLine="560"/>
      <w:jc w:val="left"/>
    </w:pPr>
    <w:rPr>
      <w:rFonts w:ascii="宋体" w:hAnsi="宋体" w:cs="宋体"/>
      <w:kern w:val="0"/>
      <w:sz w:val="24"/>
    </w:rPr>
  </w:style>
  <w:style w:type="paragraph" w:customStyle="1" w:styleId="368">
    <w:name w:val="Char Char Char Char"/>
    <w:basedOn w:val="1"/>
    <w:qFormat/>
    <w:uiPriority w:val="0"/>
    <w:pPr>
      <w:adjustRightInd w:val="0"/>
      <w:spacing w:line="360" w:lineRule="auto"/>
    </w:pPr>
    <w:rPr>
      <w:kern w:val="0"/>
      <w:sz w:val="24"/>
      <w:szCs w:val="20"/>
    </w:rPr>
  </w:style>
  <w:style w:type="paragraph" w:customStyle="1" w:styleId="369">
    <w:name w:val="正文段"/>
    <w:basedOn w:val="1"/>
    <w:qFormat/>
    <w:uiPriority w:val="0"/>
    <w:pPr>
      <w:widowControl/>
      <w:snapToGrid w:val="0"/>
      <w:spacing w:after="200" w:afterLines="50"/>
      <w:ind w:firstLine="200" w:firstLineChars="200"/>
    </w:pPr>
    <w:rPr>
      <w:kern w:val="0"/>
      <w:sz w:val="24"/>
      <w:szCs w:val="20"/>
    </w:rPr>
  </w:style>
  <w:style w:type="paragraph" w:customStyle="1" w:styleId="370">
    <w:name w:val="列出段落5"/>
    <w:basedOn w:val="1"/>
    <w:qFormat/>
    <w:uiPriority w:val="34"/>
    <w:pPr>
      <w:ind w:firstLine="420" w:firstLineChars="200"/>
    </w:pPr>
    <w:rPr>
      <w:rFonts w:ascii="Calibri" w:hAnsi="Calibri"/>
      <w:sz w:val="24"/>
    </w:rPr>
  </w:style>
  <w:style w:type="paragraph" w:customStyle="1" w:styleId="37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72">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73">
    <w:name w:val="PlainText"/>
    <w:basedOn w:val="1"/>
    <w:next w:val="1"/>
    <w:qFormat/>
    <w:uiPriority w:val="0"/>
    <w:pPr>
      <w:textAlignment w:val="baseline"/>
    </w:pPr>
    <w:rPr>
      <w:rFonts w:ascii="宋体" w:hAnsi="Courier New"/>
      <w:szCs w:val="20"/>
    </w:rPr>
  </w:style>
  <w:style w:type="paragraph" w:customStyle="1" w:styleId="374">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75">
    <w:name w:val="Char1"/>
    <w:basedOn w:val="1"/>
    <w:qFormat/>
    <w:uiPriority w:val="0"/>
    <w:pPr>
      <w:adjustRightInd w:val="0"/>
      <w:spacing w:line="360" w:lineRule="auto"/>
    </w:pPr>
    <w:rPr>
      <w:kern w:val="0"/>
      <w:sz w:val="24"/>
      <w:szCs w:val="20"/>
    </w:rPr>
  </w:style>
  <w:style w:type="paragraph" w:customStyle="1" w:styleId="376">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7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78">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0">
    <w:name w:val="列表项目"/>
    <w:basedOn w:val="1"/>
    <w:qFormat/>
    <w:uiPriority w:val="0"/>
    <w:pPr>
      <w:tabs>
        <w:tab w:val="left" w:pos="420"/>
      </w:tabs>
      <w:spacing w:line="288" w:lineRule="auto"/>
      <w:ind w:left="840" w:leftChars="200" w:hanging="420" w:hangingChars="200"/>
    </w:pPr>
    <w:rPr>
      <w:sz w:val="24"/>
      <w:szCs w:val="20"/>
    </w:rPr>
  </w:style>
  <w:style w:type="paragraph" w:customStyle="1" w:styleId="381">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383">
    <w:name w:val="首行缩进"/>
    <w:basedOn w:val="1"/>
    <w:qFormat/>
    <w:uiPriority w:val="0"/>
    <w:pPr>
      <w:spacing w:line="360" w:lineRule="auto"/>
      <w:ind w:firstLine="480" w:firstLineChars="200"/>
    </w:pPr>
    <w:rPr>
      <w:rFonts w:hAnsi="宋体" w:cs="宋体"/>
      <w:sz w:val="24"/>
    </w:rPr>
  </w:style>
  <w:style w:type="paragraph" w:customStyle="1" w:styleId="384">
    <w:name w:val="NormalIndent"/>
    <w:basedOn w:val="1"/>
    <w:next w:val="1"/>
    <w:qFormat/>
    <w:uiPriority w:val="0"/>
    <w:pPr>
      <w:ind w:firstLine="420"/>
      <w:textAlignment w:val="baseline"/>
    </w:pPr>
    <w:rPr>
      <w:szCs w:val="20"/>
    </w:rPr>
  </w:style>
  <w:style w:type="table" w:customStyle="1" w:styleId="385">
    <w:name w:val="Table Grid1"/>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Table Normal"/>
    <w:unhideWhenUsed/>
    <w:qFormat/>
    <w:uiPriority w:val="0"/>
    <w:tblPr>
      <w:tblCellMar>
        <w:top w:w="0" w:type="dxa"/>
        <w:left w:w="0" w:type="dxa"/>
        <w:bottom w:w="0" w:type="dxa"/>
        <w:right w:w="0" w:type="dxa"/>
      </w:tblCellMar>
    </w:tblPr>
  </w:style>
  <w:style w:type="paragraph" w:customStyle="1" w:styleId="38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388">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89">
    <w:name w:val="默认"/>
    <w:qFormat/>
    <w:uiPriority w:val="0"/>
    <w:pPr>
      <w:framePr w:wrap="around" w:vAnchor="margin" w:hAnchor="text" w:y="1"/>
      <w:spacing w:before="160" w:after="0" w:line="240" w:lineRule="auto"/>
    </w:pPr>
    <w:rPr>
      <w:rFonts w:ascii="Helvetica Neue" w:hAnsi="Helvetica Neue" w:eastAsia="Arial Unicode MS" w:cs="Arial Unicode MS"/>
      <w:color w:val="000000"/>
      <w:sz w:val="24"/>
      <w:szCs w:val="24"/>
      <w:lang w:val="en-US" w:eastAsia="zh-CN" w:bidi="ar-SA"/>
    </w:rPr>
  </w:style>
  <w:style w:type="paragraph" w:customStyle="1" w:styleId="390">
    <w:name w:val="Body Text First Indent1"/>
    <w:basedOn w:val="19"/>
    <w:next w:val="1"/>
    <w:qFormat/>
    <w:uiPriority w:val="0"/>
    <w:pPr>
      <w:ind w:firstLine="420" w:firstLineChars="100"/>
    </w:pPr>
    <w:rPr>
      <w:rFonts w:eastAsia="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32295</Words>
  <Characters>34285</Characters>
  <Lines>1</Lines>
  <Paragraphs>1</Paragraphs>
  <TotalTime>3</TotalTime>
  <ScaleCrop>false</ScaleCrop>
  <LinksUpToDate>false</LinksUpToDate>
  <CharactersWithSpaces>36499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2020-07-24T01:38:00Z</dcterms:created>
  <dc:creator>000</dc:creator>
  <cp:lastModifiedBy>冯</cp:lastModifiedBy>
  <cp:lastPrinted>2023-11-23T08:40:00Z</cp:lastPrinted>
  <dcterms:modified xsi:type="dcterms:W3CDTF">2024-10-08T08:53:40Z</dcterms:modified>
  <dc:title>招  标  文  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0B3F3F2FE43D4119A6648034F26EE9F4_13</vt:lpwstr>
  </property>
</Properties>
</file>