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E9F8B4">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2024年遂昌县档案馆国家级数字档案馆信创化改造项目的更正公告</w:t>
      </w:r>
      <w:bookmarkStart w:id="0" w:name="OLE_LINK1"/>
    </w:p>
    <w:p w14:paraId="72D7E6E7">
      <w:pPr>
        <w:numPr>
          <w:ilvl w:val="0"/>
          <w:numId w:val="0"/>
        </w:numPr>
        <w:spacing w:line="360" w:lineRule="auto"/>
        <w:rPr>
          <w:rFonts w:ascii="宋体" w:hAnsi="宋体" w:cs="宋体"/>
          <w:sz w:val="24"/>
          <w:szCs w:val="24"/>
        </w:rPr>
      </w:pPr>
    </w:p>
    <w:p w14:paraId="027E0AB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lang w:eastAsia="zh-CN"/>
        </w:rPr>
        <w:t>一、</w:t>
      </w:r>
      <w:r>
        <w:rPr>
          <w:rFonts w:hint="eastAsia" w:ascii="宋体" w:hAnsi="宋体" w:cs="宋体"/>
          <w:sz w:val="24"/>
          <w:szCs w:val="24"/>
        </w:rPr>
        <w:t>采购人名称：</w:t>
      </w:r>
      <w:r>
        <w:rPr>
          <w:rFonts w:hint="eastAsia" w:ascii="宋体" w:hAnsi="宋体" w:eastAsia="宋体" w:cs="宋体"/>
          <w:sz w:val="24"/>
          <w:szCs w:val="24"/>
        </w:rPr>
        <w:t>遂昌县人民医院</w:t>
      </w:r>
    </w:p>
    <w:p w14:paraId="70A5633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cs="宋体"/>
          <w:sz w:val="24"/>
          <w:szCs w:val="24"/>
          <w:lang w:eastAsia="zh-CN"/>
        </w:rPr>
        <w:t>二、</w:t>
      </w:r>
      <w:r>
        <w:rPr>
          <w:rFonts w:hint="eastAsia" w:ascii="宋体" w:hAnsi="宋体" w:cs="宋体"/>
          <w:sz w:val="24"/>
          <w:szCs w:val="24"/>
        </w:rPr>
        <w:t>采购项目名称</w:t>
      </w:r>
      <w:r>
        <w:rPr>
          <w:rFonts w:hint="eastAsia" w:ascii="宋体" w:hAnsi="宋体" w:cs="宋体"/>
          <w:sz w:val="24"/>
        </w:rPr>
        <w:t>：</w:t>
      </w:r>
      <w:r>
        <w:rPr>
          <w:rFonts w:hint="eastAsia" w:ascii="宋体" w:hAnsi="宋体" w:eastAsia="宋体" w:cs="宋体"/>
          <w:sz w:val="24"/>
          <w:szCs w:val="24"/>
        </w:rPr>
        <w:t>遂昌县应急医疗救治设施提升-家具项目</w:t>
      </w:r>
    </w:p>
    <w:p w14:paraId="6AC54AB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cs="宋体"/>
          <w:sz w:val="24"/>
          <w:lang w:eastAsia="zh-CN"/>
        </w:rPr>
        <w:t>三、</w:t>
      </w:r>
      <w:r>
        <w:rPr>
          <w:rFonts w:hint="eastAsia" w:ascii="宋体" w:hAnsi="宋体" w:cs="宋体"/>
          <w:sz w:val="24"/>
        </w:rPr>
        <w:t>采购项目编号：</w:t>
      </w:r>
      <w:r>
        <w:rPr>
          <w:rFonts w:hint="eastAsia" w:ascii="宋体" w:hAnsi="宋体" w:eastAsia="宋体" w:cs="宋体"/>
          <w:sz w:val="24"/>
          <w:szCs w:val="24"/>
        </w:rPr>
        <w:t>SC2025B06</w:t>
      </w:r>
      <w:r>
        <w:rPr>
          <w:rFonts w:hint="eastAsia" w:ascii="宋体" w:hAnsi="宋体" w:eastAsia="宋体" w:cs="宋体"/>
          <w:sz w:val="24"/>
          <w:szCs w:val="24"/>
          <w:lang w:val="en-US" w:eastAsia="zh-CN"/>
        </w:rPr>
        <w:t>-公03</w:t>
      </w:r>
    </w:p>
    <w:p w14:paraId="47AB9D39">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宋体" w:hAnsi="宋体" w:cs="宋体"/>
          <w:sz w:val="24"/>
          <w:szCs w:val="24"/>
        </w:rPr>
      </w:pPr>
      <w:r>
        <w:rPr>
          <w:rFonts w:hint="eastAsia" w:ascii="宋体" w:hAnsi="宋体" w:cs="宋体"/>
          <w:sz w:val="24"/>
          <w:szCs w:val="24"/>
        </w:rPr>
        <w:t>四、原采购公告发布日期：202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3</w:t>
      </w:r>
      <w:r>
        <w:rPr>
          <w:rFonts w:hint="eastAsia" w:ascii="宋体" w:hAnsi="宋体" w:cs="宋体"/>
          <w:sz w:val="24"/>
          <w:szCs w:val="24"/>
        </w:rPr>
        <w:t>月</w:t>
      </w:r>
      <w:r>
        <w:rPr>
          <w:rFonts w:hint="eastAsia" w:ascii="宋体" w:hAnsi="宋体" w:cs="宋体"/>
          <w:sz w:val="24"/>
          <w:szCs w:val="24"/>
          <w:lang w:val="en-US" w:eastAsia="zh-CN"/>
        </w:rPr>
        <w:t>31</w:t>
      </w:r>
      <w:r>
        <w:rPr>
          <w:rFonts w:hint="eastAsia" w:ascii="宋体" w:hAnsi="宋体" w:cs="宋体"/>
          <w:sz w:val="24"/>
          <w:szCs w:val="24"/>
        </w:rPr>
        <w:t>日</w:t>
      </w:r>
    </w:p>
    <w:p w14:paraId="4EAAA574">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rPr>
        <w:t>五、修改更正理由：标书作部分修改</w:t>
      </w:r>
    </w:p>
    <w:p w14:paraId="4B402D00">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rPr>
        <w:t>六、修改更正事项：</w:t>
      </w:r>
    </w:p>
    <w:p w14:paraId="2DD3D817">
      <w:pPr>
        <w:rPr>
          <w:rFonts w:hint="eastAsia" w:ascii="仿宋_GB2312" w:eastAsia="仿宋_GB2312"/>
          <w:color w:val="auto"/>
          <w:sz w:val="30"/>
          <w:szCs w:val="30"/>
        </w:rPr>
      </w:pPr>
      <w:bookmarkStart w:id="1" w:name="_Toc5852"/>
      <w:bookmarkStart w:id="2" w:name="_Toc13849"/>
      <w:bookmarkStart w:id="3" w:name="_Toc6366"/>
      <w:bookmarkStart w:id="4" w:name="_Toc9210"/>
      <w:bookmarkStart w:id="5" w:name="_Toc97213065"/>
      <w:bookmarkStart w:id="6" w:name="_Toc2544"/>
    </w:p>
    <w:p w14:paraId="658572F6">
      <w:pPr>
        <w:keepNext w:val="0"/>
        <w:keepLines/>
        <w:pageBreakBefore w:val="0"/>
        <w:widowControl w:val="0"/>
        <w:kinsoku/>
        <w:wordWrap/>
        <w:overflowPunct/>
        <w:topLinePunct w:val="0"/>
        <w:bidi w:val="0"/>
        <w:snapToGrid w:val="0"/>
        <w:spacing w:line="400" w:lineRule="exact"/>
        <w:jc w:val="left"/>
        <w:textAlignment w:val="auto"/>
        <w:rPr>
          <w:rFonts w:hint="eastAsia" w:ascii="仿宋_GB2312" w:eastAsia="仿宋_GB2312" w:cs="Times New Roman"/>
          <w:b w:val="0"/>
          <w:bCs w:val="0"/>
          <w:kern w:val="2"/>
          <w:sz w:val="28"/>
          <w:szCs w:val="28"/>
          <w:lang w:val="en-US" w:eastAsia="zh-CN" w:bidi="ar-SA"/>
        </w:rPr>
      </w:pPr>
      <w:r>
        <w:rPr>
          <w:rFonts w:hint="eastAsia" w:ascii="黑体" w:hAnsi="黑体" w:eastAsia="黑体" w:cs="黑体"/>
          <w:bCs/>
          <w:color w:val="000000"/>
          <w:sz w:val="30"/>
          <w:szCs w:val="30"/>
        </w:rPr>
        <w:t>第</w:t>
      </w:r>
      <w:r>
        <w:rPr>
          <w:rFonts w:hint="eastAsia" w:ascii="黑体" w:hAnsi="黑体" w:eastAsia="黑体" w:cs="黑体"/>
          <w:bCs/>
          <w:color w:val="000000"/>
          <w:sz w:val="30"/>
          <w:szCs w:val="30"/>
          <w:lang w:val="en-US" w:eastAsia="zh-CN"/>
        </w:rPr>
        <w:t>1</w:t>
      </w:r>
      <w:r>
        <w:rPr>
          <w:rFonts w:hint="eastAsia" w:ascii="黑体" w:hAnsi="黑体" w:eastAsia="黑体" w:cs="黑体"/>
          <w:bCs/>
          <w:color w:val="000000"/>
          <w:sz w:val="30"/>
          <w:szCs w:val="30"/>
        </w:rPr>
        <w:t>项修改</w:t>
      </w:r>
      <w:r>
        <w:rPr>
          <w:rFonts w:hint="eastAsia" w:ascii="黑体" w:hAnsi="黑体" w:eastAsia="黑体" w:cs="黑体"/>
          <w:bCs/>
          <w:sz w:val="30"/>
          <w:szCs w:val="30"/>
        </w:rPr>
        <w:t>：原标书中:</w:t>
      </w:r>
      <w:bookmarkStart w:id="7" w:name="_Toc12232"/>
      <w:r>
        <w:rPr>
          <w:rFonts w:hint="eastAsia" w:ascii="仿宋_GB2312" w:hAnsi="Calibri" w:eastAsia="仿宋_GB2312" w:cs="Times New Roman"/>
          <w:b w:val="0"/>
          <w:bCs w:val="0"/>
          <w:kern w:val="2"/>
          <w:sz w:val="28"/>
          <w:szCs w:val="28"/>
          <w:lang w:val="en-US" w:eastAsia="zh-CN" w:bidi="ar-SA"/>
        </w:rPr>
        <w:t>第六章  评标办法和评标标准</w:t>
      </w:r>
      <w:bookmarkEnd w:id="7"/>
      <w:r>
        <w:rPr>
          <w:rFonts w:hint="eastAsia" w:ascii="仿宋_GB2312" w:eastAsia="仿宋_GB2312" w:cs="Times New Roman"/>
          <w:b w:val="0"/>
          <w:bCs w:val="0"/>
          <w:kern w:val="2"/>
          <w:sz w:val="28"/>
          <w:szCs w:val="28"/>
          <w:lang w:val="en-US" w:eastAsia="zh-CN" w:bidi="ar-SA"/>
        </w:rPr>
        <w:t xml:space="preserve">   技术部分</w:t>
      </w:r>
    </w:p>
    <w:p w14:paraId="0D711791">
      <w:pPr>
        <w:keepNext w:val="0"/>
        <w:keepLines/>
        <w:pageBreakBefore w:val="0"/>
        <w:widowControl w:val="0"/>
        <w:kinsoku/>
        <w:wordWrap/>
        <w:overflowPunct/>
        <w:topLinePunct w:val="0"/>
        <w:bidi w:val="0"/>
        <w:snapToGrid w:val="0"/>
        <w:spacing w:line="400" w:lineRule="exact"/>
        <w:jc w:val="left"/>
        <w:textAlignment w:val="auto"/>
        <w:rPr>
          <w:rFonts w:hint="eastAsia" w:ascii="仿宋_GB2312" w:eastAsia="仿宋_GB2312" w:cs="Times New Roman"/>
          <w:b w:val="0"/>
          <w:bCs w:val="0"/>
          <w:kern w:val="2"/>
          <w:sz w:val="28"/>
          <w:szCs w:val="28"/>
          <w:lang w:val="en-US" w:eastAsia="zh-CN" w:bidi="ar-SA"/>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564"/>
        <w:gridCol w:w="555"/>
        <w:gridCol w:w="6585"/>
        <w:gridCol w:w="818"/>
      </w:tblGrid>
      <w:tr w14:paraId="3E250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64" w:type="dxa"/>
          </w:tcPr>
          <w:p w14:paraId="43037AA0">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9</w:t>
            </w:r>
          </w:p>
        </w:tc>
        <w:tc>
          <w:tcPr>
            <w:tcW w:w="555" w:type="dxa"/>
          </w:tcPr>
          <w:p w14:paraId="67D60443">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技术部分</w:t>
            </w:r>
          </w:p>
        </w:tc>
        <w:tc>
          <w:tcPr>
            <w:tcW w:w="6585" w:type="dxa"/>
          </w:tcPr>
          <w:p w14:paraId="238A80D0">
            <w:pPr>
              <w:pStyle w:val="3"/>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招标文件技术要求的响应情况</w:t>
            </w:r>
          </w:p>
          <w:p w14:paraId="093D7665">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如检测报告名称不同，属于同样原材料的也可以，但需要提供材质说明，否则不得分。</w:t>
            </w:r>
            <w:r>
              <w:rPr>
                <w:rFonts w:hint="eastAsia" w:ascii="Calibri" w:hAnsi="Calibri" w:eastAsia="仿宋_GB2312" w:cs="Times New Roman"/>
                <w:color w:val="auto"/>
                <w:kern w:val="2"/>
                <w:sz w:val="24"/>
                <w:szCs w:val="22"/>
                <w:lang w:val="en-US" w:eastAsia="zh-CN" w:bidi="ar-SA"/>
              </w:rPr>
              <w:t>原材料及五金配件技术参数要求如下：</w:t>
            </w:r>
          </w:p>
          <w:p w14:paraId="5BC5577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1、</w:t>
            </w:r>
            <w:r>
              <w:rPr>
                <w:rFonts w:hint="eastAsia" w:ascii="Calibri" w:hAnsi="Calibri" w:eastAsia="仿宋_GB2312" w:cs="Times New Roman"/>
                <w:b/>
                <w:bCs/>
                <w:color w:val="auto"/>
                <w:kern w:val="2"/>
                <w:sz w:val="24"/>
                <w:szCs w:val="22"/>
                <w:lang w:val="en-US" w:eastAsia="zh-CN" w:bidi="ar-SA"/>
              </w:rPr>
              <w:t>冷轧钢板</w:t>
            </w:r>
            <w:r>
              <w:rPr>
                <w:rFonts w:hint="eastAsia" w:ascii="Calibri" w:hAnsi="Calibri" w:eastAsia="仿宋_GB2312" w:cs="Times New Roman"/>
                <w:color w:val="auto"/>
                <w:kern w:val="2"/>
                <w:sz w:val="24"/>
                <w:szCs w:val="22"/>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w:t>
            </w:r>
          </w:p>
          <w:p w14:paraId="30BC0D5B">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2、</w:t>
            </w:r>
            <w:r>
              <w:rPr>
                <w:rFonts w:hint="eastAsia" w:ascii="Calibri" w:hAnsi="Calibri" w:eastAsia="仿宋_GB2312" w:cs="Times New Roman"/>
                <w:b/>
                <w:bCs/>
                <w:color w:val="auto"/>
                <w:kern w:val="2"/>
                <w:sz w:val="24"/>
                <w:szCs w:val="22"/>
                <w:lang w:val="en-US" w:eastAsia="zh-CN" w:bidi="ar-SA"/>
              </w:rPr>
              <w:t>ABS封边条</w:t>
            </w:r>
            <w:r>
              <w:rPr>
                <w:rFonts w:hint="eastAsia" w:ascii="Calibri" w:hAnsi="Calibri" w:eastAsia="仿宋_GB2312" w:cs="Times New Roman"/>
                <w:color w:val="auto"/>
                <w:kern w:val="2"/>
                <w:sz w:val="24"/>
                <w:szCs w:val="22"/>
                <w:lang w:val="en-US" w:eastAsia="zh-CN" w:bidi="ar-SA"/>
              </w:rPr>
              <w:t>：检测内容至少包含：耐干热性、耐磨性、耐开裂性(耐龟裂性)、耐老化性、耐冷热循环性、耐光色牢度检测结果均为合格；甲醛释放量≤0.1mg/L、可迁移元素（铅、镉、铬、汞、砷、钡、锑、硒）、邻苯二甲酸脂(DBP、BBP、DEHP、DNOP、DINP和 DIDP)的总量(%)、多溴联苯(mg/kg)、多溴联苯醚(mg/kg)均未检出。</w:t>
            </w:r>
          </w:p>
          <w:p w14:paraId="69F6876E">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3、</w:t>
            </w:r>
            <w:r>
              <w:rPr>
                <w:rFonts w:hint="eastAsia" w:ascii="Calibri" w:hAnsi="Calibri" w:eastAsia="仿宋_GB2312" w:cs="Times New Roman"/>
                <w:b/>
                <w:bCs/>
                <w:color w:val="auto"/>
                <w:kern w:val="2"/>
                <w:sz w:val="24"/>
                <w:szCs w:val="22"/>
                <w:lang w:val="en-US" w:eastAsia="zh-CN" w:bidi="ar-SA"/>
              </w:rPr>
              <w:t>复合亚克力人造石</w:t>
            </w:r>
            <w:r>
              <w:rPr>
                <w:rFonts w:hint="eastAsia" w:ascii="Calibri" w:hAnsi="Calibri" w:eastAsia="仿宋_GB2312" w:cs="Times New Roman"/>
                <w:color w:val="auto"/>
                <w:kern w:val="2"/>
                <w:sz w:val="24"/>
                <w:szCs w:val="22"/>
                <w:lang w:val="en-US" w:eastAsia="zh-CN" w:bidi="ar-SA"/>
              </w:rPr>
              <w:t>，检测内容至少包含：落球冲击、耐磨性、色牢度与老化性能、耐污染性、耐燃烧性能、耐化学药品性、耐热性、巴氏硬度、荷载变形、冲击韧性、弯曲性能、线性热膨胀系数、耐高温性能、放射性能检测结果均为合格；</w:t>
            </w:r>
          </w:p>
          <w:p w14:paraId="338EEA59">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4、</w:t>
            </w:r>
            <w:r>
              <w:rPr>
                <w:rFonts w:hint="eastAsia" w:eastAsia="仿宋_GB2312" w:cs="Times New Roman"/>
                <w:b/>
                <w:bCs/>
                <w:color w:val="auto"/>
                <w:kern w:val="2"/>
                <w:sz w:val="24"/>
                <w:szCs w:val="22"/>
                <w:lang w:val="en-US" w:eastAsia="zh-CN" w:bidi="ar-SA"/>
              </w:rPr>
              <w:t>超纤皮</w:t>
            </w:r>
            <w:r>
              <w:rPr>
                <w:rFonts w:hint="eastAsia" w:ascii="Calibri" w:hAnsi="Calibri" w:eastAsia="仿宋_GB2312" w:cs="Times New Roman"/>
                <w:b/>
                <w:bCs/>
                <w:color w:val="auto"/>
                <w:kern w:val="2"/>
                <w:sz w:val="24"/>
                <w:szCs w:val="22"/>
                <w:lang w:val="en-US" w:eastAsia="zh-CN" w:bidi="ar-SA"/>
              </w:rPr>
              <w:t>，</w:t>
            </w:r>
            <w:r>
              <w:rPr>
                <w:rFonts w:hint="eastAsia" w:ascii="Calibri" w:hAnsi="Calibri" w:eastAsia="仿宋_GB2312" w:cs="Times New Roman"/>
                <w:color w:val="auto"/>
                <w:kern w:val="2"/>
                <w:sz w:val="24"/>
                <w:szCs w:val="22"/>
                <w:lang w:val="en-US" w:eastAsia="zh-CN" w:bidi="ar-SA"/>
              </w:rPr>
              <w:t>检测内容至少包含：摩擦色牢度、耐光性、涂层粘着牢度、耐折牢度（50000 次）、耐磨性、撕裂力、气味，级、ph值、pH稀释差、禁用偶氮染料(mg/kg)、游离甲醛,(mg/kg)、挥发性有机化合物、可萃取的重金属、感官要求、五氯苯酚检测结果均为合格</w:t>
            </w:r>
            <w:r>
              <w:rPr>
                <w:rFonts w:hint="eastAsia" w:ascii="Calibri" w:hAnsi="Calibri" w:eastAsia="仿宋_GB2312" w:cs="Times New Roman"/>
                <w:b/>
                <w:bCs/>
                <w:color w:val="auto"/>
                <w:kern w:val="2"/>
                <w:sz w:val="24"/>
                <w:szCs w:val="22"/>
                <w:lang w:val="en-US" w:eastAsia="zh-CN" w:bidi="ar-SA"/>
              </w:rPr>
              <w:t>。</w:t>
            </w:r>
          </w:p>
          <w:p w14:paraId="5366150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5、抗菌环氧树脂粉末</w:t>
            </w:r>
            <w:r>
              <w:rPr>
                <w:rFonts w:hint="eastAsia" w:ascii="Calibri" w:hAnsi="Calibri" w:eastAsia="仿宋_GB2312" w:cs="Times New Roman"/>
                <w:color w:val="auto"/>
                <w:kern w:val="2"/>
                <w:sz w:val="24"/>
                <w:szCs w:val="22"/>
                <w:lang w:val="en-US" w:eastAsia="zh-CN" w:bidi="ar-SA"/>
              </w:rPr>
              <w:t>，检测内容至少包含：附着力、铅笔硬度、耐冲击性、杯突试验、弯曲试验、光泽、耐磨性、耐酸性、耐碱性、耐沸水性、耐盐雾性-</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（500h)、耐湿性、重金属（可溶性铅、可溶性镉、可溶性铬、可溶性汞）检测结果均为合格。防霉检测：黑曲霉、黄曲霉、腊叶芽枝霉、宛氏拟青霉、桔青霉、绿色木霉、出芽短梗霉、链格孢的防霉等级为0级。</w:t>
            </w:r>
          </w:p>
          <w:p w14:paraId="7D68B3B4">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6、多层板</w:t>
            </w:r>
            <w:r>
              <w:rPr>
                <w:rFonts w:hint="eastAsia" w:ascii="Calibri" w:hAnsi="Calibri" w:eastAsia="仿宋_GB2312" w:cs="Times New Roman"/>
                <w:color w:val="auto"/>
                <w:kern w:val="2"/>
                <w:sz w:val="24"/>
                <w:szCs w:val="22"/>
                <w:lang w:val="en-US" w:eastAsia="zh-CN" w:bidi="ar-SA"/>
              </w:rPr>
              <w:t>，检测内容至少包含：规格尺寸及偏差、外观质量、理化性能（含水率、胶合强度、浸渍剥离、静曲强度、弹性模量）检测合格、甲醛释放量≤0.025mg/m³（气候箱法），苯≦10μg/㎥、（甲苯、二甲苯）≦20μg/㎥；TVOC≤100μg/㎥。</w:t>
            </w:r>
          </w:p>
          <w:p w14:paraId="56D96C0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7、导轨</w:t>
            </w:r>
            <w:r>
              <w:rPr>
                <w:rFonts w:hint="eastAsia" w:ascii="Calibri" w:hAnsi="Calibri" w:eastAsia="仿宋_GB2312" w:cs="Times New Roman"/>
                <w:color w:val="auto"/>
                <w:kern w:val="2"/>
                <w:sz w:val="24"/>
                <w:szCs w:val="22"/>
                <w:lang w:val="en-US" w:eastAsia="zh-CN" w:bidi="ar-SA"/>
              </w:rPr>
              <w:t>，检测内容至少包含：过载：垂直向下静载荷：300N 、水平静侧向静载荷：（150N），耐久性≥60000次。功能：垂直向下静载荷：200N ；水平静侧向静载荷：100N，下沉量不应超过抽屉导轨拉出长度的4%；</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试验后，保护等级不低于10级，外观等级不低于10级。可迁移元素（锑、砷、钡、镉、铬、铅、汞、硒）均未检出。</w:t>
            </w:r>
          </w:p>
          <w:p w14:paraId="61260620">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8、电解钢板</w:t>
            </w:r>
            <w:r>
              <w:rPr>
                <w:rFonts w:hint="eastAsia" w:ascii="Calibri" w:hAnsi="Calibri" w:eastAsia="仿宋_GB2312" w:cs="Times New Roman"/>
                <w:color w:val="auto"/>
                <w:kern w:val="2"/>
                <w:sz w:val="24"/>
                <w:szCs w:val="22"/>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w:t>
            </w:r>
          </w:p>
          <w:p w14:paraId="706BC0C6">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9、铰链</w:t>
            </w:r>
            <w:r>
              <w:rPr>
                <w:rFonts w:hint="eastAsia" w:ascii="Calibri" w:hAnsi="Calibri" w:eastAsia="仿宋_GB2312" w:cs="Times New Roman"/>
                <w:color w:val="auto"/>
                <w:kern w:val="2"/>
                <w:sz w:val="24"/>
                <w:szCs w:val="22"/>
                <w:lang w:val="en-US" w:eastAsia="zh-CN" w:bidi="ar-SA"/>
              </w:rPr>
              <w:t>，检测内容至少包含：过载：垂直静载荷、水平静静载荷；耐久性≥80000次。功能：垂直静载荷、水平静静载荷、下沉量不应大于 2.0mm；</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试验后，保护等级不低于10级，外观等级不低于10级。可迁移元素（锑、砷、钡、镉、铬、铅、汞、硒）均未检出。</w:t>
            </w:r>
          </w:p>
          <w:p w14:paraId="5CB8508A">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8"/>
                <w:szCs w:val="28"/>
                <w:vertAlign w:val="baseline"/>
                <w:lang w:val="en-US" w:eastAsia="zh-CN" w:bidi="ar-SA"/>
              </w:rPr>
            </w:pPr>
            <w:r>
              <w:rPr>
                <w:rFonts w:hint="eastAsia" w:ascii="Calibri" w:hAnsi="Calibri" w:eastAsia="仿宋_GB2312" w:cs="Times New Roman"/>
                <w:b/>
                <w:bCs/>
                <w:color w:val="auto"/>
                <w:kern w:val="2"/>
                <w:sz w:val="24"/>
                <w:szCs w:val="22"/>
                <w:lang w:val="en-US" w:eastAsia="zh-CN" w:bidi="ar-SA"/>
              </w:rPr>
              <w:t>10、不锈钢板</w:t>
            </w:r>
            <w:r>
              <w:rPr>
                <w:rFonts w:hint="eastAsia" w:ascii="Calibri" w:hAnsi="Calibri" w:eastAsia="仿宋_GB2312" w:cs="Times New Roman"/>
                <w:color w:val="auto"/>
                <w:kern w:val="2"/>
                <w:sz w:val="24"/>
                <w:szCs w:val="22"/>
                <w:lang w:val="en-US" w:eastAsia="zh-CN" w:bidi="ar-SA"/>
              </w:rPr>
              <w:t>：检测内容至少包含：化学成分(质量因素）（C、SI、Mn、P、S、Cr、Ni）检测结果均为合格；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 10 级，外观等级不低于 10 级。</w:t>
            </w:r>
          </w:p>
        </w:tc>
        <w:tc>
          <w:tcPr>
            <w:tcW w:w="818" w:type="dxa"/>
          </w:tcPr>
          <w:p w14:paraId="03D36EA4">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8"/>
                <w:szCs w:val="28"/>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0-8分</w:t>
            </w:r>
          </w:p>
        </w:tc>
      </w:tr>
      <w:bookmarkEnd w:id="1"/>
      <w:bookmarkEnd w:id="2"/>
      <w:bookmarkEnd w:id="3"/>
      <w:bookmarkEnd w:id="4"/>
      <w:bookmarkEnd w:id="5"/>
      <w:bookmarkEnd w:id="6"/>
    </w:tbl>
    <w:p w14:paraId="6C73F9E0">
      <w:pPr>
        <w:pStyle w:val="13"/>
        <w:keepNext w:val="0"/>
        <w:pageBreakBefore w:val="0"/>
        <w:widowControl w:val="0"/>
        <w:kinsoku/>
        <w:wordWrap/>
        <w:overflowPunct/>
        <w:topLinePunct w:val="0"/>
        <w:bidi w:val="0"/>
        <w:spacing w:after="0" w:line="400" w:lineRule="exact"/>
        <w:ind w:left="0" w:leftChars="0" w:firstLine="0"/>
        <w:jc w:val="left"/>
        <w:textAlignment w:val="auto"/>
        <w:rPr>
          <w:rStyle w:val="12"/>
          <w:rFonts w:hint="eastAsia"/>
          <w:lang w:val="en-US" w:eastAsia="zh-CN"/>
        </w:rPr>
      </w:pPr>
    </w:p>
    <w:p w14:paraId="08CDCCBB">
      <w:pPr>
        <w:pStyle w:val="13"/>
        <w:keepNext w:val="0"/>
        <w:pageBreakBefore w:val="0"/>
        <w:widowControl w:val="0"/>
        <w:kinsoku/>
        <w:wordWrap/>
        <w:overflowPunct/>
        <w:topLinePunct w:val="0"/>
        <w:bidi w:val="0"/>
        <w:spacing w:after="0" w:line="400" w:lineRule="exact"/>
        <w:ind w:left="0" w:leftChars="0" w:firstLine="0"/>
        <w:jc w:val="left"/>
        <w:textAlignment w:val="auto"/>
        <w:rPr>
          <w:rStyle w:val="12"/>
          <w:rFonts w:hint="eastAsia"/>
          <w:lang w:val="en-US" w:eastAsia="zh-CN"/>
        </w:rPr>
      </w:pPr>
    </w:p>
    <w:p w14:paraId="5FD6A97A">
      <w:pPr>
        <w:pStyle w:val="7"/>
        <w:keepNext w:val="0"/>
        <w:pageBreakBefore w:val="0"/>
        <w:widowControl w:val="0"/>
        <w:kinsoku/>
        <w:wordWrap/>
        <w:overflowPunct/>
        <w:topLinePunct w:val="0"/>
        <w:bidi w:val="0"/>
        <w:spacing w:before="0" w:after="0" w:line="400" w:lineRule="exact"/>
        <w:jc w:val="left"/>
        <w:textAlignment w:val="auto"/>
        <w:outlineLvl w:val="1"/>
        <w:rPr>
          <w:rFonts w:hint="eastAsia" w:ascii="黑体" w:hAnsi="黑体" w:eastAsia="黑体" w:cs="黑体"/>
          <w:b w:val="0"/>
          <w:sz w:val="24"/>
          <w:szCs w:val="24"/>
        </w:rPr>
      </w:pPr>
      <w:r>
        <w:rPr>
          <w:rFonts w:hint="eastAsia" w:ascii="黑体" w:hAnsi="黑体" w:eastAsia="黑体" w:cs="黑体"/>
          <w:b w:val="0"/>
          <w:sz w:val="30"/>
          <w:szCs w:val="30"/>
        </w:rPr>
        <w:t>现修改如下：</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4"/>
        <w:gridCol w:w="555"/>
        <w:gridCol w:w="6585"/>
        <w:gridCol w:w="818"/>
      </w:tblGrid>
      <w:tr w14:paraId="422D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4" w:type="dxa"/>
          </w:tcPr>
          <w:p w14:paraId="3D99CAD6">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9</w:t>
            </w:r>
          </w:p>
        </w:tc>
        <w:tc>
          <w:tcPr>
            <w:tcW w:w="555" w:type="dxa"/>
          </w:tcPr>
          <w:p w14:paraId="22B3AE68">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技术部分</w:t>
            </w:r>
          </w:p>
        </w:tc>
        <w:tc>
          <w:tcPr>
            <w:tcW w:w="6585" w:type="dxa"/>
          </w:tcPr>
          <w:p w14:paraId="5A9FB646">
            <w:pPr>
              <w:pStyle w:val="3"/>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招标文件技术要求的响应情况</w:t>
            </w:r>
          </w:p>
          <w:p w14:paraId="2CDF7816">
            <w:pPr>
              <w:rPr>
                <w:rFonts w:hint="eastAsia" w:ascii="仿宋_GB2312" w:eastAsia="仿宋_GB2312"/>
                <w:color w:val="auto"/>
                <w:sz w:val="30"/>
                <w:szCs w:val="30"/>
              </w:rPr>
            </w:pPr>
            <w:bookmarkStart w:id="8" w:name="_GoBack"/>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(投标时提供或承诺在签订合同后十五个日历天内提供皆可）。</w:t>
            </w:r>
            <w:r>
              <w:rPr>
                <w:rFonts w:hint="eastAsia" w:ascii="Calibri" w:hAnsi="Calibri" w:eastAsia="仿宋_GB2312" w:cs="Times New Roman"/>
                <w:color w:val="auto"/>
                <w:kern w:val="2"/>
                <w:sz w:val="24"/>
                <w:szCs w:val="22"/>
                <w:lang w:val="en-US" w:eastAsia="zh-CN" w:bidi="ar-SA"/>
              </w:rPr>
              <w:t>原材料及五金配件技术参数要求如下：</w:t>
            </w:r>
          </w:p>
          <w:bookmarkEnd w:id="8"/>
          <w:p w14:paraId="23168F5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1、</w:t>
            </w:r>
            <w:r>
              <w:rPr>
                <w:rFonts w:hint="eastAsia" w:ascii="Calibri" w:hAnsi="Calibri" w:eastAsia="仿宋_GB2312" w:cs="Times New Roman"/>
                <w:b/>
                <w:bCs/>
                <w:color w:val="auto"/>
                <w:kern w:val="2"/>
                <w:sz w:val="24"/>
                <w:szCs w:val="24"/>
                <w:lang w:val="en-US" w:eastAsia="zh-CN" w:bidi="ar-SA"/>
              </w:rPr>
              <w:t>冷轧钢板</w:t>
            </w:r>
            <w:r>
              <w:rPr>
                <w:rFonts w:hint="eastAsia" w:ascii="Calibri" w:hAnsi="Calibri" w:eastAsia="仿宋_GB2312" w:cs="Times New Roman"/>
                <w:color w:val="auto"/>
                <w:kern w:val="2"/>
                <w:sz w:val="24"/>
                <w:szCs w:val="24"/>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w:t>
            </w:r>
          </w:p>
          <w:p w14:paraId="13F8CE44">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2、</w:t>
            </w:r>
            <w:r>
              <w:rPr>
                <w:rFonts w:hint="eastAsia" w:ascii="Calibri" w:hAnsi="Calibri" w:eastAsia="仿宋_GB2312" w:cs="Times New Roman"/>
                <w:b/>
                <w:bCs/>
                <w:color w:val="auto"/>
                <w:kern w:val="2"/>
                <w:sz w:val="24"/>
                <w:szCs w:val="24"/>
                <w:lang w:val="en-US" w:eastAsia="zh-CN" w:bidi="ar-SA"/>
              </w:rPr>
              <w:t>ABS封边条</w:t>
            </w:r>
            <w:r>
              <w:rPr>
                <w:rFonts w:hint="eastAsia" w:ascii="Calibri" w:hAnsi="Calibri" w:eastAsia="仿宋_GB2312" w:cs="Times New Roman"/>
                <w:color w:val="auto"/>
                <w:kern w:val="2"/>
                <w:sz w:val="24"/>
                <w:szCs w:val="24"/>
                <w:lang w:val="en-US" w:eastAsia="zh-CN" w:bidi="ar-SA"/>
              </w:rPr>
              <w:t>：检测内容至少包含：耐干热性、耐磨性、耐开裂性(耐龟裂性)、耐老化性、耐冷热循环性、耐光色牢度检测结果均为合格；甲醛释放量≤0.1mg/L、可迁移元素（铅、镉、铬、汞、砷、钡、锑、硒）、邻苯二甲酸脂(DBP、BBP、DEHP、DNOP、DINP和 DIDP)的总量(%)、多溴联苯(mg/kg)、多溴联苯醚(mg/kg)均未检出。</w:t>
            </w:r>
          </w:p>
          <w:p w14:paraId="3ACAEDF7">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3、</w:t>
            </w:r>
            <w:r>
              <w:rPr>
                <w:rFonts w:hint="eastAsia" w:ascii="Calibri" w:hAnsi="Calibri" w:eastAsia="仿宋_GB2312" w:cs="Times New Roman"/>
                <w:b/>
                <w:bCs/>
                <w:color w:val="auto"/>
                <w:kern w:val="2"/>
                <w:sz w:val="24"/>
                <w:szCs w:val="24"/>
                <w:lang w:val="en-US" w:eastAsia="zh-CN" w:bidi="ar-SA"/>
              </w:rPr>
              <w:t>复合亚克力人造石</w:t>
            </w:r>
            <w:r>
              <w:rPr>
                <w:rFonts w:hint="eastAsia" w:ascii="Calibri" w:hAnsi="Calibri" w:eastAsia="仿宋_GB2312" w:cs="Times New Roman"/>
                <w:color w:val="auto"/>
                <w:kern w:val="2"/>
                <w:sz w:val="24"/>
                <w:szCs w:val="24"/>
                <w:lang w:val="en-US" w:eastAsia="zh-CN" w:bidi="ar-SA"/>
              </w:rPr>
              <w:t>，检测内容至少包含：落球冲击、耐磨性、色牢度与老化性能、耐污染性、耐燃烧性能、耐化学药品性、耐热性、巴氏硬度、荷载变形、冲击韧性、弯曲性能、线性热膨胀系数、耐高温性能、放射性能检测结果均为合格；</w:t>
            </w:r>
          </w:p>
          <w:p w14:paraId="623CE43C">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4、</w:t>
            </w:r>
            <w:r>
              <w:rPr>
                <w:rFonts w:hint="eastAsia" w:eastAsia="仿宋_GB2312" w:cs="Times New Roman"/>
                <w:b/>
                <w:bCs/>
                <w:color w:val="auto"/>
                <w:kern w:val="2"/>
                <w:sz w:val="24"/>
                <w:szCs w:val="24"/>
                <w:lang w:val="en-US" w:eastAsia="zh-CN" w:bidi="ar-SA"/>
              </w:rPr>
              <w:t>超纤皮</w:t>
            </w:r>
            <w:r>
              <w:rPr>
                <w:rFonts w:hint="eastAsia" w:ascii="Calibri" w:hAnsi="Calibri" w:eastAsia="仿宋_GB2312" w:cs="Times New Roman"/>
                <w:b/>
                <w:bCs/>
                <w:color w:val="auto"/>
                <w:kern w:val="2"/>
                <w:sz w:val="24"/>
                <w:szCs w:val="24"/>
                <w:lang w:val="en-US" w:eastAsia="zh-CN" w:bidi="ar-SA"/>
              </w:rPr>
              <w:t>，</w:t>
            </w:r>
            <w:r>
              <w:rPr>
                <w:rFonts w:hint="eastAsia" w:ascii="Calibri" w:hAnsi="Calibri" w:eastAsia="仿宋_GB2312" w:cs="Times New Roman"/>
                <w:color w:val="auto"/>
                <w:kern w:val="2"/>
                <w:sz w:val="24"/>
                <w:szCs w:val="24"/>
                <w:lang w:val="en-US" w:eastAsia="zh-CN" w:bidi="ar-SA"/>
              </w:rPr>
              <w:t>检测内容至少包含：摩擦色牢度、耐光性、涂层粘着牢度、耐折牢度（50000 次）、耐磨性、撕裂力、气味，级、ph值、pH稀释差、禁用偶氮染料(mg/kg)、游离甲醛,(mg/kg)、挥发性有机化合物、可萃取的重金属、感官要求、五氯苯酚检测结果均为合格</w:t>
            </w:r>
            <w:r>
              <w:rPr>
                <w:rFonts w:hint="eastAsia" w:ascii="Calibri" w:hAnsi="Calibri" w:eastAsia="仿宋_GB2312" w:cs="Times New Roman"/>
                <w:b/>
                <w:bCs/>
                <w:color w:val="auto"/>
                <w:kern w:val="2"/>
                <w:sz w:val="24"/>
                <w:szCs w:val="24"/>
                <w:lang w:val="en-US" w:eastAsia="zh-CN" w:bidi="ar-SA"/>
              </w:rPr>
              <w:t>。</w:t>
            </w:r>
          </w:p>
          <w:p w14:paraId="072091C7">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5、抗菌环氧树脂粉末</w:t>
            </w:r>
            <w:r>
              <w:rPr>
                <w:rFonts w:hint="eastAsia" w:ascii="Calibri" w:hAnsi="Calibri" w:eastAsia="仿宋_GB2312" w:cs="Times New Roman"/>
                <w:color w:val="auto"/>
                <w:kern w:val="2"/>
                <w:sz w:val="24"/>
                <w:szCs w:val="24"/>
                <w:lang w:val="en-US" w:eastAsia="zh-CN" w:bidi="ar-SA"/>
              </w:rPr>
              <w:t>，检测内容至少包含：附着力、铅笔硬度、耐冲击性、杯突试验、弯曲试验、光泽、耐磨性、耐酸性、耐碱性、耐沸水性、耐盐雾性-</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（500h)、耐湿性、重金属（可溶性铅、可溶性镉、可溶性铬、可溶性汞）检测结果均为合格。防霉检测：黑曲霉、黄曲霉、腊叶芽枝霉、宛氏拟青霉、桔青霉、绿色木霉、出芽短梗霉、链格孢的防霉等级为0级。</w:t>
            </w:r>
          </w:p>
          <w:p w14:paraId="4112E44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6、多层板</w:t>
            </w:r>
            <w:r>
              <w:rPr>
                <w:rFonts w:hint="eastAsia" w:ascii="Calibri" w:hAnsi="Calibri" w:eastAsia="仿宋_GB2312" w:cs="Times New Roman"/>
                <w:color w:val="auto"/>
                <w:kern w:val="2"/>
                <w:sz w:val="24"/>
                <w:szCs w:val="24"/>
                <w:lang w:val="en-US" w:eastAsia="zh-CN" w:bidi="ar-SA"/>
              </w:rPr>
              <w:t>，检测内容至少包含：规格尺寸及偏差、外观质量、理化性能（含水率、胶合强度、浸渍剥离、静曲强度、弹性模量）检测合格、甲醛释放量≤0.025mg/m³（气候箱法），苯≦10μg/㎥、（甲苯、二甲苯）≦20μg/㎥；TVOC≤100μg/㎥。</w:t>
            </w:r>
          </w:p>
          <w:p w14:paraId="07098F7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7、导轨</w:t>
            </w:r>
            <w:r>
              <w:rPr>
                <w:rFonts w:hint="eastAsia" w:ascii="Calibri" w:hAnsi="Calibri" w:eastAsia="仿宋_GB2312" w:cs="Times New Roman"/>
                <w:color w:val="auto"/>
                <w:kern w:val="2"/>
                <w:sz w:val="24"/>
                <w:szCs w:val="24"/>
                <w:lang w:val="en-US" w:eastAsia="zh-CN" w:bidi="ar-SA"/>
              </w:rPr>
              <w:t>，检测内容至少包含：过载：垂直向下静载荷：300N 、水平静侧向静载荷：（150N），耐久性≥60000次。功能：垂直向下静载荷：200N ；水平静侧向静载荷：100N，下沉量不应超过抽屉导轨拉出长度的4%；</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试验后，保护等级不低于10级，外观等级不低于10级。可迁移元素（锑、砷、钡、镉、铬、铅、汞、硒）均未检出。</w:t>
            </w:r>
          </w:p>
          <w:p w14:paraId="44DA5603">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8、电解钢板</w:t>
            </w:r>
            <w:r>
              <w:rPr>
                <w:rFonts w:hint="eastAsia" w:ascii="Calibri" w:hAnsi="Calibri" w:eastAsia="仿宋_GB2312" w:cs="Times New Roman"/>
                <w:color w:val="auto"/>
                <w:kern w:val="2"/>
                <w:sz w:val="24"/>
                <w:szCs w:val="24"/>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w:t>
            </w:r>
          </w:p>
          <w:p w14:paraId="7E5A3C7E">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9、铰链</w:t>
            </w:r>
            <w:r>
              <w:rPr>
                <w:rFonts w:hint="eastAsia" w:ascii="Calibri" w:hAnsi="Calibri" w:eastAsia="仿宋_GB2312" w:cs="Times New Roman"/>
                <w:color w:val="auto"/>
                <w:kern w:val="2"/>
                <w:sz w:val="24"/>
                <w:szCs w:val="24"/>
                <w:lang w:val="en-US" w:eastAsia="zh-CN" w:bidi="ar-SA"/>
              </w:rPr>
              <w:t>，检测内容至少包含：过载：垂直静载荷、水平静静载荷；耐久性≥80000次。功能：垂直静载荷、水平静静载荷、下沉量不应大于 2.0mm；</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试验后，保护等级不低于10级，外观等级不低于10级。可迁移元素（锑、砷、钡、镉、铬、铅、汞、硒）均未检出。</w:t>
            </w:r>
          </w:p>
          <w:p w14:paraId="44B7C682">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Calibri" w:hAnsi="Calibri" w:eastAsia="仿宋_GB2312" w:cs="Times New Roman"/>
                <w:b/>
                <w:bCs/>
                <w:color w:val="auto"/>
                <w:kern w:val="2"/>
                <w:sz w:val="24"/>
                <w:szCs w:val="24"/>
                <w:lang w:val="en-US" w:eastAsia="zh-CN" w:bidi="ar-SA"/>
              </w:rPr>
              <w:t>10、不锈钢板</w:t>
            </w:r>
            <w:r>
              <w:rPr>
                <w:rFonts w:hint="eastAsia" w:ascii="Calibri" w:hAnsi="Calibri" w:eastAsia="仿宋_GB2312" w:cs="Times New Roman"/>
                <w:color w:val="auto"/>
                <w:kern w:val="2"/>
                <w:sz w:val="24"/>
                <w:szCs w:val="24"/>
                <w:lang w:val="en-US" w:eastAsia="zh-CN" w:bidi="ar-SA"/>
              </w:rPr>
              <w:t>：检测内容至少包含：化学成分(质量因素）（C、SI、Mn、P、S、Cr、Ni）检测结果均为合格；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 10 级，外观等级不低于 10 级。</w:t>
            </w:r>
          </w:p>
        </w:tc>
        <w:tc>
          <w:tcPr>
            <w:tcW w:w="818" w:type="dxa"/>
          </w:tcPr>
          <w:p w14:paraId="462AE31A">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0-8分</w:t>
            </w:r>
          </w:p>
        </w:tc>
      </w:tr>
    </w:tbl>
    <w:p w14:paraId="5F6B8D1E">
      <w:pPr>
        <w:rPr>
          <w:rFonts w:hint="eastAsia" w:ascii="黑体" w:hAnsi="黑体" w:eastAsia="黑体" w:cs="黑体"/>
          <w:b w:val="0"/>
          <w:sz w:val="30"/>
          <w:szCs w:val="30"/>
        </w:rPr>
      </w:pPr>
    </w:p>
    <w:p w14:paraId="77C40351">
      <w:pPr>
        <w:rPr>
          <w:rFonts w:hint="eastAsia" w:ascii="黑体" w:hAnsi="黑体" w:eastAsia="黑体" w:cs="黑体"/>
          <w:b w:val="0"/>
          <w:sz w:val="30"/>
          <w:szCs w:val="30"/>
        </w:rPr>
      </w:pPr>
    </w:p>
    <w:p w14:paraId="2DB41039">
      <w:pPr>
        <w:rPr>
          <w:rFonts w:hint="eastAsia" w:ascii="黑体" w:hAnsi="黑体" w:eastAsia="黑体" w:cs="黑体"/>
          <w:b w:val="0"/>
          <w:sz w:val="30"/>
          <w:szCs w:val="30"/>
        </w:rPr>
      </w:pPr>
    </w:p>
    <w:p w14:paraId="5C2033AB">
      <w:pPr>
        <w:rPr>
          <w:rFonts w:hint="eastAsia" w:ascii="黑体" w:hAnsi="黑体" w:eastAsia="黑体" w:cs="黑体"/>
          <w:b w:val="0"/>
          <w:sz w:val="30"/>
          <w:szCs w:val="30"/>
          <w:lang w:val="en-US" w:eastAsia="zh-CN"/>
        </w:rPr>
      </w:pPr>
    </w:p>
    <w:p w14:paraId="3C253250">
      <w:pPr>
        <w:rPr>
          <w:rFonts w:hint="eastAsia" w:ascii="仿宋_GB2312" w:eastAsia="仿宋_GB2312"/>
          <w:color w:val="auto"/>
          <w:sz w:val="30"/>
          <w:szCs w:val="30"/>
        </w:rPr>
      </w:pPr>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(投标时提供或承诺在签订合同后十五个日历天内提供皆可）。</w:t>
      </w:r>
      <w:r>
        <w:rPr>
          <w:rFonts w:hint="eastAsia" w:ascii="Calibri" w:hAnsi="Calibri" w:eastAsia="仿宋_GB2312" w:cs="Times New Roman"/>
          <w:color w:val="auto"/>
          <w:kern w:val="2"/>
          <w:sz w:val="24"/>
          <w:szCs w:val="22"/>
          <w:lang w:val="en-US" w:eastAsia="zh-CN" w:bidi="ar-SA"/>
        </w:rPr>
        <w:t>原材料及五金配件技术参数要求如下：</w:t>
      </w:r>
    </w:p>
    <w:p w14:paraId="03A68BF0">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7EC365F2">
      <w:pPr>
        <w:keepNext w:val="0"/>
        <w:keepLines/>
        <w:pageBreakBefore w:val="0"/>
        <w:kinsoku/>
        <w:wordWrap/>
        <w:overflowPunct/>
        <w:topLinePunct w:val="0"/>
        <w:autoSpaceDE/>
        <w:autoSpaceDN/>
        <w:bidi w:val="0"/>
        <w:snapToGrid w:val="0"/>
        <w:spacing w:line="400" w:lineRule="exact"/>
        <w:rPr>
          <w:rFonts w:hint="eastAsia" w:ascii="黑体" w:hAnsi="黑体" w:eastAsia="黑体" w:cs="黑体"/>
          <w:bCs/>
          <w:color w:val="000000"/>
          <w:sz w:val="30"/>
          <w:szCs w:val="30"/>
        </w:rPr>
      </w:pPr>
      <w:r>
        <w:rPr>
          <w:rFonts w:hint="eastAsia" w:ascii="黑体" w:hAnsi="黑体" w:eastAsia="黑体" w:cs="黑体"/>
          <w:bCs/>
          <w:color w:val="000000"/>
          <w:sz w:val="30"/>
          <w:szCs w:val="30"/>
        </w:rPr>
        <w:t>第</w:t>
      </w:r>
      <w:r>
        <w:rPr>
          <w:rFonts w:hint="eastAsia" w:ascii="黑体" w:hAnsi="黑体" w:eastAsia="黑体" w:cs="黑体"/>
          <w:bCs/>
          <w:color w:val="000000"/>
          <w:sz w:val="30"/>
          <w:szCs w:val="30"/>
          <w:lang w:val="en-US" w:eastAsia="zh-CN"/>
        </w:rPr>
        <w:t>2</w:t>
      </w:r>
      <w:r>
        <w:rPr>
          <w:rFonts w:hint="eastAsia" w:ascii="黑体" w:hAnsi="黑体" w:eastAsia="黑体" w:cs="黑体"/>
          <w:bCs/>
          <w:color w:val="000000"/>
          <w:sz w:val="30"/>
          <w:szCs w:val="30"/>
        </w:rPr>
        <w:t>项修改</w:t>
      </w:r>
    </w:p>
    <w:p w14:paraId="29497F6A">
      <w:pPr>
        <w:pStyle w:val="11"/>
        <w:rPr>
          <w:rFonts w:hint="eastAsia"/>
        </w:rPr>
      </w:pPr>
    </w:p>
    <w:p w14:paraId="1909F77D">
      <w:pPr>
        <w:keepNext w:val="0"/>
        <w:keepLines/>
        <w:pageBreakBefore w:val="0"/>
        <w:kinsoku/>
        <w:wordWrap/>
        <w:overflowPunct/>
        <w:topLinePunct w:val="0"/>
        <w:autoSpaceDE/>
        <w:autoSpaceDN/>
        <w:bidi w:val="0"/>
        <w:snapToGrid w:val="0"/>
        <w:spacing w:line="400" w:lineRule="exact"/>
        <w:rPr>
          <w:rFonts w:hint="eastAsia" w:ascii="黑体" w:hAnsi="黑体" w:eastAsia="黑体" w:cs="黑体"/>
          <w:bCs/>
          <w:sz w:val="30"/>
          <w:szCs w:val="30"/>
        </w:rPr>
      </w:pPr>
      <w:r>
        <w:rPr>
          <w:rFonts w:hint="eastAsia" w:ascii="黑体" w:hAnsi="黑体" w:eastAsia="黑体" w:cs="黑体"/>
          <w:bCs/>
          <w:sz w:val="30"/>
          <w:szCs w:val="30"/>
        </w:rPr>
        <w:t>原标书中：</w:t>
      </w:r>
    </w:p>
    <w:p w14:paraId="57DD1BB7">
      <w:pPr>
        <w:pStyle w:val="11"/>
        <w:keepNext w:val="0"/>
        <w:pageBreakBefore w:val="0"/>
        <w:kinsoku/>
        <w:wordWrap/>
        <w:overflowPunct/>
        <w:topLinePunct w:val="0"/>
        <w:autoSpaceDE/>
        <w:autoSpaceDN/>
        <w:bidi w:val="0"/>
        <w:spacing w:line="400" w:lineRule="exact"/>
        <w:rPr>
          <w:rFonts w:hint="eastAsia" w:ascii="仿宋_GB2312" w:hAnsi="仿宋_GB2312" w:eastAsia="仿宋_GB2312" w:cs="仿宋_GB2312"/>
          <w:b/>
          <w:bCs w:val="0"/>
          <w:sz w:val="24"/>
          <w:szCs w:val="24"/>
        </w:rPr>
      </w:pPr>
      <w:r>
        <w:rPr>
          <w:rFonts w:hint="eastAsia" w:ascii="仿宋" w:hAnsi="仿宋" w:eastAsia="仿宋" w:cs="仿宋"/>
          <w:b w:val="0"/>
          <w:bCs w:val="0"/>
          <w:color w:val="auto"/>
          <w:sz w:val="22"/>
          <w:lang w:val="en-US" w:eastAsia="zh-CN" w:bidi="ar"/>
        </w:rPr>
        <w:t>1.</w:t>
      </w:r>
      <w:r>
        <w:rPr>
          <w:rFonts w:hint="eastAsia" w:ascii="仿宋" w:hAnsi="仿宋" w:eastAsia="仿宋" w:cs="仿宋"/>
          <w:b w:val="0"/>
          <w:bCs w:val="0"/>
          <w:color w:val="auto"/>
          <w:sz w:val="22"/>
          <w:lang w:eastAsia="zh-CN" w:bidi="ar"/>
        </w:rPr>
        <w:t>涉及的</w:t>
      </w:r>
      <w:r>
        <w:rPr>
          <w:rFonts w:hint="eastAsia" w:ascii="仿宋_GB2312" w:hAnsi="仿宋_GB2312" w:eastAsia="仿宋_GB2312" w:cs="仿宋_GB2312"/>
          <w:b w:val="0"/>
          <w:bCs w:val="0"/>
          <w:sz w:val="24"/>
          <w:szCs w:val="24"/>
        </w:rPr>
        <w:t>提交投标文件截止时间、开标时间</w:t>
      </w:r>
      <w:r>
        <w:rPr>
          <w:rFonts w:hint="eastAsia" w:ascii="仿宋_GB2312" w:hAnsi="仿宋_GB2312" w:eastAsia="仿宋_GB2312" w:cs="仿宋_GB2312"/>
          <w:b w:val="0"/>
          <w:bCs w:val="0"/>
          <w:sz w:val="24"/>
          <w:szCs w:val="24"/>
          <w:lang w:eastAsia="zh-CN"/>
        </w:rPr>
        <w:t>、</w:t>
      </w:r>
      <w:r>
        <w:rPr>
          <w:rFonts w:hint="eastAsia" w:ascii="仿宋" w:hAnsi="仿宋" w:eastAsia="仿宋" w:cs="仿宋"/>
          <w:b w:val="0"/>
          <w:bCs w:val="0"/>
          <w:color w:val="auto"/>
          <w:sz w:val="22"/>
          <w:lang w:eastAsia="zh-CN" w:bidi="ar"/>
        </w:rPr>
        <w:t>样品</w:t>
      </w:r>
      <w:r>
        <w:rPr>
          <w:rFonts w:hint="eastAsia" w:ascii="仿宋" w:hAnsi="仿宋" w:eastAsia="仿宋" w:cs="仿宋"/>
          <w:b w:val="0"/>
          <w:bCs w:val="0"/>
          <w:color w:val="auto"/>
          <w:sz w:val="22"/>
          <w:lang w:bidi="ar"/>
        </w:rPr>
        <w:t>递交时间</w:t>
      </w:r>
      <w:r>
        <w:rPr>
          <w:rFonts w:hint="eastAsia" w:ascii="仿宋_GB2312" w:hAnsi="仿宋_GB2312" w:eastAsia="仿宋_GB2312" w:cs="仿宋_GB2312"/>
          <w:b w:val="0"/>
          <w:bCs w:val="0"/>
          <w:sz w:val="24"/>
          <w:szCs w:val="24"/>
          <w:lang w:eastAsia="zh-CN"/>
        </w:rPr>
        <w:t>：</w:t>
      </w:r>
      <w:r>
        <w:rPr>
          <w:rFonts w:hint="eastAsia" w:ascii="仿宋_GB2312" w:hAnsi="宋体" w:eastAsia="仿宋_GB2312"/>
          <w:b/>
          <w:bCs w:val="0"/>
          <w:snapToGrid w:val="0"/>
          <w:color w:val="auto"/>
          <w:sz w:val="24"/>
          <w:szCs w:val="24"/>
          <w:u w:val="single"/>
        </w:rPr>
        <w:t>202</w:t>
      </w:r>
      <w:r>
        <w:rPr>
          <w:rFonts w:hint="eastAsia" w:ascii="仿宋_GB2312" w:eastAsia="仿宋_GB2312"/>
          <w:b/>
          <w:bCs w:val="0"/>
          <w:snapToGrid w:val="0"/>
          <w:color w:val="auto"/>
          <w:sz w:val="24"/>
          <w:szCs w:val="24"/>
          <w:u w:val="single"/>
          <w:lang w:val="en-US" w:eastAsia="zh-CN"/>
        </w:rPr>
        <w:t>5</w:t>
      </w:r>
      <w:r>
        <w:rPr>
          <w:rFonts w:hint="eastAsia" w:ascii="仿宋_GB2312" w:hAnsi="仿宋_GB2312" w:eastAsia="仿宋_GB2312" w:cs="仿宋_GB2312"/>
          <w:b/>
          <w:bCs w:val="0"/>
          <w:color w:val="auto"/>
          <w:sz w:val="24"/>
          <w:szCs w:val="24"/>
        </w:rPr>
        <w:t>年</w:t>
      </w:r>
      <w:r>
        <w:rPr>
          <w:rFonts w:hint="eastAsia" w:ascii="仿宋_GB2312" w:hAnsi="宋体" w:eastAsia="仿宋_GB2312"/>
          <w:b/>
          <w:bCs w:val="0"/>
          <w:snapToGrid w:val="0"/>
          <w:color w:val="auto"/>
          <w:sz w:val="24"/>
          <w:szCs w:val="24"/>
          <w:u w:val="single"/>
        </w:rPr>
        <w:t>0</w:t>
      </w:r>
      <w:r>
        <w:rPr>
          <w:rFonts w:hint="eastAsia" w:ascii="仿宋_GB2312" w:eastAsia="仿宋_GB2312"/>
          <w:b/>
          <w:bCs w:val="0"/>
          <w:snapToGrid w:val="0"/>
          <w:color w:val="auto"/>
          <w:sz w:val="24"/>
          <w:szCs w:val="24"/>
          <w:u w:val="single"/>
          <w:lang w:val="en-US" w:eastAsia="zh-CN"/>
        </w:rPr>
        <w:t>4</w:t>
      </w:r>
      <w:r>
        <w:rPr>
          <w:rFonts w:hint="eastAsia" w:ascii="仿宋_GB2312" w:hAnsi="仿宋_GB2312" w:eastAsia="仿宋_GB2312" w:cs="仿宋_GB2312"/>
          <w:b/>
          <w:bCs w:val="0"/>
          <w:color w:val="auto"/>
          <w:sz w:val="24"/>
          <w:szCs w:val="24"/>
        </w:rPr>
        <w:t>月</w:t>
      </w:r>
      <w:r>
        <w:rPr>
          <w:rFonts w:hint="eastAsia" w:ascii="仿宋_GB2312" w:eastAsia="仿宋_GB2312"/>
          <w:b/>
          <w:bCs w:val="0"/>
          <w:snapToGrid w:val="0"/>
          <w:color w:val="auto"/>
          <w:sz w:val="24"/>
          <w:szCs w:val="24"/>
          <w:u w:val="single"/>
          <w:lang w:val="en-US" w:eastAsia="zh-CN"/>
        </w:rPr>
        <w:t>22</w:t>
      </w:r>
      <w:r>
        <w:rPr>
          <w:rFonts w:hint="eastAsia" w:ascii="仿宋_GB2312" w:hAnsi="仿宋_GB2312" w:eastAsia="仿宋_GB2312" w:cs="仿宋_GB2312"/>
          <w:b/>
          <w:bCs w:val="0"/>
          <w:color w:val="auto"/>
          <w:sz w:val="24"/>
          <w:szCs w:val="24"/>
        </w:rPr>
        <w:t xml:space="preserve">日 </w:t>
      </w:r>
      <w:r>
        <w:rPr>
          <w:rFonts w:hint="eastAsia" w:ascii="仿宋_GB2312" w:hAnsi="宋体" w:eastAsia="仿宋_GB2312"/>
          <w:b/>
          <w:bCs w:val="0"/>
          <w:snapToGrid w:val="0"/>
          <w:color w:val="auto"/>
          <w:sz w:val="24"/>
          <w:szCs w:val="24"/>
          <w:u w:val="single"/>
        </w:rPr>
        <w:t>09</w:t>
      </w:r>
      <w:r>
        <w:rPr>
          <w:rFonts w:hint="eastAsia" w:ascii="仿宋_GB2312" w:hAnsi="仿宋_GB2312" w:eastAsia="仿宋_GB2312" w:cs="仿宋_GB2312"/>
          <w:b/>
          <w:bCs w:val="0"/>
          <w:color w:val="auto"/>
          <w:sz w:val="24"/>
          <w:szCs w:val="24"/>
        </w:rPr>
        <w:t>:</w:t>
      </w:r>
      <w:r>
        <w:rPr>
          <w:rFonts w:hint="eastAsia" w:ascii="仿宋_GB2312" w:eastAsia="仿宋_GB2312"/>
          <w:b/>
          <w:bCs w:val="0"/>
          <w:snapToGrid w:val="0"/>
          <w:color w:val="auto"/>
          <w:sz w:val="24"/>
          <w:szCs w:val="24"/>
          <w:u w:val="single"/>
          <w:lang w:val="en-US" w:eastAsia="zh-CN"/>
        </w:rPr>
        <w:t>0</w:t>
      </w:r>
      <w:r>
        <w:rPr>
          <w:rFonts w:hint="eastAsia" w:ascii="仿宋_GB2312" w:hAnsi="宋体" w:eastAsia="仿宋_GB2312"/>
          <w:b/>
          <w:bCs w:val="0"/>
          <w:snapToGrid w:val="0"/>
          <w:color w:val="auto"/>
          <w:sz w:val="24"/>
          <w:szCs w:val="24"/>
          <w:u w:val="single"/>
          <w:lang w:val="en-US" w:eastAsia="zh-CN"/>
        </w:rPr>
        <w:t>0</w:t>
      </w:r>
      <w:r>
        <w:rPr>
          <w:rFonts w:hint="eastAsia" w:ascii="仿宋_GB2312" w:hAnsi="仿宋_GB2312" w:eastAsia="仿宋_GB2312" w:cs="仿宋_GB2312"/>
          <w:b/>
          <w:bCs w:val="0"/>
          <w:sz w:val="24"/>
          <w:szCs w:val="24"/>
        </w:rPr>
        <w:t>（北京时间）</w:t>
      </w:r>
    </w:p>
    <w:p w14:paraId="4BA8C5ED">
      <w:pPr>
        <w:pStyle w:val="11"/>
        <w:keepNext w:val="0"/>
        <w:pageBreakBefore w:val="0"/>
        <w:widowControl w:val="0"/>
        <w:kinsoku/>
        <w:wordWrap/>
        <w:overflowPunct/>
        <w:topLinePunct w:val="0"/>
        <w:autoSpaceDE/>
        <w:autoSpaceDN/>
        <w:bidi w:val="0"/>
        <w:adjustRightInd/>
        <w:spacing w:line="500" w:lineRule="exact"/>
        <w:textAlignment w:val="auto"/>
        <w:rPr>
          <w:rFonts w:hint="eastAsia" w:ascii="仿宋_GB2312" w:hAnsi="仿宋_GB2312" w:eastAsia="仿宋_GB2312" w:cs="仿宋_GB2312"/>
          <w:b/>
          <w:bCs w:val="0"/>
          <w:sz w:val="24"/>
          <w:szCs w:val="24"/>
        </w:rPr>
      </w:pP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开标</w:t>
      </w:r>
      <w:r>
        <w:rPr>
          <w:rFonts w:ascii="仿宋_GB2312" w:hAnsi="仿宋_GB2312" w:eastAsia="仿宋_GB2312" w:cs="仿宋_GB2312"/>
          <w:bCs/>
          <w:color w:val="auto"/>
          <w:sz w:val="24"/>
          <w:szCs w:val="24"/>
        </w:rPr>
        <w:t>地点</w:t>
      </w:r>
      <w:r>
        <w:rPr>
          <w:rFonts w:hint="eastAsia" w:ascii="仿宋_GB2312" w:hAnsi="仿宋_GB2312" w:eastAsia="仿宋_GB2312" w:cs="仿宋_GB2312"/>
          <w:bCs/>
          <w:color w:val="auto"/>
          <w:sz w:val="24"/>
          <w:szCs w:val="24"/>
        </w:rPr>
        <w:t>（网址）</w:t>
      </w:r>
      <w:r>
        <w:rPr>
          <w:rFonts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rPr>
        <w:t>遂昌县公共资源交易中心</w:t>
      </w:r>
      <w:r>
        <w:rPr>
          <w:rFonts w:hint="eastAsia" w:ascii="仿宋_GB2312" w:hAnsi="仿宋_GB2312" w:eastAsia="仿宋_GB2312" w:cs="仿宋_GB2312"/>
          <w:b/>
          <w:bCs w:val="0"/>
          <w:color w:val="auto"/>
          <w:sz w:val="24"/>
          <w:szCs w:val="24"/>
        </w:rPr>
        <w:t>开标室3</w:t>
      </w:r>
      <w:r>
        <w:rPr>
          <w:rFonts w:hint="eastAsia" w:ascii="仿宋_GB2312" w:hAnsi="仿宋_GB2312" w:eastAsia="仿宋_GB2312" w:cs="仿宋_GB2312"/>
          <w:bCs/>
          <w:color w:val="auto"/>
          <w:sz w:val="24"/>
          <w:szCs w:val="24"/>
        </w:rPr>
        <w:t>；</w:t>
      </w:r>
      <w:r>
        <w:rPr>
          <w:rFonts w:hint="eastAsia" w:ascii="仿宋_GB2312" w:hAnsi="仿宋_GB2312" w:eastAsia="仿宋_GB2312" w:cs="仿宋_GB2312"/>
          <w:bCs/>
          <w:sz w:val="24"/>
          <w:szCs w:val="24"/>
        </w:rPr>
        <w:t>浙江政府采购网—用户入驻/登录—用户登录—项目采购—开标评标—进入开标大厅</w:t>
      </w:r>
    </w:p>
    <w:p w14:paraId="6A5C34B9">
      <w:pPr>
        <w:pStyle w:val="11"/>
        <w:keepNext w:val="0"/>
        <w:pageBreakBefore w:val="0"/>
        <w:kinsoku/>
        <w:wordWrap/>
        <w:overflowPunct/>
        <w:topLinePunct w:val="0"/>
        <w:autoSpaceDE/>
        <w:autoSpaceDN/>
        <w:bidi w:val="0"/>
        <w:spacing w:line="400" w:lineRule="exact"/>
        <w:rPr>
          <w:rFonts w:hint="default" w:ascii="仿宋_GB2312" w:hAnsi="仿宋_GB2312" w:eastAsia="仿宋_GB2312" w:cs="仿宋_GB2312"/>
          <w:b/>
          <w:bCs w:val="0"/>
          <w:sz w:val="24"/>
          <w:szCs w:val="24"/>
          <w:lang w:val="en-US" w:eastAsia="zh-CN"/>
        </w:rPr>
      </w:pPr>
    </w:p>
    <w:p w14:paraId="4080DA10">
      <w:pPr>
        <w:pStyle w:val="7"/>
        <w:keepNext w:val="0"/>
        <w:pageBreakBefore w:val="0"/>
        <w:numPr>
          <w:ilvl w:val="0"/>
          <w:numId w:val="0"/>
        </w:numPr>
        <w:kinsoku/>
        <w:wordWrap/>
        <w:overflowPunct/>
        <w:topLinePunct w:val="0"/>
        <w:autoSpaceDE/>
        <w:autoSpaceDN/>
        <w:bidi w:val="0"/>
        <w:spacing w:before="0" w:after="0" w:line="400" w:lineRule="exact"/>
        <w:jc w:val="left"/>
        <w:outlineLvl w:val="1"/>
        <w:rPr>
          <w:rFonts w:hint="eastAsia" w:ascii="黑体" w:hAnsi="黑体" w:eastAsia="黑体" w:cs="黑体"/>
          <w:b w:val="0"/>
          <w:bCs/>
          <w:kern w:val="2"/>
          <w:sz w:val="30"/>
          <w:szCs w:val="30"/>
          <w:lang w:val="en-US" w:eastAsia="zh-CN" w:bidi="ar-SA"/>
        </w:rPr>
      </w:pPr>
      <w:r>
        <w:rPr>
          <w:rFonts w:hint="eastAsia" w:ascii="黑体" w:hAnsi="黑体" w:eastAsia="黑体" w:cs="黑体"/>
          <w:b w:val="0"/>
          <w:bCs/>
          <w:kern w:val="2"/>
          <w:sz w:val="30"/>
          <w:szCs w:val="30"/>
          <w:lang w:val="en-US" w:eastAsia="zh-CN" w:bidi="ar-SA"/>
        </w:rPr>
        <w:t>现修改</w:t>
      </w:r>
      <w:r>
        <w:rPr>
          <w:rFonts w:hint="eastAsia" w:ascii="黑体" w:hAnsi="黑体" w:eastAsia="黑体" w:cs="黑体"/>
          <w:b w:val="0"/>
          <w:sz w:val="30"/>
          <w:szCs w:val="30"/>
        </w:rPr>
        <w:t>如下</w:t>
      </w:r>
      <w:r>
        <w:rPr>
          <w:rFonts w:hint="eastAsia" w:ascii="黑体" w:hAnsi="黑体" w:eastAsia="黑体" w:cs="黑体"/>
          <w:b w:val="0"/>
          <w:bCs/>
          <w:kern w:val="2"/>
          <w:sz w:val="30"/>
          <w:szCs w:val="30"/>
          <w:lang w:val="en-US" w:eastAsia="zh-CN" w:bidi="ar-SA"/>
        </w:rPr>
        <w:t>：</w:t>
      </w:r>
    </w:p>
    <w:p w14:paraId="0A97968F">
      <w:pPr>
        <w:pStyle w:val="11"/>
        <w:keepNext w:val="0"/>
        <w:pageBreakBefore w:val="0"/>
        <w:numPr>
          <w:ilvl w:val="0"/>
          <w:numId w:val="0"/>
        </w:numPr>
        <w:kinsoku/>
        <w:wordWrap/>
        <w:overflowPunct/>
        <w:topLinePunct w:val="0"/>
        <w:autoSpaceDE/>
        <w:autoSpaceDN/>
        <w:bidi w:val="0"/>
        <w:spacing w:line="400" w:lineRule="exact"/>
        <w:ind w:firstLine="440" w:firstLineChars="200"/>
        <w:rPr>
          <w:rFonts w:hint="eastAsia" w:ascii="仿宋_GB2312" w:hAnsi="仿宋_GB2312" w:eastAsia="仿宋_GB2312" w:cs="仿宋_GB2312"/>
          <w:b/>
          <w:bCs w:val="0"/>
          <w:sz w:val="24"/>
          <w:szCs w:val="24"/>
        </w:rPr>
      </w:pPr>
      <w:r>
        <w:rPr>
          <w:rFonts w:hint="eastAsia" w:ascii="仿宋" w:hAnsi="仿宋" w:eastAsia="仿宋" w:cs="仿宋"/>
          <w:b w:val="0"/>
          <w:bCs w:val="0"/>
          <w:color w:val="auto"/>
          <w:sz w:val="22"/>
          <w:lang w:val="en-US" w:eastAsia="zh-CN" w:bidi="ar"/>
        </w:rPr>
        <w:t>1.</w:t>
      </w:r>
      <w:r>
        <w:rPr>
          <w:rFonts w:hint="eastAsia" w:ascii="仿宋" w:hAnsi="仿宋" w:eastAsia="仿宋" w:cs="仿宋"/>
          <w:b w:val="0"/>
          <w:bCs w:val="0"/>
          <w:color w:val="auto"/>
          <w:sz w:val="22"/>
          <w:lang w:eastAsia="zh-CN" w:bidi="ar"/>
        </w:rPr>
        <w:t>涉及的</w:t>
      </w:r>
      <w:r>
        <w:rPr>
          <w:rFonts w:hint="eastAsia" w:ascii="仿宋_GB2312" w:hAnsi="仿宋_GB2312" w:eastAsia="仿宋_GB2312" w:cs="仿宋_GB2312"/>
          <w:b w:val="0"/>
          <w:bCs w:val="0"/>
          <w:sz w:val="24"/>
          <w:szCs w:val="24"/>
        </w:rPr>
        <w:t>提交投标文件截止时间、开标时间</w:t>
      </w:r>
      <w:r>
        <w:rPr>
          <w:rFonts w:hint="eastAsia" w:ascii="仿宋_GB2312" w:hAnsi="仿宋_GB2312" w:eastAsia="仿宋_GB2312" w:cs="仿宋_GB2312"/>
          <w:b w:val="0"/>
          <w:bCs w:val="0"/>
          <w:sz w:val="24"/>
          <w:szCs w:val="24"/>
          <w:lang w:eastAsia="zh-CN"/>
        </w:rPr>
        <w:t>、</w:t>
      </w:r>
      <w:r>
        <w:rPr>
          <w:rFonts w:hint="eastAsia" w:ascii="仿宋" w:hAnsi="仿宋" w:eastAsia="仿宋" w:cs="仿宋"/>
          <w:b w:val="0"/>
          <w:bCs w:val="0"/>
          <w:color w:val="auto"/>
          <w:sz w:val="22"/>
          <w:lang w:eastAsia="zh-CN" w:bidi="ar"/>
        </w:rPr>
        <w:t>样品</w:t>
      </w:r>
      <w:r>
        <w:rPr>
          <w:rFonts w:hint="eastAsia" w:ascii="仿宋" w:hAnsi="仿宋" w:eastAsia="仿宋" w:cs="仿宋"/>
          <w:b w:val="0"/>
          <w:bCs w:val="0"/>
          <w:color w:val="auto"/>
          <w:sz w:val="22"/>
          <w:lang w:bidi="ar"/>
        </w:rPr>
        <w:t>递交时间</w:t>
      </w:r>
      <w:r>
        <w:rPr>
          <w:rFonts w:hint="eastAsia" w:ascii="仿宋_GB2312" w:hAnsi="仿宋_GB2312" w:eastAsia="仿宋_GB2312" w:cs="仿宋_GB2312"/>
          <w:b w:val="0"/>
          <w:bCs w:val="0"/>
          <w:sz w:val="24"/>
          <w:szCs w:val="24"/>
          <w:lang w:eastAsia="zh-CN"/>
        </w:rPr>
        <w:t>：</w:t>
      </w:r>
      <w:r>
        <w:rPr>
          <w:rFonts w:hint="eastAsia" w:ascii="仿宋_GB2312" w:hAnsi="宋体" w:eastAsia="仿宋_GB2312"/>
          <w:b/>
          <w:bCs w:val="0"/>
          <w:snapToGrid w:val="0"/>
          <w:color w:val="auto"/>
          <w:sz w:val="24"/>
          <w:szCs w:val="24"/>
          <w:u w:val="single"/>
        </w:rPr>
        <w:t>202</w:t>
      </w:r>
      <w:r>
        <w:rPr>
          <w:rFonts w:hint="eastAsia" w:ascii="仿宋_GB2312" w:eastAsia="仿宋_GB2312"/>
          <w:b/>
          <w:bCs w:val="0"/>
          <w:snapToGrid w:val="0"/>
          <w:color w:val="auto"/>
          <w:sz w:val="24"/>
          <w:szCs w:val="24"/>
          <w:u w:val="single"/>
          <w:lang w:val="en-US" w:eastAsia="zh-CN"/>
        </w:rPr>
        <w:t>5</w:t>
      </w:r>
      <w:r>
        <w:rPr>
          <w:rFonts w:hint="eastAsia" w:ascii="仿宋_GB2312" w:hAnsi="仿宋_GB2312" w:eastAsia="仿宋_GB2312" w:cs="仿宋_GB2312"/>
          <w:b/>
          <w:bCs w:val="0"/>
          <w:color w:val="auto"/>
          <w:sz w:val="24"/>
          <w:szCs w:val="24"/>
        </w:rPr>
        <w:t>年</w:t>
      </w:r>
      <w:r>
        <w:rPr>
          <w:rFonts w:hint="eastAsia" w:ascii="仿宋_GB2312" w:eastAsia="仿宋_GB2312"/>
          <w:b/>
          <w:bCs w:val="0"/>
          <w:snapToGrid w:val="0"/>
          <w:color w:val="auto"/>
          <w:sz w:val="24"/>
          <w:szCs w:val="24"/>
          <w:u w:val="single"/>
          <w:lang w:val="en-US" w:eastAsia="zh-CN"/>
        </w:rPr>
        <w:t>05</w:t>
      </w:r>
      <w:r>
        <w:rPr>
          <w:rFonts w:hint="eastAsia" w:ascii="仿宋_GB2312" w:hAnsi="仿宋_GB2312" w:eastAsia="仿宋_GB2312" w:cs="仿宋_GB2312"/>
          <w:b/>
          <w:bCs w:val="0"/>
          <w:color w:val="auto"/>
          <w:sz w:val="24"/>
          <w:szCs w:val="24"/>
        </w:rPr>
        <w:t>月</w:t>
      </w:r>
      <w:r>
        <w:rPr>
          <w:rFonts w:hint="eastAsia" w:ascii="仿宋_GB2312" w:eastAsia="仿宋_GB2312"/>
          <w:b/>
          <w:bCs w:val="0"/>
          <w:snapToGrid w:val="0"/>
          <w:color w:val="auto"/>
          <w:sz w:val="24"/>
          <w:szCs w:val="24"/>
          <w:u w:val="single"/>
          <w:lang w:val="en-US" w:eastAsia="zh-CN"/>
        </w:rPr>
        <w:t>06</w:t>
      </w:r>
      <w:r>
        <w:rPr>
          <w:rFonts w:hint="eastAsia" w:ascii="仿宋_GB2312" w:hAnsi="仿宋_GB2312" w:eastAsia="仿宋_GB2312" w:cs="仿宋_GB2312"/>
          <w:b/>
          <w:bCs w:val="0"/>
          <w:color w:val="auto"/>
          <w:sz w:val="24"/>
          <w:szCs w:val="24"/>
        </w:rPr>
        <w:t xml:space="preserve">日 </w:t>
      </w:r>
      <w:r>
        <w:rPr>
          <w:rFonts w:hint="eastAsia" w:ascii="仿宋_GB2312" w:hAnsi="宋体" w:eastAsia="仿宋_GB2312"/>
          <w:b/>
          <w:bCs w:val="0"/>
          <w:snapToGrid w:val="0"/>
          <w:color w:val="auto"/>
          <w:sz w:val="24"/>
          <w:szCs w:val="24"/>
          <w:u w:val="single"/>
        </w:rPr>
        <w:t>09</w:t>
      </w:r>
      <w:r>
        <w:rPr>
          <w:rFonts w:hint="eastAsia" w:ascii="仿宋_GB2312" w:hAnsi="仿宋_GB2312" w:eastAsia="仿宋_GB2312" w:cs="仿宋_GB2312"/>
          <w:b/>
          <w:bCs w:val="0"/>
          <w:color w:val="auto"/>
          <w:sz w:val="24"/>
          <w:szCs w:val="24"/>
        </w:rPr>
        <w:t>:</w:t>
      </w:r>
      <w:r>
        <w:rPr>
          <w:rFonts w:hint="eastAsia" w:ascii="仿宋_GB2312" w:eastAsia="仿宋_GB2312"/>
          <w:b/>
          <w:bCs w:val="0"/>
          <w:snapToGrid w:val="0"/>
          <w:color w:val="auto"/>
          <w:sz w:val="24"/>
          <w:szCs w:val="24"/>
          <w:u w:val="single"/>
          <w:lang w:val="en-US" w:eastAsia="zh-CN"/>
        </w:rPr>
        <w:t>0</w:t>
      </w:r>
      <w:r>
        <w:rPr>
          <w:rFonts w:hint="eastAsia" w:ascii="仿宋_GB2312" w:hAnsi="宋体" w:eastAsia="仿宋_GB2312"/>
          <w:b/>
          <w:bCs w:val="0"/>
          <w:snapToGrid w:val="0"/>
          <w:color w:val="auto"/>
          <w:sz w:val="24"/>
          <w:szCs w:val="24"/>
          <w:u w:val="single"/>
          <w:lang w:val="en-US" w:eastAsia="zh-CN"/>
        </w:rPr>
        <w:t>0</w:t>
      </w:r>
      <w:r>
        <w:rPr>
          <w:rFonts w:hint="eastAsia" w:ascii="仿宋_GB2312" w:hAnsi="仿宋_GB2312" w:eastAsia="仿宋_GB2312" w:cs="仿宋_GB2312"/>
          <w:b/>
          <w:bCs w:val="0"/>
          <w:sz w:val="24"/>
          <w:szCs w:val="24"/>
        </w:rPr>
        <w:t>（北京时间）</w:t>
      </w:r>
    </w:p>
    <w:p w14:paraId="7FBAF719">
      <w:pPr>
        <w:pStyle w:val="11"/>
        <w:keepNext w:val="0"/>
        <w:pageBreakBefore w:val="0"/>
        <w:widowControl w:val="0"/>
        <w:kinsoku/>
        <w:wordWrap/>
        <w:overflowPunct/>
        <w:topLinePunct w:val="0"/>
        <w:autoSpaceDE/>
        <w:autoSpaceDN/>
        <w:bidi w:val="0"/>
        <w:adjustRightInd/>
        <w:spacing w:line="500" w:lineRule="exact"/>
        <w:textAlignment w:val="auto"/>
        <w:rPr>
          <w:rFonts w:hint="eastAsia" w:ascii="仿宋_GB2312" w:hAnsi="仿宋_GB2312" w:eastAsia="仿宋_GB2312" w:cs="仿宋_GB2312"/>
          <w:b/>
          <w:bCs w:val="0"/>
          <w:sz w:val="24"/>
          <w:szCs w:val="24"/>
        </w:rPr>
      </w:pP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开标</w:t>
      </w:r>
      <w:r>
        <w:rPr>
          <w:rFonts w:ascii="仿宋_GB2312" w:hAnsi="仿宋_GB2312" w:eastAsia="仿宋_GB2312" w:cs="仿宋_GB2312"/>
          <w:bCs/>
          <w:color w:val="auto"/>
          <w:sz w:val="24"/>
          <w:szCs w:val="24"/>
        </w:rPr>
        <w:t>地点</w:t>
      </w:r>
      <w:r>
        <w:rPr>
          <w:rFonts w:hint="eastAsia" w:ascii="仿宋_GB2312" w:hAnsi="仿宋_GB2312" w:eastAsia="仿宋_GB2312" w:cs="仿宋_GB2312"/>
          <w:bCs/>
          <w:color w:val="auto"/>
          <w:sz w:val="24"/>
          <w:szCs w:val="24"/>
        </w:rPr>
        <w:t>（网址）</w:t>
      </w:r>
      <w:r>
        <w:rPr>
          <w:rFonts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rPr>
        <w:t>遂昌县公共资源交易中心</w:t>
      </w:r>
      <w:r>
        <w:rPr>
          <w:rFonts w:hint="eastAsia" w:ascii="仿宋_GB2312" w:hAnsi="仿宋_GB2312" w:eastAsia="仿宋_GB2312" w:cs="仿宋_GB2312"/>
          <w:b/>
          <w:bCs w:val="0"/>
          <w:color w:val="auto"/>
          <w:sz w:val="24"/>
          <w:szCs w:val="24"/>
        </w:rPr>
        <w:t>开标室</w:t>
      </w:r>
      <w:r>
        <w:rPr>
          <w:rFonts w:hint="eastAsia" w:ascii="仿宋_GB2312" w:hAnsi="仿宋_GB2312" w:eastAsia="仿宋_GB2312" w:cs="仿宋_GB2312"/>
          <w:b/>
          <w:bCs w:val="0"/>
          <w:color w:val="auto"/>
          <w:sz w:val="24"/>
          <w:szCs w:val="24"/>
          <w:lang w:val="en-US" w:eastAsia="zh-CN"/>
        </w:rPr>
        <w:t>1</w:t>
      </w:r>
      <w:r>
        <w:rPr>
          <w:rFonts w:hint="eastAsia" w:ascii="仿宋_GB2312" w:hAnsi="仿宋_GB2312" w:eastAsia="仿宋_GB2312" w:cs="仿宋_GB2312"/>
          <w:bCs/>
          <w:color w:val="auto"/>
          <w:sz w:val="24"/>
          <w:szCs w:val="24"/>
        </w:rPr>
        <w:t>；</w:t>
      </w:r>
      <w:r>
        <w:rPr>
          <w:rFonts w:hint="eastAsia" w:ascii="仿宋_GB2312" w:hAnsi="仿宋_GB2312" w:eastAsia="仿宋_GB2312" w:cs="仿宋_GB2312"/>
          <w:bCs/>
          <w:sz w:val="24"/>
          <w:szCs w:val="24"/>
        </w:rPr>
        <w:t>浙江政府采购网—用户入驻/登录—用户登录—项目采购—开标评标—进入开标大厅</w:t>
      </w:r>
    </w:p>
    <w:p w14:paraId="4AFC1EF1">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0C8BE978">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2A25A2C3">
      <w:pPr>
        <w:pStyle w:val="2"/>
        <w:keepNext w:val="0"/>
        <w:pageBreakBefore w:val="0"/>
        <w:widowControl w:val="0"/>
        <w:kinsoku/>
        <w:wordWrap/>
        <w:overflowPunct/>
        <w:topLinePunct w:val="0"/>
        <w:bidi w:val="0"/>
        <w:spacing w:line="400" w:lineRule="exact"/>
        <w:ind w:firstLine="0"/>
        <w:textAlignment w:val="auto"/>
        <w:rPr>
          <w:rFonts w:ascii="宋体" w:hAnsi="宋体" w:cs="宋体"/>
          <w:sz w:val="28"/>
          <w:szCs w:val="28"/>
        </w:rPr>
      </w:pPr>
      <w:r>
        <w:rPr>
          <w:rFonts w:hint="eastAsia" w:ascii="宋体" w:hAnsi="宋体" w:cs="宋体"/>
          <w:sz w:val="28"/>
          <w:szCs w:val="28"/>
        </w:rPr>
        <w:t xml:space="preserve">其他内容不作调整。                                                      </w:t>
      </w:r>
      <w:r>
        <w:rPr>
          <w:rFonts w:ascii="宋体" w:hAnsi="宋体" w:cs="宋体"/>
          <w:sz w:val="28"/>
          <w:szCs w:val="28"/>
        </w:rPr>
        <w:t xml:space="preserve">                  </w:t>
      </w:r>
    </w:p>
    <w:p w14:paraId="5D13D306">
      <w:pPr>
        <w:spacing w:line="360" w:lineRule="auto"/>
        <w:ind w:right="1120"/>
        <w:jc w:val="right"/>
        <w:rPr>
          <w:rFonts w:ascii="宋体" w:hAnsi="宋体" w:cs="宋体"/>
          <w:sz w:val="28"/>
          <w:szCs w:val="28"/>
        </w:rPr>
      </w:pPr>
    </w:p>
    <w:p w14:paraId="504641A7">
      <w:pPr>
        <w:pStyle w:val="11"/>
        <w:rPr>
          <w:rFonts w:ascii="宋体" w:hAnsi="宋体" w:cs="宋体"/>
          <w:sz w:val="28"/>
          <w:szCs w:val="28"/>
        </w:rPr>
      </w:pPr>
    </w:p>
    <w:p w14:paraId="3043A2E6">
      <w:pPr>
        <w:pStyle w:val="11"/>
        <w:rPr>
          <w:rFonts w:ascii="宋体" w:hAnsi="宋体" w:cs="宋体"/>
          <w:sz w:val="28"/>
          <w:szCs w:val="28"/>
        </w:rPr>
      </w:pPr>
    </w:p>
    <w:p w14:paraId="4CEDC715">
      <w:pPr>
        <w:pStyle w:val="11"/>
        <w:rPr>
          <w:rFonts w:ascii="宋体" w:hAnsi="宋体" w:cs="宋体"/>
          <w:sz w:val="28"/>
          <w:szCs w:val="28"/>
        </w:rPr>
      </w:pPr>
    </w:p>
    <w:p w14:paraId="43E6ED70">
      <w:pPr>
        <w:pStyle w:val="11"/>
        <w:rPr>
          <w:rFonts w:ascii="宋体" w:hAnsi="宋体" w:cs="宋体"/>
          <w:sz w:val="28"/>
          <w:szCs w:val="28"/>
        </w:rPr>
      </w:pPr>
    </w:p>
    <w:p w14:paraId="4A5D0760">
      <w:pPr>
        <w:pStyle w:val="11"/>
        <w:rPr>
          <w:rFonts w:ascii="宋体" w:hAnsi="宋体" w:cs="宋体"/>
          <w:sz w:val="28"/>
          <w:szCs w:val="28"/>
        </w:rPr>
      </w:pPr>
    </w:p>
    <w:p w14:paraId="27BAFC1B">
      <w:pPr>
        <w:pStyle w:val="11"/>
        <w:rPr>
          <w:rFonts w:ascii="宋体" w:hAnsi="宋体" w:cs="宋体"/>
          <w:sz w:val="28"/>
          <w:szCs w:val="28"/>
        </w:rPr>
      </w:pPr>
    </w:p>
    <w:p w14:paraId="7FF699F5">
      <w:pPr>
        <w:pStyle w:val="11"/>
        <w:rPr>
          <w:rFonts w:ascii="宋体" w:hAnsi="宋体" w:cs="宋体"/>
          <w:sz w:val="28"/>
          <w:szCs w:val="28"/>
        </w:rPr>
      </w:pPr>
    </w:p>
    <w:p w14:paraId="2EDD8D79">
      <w:pPr>
        <w:pStyle w:val="11"/>
        <w:rPr>
          <w:rFonts w:ascii="宋体" w:hAnsi="宋体" w:cs="宋体"/>
          <w:sz w:val="28"/>
          <w:szCs w:val="28"/>
        </w:rPr>
      </w:pPr>
    </w:p>
    <w:p w14:paraId="51F2B172">
      <w:pPr>
        <w:spacing w:line="360" w:lineRule="auto"/>
        <w:ind w:right="1120" w:firstLine="560"/>
        <w:jc w:val="center"/>
        <w:rPr>
          <w:rFonts w:hint="eastAsia" w:ascii="宋体" w:hAnsi="宋体" w:eastAsia="宋体" w:cs="宋体"/>
          <w:sz w:val="28"/>
          <w:szCs w:val="28"/>
          <w:lang w:eastAsia="zh-CN"/>
        </w:rPr>
      </w:pPr>
      <w:r>
        <w:rPr>
          <w:rFonts w:hint="eastAsia" w:ascii="宋体" w:hAnsi="宋体" w:cs="宋体"/>
          <w:sz w:val="28"/>
          <w:szCs w:val="28"/>
          <w:lang w:val="en-US" w:eastAsia="zh-CN"/>
        </w:rPr>
        <w:t xml:space="preserve">                                 </w:t>
      </w:r>
      <w:r>
        <w:rPr>
          <w:rFonts w:hint="eastAsia" w:ascii="宋体" w:hAnsi="宋体" w:eastAsia="宋体" w:cs="宋体"/>
          <w:sz w:val="28"/>
          <w:szCs w:val="28"/>
        </w:rPr>
        <w:t>遂昌县人民医院</w:t>
      </w:r>
    </w:p>
    <w:p w14:paraId="2F320738">
      <w:pPr>
        <w:spacing w:line="360" w:lineRule="auto"/>
        <w:ind w:right="1120" w:firstLine="560"/>
        <w:jc w:val="right"/>
        <w:rPr>
          <w:rFonts w:ascii="宋体" w:hAnsi="宋体" w:cs="宋体"/>
          <w:sz w:val="28"/>
          <w:szCs w:val="28"/>
        </w:rPr>
      </w:pPr>
      <w:r>
        <w:rPr>
          <w:rFonts w:hint="eastAsia" w:ascii="宋体" w:hAnsi="宋体" w:cs="宋体"/>
          <w:sz w:val="28"/>
          <w:szCs w:val="28"/>
          <w:lang w:val="en-US" w:eastAsia="zh-CN"/>
        </w:rPr>
        <w:t xml:space="preserve"> </w:t>
      </w:r>
      <w:r>
        <w:rPr>
          <w:rFonts w:hint="eastAsia" w:ascii="宋体" w:hAnsi="宋体" w:cs="宋体"/>
          <w:sz w:val="28"/>
          <w:szCs w:val="28"/>
        </w:rPr>
        <w:t>遂昌县公共资源交易中心</w:t>
      </w:r>
    </w:p>
    <w:p w14:paraId="349672B3">
      <w:pPr>
        <w:pStyle w:val="2"/>
        <w:ind w:firstLine="0"/>
        <w:jc w:val="left"/>
        <w:rPr>
          <w:rFonts w:ascii="宋体" w:hAnsi="宋体" w:cs="宋体"/>
          <w:sz w:val="28"/>
          <w:szCs w:val="28"/>
        </w:rPr>
      </w:pPr>
      <w:r>
        <w:rPr>
          <w:rFonts w:hint="eastAsia" w:ascii="宋体" w:hAnsi="宋体" w:cs="宋体"/>
          <w:sz w:val="28"/>
          <w:szCs w:val="28"/>
          <w:lang w:val="en-US" w:eastAsia="zh-CN"/>
        </w:rPr>
        <w:t xml:space="preserve">                                    </w:t>
      </w:r>
      <w:r>
        <w:rPr>
          <w:rFonts w:hint="eastAsia" w:ascii="宋体" w:hAnsi="宋体" w:cs="宋体"/>
          <w:sz w:val="28"/>
          <w:szCs w:val="28"/>
        </w:rPr>
        <w:t>202</w:t>
      </w:r>
      <w:r>
        <w:rPr>
          <w:rFonts w:hint="eastAsia" w:ascii="宋体" w:hAnsi="宋体" w:cs="宋体"/>
          <w:sz w:val="28"/>
          <w:szCs w:val="28"/>
          <w:lang w:val="en-US" w:eastAsia="zh-CN"/>
        </w:rPr>
        <w:t>5</w:t>
      </w:r>
      <w:r>
        <w:rPr>
          <w:rFonts w:hint="eastAsia" w:ascii="宋体" w:hAnsi="宋体" w:cs="宋体"/>
          <w:sz w:val="28"/>
          <w:szCs w:val="28"/>
        </w:rPr>
        <w:t>年</w:t>
      </w:r>
      <w:r>
        <w:rPr>
          <w:rFonts w:hint="eastAsia" w:ascii="宋体" w:hAnsi="宋体" w:cs="宋体"/>
          <w:sz w:val="28"/>
          <w:szCs w:val="28"/>
          <w:lang w:val="en-US" w:eastAsia="zh-CN"/>
        </w:rPr>
        <w:t>4</w:t>
      </w:r>
      <w:r>
        <w:rPr>
          <w:rFonts w:hint="eastAsia" w:ascii="宋体" w:hAnsi="宋体" w:cs="宋体"/>
          <w:sz w:val="28"/>
          <w:szCs w:val="28"/>
        </w:rPr>
        <w:t>月</w:t>
      </w:r>
      <w:r>
        <w:rPr>
          <w:rFonts w:hint="eastAsia" w:ascii="宋体" w:hAnsi="宋体" w:cs="宋体"/>
          <w:sz w:val="28"/>
          <w:szCs w:val="28"/>
          <w:lang w:val="en-US" w:eastAsia="zh-CN"/>
        </w:rPr>
        <w:t>15</w:t>
      </w:r>
      <w:r>
        <w:rPr>
          <w:rFonts w:hint="eastAsia" w:ascii="宋体" w:hAnsi="宋体" w:cs="宋体"/>
          <w:sz w:val="28"/>
          <w:szCs w:val="28"/>
        </w:rPr>
        <w:t xml:space="preserve">日                                                      </w:t>
      </w:r>
      <w:bookmarkEnd w:id="0"/>
    </w:p>
    <w:sectPr>
      <w:headerReference r:id="rId3" w:type="default"/>
      <w:pgSz w:w="11906" w:h="16838"/>
      <w:pgMar w:top="1091"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2000000000000000000"/>
    <w:charset w:val="86"/>
    <w:family w:val="script"/>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Utsaah">
    <w:panose1 w:val="020B0604020202020204"/>
    <w:charset w:val="00"/>
    <w:family w:val="swiss"/>
    <w:pitch w:val="default"/>
    <w:sig w:usb0="00008003" w:usb1="00000000" w:usb2="00000000" w:usb3="00000000" w:csb0="00000001" w:csb1="00000000"/>
  </w:font>
  <w:font w:name="Gulim">
    <w:panose1 w:val="020B0600000101010101"/>
    <w:charset w:val="81"/>
    <w:family w:val="auto"/>
    <w:pitch w:val="default"/>
    <w:sig w:usb0="B00002AF" w:usb1="69D77CFB" w:usb2="00000030" w:usb3="00000000" w:csb0="4008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B843A">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ljZGVhYzAyMmM4YzY2ZDVjOWYwM2FlZDM3MjdjZmYifQ=="/>
  </w:docVars>
  <w:rsids>
    <w:rsidRoot w:val="629401AC"/>
    <w:rsid w:val="000146A7"/>
    <w:rsid w:val="0009077A"/>
    <w:rsid w:val="00241969"/>
    <w:rsid w:val="0048303A"/>
    <w:rsid w:val="00672D93"/>
    <w:rsid w:val="006E2249"/>
    <w:rsid w:val="00BE1A85"/>
    <w:rsid w:val="00CB6E29"/>
    <w:rsid w:val="00E16358"/>
    <w:rsid w:val="00E560EB"/>
    <w:rsid w:val="00EB5265"/>
    <w:rsid w:val="13517FF7"/>
    <w:rsid w:val="19822298"/>
    <w:rsid w:val="19FF75A1"/>
    <w:rsid w:val="1AD407F6"/>
    <w:rsid w:val="1CD953B3"/>
    <w:rsid w:val="27E51B1C"/>
    <w:rsid w:val="2A5E1EAF"/>
    <w:rsid w:val="2D4F3A74"/>
    <w:rsid w:val="2FAF01CA"/>
    <w:rsid w:val="368154CF"/>
    <w:rsid w:val="36903019"/>
    <w:rsid w:val="3761265D"/>
    <w:rsid w:val="522459EB"/>
    <w:rsid w:val="5ADD2FA2"/>
    <w:rsid w:val="629401AC"/>
    <w:rsid w:val="67F144C4"/>
    <w:rsid w:val="691C697F"/>
    <w:rsid w:val="6B9B0735"/>
    <w:rsid w:val="745558E8"/>
    <w:rsid w:val="7AC522B7"/>
    <w:rsid w:val="7D6E6911"/>
    <w:rsid w:val="7E252386"/>
    <w:rsid w:val="7FEA59E3"/>
    <w:rsid w:val="DE57E340"/>
    <w:rsid w:val="EDEBC84A"/>
    <w:rsid w:val="EFD776AD"/>
    <w:rsid w:val="FAFF7128"/>
    <w:rsid w:val="FFFFE5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rFonts w:ascii="Times New Roman" w:hAnsi="Times New Roman"/>
      <w:szCs w:val="20"/>
    </w:rPr>
  </w:style>
  <w:style w:type="paragraph" w:styleId="3">
    <w:name w:val="annotation text"/>
    <w:basedOn w:val="1"/>
    <w:semiHidden/>
    <w:qFormat/>
    <w:uiPriority w:val="0"/>
    <w:pPr>
      <w:jc w:val="left"/>
    </w:pPr>
  </w:style>
  <w:style w:type="paragraph" w:styleId="4">
    <w:name w:val="Body Text Indent 2"/>
    <w:basedOn w:val="1"/>
    <w:qFormat/>
    <w:uiPriority w:val="0"/>
    <w:pPr>
      <w:snapToGrid w:val="0"/>
      <w:spacing w:line="400" w:lineRule="exact"/>
      <w:ind w:firstLine="480"/>
    </w:pPr>
    <w:rPr>
      <w:rFonts w:eastAsia="仿宋_GB2312"/>
      <w:sz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itle"/>
    <w:basedOn w:val="1"/>
    <w:next w:val="1"/>
    <w:qFormat/>
    <w:uiPriority w:val="0"/>
    <w:pPr>
      <w:spacing w:before="240" w:after="60"/>
      <w:jc w:val="center"/>
      <w:outlineLvl w:val="0"/>
    </w:pPr>
    <w:rPr>
      <w:rFonts w:ascii="Arial" w:hAnsi="Arial"/>
      <w:b/>
      <w:bCs/>
      <w:sz w:val="32"/>
      <w:szCs w:val="32"/>
    </w:rPr>
  </w:style>
  <w:style w:type="table" w:styleId="9">
    <w:name w:val="Table Grid"/>
    <w:basedOn w:val="8"/>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首行缩进"/>
    <w:basedOn w:val="1"/>
    <w:qFormat/>
    <w:uiPriority w:val="0"/>
    <w:pPr>
      <w:spacing w:line="360" w:lineRule="auto"/>
      <w:ind w:firstLine="480" w:firstLineChars="200"/>
    </w:pPr>
    <w:rPr>
      <w:rFonts w:ascii="宋体" w:hAnsi="宋体" w:cs="宋体"/>
      <w:kern w:val="0"/>
      <w:sz w:val="24"/>
    </w:rPr>
  </w:style>
  <w:style w:type="character" w:customStyle="1" w:styleId="12">
    <w:name w:val="NormalCharacter"/>
    <w:qFormat/>
    <w:uiPriority w:val="0"/>
  </w:style>
  <w:style w:type="paragraph" w:customStyle="1" w:styleId="13">
    <w:name w:val="Body Text First Indent 21"/>
    <w:basedOn w:val="1"/>
    <w:qFormat/>
    <w:uiPriority w:val="99"/>
    <w:pPr>
      <w:autoSpaceDE w:val="0"/>
      <w:autoSpaceDN w:val="0"/>
      <w:adjustRightInd w:val="0"/>
      <w:spacing w:after="120"/>
      <w:ind w:left="200" w:leftChars="200" w:firstLine="420"/>
    </w:pPr>
    <w:rPr>
      <w:rFonts w:ascii="宋体" w:cs="宋体"/>
      <w:sz w:val="24"/>
      <w:szCs w:val="21"/>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DoubleOX</Company>
  <Pages>5</Pages>
  <Words>1743</Words>
  <Characters>1955</Characters>
  <Lines>9</Lines>
  <Paragraphs>2</Paragraphs>
  <TotalTime>12</TotalTime>
  <ScaleCrop>false</ScaleCrop>
  <LinksUpToDate>false</LinksUpToDate>
  <CharactersWithSpaces>2171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2024-02-28T06:46:00Z</dcterms:created>
  <dc:creator>Administrator</dc:creator>
  <cp:lastModifiedBy>Olivia</cp:lastModifiedBy>
  <dcterms:modified xsi:type="dcterms:W3CDTF">2025-04-15T07:15:11Z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EE016FACF006487CB1C3BB408A23FF9B_13</vt:lpwstr>
  </property>
  <property fmtid="{D5CDD505-2E9C-101B-9397-08002B2CF9AE}" pid="4" name="KSOTemplateDocerSaveRecord">
    <vt:lpwstr>eyJoZGlkIjoiYjAxMTUzNDgzNzhiZjgxMzk1ZmNhODgzOTYyYjljMzUiLCJ1c2VySWQiOiI4MjUxNzI5NTYifQ==</vt:lpwstr>
  </property>
</Properties>
</file>