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4D661">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0191280D">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38BA21E9">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57B3C169">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2"/>
          <w:szCs w:val="52"/>
          <w:highlight w:val="none"/>
        </w:rPr>
      </w:pPr>
      <w:r>
        <w:rPr>
          <w:rFonts w:hint="eastAsia" w:asciiTheme="minorEastAsia" w:hAnsiTheme="minorEastAsia" w:eastAsiaTheme="minorEastAsia" w:cstheme="minorEastAsia"/>
          <w:highlight w:val="none"/>
        </w:rPr>
        <w:drawing>
          <wp:inline distT="0" distB="0" distL="0" distR="0">
            <wp:extent cx="1086485" cy="938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14:paraId="260FAF50">
      <w:pPr>
        <w:pStyle w:val="22"/>
        <w:rPr>
          <w:rFonts w:hint="eastAsia" w:asciiTheme="minorEastAsia" w:hAnsiTheme="minorEastAsia" w:eastAsiaTheme="minorEastAsia" w:cstheme="minorEastAsia"/>
          <w:highlight w:val="none"/>
        </w:rPr>
      </w:pPr>
    </w:p>
    <w:p w14:paraId="42C5658E">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6"/>
          <w:szCs w:val="56"/>
          <w:highlight w:val="none"/>
        </w:rPr>
      </w:pPr>
      <w:r>
        <w:rPr>
          <w:rFonts w:hint="eastAsia" w:asciiTheme="minorEastAsia" w:hAnsiTheme="minorEastAsia" w:eastAsiaTheme="minorEastAsia" w:cstheme="minorEastAsia"/>
          <w:b/>
          <w:kern w:val="0"/>
          <w:sz w:val="56"/>
          <w:szCs w:val="56"/>
          <w:highlight w:val="none"/>
        </w:rPr>
        <w:t>公开招标文件</w:t>
      </w:r>
    </w:p>
    <w:p w14:paraId="29D5DC18">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（线上电子招投标） </w:t>
      </w:r>
    </w:p>
    <w:p w14:paraId="0C69409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CDF995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项目编号：WLCG-2024-GK034号</w:t>
      </w:r>
    </w:p>
    <w:p w14:paraId="690AE9E2">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24"/>
          <w:highlight w:val="none"/>
        </w:rPr>
      </w:pPr>
    </w:p>
    <w:p w14:paraId="62BB7B49">
      <w:pPr>
        <w:autoSpaceDE w:val="0"/>
        <w:autoSpaceDN w:val="0"/>
        <w:adjustRightInd w:val="0"/>
        <w:spacing w:after="0" w:line="312" w:lineRule="auto"/>
        <w:ind w:firstLine="1797" w:firstLineChars="642"/>
        <w:jc w:val="left"/>
        <w:rPr>
          <w:rFonts w:hint="eastAsia" w:asciiTheme="minorEastAsia" w:hAnsiTheme="minorEastAsia" w:eastAsiaTheme="minorEastAsia" w:cstheme="minorEastAsia"/>
          <w:kern w:val="0"/>
          <w:sz w:val="28"/>
          <w:highlight w:val="none"/>
        </w:rPr>
      </w:pPr>
    </w:p>
    <w:p w14:paraId="4D7586D8">
      <w:pPr>
        <w:autoSpaceDE w:val="0"/>
        <w:autoSpaceDN w:val="0"/>
        <w:adjustRightInd w:val="0"/>
        <w:spacing w:after="0" w:line="312" w:lineRule="auto"/>
        <w:ind w:left="1680" w:leftChars="800"/>
        <w:jc w:val="left"/>
        <w:rPr>
          <w:rFonts w:hint="eastAsia" w:asciiTheme="minorEastAsia" w:hAnsiTheme="minorEastAsia" w:eastAsiaTheme="minorEastAsia" w:cstheme="minorEastAsia"/>
          <w:kern w:val="0"/>
          <w:sz w:val="28"/>
          <w:highlight w:val="none"/>
        </w:rPr>
      </w:pPr>
      <w:r>
        <w:rPr>
          <w:rFonts w:hint="eastAsia" w:asciiTheme="minorEastAsia" w:hAnsiTheme="minorEastAsia" w:eastAsiaTheme="minorEastAsia" w:cstheme="minorEastAsia"/>
          <w:kern w:val="0"/>
          <w:sz w:val="28"/>
          <w:highlight w:val="none"/>
        </w:rPr>
        <w:t>采购项目：</w:t>
      </w:r>
      <w:bookmarkStart w:id="0" w:name="_Hlk19027885"/>
      <w:r>
        <w:rPr>
          <w:rFonts w:hint="eastAsia" w:asciiTheme="minorEastAsia" w:hAnsiTheme="minorEastAsia" w:eastAsiaTheme="minorEastAsia" w:cstheme="minorEastAsia"/>
          <w:kern w:val="0"/>
          <w:sz w:val="28"/>
          <w:highlight w:val="none"/>
        </w:rPr>
        <w:t>台州市公安局椒江分局办案区采分设备采购</w:t>
      </w:r>
    </w:p>
    <w:p w14:paraId="30C2F8D1">
      <w:pPr>
        <w:autoSpaceDE w:val="0"/>
        <w:autoSpaceDN w:val="0"/>
        <w:adjustRightInd w:val="0"/>
        <w:spacing w:after="0" w:line="312" w:lineRule="auto"/>
        <w:ind w:left="1680" w:leftChars="800"/>
        <w:rPr>
          <w:rFonts w:hint="eastAsia" w:asciiTheme="minorEastAsia" w:hAnsiTheme="minorEastAsia" w:eastAsiaTheme="minorEastAsia" w:cstheme="minorEastAsia"/>
          <w:kern w:val="0"/>
          <w:sz w:val="28"/>
          <w:highlight w:val="none"/>
        </w:rPr>
      </w:pPr>
      <w:r>
        <w:rPr>
          <w:rFonts w:hint="eastAsia" w:asciiTheme="minorEastAsia" w:hAnsiTheme="minorEastAsia" w:eastAsiaTheme="minorEastAsia" w:cstheme="minorEastAsia"/>
          <w:kern w:val="0"/>
          <w:sz w:val="28"/>
          <w:highlight w:val="none"/>
        </w:rPr>
        <w:t>采 购 人： 台州市公安局椒江分局</w:t>
      </w:r>
      <w:bookmarkEnd w:id="0"/>
    </w:p>
    <w:p w14:paraId="42D0366D">
      <w:pPr>
        <w:autoSpaceDE w:val="0"/>
        <w:autoSpaceDN w:val="0"/>
        <w:adjustRightInd w:val="0"/>
        <w:spacing w:after="0" w:line="312" w:lineRule="auto"/>
        <w:rPr>
          <w:rFonts w:hint="eastAsia" w:asciiTheme="minorEastAsia" w:hAnsiTheme="minorEastAsia" w:eastAsiaTheme="minorEastAsia" w:cstheme="minorEastAsia"/>
          <w:kern w:val="0"/>
          <w:sz w:val="28"/>
          <w:highlight w:val="none"/>
        </w:rPr>
      </w:pPr>
    </w:p>
    <w:p w14:paraId="48C4DEE5">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32"/>
          <w:highlight w:val="none"/>
        </w:rPr>
      </w:pPr>
    </w:p>
    <w:p w14:paraId="43A7D53A">
      <w:pPr>
        <w:pStyle w:val="22"/>
        <w:rPr>
          <w:rFonts w:hint="eastAsia" w:asciiTheme="minorEastAsia" w:hAnsiTheme="minorEastAsia" w:eastAsiaTheme="minorEastAsia" w:cstheme="minorEastAsia"/>
          <w:kern w:val="0"/>
          <w:sz w:val="32"/>
          <w:highlight w:val="none"/>
        </w:rPr>
      </w:pPr>
    </w:p>
    <w:p w14:paraId="18ABEA57">
      <w:pPr>
        <w:pStyle w:val="22"/>
        <w:rPr>
          <w:rFonts w:hint="eastAsia" w:asciiTheme="minorEastAsia" w:hAnsiTheme="minorEastAsia" w:eastAsiaTheme="minorEastAsia" w:cstheme="minorEastAsia"/>
          <w:kern w:val="0"/>
          <w:sz w:val="32"/>
          <w:highlight w:val="none"/>
        </w:rPr>
      </w:pPr>
    </w:p>
    <w:p w14:paraId="1649BE09">
      <w:pPr>
        <w:pStyle w:val="22"/>
        <w:rPr>
          <w:rFonts w:hint="eastAsia" w:asciiTheme="minorEastAsia" w:hAnsiTheme="minorEastAsia" w:eastAsiaTheme="minorEastAsia" w:cstheme="minorEastAsia"/>
          <w:kern w:val="0"/>
          <w:sz w:val="32"/>
          <w:highlight w:val="none"/>
        </w:rPr>
      </w:pPr>
    </w:p>
    <w:p w14:paraId="260C1C1D">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采购代理机构：</w:t>
      </w:r>
      <w:r>
        <w:rPr>
          <w:rFonts w:hint="eastAsia" w:asciiTheme="minorEastAsia" w:hAnsiTheme="minorEastAsia" w:eastAsiaTheme="minorEastAsia" w:cstheme="minorEastAsia"/>
          <w:kern w:val="0"/>
          <w:sz w:val="28"/>
          <w:szCs w:val="28"/>
          <w:highlight w:val="none"/>
        </w:rPr>
        <w:t>台州蔚蓝投资咨询有限公司</w:t>
      </w:r>
    </w:p>
    <w:p w14:paraId="399F4AE5">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2024年</w:t>
      </w:r>
      <w:r>
        <w:rPr>
          <w:rFonts w:hint="eastAsia" w:asciiTheme="minorEastAsia" w:hAnsiTheme="minorEastAsia" w:eastAsiaTheme="minorEastAsia" w:cstheme="minorEastAsia"/>
          <w:kern w:val="0"/>
          <w:sz w:val="28"/>
          <w:highlight w:val="none"/>
          <w:lang w:val="en-US" w:eastAsia="zh-CN"/>
        </w:rPr>
        <w:t>10</w:t>
      </w: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月</w:t>
      </w:r>
    </w:p>
    <w:p w14:paraId="2F08FC2C">
      <w:pPr>
        <w:spacing w:after="0" w:line="312" w:lineRule="auto"/>
        <w:rPr>
          <w:rFonts w:hint="eastAsia" w:asciiTheme="minorEastAsia" w:hAnsiTheme="minorEastAsia" w:eastAsiaTheme="minorEastAsia" w:cstheme="minorEastAsia"/>
          <w:b/>
          <w:bCs/>
          <w:sz w:val="36"/>
          <w:szCs w:val="36"/>
          <w:highlight w:val="none"/>
        </w:rPr>
      </w:pPr>
    </w:p>
    <w:p w14:paraId="06BEFAAE">
      <w:pPr>
        <w:spacing w:after="0" w:line="312" w:lineRule="auto"/>
        <w:jc w:val="center"/>
        <w:rPr>
          <w:rFonts w:hint="eastAsia" w:asciiTheme="minorEastAsia" w:hAnsiTheme="minorEastAsia" w:eastAsiaTheme="minorEastAsia" w:cstheme="minorEastAsia"/>
          <w:b/>
          <w:bCs/>
          <w:sz w:val="36"/>
          <w:szCs w:val="36"/>
          <w:highlight w:val="none"/>
        </w:rPr>
      </w:pPr>
    </w:p>
    <w:p w14:paraId="67A39EC1">
      <w:pPr>
        <w:spacing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    录</w:t>
      </w:r>
    </w:p>
    <w:p w14:paraId="0B0E3F2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hint="eastAsia" w:asciiTheme="minorEastAsia" w:hAnsiTheme="minorEastAsia" w:eastAsiaTheme="minorEastAsia" w:cstheme="minorEastAsia"/>
          <w:b/>
          <w:sz w:val="36"/>
          <w:highlight w:val="none"/>
        </w:rPr>
      </w:pPr>
    </w:p>
    <w:p w14:paraId="3C98E035">
      <w:pPr>
        <w:spacing w:after="0" w:line="312" w:lineRule="auto"/>
        <w:rPr>
          <w:rFonts w:hint="eastAsia" w:asciiTheme="minorEastAsia" w:hAnsiTheme="minorEastAsia" w:eastAsiaTheme="minorEastAsia" w:cstheme="minorEastAsia"/>
          <w:sz w:val="28"/>
          <w:szCs w:val="28"/>
          <w:highlight w:val="none"/>
        </w:rPr>
      </w:pPr>
    </w:p>
    <w:p w14:paraId="4FDE177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公开招标采购公告</w:t>
      </w:r>
    </w:p>
    <w:p w14:paraId="1636EB47">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公开招标需求</w:t>
      </w:r>
    </w:p>
    <w:p w14:paraId="53ECBB5D">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投标人须知</w:t>
      </w:r>
    </w:p>
    <w:p w14:paraId="3BDCBDF2">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评标办法及评分标准</w:t>
      </w:r>
    </w:p>
    <w:p w14:paraId="1E6FBA9E">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政府采购合同主要条款指引</w:t>
      </w:r>
    </w:p>
    <w:p w14:paraId="3F5700BC">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投标文件格式附件</w:t>
      </w:r>
    </w:p>
    <w:p w14:paraId="07C41520">
      <w:pPr>
        <w:spacing w:after="0" w:line="312" w:lineRule="auto"/>
        <w:rPr>
          <w:rFonts w:hint="eastAsia" w:asciiTheme="minorEastAsia" w:hAnsiTheme="minorEastAsia" w:eastAsiaTheme="minorEastAsia" w:cstheme="minorEastAsia"/>
          <w:highlight w:val="none"/>
        </w:rPr>
      </w:pPr>
    </w:p>
    <w:p w14:paraId="086B2486">
      <w:pPr>
        <w:spacing w:after="0" w:line="312" w:lineRule="auto"/>
        <w:rPr>
          <w:rFonts w:hint="eastAsia" w:asciiTheme="minorEastAsia" w:hAnsiTheme="minorEastAsia" w:eastAsiaTheme="minorEastAsia" w:cstheme="minorEastAsia"/>
          <w:highlight w:val="none"/>
        </w:rPr>
      </w:pPr>
    </w:p>
    <w:p w14:paraId="1164EF7D">
      <w:pPr>
        <w:spacing w:after="0" w:line="312" w:lineRule="auto"/>
        <w:rPr>
          <w:rFonts w:hint="eastAsia" w:asciiTheme="minorEastAsia" w:hAnsiTheme="minorEastAsia" w:eastAsiaTheme="minorEastAsia" w:cstheme="minorEastAsia"/>
          <w:highlight w:val="none"/>
        </w:rPr>
      </w:pPr>
    </w:p>
    <w:p w14:paraId="68445AD6">
      <w:pPr>
        <w:spacing w:after="0" w:line="312" w:lineRule="auto"/>
        <w:rPr>
          <w:rFonts w:hint="eastAsia" w:asciiTheme="minorEastAsia" w:hAnsiTheme="minorEastAsia" w:eastAsiaTheme="minorEastAsia" w:cstheme="minorEastAsia"/>
          <w:highlight w:val="none"/>
        </w:rPr>
      </w:pPr>
    </w:p>
    <w:p w14:paraId="215DA813">
      <w:pPr>
        <w:spacing w:after="0" w:line="312" w:lineRule="auto"/>
        <w:rPr>
          <w:rFonts w:hint="eastAsia" w:asciiTheme="minorEastAsia" w:hAnsiTheme="minorEastAsia" w:eastAsiaTheme="minorEastAsia" w:cstheme="minorEastAsia"/>
          <w:highlight w:val="none"/>
        </w:rPr>
      </w:pPr>
    </w:p>
    <w:p w14:paraId="21059CB3">
      <w:pPr>
        <w:spacing w:after="0" w:line="312" w:lineRule="auto"/>
        <w:rPr>
          <w:rFonts w:hint="eastAsia" w:asciiTheme="minorEastAsia" w:hAnsiTheme="minorEastAsia" w:eastAsiaTheme="minorEastAsia" w:cstheme="minorEastAsia"/>
          <w:highlight w:val="none"/>
        </w:rPr>
      </w:pPr>
    </w:p>
    <w:p w14:paraId="6F59308D">
      <w:pPr>
        <w:spacing w:after="0" w:line="312" w:lineRule="auto"/>
        <w:rPr>
          <w:rFonts w:hint="eastAsia" w:asciiTheme="minorEastAsia" w:hAnsiTheme="minorEastAsia" w:eastAsiaTheme="minorEastAsia" w:cstheme="minorEastAsia"/>
          <w:highlight w:val="none"/>
        </w:rPr>
      </w:pPr>
    </w:p>
    <w:p w14:paraId="4BA893E6">
      <w:pPr>
        <w:spacing w:after="0" w:line="312" w:lineRule="auto"/>
        <w:rPr>
          <w:rFonts w:hint="eastAsia" w:asciiTheme="minorEastAsia" w:hAnsiTheme="minorEastAsia" w:eastAsiaTheme="minorEastAsia" w:cstheme="minorEastAsia"/>
          <w:highlight w:val="none"/>
        </w:rPr>
      </w:pPr>
    </w:p>
    <w:p w14:paraId="1D3EB001">
      <w:pPr>
        <w:spacing w:after="0" w:line="312" w:lineRule="auto"/>
        <w:rPr>
          <w:rFonts w:hint="eastAsia" w:asciiTheme="minorEastAsia" w:hAnsiTheme="minorEastAsia" w:eastAsiaTheme="minorEastAsia" w:cstheme="minorEastAsia"/>
          <w:highlight w:val="none"/>
        </w:rPr>
      </w:pPr>
    </w:p>
    <w:p w14:paraId="08F2DADA">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67C2916B">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2E51A6DD">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D7B42D5">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CBF90FD">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6C2A08CF">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23A0D14E">
      <w:pPr>
        <w:tabs>
          <w:tab w:val="left" w:pos="180"/>
          <w:tab w:val="left" w:pos="360"/>
          <w:tab w:val="left" w:pos="540"/>
          <w:tab w:val="left" w:pos="8280"/>
        </w:tabs>
        <w:autoSpaceDE w:val="0"/>
        <w:autoSpaceDN w:val="0"/>
        <w:adjustRightInd w:val="0"/>
        <w:spacing w:after="0" w:line="360" w:lineRule="auto"/>
        <w:ind w:right="23"/>
        <w:jc w:val="center"/>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b/>
          <w:kern w:val="0"/>
          <w:sz w:val="36"/>
          <w:szCs w:val="36"/>
          <w:highlight w:val="none"/>
        </w:rPr>
        <w:t>第一章  公开</w:t>
      </w:r>
      <w:r>
        <w:rPr>
          <w:rFonts w:hint="eastAsia" w:asciiTheme="majorEastAsia" w:hAnsiTheme="majorEastAsia" w:eastAsiaTheme="majorEastAsia" w:cstheme="majorEastAsia"/>
          <w:b/>
          <w:sz w:val="36"/>
          <w:szCs w:val="36"/>
          <w:highlight w:val="none"/>
        </w:rPr>
        <w:t>招标采购公告</w:t>
      </w:r>
    </w:p>
    <w:p w14:paraId="6B8A6A96">
      <w:pPr>
        <w:spacing w:after="0" w:line="360" w:lineRule="auto"/>
        <w:rPr>
          <w:rFonts w:hint="eastAsia" w:asciiTheme="minorEastAsia" w:hAnsiTheme="minorEastAsia" w:eastAsiaTheme="minorEastAsia" w:cstheme="minorEastAsia"/>
          <w:kern w:val="0"/>
          <w:sz w:val="24"/>
          <w:highlight w:val="none"/>
        </w:rPr>
      </w:pPr>
    </w:p>
    <w:p w14:paraId="3827E0BF">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14:paraId="6CE5DAB9">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台州市公安局椒江分局办案区采分设备采购</w:t>
      </w:r>
      <w:r>
        <w:rPr>
          <w:rFonts w:hint="eastAsia" w:asciiTheme="minorEastAsia" w:hAnsiTheme="minorEastAsia" w:eastAsiaTheme="minorEastAsia" w:cstheme="minorEastAsia"/>
          <w:sz w:val="24"/>
          <w:highlight w:val="none"/>
        </w:rPr>
        <w:t>的潜在投标人应在</w:t>
      </w:r>
      <w:r>
        <w:rPr>
          <w:rFonts w:hint="eastAsia" w:asciiTheme="minorEastAsia" w:hAnsiTheme="minorEastAsia" w:eastAsiaTheme="minorEastAsia" w:cstheme="minorEastAsia"/>
          <w:sz w:val="24"/>
          <w:highlight w:val="none"/>
          <w:u w:val="single"/>
        </w:rPr>
        <w:t xml:space="preserve"> 浙江政府采购网（http://zfcg.czt.zj.gov.cn）  </w:t>
      </w:r>
      <w:r>
        <w:rPr>
          <w:rFonts w:hint="eastAsia" w:asciiTheme="minorEastAsia" w:hAnsiTheme="minorEastAsia" w:eastAsiaTheme="minorEastAsia" w:cstheme="minorEastAsia"/>
          <w:sz w:val="24"/>
          <w:highlight w:val="none"/>
        </w:rPr>
        <w:t>获取（下载）招标文件，并于</w:t>
      </w:r>
      <w:r>
        <w:rPr>
          <w:rFonts w:hint="eastAsia" w:asciiTheme="minorEastAsia" w:hAnsiTheme="minorEastAsia" w:eastAsiaTheme="minorEastAsia" w:cstheme="minorEastAsia"/>
          <w:sz w:val="24"/>
          <w:highlight w:val="none"/>
          <w:u w:val="single"/>
        </w:rPr>
        <w:t xml:space="preserve"> 2024</w:t>
      </w:r>
      <w:r>
        <w:rPr>
          <w:rFonts w:hint="eastAsia" w:asciiTheme="minorEastAsia" w:hAnsiTheme="minorEastAsia" w:eastAsiaTheme="minorEastAsia" w:cstheme="minorEastAsia"/>
          <w:bCs/>
          <w:sz w:val="24"/>
          <w:highlight w:val="none"/>
          <w:u w:val="single"/>
        </w:rPr>
        <w:t>年</w:t>
      </w:r>
      <w:r>
        <w:rPr>
          <w:rFonts w:hint="eastAsia" w:asciiTheme="minorEastAsia" w:hAnsiTheme="minorEastAsia" w:eastAsiaTheme="minorEastAsia" w:cstheme="minorEastAsia"/>
          <w:bCs/>
          <w:sz w:val="24"/>
          <w:highlight w:val="none"/>
          <w:u w:val="single"/>
          <w:lang w:val="en-US" w:eastAsia="zh-CN"/>
        </w:rPr>
        <w:t>10</w:t>
      </w:r>
      <w:r>
        <w:rPr>
          <w:rFonts w:hint="eastAsia" w:asciiTheme="minorEastAsia" w:hAnsiTheme="minorEastAsia" w:eastAsiaTheme="minorEastAsia" w:cstheme="minorEastAsia"/>
          <w:bCs/>
          <w:sz w:val="24"/>
          <w:highlight w:val="none"/>
          <w:u w:val="single"/>
          <w:lang w:eastAsia="zh-CN"/>
        </w:rPr>
        <w:t>月</w:t>
      </w:r>
      <w:r>
        <w:rPr>
          <w:rFonts w:hint="eastAsia" w:asciiTheme="minorEastAsia" w:hAnsiTheme="minorEastAsia" w:eastAsiaTheme="minorEastAsia" w:cstheme="minorEastAsia"/>
          <w:bCs/>
          <w:sz w:val="24"/>
          <w:highlight w:val="none"/>
          <w:u w:val="single"/>
          <w:lang w:val="en-US" w:eastAsia="zh-CN"/>
        </w:rPr>
        <w:t>31</w:t>
      </w:r>
      <w:r>
        <w:rPr>
          <w:rFonts w:hint="eastAsia" w:asciiTheme="minorEastAsia" w:hAnsiTheme="minorEastAsia" w:eastAsiaTheme="minorEastAsia" w:cstheme="minorEastAsia"/>
          <w:bCs/>
          <w:sz w:val="24"/>
          <w:highlight w:val="none"/>
          <w:u w:val="single"/>
        </w:rPr>
        <w:t>日9点00分（</w:t>
      </w:r>
      <w:r>
        <w:rPr>
          <w:rFonts w:hint="eastAsia" w:asciiTheme="minorEastAsia" w:hAnsiTheme="minorEastAsia" w:eastAsiaTheme="minorEastAsia" w:cstheme="minorEastAsia"/>
          <w:bCs/>
          <w:sz w:val="24"/>
          <w:highlight w:val="none"/>
        </w:rPr>
        <w:t>北京时间）前递交（上传）投标文件</w:t>
      </w:r>
      <w:r>
        <w:rPr>
          <w:rFonts w:hint="eastAsia" w:asciiTheme="minorEastAsia" w:hAnsiTheme="minorEastAsia" w:eastAsiaTheme="minorEastAsia" w:cstheme="minorEastAsia"/>
          <w:sz w:val="24"/>
          <w:highlight w:val="none"/>
        </w:rPr>
        <w:t>。</w:t>
      </w:r>
    </w:p>
    <w:p w14:paraId="4904D528">
      <w:pPr>
        <w:pStyle w:val="3"/>
        <w:spacing w:before="0" w:after="0" w:line="360" w:lineRule="auto"/>
        <w:rPr>
          <w:rFonts w:hint="eastAsia" w:asciiTheme="minorEastAsia" w:hAnsiTheme="minorEastAsia" w:eastAsiaTheme="minorEastAsia" w:cstheme="minorEastAsia"/>
          <w:bCs w:val="0"/>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Theme="minorEastAsia" w:hAnsiTheme="minorEastAsia" w:eastAsiaTheme="minorEastAsia" w:cstheme="minorEastAsia"/>
          <w:bCs w:val="0"/>
          <w:sz w:val="24"/>
          <w:szCs w:val="24"/>
          <w:highlight w:val="none"/>
        </w:rPr>
        <w:t>一、项目基本情况</w:t>
      </w:r>
      <w:bookmarkEnd w:id="1"/>
      <w:bookmarkEnd w:id="2"/>
      <w:bookmarkEnd w:id="3"/>
      <w:bookmarkEnd w:id="4"/>
    </w:p>
    <w:p w14:paraId="5972336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项目编号：WLCG-2024-GK034号</w:t>
      </w:r>
    </w:p>
    <w:p w14:paraId="0D29CD88">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bookmarkEnd w:id="5"/>
      <w:r>
        <w:rPr>
          <w:rFonts w:hint="eastAsia" w:asciiTheme="minorEastAsia" w:hAnsiTheme="minorEastAsia" w:eastAsiaTheme="minorEastAsia" w:cstheme="minorEastAsia"/>
          <w:sz w:val="24"/>
          <w:highlight w:val="none"/>
        </w:rPr>
        <w:t>台州市公安局椒江分局办案区采分设备采购</w:t>
      </w:r>
    </w:p>
    <w:p w14:paraId="17BEA437">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07AE823D">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4CC710BC">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686E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BD9ED71">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 w:name="_Toc28359080"/>
            <w:bookmarkStart w:id="7" w:name="_Toc35393622"/>
            <w:bookmarkStart w:id="8" w:name="_Toc35393791"/>
            <w:bookmarkStart w:id="9" w:name="_Toc28359003"/>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4276C62B">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619D2959">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6548315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1D99DA0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324E2F5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7C79D1B2">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426A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Merge w:val="restart"/>
            <w:vAlign w:val="center"/>
          </w:tcPr>
          <w:p w14:paraId="76BE23A2">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7769F37C">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台州市公安局椒江分局办案区采分设备采购</w:t>
            </w:r>
          </w:p>
        </w:tc>
        <w:tc>
          <w:tcPr>
            <w:tcW w:w="1800" w:type="dxa"/>
            <w:vAlign w:val="center"/>
          </w:tcPr>
          <w:p w14:paraId="36AEE32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6E4CC91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12CBA8F0">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2A1CC58C">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2CD354D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r w14:paraId="117B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Merge w:val="continue"/>
            <w:vAlign w:val="center"/>
          </w:tcPr>
          <w:p w14:paraId="0D8E7C0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350" w:type="dxa"/>
            <w:vAlign w:val="center"/>
          </w:tcPr>
          <w:p w14:paraId="2E38927A">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新型涉网综合研判系统</w:t>
            </w:r>
          </w:p>
        </w:tc>
        <w:tc>
          <w:tcPr>
            <w:tcW w:w="1800" w:type="dxa"/>
            <w:vAlign w:val="center"/>
          </w:tcPr>
          <w:p w14:paraId="4B5810C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涉网案件分析</w:t>
            </w:r>
          </w:p>
        </w:tc>
        <w:tc>
          <w:tcPr>
            <w:tcW w:w="1112" w:type="dxa"/>
            <w:vAlign w:val="center"/>
          </w:tcPr>
          <w:p w14:paraId="0C89C1C6">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971" w:type="dxa"/>
            <w:vAlign w:val="center"/>
          </w:tcPr>
          <w:p w14:paraId="1BDB83FA">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c>
          <w:tcPr>
            <w:tcW w:w="1482" w:type="dxa"/>
            <w:vAlign w:val="center"/>
          </w:tcPr>
          <w:p w14:paraId="4F62C664">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1年</w:t>
            </w:r>
          </w:p>
        </w:tc>
        <w:tc>
          <w:tcPr>
            <w:tcW w:w="1354" w:type="dxa"/>
            <w:vAlign w:val="center"/>
          </w:tcPr>
          <w:p w14:paraId="1B61C97D">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4C07AFDF">
      <w:pPr>
        <w:widowControl/>
        <w:spacing w:after="0" w:line="360" w:lineRule="auto"/>
        <w:jc w:val="left"/>
        <w:rPr>
          <w:rFonts w:hint="eastAsia" w:asciiTheme="minorEastAsia" w:hAnsiTheme="minorEastAsia" w:eastAsiaTheme="minorEastAsia" w:cstheme="minorEastAsia"/>
          <w:sz w:val="24"/>
          <w:highlight w:val="none"/>
        </w:rPr>
      </w:pPr>
    </w:p>
    <w:p w14:paraId="5DF2E6D6">
      <w:pPr>
        <w:pStyle w:val="3"/>
        <w:spacing w:before="0" w:after="0" w:line="360" w:lineRule="auto"/>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二、申请人的资格要求：</w:t>
      </w:r>
      <w:bookmarkEnd w:id="6"/>
      <w:bookmarkEnd w:id="7"/>
      <w:bookmarkEnd w:id="8"/>
      <w:bookmarkEnd w:id="9"/>
    </w:p>
    <w:p w14:paraId="4A8E7E0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5784B32B">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2.未被“信用中国”（www.creditchina.gov.cn)、中国政府采购网（www.ccgp.gov.cn）列入失信被执行人、重大税收违法案件当事人名单、政府采购严重违法失信行为记录名单。</w:t>
      </w:r>
    </w:p>
    <w:p w14:paraId="18DA6B6A">
      <w:pPr>
        <w:spacing w:after="0" w:line="360" w:lineRule="auto"/>
        <w:ind w:firstLine="480" w:firstLineChars="200"/>
        <w:rPr>
          <w:rFonts w:hint="eastAsia" w:asciiTheme="minorEastAsia" w:hAnsiTheme="minorEastAsia" w:eastAsiaTheme="minorEastAsia" w:cstheme="minorEastAsia"/>
          <w:color w:val="FF0000"/>
          <w:sz w:val="24"/>
          <w:highlight w:val="none"/>
        </w:rPr>
      </w:pPr>
      <w:bookmarkStart w:id="10" w:name="_Toc28359081"/>
      <w:bookmarkStart w:id="11" w:name="_Toc28359004"/>
      <w:r>
        <w:rPr>
          <w:rFonts w:hint="eastAsia" w:asciiTheme="minorEastAsia" w:hAnsiTheme="minorEastAsia" w:eastAsiaTheme="minorEastAsia" w:cstheme="minorEastAsia"/>
          <w:sz w:val="24"/>
          <w:highlight w:val="none"/>
        </w:rPr>
        <w:t>3.落实政府采购政策需满足的资格要求：</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本项目专门面向中小企业采购，在本次政府采购活动中，供应商所提供的货物、服务符合《政府采购促进中小企业发展管理办法》（财库【2020】46号）第四条（三）款情形的，享受该办法规定对中小企业的扶持政策。残疾人福利性单位和监狱企业视同小型、微型企业。</w:t>
      </w:r>
    </w:p>
    <w:p w14:paraId="0E577F7A">
      <w:pPr>
        <w:spacing w:after="0" w:line="360" w:lineRule="auto"/>
        <w:ind w:firstLine="480" w:firstLineChars="200"/>
        <w:rPr>
          <w:rFonts w:hint="eastAsia" w:asciiTheme="minorEastAsia" w:hAnsiTheme="minorEastAsia" w:eastAsiaTheme="minorEastAsia" w:cstheme="minorEastAsia"/>
          <w:i/>
          <w:iCs/>
          <w:sz w:val="24"/>
          <w:highlight w:val="none"/>
          <w:u w:val="single"/>
        </w:rPr>
      </w:pPr>
      <w:r>
        <w:rPr>
          <w:rFonts w:hint="eastAsia" w:asciiTheme="minorEastAsia" w:hAnsiTheme="minorEastAsia" w:eastAsiaTheme="minorEastAsia" w:cstheme="minorEastAsia"/>
          <w:sz w:val="24"/>
          <w:highlight w:val="none"/>
        </w:rPr>
        <w:t>4.本项目的特定资格要求：</w:t>
      </w:r>
      <w:r>
        <w:rPr>
          <w:rFonts w:hint="eastAsia" w:asciiTheme="minorEastAsia" w:hAnsiTheme="minorEastAsia" w:eastAsiaTheme="minorEastAsia" w:cstheme="minorEastAsia"/>
          <w:sz w:val="24"/>
          <w:highlight w:val="none"/>
          <w:u w:val="single"/>
        </w:rPr>
        <w:t>（1）本项目不接受联合体投标；</w:t>
      </w:r>
    </w:p>
    <w:p w14:paraId="4DC2271D">
      <w:pPr>
        <w:pStyle w:val="3"/>
        <w:spacing w:before="0" w:after="0" w:line="360" w:lineRule="auto"/>
        <w:rPr>
          <w:rFonts w:hint="eastAsia" w:asciiTheme="minorEastAsia" w:hAnsiTheme="minorEastAsia" w:eastAsiaTheme="minorEastAsia" w:cstheme="minorEastAsia"/>
          <w:bCs w:val="0"/>
          <w:sz w:val="24"/>
          <w:szCs w:val="24"/>
          <w:highlight w:val="none"/>
          <w:lang w:val="en-US" w:eastAsia="zh-CN"/>
        </w:rPr>
      </w:pPr>
      <w:bookmarkStart w:id="12" w:name="_Toc35393792"/>
      <w:bookmarkStart w:id="13" w:name="_Toc35393623"/>
      <w:r>
        <w:rPr>
          <w:rFonts w:hint="eastAsia" w:asciiTheme="minorEastAsia" w:hAnsiTheme="minorEastAsia" w:eastAsiaTheme="minorEastAsia" w:cstheme="minorEastAsia"/>
          <w:bCs w:val="0"/>
          <w:sz w:val="24"/>
          <w:szCs w:val="24"/>
          <w:highlight w:val="none"/>
        </w:rPr>
        <w:t>三、获取招标文件</w:t>
      </w:r>
      <w:bookmarkEnd w:id="10"/>
      <w:bookmarkEnd w:id="11"/>
      <w:bookmarkEnd w:id="12"/>
      <w:bookmarkEnd w:id="13"/>
    </w:p>
    <w:p w14:paraId="2C635B6D">
      <w:pPr>
        <w:spacing w:after="0" w:line="360" w:lineRule="auto"/>
        <w:ind w:firstLine="540"/>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rPr>
        <w:t xml:space="preserve">公告发出 </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2024年</w:t>
      </w:r>
      <w:r>
        <w:rPr>
          <w:rFonts w:hint="eastAsia" w:asciiTheme="minorEastAsia" w:hAnsiTheme="minorEastAsia" w:eastAsiaTheme="minorEastAsia" w:cstheme="minorEastAsia"/>
          <w:sz w:val="24"/>
          <w:highlight w:val="none"/>
          <w:u w:val="single"/>
          <w:lang w:val="en-US" w:eastAsia="zh-CN"/>
        </w:rPr>
        <w:t>10</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31</w:t>
      </w:r>
      <w:r>
        <w:rPr>
          <w:rFonts w:hint="eastAsia" w:asciiTheme="minorEastAsia" w:hAnsiTheme="minorEastAsia" w:eastAsiaTheme="minorEastAsia" w:cstheme="minorEastAsia"/>
          <w:sz w:val="24"/>
          <w:highlight w:val="none"/>
          <w:u w:val="single"/>
        </w:rPr>
        <w:t>日</w:t>
      </w:r>
    </w:p>
    <w:p w14:paraId="7AB740E8">
      <w:pPr>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6341FC17">
      <w:pPr>
        <w:spacing w:line="360" w:lineRule="auto"/>
        <w:ind w:firstLine="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7570E946">
      <w:pPr>
        <w:snapToGrid w:val="0"/>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示：招标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投标响应文件将被拒绝。</w:t>
      </w:r>
    </w:p>
    <w:p w14:paraId="07B22A5A">
      <w:pPr>
        <w:pStyle w:val="22"/>
        <w:ind w:left="0" w:leftChars="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售价：0元</w:t>
      </w:r>
      <w:r>
        <w:rPr>
          <w:rFonts w:hint="eastAsia" w:asciiTheme="minorEastAsia" w:hAnsiTheme="minorEastAsia" w:eastAsiaTheme="minorEastAsia" w:cstheme="minorEastAsia"/>
          <w:sz w:val="24"/>
          <w:highlight w:val="none"/>
        </w:rPr>
        <w:t>。</w:t>
      </w:r>
    </w:p>
    <w:p w14:paraId="590F855A">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4" w:name="_Toc28359092"/>
      <w:bookmarkStart w:id="15" w:name="_Toc35393632"/>
      <w:bookmarkStart w:id="16" w:name="_Toc28359015"/>
      <w:bookmarkStart w:id="17" w:name="_Toc35393801"/>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437BB28D">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7B7D916D">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地点：“政府采购云平台”在线投标响应。</w:t>
      </w:r>
    </w:p>
    <w:p w14:paraId="1B410A5F">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8" w:name="_Toc35393802"/>
      <w:bookmarkStart w:id="19" w:name="_Toc35393633"/>
      <w:bookmarkStart w:id="20" w:name="_Toc28359093"/>
      <w:bookmarkStart w:id="21" w:name="_Toc28359016"/>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五、开启</w:t>
      </w:r>
      <w:bookmarkEnd w:id="18"/>
      <w:bookmarkEnd w:id="19"/>
      <w:bookmarkEnd w:id="20"/>
      <w:bookmarkEnd w:id="21"/>
    </w:p>
    <w:p w14:paraId="29379716">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54ABDFC9">
      <w:pPr>
        <w:spacing w:after="0" w:line="360" w:lineRule="auto"/>
        <w:ind w:firstLine="54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地点：通过“政府采购云平台”实现在线投标响应。请在开标开始当日9:00至9:30将投标响应文件自行完成远程解密。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投标响应文件未按时解密，且未规定提交备份文件的投标无效。</w:t>
      </w:r>
      <w:r>
        <w:rPr>
          <w:rFonts w:hint="eastAsia" w:asciiTheme="minorEastAsia" w:hAnsiTheme="minorEastAsia" w:eastAsiaTheme="minorEastAsia" w:cstheme="minorEastAsia"/>
          <w:sz w:val="24"/>
          <w:highlight w:val="none"/>
        </w:rPr>
        <w:t>  </w:t>
      </w:r>
    </w:p>
    <w:p w14:paraId="60B51615">
      <w:pPr>
        <w:pStyle w:val="3"/>
        <w:spacing w:before="0" w:after="0" w:line="360" w:lineRule="auto"/>
        <w:rPr>
          <w:rFonts w:hint="eastAsia" w:asciiTheme="minorEastAsia" w:hAnsiTheme="minorEastAsia" w:eastAsiaTheme="minorEastAsia" w:cstheme="minorEastAsia"/>
          <w:bCs w:val="0"/>
          <w:sz w:val="24"/>
          <w:szCs w:val="24"/>
          <w:highlight w:val="none"/>
        </w:rPr>
      </w:pPr>
      <w:bookmarkStart w:id="22" w:name="_Toc35393794"/>
      <w:bookmarkStart w:id="23" w:name="_Toc28359084"/>
      <w:bookmarkStart w:id="24" w:name="_Toc35393625"/>
      <w:bookmarkStart w:id="25" w:name="_Toc28359007"/>
      <w:r>
        <w:rPr>
          <w:rFonts w:hint="eastAsia" w:asciiTheme="minorEastAsia" w:hAnsiTheme="minorEastAsia" w:eastAsiaTheme="minorEastAsia" w:cstheme="minorEastAsia"/>
          <w:bCs w:val="0"/>
          <w:sz w:val="24"/>
          <w:szCs w:val="24"/>
          <w:highlight w:val="none"/>
        </w:rPr>
        <w:t>六、公告期限</w:t>
      </w:r>
      <w:bookmarkEnd w:id="22"/>
      <w:bookmarkEnd w:id="23"/>
      <w:bookmarkEnd w:id="24"/>
      <w:bookmarkEnd w:id="25"/>
    </w:p>
    <w:p w14:paraId="1E1D0B55">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自本公告发布之日起5个工作日。</w:t>
      </w:r>
    </w:p>
    <w:p w14:paraId="5B487E57">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6" w:name="_Toc35393804"/>
      <w:bookmarkStart w:id="27" w:name="_Toc35393635"/>
      <w:bookmarkStart w:id="28" w:name="_Toc35393627"/>
      <w:bookmarkStart w:id="29" w:name="_Toc35393796"/>
      <w:bookmarkStart w:id="30" w:name="_Toc28359008"/>
      <w:bookmarkStart w:id="31" w:name="_Toc28359085"/>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七、其他补充事宜</w:t>
      </w:r>
      <w:bookmarkEnd w:id="26"/>
      <w:bookmarkEnd w:id="27"/>
    </w:p>
    <w:p w14:paraId="0723ADDE">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后续就招标过程、中标结果提出质疑的，也应在同一环节一次性提出。否则，被质疑人可不予接受。质疑供应商对采购人、采构代理机构的答复不满意或者采购人、采构代理机构未在规定的时间内作出答复的，可以在答复期满后十五个工作日内向同级政府采购监督管理部门投诉。</w:t>
      </w:r>
    </w:p>
    <w:p w14:paraId="7ED1E474">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 在线投标响应（电子投标）说明</w:t>
      </w:r>
    </w:p>
    <w:p w14:paraId="553628EE">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9CD16CB">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6BF02589">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CA驱动和申领流程</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”进行查阅。</w:t>
      </w:r>
    </w:p>
    <w:p w14:paraId="76DCF705">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15FD7D92">
      <w:pPr>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4、投标供应商在“政府采购云平台”完成“电子加密投标文件”的上传递交后，还可以（顺丰/EMS邮寄形式）在投标截止时间前递交以介质（U盘）存储的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38C6FC2B">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4C4C4F4">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6、▲未传输递交电子投标文件的，且未按规定提供相应的备份投标文件的投标无效。</w:t>
      </w:r>
    </w:p>
    <w:p w14:paraId="4BC49B7B">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（三）中标供应商如有融资需求，可使用附件中银行政采贷服务</w:t>
      </w:r>
      <w:r>
        <w:rPr>
          <w:rFonts w:hint="eastAsia" w:asciiTheme="minorEastAsia" w:hAnsiTheme="minorEastAsia" w:eastAsiaTheme="minorEastAsia" w:cstheme="minorEastAsia"/>
          <w:kern w:val="0"/>
          <w:sz w:val="24"/>
          <w:highlight w:val="none"/>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0964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08DAB87">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银行</w:t>
            </w:r>
          </w:p>
        </w:tc>
        <w:tc>
          <w:tcPr>
            <w:tcW w:w="1873" w:type="dxa"/>
            <w:vAlign w:val="center"/>
          </w:tcPr>
          <w:p w14:paraId="65FA3ED2">
            <w:pPr>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贷款年利率</w:t>
            </w:r>
          </w:p>
        </w:tc>
        <w:tc>
          <w:tcPr>
            <w:tcW w:w="1688" w:type="dxa"/>
            <w:vAlign w:val="center"/>
          </w:tcPr>
          <w:p w14:paraId="4C48E3E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w:t>
            </w:r>
          </w:p>
        </w:tc>
        <w:tc>
          <w:tcPr>
            <w:tcW w:w="2131" w:type="dxa"/>
            <w:vAlign w:val="center"/>
          </w:tcPr>
          <w:p w14:paraId="235B875C">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联系电话</w:t>
            </w:r>
          </w:p>
        </w:tc>
      </w:tr>
      <w:tr w14:paraId="5FE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1736C14">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中国工商银行</w:t>
            </w:r>
          </w:p>
        </w:tc>
        <w:tc>
          <w:tcPr>
            <w:tcW w:w="1873" w:type="dxa"/>
            <w:vAlign w:val="center"/>
          </w:tcPr>
          <w:p w14:paraId="74061D9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29A94FD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卢嘉诚</w:t>
            </w:r>
          </w:p>
        </w:tc>
        <w:tc>
          <w:tcPr>
            <w:tcW w:w="2131" w:type="dxa"/>
            <w:vAlign w:val="center"/>
          </w:tcPr>
          <w:p w14:paraId="5F69CBC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88588246</w:t>
            </w:r>
          </w:p>
          <w:p w14:paraId="78BC03E8">
            <w:pPr>
              <w:ind w:firstLine="24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13867658508</w:t>
            </w:r>
          </w:p>
        </w:tc>
      </w:tr>
      <w:tr w14:paraId="56B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A472BB4">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中国农业银行</w:t>
            </w:r>
          </w:p>
        </w:tc>
        <w:tc>
          <w:tcPr>
            <w:tcW w:w="1873" w:type="dxa"/>
            <w:vAlign w:val="center"/>
          </w:tcPr>
          <w:p w14:paraId="4764909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80B3EB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龚盛</w:t>
            </w:r>
          </w:p>
        </w:tc>
        <w:tc>
          <w:tcPr>
            <w:tcW w:w="2131" w:type="dxa"/>
            <w:vAlign w:val="center"/>
          </w:tcPr>
          <w:p w14:paraId="627251E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15858682216</w:t>
            </w:r>
          </w:p>
        </w:tc>
      </w:tr>
      <w:tr w14:paraId="16AA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CA5C60D">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中国建设银行</w:t>
            </w:r>
          </w:p>
        </w:tc>
        <w:tc>
          <w:tcPr>
            <w:tcW w:w="1873" w:type="dxa"/>
            <w:vAlign w:val="center"/>
          </w:tcPr>
          <w:p w14:paraId="3EABB68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5C85BEF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梅晶晶</w:t>
            </w:r>
          </w:p>
        </w:tc>
        <w:tc>
          <w:tcPr>
            <w:tcW w:w="2131" w:type="dxa"/>
            <w:vAlign w:val="center"/>
          </w:tcPr>
          <w:p w14:paraId="11FC01D8">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88525339</w:t>
            </w:r>
          </w:p>
          <w:p w14:paraId="0BDF757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13736585303</w:t>
            </w:r>
          </w:p>
        </w:tc>
      </w:tr>
      <w:tr w14:paraId="2E90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7A74F5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中国银行</w:t>
            </w:r>
          </w:p>
        </w:tc>
        <w:tc>
          <w:tcPr>
            <w:tcW w:w="1873" w:type="dxa"/>
            <w:vAlign w:val="center"/>
          </w:tcPr>
          <w:p w14:paraId="089CB7F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7F4A715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任茜</w:t>
            </w:r>
          </w:p>
        </w:tc>
        <w:tc>
          <w:tcPr>
            <w:tcW w:w="2131" w:type="dxa"/>
            <w:vAlign w:val="center"/>
          </w:tcPr>
          <w:p w14:paraId="65EC1FE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13857695378</w:t>
            </w:r>
          </w:p>
        </w:tc>
      </w:tr>
      <w:tr w14:paraId="3D09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3D7997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浦发银行台州分行</w:t>
            </w:r>
          </w:p>
        </w:tc>
        <w:tc>
          <w:tcPr>
            <w:tcW w:w="1873" w:type="dxa"/>
            <w:vAlign w:val="center"/>
          </w:tcPr>
          <w:p w14:paraId="01263CE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32FBFE68">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王渊</w:t>
            </w:r>
          </w:p>
        </w:tc>
        <w:tc>
          <w:tcPr>
            <w:tcW w:w="2131" w:type="dxa"/>
            <w:vAlign w:val="center"/>
          </w:tcPr>
          <w:p w14:paraId="085B9901">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13616676319</w:t>
            </w:r>
          </w:p>
        </w:tc>
      </w:tr>
      <w:tr w14:paraId="11F7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C34C3A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浦发银行椒江分行</w:t>
            </w:r>
          </w:p>
        </w:tc>
        <w:tc>
          <w:tcPr>
            <w:tcW w:w="1873" w:type="dxa"/>
            <w:vAlign w:val="center"/>
          </w:tcPr>
          <w:p w14:paraId="7F41D08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1AE8B69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孙瑞华</w:t>
            </w:r>
          </w:p>
        </w:tc>
        <w:tc>
          <w:tcPr>
            <w:tcW w:w="2131" w:type="dxa"/>
            <w:vAlign w:val="center"/>
          </w:tcPr>
          <w:p w14:paraId="6CB25F1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13857688081</w:t>
            </w:r>
          </w:p>
        </w:tc>
      </w:tr>
      <w:tr w14:paraId="6D9A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A26294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交通银行台州分行</w:t>
            </w:r>
          </w:p>
        </w:tc>
        <w:tc>
          <w:tcPr>
            <w:tcW w:w="1873" w:type="dxa"/>
            <w:vAlign w:val="center"/>
          </w:tcPr>
          <w:p w14:paraId="05099FB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5D4222E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周翔宇</w:t>
            </w:r>
          </w:p>
        </w:tc>
        <w:tc>
          <w:tcPr>
            <w:tcW w:w="2131" w:type="dxa"/>
            <w:vAlign w:val="center"/>
          </w:tcPr>
          <w:p w14:paraId="4D41BA7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13867697018</w:t>
            </w:r>
          </w:p>
        </w:tc>
      </w:tr>
      <w:tr w14:paraId="43DB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891D43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招商银行台州分行</w:t>
            </w:r>
          </w:p>
        </w:tc>
        <w:tc>
          <w:tcPr>
            <w:tcW w:w="1873" w:type="dxa"/>
            <w:vAlign w:val="center"/>
          </w:tcPr>
          <w:p w14:paraId="3D86757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4.32%起</w:t>
            </w:r>
          </w:p>
        </w:tc>
        <w:tc>
          <w:tcPr>
            <w:tcW w:w="1688" w:type="dxa"/>
            <w:vAlign w:val="center"/>
          </w:tcPr>
          <w:p w14:paraId="6A55B81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王海玲</w:t>
            </w:r>
          </w:p>
        </w:tc>
        <w:tc>
          <w:tcPr>
            <w:tcW w:w="2131" w:type="dxa"/>
            <w:vAlign w:val="center"/>
          </w:tcPr>
          <w:p w14:paraId="7583297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13566413827</w:t>
            </w:r>
          </w:p>
        </w:tc>
      </w:tr>
      <w:tr w14:paraId="3B5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047DBF9">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浙商银行台州分行</w:t>
            </w:r>
          </w:p>
        </w:tc>
        <w:tc>
          <w:tcPr>
            <w:tcW w:w="1873" w:type="dxa"/>
            <w:vAlign w:val="center"/>
          </w:tcPr>
          <w:p w14:paraId="6FCEBA1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5.01%起</w:t>
            </w:r>
          </w:p>
        </w:tc>
        <w:tc>
          <w:tcPr>
            <w:tcW w:w="1688" w:type="dxa"/>
            <w:vAlign w:val="center"/>
          </w:tcPr>
          <w:p w14:paraId="68C708D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章涉漪</w:t>
            </w:r>
          </w:p>
        </w:tc>
        <w:tc>
          <w:tcPr>
            <w:tcW w:w="2131" w:type="dxa"/>
            <w:vAlign w:val="center"/>
          </w:tcPr>
          <w:p w14:paraId="36ABB26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81880185</w:t>
            </w:r>
          </w:p>
          <w:p w14:paraId="73E88C2F">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13606681262</w:t>
            </w:r>
          </w:p>
        </w:tc>
      </w:tr>
      <w:tr w14:paraId="3B7A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D2A809E">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中信银行台州分行</w:t>
            </w:r>
          </w:p>
        </w:tc>
        <w:tc>
          <w:tcPr>
            <w:tcW w:w="1873" w:type="dxa"/>
            <w:vAlign w:val="center"/>
          </w:tcPr>
          <w:p w14:paraId="3294D99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4.15%起</w:t>
            </w:r>
          </w:p>
        </w:tc>
        <w:tc>
          <w:tcPr>
            <w:tcW w:w="1688" w:type="dxa"/>
            <w:vAlign w:val="center"/>
          </w:tcPr>
          <w:p w14:paraId="136CEF98">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陈金园</w:t>
            </w:r>
          </w:p>
        </w:tc>
        <w:tc>
          <w:tcPr>
            <w:tcW w:w="2131" w:type="dxa"/>
            <w:vAlign w:val="center"/>
          </w:tcPr>
          <w:p w14:paraId="55305D5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13586052161</w:t>
            </w:r>
          </w:p>
        </w:tc>
      </w:tr>
      <w:tr w14:paraId="61AC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B686AC7">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华夏银行台州分行</w:t>
            </w:r>
          </w:p>
        </w:tc>
        <w:tc>
          <w:tcPr>
            <w:tcW w:w="1873" w:type="dxa"/>
            <w:vAlign w:val="center"/>
          </w:tcPr>
          <w:p w14:paraId="4FD54A7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4.5%起</w:t>
            </w:r>
          </w:p>
        </w:tc>
        <w:tc>
          <w:tcPr>
            <w:tcW w:w="1688" w:type="dxa"/>
            <w:vAlign w:val="center"/>
          </w:tcPr>
          <w:p w14:paraId="44962F2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邱明达</w:t>
            </w:r>
          </w:p>
        </w:tc>
        <w:tc>
          <w:tcPr>
            <w:tcW w:w="2131" w:type="dxa"/>
            <w:vAlign w:val="center"/>
          </w:tcPr>
          <w:p w14:paraId="509B3A3D">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81871518</w:t>
            </w:r>
          </w:p>
          <w:p w14:paraId="6E161EE8">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13736252233</w:t>
            </w:r>
          </w:p>
        </w:tc>
      </w:tr>
      <w:tr w14:paraId="5CBF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7B36D3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泰隆银行开发区支行</w:t>
            </w:r>
          </w:p>
        </w:tc>
        <w:tc>
          <w:tcPr>
            <w:tcW w:w="1873" w:type="dxa"/>
            <w:vAlign w:val="center"/>
          </w:tcPr>
          <w:p w14:paraId="7970C3D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7615330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梁宛莉</w:t>
            </w:r>
          </w:p>
        </w:tc>
        <w:tc>
          <w:tcPr>
            <w:tcW w:w="2131" w:type="dxa"/>
            <w:vAlign w:val="center"/>
          </w:tcPr>
          <w:p w14:paraId="265317A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13306869100</w:t>
            </w:r>
          </w:p>
        </w:tc>
      </w:tr>
      <w:tr w14:paraId="626D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08E75C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民泰银行椒江支行</w:t>
            </w:r>
          </w:p>
        </w:tc>
        <w:tc>
          <w:tcPr>
            <w:tcW w:w="1873" w:type="dxa"/>
            <w:vAlign w:val="center"/>
          </w:tcPr>
          <w:p w14:paraId="3448F07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5.8%起</w:t>
            </w:r>
          </w:p>
        </w:tc>
        <w:tc>
          <w:tcPr>
            <w:tcW w:w="1688" w:type="dxa"/>
            <w:vAlign w:val="center"/>
          </w:tcPr>
          <w:p w14:paraId="6D3CEBC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陈慧珠</w:t>
            </w:r>
          </w:p>
        </w:tc>
        <w:tc>
          <w:tcPr>
            <w:tcW w:w="2131" w:type="dxa"/>
            <w:vAlign w:val="center"/>
          </w:tcPr>
          <w:p w14:paraId="552E0B22">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13857699669</w:t>
            </w:r>
          </w:p>
        </w:tc>
      </w:tr>
      <w:tr w14:paraId="0F6E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D94447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绍兴银行台州分行</w:t>
            </w:r>
          </w:p>
        </w:tc>
        <w:tc>
          <w:tcPr>
            <w:tcW w:w="1873" w:type="dxa"/>
            <w:vAlign w:val="center"/>
          </w:tcPr>
          <w:p w14:paraId="2C126D28">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5.1%起</w:t>
            </w:r>
          </w:p>
        </w:tc>
        <w:tc>
          <w:tcPr>
            <w:tcW w:w="1688" w:type="dxa"/>
            <w:vAlign w:val="center"/>
          </w:tcPr>
          <w:p w14:paraId="59F263A8">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郭庭斌</w:t>
            </w:r>
          </w:p>
        </w:tc>
        <w:tc>
          <w:tcPr>
            <w:tcW w:w="2131" w:type="dxa"/>
            <w:vAlign w:val="center"/>
          </w:tcPr>
          <w:p w14:paraId="42E612D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15958633119</w:t>
            </w:r>
          </w:p>
        </w:tc>
      </w:tr>
      <w:tr w14:paraId="4A1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A3B555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温州银行台州分行</w:t>
            </w:r>
          </w:p>
        </w:tc>
        <w:tc>
          <w:tcPr>
            <w:tcW w:w="1873" w:type="dxa"/>
            <w:vAlign w:val="center"/>
          </w:tcPr>
          <w:p w14:paraId="214621B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4.55%起</w:t>
            </w:r>
          </w:p>
        </w:tc>
        <w:tc>
          <w:tcPr>
            <w:tcW w:w="1688" w:type="dxa"/>
            <w:vAlign w:val="center"/>
          </w:tcPr>
          <w:p w14:paraId="1A88DA1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王晓波</w:t>
            </w:r>
          </w:p>
        </w:tc>
        <w:tc>
          <w:tcPr>
            <w:tcW w:w="2131" w:type="dxa"/>
            <w:vAlign w:val="center"/>
          </w:tcPr>
          <w:p w14:paraId="0F22EE4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15824005475</w:t>
            </w:r>
          </w:p>
        </w:tc>
      </w:tr>
      <w:tr w14:paraId="4E1C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FCAF42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平安银行台州分行</w:t>
            </w:r>
          </w:p>
        </w:tc>
        <w:tc>
          <w:tcPr>
            <w:tcW w:w="1873" w:type="dxa"/>
            <w:vAlign w:val="center"/>
          </w:tcPr>
          <w:p w14:paraId="7805ED0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6.53%起</w:t>
            </w:r>
          </w:p>
        </w:tc>
        <w:tc>
          <w:tcPr>
            <w:tcW w:w="1688" w:type="dxa"/>
            <w:vAlign w:val="center"/>
          </w:tcPr>
          <w:p w14:paraId="166457A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李俊丽</w:t>
            </w:r>
          </w:p>
        </w:tc>
        <w:tc>
          <w:tcPr>
            <w:tcW w:w="2131" w:type="dxa"/>
            <w:vAlign w:val="center"/>
          </w:tcPr>
          <w:p w14:paraId="2284722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15906861025</w:t>
            </w:r>
          </w:p>
        </w:tc>
      </w:tr>
      <w:tr w14:paraId="6064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2B7300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宁波银行台州分行</w:t>
            </w:r>
          </w:p>
        </w:tc>
        <w:tc>
          <w:tcPr>
            <w:tcW w:w="1873" w:type="dxa"/>
            <w:vAlign w:val="center"/>
          </w:tcPr>
          <w:p w14:paraId="08B990A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4.35%起</w:t>
            </w:r>
          </w:p>
        </w:tc>
        <w:tc>
          <w:tcPr>
            <w:tcW w:w="1688" w:type="dxa"/>
            <w:vAlign w:val="center"/>
          </w:tcPr>
          <w:p w14:paraId="51EEF49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戴莉丽</w:t>
            </w:r>
          </w:p>
        </w:tc>
        <w:tc>
          <w:tcPr>
            <w:tcW w:w="2131" w:type="dxa"/>
            <w:vAlign w:val="center"/>
          </w:tcPr>
          <w:p w14:paraId="5729245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13566627207</w:t>
            </w:r>
          </w:p>
        </w:tc>
      </w:tr>
      <w:tr w14:paraId="3F4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26A1BEE">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金华银行台州分行</w:t>
            </w:r>
          </w:p>
        </w:tc>
        <w:tc>
          <w:tcPr>
            <w:tcW w:w="1873" w:type="dxa"/>
            <w:vAlign w:val="center"/>
          </w:tcPr>
          <w:p w14:paraId="0BBE2FA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1A364035">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金雪婷</w:t>
            </w:r>
          </w:p>
        </w:tc>
        <w:tc>
          <w:tcPr>
            <w:tcW w:w="2131" w:type="dxa"/>
            <w:vAlign w:val="center"/>
          </w:tcPr>
          <w:p w14:paraId="2E49E960">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81886670</w:t>
            </w:r>
          </w:p>
          <w:p w14:paraId="648AE39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15968661569</w:t>
            </w:r>
          </w:p>
        </w:tc>
      </w:tr>
      <w:tr w14:paraId="71E1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ED37D4">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台州银行</w:t>
            </w:r>
          </w:p>
        </w:tc>
        <w:tc>
          <w:tcPr>
            <w:tcW w:w="1873" w:type="dxa"/>
            <w:vAlign w:val="center"/>
          </w:tcPr>
          <w:p w14:paraId="3D83713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769C3E5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洪婷</w:t>
            </w:r>
          </w:p>
        </w:tc>
        <w:tc>
          <w:tcPr>
            <w:tcW w:w="2131" w:type="dxa"/>
            <w:vAlign w:val="center"/>
          </w:tcPr>
          <w:p w14:paraId="630FD815">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15858624999</w:t>
            </w:r>
          </w:p>
        </w:tc>
      </w:tr>
      <w:tr w14:paraId="3EB1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406ED5D">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邮储银行台州分行</w:t>
            </w:r>
          </w:p>
        </w:tc>
        <w:tc>
          <w:tcPr>
            <w:tcW w:w="1873" w:type="dxa"/>
            <w:vAlign w:val="center"/>
          </w:tcPr>
          <w:p w14:paraId="48CCFB8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3.85%起</w:t>
            </w:r>
          </w:p>
        </w:tc>
        <w:tc>
          <w:tcPr>
            <w:tcW w:w="1688" w:type="dxa"/>
            <w:vAlign w:val="center"/>
          </w:tcPr>
          <w:p w14:paraId="7AD93AE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董庆</w:t>
            </w:r>
          </w:p>
        </w:tc>
        <w:tc>
          <w:tcPr>
            <w:tcW w:w="2131" w:type="dxa"/>
            <w:vAlign w:val="center"/>
          </w:tcPr>
          <w:p w14:paraId="7AB6D011">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81888982</w:t>
            </w:r>
          </w:p>
          <w:p w14:paraId="52591615">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18957683735</w:t>
            </w:r>
          </w:p>
        </w:tc>
      </w:tr>
    </w:tbl>
    <w:p w14:paraId="2A069317">
      <w:pPr>
        <w:pStyle w:val="3"/>
        <w:keepNext w:val="0"/>
        <w:keepLines w:val="0"/>
        <w:snapToGrid w:val="0"/>
        <w:spacing w:before="0" w:after="0" w:line="360" w:lineRule="auto"/>
        <w:ind w:firstLine="240" w:firstLineChars="100"/>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5945AA5A">
      <w:pPr>
        <w:ind w:firstLine="3000" w:firstLineChars="125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合同履约保函联系方式</w:t>
      </w:r>
    </w:p>
    <w:tbl>
      <w:tblPr>
        <w:tblStyle w:val="2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515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60A52618">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保险公司名称</w:t>
            </w:r>
          </w:p>
        </w:tc>
        <w:tc>
          <w:tcPr>
            <w:tcW w:w="2264" w:type="dxa"/>
            <w:vAlign w:val="center"/>
          </w:tcPr>
          <w:p w14:paraId="3AB35A09">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保费率</w:t>
            </w:r>
          </w:p>
        </w:tc>
        <w:tc>
          <w:tcPr>
            <w:tcW w:w="1003" w:type="dxa"/>
            <w:vAlign w:val="center"/>
          </w:tcPr>
          <w:p w14:paraId="0D91D3A7">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p>
        </w:tc>
        <w:tc>
          <w:tcPr>
            <w:tcW w:w="1536" w:type="dxa"/>
            <w:vAlign w:val="center"/>
          </w:tcPr>
          <w:p w14:paraId="2E7172FA">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r>
      <w:tr w14:paraId="355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3AA395E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中国人寿财产保险股份有限公司台州中心支公司</w:t>
            </w:r>
          </w:p>
        </w:tc>
        <w:tc>
          <w:tcPr>
            <w:tcW w:w="2264" w:type="dxa"/>
          </w:tcPr>
          <w:p w14:paraId="30BA999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01A2BAB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徐凌</w:t>
            </w:r>
          </w:p>
        </w:tc>
        <w:tc>
          <w:tcPr>
            <w:tcW w:w="1536" w:type="dxa"/>
          </w:tcPr>
          <w:p w14:paraId="5AE243F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13905168070</w:t>
            </w:r>
          </w:p>
        </w:tc>
      </w:tr>
      <w:tr w14:paraId="7C65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E4A5F9A">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永诚财产保险股份有限公司台州分公司</w:t>
            </w:r>
          </w:p>
        </w:tc>
        <w:tc>
          <w:tcPr>
            <w:tcW w:w="2264" w:type="dxa"/>
          </w:tcPr>
          <w:p w14:paraId="364284C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年费率1%，最低保费1000元</w:t>
            </w:r>
          </w:p>
        </w:tc>
        <w:tc>
          <w:tcPr>
            <w:tcW w:w="1003" w:type="dxa"/>
          </w:tcPr>
          <w:p w14:paraId="30ED1E5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尹刚强</w:t>
            </w:r>
          </w:p>
        </w:tc>
        <w:tc>
          <w:tcPr>
            <w:tcW w:w="1536" w:type="dxa"/>
          </w:tcPr>
          <w:p w14:paraId="13B0B03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13750668184</w:t>
            </w:r>
          </w:p>
        </w:tc>
      </w:tr>
      <w:tr w14:paraId="1727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DEC81B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华泰财产保险有限公司台州中心支公司</w:t>
            </w:r>
          </w:p>
        </w:tc>
        <w:tc>
          <w:tcPr>
            <w:tcW w:w="2264" w:type="dxa"/>
          </w:tcPr>
          <w:p w14:paraId="253971D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年费率0.5%，最低保费1000元</w:t>
            </w:r>
          </w:p>
        </w:tc>
        <w:tc>
          <w:tcPr>
            <w:tcW w:w="1003" w:type="dxa"/>
          </w:tcPr>
          <w:p w14:paraId="27D14B0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王灵芳</w:t>
            </w:r>
          </w:p>
        </w:tc>
        <w:tc>
          <w:tcPr>
            <w:tcW w:w="1536" w:type="dxa"/>
          </w:tcPr>
          <w:p w14:paraId="23372F8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88869818 13586123199</w:t>
            </w:r>
          </w:p>
        </w:tc>
      </w:tr>
      <w:tr w14:paraId="49A5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A2E1D8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中国大地财产保险股份有限公司台州中心支公司</w:t>
            </w:r>
          </w:p>
        </w:tc>
        <w:tc>
          <w:tcPr>
            <w:tcW w:w="2264" w:type="dxa"/>
          </w:tcPr>
          <w:p w14:paraId="06309D3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年费率1.5%，最低保费1000元</w:t>
            </w:r>
          </w:p>
        </w:tc>
        <w:tc>
          <w:tcPr>
            <w:tcW w:w="1003" w:type="dxa"/>
          </w:tcPr>
          <w:p w14:paraId="120D000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徐小明</w:t>
            </w:r>
          </w:p>
        </w:tc>
        <w:tc>
          <w:tcPr>
            <w:tcW w:w="1536" w:type="dxa"/>
          </w:tcPr>
          <w:p w14:paraId="17C708B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88552788      13968603112</w:t>
            </w:r>
          </w:p>
        </w:tc>
      </w:tr>
      <w:tr w14:paraId="720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702D3BB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阳光保险台州中心支公司</w:t>
            </w:r>
          </w:p>
        </w:tc>
        <w:tc>
          <w:tcPr>
            <w:tcW w:w="2264" w:type="dxa"/>
          </w:tcPr>
          <w:p w14:paraId="1259C86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196921D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林高明</w:t>
            </w:r>
          </w:p>
        </w:tc>
        <w:tc>
          <w:tcPr>
            <w:tcW w:w="1536" w:type="dxa"/>
          </w:tcPr>
          <w:p w14:paraId="7144A89F">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15888682693</w:t>
            </w:r>
          </w:p>
        </w:tc>
      </w:tr>
      <w:tr w14:paraId="4483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1FD50B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中华联合财产保险股份有限公司台州中心支公司</w:t>
            </w:r>
          </w:p>
        </w:tc>
        <w:tc>
          <w:tcPr>
            <w:tcW w:w="2264" w:type="dxa"/>
          </w:tcPr>
          <w:p w14:paraId="4E0E062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年费率2%，最低保费500元</w:t>
            </w:r>
          </w:p>
        </w:tc>
        <w:tc>
          <w:tcPr>
            <w:tcW w:w="1003" w:type="dxa"/>
          </w:tcPr>
          <w:p w14:paraId="0B0EA3D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王仙高</w:t>
            </w:r>
          </w:p>
        </w:tc>
        <w:tc>
          <w:tcPr>
            <w:tcW w:w="1536" w:type="dxa"/>
          </w:tcPr>
          <w:p w14:paraId="4BB0463F">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13858600221</w:t>
            </w:r>
          </w:p>
        </w:tc>
      </w:tr>
      <w:tr w14:paraId="3A1D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DBF98D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中国人民财产保险股份有限公司台州中心支公司</w:t>
            </w:r>
          </w:p>
        </w:tc>
        <w:tc>
          <w:tcPr>
            <w:tcW w:w="2264" w:type="dxa"/>
          </w:tcPr>
          <w:p w14:paraId="0A56710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年费率0.3%，最低保费1000元</w:t>
            </w:r>
          </w:p>
        </w:tc>
        <w:tc>
          <w:tcPr>
            <w:tcW w:w="1003" w:type="dxa"/>
          </w:tcPr>
          <w:p w14:paraId="313AF0F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王仙春</w:t>
            </w:r>
          </w:p>
        </w:tc>
        <w:tc>
          <w:tcPr>
            <w:tcW w:w="1536" w:type="dxa"/>
          </w:tcPr>
          <w:p w14:paraId="3D3BCC6A">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13515769179</w:t>
            </w:r>
          </w:p>
        </w:tc>
      </w:tr>
      <w:tr w14:paraId="15EB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22B48607">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永安财产保险股份有限公司台州中心支公司</w:t>
            </w:r>
          </w:p>
        </w:tc>
        <w:tc>
          <w:tcPr>
            <w:tcW w:w="2264" w:type="dxa"/>
          </w:tcPr>
          <w:p w14:paraId="028683E7">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w:t>
            </w:r>
          </w:p>
        </w:tc>
        <w:tc>
          <w:tcPr>
            <w:tcW w:w="1003" w:type="dxa"/>
          </w:tcPr>
          <w:p w14:paraId="7D7EE1B9">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王春宇</w:t>
            </w:r>
          </w:p>
        </w:tc>
        <w:tc>
          <w:tcPr>
            <w:tcW w:w="1536" w:type="dxa"/>
          </w:tcPr>
          <w:p w14:paraId="07A667E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13676675331</w:t>
            </w:r>
          </w:p>
        </w:tc>
      </w:tr>
    </w:tbl>
    <w:p w14:paraId="146043D4">
      <w:pPr>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00"/>
          <w:kern w:val="0"/>
          <w:sz w:val="24"/>
          <w:highlight w:val="none"/>
        </w:rPr>
        <w:t xml:space="preserve">                </w:t>
      </w:r>
      <w:bookmarkEnd w:id="28"/>
      <w:bookmarkEnd w:id="29"/>
      <w:bookmarkEnd w:id="30"/>
      <w:bookmarkEnd w:id="31"/>
    </w:p>
    <w:p w14:paraId="4C16C8BF">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八、凡对本次采购提出询问，请按以下方式联系。</w:t>
      </w:r>
    </w:p>
    <w:p w14:paraId="21203216">
      <w:pPr>
        <w:pStyle w:val="3"/>
        <w:spacing w:before="0" w:after="0" w:line="240" w:lineRule="auto"/>
        <w:ind w:firstLine="482"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bookmarkStart w:id="32" w:name="_Toc28359019"/>
      <w:bookmarkStart w:id="33" w:name="_Toc35393637"/>
      <w:bookmarkStart w:id="34" w:name="_Toc35393806"/>
      <w:bookmarkStart w:id="35" w:name="_Toc28359096"/>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28359020"/>
      <w:bookmarkStart w:id="37" w:name="_Toc35393638"/>
      <w:bookmarkStart w:id="38" w:name="_Toc35393807"/>
      <w:bookmarkStart w:id="39" w:name="_Toc28359097"/>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采购人信息</w:t>
      </w:r>
    </w:p>
    <w:p w14:paraId="6B2E42A4">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称：台州市公安局椒江分局</w:t>
      </w:r>
    </w:p>
    <w:p w14:paraId="68BF86CF">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宋体" w:hAnsi="宋体" w:cs="宋体"/>
          <w:kern w:val="0"/>
          <w:sz w:val="24"/>
          <w:highlight w:val="none"/>
        </w:rPr>
        <w:t>台州市椒江区云西路308号</w:t>
      </w:r>
    </w:p>
    <w:p w14:paraId="16A3AF82">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项目联系人：张老师</w:t>
      </w:r>
    </w:p>
    <w:p w14:paraId="2090CED1">
      <w:pPr>
        <w:snapToGrid w:val="0"/>
        <w:spacing w:line="240" w:lineRule="auto"/>
        <w:ind w:firstLine="780" w:firstLineChars="32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w:t>
      </w:r>
      <w:r>
        <w:rPr>
          <w:rFonts w:hint="eastAsia" w:ascii="宋体" w:hAnsi="宋体" w:cs="宋体"/>
          <w:kern w:val="0"/>
          <w:sz w:val="24"/>
          <w:highlight w:val="none"/>
        </w:rPr>
        <w:t>0576-88216082</w:t>
      </w:r>
    </w:p>
    <w:p w14:paraId="6E5AF16E">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洪警官</w:t>
      </w:r>
    </w:p>
    <w:p w14:paraId="31ECEA12">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88216173</w:t>
      </w:r>
    </w:p>
    <w:p w14:paraId="68DC7799">
      <w:pPr>
        <w:pStyle w:val="3"/>
        <w:keepNext w:val="0"/>
        <w:keepLines w:val="0"/>
        <w:snapToGrid w:val="0"/>
        <w:spacing w:before="0" w:after="0" w:line="240" w:lineRule="auto"/>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6CE51839">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称：台州蔚蓝投资咨询有限公司</w:t>
      </w:r>
    </w:p>
    <w:p w14:paraId="2BDF3546">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址：台州市椒江区开元路299号</w:t>
      </w:r>
    </w:p>
    <w:p w14:paraId="2D0B8DEE">
      <w:pPr>
        <w:snapToGrid w:val="0"/>
        <w:spacing w:after="0"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项目联系人：冯工</w:t>
      </w:r>
    </w:p>
    <w:p w14:paraId="2F50B296">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联系方式：13750642421</w:t>
      </w:r>
    </w:p>
    <w:p w14:paraId="45DFF723">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质疑联系人：李工</w:t>
      </w:r>
    </w:p>
    <w:p w14:paraId="3C18E0F7">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联系方式：0576-88508578</w:t>
      </w:r>
    </w:p>
    <w:p w14:paraId="217B491C">
      <w:pPr>
        <w:pStyle w:val="3"/>
        <w:spacing w:before="0" w:after="0" w:line="360" w:lineRule="auto"/>
        <w:ind w:firstLine="482" w:firstLineChars="200"/>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40" w:name="_Toc28359021"/>
      <w:bookmarkStart w:id="41" w:name="_Toc35393808"/>
      <w:bookmarkStart w:id="42" w:name="_Toc35393639"/>
      <w:bookmarkStart w:id="43" w:name="_Toc28359098"/>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3.</w:t>
      </w:r>
      <w:bookmarkEnd w:id="40"/>
      <w:bookmarkEnd w:id="41"/>
      <w:bookmarkEnd w:id="42"/>
      <w:bookmarkEnd w:id="4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同级政府采购监督管理部门</w:t>
      </w:r>
    </w:p>
    <w:p w14:paraId="11B087C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名称：椒江区政府采购监管科</w:t>
      </w:r>
    </w:p>
    <w:p w14:paraId="3C5661A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联系人：王老师</w:t>
      </w:r>
    </w:p>
    <w:p w14:paraId="58EDBE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监督投诉电话：0576-88225817   </w:t>
      </w:r>
    </w:p>
    <w:p w14:paraId="33B8DFB8">
      <w:pPr>
        <w:spacing w:after="0" w:line="240" w:lineRule="auto"/>
        <w:ind w:firstLine="720" w:firstLineChars="3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地    址：浙江省台州市椒江区建设路6号</w:t>
      </w:r>
    </w:p>
    <w:p w14:paraId="566B6CC2">
      <w:pPr>
        <w:spacing w:after="0" w:line="480" w:lineRule="auto"/>
        <w:ind w:firstLine="5040" w:firstLineChars="2100"/>
        <w:rPr>
          <w:rFonts w:hint="eastAsia" w:asciiTheme="minorEastAsia" w:hAnsiTheme="minorEastAsia" w:eastAsiaTheme="minorEastAsia" w:cstheme="minorEastAsia"/>
          <w:color w:val="000000"/>
          <w:sz w:val="24"/>
          <w:highlight w:val="none"/>
        </w:rPr>
      </w:pPr>
      <w:bookmarkStart w:id="44" w:name="_Hlk1311737"/>
      <w:bookmarkStart w:id="45" w:name="_Hlk1308360"/>
      <w:bookmarkStart w:id="46" w:name="_Hlk1310091"/>
      <w:r>
        <w:rPr>
          <w:rFonts w:hint="eastAsia" w:asciiTheme="minorEastAsia" w:hAnsiTheme="minorEastAsia" w:eastAsiaTheme="minorEastAsia" w:cstheme="minorEastAsia"/>
          <w:color w:val="000000"/>
          <w:sz w:val="24"/>
          <w:highlight w:val="none"/>
        </w:rPr>
        <w:t>台州蔚蓝投资咨询有限公司</w:t>
      </w:r>
    </w:p>
    <w:p w14:paraId="72384349">
      <w:pPr>
        <w:spacing w:after="0" w:line="360" w:lineRule="auto"/>
        <w:ind w:left="6300" w:leftChars="2200" w:hanging="1680" w:hanging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highlight w:val="none"/>
        </w:rPr>
        <w:t xml:space="preserve">         </w:t>
      </w:r>
      <w:r>
        <w:rPr>
          <w:rFonts w:hint="eastAsia" w:asciiTheme="minorEastAsia" w:hAnsiTheme="minorEastAsia" w:eastAsiaTheme="minorEastAsia" w:cstheme="minorEastAsia"/>
          <w:color w:val="000000"/>
          <w:sz w:val="24"/>
          <w:highlight w:val="none"/>
        </w:rPr>
        <w:t>2024年</w:t>
      </w:r>
      <w:bookmarkEnd w:id="44"/>
      <w:bookmarkEnd w:id="45"/>
      <w:bookmarkEnd w:id="46"/>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color w:val="000000"/>
          <w:sz w:val="24"/>
          <w:highlight w:val="none"/>
        </w:rPr>
        <w:t xml:space="preserve"> </w:t>
      </w:r>
    </w:p>
    <w:p w14:paraId="737A4E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14:paraId="3623EA4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1ADED5F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71C4605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第二章   公开招标需求</w:t>
      </w:r>
    </w:p>
    <w:p w14:paraId="15AFE49C">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一、招标项目一览表</w:t>
      </w:r>
    </w:p>
    <w:p w14:paraId="17E1FEC7">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本次招标共</w:t>
      </w:r>
      <w:r>
        <w:rPr>
          <w:rFonts w:hint="eastAsia" w:asciiTheme="minorEastAsia" w:hAnsiTheme="minorEastAsia" w:eastAsiaTheme="minorEastAsia" w:cstheme="minorEastAsia"/>
          <w:sz w:val="24"/>
          <w:highlight w:val="none"/>
          <w:u w:val="single"/>
        </w:rPr>
        <w:t xml:space="preserve">  1  </w:t>
      </w:r>
      <w:r>
        <w:rPr>
          <w:rFonts w:hint="eastAsia" w:asciiTheme="minorEastAsia" w:hAnsiTheme="minorEastAsia" w:eastAsiaTheme="minorEastAsia" w:cstheme="minorEastAsia"/>
          <w:sz w:val="24"/>
          <w:highlight w:val="none"/>
        </w:rPr>
        <w:t>个标段，具体内容如下表：</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1BCA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53F7E46B">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6802CBB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4E4D1194">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7DA8312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3872B5EE">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23BA429B">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3B99F14D">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0151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Merge w:val="restart"/>
            <w:vAlign w:val="center"/>
          </w:tcPr>
          <w:p w14:paraId="52B076CE">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56CA944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台州市公安局椒江分局办案区采分设备采购</w:t>
            </w:r>
          </w:p>
        </w:tc>
        <w:tc>
          <w:tcPr>
            <w:tcW w:w="1800" w:type="dxa"/>
            <w:vAlign w:val="center"/>
          </w:tcPr>
          <w:p w14:paraId="34A740A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0F68573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30E64E7E">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0E5E0122">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475E222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r w14:paraId="604F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Merge w:val="continue"/>
            <w:vAlign w:val="center"/>
          </w:tcPr>
          <w:p w14:paraId="26984F0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350" w:type="dxa"/>
            <w:vAlign w:val="center"/>
          </w:tcPr>
          <w:p w14:paraId="3C1DC5B2">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新型涉网综合研判系统</w:t>
            </w:r>
          </w:p>
        </w:tc>
        <w:tc>
          <w:tcPr>
            <w:tcW w:w="1800" w:type="dxa"/>
            <w:vAlign w:val="center"/>
          </w:tcPr>
          <w:p w14:paraId="5D361B6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涉网案件分析</w:t>
            </w:r>
          </w:p>
        </w:tc>
        <w:tc>
          <w:tcPr>
            <w:tcW w:w="1112" w:type="dxa"/>
            <w:vAlign w:val="center"/>
          </w:tcPr>
          <w:p w14:paraId="7FC76AB4">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971" w:type="dxa"/>
            <w:vAlign w:val="center"/>
          </w:tcPr>
          <w:p w14:paraId="2055857C">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套</w:t>
            </w:r>
          </w:p>
        </w:tc>
        <w:tc>
          <w:tcPr>
            <w:tcW w:w="1482" w:type="dxa"/>
            <w:vAlign w:val="center"/>
          </w:tcPr>
          <w:p w14:paraId="0BEEB6E6">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1年</w:t>
            </w:r>
          </w:p>
        </w:tc>
        <w:tc>
          <w:tcPr>
            <w:tcW w:w="1354" w:type="dxa"/>
            <w:vAlign w:val="center"/>
          </w:tcPr>
          <w:p w14:paraId="5FEB48A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5813BAB3">
      <w:pPr>
        <w:spacing w:after="0" w:line="312" w:lineRule="auto"/>
        <w:rPr>
          <w:rFonts w:hint="eastAsia" w:asciiTheme="minorEastAsia" w:hAnsiTheme="minorEastAsia" w:eastAsiaTheme="minorEastAsia" w:cstheme="minorEastAsia"/>
          <w:b/>
          <w:sz w:val="24"/>
          <w:highlight w:val="none"/>
        </w:rPr>
      </w:pPr>
    </w:p>
    <w:p w14:paraId="07EE57BF">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二、技术需求</w:t>
      </w:r>
    </w:p>
    <w:p w14:paraId="5DA8F162">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（一）采购清单</w:t>
      </w:r>
    </w:p>
    <w:p w14:paraId="354122E1">
      <w:pPr>
        <w:pStyle w:val="18"/>
        <w:rPr>
          <w:highlight w:val="none"/>
        </w:rPr>
      </w:pPr>
      <w:r>
        <w:rPr>
          <w:rFonts w:hint="eastAsia" w:hAnsi="宋体"/>
          <w:sz w:val="24"/>
          <w:szCs w:val="24"/>
          <w:highlight w:val="none"/>
          <w:lang w:bidi="en-US"/>
        </w:rPr>
        <w:t>通讯设备全数据采集仪</w:t>
      </w:r>
    </w:p>
    <w:tbl>
      <w:tblPr>
        <w:tblStyle w:val="23"/>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8561"/>
      </w:tblGrid>
      <w:tr w14:paraId="2899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8" w:type="dxa"/>
            <w:vAlign w:val="center"/>
          </w:tcPr>
          <w:p w14:paraId="1EE3E942">
            <w:pPr>
              <w:pStyle w:val="12"/>
              <w:jc w:val="center"/>
              <w:rPr>
                <w:rFonts w:hint="eastAsia" w:hAnsi="宋体"/>
                <w:color w:val="auto"/>
                <w:sz w:val="24"/>
                <w:highlight w:val="none"/>
                <w:lang w:bidi="en-US"/>
              </w:rPr>
            </w:pPr>
            <w:r>
              <w:rPr>
                <w:rFonts w:hint="eastAsia" w:hAnsi="宋体"/>
                <w:color w:val="auto"/>
                <w:sz w:val="24"/>
                <w:highlight w:val="none"/>
                <w:lang w:bidi="en-US"/>
              </w:rPr>
              <w:t>名称</w:t>
            </w:r>
          </w:p>
        </w:tc>
        <w:tc>
          <w:tcPr>
            <w:tcW w:w="8561" w:type="dxa"/>
            <w:vAlign w:val="center"/>
          </w:tcPr>
          <w:p w14:paraId="28784273">
            <w:pPr>
              <w:pStyle w:val="12"/>
              <w:jc w:val="center"/>
              <w:rPr>
                <w:rFonts w:hint="eastAsia" w:hAnsi="宋体"/>
                <w:color w:val="auto"/>
                <w:sz w:val="24"/>
                <w:highlight w:val="none"/>
                <w:lang w:bidi="en-US"/>
              </w:rPr>
            </w:pPr>
            <w:r>
              <w:rPr>
                <w:rFonts w:hint="eastAsia" w:hAnsi="宋体"/>
                <w:color w:val="auto"/>
                <w:sz w:val="24"/>
                <w:highlight w:val="none"/>
                <w:lang w:bidi="en-US"/>
              </w:rPr>
              <w:t>性能参数、实现功能</w:t>
            </w:r>
          </w:p>
        </w:tc>
      </w:tr>
      <w:tr w14:paraId="1D6D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098" w:type="dxa"/>
            <w:vAlign w:val="center"/>
          </w:tcPr>
          <w:p w14:paraId="356ABF35">
            <w:pPr>
              <w:pStyle w:val="12"/>
              <w:spacing w:line="360" w:lineRule="auto"/>
              <w:jc w:val="center"/>
              <w:rPr>
                <w:rFonts w:hint="eastAsia" w:hAnsi="宋体"/>
                <w:color w:val="auto"/>
                <w:sz w:val="24"/>
                <w:highlight w:val="none"/>
                <w:lang w:bidi="en-US"/>
              </w:rPr>
            </w:pPr>
            <w:r>
              <w:rPr>
                <w:rFonts w:hint="eastAsia" w:hAnsi="宋体"/>
                <w:color w:val="auto"/>
                <w:sz w:val="24"/>
                <w:highlight w:val="none"/>
                <w:lang w:bidi="en-US"/>
              </w:rPr>
              <w:t>通讯设备全数据采集仪</w:t>
            </w:r>
          </w:p>
        </w:tc>
        <w:tc>
          <w:tcPr>
            <w:tcW w:w="8561" w:type="dxa"/>
            <w:vAlign w:val="center"/>
          </w:tcPr>
          <w:p w14:paraId="5B361A16">
            <w:pPr>
              <w:ind w:left="34"/>
              <w:rPr>
                <w:rFonts w:hint="eastAsia" w:ascii="宋体" w:hAnsi="宋体"/>
                <w:b/>
                <w:bCs/>
                <w:color w:val="auto"/>
                <w:sz w:val="24"/>
                <w:highlight w:val="none"/>
              </w:rPr>
            </w:pPr>
            <w:r>
              <w:rPr>
                <w:rFonts w:hint="eastAsia" w:hAnsi="宋体"/>
                <w:b/>
                <w:color w:val="auto"/>
                <w:sz w:val="24"/>
                <w:highlight w:val="none"/>
              </w:rPr>
              <w:t>一、性能参数</w:t>
            </w:r>
          </w:p>
          <w:p w14:paraId="4593A2EC">
            <w:pPr>
              <w:numPr>
                <w:ilvl w:val="0"/>
                <w:numId w:val="3"/>
              </w:numPr>
              <w:rPr>
                <w:rFonts w:hint="eastAsia" w:ascii="宋体" w:hAnsi="宋体"/>
                <w:bCs/>
                <w:color w:val="auto"/>
                <w:sz w:val="24"/>
                <w:highlight w:val="none"/>
              </w:rPr>
            </w:pPr>
            <w:r>
              <w:rPr>
                <w:rFonts w:hint="eastAsia" w:ascii="宋体" w:hAnsi="宋体"/>
                <w:bCs/>
                <w:color w:val="auto"/>
                <w:sz w:val="24"/>
                <w:highlight w:val="none"/>
              </w:rPr>
              <w:t>通讯设备全数据采集仪需支持4路高速并行采集，支持终端数据采集、云数据采集、镜像提取、数据恢复、智能聚合、在线分析等功能。实现快速发现涉案线索，助力办案人员高效完成数据采集、分析及应用。</w:t>
            </w:r>
          </w:p>
          <w:p w14:paraId="4BDE04E9">
            <w:pPr>
              <w:numPr>
                <w:ilvl w:val="0"/>
                <w:numId w:val="3"/>
              </w:numPr>
              <w:rPr>
                <w:rFonts w:hint="eastAsia" w:ascii="宋体" w:hAnsi="宋体"/>
                <w:bCs/>
                <w:color w:val="auto"/>
                <w:sz w:val="24"/>
                <w:highlight w:val="none"/>
              </w:rPr>
            </w:pPr>
            <w:r>
              <w:rPr>
                <w:rFonts w:hint="eastAsia" w:ascii="宋体" w:hAnsi="宋体"/>
                <w:bCs/>
                <w:color w:val="auto"/>
                <w:sz w:val="24"/>
                <w:highlight w:val="none"/>
              </w:rPr>
              <w:t>专业硬件设备配置：</w:t>
            </w:r>
          </w:p>
          <w:p w14:paraId="1F6F3BEF">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CPU类型：</w:t>
            </w:r>
            <w:r>
              <w:rPr>
                <w:rFonts w:hint="eastAsia" w:ascii="宋体" w:hAnsi="宋体" w:cs="宋体"/>
                <w:color w:val="auto"/>
                <w:sz w:val="24"/>
                <w:highlight w:val="none"/>
              </w:rPr>
              <w:t>英特尔i5处理器或更高</w:t>
            </w:r>
            <w:r>
              <w:rPr>
                <w:rFonts w:hint="eastAsia" w:ascii="宋体" w:hAnsi="宋体" w:cs="宋体"/>
                <w:bCs/>
                <w:color w:val="auto"/>
                <w:sz w:val="24"/>
                <w:highlight w:val="none"/>
              </w:rPr>
              <w:t>；</w:t>
            </w:r>
          </w:p>
          <w:p w14:paraId="095AF8C6">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内存：</w:t>
            </w:r>
            <w:r>
              <w:rPr>
                <w:rFonts w:hint="eastAsia" w:ascii="宋体" w:hAnsi="宋体" w:cs="宋体"/>
                <w:bCs/>
                <w:color w:val="auto"/>
                <w:sz w:val="24"/>
                <w:highlight w:val="none"/>
              </w:rPr>
              <w:t>8GB</w:t>
            </w:r>
            <w:r>
              <w:rPr>
                <w:rFonts w:hint="eastAsia" w:ascii="宋体" w:hAnsi="宋体" w:cs="宋体"/>
                <w:color w:val="auto"/>
                <w:sz w:val="24"/>
                <w:highlight w:val="none"/>
              </w:rPr>
              <w:t>高速内存或更高</w:t>
            </w:r>
            <w:r>
              <w:rPr>
                <w:rFonts w:hint="eastAsia" w:ascii="宋体" w:hAnsi="宋体"/>
                <w:bCs/>
                <w:color w:val="auto"/>
                <w:sz w:val="24"/>
                <w:highlight w:val="none"/>
              </w:rPr>
              <w:t>；</w:t>
            </w:r>
          </w:p>
          <w:p w14:paraId="02067935">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固态硬盘：1TB高速固态硬盘（最大可扩展至2TB）；</w:t>
            </w:r>
          </w:p>
          <w:p w14:paraId="4D649F59">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显示器：11.6英寸高亮度触摸液晶显示器，分辩率1920×1080；</w:t>
            </w:r>
          </w:p>
          <w:p w14:paraId="284202E9">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多功能读卡模块功能：兼容国内所有SIM卡</w:t>
            </w:r>
            <w:r>
              <w:rPr>
                <w:rFonts w:hAnsi="宋体"/>
                <w:color w:val="auto"/>
                <w:sz w:val="24"/>
                <w:highlight w:val="none"/>
              </w:rPr>
              <w:t>(</w:t>
            </w:r>
            <w:r>
              <w:rPr>
                <w:rFonts w:hint="eastAsia" w:hAnsi="宋体"/>
                <w:color w:val="auto"/>
                <w:sz w:val="24"/>
                <w:highlight w:val="none"/>
              </w:rPr>
              <w:t>包括</w:t>
            </w:r>
            <w:r>
              <w:rPr>
                <w:rFonts w:hAnsi="宋体"/>
                <w:color w:val="auto"/>
                <w:sz w:val="24"/>
                <w:highlight w:val="none"/>
              </w:rPr>
              <w:t>2G\3G\4G\5G)</w:t>
            </w:r>
            <w:r>
              <w:rPr>
                <w:rFonts w:hint="eastAsia" w:ascii="宋体" w:hAnsi="宋体"/>
                <w:bCs/>
                <w:color w:val="auto"/>
                <w:sz w:val="24"/>
                <w:highlight w:val="none"/>
              </w:rPr>
              <w:t>，应支持各类Flash卡（包括SD/TF）；</w:t>
            </w:r>
          </w:p>
          <w:p w14:paraId="07766C81">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USB口：内置4个3.0，3个2.0；</w:t>
            </w:r>
          </w:p>
          <w:p w14:paraId="652D4BC1">
            <w:pPr>
              <w:pStyle w:val="29"/>
              <w:numPr>
                <w:ilvl w:val="0"/>
                <w:numId w:val="5"/>
              </w:numPr>
              <w:ind w:left="0" w:firstLine="480"/>
              <w:rPr>
                <w:rFonts w:hint="eastAsia" w:ascii="宋体" w:hAnsi="宋体" w:cs="宋体"/>
                <w:color w:val="auto"/>
                <w:sz w:val="24"/>
                <w:szCs w:val="24"/>
                <w:highlight w:val="none"/>
              </w:rPr>
            </w:pPr>
            <w:r>
              <w:rPr>
                <w:rFonts w:hint="eastAsia" w:ascii="宋体" w:hAnsi="宋体" w:cs="宋体"/>
                <w:bCs/>
                <w:color w:val="auto"/>
                <w:sz w:val="24"/>
                <w:szCs w:val="24"/>
                <w:highlight w:val="none"/>
              </w:rPr>
              <w:t>内置WiFi、蓝牙模块；</w:t>
            </w:r>
          </w:p>
          <w:p w14:paraId="15C0227A">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并行提取模块：支持4路并行智能提取；</w:t>
            </w:r>
          </w:p>
          <w:p w14:paraId="06F7635D">
            <w:pPr>
              <w:numPr>
                <w:ilvl w:val="0"/>
                <w:numId w:val="4"/>
              </w:numPr>
              <w:ind w:left="0" w:firstLine="480" w:firstLineChars="200"/>
              <w:rPr>
                <w:rFonts w:hint="eastAsia" w:ascii="宋体" w:hAnsi="宋体"/>
                <w:bCs/>
                <w:color w:val="auto"/>
                <w:sz w:val="24"/>
                <w:highlight w:val="none"/>
              </w:rPr>
            </w:pPr>
            <w:r>
              <w:rPr>
                <w:rFonts w:hint="eastAsia" w:ascii="宋体" w:hAnsi="宋体"/>
                <w:bCs/>
                <w:color w:val="auto"/>
                <w:sz w:val="24"/>
                <w:highlight w:val="none"/>
              </w:rPr>
              <w:t>设备采用防尘、抗震等加固设计，对各种环境有良好的适应性。</w:t>
            </w:r>
          </w:p>
          <w:p w14:paraId="5BAB8D5F">
            <w:pPr>
              <w:numPr>
                <w:ilvl w:val="0"/>
                <w:numId w:val="3"/>
              </w:numPr>
              <w:spacing w:line="240" w:lineRule="auto"/>
              <w:rPr>
                <w:rFonts w:hint="eastAsia" w:ascii="宋体" w:hAnsi="宋体"/>
                <w:bCs/>
                <w:color w:val="auto"/>
                <w:sz w:val="24"/>
                <w:highlight w:val="none"/>
              </w:rPr>
            </w:pPr>
            <w:r>
              <w:rPr>
                <w:rFonts w:hint="eastAsia" w:ascii="宋体" w:hAnsi="宋体"/>
                <w:bCs/>
                <w:color w:val="auto"/>
                <w:sz w:val="24"/>
                <w:highlight w:val="none"/>
              </w:rPr>
              <w:t>操作系统：Windows 10 64bit。</w:t>
            </w:r>
          </w:p>
          <w:p w14:paraId="5F5B6441">
            <w:pPr>
              <w:numPr>
                <w:ilvl w:val="0"/>
                <w:numId w:val="3"/>
              </w:numPr>
              <w:spacing w:line="240" w:lineRule="auto"/>
              <w:rPr>
                <w:rFonts w:hint="eastAsia" w:ascii="宋体" w:hAnsi="宋体"/>
                <w:bCs/>
                <w:color w:val="auto"/>
                <w:sz w:val="24"/>
                <w:highlight w:val="none"/>
              </w:rPr>
            </w:pPr>
            <w:r>
              <w:rPr>
                <w:rFonts w:hint="eastAsia" w:ascii="宋体" w:hAnsi="宋体"/>
                <w:bCs/>
                <w:color w:val="auto"/>
                <w:sz w:val="24"/>
                <w:highlight w:val="none"/>
              </w:rPr>
              <w:t>★数据安全：应配备专用USB安全传输线，避免发生“一机两用”。传输速度不低于500MB/min。</w:t>
            </w:r>
          </w:p>
          <w:p w14:paraId="5021FD49">
            <w:pPr>
              <w:rPr>
                <w:rFonts w:hint="eastAsia" w:ascii="宋体" w:hAnsi="宋体" w:cs="宋体"/>
                <w:b/>
                <w:color w:val="auto"/>
                <w:sz w:val="24"/>
                <w:highlight w:val="none"/>
              </w:rPr>
            </w:pPr>
            <w:r>
              <w:rPr>
                <w:rFonts w:hint="eastAsia" w:ascii="宋体" w:hAnsi="宋体"/>
                <w:b/>
                <w:bCs/>
                <w:color w:val="auto"/>
                <w:sz w:val="24"/>
                <w:highlight w:val="none"/>
              </w:rPr>
              <w:t>二、功能参数</w:t>
            </w:r>
          </w:p>
          <w:p w14:paraId="42FEB408">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智能提取</w:t>
            </w:r>
          </w:p>
          <w:p w14:paraId="404D80E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需支持通过多种连接通道（数据线、WiFi、蓝牙、物理读取、SIM卡）实现数据智能提取。</w:t>
            </w:r>
          </w:p>
          <w:p w14:paraId="7858051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要求能够提取检材基本信息、存储文件和应用信息，包括常用APP与重点关注的高危敏感APP以及应用分身信息。</w:t>
            </w:r>
          </w:p>
          <w:p w14:paraId="63C96E38">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并行提取</w:t>
            </w:r>
          </w:p>
          <w:p w14:paraId="4196533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要求能够支持多个案件手机并行提取，至少支持4路并行智能提取。</w:t>
            </w:r>
          </w:p>
          <w:p w14:paraId="3F02CB35">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补充提取</w:t>
            </w:r>
          </w:p>
          <w:p w14:paraId="693A7782">
            <w:pPr>
              <w:pStyle w:val="29"/>
              <w:ind w:left="68"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需支持对已完成数据提取的检材进行补充提取，用户可自定义补充提取数据。</w:t>
            </w:r>
          </w:p>
          <w:p w14:paraId="0307AC78">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WiFi提取</w:t>
            </w:r>
          </w:p>
          <w:p w14:paraId="58701CD5">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需支持WiFi无线备份读取华为、荣耀、小米、OPPO、vivo、realme、一加等品牌应用数据。</w:t>
            </w:r>
          </w:p>
          <w:p w14:paraId="600EFBC9">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扫码提取</w:t>
            </w:r>
          </w:p>
          <w:p w14:paraId="39DE27C9">
            <w:pPr>
              <w:pStyle w:val="29"/>
              <w:numPr>
                <w:ilvl w:val="255"/>
                <w:numId w:val="0"/>
              </w:numPr>
              <w:ind w:left="68"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要求能够对所有智能手机（含安卓、苹果、鸿蒙系统）进行微信、QQ、TIM扫码提取所有或指定会话的聊天记录。提取的数据内容包括：账号ID、昵称、聊天记录、语音、视频、图片、文件、红包、转账、网址、二维码等。</w:t>
            </w:r>
          </w:p>
          <w:p w14:paraId="1AA914BA">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SIM卡信息提取</w:t>
            </w:r>
          </w:p>
          <w:p w14:paraId="638CDAB7">
            <w:pPr>
              <w:pStyle w:val="29"/>
              <w:numPr>
                <w:ilvl w:val="255"/>
                <w:numId w:val="0"/>
              </w:num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需支持SIM卡数据提取：通讯录、短信息、运营商、SIM串号、SIM识别码。</w:t>
            </w:r>
          </w:p>
          <w:p w14:paraId="2DAF92B2">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需支持解析检材基本信息、存储文件、即时通讯、电子商务、微博、网页历史、位置轨迹、邮箱、安全软件、视频直播、云盘等。</w:t>
            </w:r>
          </w:p>
          <w:p w14:paraId="439B85F0">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应用分身</w:t>
            </w:r>
          </w:p>
          <w:p w14:paraId="406E28C5">
            <w:pPr>
              <w:numPr>
                <w:ilvl w:val="0"/>
                <w:numId w:val="7"/>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支持QQ、微信、陌陌应用分身数据及分身应用列表的提取；</w:t>
            </w:r>
          </w:p>
          <w:p w14:paraId="5D1EEC93">
            <w:pPr>
              <w:numPr>
                <w:ilvl w:val="0"/>
                <w:numId w:val="7"/>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支持华为系统分身、OPPO系统分身、vivo系统分身、分身大师（上海云致）、分身大师（北京奇虎）、分身大师多开版、双开助手(多开分身)、双开小助手、X-分身、微信领袖、平行空间、悟空分身等分身工具。</w:t>
            </w:r>
          </w:p>
          <w:p w14:paraId="0666A989">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物理提取</w:t>
            </w:r>
          </w:p>
          <w:p w14:paraId="2B828FFD">
            <w:pPr>
              <w:numPr>
                <w:ilvl w:val="0"/>
                <w:numId w:val="8"/>
              </w:num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支持自定义选择镜像分区；</w:t>
            </w:r>
          </w:p>
          <w:p w14:paraId="4ADA9E9F">
            <w:pPr>
              <w:numPr>
                <w:ilvl w:val="0"/>
                <w:numId w:val="8"/>
              </w:num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支持华为、vivo、OPPO、小米、中兴、8848、三星等手机品牌，无需root、无需打开USB调试模式，免拆机获取物理镜像，并可深度恢复通讯录、短信、QQ、微信等删除数据。</w:t>
            </w:r>
          </w:p>
          <w:p w14:paraId="40041F11">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★云数据采集</w:t>
            </w:r>
          </w:p>
          <w:p w14:paraId="792898D4">
            <w:pPr>
              <w:ind w:left="420" w:leftChars="200"/>
              <w:rPr>
                <w:rFonts w:hint="eastAsia" w:ascii="宋体" w:hAnsi="宋体" w:cs="宋体"/>
                <w:color w:val="auto"/>
                <w:sz w:val="24"/>
                <w:highlight w:val="none"/>
              </w:rPr>
            </w:pPr>
            <w:r>
              <w:rPr>
                <w:rFonts w:hint="eastAsia" w:ascii="宋体" w:hAnsi="宋体" w:cs="宋体"/>
                <w:color w:val="auto"/>
                <w:sz w:val="24"/>
                <w:highlight w:val="none"/>
              </w:rPr>
              <w:t>支持短信验证码、二维码、账号密码等登录方式提取存储在云服务器上的应用信息；支持对所有智能手机（含安卓、苹果、鸿蒙系统）进行云数据提取。</w:t>
            </w:r>
          </w:p>
          <w:p w14:paraId="257BEC10">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文件解析</w:t>
            </w:r>
          </w:p>
          <w:p w14:paraId="1E1BDCC9">
            <w:pPr>
              <w:numPr>
                <w:ilvl w:val="0"/>
                <w:numId w:val="9"/>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支持iOS备份文件解析，在已知密码情况下实现对加密备份文件的解析；</w:t>
            </w:r>
          </w:p>
          <w:p w14:paraId="2DF1BCA0">
            <w:pPr>
              <w:numPr>
                <w:ilvl w:val="0"/>
                <w:numId w:val="9"/>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支持Android、鸿蒙备份文件解析，支持ADB备份解析，支持主流安卓手机品牌及鸿蒙手机自带备份工具备份解析，包含华为、小米、OPPO、vivo、魅族、一加等主流品牌；</w:t>
            </w:r>
          </w:p>
          <w:p w14:paraId="2DDE030B">
            <w:pPr>
              <w:numPr>
                <w:ilvl w:val="0"/>
                <w:numId w:val="9"/>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支持华为OTG备份文件解析；</w:t>
            </w:r>
          </w:p>
          <w:p w14:paraId="39278A53">
            <w:pPr>
              <w:numPr>
                <w:ilvl w:val="0"/>
                <w:numId w:val="9"/>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支持镜像文件解析，包含Android、iPhone、功能机等镜像文件解析；</w:t>
            </w:r>
          </w:p>
          <w:p w14:paraId="3CF25703">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数据恢复</w:t>
            </w:r>
          </w:p>
          <w:p w14:paraId="3800E528">
            <w:pPr>
              <w:numPr>
                <w:ilvl w:val="0"/>
                <w:numId w:val="10"/>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支持对所有智能手机（含安卓、苹果、鸿蒙系统）及部分功能手机进行已删除数据恢复，支持恢复手机通讯录、通话记录、短信、日历、记事本和系统日志等；</w:t>
            </w:r>
          </w:p>
          <w:p w14:paraId="15640BEC">
            <w:pPr>
              <w:numPr>
                <w:ilvl w:val="0"/>
                <w:numId w:val="10"/>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支持恢复所有智能手机（含安卓、苹果、鸿蒙系统）应用程序中已删除的文字、图片、文档等数据，手机应用程序包括QQ、微信、TIM、钉钉、陌陌、Facebook等应用程序；</w:t>
            </w:r>
          </w:p>
          <w:p w14:paraId="3A2A0ECA">
            <w:pPr>
              <w:numPr>
                <w:ilvl w:val="0"/>
                <w:numId w:val="10"/>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支持Android手机基于镜像的深度恢复已删除数据及文件，包括图片、视频、音频、XML、PDF、doc、docx、xls、xlsx、ZIP、HTML、sqlite db等文件。</w:t>
            </w:r>
          </w:p>
          <w:p w14:paraId="7A861BBE">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数据浏览查看</w:t>
            </w:r>
          </w:p>
          <w:p w14:paraId="05E3495B">
            <w:pPr>
              <w:numPr>
                <w:ilvl w:val="0"/>
                <w:numId w:val="11"/>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支持聊天记录会话模式数据查看；</w:t>
            </w:r>
          </w:p>
          <w:p w14:paraId="7B81C8F3">
            <w:pPr>
              <w:numPr>
                <w:ilvl w:val="0"/>
                <w:numId w:val="11"/>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支持手机图片查看</w:t>
            </w:r>
            <w:r>
              <w:rPr>
                <w:rFonts w:hint="eastAsia" w:ascii="宋体" w:hAnsi="宋体" w:cs="宋体"/>
                <w:bCs/>
                <w:color w:val="auto"/>
                <w:sz w:val="24"/>
                <w:highlight w:val="none"/>
              </w:rPr>
              <w:t>及音视频播放</w:t>
            </w:r>
            <w:r>
              <w:rPr>
                <w:rFonts w:hint="eastAsia" w:ascii="宋体" w:hAnsi="宋体" w:cs="宋体"/>
                <w:color w:val="auto"/>
                <w:sz w:val="24"/>
                <w:highlight w:val="none"/>
              </w:rPr>
              <w:t>；</w:t>
            </w:r>
          </w:p>
          <w:p w14:paraId="3D070884">
            <w:pPr>
              <w:numPr>
                <w:ilvl w:val="0"/>
                <w:numId w:val="11"/>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支持多语言显示，能显示提取内容中的中文、英语等多国语言。</w:t>
            </w:r>
          </w:p>
          <w:p w14:paraId="51DE7BB4">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★要求能够自定义提取方案</w:t>
            </w:r>
          </w:p>
          <w:p w14:paraId="5F3C9ABB">
            <w:pPr>
              <w:numPr>
                <w:ilvl w:val="0"/>
                <w:numId w:val="12"/>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产品支持多种提取方案，包括默认方案、快速采集、全量采集、自定义等，可根据需要配置或选择提取方案进行数据读取。</w:t>
            </w:r>
          </w:p>
          <w:p w14:paraId="3308D8D1">
            <w:pPr>
              <w:numPr>
                <w:ilvl w:val="0"/>
                <w:numId w:val="12"/>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产品支持单独设置各类应用是否读取附件；</w:t>
            </w:r>
          </w:p>
          <w:p w14:paraId="75729E71">
            <w:pPr>
              <w:numPr>
                <w:ilvl w:val="0"/>
                <w:numId w:val="12"/>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产品支持单独配置即时通讯各个APP是否读取图片、是否读取音频、是否读取视频、是否读取聊天内容；</w:t>
            </w:r>
          </w:p>
          <w:p w14:paraId="4935510F">
            <w:pPr>
              <w:numPr>
                <w:ilvl w:val="0"/>
                <w:numId w:val="12"/>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产品支持必采数据项配置，以使得采集满足考核要求；</w:t>
            </w:r>
          </w:p>
          <w:p w14:paraId="1D73779B">
            <w:pPr>
              <w:numPr>
                <w:ilvl w:val="0"/>
                <w:numId w:val="12"/>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支持在线统一配置读取方案，方案内容包括读取的各项内容，支持配置每一项是否允许终端修改。</w:t>
            </w:r>
          </w:p>
          <w:p w14:paraId="71C02FE6">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★智能汇聚</w:t>
            </w:r>
          </w:p>
          <w:p w14:paraId="74FA8C67">
            <w:pPr>
              <w:ind w:firstLine="480" w:firstLineChars="200"/>
              <w:rPr>
                <w:rFonts w:hint="eastAsia" w:ascii="宋体" w:hAnsi="宋体" w:cs="宋体"/>
                <w:color w:val="auto"/>
                <w:sz w:val="24"/>
                <w:highlight w:val="none"/>
              </w:rPr>
            </w:pPr>
            <w:r>
              <w:rPr>
                <w:rFonts w:hint="eastAsia" w:ascii="宋体" w:hAnsi="宋体"/>
                <w:bCs/>
                <w:color w:val="auto"/>
                <w:sz w:val="24"/>
                <w:highlight w:val="none"/>
              </w:rPr>
              <w:t>支持自动进行人像、资金、位置、文档等数据的智能聚合分析，便于快速分析关键数据，提升研判效率。</w:t>
            </w:r>
          </w:p>
          <w:p w14:paraId="4AE94361">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★全智能在线分析预警</w:t>
            </w:r>
          </w:p>
          <w:p w14:paraId="71CAB2BB">
            <w:pPr>
              <w:ind w:left="420" w:leftChars="200"/>
              <w:rPr>
                <w:rFonts w:hint="eastAsia" w:ascii="宋体" w:hAnsi="宋体" w:cs="宋体"/>
                <w:color w:val="auto"/>
                <w:sz w:val="24"/>
                <w:highlight w:val="none"/>
              </w:rPr>
            </w:pPr>
            <w:r>
              <w:rPr>
                <w:rFonts w:hint="eastAsia" w:ascii="宋体" w:hAnsi="宋体" w:cs="宋体"/>
                <w:color w:val="auto"/>
                <w:sz w:val="24"/>
                <w:highlight w:val="none"/>
              </w:rPr>
              <w:t>通过对手机提取到的各类数据进行汇集、建模、敏感词分析、关系挖掘、风险识别、模型计算，可依托云眼大数据平台实现手机数据的自动化、智能化实时分析能力，以可视化方式展示分析对象高危特征、敏感特征和一般特征，并按照红、橙、蓝规则进行标识；基于风险图谱、机主信息、时序分析、标签云、活动规律、联系人分布、选中对象等组件，实现手机数据全智能在线分析；</w:t>
            </w:r>
          </w:p>
          <w:p w14:paraId="0837AF9D">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数据管理</w:t>
            </w:r>
          </w:p>
          <w:p w14:paraId="5B58E14A">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对接在线平台：提取的手机数据必须支持上传至公安研判系统；</w:t>
            </w:r>
          </w:p>
          <w:p w14:paraId="7BC7CA1E">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内容检索：需支持手机数据、人员信息的关键字检索；</w:t>
            </w:r>
          </w:p>
          <w:p w14:paraId="3AA1D2DD">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数据导入：需支持导入同系列采集设备生成的GED文件；</w:t>
            </w:r>
          </w:p>
          <w:p w14:paraId="6D234CC3">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数据导出：需支持数据以GED、BCP、EFP格式导出；</w:t>
            </w:r>
          </w:p>
          <w:p w14:paraId="7E44C4EE">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智能笔录：需支持按笔录模板一键自动生成《电子数据检查笔录》并支持内容编辑；</w:t>
            </w:r>
          </w:p>
          <w:p w14:paraId="2F43D479">
            <w:pPr>
              <w:numPr>
                <w:ilvl w:val="0"/>
                <w:numId w:val="13"/>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报告导出：需支持导出符合用户需求和相关标准的取证报告，支持导出HTML、EXCEL、WORD等文件格式报告。</w:t>
            </w:r>
          </w:p>
          <w:p w14:paraId="583B0317">
            <w:pPr>
              <w:pStyle w:val="29"/>
              <w:numPr>
                <w:ilvl w:val="0"/>
                <w:numId w:val="6"/>
              </w:numPr>
              <w:ind w:left="0"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系统管理</w:t>
            </w:r>
          </w:p>
          <w:p w14:paraId="6AF28117">
            <w:pPr>
              <w:numPr>
                <w:ilvl w:val="0"/>
                <w:numId w:val="14"/>
              </w:num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系统日志：包括登录、信息提取、数据同步、数据管理及用户管理等日志信息；</w:t>
            </w:r>
          </w:p>
          <w:p w14:paraId="744F333B">
            <w:pPr>
              <w:numPr>
                <w:ilvl w:val="0"/>
                <w:numId w:val="14"/>
              </w:numPr>
              <w:ind w:left="0" w:firstLine="480" w:firstLineChars="200"/>
              <w:rPr>
                <w:rFonts w:hint="eastAsia" w:ascii="宋体" w:hAnsi="宋体"/>
                <w:bCs/>
                <w:color w:val="auto"/>
                <w:sz w:val="24"/>
                <w:highlight w:val="none"/>
              </w:rPr>
            </w:pPr>
            <w:r>
              <w:rPr>
                <w:rFonts w:hint="eastAsia" w:ascii="宋体" w:hAnsi="宋体" w:cs="宋体"/>
                <w:color w:val="auto"/>
                <w:sz w:val="24"/>
                <w:highlight w:val="none"/>
              </w:rPr>
              <w:t>系统管理：包含系统参数设置、提取方案设置、密码管理、用户管理、</w:t>
            </w:r>
            <w:r>
              <w:rPr>
                <w:rFonts w:ascii="宋体" w:hAnsi="宋体" w:cs="宋体"/>
                <w:color w:val="auto"/>
                <w:sz w:val="24"/>
                <w:highlight w:val="none"/>
              </w:rPr>
              <w:t>导出上传设置</w:t>
            </w:r>
            <w:r>
              <w:rPr>
                <w:rFonts w:hint="eastAsia" w:ascii="宋体" w:hAnsi="宋体" w:cs="宋体"/>
                <w:color w:val="auto"/>
                <w:sz w:val="24"/>
                <w:highlight w:val="none"/>
              </w:rPr>
              <w:t>等。</w:t>
            </w:r>
          </w:p>
        </w:tc>
      </w:tr>
      <w:tr w14:paraId="7A96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1098" w:type="dxa"/>
            <w:vAlign w:val="center"/>
          </w:tcPr>
          <w:p w14:paraId="08921C6E">
            <w:pPr>
              <w:pStyle w:val="12"/>
              <w:spacing w:line="360" w:lineRule="auto"/>
              <w:jc w:val="center"/>
              <w:rPr>
                <w:rFonts w:hint="eastAsia" w:hAnsi="宋体"/>
                <w:color w:val="auto"/>
                <w:sz w:val="24"/>
                <w:highlight w:val="none"/>
                <w:lang w:bidi="en-US"/>
              </w:rPr>
            </w:pPr>
            <w:r>
              <w:rPr>
                <w:rFonts w:hint="eastAsia" w:hAnsi="宋体"/>
                <w:color w:val="auto"/>
                <w:sz w:val="24"/>
                <w:highlight w:val="none"/>
                <w:lang w:bidi="en-US"/>
              </w:rPr>
              <w:t>新型涉网综合研判系统</w:t>
            </w:r>
          </w:p>
        </w:tc>
        <w:tc>
          <w:tcPr>
            <w:tcW w:w="8561" w:type="dxa"/>
            <w:vAlign w:val="center"/>
          </w:tcPr>
          <w:p w14:paraId="68595E82">
            <w:pPr>
              <w:numPr>
                <w:ilvl w:val="0"/>
                <w:numId w:val="15"/>
              </w:numPr>
              <w:rPr>
                <w:rFonts w:hint="eastAsia" w:ascii="宋体" w:hAnsi="宋体" w:cs="宋体"/>
                <w:b/>
                <w:bCs/>
                <w:color w:val="auto"/>
                <w:sz w:val="24"/>
                <w:highlight w:val="none"/>
              </w:rPr>
            </w:pPr>
            <w:r>
              <w:rPr>
                <w:rFonts w:hint="eastAsia" w:ascii="宋体" w:hAnsi="宋体" w:cs="宋体"/>
                <w:b/>
                <w:bCs/>
                <w:color w:val="auto"/>
                <w:sz w:val="24"/>
                <w:highlight w:val="none"/>
              </w:rPr>
              <w:t>新型涉网勘查串并数据总览</w:t>
            </w:r>
          </w:p>
          <w:p w14:paraId="478B840F">
            <w:pPr>
              <w:rPr>
                <w:rFonts w:hint="eastAsia" w:ascii="宋体" w:hAnsi="宋体" w:cs="宋体"/>
                <w:color w:val="auto"/>
                <w:sz w:val="24"/>
                <w:highlight w:val="none"/>
              </w:rPr>
            </w:pPr>
            <w:r>
              <w:rPr>
                <w:rFonts w:hint="eastAsia" w:ascii="宋体" w:hAnsi="宋体" w:cs="宋体"/>
                <w:color w:val="auto"/>
                <w:sz w:val="24"/>
                <w:highlight w:val="none"/>
              </w:rPr>
              <w:t>应支持按照串并时间范围，对串并数据的总体情况进行呈现，如串并总数、涉案总金额、各区域串并情况等。</w:t>
            </w:r>
          </w:p>
          <w:p w14:paraId="4E55FD54">
            <w:pPr>
              <w:numPr>
                <w:ilvl w:val="0"/>
                <w:numId w:val="15"/>
              </w:numPr>
              <w:rPr>
                <w:rFonts w:hint="eastAsia" w:ascii="宋体" w:hAnsi="宋体" w:cs="宋体"/>
                <w:b/>
                <w:bCs/>
                <w:color w:val="auto"/>
                <w:sz w:val="24"/>
                <w:highlight w:val="none"/>
              </w:rPr>
            </w:pPr>
            <w:r>
              <w:rPr>
                <w:rFonts w:hint="eastAsia" w:ascii="宋体" w:hAnsi="宋体" w:cs="宋体"/>
                <w:b/>
                <w:bCs/>
                <w:color w:val="auto"/>
                <w:sz w:val="24"/>
                <w:highlight w:val="none"/>
              </w:rPr>
              <w:t>涉网综合串并</w:t>
            </w:r>
          </w:p>
          <w:p w14:paraId="53E45D1A">
            <w:pPr>
              <w:numPr>
                <w:ilvl w:val="0"/>
                <w:numId w:val="16"/>
              </w:numPr>
              <w:rPr>
                <w:rFonts w:hint="eastAsia" w:ascii="宋体" w:hAnsi="宋体" w:cs="宋体"/>
                <w:color w:val="auto"/>
                <w:sz w:val="24"/>
                <w:highlight w:val="none"/>
              </w:rPr>
            </w:pPr>
            <w:r>
              <w:rPr>
                <w:rFonts w:ascii="宋体" w:hAnsi="宋体" w:cs="宋体"/>
                <w:color w:val="auto"/>
                <w:sz w:val="24"/>
                <w:highlight w:val="none"/>
              </w:rPr>
              <w:t>串并工作台</w:t>
            </w:r>
            <w:r>
              <w:rPr>
                <w:rFonts w:ascii="宋体" w:hAnsi="宋体" w:cs="宋体"/>
                <w:color w:val="auto"/>
                <w:sz w:val="24"/>
                <w:highlight w:val="none"/>
              </w:rPr>
              <w:tab/>
            </w:r>
          </w:p>
          <w:p w14:paraId="7AD48343">
            <w:pPr>
              <w:spacing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应支持查看串并数据概况，包括总串并数、今日新增串并数、涉案总金额、含有嫌疑人语音的串并数、现场数等基本数据；支持通过自定义筛选条件对串并结果进行多维度查询，可对高额串等数据进行快速筛选。支持按照串并时间、现场数量、涉案金额等不同条件进行结果排序。</w:t>
            </w:r>
          </w:p>
          <w:p w14:paraId="45BC92DB">
            <w:pPr>
              <w:numPr>
                <w:ilvl w:val="0"/>
                <w:numId w:val="16"/>
              </w:numPr>
              <w:rPr>
                <w:rFonts w:hint="eastAsia" w:ascii="宋体" w:hAnsi="宋体" w:cs="宋体"/>
                <w:color w:val="auto"/>
                <w:sz w:val="24"/>
                <w:highlight w:val="none"/>
              </w:rPr>
            </w:pPr>
            <w:r>
              <w:rPr>
                <w:rFonts w:ascii="宋体" w:hAnsi="宋体" w:cs="宋体"/>
                <w:color w:val="auto"/>
                <w:sz w:val="24"/>
                <w:highlight w:val="none"/>
              </w:rPr>
              <w:t>串并详情</w:t>
            </w:r>
            <w:r>
              <w:rPr>
                <w:rFonts w:ascii="宋体" w:hAnsi="宋体" w:cs="宋体"/>
                <w:color w:val="auto"/>
                <w:sz w:val="24"/>
                <w:highlight w:val="none"/>
              </w:rPr>
              <w:tab/>
            </w:r>
          </w:p>
          <w:p w14:paraId="6E5ABC97">
            <w:pPr>
              <w:spacing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支持查看数据串的详细信息，包括串并编号、串并类型、串并依据、涉案总金额、串并时间等串并基本信息，可通过列表、拓扑图等不同形式展现数据串中案件之间的串并关系，支持以列表的形式展现数据串中的现场列表及现场对应的串并依据详情，可按照发案时间、勘验时间、串并时间、分布区域等不同要素对数据串进行梳理，形成串并日志。</w:t>
            </w:r>
          </w:p>
          <w:p w14:paraId="2A01CF50">
            <w:pPr>
              <w:numPr>
                <w:ilvl w:val="0"/>
                <w:numId w:val="16"/>
              </w:numPr>
              <w:rPr>
                <w:rFonts w:hint="eastAsia" w:ascii="宋体" w:hAnsi="宋体" w:cs="宋体"/>
                <w:color w:val="auto"/>
                <w:sz w:val="24"/>
                <w:highlight w:val="none"/>
              </w:rPr>
            </w:pPr>
            <w:r>
              <w:rPr>
                <w:rFonts w:ascii="宋体" w:hAnsi="宋体" w:cs="宋体"/>
                <w:color w:val="auto"/>
                <w:sz w:val="24"/>
                <w:highlight w:val="none"/>
              </w:rPr>
              <w:t>我的关注</w:t>
            </w:r>
            <w:r>
              <w:rPr>
                <w:rFonts w:ascii="宋体" w:hAnsi="宋体" w:cs="宋体"/>
                <w:color w:val="auto"/>
                <w:sz w:val="24"/>
                <w:highlight w:val="none"/>
              </w:rPr>
              <w:tab/>
            </w:r>
          </w:p>
          <w:p w14:paraId="227AFD9E">
            <w:pPr>
              <w:spacing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系统支持关注/取消关注数据串，可通过勘验单位、案件状态、串并时间、涉案金额、现场数量等查询条件对关注的数据进行筛选。当已关注的数据串发生变动时，可通知关注用户及时查看变动内容。</w:t>
            </w:r>
          </w:p>
          <w:p w14:paraId="636049CC">
            <w:pPr>
              <w:numPr>
                <w:ilvl w:val="0"/>
                <w:numId w:val="15"/>
              </w:numPr>
              <w:spacing w:line="240" w:lineRule="auto"/>
              <w:rPr>
                <w:rFonts w:hint="eastAsia" w:ascii="仿宋" w:hAnsi="仿宋"/>
                <w:b/>
                <w:bCs/>
                <w:color w:val="auto"/>
                <w:sz w:val="24"/>
                <w:highlight w:val="none"/>
              </w:rPr>
            </w:pPr>
            <w:r>
              <w:rPr>
                <w:rFonts w:hint="eastAsia" w:ascii="仿宋" w:hAnsi="仿宋"/>
                <w:b/>
                <w:bCs/>
                <w:color w:val="auto"/>
                <w:sz w:val="24"/>
                <w:highlight w:val="none"/>
              </w:rPr>
              <w:t>要素剔除管理</w:t>
            </w:r>
            <w:r>
              <w:rPr>
                <w:rFonts w:ascii="仿宋" w:hAnsi="仿宋"/>
                <w:b/>
                <w:bCs/>
                <w:color w:val="auto"/>
                <w:sz w:val="24"/>
                <w:highlight w:val="none"/>
              </w:rPr>
              <w:t xml:space="preserve"> </w:t>
            </w:r>
          </w:p>
          <w:p w14:paraId="7FFC082C">
            <w:pPr>
              <w:numPr>
                <w:ilvl w:val="0"/>
                <w:numId w:val="17"/>
              </w:numPr>
              <w:spacing w:line="240" w:lineRule="auto"/>
              <w:rPr>
                <w:rFonts w:hint="eastAsia" w:ascii="仿宋" w:hAnsi="仿宋"/>
                <w:color w:val="auto"/>
                <w:sz w:val="24"/>
                <w:highlight w:val="none"/>
              </w:rPr>
            </w:pPr>
            <w:r>
              <w:rPr>
                <w:rFonts w:ascii="仿宋" w:hAnsi="仿宋"/>
                <w:color w:val="auto"/>
                <w:sz w:val="24"/>
                <w:highlight w:val="none"/>
              </w:rPr>
              <w:t>我发起的剔除申请</w:t>
            </w:r>
            <w:r>
              <w:rPr>
                <w:rFonts w:ascii="仿宋" w:hAnsi="仿宋"/>
                <w:color w:val="auto"/>
                <w:sz w:val="24"/>
                <w:highlight w:val="none"/>
              </w:rPr>
              <w:tab/>
            </w:r>
          </w:p>
          <w:p w14:paraId="02D283DD">
            <w:pPr>
              <w:spacing w:after="0" w:line="240" w:lineRule="auto"/>
              <w:ind w:firstLine="480" w:firstLineChars="200"/>
              <w:rPr>
                <w:rFonts w:hint="eastAsia" w:ascii="仿宋" w:hAnsi="仿宋"/>
                <w:color w:val="auto"/>
                <w:sz w:val="24"/>
                <w:highlight w:val="none"/>
              </w:rPr>
            </w:pPr>
            <w:r>
              <w:rPr>
                <w:rFonts w:ascii="宋体" w:hAnsi="宋体" w:cs="宋体"/>
                <w:color w:val="auto"/>
                <w:sz w:val="24"/>
                <w:highlight w:val="none"/>
              </w:rPr>
              <w:t>支持对影响串并结果的串并依据要素值发起剔除申请，通过适当的人工干预，提高串并结果的准确性。系统可提供要素剔除申请的管理功能，可通过快速筛选条件及检索条件对数据进行查询，支持查看每条申请的审核流程和当前的审核节点，支持导出查询结果列表。</w:t>
            </w:r>
          </w:p>
          <w:p w14:paraId="61195CC5">
            <w:pPr>
              <w:numPr>
                <w:ilvl w:val="0"/>
                <w:numId w:val="17"/>
              </w:numPr>
              <w:spacing w:line="240" w:lineRule="auto"/>
              <w:rPr>
                <w:rFonts w:hint="eastAsia" w:ascii="仿宋" w:hAnsi="仿宋"/>
                <w:color w:val="auto"/>
                <w:sz w:val="24"/>
                <w:highlight w:val="none"/>
              </w:rPr>
            </w:pPr>
            <w:r>
              <w:rPr>
                <w:rFonts w:ascii="仿宋" w:hAnsi="仿宋"/>
                <w:color w:val="auto"/>
                <w:sz w:val="24"/>
                <w:highlight w:val="none"/>
              </w:rPr>
              <w:t>剔除审核</w:t>
            </w:r>
            <w:r>
              <w:rPr>
                <w:rFonts w:ascii="仿宋" w:hAnsi="仿宋"/>
                <w:color w:val="auto"/>
                <w:sz w:val="24"/>
                <w:highlight w:val="none"/>
              </w:rPr>
              <w:tab/>
            </w:r>
          </w:p>
          <w:p w14:paraId="2508E735">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管理员用户对“要素剔除申请”进行审核，审核通过后被剔除的要素不再参与后续串并过程，审核不通过需要提供不通过原因说明。支持通过快速筛选条件及查询条件对数据进行查询。</w:t>
            </w:r>
          </w:p>
          <w:p w14:paraId="619AAD79">
            <w:pPr>
              <w:spacing w:after="0" w:line="240" w:lineRule="auto"/>
              <w:rPr>
                <w:rFonts w:hint="eastAsia" w:ascii="宋体" w:hAnsi="宋体" w:cs="宋体"/>
                <w:color w:val="auto"/>
                <w:sz w:val="24"/>
                <w:highlight w:val="none"/>
              </w:rPr>
            </w:pPr>
          </w:p>
          <w:p w14:paraId="05FDF744">
            <w:pPr>
              <w:numPr>
                <w:ilvl w:val="0"/>
                <w:numId w:val="15"/>
              </w:numPr>
              <w:spacing w:line="240" w:lineRule="auto"/>
              <w:rPr>
                <w:rFonts w:hint="eastAsia" w:ascii="仿宋" w:hAnsi="仿宋"/>
                <w:b/>
                <w:bCs/>
                <w:color w:val="auto"/>
                <w:sz w:val="24"/>
                <w:highlight w:val="none"/>
              </w:rPr>
            </w:pPr>
            <w:r>
              <w:rPr>
                <w:rFonts w:hint="eastAsia" w:ascii="仿宋" w:hAnsi="仿宋"/>
                <w:b/>
                <w:bCs/>
                <w:color w:val="auto"/>
                <w:sz w:val="24"/>
                <w:highlight w:val="none"/>
              </w:rPr>
              <w:t>要素查询协查</w:t>
            </w:r>
            <w:r>
              <w:rPr>
                <w:rFonts w:ascii="仿宋" w:hAnsi="仿宋"/>
                <w:b/>
                <w:bCs/>
                <w:color w:val="auto"/>
                <w:sz w:val="24"/>
                <w:highlight w:val="none"/>
              </w:rPr>
              <w:t xml:space="preserve"> </w:t>
            </w:r>
          </w:p>
          <w:p w14:paraId="7B03AC4A">
            <w:pPr>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宋体" w:hAnsi="宋体" w:cs="宋体"/>
                <w:color w:val="auto"/>
                <w:sz w:val="24"/>
                <w:highlight w:val="none"/>
              </w:rPr>
              <w:t>（1）</w:t>
            </w:r>
            <w:r>
              <w:rPr>
                <w:rFonts w:ascii="宋体" w:hAnsi="宋体" w:cs="宋体"/>
                <w:color w:val="auto"/>
                <w:sz w:val="24"/>
                <w:highlight w:val="none"/>
              </w:rPr>
              <w:t>跨域要素协查</w:t>
            </w:r>
            <w:r>
              <w:rPr>
                <w:rFonts w:ascii="宋体" w:hAnsi="宋体" w:cs="宋体"/>
                <w:color w:val="auto"/>
                <w:sz w:val="24"/>
                <w:highlight w:val="none"/>
              </w:rPr>
              <w:tab/>
            </w:r>
          </w:p>
          <w:p w14:paraId="56F582C0">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可针对单个要素或组合要素发起协查请求，实现精准串并，协查含有指定要素值的现场列表。系统支持对协查任务进行管理，可通过快速筛选或按照提交时间、结果反馈时间、创建时间、勘验编号、案件编号等检索条件实现协查任务的查询，结果以列表形式展现。支持创建协查任务草稿，可对草稿状态的任务进行编辑和发起协查。</w:t>
            </w:r>
          </w:p>
          <w:p w14:paraId="23A5E0EF">
            <w:pPr>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宋体" w:hAnsi="宋体" w:cs="宋体"/>
                <w:color w:val="auto"/>
                <w:sz w:val="24"/>
                <w:highlight w:val="none"/>
              </w:rPr>
              <w:t>（2）</w:t>
            </w:r>
            <w:r>
              <w:rPr>
                <w:rFonts w:ascii="宋体" w:hAnsi="宋体" w:cs="宋体"/>
                <w:color w:val="auto"/>
                <w:sz w:val="24"/>
                <w:highlight w:val="none"/>
              </w:rPr>
              <w:t>现场要素统计</w:t>
            </w:r>
            <w:r>
              <w:rPr>
                <w:rFonts w:ascii="宋体" w:hAnsi="宋体" w:cs="宋体"/>
                <w:color w:val="auto"/>
                <w:sz w:val="24"/>
                <w:highlight w:val="none"/>
              </w:rPr>
              <w:tab/>
            </w:r>
          </w:p>
          <w:p w14:paraId="2DB2FADB">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可基于本地电诈事主勘查数据，以现场维度对通讯号码、涉诈APP、涉诈网站、虚拟身份、资金账号等进行聚合统计分析。支持通过通讯号码、虚拟身份号码、资金交易号码、APP信息等要素发起查询，支撑检索并导出系统中的关键勘查提取信息。</w:t>
            </w:r>
          </w:p>
          <w:p w14:paraId="464E68B8">
            <w:pPr>
              <w:numPr>
                <w:ilvl w:val="0"/>
                <w:numId w:val="15"/>
              </w:numPr>
              <w:spacing w:line="240" w:lineRule="auto"/>
              <w:rPr>
                <w:rFonts w:hint="eastAsia" w:ascii="仿宋" w:hAnsi="仿宋"/>
                <w:b/>
                <w:bCs/>
                <w:color w:val="auto"/>
                <w:sz w:val="24"/>
                <w:highlight w:val="none"/>
              </w:rPr>
            </w:pPr>
            <w:r>
              <w:rPr>
                <w:rFonts w:hint="eastAsia" w:ascii="仿宋" w:hAnsi="仿宋"/>
                <w:b/>
                <w:bCs/>
                <w:color w:val="auto"/>
                <w:sz w:val="24"/>
                <w:highlight w:val="none"/>
              </w:rPr>
              <w:t>涉网案件态势分析</w:t>
            </w:r>
            <w:r>
              <w:rPr>
                <w:rFonts w:ascii="仿宋" w:hAnsi="仿宋"/>
                <w:b/>
                <w:bCs/>
                <w:color w:val="auto"/>
                <w:sz w:val="24"/>
                <w:highlight w:val="none"/>
              </w:rPr>
              <w:t xml:space="preserve"> </w:t>
            </w:r>
          </w:p>
          <w:p w14:paraId="4914276C">
            <w:pP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涉网案件态势分析概览</w:t>
            </w:r>
            <w:r>
              <w:rPr>
                <w:rFonts w:ascii="宋体" w:hAnsi="宋体" w:cs="宋体"/>
                <w:color w:val="auto"/>
                <w:sz w:val="24"/>
                <w:highlight w:val="none"/>
              </w:rPr>
              <w:tab/>
            </w:r>
          </w:p>
          <w:p w14:paraId="25392624">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按照勘验时间、发案时间等时间范围，基于本地电诈事主勘查数据，以图表和列表形式展现类案现场统计分析、不同区域不同类别案件发案情况统计、发案趋势情况统计分析、涉案金额分布情况统计分析、转账方式统计分析、诈骗手段统计分析、受害人特征分析等涉网案件综合态势分析内容。</w:t>
            </w:r>
          </w:p>
          <w:p w14:paraId="1C78E6A2">
            <w:pPr>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宋体" w:hAnsi="宋体" w:cs="宋体"/>
                <w:color w:val="auto"/>
                <w:sz w:val="24"/>
                <w:highlight w:val="none"/>
              </w:rPr>
              <w:t>（2）</w:t>
            </w:r>
            <w:r>
              <w:rPr>
                <w:rFonts w:ascii="宋体" w:hAnsi="宋体" w:cs="宋体"/>
                <w:color w:val="auto"/>
                <w:sz w:val="24"/>
                <w:highlight w:val="none"/>
              </w:rPr>
              <w:t>类案研判</w:t>
            </w:r>
            <w:r>
              <w:rPr>
                <w:rFonts w:ascii="宋体" w:hAnsi="宋体" w:cs="宋体"/>
                <w:color w:val="auto"/>
                <w:sz w:val="24"/>
                <w:highlight w:val="none"/>
              </w:rPr>
              <w:tab/>
            </w:r>
          </w:p>
          <w:p w14:paraId="65348720">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基于本地电诈事主勘查数据，通过勘验时间、发案时间、小类案别、涉案金额、转账方式、诈骗手段、受害人特征等条件，对各类别案件进行统计分析，查询结果支持以列表形式导出。</w:t>
            </w:r>
          </w:p>
          <w:p w14:paraId="2B30D242">
            <w:pPr>
              <w:numPr>
                <w:ilvl w:val="0"/>
                <w:numId w:val="15"/>
              </w:numPr>
              <w:spacing w:line="240" w:lineRule="auto"/>
              <w:rPr>
                <w:rFonts w:hint="eastAsia" w:ascii="仿宋" w:hAnsi="仿宋"/>
                <w:b/>
                <w:bCs/>
                <w:color w:val="auto"/>
                <w:sz w:val="24"/>
                <w:highlight w:val="none"/>
              </w:rPr>
            </w:pPr>
            <w:r>
              <w:rPr>
                <w:rFonts w:hint="eastAsia" w:ascii="仿宋" w:hAnsi="仿宋"/>
                <w:b/>
                <w:bCs/>
                <w:color w:val="auto"/>
                <w:sz w:val="24"/>
                <w:highlight w:val="none"/>
              </w:rPr>
              <w:t>涉诈线索汇聚</w:t>
            </w:r>
          </w:p>
          <w:p w14:paraId="0AFEFC94">
            <w:pPr>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宋体" w:hAnsi="宋体" w:cs="宋体"/>
                <w:color w:val="auto"/>
                <w:sz w:val="24"/>
                <w:highlight w:val="none"/>
              </w:rPr>
              <w:t>（1）</w:t>
            </w:r>
            <w:r>
              <w:rPr>
                <w:rFonts w:ascii="宋体" w:hAnsi="宋体" w:cs="宋体"/>
                <w:color w:val="auto"/>
                <w:sz w:val="24"/>
                <w:highlight w:val="none"/>
              </w:rPr>
              <w:t>涉诈线索汇聚分析概览</w:t>
            </w:r>
            <w:r>
              <w:rPr>
                <w:rFonts w:ascii="宋体" w:hAnsi="宋体" w:cs="宋体"/>
                <w:color w:val="auto"/>
                <w:sz w:val="24"/>
                <w:highlight w:val="none"/>
              </w:rPr>
              <w:tab/>
            </w:r>
          </w:p>
          <w:p w14:paraId="732C81FE">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按照勘验时间、发案时间等时间范围，基于本地电诈事主勘查数据，以图表和列表形式展现涉诈APP、微信号、QQ号、电话号码、支付宝号、银行卡号、证件号等不同类型的涉诈线索（黑样本）包含的线索数、关联的现场等汇聚统计数据，支持对不同区域的黑灰产数据进行汇聚统计。</w:t>
            </w:r>
          </w:p>
          <w:p w14:paraId="0D83F160">
            <w:pPr>
              <w:rPr>
                <w:rFonts w:hint="eastAsia" w:ascii="宋体" w:hAnsi="宋体" w:cs="宋体"/>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宋体" w:hAnsi="宋体" w:cs="宋体"/>
                <w:color w:val="auto"/>
                <w:sz w:val="24"/>
                <w:highlight w:val="none"/>
              </w:rPr>
              <w:t>（2）</w:t>
            </w:r>
            <w:r>
              <w:rPr>
                <w:rFonts w:ascii="宋体" w:hAnsi="宋体" w:cs="宋体"/>
                <w:color w:val="auto"/>
                <w:sz w:val="24"/>
                <w:highlight w:val="none"/>
              </w:rPr>
              <w:t>涉诈线索汇聚分析</w:t>
            </w:r>
            <w:r>
              <w:rPr>
                <w:rFonts w:ascii="宋体" w:hAnsi="宋体" w:cs="宋体"/>
                <w:color w:val="auto"/>
                <w:sz w:val="24"/>
                <w:highlight w:val="none"/>
              </w:rPr>
              <w:tab/>
            </w:r>
          </w:p>
          <w:p w14:paraId="19CFAC58">
            <w:pPr>
              <w:spacing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对包括涉诈APP、微信号、QQ号、电话号码、支付宝号、银行卡号、证件号、其他号码等信息在内的涉诈线索进行汇聚统计，可组合不同条件查询各涉诈线索的涉案总金额、涉及现场/案件数、涉案区域等信息，查询结果支持以列表形式导出。</w:t>
            </w:r>
          </w:p>
          <w:p w14:paraId="4F1375D9">
            <w:pPr>
              <w:numPr>
                <w:ilvl w:val="0"/>
                <w:numId w:val="15"/>
              </w:numPr>
              <w:spacing w:line="240" w:lineRule="auto"/>
              <w:rPr>
                <w:rFonts w:hint="eastAsia" w:ascii="仿宋" w:hAnsi="仿宋"/>
                <w:b/>
                <w:bCs/>
                <w:color w:val="auto"/>
                <w:sz w:val="24"/>
                <w:highlight w:val="none"/>
              </w:rPr>
            </w:pPr>
            <w:r>
              <w:rPr>
                <w:rFonts w:hint="eastAsia" w:ascii="仿宋" w:hAnsi="仿宋"/>
                <w:b/>
                <w:bCs/>
                <w:color w:val="auto"/>
                <w:sz w:val="24"/>
                <w:highlight w:val="none"/>
              </w:rPr>
              <w:t>黑灰产线索汇聚</w:t>
            </w:r>
          </w:p>
          <w:p w14:paraId="389CE36B">
            <w:pP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黑灰产线索汇聚分析概览</w:t>
            </w:r>
            <w:r>
              <w:rPr>
                <w:rFonts w:ascii="宋体" w:hAnsi="宋体" w:cs="宋体"/>
                <w:color w:val="auto"/>
                <w:sz w:val="24"/>
                <w:highlight w:val="none"/>
              </w:rPr>
              <w:tab/>
            </w:r>
          </w:p>
          <w:p w14:paraId="75CD54B0">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系统支持按照勘验时间、发案时间等时间范围，基于本地电诈事主勘查数据，以图表和列表形式展现打包工具、客服系统、短信通道、统计网站、推送服务等黑灰产线索关联的涉诈APP、现场等汇聚信息。</w:t>
            </w:r>
          </w:p>
          <w:p w14:paraId="6136D574">
            <w:pPr>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黑灰产线索汇聚分析</w:t>
            </w:r>
            <w:r>
              <w:rPr>
                <w:rFonts w:ascii="宋体" w:hAnsi="宋体" w:cs="宋体"/>
                <w:color w:val="auto"/>
                <w:sz w:val="24"/>
                <w:highlight w:val="none"/>
              </w:rPr>
              <w:tab/>
            </w:r>
          </w:p>
          <w:p w14:paraId="0FA7A42D">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对打包工具、客服系统、短信通道、统计网站、推送服务等黑灰产信息进行汇聚统计，可组合不同条件查询各类黑灰产线索的涉及APP数量、涉案总金额、涉及现场/案件数、涉案区域等信息，查询结果支持以列表形式导出</w:t>
            </w:r>
            <w:r>
              <w:rPr>
                <w:rFonts w:hint="eastAsia" w:ascii="宋体" w:hAnsi="宋体" w:cs="宋体"/>
                <w:color w:val="auto"/>
                <w:sz w:val="24"/>
                <w:highlight w:val="none"/>
              </w:rPr>
              <w:t>。</w:t>
            </w:r>
          </w:p>
          <w:p w14:paraId="2D520E71">
            <w:pPr>
              <w:spacing w:after="0" w:line="240" w:lineRule="auto"/>
              <w:rPr>
                <w:rFonts w:hint="eastAsia" w:ascii="仿宋" w:hAnsi="仿宋"/>
                <w:b/>
                <w:bCs/>
                <w:color w:val="auto"/>
                <w:sz w:val="24"/>
                <w:highlight w:val="none"/>
              </w:rPr>
            </w:pPr>
            <w:r>
              <w:rPr>
                <w:rFonts w:hint="eastAsia" w:ascii="仿宋" w:hAnsi="仿宋"/>
                <w:b/>
                <w:bCs/>
                <w:color w:val="auto"/>
                <w:sz w:val="24"/>
                <w:highlight w:val="none"/>
              </w:rPr>
              <w:t>8、串并设置</w:t>
            </w:r>
          </w:p>
          <w:p w14:paraId="6BEC25CB">
            <w:pPr>
              <w:spacing w:after="0" w:line="24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系统支持对串并参数进行设置，包括串并频率/时间设置、快捷筛选菜单设置、系统间数据同步频率等交互设置、数据治理清洗及串并进度监控、串并依据要素来源设置、串并依据要素设置、要素协查设置等。</w:t>
            </w:r>
          </w:p>
          <w:p w14:paraId="1623BB09">
            <w:pPr>
              <w:spacing w:after="0" w:line="240" w:lineRule="auto"/>
              <w:rPr>
                <w:rFonts w:hint="eastAsia" w:ascii="宋体" w:hAnsi="宋体" w:cs="宋体"/>
                <w:color w:val="auto"/>
                <w:sz w:val="24"/>
                <w:highlight w:val="none"/>
              </w:rPr>
            </w:pPr>
          </w:p>
          <w:p w14:paraId="46574273">
            <w:pPr>
              <w:spacing w:after="0" w:line="240" w:lineRule="auto"/>
              <w:rPr>
                <w:rFonts w:hint="eastAsia" w:ascii="仿宋" w:hAnsi="仿宋"/>
                <w:b/>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仿宋" w:hAnsi="仿宋"/>
                <w:b/>
                <w:bCs/>
                <w:color w:val="auto"/>
                <w:sz w:val="24"/>
                <w:highlight w:val="none"/>
              </w:rPr>
              <w:t>9、数据接入</w:t>
            </w:r>
          </w:p>
          <w:p w14:paraId="766FFA22">
            <w:pPr>
              <w:pStyle w:val="66"/>
              <w:spacing w:after="0" w:line="240" w:lineRule="auto"/>
              <w:ind w:left="42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系统研判基于全国现勘系统数据进行研判分析，要求必须提供全国现勘系统开发商开具的系统数据对接证明，由此产生的费用由投标人自行承担。</w:t>
            </w:r>
          </w:p>
          <w:p w14:paraId="4F92A441">
            <w:pPr>
              <w:spacing w:after="0" w:line="240" w:lineRule="auto"/>
              <w:ind w:firstLine="480" w:firstLineChars="200"/>
              <w:rPr>
                <w:rFonts w:hint="eastAsia" w:ascii="宋体" w:hAnsi="宋体" w:cs="宋体"/>
                <w:color w:val="auto"/>
                <w:sz w:val="24"/>
                <w:highlight w:val="none"/>
              </w:rPr>
            </w:pPr>
          </w:p>
          <w:p w14:paraId="655899CB">
            <w:pPr>
              <w:spacing w:after="0" w:line="240" w:lineRule="auto"/>
              <w:ind w:firstLine="480" w:firstLineChars="200"/>
              <w:rPr>
                <w:rFonts w:hint="eastAsia" w:ascii="宋体" w:hAnsi="宋体" w:cs="宋体"/>
                <w:color w:val="auto"/>
                <w:sz w:val="24"/>
                <w:highlight w:val="none"/>
              </w:rPr>
            </w:pPr>
          </w:p>
          <w:p w14:paraId="0D27C9EB">
            <w:pPr>
              <w:spacing w:after="0" w:line="240" w:lineRule="auto"/>
              <w:ind w:firstLine="480" w:firstLineChars="200"/>
              <w:rPr>
                <w:rFonts w:hint="eastAsia" w:ascii="宋体" w:hAnsi="宋体" w:cs="宋体"/>
                <w:color w:val="auto"/>
                <w:sz w:val="24"/>
                <w:highlight w:val="none"/>
              </w:rPr>
            </w:pPr>
          </w:p>
          <w:p w14:paraId="4000D274">
            <w:pPr>
              <w:spacing w:after="0" w:line="240" w:lineRule="auto"/>
              <w:ind w:firstLine="480" w:firstLineChars="200"/>
              <w:rPr>
                <w:rFonts w:hint="eastAsia" w:ascii="宋体" w:hAnsi="宋体" w:cs="宋体"/>
                <w:color w:val="auto"/>
                <w:sz w:val="24"/>
                <w:highlight w:val="none"/>
              </w:rPr>
            </w:pPr>
          </w:p>
        </w:tc>
      </w:tr>
    </w:tbl>
    <w:p w14:paraId="79853809">
      <w:pPr>
        <w:autoSpaceDE w:val="0"/>
        <w:autoSpaceDN w:val="0"/>
        <w:adjustRightInd w:val="0"/>
        <w:snapToGrid w:val="0"/>
        <w:spacing w:after="0"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napToGrid w:val="0"/>
          <w:color w:val="000000" w:themeColor="text1"/>
          <w:kern w:val="0"/>
          <w:sz w:val="24"/>
          <w:highlight w:val="none"/>
          <w14:textFill>
            <w14:solidFill>
              <w14:schemeClr w14:val="tx1"/>
            </w14:solidFill>
          </w14:textFill>
        </w:rPr>
        <w:t>三、商务需求</w:t>
      </w:r>
    </w:p>
    <w:p w14:paraId="06C3B479">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1、付款条件：合同签订生效后7个工作日内支付合同总额的40%，物资验收合格后15个工作日内支付合同总额的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，服务期结束后</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15个工作日内</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0%。物资抽检、验收的相关费用由中标单位支付</w:t>
      </w:r>
      <w:r>
        <w:rPr>
          <w:rFonts w:hint="eastAsia" w:asciiTheme="minorEastAsia" w:hAnsiTheme="minorEastAsia" w:eastAsiaTheme="minorEastAsia" w:cstheme="minorEastAsia"/>
          <w:snapToGrid w:val="0"/>
          <w:kern w:val="0"/>
          <w:sz w:val="24"/>
          <w:highlight w:val="none"/>
        </w:rPr>
        <w:t>。</w:t>
      </w:r>
    </w:p>
    <w:p w14:paraId="1CEF3B89">
      <w:pPr>
        <w:pStyle w:val="6"/>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kern w:val="0"/>
          <w:sz w:val="24"/>
          <w:szCs w:val="24"/>
          <w:highlight w:val="none"/>
        </w:rPr>
        <w:t>2、</w:t>
      </w:r>
      <w:r>
        <w:rPr>
          <w:rFonts w:hint="eastAsia" w:asciiTheme="minorEastAsia" w:hAnsiTheme="minorEastAsia" w:eastAsiaTheme="minorEastAsia" w:cstheme="minorEastAsia"/>
          <w:kern w:val="0"/>
          <w:sz w:val="24"/>
          <w:szCs w:val="24"/>
          <w:highlight w:val="none"/>
        </w:rPr>
        <w:t>质保要求：质保期1年，自最终验收合格之日起计算，按照国家相关法规要求执行。质保期内发现质量问题，中标方须免费更换相应物品。</w:t>
      </w:r>
    </w:p>
    <w:p w14:paraId="1F209B02">
      <w:pPr>
        <w:spacing w:after="0" w:line="312" w:lineRule="auto"/>
        <w:jc w:val="center"/>
        <w:rPr>
          <w:rFonts w:hint="eastAsia" w:asciiTheme="minorEastAsia" w:hAnsiTheme="minorEastAsia" w:eastAsiaTheme="minorEastAsia" w:cstheme="minorEastAsia"/>
          <w:b/>
          <w:sz w:val="36"/>
          <w:szCs w:val="36"/>
          <w:highlight w:val="none"/>
        </w:rPr>
      </w:pPr>
    </w:p>
    <w:p w14:paraId="24E125C4">
      <w:pPr>
        <w:spacing w:after="0" w:line="312" w:lineRule="auto"/>
        <w:jc w:val="center"/>
        <w:rPr>
          <w:rFonts w:hint="eastAsia" w:asciiTheme="minorEastAsia" w:hAnsiTheme="minorEastAsia" w:eastAsiaTheme="minorEastAsia" w:cstheme="minorEastAsia"/>
          <w:b/>
          <w:sz w:val="36"/>
          <w:szCs w:val="36"/>
          <w:highlight w:val="none"/>
        </w:rPr>
      </w:pPr>
    </w:p>
    <w:p w14:paraId="4DFB65BC">
      <w:pPr>
        <w:spacing w:after="0" w:line="312" w:lineRule="auto"/>
        <w:jc w:val="center"/>
        <w:rPr>
          <w:rFonts w:hint="eastAsia" w:asciiTheme="minorEastAsia" w:hAnsiTheme="minorEastAsia" w:eastAsiaTheme="minorEastAsia" w:cstheme="minorEastAsia"/>
          <w:b/>
          <w:sz w:val="36"/>
          <w:szCs w:val="36"/>
          <w:highlight w:val="none"/>
        </w:rPr>
      </w:pPr>
    </w:p>
    <w:p w14:paraId="56ED98B4">
      <w:pPr>
        <w:spacing w:after="0" w:line="312" w:lineRule="auto"/>
        <w:jc w:val="center"/>
        <w:rPr>
          <w:rFonts w:hint="eastAsia" w:asciiTheme="minorEastAsia" w:hAnsiTheme="minorEastAsia" w:eastAsiaTheme="minorEastAsia" w:cstheme="minorEastAsia"/>
          <w:b/>
          <w:sz w:val="36"/>
          <w:szCs w:val="36"/>
          <w:highlight w:val="none"/>
        </w:rPr>
      </w:pPr>
    </w:p>
    <w:p w14:paraId="7245E9E4">
      <w:pPr>
        <w:spacing w:after="0" w:line="312" w:lineRule="auto"/>
        <w:jc w:val="center"/>
        <w:rPr>
          <w:rFonts w:hint="eastAsia" w:asciiTheme="minorEastAsia" w:hAnsiTheme="minorEastAsia" w:eastAsiaTheme="minorEastAsia" w:cstheme="minorEastAsia"/>
          <w:b/>
          <w:sz w:val="36"/>
          <w:szCs w:val="36"/>
          <w:highlight w:val="none"/>
        </w:rPr>
      </w:pPr>
    </w:p>
    <w:p w14:paraId="3676CC3A">
      <w:pPr>
        <w:spacing w:after="0" w:line="312" w:lineRule="auto"/>
        <w:jc w:val="center"/>
        <w:rPr>
          <w:rFonts w:hint="eastAsia" w:asciiTheme="minorEastAsia" w:hAnsiTheme="minorEastAsia" w:eastAsiaTheme="minorEastAsia" w:cstheme="minorEastAsia"/>
          <w:b/>
          <w:sz w:val="36"/>
          <w:szCs w:val="36"/>
          <w:highlight w:val="none"/>
        </w:rPr>
      </w:pPr>
    </w:p>
    <w:p w14:paraId="081D984E">
      <w:pPr>
        <w:spacing w:after="0" w:line="312" w:lineRule="auto"/>
        <w:jc w:val="center"/>
        <w:rPr>
          <w:rFonts w:hint="eastAsia" w:asciiTheme="minorEastAsia" w:hAnsiTheme="minorEastAsia" w:eastAsiaTheme="minorEastAsia" w:cstheme="minorEastAsia"/>
          <w:b/>
          <w:sz w:val="36"/>
          <w:szCs w:val="36"/>
          <w:highlight w:val="none"/>
        </w:rPr>
      </w:pPr>
    </w:p>
    <w:p w14:paraId="1E487550">
      <w:pPr>
        <w:spacing w:after="0" w:line="312" w:lineRule="auto"/>
        <w:jc w:val="center"/>
        <w:rPr>
          <w:rFonts w:hint="eastAsia" w:asciiTheme="minorEastAsia" w:hAnsiTheme="minorEastAsia" w:eastAsiaTheme="minorEastAsia" w:cstheme="minorEastAsia"/>
          <w:b/>
          <w:sz w:val="36"/>
          <w:szCs w:val="36"/>
          <w:highlight w:val="none"/>
        </w:rPr>
      </w:pPr>
    </w:p>
    <w:p w14:paraId="4F08F685">
      <w:pPr>
        <w:spacing w:after="0" w:line="312" w:lineRule="auto"/>
        <w:jc w:val="center"/>
        <w:rPr>
          <w:rFonts w:hint="eastAsia" w:asciiTheme="minorEastAsia" w:hAnsiTheme="minorEastAsia" w:eastAsiaTheme="minorEastAsia" w:cstheme="minorEastAsia"/>
          <w:b/>
          <w:sz w:val="36"/>
          <w:szCs w:val="36"/>
          <w:highlight w:val="none"/>
        </w:rPr>
      </w:pPr>
    </w:p>
    <w:p w14:paraId="71BBF993">
      <w:pPr>
        <w:spacing w:after="0" w:line="312" w:lineRule="auto"/>
        <w:jc w:val="center"/>
        <w:rPr>
          <w:rFonts w:hint="eastAsia" w:asciiTheme="minorEastAsia" w:hAnsiTheme="minorEastAsia" w:eastAsiaTheme="minorEastAsia" w:cstheme="minorEastAsia"/>
          <w:b/>
          <w:sz w:val="36"/>
          <w:szCs w:val="36"/>
          <w:highlight w:val="none"/>
        </w:rPr>
      </w:pPr>
    </w:p>
    <w:p w14:paraId="25580738">
      <w:pPr>
        <w:spacing w:after="0" w:line="312" w:lineRule="auto"/>
        <w:jc w:val="center"/>
        <w:rPr>
          <w:rFonts w:hint="eastAsia" w:asciiTheme="minorEastAsia" w:hAnsiTheme="minorEastAsia" w:eastAsiaTheme="minorEastAsia" w:cstheme="minorEastAsia"/>
          <w:b/>
          <w:sz w:val="36"/>
          <w:szCs w:val="36"/>
          <w:highlight w:val="none"/>
        </w:rPr>
      </w:pPr>
    </w:p>
    <w:p w14:paraId="1ADEB3F8">
      <w:pPr>
        <w:spacing w:after="0" w:line="312" w:lineRule="auto"/>
        <w:jc w:val="center"/>
        <w:rPr>
          <w:rFonts w:hint="eastAsia" w:asciiTheme="minorEastAsia" w:hAnsiTheme="minorEastAsia" w:eastAsiaTheme="minorEastAsia" w:cstheme="minorEastAsia"/>
          <w:b/>
          <w:sz w:val="36"/>
          <w:szCs w:val="36"/>
          <w:highlight w:val="none"/>
        </w:rPr>
      </w:pPr>
    </w:p>
    <w:p w14:paraId="20CBA561">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第三章 </w:t>
      </w:r>
      <w:r>
        <w:rPr>
          <w:rFonts w:hint="eastAsia" w:asciiTheme="minorEastAsia" w:hAnsiTheme="minorEastAsia" w:eastAsiaTheme="minorEastAsia" w:cstheme="minorEastAsia"/>
          <w:bCs/>
          <w:sz w:val="24"/>
          <w:highlight w:val="none"/>
        </w:rPr>
        <w:t xml:space="preserve"> </w:t>
      </w:r>
      <w:r>
        <w:rPr>
          <w:rFonts w:hint="eastAsia" w:asciiTheme="minorEastAsia" w:hAnsiTheme="minorEastAsia" w:eastAsiaTheme="minorEastAsia" w:cstheme="minorEastAsia"/>
          <w:b/>
          <w:sz w:val="36"/>
          <w:szCs w:val="36"/>
          <w:highlight w:val="none"/>
        </w:rPr>
        <w:t>投标人须知</w:t>
      </w:r>
    </w:p>
    <w:p w14:paraId="3F942CF7">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前附表</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6"/>
        <w:gridCol w:w="6798"/>
      </w:tblGrid>
      <w:tr w14:paraId="1EC9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28DD872">
            <w:pPr>
              <w:spacing w:after="0" w:line="360" w:lineRule="auto"/>
              <w:jc w:val="center"/>
              <w:rPr>
                <w:rFonts w:hint="eastAsia" w:asciiTheme="minorEastAsia" w:hAnsiTheme="minorEastAsia" w:eastAsiaTheme="minorEastAsia" w:cstheme="minorEastAsia"/>
                <w:sz w:val="24"/>
                <w:highlight w:val="none"/>
              </w:rPr>
            </w:pPr>
            <w:bookmarkStart w:id="47" w:name="_Hlk61252961"/>
            <w:r>
              <w:rPr>
                <w:rFonts w:hint="eastAsia" w:asciiTheme="minorEastAsia" w:hAnsiTheme="minorEastAsia" w:eastAsiaTheme="minorEastAsia" w:cstheme="minorEastAsia"/>
                <w:sz w:val="24"/>
                <w:highlight w:val="none"/>
              </w:rPr>
              <w:t>序号</w:t>
            </w:r>
          </w:p>
        </w:tc>
        <w:tc>
          <w:tcPr>
            <w:tcW w:w="155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6B569A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    目</w:t>
            </w:r>
          </w:p>
        </w:tc>
        <w:tc>
          <w:tcPr>
            <w:tcW w:w="67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8A2F625">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                 容</w:t>
            </w:r>
          </w:p>
        </w:tc>
      </w:tr>
      <w:tr w14:paraId="0E18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0800E6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14:paraId="0BB68D72">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投标人特定资格要求</w:t>
            </w:r>
          </w:p>
        </w:tc>
        <w:tc>
          <w:tcPr>
            <w:tcW w:w="6798" w:type="dxa"/>
            <w:tcBorders>
              <w:top w:val="single" w:color="auto" w:sz="4" w:space="0"/>
              <w:left w:val="single" w:color="auto" w:sz="4" w:space="0"/>
              <w:bottom w:val="single" w:color="auto" w:sz="4" w:space="0"/>
              <w:right w:val="single" w:color="auto" w:sz="4" w:space="0"/>
            </w:tcBorders>
            <w:vAlign w:val="center"/>
          </w:tcPr>
          <w:p w14:paraId="755D0F1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符合招标公告资格要求的投标人。</w:t>
            </w:r>
          </w:p>
        </w:tc>
      </w:tr>
      <w:tr w14:paraId="4BB8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3C529C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14:paraId="4DE1487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答疑会或</w:t>
            </w:r>
            <w:r>
              <w:rPr>
                <w:rFonts w:hint="eastAsia" w:asciiTheme="minorEastAsia" w:hAnsiTheme="minorEastAsia" w:eastAsiaTheme="minorEastAsia" w:cstheme="minorEastAsia"/>
                <w:sz w:val="24"/>
                <w:highlight w:val="none"/>
              </w:rPr>
              <w:t>现场踏勘</w:t>
            </w:r>
          </w:p>
        </w:tc>
        <w:tc>
          <w:tcPr>
            <w:tcW w:w="6798" w:type="dxa"/>
            <w:tcBorders>
              <w:top w:val="single" w:color="auto" w:sz="4" w:space="0"/>
              <w:left w:val="single" w:color="auto" w:sz="4" w:space="0"/>
              <w:bottom w:val="single" w:color="auto" w:sz="4" w:space="0"/>
              <w:right w:val="single" w:color="auto" w:sz="4" w:space="0"/>
            </w:tcBorders>
            <w:vAlign w:val="center"/>
          </w:tcPr>
          <w:p w14:paraId="56A67A90">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不组织，如投标人认为有必要可自行前往现场踏勘。</w:t>
            </w:r>
            <w:r>
              <w:rPr>
                <w:rFonts w:hint="eastAsia" w:asciiTheme="minorEastAsia" w:hAnsiTheme="minorEastAsia" w:eastAsiaTheme="minorEastAsia" w:cstheme="minorEastAsia"/>
                <w:sz w:val="24"/>
                <w:highlight w:val="none"/>
              </w:rPr>
              <w:t>投标人自行承担踏勘现场发生的责任、风险和自身费用。</w:t>
            </w:r>
          </w:p>
        </w:tc>
      </w:tr>
      <w:tr w14:paraId="5585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A6B417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556" w:type="dxa"/>
            <w:tcBorders>
              <w:top w:val="single" w:color="auto" w:sz="4" w:space="0"/>
              <w:left w:val="single" w:color="auto" w:sz="4" w:space="0"/>
              <w:bottom w:val="single" w:color="auto" w:sz="4" w:space="0"/>
              <w:right w:val="single" w:color="auto" w:sz="4" w:space="0"/>
            </w:tcBorders>
            <w:vAlign w:val="center"/>
          </w:tcPr>
          <w:p w14:paraId="4FBA1963">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tc>
        <w:tc>
          <w:tcPr>
            <w:tcW w:w="6798" w:type="dxa"/>
            <w:tcBorders>
              <w:top w:val="single" w:color="auto" w:sz="4" w:space="0"/>
              <w:left w:val="single" w:color="auto" w:sz="4" w:space="0"/>
              <w:bottom w:val="single" w:color="auto" w:sz="4" w:space="0"/>
              <w:right w:val="single" w:color="auto" w:sz="4" w:space="0"/>
            </w:tcBorders>
            <w:vAlign w:val="center"/>
          </w:tcPr>
          <w:p w14:paraId="316CD18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☑电子投标文件（包括“电子加密投标文件”和“备份投标文件”，在投标文件编制完成后同时生成）；</w:t>
            </w:r>
          </w:p>
          <w:p w14:paraId="36AF8E8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（1）“电子加密投标文件”是指通过“政采云电子交易客户端”完成投标文件编制后生成并加密的数据电文形式的投标文件。</w:t>
            </w:r>
          </w:p>
          <w:p w14:paraId="07FB7A08">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（2）“备份投标文件”是指与“电子加密投标文件”同时生成的数据电文形式的电子文件（备份标书）（后缀格式为</w:t>
            </w:r>
            <w:r>
              <w:rPr>
                <w:rFonts w:hint="eastAsia" w:asciiTheme="minorEastAsia" w:hAnsiTheme="minorEastAsia" w:eastAsiaTheme="minorEastAsia" w:cstheme="minorEastAsia"/>
                <w:b/>
                <w:bCs/>
                <w:sz w:val="24"/>
                <w:highlight w:val="none"/>
              </w:rPr>
              <w:t>.bfbs</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bCs/>
                <w:sz w:val="24"/>
                <w:highlight w:val="none"/>
              </w:rPr>
              <w:t>其他方式编制的备份投标文件视为无效备份投标文件。</w:t>
            </w:r>
          </w:p>
        </w:tc>
      </w:tr>
      <w:tr w14:paraId="2264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4DEE19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556" w:type="dxa"/>
            <w:tcBorders>
              <w:top w:val="single" w:color="auto" w:sz="4" w:space="0"/>
              <w:left w:val="single" w:color="auto" w:sz="4" w:space="0"/>
              <w:bottom w:val="single" w:color="auto" w:sz="4" w:space="0"/>
              <w:right w:val="single" w:color="auto" w:sz="4" w:space="0"/>
            </w:tcBorders>
            <w:vAlign w:val="center"/>
          </w:tcPr>
          <w:p w14:paraId="2581DDD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p w14:paraId="02273AA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份数</w:t>
            </w:r>
          </w:p>
        </w:tc>
        <w:tc>
          <w:tcPr>
            <w:tcW w:w="6798" w:type="dxa"/>
            <w:tcBorders>
              <w:top w:val="single" w:color="auto" w:sz="4" w:space="0"/>
              <w:left w:val="single" w:color="auto" w:sz="4" w:space="0"/>
              <w:bottom w:val="single" w:color="auto" w:sz="4" w:space="0"/>
              <w:right w:val="single" w:color="auto" w:sz="4" w:space="0"/>
            </w:tcBorders>
            <w:vAlign w:val="center"/>
          </w:tcPr>
          <w:p w14:paraId="3600B93C">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（1）“电子加密投标文件”：在线上传提交一份。</w:t>
            </w:r>
          </w:p>
          <w:p w14:paraId="54CEF39C">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0D14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8EB20A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556" w:type="dxa"/>
            <w:tcBorders>
              <w:top w:val="single" w:color="auto" w:sz="4" w:space="0"/>
              <w:left w:val="single" w:color="auto" w:sz="4" w:space="0"/>
              <w:bottom w:val="single" w:color="auto" w:sz="4" w:space="0"/>
              <w:right w:val="single" w:color="auto" w:sz="4" w:space="0"/>
            </w:tcBorders>
            <w:vAlign w:val="center"/>
          </w:tcPr>
          <w:p w14:paraId="3F512B7E">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投标文件的上传与递交</w:t>
            </w:r>
          </w:p>
        </w:tc>
        <w:tc>
          <w:tcPr>
            <w:tcW w:w="6798" w:type="dxa"/>
            <w:tcBorders>
              <w:top w:val="single" w:color="auto" w:sz="4" w:space="0"/>
              <w:left w:val="single" w:color="auto" w:sz="4" w:space="0"/>
              <w:bottom w:val="single" w:color="auto" w:sz="4" w:space="0"/>
              <w:right w:val="single" w:color="auto" w:sz="4" w:space="0"/>
            </w:tcBorders>
            <w:vAlign w:val="center"/>
          </w:tcPr>
          <w:p w14:paraId="27FE65C7">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（1）“电子加密投标文件”的上传、递交：</w:t>
            </w:r>
          </w:p>
          <w:p w14:paraId="6593576F">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投标供应商应在投标截止时间前将“电子加密投标文件”成功上传递交至“政府采购云平台”，否则投标无效。</w:t>
            </w:r>
          </w:p>
          <w:p w14:paraId="608E3CD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b.“电子加密投标文件”成功上传递交后，供应商可自行打印投标文件接收回执。</w:t>
            </w:r>
          </w:p>
          <w:p w14:paraId="4BC156E1">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（2）“备份投标文件”的密封包装、递交：</w:t>
            </w:r>
          </w:p>
          <w:p w14:paraId="532ECDD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a.投标供应商在“政府采购云平台”完成“电子加密投标文件”的上传递交后，还可以（顺丰/EMS邮寄形式）在投标截止时间前递交以介质（U盘）存储的 “备份投标文件”（一份）；</w:t>
            </w:r>
          </w:p>
          <w:p w14:paraId="459C1569">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14:paraId="0FEE4898">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363B4D4">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温馨提醒：供应商应提前上传，以便在上传时遇到技术问题，有充足的时间提请教平台的技术人员。</w:t>
            </w:r>
          </w:p>
          <w:p w14:paraId="631CF90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“政采云”平台客服电话：400-881-7190</w:t>
            </w:r>
          </w:p>
          <w:p w14:paraId="698ACE2B">
            <w:pPr>
              <w:pStyle w:val="22"/>
              <w:spacing w:after="0" w:line="360" w:lineRule="auto"/>
              <w:ind w:left="0" w:leftChars="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供应商中标后需提供纸质投标文件给采购代理机构作为备案存档，纸质投标文件系电子投标文件纸质版，两者内容应一致；数量为：资格证明文件一正二副；资格及商务技术文件一正二副；报价文件一正二副。</w:t>
            </w:r>
          </w:p>
        </w:tc>
      </w:tr>
      <w:tr w14:paraId="7022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E6D575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14:paraId="23BB8B2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投标有效期</w:t>
            </w:r>
          </w:p>
        </w:tc>
        <w:tc>
          <w:tcPr>
            <w:tcW w:w="6798" w:type="dxa"/>
            <w:tcBorders>
              <w:top w:val="single" w:color="auto" w:sz="4" w:space="0"/>
              <w:left w:val="single" w:color="auto" w:sz="4" w:space="0"/>
              <w:bottom w:val="single" w:color="auto" w:sz="4" w:space="0"/>
              <w:right w:val="single" w:color="auto" w:sz="4" w:space="0"/>
            </w:tcBorders>
            <w:vAlign w:val="center"/>
          </w:tcPr>
          <w:p w14:paraId="6CD6310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sz w:val="24"/>
                <w:highlight w:val="none"/>
              </w:rPr>
              <w:t>投标有效期为90天，投标有效期从提交投标文件的截止之日起算。</w:t>
            </w:r>
          </w:p>
        </w:tc>
      </w:tr>
      <w:tr w14:paraId="5F9A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6AD819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14:paraId="49518075">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投标人信用信息查询渠道及截止时点、信用信息查询记录和证据留存的具体方式、信用信息的使用规则</w:t>
            </w:r>
          </w:p>
          <w:p w14:paraId="56B9D2FB">
            <w:pPr>
              <w:spacing w:after="0" w:line="360" w:lineRule="auto"/>
              <w:jc w:val="center"/>
              <w:rPr>
                <w:rFonts w:hint="eastAsia" w:asciiTheme="minorEastAsia" w:hAnsiTheme="minorEastAsia" w:eastAsiaTheme="minorEastAsia" w:cstheme="minorEastAsia"/>
                <w:sz w:val="24"/>
                <w:highlight w:val="none"/>
              </w:rPr>
            </w:pPr>
          </w:p>
        </w:tc>
        <w:tc>
          <w:tcPr>
            <w:tcW w:w="6798" w:type="dxa"/>
            <w:tcBorders>
              <w:top w:val="single" w:color="auto" w:sz="4" w:space="0"/>
              <w:left w:val="single" w:color="auto" w:sz="4" w:space="0"/>
              <w:bottom w:val="single" w:color="auto" w:sz="4" w:space="0"/>
              <w:right w:val="single" w:color="auto" w:sz="4" w:space="0"/>
            </w:tcBorders>
            <w:vAlign w:val="center"/>
          </w:tcPr>
          <w:p w14:paraId="31DFD627">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color w:val="000000"/>
                <w:sz w:val="24"/>
                <w:highlight w:val="none"/>
              </w:rPr>
              <w:t>http://www.creditchina.gov.cn</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）、中国政府采购网(网址：http://www.ccgp.gov.cn）、国家企业信用信息公示系统（http://www.gsxt.gov.cn/index.html）等。</w:t>
            </w:r>
          </w:p>
          <w:p w14:paraId="73277061">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2、截止时点：评审结束前。</w:t>
            </w:r>
          </w:p>
          <w:p w14:paraId="4B0F2DC0">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3、信用信息查询记录和证据留存的具体方式：由采购组织机构在规定查询时间内打印信用信息查询记录并归入项目档案。</w:t>
            </w:r>
          </w:p>
          <w:p w14:paraId="205B09FA">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2B2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2422D1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1556" w:type="dxa"/>
            <w:tcBorders>
              <w:top w:val="single" w:color="auto" w:sz="4" w:space="0"/>
              <w:left w:val="single" w:color="auto" w:sz="4" w:space="0"/>
              <w:bottom w:val="single" w:color="auto" w:sz="4" w:space="0"/>
              <w:right w:val="single" w:color="auto" w:sz="4" w:space="0"/>
            </w:tcBorders>
            <w:vAlign w:val="center"/>
          </w:tcPr>
          <w:p w14:paraId="7FC7BD96">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中小企业扶持政策</w:t>
            </w:r>
          </w:p>
        </w:tc>
        <w:tc>
          <w:tcPr>
            <w:tcW w:w="6798" w:type="dxa"/>
            <w:tcBorders>
              <w:top w:val="single" w:color="auto" w:sz="4" w:space="0"/>
              <w:left w:val="single" w:color="auto" w:sz="4" w:space="0"/>
              <w:bottom w:val="single" w:color="auto" w:sz="4" w:space="0"/>
              <w:right w:val="single" w:color="auto" w:sz="4" w:space="0"/>
            </w:tcBorders>
            <w:vAlign w:val="center"/>
          </w:tcPr>
          <w:p w14:paraId="2CC13095">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1、本项目专门面向中小企业，不再进行价格优惠扣除。</w:t>
            </w:r>
          </w:p>
          <w:p w14:paraId="0A719F2C">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2、小微企业等参加政府采购活动，应当出具附件中《中小企业声明函》等，否则不享受相关小微企业扶持政策。</w:t>
            </w:r>
          </w:p>
          <w:p w14:paraId="43F402B2">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3、提供声明函内容不实的，属于提供虚假材料谋取中标、成交，将按相关规定追究相应责任。</w:t>
            </w:r>
          </w:p>
          <w:p w14:paraId="03184AD9">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4、享受扶持政策获得政府采购合同的，小微企业不得将合同分包给大中型企业，中型企业不得将合同分包给大型企业，否则按违约处理，并追究相关责任。</w:t>
            </w:r>
          </w:p>
          <w:p w14:paraId="55FC14B0">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5、本项目的所属行业：工业</w:t>
            </w:r>
          </w:p>
        </w:tc>
      </w:tr>
      <w:tr w14:paraId="69AA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581991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1556" w:type="dxa"/>
            <w:tcBorders>
              <w:top w:val="single" w:color="auto" w:sz="4" w:space="0"/>
              <w:left w:val="single" w:color="auto" w:sz="4" w:space="0"/>
              <w:bottom w:val="single" w:color="auto" w:sz="4" w:space="0"/>
              <w:right w:val="single" w:color="auto" w:sz="4" w:space="0"/>
            </w:tcBorders>
            <w:vAlign w:val="center"/>
          </w:tcPr>
          <w:p w14:paraId="67DB703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开标时间及地点</w:t>
            </w:r>
          </w:p>
        </w:tc>
        <w:tc>
          <w:tcPr>
            <w:tcW w:w="6798" w:type="dxa"/>
            <w:tcBorders>
              <w:top w:val="single" w:color="auto" w:sz="4" w:space="0"/>
              <w:left w:val="single" w:color="auto" w:sz="4" w:space="0"/>
              <w:bottom w:val="single" w:color="auto" w:sz="4" w:space="0"/>
              <w:right w:val="single" w:color="auto" w:sz="4" w:space="0"/>
            </w:tcBorders>
            <w:vAlign w:val="center"/>
          </w:tcPr>
          <w:p w14:paraId="686D75F3">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时间：北京时间2024年</w:t>
            </w:r>
            <w:r>
              <w:rPr>
                <w:rFonts w:hint="eastAsia" w:asciiTheme="minorEastAsia" w:hAnsiTheme="minorEastAsia" w:eastAsiaTheme="minorEastAsia" w:cstheme="minorEastAsia"/>
                <w:color w:val="000000"/>
                <w:sz w:val="24"/>
                <w:highlight w:val="none"/>
                <w:lang w:val="en-US" w:eastAsia="zh-CN"/>
              </w:rPr>
              <w:t>10</w:t>
            </w:r>
            <w:r>
              <w:rPr>
                <w:rFonts w:hint="eastAsia" w:asciiTheme="minorEastAsia" w:hAnsiTheme="minorEastAsia" w:eastAsiaTheme="minorEastAsia" w:cstheme="minorEastAsia"/>
                <w:color w:val="000000"/>
                <w:sz w:val="24"/>
                <w:highlight w:val="none"/>
                <w:lang w:eastAsia="zh-CN"/>
              </w:rPr>
              <w:t>月</w:t>
            </w:r>
            <w:r>
              <w:rPr>
                <w:rFonts w:hint="eastAsia" w:asciiTheme="minorEastAsia" w:hAnsiTheme="minorEastAsia" w:eastAsiaTheme="minorEastAsia" w:cstheme="minorEastAsia"/>
                <w:color w:val="000000"/>
                <w:sz w:val="24"/>
                <w:highlight w:val="none"/>
                <w:lang w:val="en-US" w:eastAsia="zh-CN"/>
              </w:rPr>
              <w:t>31</w:t>
            </w:r>
            <w:r>
              <w:rPr>
                <w:rFonts w:hint="eastAsia" w:asciiTheme="minorEastAsia" w:hAnsiTheme="minorEastAsia" w:eastAsiaTheme="minorEastAsia" w:cstheme="minorEastAsia"/>
                <w:color w:val="000000"/>
                <w:sz w:val="24"/>
                <w:highlight w:val="none"/>
              </w:rPr>
              <w:t>日9:00</w:t>
            </w:r>
          </w:p>
          <w:p w14:paraId="4A52E868">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地点：通过“政府采购云平台（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Theme="minorEastAsia" w:hAnsiTheme="minorEastAsia" w:eastAsiaTheme="minorEastAsia" w:cstheme="minorEastAsia"/>
                <w:color w:val="000000"/>
                <w:sz w:val="24"/>
                <w:highlight w:val="none"/>
              </w:rPr>
              <w:t xml:space="preserve"> https://www.zcygov.cn/）”实行在线投标响应</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 xml:space="preserve">。 </w:t>
            </w:r>
          </w:p>
        </w:tc>
      </w:tr>
      <w:tr w14:paraId="4147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74749EE">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w:t>
            </w:r>
          </w:p>
        </w:tc>
        <w:tc>
          <w:tcPr>
            <w:tcW w:w="1556" w:type="dxa"/>
            <w:tcBorders>
              <w:top w:val="single" w:color="auto" w:sz="4" w:space="0"/>
              <w:left w:val="single" w:color="auto" w:sz="4" w:space="0"/>
              <w:bottom w:val="single" w:color="auto" w:sz="4" w:space="0"/>
              <w:right w:val="single" w:color="auto" w:sz="4" w:space="0"/>
            </w:tcBorders>
            <w:vAlign w:val="center"/>
          </w:tcPr>
          <w:p w14:paraId="64EC14B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798" w:type="dxa"/>
            <w:tcBorders>
              <w:top w:val="single" w:color="auto" w:sz="4" w:space="0"/>
              <w:left w:val="single" w:color="auto" w:sz="4" w:space="0"/>
              <w:bottom w:val="single" w:color="auto" w:sz="4" w:space="0"/>
              <w:right w:val="single" w:color="auto" w:sz="4" w:space="0"/>
            </w:tcBorders>
            <w:vAlign w:val="center"/>
          </w:tcPr>
          <w:p w14:paraId="4FE28CFC">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7343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1D430E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1556" w:type="dxa"/>
            <w:tcBorders>
              <w:top w:val="single" w:color="auto" w:sz="4" w:space="0"/>
              <w:left w:val="single" w:color="auto" w:sz="4" w:space="0"/>
              <w:bottom w:val="single" w:color="auto" w:sz="4" w:space="0"/>
              <w:right w:val="single" w:color="auto" w:sz="4" w:space="0"/>
            </w:tcBorders>
            <w:vAlign w:val="center"/>
          </w:tcPr>
          <w:p w14:paraId="7465C1A5">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798" w:type="dxa"/>
            <w:tcBorders>
              <w:top w:val="single" w:color="auto" w:sz="4" w:space="0"/>
              <w:left w:val="single" w:color="auto" w:sz="4" w:space="0"/>
              <w:bottom w:val="single" w:color="auto" w:sz="4" w:space="0"/>
              <w:right w:val="single" w:color="auto" w:sz="4" w:space="0"/>
            </w:tcBorders>
            <w:vAlign w:val="center"/>
          </w:tcPr>
          <w:p w14:paraId="7EC2D72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无（</w:t>
            </w:r>
            <w:r>
              <w:rPr>
                <w:rFonts w:hint="eastAsia" w:asciiTheme="minorEastAsia" w:hAnsiTheme="minorEastAsia" w:eastAsiaTheme="minorEastAsia" w:cstheme="minorEastAsia"/>
                <w:sz w:val="24"/>
                <w:highlight w:val="none"/>
              </w:rPr>
              <w:t>如需合同履约保证金请合同双方在签订合同时商定，履约保证金的数额不得超过政府采购合同金额的1%。</w:t>
            </w:r>
          </w:p>
          <w:p w14:paraId="13C47831">
            <w:pPr>
              <w:pStyle w:val="13"/>
              <w:spacing w:after="0" w:line="360" w:lineRule="auto"/>
              <w:ind w:left="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履约保证金可以银行、保险公司等担保机构出具的保函等非现金形式交至采购人处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tc>
      </w:tr>
      <w:tr w14:paraId="4975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5D8A117">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1556" w:type="dxa"/>
            <w:tcBorders>
              <w:top w:val="single" w:color="auto" w:sz="4" w:space="0"/>
              <w:left w:val="single" w:color="auto" w:sz="4" w:space="0"/>
              <w:bottom w:val="single" w:color="auto" w:sz="4" w:space="0"/>
              <w:right w:val="single" w:color="auto" w:sz="4" w:space="0"/>
            </w:tcBorders>
            <w:vAlign w:val="center"/>
          </w:tcPr>
          <w:p w14:paraId="62A89125">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实质性条款</w:t>
            </w:r>
          </w:p>
        </w:tc>
        <w:tc>
          <w:tcPr>
            <w:tcW w:w="6798" w:type="dxa"/>
            <w:tcBorders>
              <w:top w:val="single" w:color="auto" w:sz="4" w:space="0"/>
              <w:left w:val="single" w:color="auto" w:sz="4" w:space="0"/>
              <w:bottom w:val="single" w:color="auto" w:sz="4" w:space="0"/>
              <w:right w:val="single" w:color="auto" w:sz="4" w:space="0"/>
            </w:tcBorders>
          </w:tcPr>
          <w:p w14:paraId="77D53592">
            <w:pPr>
              <w:autoSpaceDE w:val="0"/>
              <w:autoSpaceDN w:val="0"/>
              <w:adjustRightIn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kern w:val="0"/>
                <w:sz w:val="24"/>
                <w:highlight w:val="none"/>
                <w:lang w:val="zh-CN"/>
              </w:rPr>
              <w:t>带“</w:t>
            </w:r>
            <w:bookmarkStart w:id="48" w:name="OLE_LINK16"/>
            <w:r>
              <w:rPr>
                <w:rFonts w:hint="eastAsia" w:asciiTheme="minorEastAsia" w:hAnsiTheme="minorEastAsia" w:eastAsiaTheme="minorEastAsia" w:cstheme="minorEastAsia"/>
                <w:bCs/>
                <w:sz w:val="24"/>
                <w:highlight w:val="none"/>
              </w:rPr>
              <w:t>▲</w:t>
            </w:r>
            <w:bookmarkEnd w:id="48"/>
            <w:r>
              <w:rPr>
                <w:rFonts w:hint="eastAsia" w:asciiTheme="minorEastAsia" w:hAnsiTheme="minorEastAsia" w:eastAsiaTheme="minorEastAsia" w:cstheme="minorEastAsia"/>
                <w:bCs/>
                <w:sz w:val="24"/>
                <w:highlight w:val="none"/>
              </w:rPr>
              <w:t>”的条款是实质性条款，投标文件须作出实质性响应，否则作无效投标处理。</w:t>
            </w:r>
          </w:p>
        </w:tc>
      </w:tr>
      <w:tr w14:paraId="336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9E3E1F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w:t>
            </w:r>
          </w:p>
        </w:tc>
        <w:tc>
          <w:tcPr>
            <w:tcW w:w="1556" w:type="dxa"/>
            <w:tcBorders>
              <w:top w:val="single" w:color="auto" w:sz="4" w:space="0"/>
              <w:left w:val="single" w:color="auto" w:sz="4" w:space="0"/>
              <w:bottom w:val="single" w:color="auto" w:sz="4" w:space="0"/>
              <w:right w:val="single" w:color="auto" w:sz="4" w:space="0"/>
            </w:tcBorders>
            <w:vAlign w:val="center"/>
          </w:tcPr>
          <w:p w14:paraId="26614662">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样品及递交要求</w:t>
            </w:r>
          </w:p>
        </w:tc>
        <w:tc>
          <w:tcPr>
            <w:tcW w:w="6798" w:type="dxa"/>
            <w:tcBorders>
              <w:top w:val="single" w:color="auto" w:sz="4" w:space="0"/>
              <w:left w:val="single" w:color="auto" w:sz="4" w:space="0"/>
              <w:bottom w:val="single" w:color="auto" w:sz="4" w:space="0"/>
              <w:right w:val="single" w:color="auto" w:sz="4" w:space="0"/>
            </w:tcBorders>
            <w:vAlign w:val="center"/>
          </w:tcPr>
          <w:p w14:paraId="7CD5DC2A">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不提交。在投标文件中须提供清晰的能反映投标产品真实性能、品质的检测报告或实物图，图片不清晰或不能反映产品真实性能影响打分的由供应商自行承担后果。</w:t>
            </w:r>
          </w:p>
        </w:tc>
      </w:tr>
      <w:tr w14:paraId="0628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7B2B18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w:t>
            </w:r>
          </w:p>
        </w:tc>
        <w:tc>
          <w:tcPr>
            <w:tcW w:w="1556" w:type="dxa"/>
            <w:tcBorders>
              <w:top w:val="single" w:color="auto" w:sz="4" w:space="0"/>
              <w:left w:val="single" w:color="auto" w:sz="4" w:space="0"/>
              <w:bottom w:val="single" w:color="auto" w:sz="4" w:space="0"/>
              <w:right w:val="single" w:color="auto" w:sz="4" w:space="0"/>
            </w:tcBorders>
            <w:vAlign w:val="center"/>
          </w:tcPr>
          <w:p w14:paraId="7D520EBD">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节能环保</w:t>
            </w:r>
          </w:p>
        </w:tc>
        <w:tc>
          <w:tcPr>
            <w:tcW w:w="6798" w:type="dxa"/>
            <w:tcBorders>
              <w:top w:val="single" w:color="auto" w:sz="4" w:space="0"/>
              <w:left w:val="single" w:color="auto" w:sz="4" w:space="0"/>
              <w:bottom w:val="single" w:color="auto" w:sz="4" w:space="0"/>
              <w:right w:val="single" w:color="auto" w:sz="4" w:space="0"/>
            </w:tcBorders>
            <w:vAlign w:val="center"/>
          </w:tcPr>
          <w:p w14:paraId="500C626B">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符合国家相关法律规定。</w:t>
            </w:r>
          </w:p>
        </w:tc>
      </w:tr>
      <w:tr w14:paraId="2D57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B3C58A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c>
          <w:tcPr>
            <w:tcW w:w="1556" w:type="dxa"/>
            <w:tcBorders>
              <w:top w:val="single" w:color="auto" w:sz="4" w:space="0"/>
              <w:left w:val="single" w:color="auto" w:sz="4" w:space="0"/>
              <w:bottom w:val="single" w:color="auto" w:sz="4" w:space="0"/>
              <w:right w:val="single" w:color="auto" w:sz="4" w:space="0"/>
            </w:tcBorders>
            <w:vAlign w:val="center"/>
          </w:tcPr>
          <w:p w14:paraId="3522685F">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解释权</w:t>
            </w:r>
          </w:p>
        </w:tc>
        <w:tc>
          <w:tcPr>
            <w:tcW w:w="6798" w:type="dxa"/>
            <w:tcBorders>
              <w:top w:val="single" w:color="auto" w:sz="4" w:space="0"/>
              <w:left w:val="single" w:color="auto" w:sz="4" w:space="0"/>
              <w:bottom w:val="single" w:color="auto" w:sz="4" w:space="0"/>
              <w:right w:val="single" w:color="auto" w:sz="4" w:space="0"/>
            </w:tcBorders>
            <w:vAlign w:val="center"/>
          </w:tcPr>
          <w:p w14:paraId="040ACC99">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本招标文件解释权属于采购人和</w:t>
            </w:r>
            <w:bookmarkStart w:id="49" w:name="_Hlk1308556"/>
            <w:r>
              <w:rPr>
                <w:rFonts w:hint="eastAsia" w:asciiTheme="minorEastAsia" w:hAnsiTheme="minorEastAsia" w:eastAsiaTheme="minorEastAsia" w:cstheme="minorEastAsia"/>
                <w:sz w:val="24"/>
                <w:highlight w:val="none"/>
              </w:rPr>
              <w:t>台州蔚蓝投资咨询有限公司</w:t>
            </w:r>
            <w:bookmarkEnd w:id="49"/>
          </w:p>
        </w:tc>
      </w:tr>
      <w:tr w14:paraId="0B35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87B8B7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w:t>
            </w:r>
          </w:p>
        </w:tc>
        <w:tc>
          <w:tcPr>
            <w:tcW w:w="1556" w:type="dxa"/>
            <w:tcBorders>
              <w:top w:val="single" w:color="auto" w:sz="4" w:space="0"/>
              <w:left w:val="single" w:color="auto" w:sz="4" w:space="0"/>
              <w:bottom w:val="single" w:color="auto" w:sz="4" w:space="0"/>
              <w:right w:val="single" w:color="auto" w:sz="4" w:space="0"/>
            </w:tcBorders>
            <w:vAlign w:val="center"/>
          </w:tcPr>
          <w:p w14:paraId="56A1A34D">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资料归档</w:t>
            </w:r>
          </w:p>
        </w:tc>
        <w:tc>
          <w:tcPr>
            <w:tcW w:w="6798" w:type="dxa"/>
            <w:tcBorders>
              <w:top w:val="single" w:color="auto" w:sz="4" w:space="0"/>
              <w:left w:val="single" w:color="auto" w:sz="4" w:space="0"/>
              <w:bottom w:val="single" w:color="auto" w:sz="4" w:space="0"/>
              <w:right w:val="single" w:color="auto" w:sz="4" w:space="0"/>
            </w:tcBorders>
            <w:vAlign w:val="center"/>
          </w:tcPr>
          <w:p w14:paraId="1202A9BA">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中标人在收到中标通知后7个工作日内提交纸质版投标文件（内容同电子投标文件）一正两副，用于项目资料存档。分别为纸质资格证明文件3份；商务与技术文件3份；报价文件3份。</w:t>
            </w:r>
          </w:p>
        </w:tc>
      </w:tr>
      <w:tr w14:paraId="331C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017FA6E">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w:t>
            </w:r>
          </w:p>
        </w:tc>
        <w:tc>
          <w:tcPr>
            <w:tcW w:w="1556" w:type="dxa"/>
            <w:tcBorders>
              <w:top w:val="single" w:color="auto" w:sz="4" w:space="0"/>
              <w:left w:val="single" w:color="auto" w:sz="4" w:space="0"/>
              <w:bottom w:val="single" w:color="auto" w:sz="4" w:space="0"/>
              <w:right w:val="single" w:color="auto" w:sz="4" w:space="0"/>
            </w:tcBorders>
            <w:vAlign w:val="center"/>
          </w:tcPr>
          <w:p w14:paraId="22EF1A04">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注意事项</w:t>
            </w:r>
          </w:p>
        </w:tc>
        <w:tc>
          <w:tcPr>
            <w:tcW w:w="6798" w:type="dxa"/>
            <w:tcBorders>
              <w:top w:val="single" w:color="auto" w:sz="4" w:space="0"/>
              <w:left w:val="single" w:color="auto" w:sz="4" w:space="0"/>
              <w:bottom w:val="single" w:color="auto" w:sz="4" w:space="0"/>
              <w:right w:val="single" w:color="auto" w:sz="4" w:space="0"/>
            </w:tcBorders>
            <w:vAlign w:val="center"/>
          </w:tcPr>
          <w:p w14:paraId="49C5CCF1">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1、投标人应严格按照招标文件及补充文件的规定和要求编制投标文件。在编制投标文件过程中,应严格遵循实事求是、诚信投标的原则,如有偏离,应如实填写响应偏离。</w:t>
            </w:r>
          </w:p>
          <w:p w14:paraId="445409F3">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2、如果发现本招标文件中存在歧视性不公正条款或违法违规等内容时,请投标人在招标文件的质疑有效期内及时书面一次性提出。</w:t>
            </w:r>
          </w:p>
          <w:p w14:paraId="670E854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3、采购结果公告期间,投标人不得通过非正当途径获取法律法规规定评标委员会(包括其他相关人员)应当保密的相关内容。</w:t>
            </w:r>
          </w:p>
        </w:tc>
      </w:tr>
      <w:bookmarkEnd w:id="47"/>
    </w:tbl>
    <w:p w14:paraId="66D44301">
      <w:pPr>
        <w:pStyle w:val="12"/>
        <w:snapToGrid w:val="0"/>
        <w:spacing w:before="120"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 、总  则</w:t>
      </w:r>
    </w:p>
    <w:p w14:paraId="781B5ED8">
      <w:pPr>
        <w:pStyle w:val="12"/>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（一）适用范围</w:t>
      </w:r>
    </w:p>
    <w:p w14:paraId="4D126A5F">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5687998C">
      <w:pPr>
        <w:snapToGrid w:val="0"/>
        <w:spacing w:after="0" w:line="312" w:lineRule="auto"/>
        <w:ind w:firstLine="482" w:firstLineChars="200"/>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（二）定义</w:t>
      </w:r>
    </w:p>
    <w:p w14:paraId="2B1A844D">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val="zh-CN"/>
        </w:rPr>
        <w:t>“采购组织机构”指采购人委托组织招标的集中采购机构</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zh-CN"/>
        </w:rPr>
        <w:t>采购代理机构。</w:t>
      </w:r>
    </w:p>
    <w:p w14:paraId="33523BCA">
      <w:pPr>
        <w:snapToGrid w:val="0"/>
        <w:spacing w:after="0" w:line="312" w:lineRule="auto"/>
        <w:ind w:firstLine="566" w:firstLineChars="23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2、采购人：是指委托</w:t>
      </w:r>
      <w:r>
        <w:rPr>
          <w:rFonts w:hint="eastAsia" w:asciiTheme="minorEastAsia" w:hAnsiTheme="minorEastAsia" w:eastAsiaTheme="minorEastAsia" w:cstheme="minorEastAsia"/>
          <w:sz w:val="24"/>
          <w:highlight w:val="none"/>
          <w:lang w:val="zh-CN"/>
        </w:rPr>
        <w:t>集中采购机构</w:t>
      </w:r>
      <w:r>
        <w:rPr>
          <w:rFonts w:hint="eastAsia" w:asciiTheme="minorEastAsia" w:hAnsiTheme="minorEastAsia" w:eastAsiaTheme="minorEastAsia" w:cstheme="minorEastAsia"/>
          <w:sz w:val="24"/>
          <w:highlight w:val="none"/>
        </w:rPr>
        <w:t>/采购代理机构采购本次项目的国家机关、事业单位和团体组织。</w:t>
      </w:r>
    </w:p>
    <w:p w14:paraId="74CC8899">
      <w:pPr>
        <w:snapToGrid w:val="0"/>
        <w:spacing w:after="0" w:line="312" w:lineRule="auto"/>
        <w:ind w:left="424" w:leftChars="202" w:firstLine="141" w:firstLineChars="59"/>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3、投标人：是指向采购</w:t>
      </w:r>
      <w:r>
        <w:rPr>
          <w:rFonts w:hint="eastAsia" w:asciiTheme="minorEastAsia" w:hAnsiTheme="minorEastAsia" w:eastAsiaTheme="minorEastAsia" w:cstheme="minorEastAsia"/>
          <w:sz w:val="24"/>
          <w:highlight w:val="none"/>
          <w:lang w:val="zh-CN"/>
        </w:rPr>
        <w:t>组织</w:t>
      </w:r>
      <w:r>
        <w:rPr>
          <w:rFonts w:hint="eastAsia" w:asciiTheme="minorEastAsia" w:hAnsiTheme="minorEastAsia" w:eastAsiaTheme="minorEastAsia" w:cstheme="minorEastAsia"/>
          <w:sz w:val="24"/>
          <w:highlight w:val="none"/>
        </w:rPr>
        <w:t>机构提交投标文件的单位或个人。</w:t>
      </w:r>
    </w:p>
    <w:p w14:paraId="65A15C14">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4、中标人：是指经评标委员会评审确定的对招标文件作出实质性响应，经采购人按照规定在评标委员会推荐的中标候选人中确定的或受采购人委托直接确认的，与采购人签订合同资格的投标人。</w:t>
      </w:r>
    </w:p>
    <w:p w14:paraId="7A5646E6">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5、联合体：两个或两个以上法人或者其他组织可以组成一个联合体，以一个投标人的身份共同投标。</w:t>
      </w:r>
    </w:p>
    <w:p w14:paraId="5AEAEB60">
      <w:pPr>
        <w:snapToGrid w:val="0"/>
        <w:spacing w:after="0" w:line="312" w:lineRule="auto"/>
        <w:ind w:left="424" w:leftChars="202" w:firstLine="142"/>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6、货物：是指各种形态和种类的物品，包括原材料、燃料、设备、产品等。</w:t>
      </w:r>
    </w:p>
    <w:p w14:paraId="0154AB9A">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7、服务：是指除货物和工程以外的政府采购对象，包括各类专业服务、信息网络开发服务、金融保险服务、运输服务，以及维修与维护服务等。</w:t>
      </w:r>
    </w:p>
    <w:p w14:paraId="2847F1BD">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8、“书面形式”包括信函、传真等。</w:t>
      </w:r>
    </w:p>
    <w:p w14:paraId="6B119B6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9、“▲”系指实质性要求条款。</w:t>
      </w:r>
    </w:p>
    <w:p w14:paraId="1D82B4AA">
      <w:pPr>
        <w:snapToGrid w:val="0"/>
        <w:spacing w:after="0" w:line="312" w:lineRule="auto"/>
        <w:ind w:left="424" w:leftChars="202" w:firstLine="142"/>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10、“★”项为重要性能参数指标项。</w:t>
      </w:r>
    </w:p>
    <w:p w14:paraId="3A59A684">
      <w:pPr>
        <w:snapToGrid w:val="0"/>
        <w:spacing w:after="0" w:line="312" w:lineRule="auto"/>
        <w:ind w:firstLine="472" w:firstLineChars="196"/>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（三）投标费用</w:t>
      </w:r>
    </w:p>
    <w:p w14:paraId="1C55D7BE">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不论投标结果如何，投标人均应自行承担所有与投标有关的全部费用（招标文件有相关规定除外）。</w:t>
      </w:r>
    </w:p>
    <w:p w14:paraId="244259EF">
      <w:pPr>
        <w:pStyle w:val="11"/>
        <w:spacing w:after="0" w:line="400" w:lineRule="exact"/>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招标代理费用由中标供应商支付，代理服务费按照</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下表执行，不足</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元按定额</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元收取，</w:t>
      </w:r>
      <w:r>
        <w:rPr>
          <w:rFonts w:hint="eastAsia" w:asciiTheme="minorEastAsia" w:hAnsiTheme="minorEastAsia" w:eastAsiaTheme="minorEastAsia" w:cstheme="minorEastAsia"/>
          <w:kern w:val="0"/>
          <w:sz w:val="24"/>
          <w:highlight w:val="none"/>
        </w:rPr>
        <w:t>该费用中标方须在中标通知书发出5日内一次性付清。</w:t>
      </w:r>
    </w:p>
    <w:p w14:paraId="2080EB5C">
      <w:pPr>
        <w:pStyle w:val="11"/>
        <w:spacing w:after="0" w:line="312" w:lineRule="auto"/>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户    名：台州蔚蓝投资咨询有限公司</w:t>
      </w:r>
    </w:p>
    <w:p w14:paraId="0CD1F17B">
      <w:pPr>
        <w:snapToGri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开户银行：台州银行市府大道支行</w:t>
      </w:r>
    </w:p>
    <w:p w14:paraId="6D29B2FA">
      <w:pPr>
        <w:snapToGrid w:val="0"/>
        <w:spacing w:after="0" w:line="312" w:lineRule="auto"/>
        <w:ind w:firstLine="484"/>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帐    号：530407263700015</w:t>
      </w:r>
    </w:p>
    <w:p w14:paraId="73C422F8">
      <w:pPr>
        <w:pStyle w:val="22"/>
        <w:ind w:left="0" w:leftChars="0"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本项目采购代理服务费已包含在总报价内，投标供应商在投标报价中综合考虑。</w:t>
      </w:r>
    </w:p>
    <w:p w14:paraId="467E7190">
      <w:pPr>
        <w:pStyle w:val="22"/>
        <w:ind w:left="0" w:leftChars="0" w:firstLine="1260" w:firstLineChars="6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7BD789AF">
      <w:pPr>
        <w:pStyle w:val="12"/>
        <w:snapToGrid w:val="0"/>
        <w:spacing w:after="0" w:line="312"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（四）特别说明</w:t>
      </w:r>
    </w:p>
    <w:p w14:paraId="16C9FFC1">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1、投标人投标所使用的资格、信誉、荣誉、业绩与企业认证必须为本法人所拥有。投标人投标所使用的采购项目实施人员必须为本法人员工（指本法人公司正式员工）。</w:t>
      </w:r>
    </w:p>
    <w:p w14:paraId="1F5B2E62">
      <w:pPr>
        <w:pStyle w:val="12"/>
        <w:snapToGrid w:val="0"/>
        <w:spacing w:after="0" w:line="312" w:lineRule="auto"/>
        <w:ind w:left="2" w:leftChars="0" w:hanging="2"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其中涉及资格条件的如非本法人所拥有，则投标无效。</w:t>
      </w:r>
    </w:p>
    <w:p w14:paraId="5E654848">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E92E2B2">
      <w:pPr>
        <w:pStyle w:val="12"/>
        <w:snapToGrid w:val="0"/>
        <w:spacing w:after="0" w:line="312" w:lineRule="auto"/>
        <w:ind w:left="2" w:leftChars="1"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sz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0FC020">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3B4A5009">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sz w:val="24"/>
          <w:szCs w:val="24"/>
          <w:highlight w:val="none"/>
        </w:rPr>
        <w:t>、为采购项目提供整体设计、规范编制或者项目管理、监理、检测等服务的供应商，不得再参加该采购项目的其他采购活动。</w:t>
      </w:r>
    </w:p>
    <w:p w14:paraId="2CED3CE4">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6、投标文件格式中的表格式样可以根据项目差别做适当调整,但应当保持表格样式基本形态不变。</w:t>
      </w:r>
    </w:p>
    <w:p w14:paraId="2445C594">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23B994EF">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szCs w:val="20"/>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1936A52">
      <w:pPr>
        <w:pStyle w:val="4"/>
        <w:keepNext w:val="0"/>
        <w:keepLines w:val="0"/>
        <w:tabs>
          <w:tab w:val="left" w:pos="851"/>
        </w:tabs>
        <w:autoSpaceDE w:val="0"/>
        <w:autoSpaceDN w:val="0"/>
        <w:adjustRightInd w:val="0"/>
        <w:snapToGrid w:val="0"/>
        <w:spacing w:before="0" w:after="0"/>
        <w:ind w:firstLine="482"/>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、本项目不允许转包、分包。</w:t>
      </w:r>
    </w:p>
    <w:p w14:paraId="2F6288EF">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r>
        <w:rPr>
          <w:rFonts w:hint="eastAsia" w:asciiTheme="minorEastAsia" w:hAnsiTheme="minorEastAsia" w:eastAsiaTheme="minorEastAsia" w:cstheme="minorEastAsia"/>
          <w:b w:val="0"/>
          <w:bCs w:val="0"/>
          <w:sz w:val="24"/>
          <w:szCs w:val="24"/>
          <w:highlight w:val="none"/>
        </w:rPr>
        <w:t>。</w:t>
      </w:r>
    </w:p>
    <w:p w14:paraId="722BF4B0">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12" w:lineRule="auto"/>
        <w:ind w:right="1800"/>
        <w:jc w:val="left"/>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二、招标文件</w:t>
      </w:r>
    </w:p>
    <w:p w14:paraId="1B57092A">
      <w:pPr>
        <w:autoSpaceDE w:val="0"/>
        <w:autoSpaceDN w:val="0"/>
        <w:adjustRightIn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（一）招标文件由招标文件总目录所列内容组成。</w:t>
      </w:r>
    </w:p>
    <w:p w14:paraId="7507423B">
      <w:pPr>
        <w:autoSpaceDE w:val="0"/>
        <w:autoSpaceDN w:val="0"/>
        <w:adjustRightIn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（二）招标文件的澄清或修改</w:t>
      </w:r>
    </w:p>
    <w:p w14:paraId="3284D78E">
      <w:pPr>
        <w:autoSpaceDE w:val="0"/>
        <w:autoSpaceDN w:val="0"/>
        <w:adjustRightInd w:val="0"/>
        <w:spacing w:after="0" w:line="312" w:lineRule="auto"/>
        <w:ind w:firstLine="420" w:firstLineChars="175"/>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D4E41D2">
      <w:pPr>
        <w:autoSpaceDE w:val="0"/>
        <w:autoSpaceDN w:val="0"/>
        <w:adjustRightInd w:val="0"/>
        <w:spacing w:after="0" w:line="312" w:lineRule="auto"/>
        <w:ind w:firstLine="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E3FE9F6">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三、投标文件</w:t>
      </w:r>
    </w:p>
    <w:p w14:paraId="64FF3F95">
      <w:pPr>
        <w:tabs>
          <w:tab w:val="left" w:pos="1418"/>
        </w:tabs>
        <w:autoSpaceDE w:val="0"/>
        <w:autoSpaceDN w:val="0"/>
        <w:adjustRightInd w:val="0"/>
        <w:snapToGri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（一）总体要求</w:t>
      </w:r>
    </w:p>
    <w:p w14:paraId="2F372054">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1、投标人应仔细阅读招标文件的所有内容，按本文件的要求提供投标文件，并保证所提供的全部资料的真实性，以使其投标文件对招标文件作出实质性响应，否则，投标文件可能视为无效投标文件。</w:t>
      </w:r>
    </w:p>
    <w:p w14:paraId="70E01140">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2、投标文件及投标人与采购有关的来往通知，函件和文件均应使用中文。</w:t>
      </w:r>
    </w:p>
    <w:p w14:paraId="5F02C32D">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3、投标人应按本文件中提供的文件格式、内容和要求制作投标文件。</w:t>
      </w:r>
    </w:p>
    <w:p w14:paraId="08068A2A">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4、投标文件的形式和效力</w:t>
      </w:r>
    </w:p>
    <w:p w14:paraId="7DEF278C">
      <w:pPr>
        <w:adjustRightInd w:val="0"/>
        <w:snapToGrid w:val="0"/>
        <w:spacing w:after="0" w:line="312"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 </w:t>
      </w:r>
    </w:p>
    <w:p w14:paraId="5ACD3233">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（2）投标文件的效力</w:t>
      </w:r>
    </w:p>
    <w:p w14:paraId="0D0BB09D">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投标文件的启用，按先后顺位分别为电子投标文件、电子备份投标文件。因网络或者其他问题造成政采云电子投标文件无法正常解密，那么启用电子备份投标文件。</w:t>
      </w:r>
    </w:p>
    <w:p w14:paraId="14832199">
      <w:pPr>
        <w:autoSpaceDE w:val="0"/>
        <w:autoSpaceDN w:val="0"/>
        <w:adjustRightIn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sz w:val="24"/>
          <w:highlight w:val="none"/>
          <w:lang w:val="zh-CN"/>
        </w:rPr>
        <w:t>（二）</w:t>
      </w:r>
      <w:r>
        <w:rPr>
          <w:rFonts w:hint="eastAsia" w:asciiTheme="minorEastAsia" w:hAnsiTheme="minorEastAsia" w:eastAsiaTheme="minorEastAsia" w:cstheme="minorEastAsia"/>
          <w:b/>
          <w:bCs/>
          <w:kern w:val="0"/>
          <w:sz w:val="24"/>
          <w:highlight w:val="none"/>
        </w:rPr>
        <w:t>投标文件的组成</w:t>
      </w:r>
    </w:p>
    <w:p w14:paraId="05ACA4A8">
      <w:pPr>
        <w:adjustRightInd w:val="0"/>
        <w:snapToGrid w:val="0"/>
        <w:spacing w:after="0" w:line="312" w:lineRule="auto"/>
        <w:ind w:firstLine="480" w:firstLineChars="200"/>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stheme="minorEastAsia"/>
          <w:sz w:val="24"/>
          <w:highlight w:val="none"/>
          <w:lang w:val="zh-CN"/>
        </w:rPr>
        <w:t>【特别提示：如有要求提供资料原件的，相关原件需清晰扫描在投标文件中】</w:t>
      </w:r>
    </w:p>
    <w:p w14:paraId="4B356BBD">
      <w:pPr>
        <w:snapToGrid w:val="0"/>
        <w:spacing w:after="0" w:line="312"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5B732007">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（1）投标声明书；</w:t>
      </w:r>
    </w:p>
    <w:p w14:paraId="6AA09BBC">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授权委托书或法定代表人证明书（适用法定代表人亲自参加的）</w:t>
      </w:r>
      <w:r>
        <w:rPr>
          <w:rFonts w:hint="eastAsia" w:asciiTheme="minorEastAsia" w:hAnsiTheme="minorEastAsia" w:eastAsiaTheme="minorEastAsia" w:cstheme="minorEastAsia"/>
          <w:sz w:val="24"/>
          <w:highlight w:val="none"/>
        </w:rPr>
        <w:t>；</w:t>
      </w:r>
    </w:p>
    <w:p w14:paraId="2E836A6B">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在中华人民共和国境内注册的法人或者其他组织的营业执照等证明文件，自然人的身份证明</w:t>
      </w:r>
      <w:r>
        <w:rPr>
          <w:rFonts w:hint="eastAsia" w:asciiTheme="minorEastAsia" w:hAnsiTheme="minorEastAsia" w:eastAsiaTheme="minorEastAsia" w:cstheme="minorEastAsia"/>
          <w:sz w:val="24"/>
          <w:highlight w:val="none"/>
        </w:rPr>
        <w:t>；</w:t>
      </w:r>
    </w:p>
    <w:p w14:paraId="02964CAA">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rFonts w:hint="eastAsia" w:asciiTheme="minorEastAsia" w:hAnsiTheme="minorEastAsia" w:eastAsiaTheme="minorEastAsia" w:cstheme="minorEastAsia"/>
          <w:sz w:val="24"/>
          <w:highlight w:val="none"/>
        </w:rPr>
        <w:t>；</w:t>
      </w:r>
    </w:p>
    <w:p w14:paraId="5B07B54D">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具备履行合同所必需的设备和专业技术能力的承诺函</w:t>
      </w:r>
      <w:r>
        <w:rPr>
          <w:rFonts w:hint="eastAsia" w:asciiTheme="minorEastAsia" w:hAnsiTheme="minorEastAsia" w:eastAsiaTheme="minorEastAsia" w:cstheme="minorEastAsia"/>
          <w:sz w:val="24"/>
          <w:highlight w:val="none"/>
        </w:rPr>
        <w:t>；</w:t>
      </w:r>
    </w:p>
    <w:p w14:paraId="51C336DF">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中小企业声明函等政府采购优惠政策相关资料；</w:t>
      </w:r>
    </w:p>
    <w:p w14:paraId="75262C21">
      <w:pPr>
        <w:snapToGrid w:val="0"/>
        <w:spacing w:after="0" w:line="312" w:lineRule="auto"/>
        <w:ind w:firstLine="482"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2、商务与技术文件的组成：</w:t>
      </w:r>
    </w:p>
    <w:p w14:paraId="5477F0F6">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（1）投标人情况介绍；</w:t>
      </w:r>
    </w:p>
    <w:p w14:paraId="1863FAB1">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（2）投标方案描述：</w:t>
      </w:r>
    </w:p>
    <w:p w14:paraId="4E950C4D">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705C20F">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B.项目组织实施方案（包括项目工期、确保项目供货的措施或方案、项目实施进度安排、项目实施人员及项目负责人的资质、类似经验及社保证明等）。</w:t>
      </w:r>
    </w:p>
    <w:p w14:paraId="42F29C5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w:t>
      </w:r>
      <w:r>
        <w:rPr>
          <w:rFonts w:hint="eastAsia" w:asciiTheme="minorEastAsia" w:hAnsiTheme="minorEastAsia" w:eastAsiaTheme="minorEastAsia" w:cstheme="minorEastAsia"/>
          <w:kern w:val="0"/>
          <w:sz w:val="24"/>
          <w:szCs w:val="24"/>
          <w:highlight w:val="none"/>
        </w:rPr>
        <w:t>安装、调试及验收方案（包括项目验收标准和验收方法等）</w:t>
      </w:r>
      <w:r>
        <w:rPr>
          <w:rFonts w:hint="eastAsia" w:asciiTheme="minorEastAsia" w:hAnsiTheme="minorEastAsia" w:eastAsiaTheme="minorEastAsia" w:cstheme="minorEastAsia"/>
          <w:sz w:val="24"/>
          <w:szCs w:val="24"/>
          <w:highlight w:val="none"/>
        </w:rPr>
        <w:t>和措施；</w:t>
      </w:r>
    </w:p>
    <w:p w14:paraId="70651FE7">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（3）投标产品描述及相关资料：</w:t>
      </w:r>
    </w:p>
    <w:p w14:paraId="7285E0BE">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A.设备配置清单（均不含报价）。</w:t>
      </w:r>
    </w:p>
    <w:p w14:paraId="150BD4BC">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B.产品品牌及型号、技术参数指标、性能特点、图片资料以及所遵循的技术规范、产品质保期、出厂标准、产品质量相关检测报告等内容。</w:t>
      </w:r>
    </w:p>
    <w:p w14:paraId="01ECDF9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C.商务及技术响应表。</w:t>
      </w:r>
    </w:p>
    <w:p w14:paraId="7749FBD7">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D.投标产品中有节能产品的</w:t>
      </w:r>
      <w:r>
        <w:rPr>
          <w:rFonts w:hint="eastAsia" w:asciiTheme="minorEastAsia" w:hAnsiTheme="minorEastAsia" w:eastAsiaTheme="minorEastAsia" w:cstheme="minorEastAsia"/>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p>
    <w:p w14:paraId="6C4F6775">
      <w:pPr>
        <w:spacing w:line="360" w:lineRule="auto"/>
        <w:ind w:left="218" w:leftChars="104" w:firstLine="619" w:firstLineChars="25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【注：本项目执行最新政府采购节能产品、环境标志产品品目清单。】</w:t>
      </w:r>
    </w:p>
    <w:p w14:paraId="3D40EA1E">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（4）投标人通过的质量管理和质量保证体系、环保体系、</w:t>
      </w:r>
      <w:r>
        <w:rPr>
          <w:rFonts w:hint="eastAsia" w:asciiTheme="minorEastAsia" w:hAnsiTheme="minorEastAsia" w:eastAsiaTheme="minorEastAsia" w:cstheme="minorEastAsia"/>
          <w:sz w:val="24"/>
          <w:highlight w:val="none"/>
        </w:rPr>
        <w:t>自主创新相关证书、软件著作权证等等与本项目相关</w:t>
      </w:r>
      <w:r>
        <w:rPr>
          <w:rFonts w:hint="eastAsia" w:asciiTheme="minorEastAsia" w:hAnsiTheme="minorEastAsia" w:eastAsiaTheme="minorEastAsia" w:cstheme="minorEastAsia"/>
          <w:kern w:val="0"/>
          <w:sz w:val="24"/>
          <w:highlight w:val="none"/>
        </w:rPr>
        <w:t>的认证证书或文件；</w:t>
      </w:r>
    </w:p>
    <w:p w14:paraId="7E62490D">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（5）近年来类似项目的成功案例（投标人类似项目实施情况一览表、合同复印件及其相应的发票、用户验收报告等；</w:t>
      </w:r>
    </w:p>
    <w:p w14:paraId="1B9974D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（6）售后服务描述及承诺：</w:t>
      </w:r>
    </w:p>
    <w:p w14:paraId="6924B638">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A.距采购人最近的服务网点详细介绍（包括地理位置、资质资格、技术力量、工作业绩、服务内容及联系电话等）。</w:t>
      </w:r>
    </w:p>
    <w:p w14:paraId="406F792E">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B.针对本项目的售后服务措施及承诺（售后技术服务方案、人员配备、故障响应时间、技术培训方案等）。</w:t>
      </w:r>
    </w:p>
    <w:p w14:paraId="0F88B6B3">
      <w:pPr>
        <w:snapToGrid w:val="0"/>
        <w:spacing w:after="0" w:line="312"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（7）投标人认为需要提供的其他资料（包括可能影响投标人商务与技术文件评分的各类证明材料，格式自拟）。</w:t>
      </w:r>
    </w:p>
    <w:p w14:paraId="0AD5B477">
      <w:pPr>
        <w:autoSpaceDE w:val="0"/>
        <w:autoSpaceDN w:val="0"/>
        <w:adjustRightInd w:val="0"/>
        <w:spacing w:after="0" w:line="312"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3、报价文件的组成</w:t>
      </w:r>
    </w:p>
    <w:p w14:paraId="4378FEFD">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（1）报价文件由开标一览表、报价明细表等，以及投标人认为其他需要说明的内容组成。</w:t>
      </w:r>
    </w:p>
    <w:p w14:paraId="13DB0DE0">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（2）此报价为投标人一次性报出唯一的最终价格，包含其它一切所要涉及到的费用，有选择的报价将被拒绝。</w:t>
      </w:r>
    </w:p>
    <w:p w14:paraId="55AFF54F">
      <w:pPr>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5A62B49C">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（4）相关报价单由于表达不清引起的后果</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导致的废标等</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由投标人负责。</w:t>
      </w:r>
    </w:p>
    <w:p w14:paraId="17B7A781">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sz w:val="24"/>
          <w:highlight w:val="none"/>
        </w:rPr>
        <w:t>）投标报价应按招标文件中相关附表格式填写。</w:t>
      </w:r>
    </w:p>
    <w:p w14:paraId="7BA1C9BD">
      <w:pPr>
        <w:spacing w:after="0" w:line="312" w:lineRule="auto"/>
        <w:ind w:left="420" w:left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（三）投标文件的制作、封装及递交要求</w:t>
      </w:r>
    </w:p>
    <w:p w14:paraId="08C55B9D">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1、投标文件的制作要求</w:t>
      </w:r>
    </w:p>
    <w:p w14:paraId="16584492">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（1）本项目通过“政府采购云平台（http://zfcg.czt.zj.gov.cn/）”实行在线投标响应（电子投标）。供应商应通过“政采云电子交易客户端”，并按照本招标文件和“政府采购云平台”的要求编制并加密投标文件。</w:t>
      </w:r>
    </w:p>
    <w:p w14:paraId="534B40CC">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14:paraId="0901AEF3">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（3）投标人应按照投标文件组成内容及项目招标需求制作投标文件，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不按招标文件要求制作投标文件的将视情处理（拒收、扣分等），由此产生的责任由投标人自行承担。</w:t>
      </w:r>
    </w:p>
    <w:p w14:paraId="20A155C7">
      <w:pPr>
        <w:autoSpaceDE w:val="0"/>
        <w:autoSpaceDN w:val="0"/>
        <w:adjustRightInd w:val="0"/>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sz w:val="24"/>
          <w:highlight w:val="none"/>
        </w:rPr>
        <w:t>（4）</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投标人应对所提供的全部资料的真实性承担法律责任，</w:t>
      </w:r>
      <w:r>
        <w:rPr>
          <w:rFonts w:hint="eastAsia" w:asciiTheme="minorEastAsia" w:hAnsiTheme="minorEastAsia" w:eastAsiaTheme="minorEastAsia" w:cstheme="minorEastAsia"/>
          <w:kern w:val="0"/>
          <w:sz w:val="24"/>
          <w:highlight w:val="none"/>
          <w:lang w:val="zh-CN"/>
        </w:rPr>
        <w:t>投标文件内容中有要求盖章或签字的地方，必须加盖投标人的公章以及法定代表人或授权代表盖章或签字。</w:t>
      </w:r>
      <w:r>
        <w:rPr>
          <w:rFonts w:hint="eastAsia" w:asciiTheme="minorEastAsia" w:hAnsiTheme="minorEastAsia" w:eastAsiaTheme="minorEastAsia" w:cstheme="minorEastAsia"/>
          <w:b/>
          <w:bCs/>
          <w:sz w:val="24"/>
          <w:highlight w:val="none"/>
          <w:lang w:val="zh-CN"/>
        </w:rPr>
        <w:t>其中</w:t>
      </w:r>
      <w:r>
        <w:rPr>
          <w:rFonts w:hint="eastAsia" w:asciiTheme="minorEastAsia" w:hAnsiTheme="minorEastAsia" w:eastAsiaTheme="minorEastAsia" w:cstheme="minorEastAsia"/>
          <w:b/>
          <w:bCs/>
          <w:sz w:val="24"/>
          <w:highlight w:val="none"/>
        </w:rPr>
        <w:t>电子投标文件中所须加盖公章部分均采用CA签章。</w:t>
      </w:r>
    </w:p>
    <w:p w14:paraId="6864814B">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72C0F774">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投标计量单位，招标文件已有明确规定的，使用招标文件规定的计量单位；招标文件没有规定的，应采用中华人民共和国法定计量单位（货币单位：人民币元）。</w:t>
      </w:r>
    </w:p>
    <w:p w14:paraId="6FE21BD7">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（7）若投标人不按</w:t>
      </w:r>
      <w:r>
        <w:rPr>
          <w:rFonts w:hint="eastAsia" w:asciiTheme="minorEastAsia" w:hAnsiTheme="minorEastAsia" w:eastAsiaTheme="minorEastAsia" w:cstheme="minorEastAsia"/>
          <w:color w:val="000000"/>
          <w:sz w:val="24"/>
          <w:highlight w:val="none"/>
        </w:rPr>
        <w:t>招标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文件的要求提供资格审查材料，其风险由投标人自行承担。</w:t>
      </w:r>
    </w:p>
    <w:p w14:paraId="50530D4D">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与本次投标无关的内容请不要制作在内，确保投标文件有针对性、简洁明了。</w:t>
      </w:r>
    </w:p>
    <w:p w14:paraId="1D32291A">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2、电子投标文件、电子备份投标文件制作要求</w:t>
      </w:r>
    </w:p>
    <w:p w14:paraId="285F9407">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关联定位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75BE9241">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2AFDACEB">
      <w:pPr>
        <w:autoSpaceDE w:val="0"/>
        <w:autoSpaceDN w:val="0"/>
        <w:adjustRightInd w:val="0"/>
        <w:spacing w:after="0" w:line="400" w:lineRule="exact"/>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温馨提醒：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p>
    <w:p w14:paraId="60DF7D06">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3、投标响应文件的封装要求</w:t>
      </w:r>
    </w:p>
    <w:p w14:paraId="78CC3E38">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（1）投标文件制作完成并生成标书，在开标前，供应商需将投标响应文件上传至政采云平台，到达开标时间后，解密投标文件，采购组织机构对投标响应文件的误投和供应商操作失误造成的提前启封不负责任。</w:t>
      </w:r>
    </w:p>
    <w:p w14:paraId="4E7BF1E3">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（2）所有投标响应资料按投标采购文件的组成所列内容及顺序编制，</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并逐页连续标注页码。因投标响应文件内容不完整、编排混乱导致投标响应文件被误读、漏读或者查找不到相关内容的责任由供应商自行承担。</w:t>
      </w:r>
    </w:p>
    <w:p w14:paraId="03FB81F0">
      <w:pPr>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62B479F3">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投标文件的递交要求</w:t>
      </w:r>
    </w:p>
    <w:p w14:paraId="40B74E19">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（1）投标文件必须在规定时间前上传、送达。投标文件在截止时间后提交，采购组织机构将拒绝接收。</w:t>
      </w:r>
    </w:p>
    <w:p w14:paraId="533BE15C">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（2）如有特殊情况，采购组织机构延长截止时间和开标时间，采购组织机构和投标人的权利和义务将受到新的截止时间和开标时间的约束。</w:t>
      </w:r>
    </w:p>
    <w:p w14:paraId="3B415CD1">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5、投标文件的补充、修改和撤回。</w:t>
      </w:r>
    </w:p>
    <w:p w14:paraId="559281F6">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b/>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0909182">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b/>
          <w:kern w:val="0"/>
          <w:sz w:val="24"/>
          <w:highlight w:val="none"/>
        </w:rPr>
        <w:t>投标截止时间后，投标供应商不得撤回、修改《投标响应文件》。</w:t>
      </w:r>
    </w:p>
    <w:p w14:paraId="752B0B94">
      <w:pPr>
        <w:tabs>
          <w:tab w:val="left" w:pos="1898"/>
        </w:tabs>
        <w:autoSpaceDE w:val="0"/>
        <w:autoSpaceDN w:val="0"/>
        <w:adjustRightInd w:val="0"/>
        <w:spacing w:after="0" w:line="312" w:lineRule="auto"/>
        <w:ind w:left="420" w:left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（三）投标文件的有效期</w:t>
      </w:r>
    </w:p>
    <w:p w14:paraId="0F682794">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自投标截止日起90天投标文件应保持有效。有效期不足的投标文件将被拒绝。</w:t>
      </w:r>
    </w:p>
    <w:p w14:paraId="29C30127">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在特殊情况下，采购人可与投标人协商延长投标文件的有效期，这种要求和答复均以书面形式进行。</w:t>
      </w:r>
    </w:p>
    <w:p w14:paraId="39100B56">
      <w:pPr>
        <w:snapToGrid w:val="0"/>
        <w:spacing w:after="0" w:line="312" w:lineRule="auto"/>
        <w:ind w:firstLine="480" w:firstLineChars="200"/>
        <w:jc w:val="left"/>
        <w:outlineLvl w:val="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378FB7BC">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四、投标保证金</w:t>
      </w:r>
    </w:p>
    <w:p w14:paraId="1F888ACE">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根据《浙江省财政厅关于明确政府采购保证金管理工作的通知》文件规定，不再收取投标保证金。</w:t>
      </w:r>
    </w:p>
    <w:p w14:paraId="5441BCB4">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但投标人有下列情形之一的，将视情节轻重予以处罚（处罚措施由招标人合理确定，若给招标人造成损失的，须承担所有损失赔偿，并上报采购监管机构进行处理）。</w:t>
      </w:r>
    </w:p>
    <w:p w14:paraId="78F1243F">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（1）投标人在截止时间后至投标有效期内无故撤回投标文件或放弃中标资格的；</w:t>
      </w:r>
    </w:p>
    <w:p w14:paraId="56088371">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（2）投标人在投标过程中弄虚作假，提供虚假材料的；</w:t>
      </w:r>
    </w:p>
    <w:p w14:paraId="1FA757F3">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（3）与采购人另行订立背离合同实质性内容的协议的；</w:t>
      </w:r>
    </w:p>
    <w:p w14:paraId="71E5CD35">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（4）将中标项目转让或违规分包给他人；</w:t>
      </w:r>
    </w:p>
    <w:p w14:paraId="17FE527B">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（5）除因不可抗力或招标文件认可的情形以外，中标供应商不与采购人签订合同或拒绝履行合同义务的；</w:t>
      </w:r>
    </w:p>
    <w:p w14:paraId="12AF05A3">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（6）供应商与采购人、其他供应商或者采购组织机构恶意串通的；</w:t>
      </w:r>
    </w:p>
    <w:p w14:paraId="5F780698">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（7）其他严重扰乱招投标程序的，法律、法规明确规定的其他行为。</w:t>
      </w:r>
    </w:p>
    <w:p w14:paraId="1AA1E0E5">
      <w:pPr>
        <w:snapToGrid w:val="0"/>
        <w:spacing w:after="0" w:line="40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五、开标</w:t>
      </w:r>
    </w:p>
    <w:p w14:paraId="4F3D6557">
      <w:pPr>
        <w:autoSpaceDE w:val="0"/>
        <w:autoSpaceDN w:val="0"/>
        <w:adjustRightInd w:val="0"/>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（一）开标事项</w:t>
      </w:r>
    </w:p>
    <w:p w14:paraId="0165A4A2">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采购组织机构在“招标公告”规定的时间和地点公开开标，投标人线上参加项目开标过程。投标人未在规定时间参与开标过程的，视为放弃开标监督权利、认可开标结果。</w:t>
      </w:r>
    </w:p>
    <w:p w14:paraId="33698F27">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在开标过程中如有异议，按规定出具加盖公章</w:t>
      </w:r>
      <w:r>
        <w:rPr>
          <w:rFonts w:hint="eastAsia" w:asciiTheme="minorEastAsia" w:hAnsiTheme="minorEastAsia" w:eastAsiaTheme="minorEastAsia" w:cstheme="minorEastAsia"/>
          <w:kern w:val="0"/>
          <w:sz w:val="24"/>
          <w:highlight w:val="none"/>
        </w:rPr>
        <w:t>（或者由法定代理人或其授权的代表签字）</w:t>
      </w:r>
      <w:r>
        <w:rPr>
          <w:rFonts w:hint="eastAsia" w:asciiTheme="minorEastAsia" w:hAnsiTheme="minorEastAsia" w:eastAsiaTheme="minorEastAsia" w:cstheme="minorEastAsia"/>
          <w:bCs/>
          <w:sz w:val="24"/>
          <w:highlight w:val="none"/>
        </w:rPr>
        <w:t>的质疑函的原件扫描件，原件也同时寄给或送至招标代理公司（或采购人）。在开标过程中如有澄清、无效标等，投标人也按上述方式进行操作。</w:t>
      </w:r>
    </w:p>
    <w:p w14:paraId="73A59CC3">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本次招标</w:t>
      </w:r>
      <w:r>
        <w:rPr>
          <w:rFonts w:hint="eastAsia" w:asciiTheme="minorEastAsia" w:hAnsiTheme="minorEastAsia" w:eastAsiaTheme="minorEastAsia" w:cstheme="minorEastAsia"/>
          <w:sz w:val="24"/>
          <w:highlight w:val="none"/>
        </w:rPr>
        <w:t>先开资格证明文件，再开商务技术文件，商务技术文件评审结束后再开评报价文件</w:t>
      </w:r>
      <w:r>
        <w:rPr>
          <w:rFonts w:hint="eastAsia" w:asciiTheme="minorEastAsia" w:hAnsiTheme="minorEastAsia" w:eastAsiaTheme="minorEastAsia" w:cstheme="minorEastAsia"/>
          <w:kern w:val="0"/>
          <w:sz w:val="24"/>
          <w:highlight w:val="none"/>
        </w:rPr>
        <w:t>。</w:t>
      </w:r>
    </w:p>
    <w:p w14:paraId="337BE920">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采购过程中出现以下情形，导致电子交易平台无法正常运行，或者无法保证电子交易的公平、公正和安全时，采购组织机构可中止电子交易活动：</w:t>
      </w:r>
    </w:p>
    <w:p w14:paraId="33AB51A9">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（1）电子交易平台发生故障而无法登录访问的； </w:t>
      </w:r>
    </w:p>
    <w:p w14:paraId="4E687C7D">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（2）电子交易平台应用或数据库出现错误，不能进行正常操作的；</w:t>
      </w:r>
    </w:p>
    <w:p w14:paraId="197C94D0">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（3）电子交易平台发现严重安全漏洞，有潜在泄密危险的；</w:t>
      </w:r>
    </w:p>
    <w:p w14:paraId="5B65BB6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（4）病毒发作导致不能进行正常操作的； </w:t>
      </w:r>
    </w:p>
    <w:p w14:paraId="68D2BE46">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（5）其他无法保证电子交易的公平、公正和安全的情况。</w:t>
      </w:r>
    </w:p>
    <w:p w14:paraId="77DA6030">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FA90CB3">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 开标程序：</w:t>
      </w:r>
    </w:p>
    <w:p w14:paraId="6358DADC">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b/>
          <w:sz w:val="24"/>
          <w:highlight w:val="none"/>
        </w:rPr>
        <w:t>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r>
        <w:rPr>
          <w:rFonts w:hint="eastAsia" w:asciiTheme="minorEastAsia" w:hAnsiTheme="minorEastAsia" w:eastAsiaTheme="minorEastAsia" w:cstheme="minorEastAsia"/>
          <w:sz w:val="24"/>
          <w:highlight w:val="none"/>
        </w:rPr>
        <w:t>；</w:t>
      </w:r>
    </w:p>
    <w:p w14:paraId="62D10DB9">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2、主持人介绍参加开标会的人员名单； </w:t>
      </w:r>
    </w:p>
    <w:p w14:paraId="09087051">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3、主持人宣布评标期间的有关事项，告知应当回避的情形,提请有关人员回避；对投标人进行签到验证。</w:t>
      </w:r>
    </w:p>
    <w:p w14:paraId="23C97B71">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4、向各投标人发出电子加密投标文件【开始解密】通知，由投标人按招标文件规定的时间内</w:t>
      </w:r>
      <w:r>
        <w:rPr>
          <w:rFonts w:hint="eastAsia" w:asciiTheme="minorEastAsia" w:hAnsiTheme="minorEastAsia" w:eastAsiaTheme="minorEastAsia" w:cstheme="minorEastAsia"/>
          <w:b/>
          <w:bCs/>
          <w:sz w:val="24"/>
          <w:highlight w:val="none"/>
        </w:rPr>
        <w:t>（30分钟内）</w:t>
      </w:r>
      <w:r>
        <w:rPr>
          <w:rFonts w:hint="eastAsia" w:asciiTheme="minorEastAsia" w:hAnsiTheme="minorEastAsia" w:eastAsiaTheme="minorEastAsia" w:cstheme="minorEastAsia"/>
          <w:sz w:val="24"/>
          <w:highlight w:val="none"/>
        </w:rPr>
        <w:t>自行进行投标文件解密。投标文件的制作和解密应使用同一个CA数字证书，否则将可能解密失败。</w:t>
      </w:r>
    </w:p>
    <w:p w14:paraId="03915161">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5、投标文件解密结束，各投标人签署《采购活动现场确认声明书》（见附件）后将扫描件发送至采购代理机构邮箱：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r>
        <w:rPr>
          <w:rFonts w:hint="eastAsia" w:asciiTheme="minorEastAsia" w:hAnsiTheme="minorEastAsia" w:eastAsiaTheme="minorEastAsia" w:cstheme="minorEastAsia"/>
          <w:sz w:val="24"/>
          <w:highlight w:val="none"/>
        </w:rPr>
        <w:t>；</w:t>
      </w:r>
    </w:p>
    <w:p w14:paraId="78EBB9F8">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5、采购组织机构点击【开启标书信息】，开启标书成功后进入开标流程。</w:t>
      </w:r>
    </w:p>
    <w:p w14:paraId="064A6718">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6、资格证明文件、商务技术文件评审；</w:t>
      </w:r>
    </w:p>
    <w:p w14:paraId="6F61AAE7">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7、由主持人公布无效投标的投标人名单、投标无效的原因及其他有效投标的评分汇总分；</w:t>
      </w:r>
    </w:p>
    <w:p w14:paraId="10E6600C">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8、开启报价文件：采购代理机构成功开启报价文件后，方可查看各供应商报价情况，同时当场制作开标记录表，</w:t>
      </w:r>
      <w:r>
        <w:rPr>
          <w:rFonts w:hint="eastAsia" w:asciiTheme="minorEastAsia" w:hAnsiTheme="minorEastAsia" w:eastAsiaTheme="minorEastAsia" w:cstheme="minorEastAsia"/>
          <w:sz w:val="24"/>
          <w:highlight w:val="none"/>
          <w:u w:val="single"/>
        </w:rPr>
        <w:t>供应商通过政府采购平台线上签章确认</w:t>
      </w:r>
      <w:r>
        <w:rPr>
          <w:rFonts w:hint="eastAsia" w:asciiTheme="minorEastAsia" w:hAnsiTheme="minorEastAsia" w:eastAsiaTheme="minorEastAsia" w:cstheme="minorEastAsia"/>
          <w:sz w:val="24"/>
          <w:highlight w:val="none"/>
        </w:rPr>
        <w:t>（不予确认的应说明理由，否则视为无异议）。</w:t>
      </w:r>
    </w:p>
    <w:p w14:paraId="70FF7736">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9、报价文件评审；</w:t>
      </w:r>
    </w:p>
    <w:p w14:paraId="138D3E11">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10、由主持人公布无效投标的投标人名单、投标无效的原因及其他有效投标的报价文件得分；</w:t>
      </w:r>
    </w:p>
    <w:p w14:paraId="2C92D7EF">
      <w:pPr>
        <w:pStyle w:val="12"/>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11、在完成评标后，宣布评标结果，开标会议结束。</w:t>
      </w:r>
    </w:p>
    <w:p w14:paraId="1872C9C9">
      <w:pPr>
        <w:pStyle w:val="12"/>
        <w:spacing w:after="0" w:line="312" w:lineRule="auto"/>
        <w:ind w:firstLine="482"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特别说明：如政府采购云平台如对电子化开标及评审程序有调整的，按调整后的程序操作。</w:t>
      </w:r>
    </w:p>
    <w:p w14:paraId="06B3F552">
      <w:pPr>
        <w:autoSpaceDE w:val="0"/>
        <w:autoSpaceDN w:val="0"/>
        <w:adjustRightInd w:val="0"/>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w:t>
      </w:r>
    </w:p>
    <w:p w14:paraId="40D70156">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（一）组建评标委员会</w:t>
      </w:r>
    </w:p>
    <w:p w14:paraId="135B2313">
      <w:pPr>
        <w:pStyle w:val="12"/>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本项目评标委员会由政府采购评审专家（随机抽取）和采购单位评审代表组成。成员人数为5人以上单数，其中评审专家不得少于成员总数的三分之二。评标委员会成员名单在定标前保密。</w:t>
      </w:r>
    </w:p>
    <w:p w14:paraId="2A5D59C9">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w:t>
      </w:r>
      <w:r>
        <w:rPr>
          <w:rFonts w:hint="eastAsia" w:asciiTheme="minorEastAsia" w:hAnsiTheme="minorEastAsia" w:eastAsiaTheme="minorEastAsia" w:cstheme="minorEastAsia"/>
          <w:b/>
          <w:bCs/>
          <w:sz w:val="24"/>
          <w:highlight w:val="none"/>
        </w:rPr>
        <w:t>评标程序</w:t>
      </w:r>
    </w:p>
    <w:p w14:paraId="5A4A2B3E">
      <w:pPr>
        <w:snapToGrid w:val="0"/>
        <w:spacing w:after="0" w:line="312" w:lineRule="auto"/>
        <w:ind w:firstLine="472" w:firstLineChars="196"/>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1、资格审查</w:t>
      </w:r>
      <w:r>
        <w:rPr>
          <w:rFonts w:hint="eastAsia" w:asciiTheme="minorEastAsia" w:hAnsiTheme="minorEastAsia" w:eastAsiaTheme="minorEastAsia" w:cstheme="minorEastAsia"/>
          <w:b/>
          <w:bCs/>
          <w:sz w:val="24"/>
          <w:highlight w:val="none"/>
        </w:rPr>
        <w:tab/>
      </w:r>
    </w:p>
    <w:p w14:paraId="6A69BE57">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公开招标采购项目开标解密结束后，采购人或者采购组织机构应当依法对投标人的资格进行审查，对审查发现无效的进行必要的询标，结束后公布无效投标的投标人名单、投标无效的原因。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14:paraId="0F8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75B8011E">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投标声明书</w:t>
            </w:r>
          </w:p>
        </w:tc>
        <w:tc>
          <w:tcPr>
            <w:tcW w:w="7366" w:type="dxa"/>
            <w:tcMar>
              <w:top w:w="57" w:type="dxa"/>
              <w:left w:w="108" w:type="dxa"/>
              <w:bottom w:w="0" w:type="dxa"/>
              <w:right w:w="108" w:type="dxa"/>
            </w:tcMar>
            <w:vAlign w:val="center"/>
          </w:tcPr>
          <w:p w14:paraId="2F0FE338">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6A5E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24549AA5">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授权委托书或法定代表人证明书</w:t>
            </w:r>
          </w:p>
        </w:tc>
        <w:tc>
          <w:tcPr>
            <w:tcW w:w="7366" w:type="dxa"/>
            <w:tcMar>
              <w:top w:w="57" w:type="dxa"/>
              <w:left w:w="108" w:type="dxa"/>
              <w:bottom w:w="0" w:type="dxa"/>
              <w:right w:w="108" w:type="dxa"/>
            </w:tcMar>
            <w:vAlign w:val="center"/>
          </w:tcPr>
          <w:p w14:paraId="5CBD6F27">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【法定代表人授权书】签字的有效授权书；法定代表人参加的提供法定代表人证明书（附件3）</w:t>
            </w:r>
          </w:p>
        </w:tc>
      </w:tr>
      <w:tr w14:paraId="2323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338E53ED">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具有独立承担民事责任的能力</w:t>
            </w:r>
          </w:p>
        </w:tc>
        <w:tc>
          <w:tcPr>
            <w:tcW w:w="7366" w:type="dxa"/>
            <w:tcMar>
              <w:top w:w="57" w:type="dxa"/>
              <w:left w:w="108" w:type="dxa"/>
              <w:bottom w:w="0" w:type="dxa"/>
              <w:right w:w="108" w:type="dxa"/>
            </w:tcMar>
            <w:vAlign w:val="center"/>
          </w:tcPr>
          <w:p w14:paraId="76367B45">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在中华人民共和国境内注册的企业或其他组织或自然人，投标时提交有效的营业执照（或事业法人登记证或身份证等相关证明）扫描件。</w:t>
            </w:r>
          </w:p>
        </w:tc>
      </w:tr>
      <w:tr w14:paraId="3F8D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tcMar>
              <w:top w:w="57" w:type="dxa"/>
              <w:left w:w="108" w:type="dxa"/>
              <w:bottom w:w="0" w:type="dxa"/>
              <w:right w:w="108" w:type="dxa"/>
            </w:tcMar>
            <w:vAlign w:val="center"/>
          </w:tcPr>
          <w:p w14:paraId="345CC17E">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信誉、财务、税收、社会保障 </w:t>
            </w:r>
          </w:p>
        </w:tc>
        <w:tc>
          <w:tcPr>
            <w:tcW w:w="7366" w:type="dxa"/>
            <w:tcMar>
              <w:top w:w="57" w:type="dxa"/>
              <w:left w:w="108" w:type="dxa"/>
              <w:bottom w:w="0" w:type="dxa"/>
              <w:right w:w="108" w:type="dxa"/>
            </w:tcMar>
            <w:vAlign w:val="center"/>
          </w:tcPr>
          <w:p w14:paraId="6577CA0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符合参与政府采购活动的资格条件，具备良好的商业信誉和健全的财务会计制度并且没有税收缴纳、社会保障等方面的失信记录的承诺函（附件4）</w:t>
            </w:r>
          </w:p>
        </w:tc>
      </w:tr>
      <w:tr w14:paraId="5949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2A59E077">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信用记录</w:t>
            </w:r>
          </w:p>
        </w:tc>
        <w:tc>
          <w:tcPr>
            <w:tcW w:w="7366" w:type="dxa"/>
            <w:tcMar>
              <w:top w:w="57" w:type="dxa"/>
              <w:left w:w="108" w:type="dxa"/>
              <w:bottom w:w="0" w:type="dxa"/>
              <w:right w:w="108" w:type="dxa"/>
            </w:tcMar>
            <w:vAlign w:val="center"/>
          </w:tcPr>
          <w:p w14:paraId="5505072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1.截止时点：开标后评标前</w:t>
            </w:r>
          </w:p>
          <w:p w14:paraId="3CEF44E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2.信用信息查询记录和证据留存的具体方式：由采购组织机构在规定查询时间内打印信用信息查询记录并归入项目档案。</w:t>
            </w:r>
          </w:p>
          <w:p w14:paraId="4233D39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14:paraId="3983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F2CAD47">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专业能力</w:t>
            </w:r>
          </w:p>
          <w:p w14:paraId="20006C97">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承诺函</w:t>
            </w:r>
          </w:p>
        </w:tc>
        <w:tc>
          <w:tcPr>
            <w:tcW w:w="7366" w:type="dxa"/>
            <w:tcMar>
              <w:top w:w="57" w:type="dxa"/>
              <w:left w:w="108" w:type="dxa"/>
              <w:bottom w:w="0" w:type="dxa"/>
              <w:right w:w="108" w:type="dxa"/>
            </w:tcMar>
            <w:vAlign w:val="center"/>
          </w:tcPr>
          <w:p w14:paraId="4B5290A1">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具备履行合同所必需的设备和专业技术能力的承诺函（附件5）</w:t>
            </w:r>
          </w:p>
        </w:tc>
      </w:tr>
      <w:tr w14:paraId="0B29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7FBB482C">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中小企业声明函</w:t>
            </w:r>
          </w:p>
        </w:tc>
        <w:tc>
          <w:tcPr>
            <w:tcW w:w="7366" w:type="dxa"/>
            <w:tcMar>
              <w:top w:w="57" w:type="dxa"/>
              <w:left w:w="108" w:type="dxa"/>
              <w:bottom w:w="0" w:type="dxa"/>
              <w:right w:w="108" w:type="dxa"/>
            </w:tcMar>
            <w:vAlign w:val="center"/>
          </w:tcPr>
          <w:p w14:paraId="4ECCB612">
            <w:pPr>
              <w:snapToGrid w:val="0"/>
              <w:spacing w:line="30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供应商的《中小企业声明函》(格式见附件18)。</w:t>
            </w:r>
          </w:p>
          <w:p w14:paraId="1E71B49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监狱企业、残疾人福利性单位视同中小型企业，若为残疾人福利性单位请提供残疾人福利性单位声明函（格式见附件18）；若为监狱企业，请提供省级以上监狱管理局、戒毒管理局（含新疆生产建设兵团）开具的属于监狱企业的证明文件（格式见附件18）。</w:t>
            </w:r>
          </w:p>
        </w:tc>
      </w:tr>
    </w:tbl>
    <w:p w14:paraId="6AF77827">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p>
    <w:p w14:paraId="32C97099">
      <w:pPr>
        <w:pStyle w:val="19"/>
        <w:spacing w:before="0" w:beforeAutospacing="0" w:after="0" w:afterAutospacing="0" w:line="312" w:lineRule="auto"/>
        <w:ind w:firstLine="472" w:firstLineChars="196"/>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2、符合性审查</w:t>
      </w:r>
    </w:p>
    <w:p w14:paraId="74F15DF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793D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tcMar>
              <w:top w:w="57" w:type="dxa"/>
              <w:left w:w="108" w:type="dxa"/>
              <w:bottom w:w="0" w:type="dxa"/>
              <w:right w:w="108" w:type="dxa"/>
            </w:tcMar>
            <w:vAlign w:val="center"/>
          </w:tcPr>
          <w:p w14:paraId="6AADE7E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必须符合法律、行政法规规定的其他条件</w:t>
            </w:r>
          </w:p>
        </w:tc>
        <w:tc>
          <w:tcPr>
            <w:tcW w:w="6708" w:type="dxa"/>
            <w:tcMar>
              <w:top w:w="57" w:type="dxa"/>
              <w:left w:w="108" w:type="dxa"/>
              <w:bottom w:w="0" w:type="dxa"/>
              <w:right w:w="108" w:type="dxa"/>
            </w:tcMar>
            <w:vAlign w:val="center"/>
          </w:tcPr>
          <w:p w14:paraId="2CA569FF">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1.单位负责人为同一人或者存在直接控股、管理关系的不同供应商，不得同时参加本项目投标。</w:t>
            </w:r>
          </w:p>
          <w:p w14:paraId="60E02B8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2.为本项目提供整体设计、规范编制或者项目管理、监理、检测等服务的供应商，不得再参与本项目投标。</w:t>
            </w:r>
          </w:p>
          <w:p w14:paraId="12F20C3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3.投标（报价）文件相关承诺要求内容。</w:t>
            </w:r>
          </w:p>
          <w:p w14:paraId="6ACA9834">
            <w:pPr>
              <w:pStyle w:val="22"/>
              <w:tabs>
                <w:tab w:val="clear" w:pos="900"/>
              </w:tabs>
              <w:ind w:left="0" w:leftChars="0" w:firstLine="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 w:val="24"/>
                <w:highlight w:val="none"/>
              </w:rPr>
              <w:t>4.电子交易平台运营机构，以及与该机构有直接控股或者管理关系可能影响采购公正性的任何单位和个人，不得在该平台进行的政府采购项目电子交易中投标、响应和代理政府采购项目。</w:t>
            </w:r>
          </w:p>
        </w:tc>
      </w:tr>
      <w:tr w14:paraId="4A0E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5794294C">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w:t>
            </w:r>
          </w:p>
        </w:tc>
        <w:tc>
          <w:tcPr>
            <w:tcW w:w="6708" w:type="dxa"/>
            <w:tcMar>
              <w:top w:w="57" w:type="dxa"/>
              <w:left w:w="108" w:type="dxa"/>
              <w:bottom w:w="0" w:type="dxa"/>
              <w:right w:w="108" w:type="dxa"/>
            </w:tcMar>
            <w:vAlign w:val="center"/>
          </w:tcPr>
          <w:p w14:paraId="6A012C56">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“▲”实质性条款必须满足招标文件要求。</w:t>
            </w:r>
          </w:p>
        </w:tc>
      </w:tr>
      <w:tr w14:paraId="5AEC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364319BC">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串通投标等违法行为</w:t>
            </w:r>
          </w:p>
        </w:tc>
        <w:tc>
          <w:tcPr>
            <w:tcW w:w="6708" w:type="dxa"/>
            <w:tcMar>
              <w:top w:w="57" w:type="dxa"/>
              <w:left w:w="108" w:type="dxa"/>
              <w:bottom w:w="0" w:type="dxa"/>
              <w:right w:w="108" w:type="dxa"/>
            </w:tcMar>
            <w:vAlign w:val="center"/>
          </w:tcPr>
          <w:p w14:paraId="473F1A9C">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未出现财政部87号令《政府采购货物和服务招标投标管理办法》第三十七条规定的串通投标情形，以及政府采购法律法规规定的其他违法行为。</w:t>
            </w:r>
          </w:p>
        </w:tc>
      </w:tr>
      <w:tr w14:paraId="3E3E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4799CD1F">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附加条件</w:t>
            </w:r>
          </w:p>
        </w:tc>
        <w:tc>
          <w:tcPr>
            <w:tcW w:w="6708" w:type="dxa"/>
            <w:tcMar>
              <w:top w:w="57" w:type="dxa"/>
              <w:left w:w="108" w:type="dxa"/>
              <w:bottom w:w="0" w:type="dxa"/>
              <w:right w:w="108" w:type="dxa"/>
            </w:tcMar>
            <w:vAlign w:val="center"/>
          </w:tcPr>
          <w:p w14:paraId="725EE9DD">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响应文件未含有采购人不可接受的附加条件。</w:t>
            </w:r>
          </w:p>
        </w:tc>
      </w:tr>
    </w:tbl>
    <w:p w14:paraId="04B3F411">
      <w:pPr>
        <w:pStyle w:val="19"/>
        <w:spacing w:before="0" w:beforeAutospacing="0" w:after="0" w:afterAutospacing="0" w:line="312" w:lineRule="auto"/>
        <w:ind w:firstLine="482"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b/>
          <w:bCs/>
          <w:highlight w:val="none"/>
        </w:rPr>
        <w:t>3、综合比较与评价</w:t>
      </w:r>
    </w:p>
    <w:p w14:paraId="06A6DD96">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（1）对于投标文件中含义不明确、同类问题表述不一致或者有明显文字和计算错误的内容，评标委员会应当以书面形式要求投标人作出必要的澄清、说明或者补正。</w:t>
      </w:r>
    </w:p>
    <w:p w14:paraId="4A8F79D1">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7D4114D9">
      <w:pPr>
        <w:snapToGri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（3）评标时，评标委员会各成员应当独立对每个投标人的投标文件进行评价，并汇总每个投标人的得分。</w:t>
      </w:r>
    </w:p>
    <w:p w14:paraId="44C9C570">
      <w:pPr>
        <w:numPr>
          <w:ilvl w:val="255"/>
          <w:numId w:val="0"/>
        </w:numPr>
        <w:snapToGrid w:val="0"/>
        <w:spacing w:after="0" w:line="312"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4、得分确认及评审报告编写</w:t>
      </w:r>
    </w:p>
    <w:p w14:paraId="0BA8363A">
      <w:pPr>
        <w:pStyle w:val="12"/>
        <w:snapToGrid w:val="0"/>
        <w:spacing w:after="0" w:line="312" w:lineRule="auto"/>
        <w:ind w:firstLine="420" w:firstLineChars="17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（1）评标委员会对报价文件进行复核，对于系统计算出的价格分及总得分进行确认；</w:t>
      </w:r>
    </w:p>
    <w:p w14:paraId="4F350F0F">
      <w:pPr>
        <w:pStyle w:val="19"/>
        <w:spacing w:before="0" w:beforeAutospacing="0" w:after="0" w:afterAutospacing="0" w:line="312" w:lineRule="auto"/>
        <w:ind w:firstLine="420" w:firstLineChars="175"/>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418F90EF">
      <w:pPr>
        <w:snapToGrid w:val="0"/>
        <w:spacing w:after="0" w:line="312"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kern w:val="0"/>
          <w:sz w:val="24"/>
          <w:highlight w:val="none"/>
        </w:rPr>
        <w:t>评标委员会</w:t>
      </w:r>
      <w:r>
        <w:rPr>
          <w:rFonts w:hint="eastAsia" w:asciiTheme="minorEastAsia" w:hAnsiTheme="minorEastAsia" w:eastAsiaTheme="minorEastAsia" w:cstheme="minorEastAsia"/>
          <w:sz w:val="24"/>
          <w:highlight w:val="none"/>
        </w:rPr>
        <w:t>按评标原则及得分情况编写评审报告。</w:t>
      </w:r>
    </w:p>
    <w:p w14:paraId="3BB7FC89">
      <w:pPr>
        <w:numPr>
          <w:ilvl w:val="255"/>
          <w:numId w:val="0"/>
        </w:numPr>
        <w:snapToGrid w:val="0"/>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5、评价</w:t>
      </w:r>
    </w:p>
    <w:p w14:paraId="1C5FFA33">
      <w:pPr>
        <w:snapToGrid w:val="0"/>
        <w:spacing w:after="0" w:line="312"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sz w:val="24"/>
          <w:highlight w:val="none"/>
        </w:rPr>
        <w:t>采购组织机构对评标委员会评审专家进行评价。</w:t>
      </w:r>
    </w:p>
    <w:p w14:paraId="290E359E">
      <w:pPr>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（三）澄清问题的形式</w:t>
      </w:r>
    </w:p>
    <w:p w14:paraId="212BC5FE">
      <w:pPr>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275761B7">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（四）错误修正</w:t>
      </w:r>
    </w:p>
    <w:p w14:paraId="5E4C650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投标文件报价出现前后不一致的，除招标文件另有规定外，按照下列规定修正：</w:t>
      </w:r>
    </w:p>
    <w:p w14:paraId="33CD66B6">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1、投标文件中开标一览表（报价表）内容与投标文件中相应内容不一致的，以开标一览表（报价表）为准；</w:t>
      </w:r>
    </w:p>
    <w:p w14:paraId="69EA166D">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2、大写金额和小写金额不一致的，以大写金额为准；</w:t>
      </w:r>
    </w:p>
    <w:p w14:paraId="546B4A48">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3、单价金额小数点或者百分比有明显错位的，以开标一览表的总价为准，并修改单价；</w:t>
      </w:r>
    </w:p>
    <w:p w14:paraId="330DA19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4、总价金额与按单价汇总金额不一致的，以单价金额计算结果为准。</w:t>
      </w:r>
    </w:p>
    <w:p w14:paraId="2CFC29B8">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同时出现两种以上不一致的，按照前款规定的顺序修正。修正应当采用书面形式，并加盖公章，或者由法定代表人或其授权的代表签字。</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修正后的报价经投标人确认后产生约束力，投标人不确认</w:t>
      </w:r>
      <w:r>
        <w:rPr>
          <w:rFonts w:hint="eastAsia" w:asciiTheme="minorEastAsia" w:hAnsiTheme="minorEastAsia" w:eastAsiaTheme="minorEastAsia" w:cstheme="minorEastAsia"/>
          <w:highlight w:val="none"/>
          <w:lang w:eastAsia="zh-CN"/>
        </w:rPr>
        <w:t>或超过时间未予确认</w:t>
      </w:r>
      <w:r>
        <w:rPr>
          <w:rFonts w:asciiTheme="minorEastAsia" w:hAnsiTheme="minorEastAsia" w:eastAsiaTheme="minorEastAsia" w:cstheme="minorEastAsia"/>
          <w:highlight w:val="none"/>
        </w:rPr>
        <w:t>的，其投标无效。</w:t>
      </w:r>
    </w:p>
    <w:p w14:paraId="60D93CDA">
      <w:pPr>
        <w:pStyle w:val="19"/>
        <w:spacing w:before="0" w:beforeAutospacing="0" w:after="0" w:afterAutospacing="0" w:line="312" w:lineRule="auto"/>
        <w:ind w:firstLine="361" w:firstLineChars="15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bCs/>
          <w:highlight w:val="none"/>
        </w:rPr>
        <w:t>（五）</w:t>
      </w:r>
      <w:r>
        <w:rPr>
          <w:rFonts w:asciiTheme="minorEastAsia" w:hAnsiTheme="minorEastAsia" w:eastAsiaTheme="minorEastAsia" w:cstheme="minorEastAsia"/>
          <w:b/>
          <w:highlight w:val="none"/>
        </w:rPr>
        <w:t>投标人存在下列情况之一的，投标无效</w:t>
      </w:r>
    </w:p>
    <w:p w14:paraId="09005C34">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6DDDE4AB">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2、不具备招标文件中规定的资格要求的；</w:t>
      </w:r>
      <w:r>
        <w:rPr>
          <w:rFonts w:asciiTheme="minorEastAsia" w:hAnsiTheme="minorEastAsia" w:eastAsiaTheme="minorEastAsia" w:cstheme="minorEastAsia"/>
          <w:highlight w:val="none"/>
        </w:rPr>
        <w:tab/>
      </w:r>
    </w:p>
    <w:p w14:paraId="749A73A5">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3、投标文件含有采购人不能接受的附加条件的；</w:t>
      </w:r>
    </w:p>
    <w:p w14:paraId="64538723">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4、投标文件未有效授权，法定代表人授权委托书等填写不完整或有涂改的；</w:t>
      </w:r>
    </w:p>
    <w:p w14:paraId="73742FD7">
      <w:pPr>
        <w:pStyle w:val="19"/>
        <w:spacing w:before="0" w:beforeAutospacing="0" w:after="0" w:afterAutospacing="0" w:line="312" w:lineRule="auto"/>
        <w:ind w:firstLine="480" w:firstLineChars="200"/>
        <w:jc w:val="both"/>
        <w:rPr>
          <w:rFonts w:asciiTheme="minorEastAsia" w:hAnsiTheme="minorEastAsia" w:eastAsiaTheme="minorEastAsia" w:cstheme="minorEastAsia"/>
          <w:color w:val="000000"/>
          <w:szCs w:val="21"/>
          <w:highlight w:val="none"/>
        </w:rPr>
      </w:pPr>
      <w:r>
        <w:rPr>
          <w:rFonts w:asciiTheme="minorEastAsia" w:hAnsiTheme="minorEastAsia" w:eastAsiaTheme="minorEastAsia" w:cstheme="minorEastAsia"/>
          <w:highlight w:val="none"/>
        </w:rPr>
        <w:t>5、</w:t>
      </w:r>
      <w:r>
        <w:rPr>
          <w:rFonts w:asciiTheme="minorEastAsia" w:hAnsiTheme="minorEastAsia" w:eastAsiaTheme="minorEastAsia" w:cstheme="minorEastAsia"/>
          <w:color w:val="000000"/>
          <w:szCs w:val="21"/>
          <w:highlight w:val="none"/>
        </w:rPr>
        <w:t>仅提交“备份投标文件”的</w:t>
      </w:r>
      <w:r>
        <w:rPr>
          <w:rFonts w:asciiTheme="minorEastAsia" w:hAnsiTheme="minorEastAsia" w:eastAsiaTheme="minorEastAsia" w:cstheme="minorEastAsia"/>
          <w:highlight w:val="none"/>
        </w:rPr>
        <w:t>；</w:t>
      </w:r>
    </w:p>
    <w:p w14:paraId="4B5C3B0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6、电子投标文件解密失败的，且未在规定时间内提交备份投标文件的；</w:t>
      </w:r>
    </w:p>
    <w:p w14:paraId="2C522396">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7、电子投标文件未按规定要求提供电子签章的；</w:t>
      </w:r>
    </w:p>
    <w:p w14:paraId="662BFE5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14:paraId="40CA43E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9、报价超过招标文件中规定的</w:t>
      </w:r>
      <w:r>
        <w:rPr>
          <w:rFonts w:asciiTheme="minorEastAsia" w:hAnsiTheme="minorEastAsia" w:eastAsiaTheme="minorEastAsia" w:cstheme="minorEastAsia"/>
          <w:color w:val="000000"/>
          <w:szCs w:val="21"/>
          <w:highlight w:val="none"/>
        </w:rPr>
        <w:t>预算金额/</w:t>
      </w:r>
      <w:r>
        <w:rPr>
          <w:rFonts w:asciiTheme="minorEastAsia" w:hAnsiTheme="minorEastAsia" w:eastAsiaTheme="minorEastAsia" w:cstheme="minorEastAsia"/>
          <w:highlight w:val="none"/>
        </w:rPr>
        <w:t>最高限价。</w:t>
      </w:r>
    </w:p>
    <w:p w14:paraId="2A9CA487">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10、投标文件提供虚假材料的。 </w:t>
      </w:r>
    </w:p>
    <w:p w14:paraId="5660A92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11、不符合中华人民共和国财政部令第 87 号《政府采购货物和服务招标投标管理办法》第 三十七条情形之一的，视为投标人串通投标，其投标无效，并移送采购监管部门： </w:t>
      </w:r>
    </w:p>
    <w:p w14:paraId="5547374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（1）不同投标人的投标文件由同一单位或者个人编制；</w:t>
      </w:r>
    </w:p>
    <w:p w14:paraId="281FA7E2">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（2）不同投标人委托同一单位或者个人办理投标事宜；</w:t>
      </w:r>
    </w:p>
    <w:p w14:paraId="617858D3">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（3）不同投标人的投标文件载明的项目管理成员或者联系人员为同一人；</w:t>
      </w:r>
    </w:p>
    <w:p w14:paraId="60F47AA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（4）不同投标人的投标文件异常一致或者投标报价呈规律性差异；</w:t>
      </w:r>
    </w:p>
    <w:p w14:paraId="1E1351D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（5）不同投标人的投标文件相互混装；</w:t>
      </w:r>
    </w:p>
    <w:p w14:paraId="663826E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12、不符合法律、法规和招标文件中规定的其他实质性要求的（招标文件中打“▲”内容及 被拒绝的条款）。</w:t>
      </w:r>
    </w:p>
    <w:p w14:paraId="133A79A4">
      <w:pPr>
        <w:autoSpaceDE w:val="0"/>
        <w:autoSpaceDN w:val="0"/>
        <w:adjustRightInd w:val="0"/>
        <w:spacing w:after="0" w:line="312" w:lineRule="auto"/>
        <w:ind w:left="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（六）有下列情况之一的，本次招标作为废标处理</w:t>
      </w:r>
    </w:p>
    <w:p w14:paraId="455941C0">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1、出现影响采购公正的违法、违规行为的；</w:t>
      </w:r>
    </w:p>
    <w:p w14:paraId="0C3C2CEF">
      <w:pPr>
        <w:pStyle w:val="19"/>
        <w:spacing w:before="0" w:beforeAutospacing="0" w:after="0" w:afterAutospacing="0" w:line="312" w:lineRule="auto"/>
        <w:ind w:firstLine="600" w:firstLineChars="25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 xml:space="preserve">2、评标委员会发现招标文件存在歧义、重大缺陷导致评标工作无法进行，或者招标文件内容违反国家有关强制性规定的； </w:t>
      </w:r>
    </w:p>
    <w:p w14:paraId="7B94798E">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3、因重大变故，采购任务取消的；</w:t>
      </w:r>
    </w:p>
    <w:p w14:paraId="0A08274A">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4、法律、法规和招标文件规定的其他导致评标结果无效的。</w:t>
      </w:r>
    </w:p>
    <w:p w14:paraId="75D7E82B">
      <w:pPr>
        <w:pStyle w:val="12"/>
        <w:tabs>
          <w:tab w:val="left" w:pos="630"/>
        </w:tabs>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（七）评标原则和评标办法</w:t>
      </w:r>
    </w:p>
    <w:p w14:paraId="76F2B2DA">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C45180">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2、评标办法。具体评标内容及评分标准等详见《第四章：评标方法及评分标准》。</w:t>
      </w:r>
    </w:p>
    <w:p w14:paraId="21778287">
      <w:pPr>
        <w:pStyle w:val="12"/>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（八）评标过程的监控</w:t>
      </w:r>
    </w:p>
    <w:p w14:paraId="00D74585">
      <w:pPr>
        <w:pStyle w:val="12"/>
        <w:snapToGrid w:val="0"/>
        <w:spacing w:after="0" w:line="312"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本项目评标过程实行全程录音、录像监控，政府采购监管部门视情进行现场监督，投标人在评标过程中所进行的试图影响评标结果的不公正活动，可能导致其投标被拒绝。</w:t>
      </w:r>
    </w:p>
    <w:p w14:paraId="5D92B5F0">
      <w:pPr>
        <w:pStyle w:val="19"/>
        <w:spacing w:before="0" w:beforeAutospacing="0" w:after="0" w:afterAutospacing="0" w:line="312" w:lineRule="auto"/>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七、定标</w:t>
      </w:r>
    </w:p>
    <w:p w14:paraId="605AA1F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0053823">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结果公告。采购组织机构应当自中标人确定之日起2个工作日内，在省级以上财政部门指定的媒体及相关网站上公告中标结果。</w:t>
      </w:r>
    </w:p>
    <w:p w14:paraId="3347464C">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3、发出中标通知书。采购组织机构在发布中标结果的同时，向中标人发出中标通知书。</w:t>
      </w:r>
    </w:p>
    <w:p w14:paraId="50609232">
      <w:pPr>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八、</w:t>
      </w:r>
      <w:r>
        <w:rPr>
          <w:rFonts w:hint="eastAsia" w:asciiTheme="minorEastAsia" w:hAnsiTheme="minorEastAsia" w:eastAsiaTheme="minorEastAsia" w:cstheme="minorEastAsia"/>
          <w:b/>
          <w:kern w:val="0"/>
          <w:sz w:val="24"/>
          <w:highlight w:val="none"/>
        </w:rPr>
        <w:t>合同签订及公告</w:t>
      </w:r>
    </w:p>
    <w:p w14:paraId="23D57809">
      <w:pPr>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4F6AAC03">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4A55D883">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5A60093B">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3、中标供应商无故拖延、拒签合同的,取消中标资格。</w:t>
      </w:r>
    </w:p>
    <w:p w14:paraId="314F0F0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0FF426D">
      <w:pPr>
        <w:pStyle w:val="19"/>
        <w:spacing w:before="0" w:beforeAutospacing="0" w:after="0" w:afterAutospacing="0" w:line="312" w:lineRule="auto"/>
        <w:ind w:firstLine="480" w:firstLineChars="20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5、询问或者质疑事项可能影响中标结果的，采购人应当暂停签订合同，已经签订合同的，应当中止履行合同（中标结果的质疑期为中标结果公告期限届满之日起七个工作日）。</w:t>
      </w:r>
    </w:p>
    <w:p w14:paraId="1BA417C2">
      <w:pPr>
        <w:pStyle w:val="19"/>
        <w:spacing w:before="0" w:beforeAutospacing="0" w:after="0" w:afterAutospacing="0" w:line="400" w:lineRule="exact"/>
        <w:ind w:firstLine="482" w:firstLineChars="200"/>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01301DE2">
      <w:pPr>
        <w:pStyle w:val="11"/>
        <w:spacing w:after="0" w:line="312" w:lineRule="auto"/>
        <w:ind w:left="0" w:leftChars="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1、采购人应当自政府采购合同签订之日起2个工作日内，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在省级以上财政部门指定的政府采购信息发布媒体及相关网站上公告，但合同中涉及国家秘密、商业秘密的内容除外</w:t>
      </w:r>
      <w:r>
        <w:rPr>
          <w:rFonts w:hint="eastAsia" w:asciiTheme="minorEastAsia" w:hAnsiTheme="minorEastAsia" w:eastAsiaTheme="minorEastAsia" w:cstheme="minorEastAsia"/>
          <w:sz w:val="24"/>
          <w:highlight w:val="none"/>
        </w:rPr>
        <w:t>。</w:t>
      </w:r>
    </w:p>
    <w:p w14:paraId="2DF7279E">
      <w:pPr>
        <w:pStyle w:val="11"/>
        <w:spacing w:after="0" w:line="312"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2、采购人应当自政府采购合同签订之日起7个工作日内，将政府采购合同通过政采云平台提交至同级人民政府财政部门备案以及采购组织机构存档。</w:t>
      </w:r>
    </w:p>
    <w:p w14:paraId="347054A7">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第四章 评标办法及评分标准</w:t>
      </w:r>
    </w:p>
    <w:p w14:paraId="546C6601">
      <w:pPr>
        <w:autoSpaceDE w:val="0"/>
        <w:autoSpaceDN w:val="0"/>
        <w:spacing w:after="0" w:line="312" w:lineRule="auto"/>
        <w:ind w:firstLine="480" w:firstLineChars="200"/>
        <w:rPr>
          <w:rFonts w:hint="eastAsia" w:asciiTheme="minorEastAsia" w:hAnsiTheme="minorEastAsia" w:eastAsiaTheme="minorEastAsia" w:cstheme="minorEastAsia"/>
          <w:b/>
          <w:i/>
          <w:kern w:val="0"/>
          <w:sz w:val="24"/>
          <w:highlight w:val="none"/>
        </w:rPr>
      </w:pPr>
      <w:r>
        <w:rPr>
          <w:rFonts w:hint="eastAsia" w:asciiTheme="minorEastAsia" w:hAnsiTheme="minorEastAsia" w:eastAsiaTheme="minorEastAsia" w:cstheme="minorEastAsia"/>
          <w:kern w:val="0"/>
          <w:sz w:val="24"/>
          <w:highlight w:val="none"/>
        </w:rPr>
        <w:t>一、采购组织机构将组织评标委员会，对投标人提供的投标文件进行综合评审。</w:t>
      </w:r>
    </w:p>
    <w:p w14:paraId="5D921E4F">
      <w:pPr>
        <w:autoSpaceDE w:val="0"/>
        <w:autoSpaceDN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二、本次招标项目的评标方法为综合评分法，总计100分。评标标准按以下内容及分值进行评审。</w:t>
      </w:r>
    </w:p>
    <w:tbl>
      <w:tblPr>
        <w:tblStyle w:val="23"/>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19DD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49A1B6C2">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标段</w:t>
            </w:r>
          </w:p>
          <w:p w14:paraId="5BED0631">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类别</w:t>
            </w:r>
          </w:p>
        </w:tc>
        <w:tc>
          <w:tcPr>
            <w:tcW w:w="4395" w:type="dxa"/>
            <w:vAlign w:val="center"/>
          </w:tcPr>
          <w:p w14:paraId="2F137E36">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1 \* CHINESENUM3</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rPr>
              <w:fldChar w:fldCharType="end"/>
            </w:r>
          </w:p>
        </w:tc>
      </w:tr>
      <w:tr w14:paraId="1177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693B7C07">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资信技术部分 </w:t>
            </w:r>
          </w:p>
        </w:tc>
        <w:tc>
          <w:tcPr>
            <w:tcW w:w="4395" w:type="dxa"/>
            <w:vAlign w:val="center"/>
          </w:tcPr>
          <w:p w14:paraId="2A120C89">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70 </w:t>
            </w:r>
          </w:p>
        </w:tc>
      </w:tr>
      <w:tr w14:paraId="6806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34FA91A9">
            <w:pPr>
              <w:autoSpaceDE w:val="0"/>
              <w:autoSpaceDN w:val="0"/>
              <w:adjustRightInd w:val="0"/>
              <w:spacing w:after="0" w:line="312"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价格部分</w:t>
            </w:r>
          </w:p>
        </w:tc>
        <w:tc>
          <w:tcPr>
            <w:tcW w:w="4395" w:type="dxa"/>
            <w:vAlign w:val="center"/>
          </w:tcPr>
          <w:p w14:paraId="0BB2DE48">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30</w:t>
            </w:r>
          </w:p>
        </w:tc>
      </w:tr>
    </w:tbl>
    <w:p w14:paraId="51FE8814">
      <w:pPr>
        <w:autoSpaceDE w:val="0"/>
        <w:autoSpaceDN w:val="0"/>
        <w:adjustRightInd w:val="0"/>
        <w:spacing w:after="0" w:line="360" w:lineRule="auto"/>
        <w:ind w:right="85" w:firstLine="471"/>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（一）商务与技术文件中的客观分由评标委员独立打分，客观分打分应一致，客观分打分不一致时，采购人及采购代理机构可以提示评审委员会复核或书面说明理由；其余在规定的分值内单独评定打分。</w:t>
      </w:r>
    </w:p>
    <w:p w14:paraId="2CB749B9">
      <w:pPr>
        <w:tabs>
          <w:tab w:val="left" w:pos="426"/>
        </w:tabs>
        <w:spacing w:after="0" w:line="312" w:lineRule="auto"/>
        <w:ind w:firstLine="480" w:firstLineChars="200"/>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（二）各投标人商务与技术文件</w:t>
      </w:r>
      <w:r>
        <w:rPr>
          <w:rFonts w:hint="eastAsia" w:asciiTheme="minorEastAsia" w:hAnsiTheme="minorEastAsia" w:eastAsiaTheme="minorEastAsia" w:cstheme="minorEastAsia"/>
          <w:kern w:val="0"/>
          <w:sz w:val="24"/>
          <w:highlight w:val="none"/>
          <w:lang w:val="zh-CN"/>
        </w:rPr>
        <w:t>得分按照评标委员会成</w:t>
      </w:r>
      <w:r>
        <w:rPr>
          <w:rFonts w:hint="eastAsia" w:asciiTheme="minorEastAsia" w:hAnsiTheme="minorEastAsia" w:eastAsiaTheme="minorEastAsia" w:cstheme="minorEastAsia"/>
          <w:bCs/>
          <w:sz w:val="24"/>
          <w:highlight w:val="none"/>
          <w:lang w:val="zh-CN"/>
        </w:rPr>
        <w:t>员的独立评分结果汇总后的算术平均分计算，计算公式为：</w:t>
      </w:r>
    </w:p>
    <w:p w14:paraId="0E940B9C">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shd w:val="clear" w:color="FFFFFF" w:fill="D9D9D9"/>
          <w:lang w:val="zh-CN"/>
        </w:rPr>
      </w:pPr>
      <w:r>
        <w:rPr>
          <w:rFonts w:hint="eastAsia" w:asciiTheme="minorEastAsia" w:hAnsiTheme="minorEastAsia" w:eastAsiaTheme="minorEastAsia" w:cstheme="minorEastAsia"/>
          <w:sz w:val="24"/>
          <w:highlight w:val="none"/>
        </w:rPr>
        <w:t>商务与技术文件得分</w:t>
      </w:r>
      <w:r>
        <w:rPr>
          <w:rFonts w:hint="eastAsia" w:asciiTheme="minorEastAsia" w:hAnsiTheme="minorEastAsia" w:eastAsiaTheme="minorEastAsia" w:cstheme="minorEastAsia"/>
          <w:bCs/>
          <w:sz w:val="24"/>
          <w:highlight w:val="none"/>
          <w:lang w:val="zh-CN"/>
        </w:rPr>
        <w:t>=评标委员会所有成员评分合计数/评标委员会组成人员数。</w:t>
      </w:r>
    </w:p>
    <w:p w14:paraId="608E2B7F">
      <w:pPr>
        <w:autoSpaceDE w:val="0"/>
        <w:autoSpaceDN w:val="0"/>
        <w:adjustRightInd w:val="0"/>
        <w:spacing w:after="0" w:line="480" w:lineRule="exact"/>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Cs/>
          <w:color w:val="000000"/>
          <w:sz w:val="24"/>
          <w:highlight w:val="none"/>
          <w:lang w:val="zh-CN"/>
        </w:rPr>
        <w:t>（三）</w:t>
      </w:r>
      <w:r>
        <w:rPr>
          <w:rFonts w:hint="eastAsia" w:asciiTheme="minorEastAsia" w:hAnsiTheme="minorEastAsia" w:eastAsiaTheme="minorEastAsia" w:cstheme="minorEastAsia"/>
          <w:color w:val="000000"/>
          <w:sz w:val="24"/>
          <w:highlight w:val="none"/>
          <w:lang w:val="zh-CN"/>
        </w:rPr>
        <w:t>投标报价得分采用低价优先法计算，即满足招标文件要求且投标价格最低的投标报价为评标基准价，其报价得满分。其他投标人的投标报价得分按下列公式计算：</w:t>
      </w:r>
    </w:p>
    <w:p w14:paraId="4927A072">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u w:val="single"/>
          <w:lang w:val="zh-CN"/>
        </w:rPr>
      </w:pPr>
      <w:r>
        <w:rPr>
          <w:rFonts w:hint="eastAsia" w:asciiTheme="minorEastAsia" w:hAnsiTheme="minorEastAsia" w:eastAsiaTheme="minorEastAsia" w:cstheme="minorEastAsia"/>
          <w:bCs/>
          <w:sz w:val="24"/>
          <w:highlight w:val="none"/>
          <w:u w:val="single"/>
          <w:lang w:val="zh-CN"/>
        </w:rPr>
        <w:t>投标报价得分=(评标基准价／投标报价)×价格分值%×100（得分保留2位小数,小数点后第三位四舍五入） 。</w:t>
      </w:r>
    </w:p>
    <w:p w14:paraId="1043122E">
      <w:pPr>
        <w:autoSpaceDE w:val="0"/>
        <w:autoSpaceDN w:val="0"/>
        <w:adjustRightInd w:val="0"/>
        <w:spacing w:after="0" w:line="312" w:lineRule="auto"/>
        <w:ind w:firstLine="482"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注：</w:t>
      </w:r>
      <w:r>
        <w:rPr>
          <w:rFonts w:hint="eastAsia" w:asciiTheme="minorEastAsia" w:hAnsiTheme="minorEastAsia" w:eastAsiaTheme="minorEastAsia" w:cstheme="minorEastAsia"/>
          <w:color w:val="000000"/>
          <w:sz w:val="24"/>
          <w:highlight w:val="none"/>
          <w:lang w:val="zh-CN"/>
        </w:rPr>
        <w:t>得分以系统计算为准，保留2位小数。</w:t>
      </w:r>
    </w:p>
    <w:p w14:paraId="781D1D3D">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节能环保产品，不发达地区、少数民族地区、监狱企业、残疾人企业、制造精品的产品在价格、技术、服务相同的情况下，优先采用。供应商提供的产品如为首台套产品的，根据浙财采监〔2019〕8号规定：“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FF7A5A6">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三、在最大限度地满足招标文件实质性要求前提下，评标委员会按照招标文件中规定的各项因素进行综合评审后，以评标总得分最高的投标人为中标候选人。</w:t>
      </w:r>
    </w:p>
    <w:p w14:paraId="2A9A87C7">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四、如综合得分相同，投标报价低者为先；如综合得分且投标报价相同的，货物类采购项目以技术性能得分较高者为先；</w:t>
      </w:r>
      <w:r>
        <w:rPr>
          <w:rFonts w:hint="eastAsia" w:ascii="宋体"/>
          <w:color w:val="000000" w:themeColor="text1"/>
          <w:sz w:val="24"/>
          <w:highlight w:val="none"/>
          <w:lang w:val="zh-CN"/>
          <w14:textFill>
            <w14:solidFill>
              <w14:schemeClr w14:val="tx1"/>
            </w14:solidFill>
          </w14:textFill>
        </w:rPr>
        <w:t>若货物类技术性能分相同，则由采购人确定中标人。</w:t>
      </w:r>
    </w:p>
    <w:p w14:paraId="0557B929">
      <w:pPr>
        <w:autoSpaceDE w:val="0"/>
        <w:autoSpaceDN w:val="0"/>
        <w:adjustRightInd w:val="0"/>
        <w:spacing w:after="0" w:line="312" w:lineRule="auto"/>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color w:val="00000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1670189">
      <w:pPr>
        <w:autoSpaceDE w:val="0"/>
        <w:autoSpaceDN w:val="0"/>
        <w:adjustRightInd w:val="0"/>
        <w:spacing w:after="0" w:line="312" w:lineRule="auto"/>
        <w:ind w:firstLine="360" w:firstLineChars="15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六、本次评分具体分值细化条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款如下表：</w:t>
      </w:r>
    </w:p>
    <w:tbl>
      <w:tblPr>
        <w:tblStyle w:val="23"/>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77"/>
        <w:gridCol w:w="1128"/>
        <w:gridCol w:w="6600"/>
        <w:gridCol w:w="901"/>
      </w:tblGrid>
      <w:tr w14:paraId="77F2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97" w:type="dxa"/>
            <w:gridSpan w:val="3"/>
            <w:tcBorders>
              <w:top w:val="single" w:color="auto" w:sz="4" w:space="0"/>
              <w:left w:val="single" w:color="auto" w:sz="4" w:space="0"/>
              <w:bottom w:val="single" w:color="auto" w:sz="4" w:space="0"/>
              <w:right w:val="single" w:color="auto" w:sz="4" w:space="0"/>
            </w:tcBorders>
            <w:vAlign w:val="center"/>
          </w:tcPr>
          <w:p w14:paraId="37B29B9E">
            <w:pPr>
              <w:spacing w:line="400" w:lineRule="exact"/>
              <w:ind w:firstLine="602" w:firstLineChars="25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评分项目</w:t>
            </w:r>
          </w:p>
        </w:tc>
        <w:tc>
          <w:tcPr>
            <w:tcW w:w="6600" w:type="dxa"/>
            <w:tcBorders>
              <w:top w:val="single" w:color="auto" w:sz="4" w:space="0"/>
              <w:left w:val="single" w:color="auto" w:sz="4" w:space="0"/>
              <w:bottom w:val="single" w:color="auto" w:sz="4" w:space="0"/>
              <w:right w:val="single" w:color="auto" w:sz="4" w:space="0"/>
            </w:tcBorders>
            <w:vAlign w:val="center"/>
          </w:tcPr>
          <w:p w14:paraId="5A08D4BD">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评标要点及说明</w:t>
            </w:r>
          </w:p>
        </w:tc>
        <w:tc>
          <w:tcPr>
            <w:tcW w:w="901" w:type="dxa"/>
            <w:tcBorders>
              <w:top w:val="single" w:color="auto" w:sz="4" w:space="0"/>
              <w:left w:val="single" w:color="auto" w:sz="4" w:space="0"/>
              <w:bottom w:val="single" w:color="auto" w:sz="4" w:space="0"/>
              <w:right w:val="single" w:color="auto" w:sz="4" w:space="0"/>
            </w:tcBorders>
            <w:vAlign w:val="center"/>
          </w:tcPr>
          <w:p w14:paraId="1FD6366C">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分值</w:t>
            </w:r>
          </w:p>
        </w:tc>
      </w:tr>
      <w:tr w14:paraId="7D0D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restart"/>
            <w:tcBorders>
              <w:top w:val="single" w:color="auto" w:sz="4" w:space="0"/>
              <w:left w:val="single" w:color="auto" w:sz="4" w:space="0"/>
              <w:right w:val="single" w:color="auto" w:sz="4" w:space="0"/>
            </w:tcBorders>
            <w:vAlign w:val="center"/>
          </w:tcPr>
          <w:p w14:paraId="2E09CEB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w:t>
            </w:r>
          </w:p>
          <w:p w14:paraId="494CEE1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6600" w:type="dxa"/>
            <w:tcBorders>
              <w:top w:val="single" w:color="auto" w:sz="4" w:space="0"/>
              <w:left w:val="single" w:color="auto" w:sz="4" w:space="0"/>
              <w:right w:val="single" w:color="auto" w:sz="4" w:space="0"/>
            </w:tcBorders>
            <w:vAlign w:val="center"/>
          </w:tcPr>
          <w:p w14:paraId="2757DD5A">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投标人具有智能终端采集设备原厂提供的著作权登记证书（评标时以有效证明材料复印件加盖资料所属方公章为准），得2分，满分2分；</w:t>
            </w:r>
          </w:p>
        </w:tc>
        <w:tc>
          <w:tcPr>
            <w:tcW w:w="901" w:type="dxa"/>
            <w:tcBorders>
              <w:top w:val="single" w:color="auto" w:sz="4" w:space="0"/>
              <w:left w:val="single" w:color="auto" w:sz="4" w:space="0"/>
              <w:right w:val="single" w:color="auto" w:sz="4" w:space="0"/>
            </w:tcBorders>
            <w:vAlign w:val="center"/>
          </w:tcPr>
          <w:p w14:paraId="70D3811C">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2分</w:t>
            </w:r>
          </w:p>
        </w:tc>
      </w:tr>
      <w:tr w14:paraId="1E1E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continue"/>
            <w:tcBorders>
              <w:left w:val="single" w:color="auto" w:sz="4" w:space="0"/>
              <w:right w:val="single" w:color="auto" w:sz="4" w:space="0"/>
            </w:tcBorders>
            <w:vAlign w:val="center"/>
          </w:tcPr>
          <w:p w14:paraId="795004D4">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right w:val="single" w:color="auto" w:sz="4" w:space="0"/>
            </w:tcBorders>
            <w:vAlign w:val="center"/>
          </w:tcPr>
          <w:p w14:paraId="0DD62F08">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1、对项目理解到位，技术方案详细可行，内容较完整、严谨、合理，技术架构清晰，功能配置非常齐全、描述具体、设备部署科学可靠，有详细的合理化建议、提出针对性的配合措施及相关方案描述，更好的满足项目要求的得6分；</w:t>
            </w:r>
          </w:p>
          <w:p w14:paraId="6CD6FCAD">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2、对项目理解较到位，技术方案相对详细可行，论述比较准确，架构比较清晰，功能配置比较齐全，设备部署比较科学，较好的满足项目要求的得</w:t>
            </w:r>
            <w:r>
              <w:rPr>
                <w:rFonts w:hint="eastAsia" w:hAnsi="宋体"/>
                <w:color w:val="000000" w:themeColor="text1"/>
                <w:sz w:val="24"/>
                <w:highlight w:val="none"/>
                <w:lang w:val="en-US" w:eastAsia="zh-CN" w:bidi="en-US"/>
                <w14:textFill>
                  <w14:solidFill>
                    <w14:schemeClr w14:val="tx1"/>
                  </w14:solidFill>
                </w14:textFill>
              </w:rPr>
              <w:t>4.5</w:t>
            </w:r>
            <w:r>
              <w:rPr>
                <w:rFonts w:hint="eastAsia" w:hAnsi="宋体"/>
                <w:color w:val="000000" w:themeColor="text1"/>
                <w:sz w:val="24"/>
                <w:highlight w:val="none"/>
                <w:lang w:bidi="en-US"/>
                <w14:textFill>
                  <w14:solidFill>
                    <w14:schemeClr w14:val="tx1"/>
                  </w14:solidFill>
                </w14:textFill>
              </w:rPr>
              <w:t>；</w:t>
            </w:r>
          </w:p>
          <w:p w14:paraId="0EA87096">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3、对项目整体理解一般，技术方案</w:t>
            </w:r>
            <w:r>
              <w:rPr>
                <w:rFonts w:hint="eastAsia" w:hAnsi="宋体"/>
                <w:color w:val="000000" w:themeColor="text1"/>
                <w:sz w:val="24"/>
                <w:highlight w:val="none"/>
                <w:lang w:eastAsia="zh-CN" w:bidi="en-US"/>
                <w14:textFill>
                  <w14:solidFill>
                    <w14:schemeClr w14:val="tx1"/>
                  </w14:solidFill>
                </w14:textFill>
              </w:rPr>
              <w:t>较</w:t>
            </w:r>
            <w:r>
              <w:rPr>
                <w:rFonts w:hint="eastAsia" w:hAnsi="宋体"/>
                <w:color w:val="000000" w:themeColor="text1"/>
                <w:sz w:val="24"/>
                <w:highlight w:val="none"/>
                <w:lang w:bidi="en-US"/>
                <w14:textFill>
                  <w14:solidFill>
                    <w14:schemeClr w14:val="tx1"/>
                  </w14:solidFill>
                </w14:textFill>
              </w:rPr>
              <w:t>简单，基本满足项目要求的得</w:t>
            </w:r>
            <w:r>
              <w:rPr>
                <w:rFonts w:hint="eastAsia" w:hAnsi="宋体"/>
                <w:color w:val="000000" w:themeColor="text1"/>
                <w:sz w:val="24"/>
                <w:highlight w:val="none"/>
                <w:lang w:val="en-US" w:eastAsia="zh-CN" w:bidi="en-US"/>
                <w14:textFill>
                  <w14:solidFill>
                    <w14:schemeClr w14:val="tx1"/>
                  </w14:solidFill>
                </w14:textFill>
              </w:rPr>
              <w:t>3</w:t>
            </w:r>
            <w:r>
              <w:rPr>
                <w:rFonts w:hint="eastAsia" w:hAnsi="宋体"/>
                <w:color w:val="000000" w:themeColor="text1"/>
                <w:sz w:val="24"/>
                <w:highlight w:val="none"/>
                <w:lang w:bidi="en-US"/>
                <w14:textFill>
                  <w14:solidFill>
                    <w14:schemeClr w14:val="tx1"/>
                  </w14:solidFill>
                </w14:textFill>
              </w:rPr>
              <w:t>分；</w:t>
            </w:r>
          </w:p>
          <w:p w14:paraId="74DF2AC6">
            <w:pPr>
              <w:snapToGrid w:val="0"/>
              <w:spacing w:after="0" w:line="240" w:lineRule="auto"/>
              <w:rPr>
                <w:rFonts w:hint="eastAsia" w:hAnsi="宋体"/>
                <w:color w:val="000000" w:themeColor="text1"/>
                <w:sz w:val="24"/>
                <w:highlight w:val="none"/>
                <w:lang w:eastAsia="zh-CN" w:bidi="en-US"/>
                <w14:textFill>
                  <w14:solidFill>
                    <w14:schemeClr w14:val="tx1"/>
                  </w14:solidFill>
                </w14:textFill>
              </w:rPr>
            </w:pPr>
            <w:r>
              <w:rPr>
                <w:rFonts w:hint="eastAsia" w:hAnsi="宋体"/>
                <w:color w:val="000000" w:themeColor="text1"/>
                <w:sz w:val="24"/>
                <w:highlight w:val="none"/>
                <w:lang w:val="en-US" w:eastAsia="zh-CN" w:bidi="en-US"/>
                <w14:textFill>
                  <w14:solidFill>
                    <w14:schemeClr w14:val="tx1"/>
                  </w14:solidFill>
                </w14:textFill>
              </w:rPr>
              <w:t>4</w:t>
            </w:r>
            <w:r>
              <w:rPr>
                <w:rFonts w:hint="eastAsia" w:hAnsi="宋体"/>
                <w:color w:val="000000" w:themeColor="text1"/>
                <w:sz w:val="24"/>
                <w:highlight w:val="none"/>
                <w:lang w:bidi="en-US"/>
                <w14:textFill>
                  <w14:solidFill>
                    <w14:schemeClr w14:val="tx1"/>
                  </w14:solidFill>
                </w14:textFill>
              </w:rPr>
              <w:t>、对项目整体理解</w:t>
            </w:r>
            <w:r>
              <w:rPr>
                <w:rFonts w:hint="eastAsia" w:hAnsi="宋体"/>
                <w:color w:val="000000" w:themeColor="text1"/>
                <w:sz w:val="24"/>
                <w:highlight w:val="none"/>
                <w:lang w:eastAsia="zh-CN" w:bidi="en-US"/>
                <w14:textFill>
                  <w14:solidFill>
                    <w14:schemeClr w14:val="tx1"/>
                  </w14:solidFill>
                </w14:textFill>
              </w:rPr>
              <w:t>有偏差</w:t>
            </w:r>
            <w:r>
              <w:rPr>
                <w:rFonts w:hint="eastAsia" w:hAnsi="宋体"/>
                <w:color w:val="000000" w:themeColor="text1"/>
                <w:sz w:val="24"/>
                <w:highlight w:val="none"/>
                <w:lang w:bidi="en-US"/>
                <w14:textFill>
                  <w14:solidFill>
                    <w14:schemeClr w14:val="tx1"/>
                  </w14:solidFill>
                </w14:textFill>
              </w:rPr>
              <w:t>，技术方案简单</w:t>
            </w:r>
            <w:r>
              <w:rPr>
                <w:rFonts w:hint="eastAsia" w:hAnsi="宋体"/>
                <w:color w:val="000000" w:themeColor="text1"/>
                <w:sz w:val="24"/>
                <w:highlight w:val="none"/>
                <w:lang w:eastAsia="zh-CN" w:bidi="en-US"/>
                <w14:textFill>
                  <w14:solidFill>
                    <w14:schemeClr w14:val="tx1"/>
                  </w14:solidFill>
                </w14:textFill>
              </w:rPr>
              <w:t>缺项</w:t>
            </w:r>
            <w:r>
              <w:rPr>
                <w:rFonts w:hint="eastAsia" w:hAnsi="宋体"/>
                <w:color w:val="000000" w:themeColor="text1"/>
                <w:sz w:val="24"/>
                <w:highlight w:val="none"/>
                <w:lang w:bidi="en-US"/>
                <w14:textFill>
                  <w14:solidFill>
                    <w14:schemeClr w14:val="tx1"/>
                  </w14:solidFill>
                </w14:textFill>
              </w:rPr>
              <w:t>，</w:t>
            </w:r>
            <w:r>
              <w:rPr>
                <w:rFonts w:hint="eastAsia" w:hAnsi="宋体"/>
                <w:color w:val="000000" w:themeColor="text1"/>
                <w:sz w:val="24"/>
                <w:highlight w:val="none"/>
                <w:lang w:eastAsia="zh-CN" w:bidi="en-US"/>
                <w14:textFill>
                  <w14:solidFill>
                    <w14:schemeClr w14:val="tx1"/>
                  </w14:solidFill>
                </w14:textFill>
              </w:rPr>
              <w:t>基本</w:t>
            </w:r>
            <w:r>
              <w:rPr>
                <w:rFonts w:hint="eastAsia" w:hAnsi="宋体"/>
                <w:color w:val="000000" w:themeColor="text1"/>
                <w:sz w:val="24"/>
                <w:highlight w:val="none"/>
                <w:lang w:bidi="en-US"/>
                <w14:textFill>
                  <w14:solidFill>
                    <w14:schemeClr w14:val="tx1"/>
                  </w14:solidFill>
                </w14:textFill>
              </w:rPr>
              <w:t>满足项目要求的得</w:t>
            </w:r>
            <w:r>
              <w:rPr>
                <w:rFonts w:hint="eastAsia" w:hAnsi="宋体"/>
                <w:color w:val="000000" w:themeColor="text1"/>
                <w:sz w:val="24"/>
                <w:highlight w:val="none"/>
                <w:lang w:val="en-US" w:eastAsia="zh-CN" w:bidi="en-US"/>
                <w14:textFill>
                  <w14:solidFill>
                    <w14:schemeClr w14:val="tx1"/>
                  </w14:solidFill>
                </w14:textFill>
              </w:rPr>
              <w:t>1.5</w:t>
            </w:r>
            <w:r>
              <w:rPr>
                <w:rFonts w:hint="eastAsia" w:hAnsi="宋体"/>
                <w:color w:val="000000" w:themeColor="text1"/>
                <w:sz w:val="24"/>
                <w:highlight w:val="none"/>
                <w:lang w:bidi="en-US"/>
                <w14:textFill>
                  <w14:solidFill>
                    <w14:schemeClr w14:val="tx1"/>
                  </w14:solidFill>
                </w14:textFill>
              </w:rPr>
              <w:t>分</w:t>
            </w:r>
            <w:r>
              <w:rPr>
                <w:rFonts w:hint="eastAsia" w:hAnsi="宋体"/>
                <w:color w:val="000000" w:themeColor="text1"/>
                <w:sz w:val="24"/>
                <w:highlight w:val="none"/>
                <w:lang w:eastAsia="zh-CN" w:bidi="en-US"/>
                <w14:textFill>
                  <w14:solidFill>
                    <w14:schemeClr w14:val="tx1"/>
                  </w14:solidFill>
                </w14:textFill>
              </w:rPr>
              <w:t>；</w:t>
            </w:r>
          </w:p>
          <w:p w14:paraId="6164A43B">
            <w:pPr>
              <w:snapToGrid w:val="0"/>
              <w:spacing w:after="0" w:line="240" w:lineRule="auto"/>
              <w:rPr>
                <w:rFonts w:hint="eastAsia" w:hAnsi="宋体" w:eastAsia="宋体"/>
                <w:color w:val="000000" w:themeColor="text1"/>
                <w:sz w:val="24"/>
                <w:highlight w:val="none"/>
                <w:lang w:eastAsia="zh-CN" w:bidi="en-US"/>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缺项不得分</w:t>
            </w:r>
            <w:r>
              <w:rPr>
                <w:rFonts w:hint="eastAsia" w:ascii="宋体" w:hAnsi="宋体" w:cs="宋体"/>
                <w:color w:val="000000" w:themeColor="text1"/>
                <w:kern w:val="0"/>
                <w:sz w:val="24"/>
                <w:highlight w:val="none"/>
                <w:lang w:eastAsia="zh-CN" w:bidi="ar"/>
                <w14:textFill>
                  <w14:solidFill>
                    <w14:schemeClr w14:val="tx1"/>
                  </w14:solidFill>
                </w14:textFill>
              </w:rPr>
              <w:t>。</w:t>
            </w:r>
          </w:p>
        </w:tc>
        <w:tc>
          <w:tcPr>
            <w:tcW w:w="901" w:type="dxa"/>
            <w:tcBorders>
              <w:top w:val="single" w:color="auto" w:sz="4" w:space="0"/>
              <w:left w:val="single" w:color="auto" w:sz="4" w:space="0"/>
              <w:right w:val="single" w:color="auto" w:sz="4" w:space="0"/>
            </w:tcBorders>
            <w:vAlign w:val="center"/>
          </w:tcPr>
          <w:p w14:paraId="6EF3E828">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1371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497" w:type="dxa"/>
            <w:gridSpan w:val="3"/>
            <w:vMerge w:val="continue"/>
            <w:tcBorders>
              <w:left w:val="single" w:color="auto" w:sz="4" w:space="0"/>
              <w:right w:val="single" w:color="auto" w:sz="4" w:space="0"/>
            </w:tcBorders>
            <w:vAlign w:val="center"/>
          </w:tcPr>
          <w:p w14:paraId="079E2DE0">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5A52ACC3">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通讯设备全数据采集仪</w:t>
            </w:r>
            <w:r>
              <w:rPr>
                <w:rFonts w:hint="eastAsia" w:ascii="宋体" w:hAnsi="宋体" w:cs="宋体"/>
                <w:color w:val="000000" w:themeColor="text1"/>
                <w:kern w:val="0"/>
                <w:sz w:val="24"/>
                <w:highlight w:val="none"/>
                <w:lang w:bidi="ar"/>
                <w14:textFill>
                  <w14:solidFill>
                    <w14:schemeClr w14:val="tx1"/>
                  </w14:solidFill>
                </w14:textFill>
              </w:rPr>
              <w:t>功能、性能响应：</w:t>
            </w:r>
          </w:p>
          <w:p w14:paraId="30BA8C22">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评标委员会根据各投标人所提供的投标产品的功能指标、性能参数指标、技术指标等进行综合评审：</w:t>
            </w:r>
          </w:p>
          <w:p w14:paraId="081CF936">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性能参数中有“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w:t>
            </w:r>
            <w:r>
              <w:rPr>
                <w:rFonts w:hint="eastAsia" w:ascii="宋体" w:hAnsi="宋体" w:cs="宋体"/>
                <w:bCs/>
                <w:color w:val="000000" w:themeColor="text1"/>
                <w:sz w:val="24"/>
                <w:highlight w:val="none"/>
                <w14:textFill>
                  <w14:solidFill>
                    <w14:schemeClr w14:val="tx1"/>
                  </w14:solidFill>
                </w14:textFill>
              </w:rPr>
              <w:t>须具有公安部刑事技术产品质量监督检验中心出具的检验报告，每个</w:t>
            </w:r>
            <w:r>
              <w:rPr>
                <w:rFonts w:hint="eastAsia" w:ascii="宋体" w:hAnsi="宋体" w:cs="宋体"/>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”标记项不满足，扣3分，满分15分，扣完为止。</w:t>
            </w:r>
          </w:p>
        </w:tc>
        <w:tc>
          <w:tcPr>
            <w:tcW w:w="901" w:type="dxa"/>
            <w:tcBorders>
              <w:top w:val="single" w:color="auto" w:sz="4" w:space="0"/>
              <w:left w:val="single" w:color="auto" w:sz="4" w:space="0"/>
              <w:bottom w:val="single" w:color="auto" w:sz="4" w:space="0"/>
              <w:right w:val="single" w:color="auto" w:sz="4" w:space="0"/>
            </w:tcBorders>
            <w:vAlign w:val="center"/>
          </w:tcPr>
          <w:p w14:paraId="5A914E2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15分</w:t>
            </w:r>
          </w:p>
        </w:tc>
      </w:tr>
      <w:tr w14:paraId="344F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73CF5B29">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78C660E5">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项目实施方案需包含供货方案、进度安排、验收方案等进行详细合理的描述，按照项目分解节点，并可跟踪实施。根据供应商提供的内容进行分档评分：</w:t>
            </w:r>
          </w:p>
          <w:p w14:paraId="08C704A4">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1、方案完整切实有效，合理可行，有利项目实施得6分； </w:t>
            </w:r>
          </w:p>
          <w:p w14:paraId="6AF6DE5B">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2、方案比较完整有效，思路比较清晰明确得</w:t>
            </w:r>
            <w:r>
              <w:rPr>
                <w:rFonts w:hint="eastAsia" w:ascii="宋体" w:hAnsi="宋体" w:cs="宋体"/>
                <w:color w:val="000000" w:themeColor="text1"/>
                <w:kern w:val="0"/>
                <w:sz w:val="24"/>
                <w:highlight w:val="none"/>
                <w:lang w:val="en-US" w:eastAsia="zh-CN" w:bidi="ar"/>
                <w14:textFill>
                  <w14:solidFill>
                    <w14:schemeClr w14:val="tx1"/>
                  </w14:solidFill>
                </w14:textFill>
              </w:rPr>
              <w:t>4.5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10042D96">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3、方案不够完整，措施不够有效得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5374B5A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4、方案内容涉及方面少，保障效果差得1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74E92230">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2ED173AA">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bookmarkStart w:id="53" w:name="_GoBack"/>
            <w:bookmarkEnd w:id="53"/>
            <w:r>
              <w:rPr>
                <w:rFonts w:hint="eastAsia" w:ascii="宋体" w:hAnsi="宋体"/>
                <w:color w:val="000000" w:themeColor="text1"/>
                <w:sz w:val="24"/>
                <w:highlight w:val="none"/>
                <w14:textFill>
                  <w14:solidFill>
                    <w14:schemeClr w14:val="tx1"/>
                  </w14:solidFill>
                </w14:textFill>
              </w:rPr>
              <w:t>分</w:t>
            </w:r>
          </w:p>
        </w:tc>
      </w:tr>
      <w:tr w14:paraId="2A68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57CDC77F">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C6B3ED0">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新型涉网综合研判系统功能、性能响应：</w:t>
            </w:r>
          </w:p>
          <w:p w14:paraId="095565B7">
            <w:pPr>
              <w:snapToGrid w:val="0"/>
              <w:spacing w:after="0" w:line="240" w:lineRule="auto"/>
              <w:rPr>
                <w:rFonts w:hint="eastAsia" w:ascii="宋体" w:hAnsi="宋体" w:cs="宋体"/>
                <w:color w:val="000000" w:themeColor="text1"/>
                <w:sz w:val="24"/>
                <w:highlight w:val="none"/>
                <w:lang w:eastAsia="zh-CN"/>
                <w14:textFill>
                  <w14:solidFill>
                    <w14:schemeClr w14:val="tx1"/>
                  </w14:solidFill>
                </w14:textFill>
              </w:rPr>
            </w:pPr>
            <w:bookmarkStart w:id="50" w:name="OLE_LINK14"/>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性能参数中有“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w:t>
            </w:r>
            <w:r>
              <w:rPr>
                <w:rFonts w:hint="eastAsia" w:ascii="宋体" w:hAnsi="宋体" w:cs="宋体"/>
                <w:bCs/>
                <w:color w:val="000000" w:themeColor="text1"/>
                <w:sz w:val="24"/>
                <w:highlight w:val="none"/>
                <w14:textFill>
                  <w14:solidFill>
                    <w14:schemeClr w14:val="tx1"/>
                  </w14:solidFill>
                </w14:textFill>
              </w:rPr>
              <w:t>须能提供相关证书或系统截图证明，每个</w:t>
            </w:r>
            <w:r>
              <w:rPr>
                <w:rFonts w:hint="eastAsia" w:ascii="宋体" w:hAnsi="宋体" w:cs="宋体"/>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”标记项不满足，扣3分，满分15分，扣完为止</w:t>
            </w:r>
            <w:bookmarkEnd w:id="50"/>
            <w:r>
              <w:rPr>
                <w:rFonts w:hint="eastAsia" w:ascii="宋体" w:hAnsi="宋体" w:cs="宋体"/>
                <w:color w:val="000000" w:themeColor="text1"/>
                <w:sz w:val="24"/>
                <w:highlight w:val="none"/>
                <w:lang w:eastAsia="zh-CN"/>
                <w14:textFill>
                  <w14:solidFill>
                    <w14:schemeClr w14:val="tx1"/>
                  </w14:solidFill>
                </w14:textFill>
              </w:rPr>
              <w:t>；</w:t>
            </w:r>
          </w:p>
          <w:p w14:paraId="53D4C4C8">
            <w:pPr>
              <w:snapToGrid w:val="0"/>
              <w:spacing w:after="0" w:line="240" w:lineRule="auto"/>
              <w:rPr>
                <w:rFonts w:hint="eastAsia" w:ascii="宋体" w:hAnsi="宋体" w:cs="宋体" w:eastAsiaTheme="minorEastAsia"/>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参数中标有</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的为实质性参数，必需满足，</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否则作无效投标处理</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2C2BE124">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r>
      <w:tr w14:paraId="5A53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592" w:type="dxa"/>
            <w:vMerge w:val="restart"/>
            <w:tcBorders>
              <w:top w:val="single" w:color="auto" w:sz="4" w:space="0"/>
              <w:left w:val="single" w:color="auto" w:sz="4" w:space="0"/>
              <w:right w:val="single" w:color="auto" w:sz="4" w:space="0"/>
            </w:tcBorders>
            <w:vAlign w:val="center"/>
          </w:tcPr>
          <w:p w14:paraId="18B4D6A0">
            <w:pPr>
              <w:widowControl/>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资信及商务</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14:paraId="6C9A642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售后服务、培训及质保时间（17）</w:t>
            </w:r>
          </w:p>
        </w:tc>
        <w:tc>
          <w:tcPr>
            <w:tcW w:w="1128" w:type="dxa"/>
            <w:vMerge w:val="restart"/>
            <w:tcBorders>
              <w:top w:val="single" w:color="auto" w:sz="4" w:space="0"/>
              <w:left w:val="single" w:color="auto" w:sz="4" w:space="0"/>
              <w:right w:val="single" w:color="auto" w:sz="4" w:space="0"/>
            </w:tcBorders>
            <w:vAlign w:val="center"/>
          </w:tcPr>
          <w:p w14:paraId="7A02316B">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售后服务、技术培训</w:t>
            </w:r>
          </w:p>
        </w:tc>
        <w:tc>
          <w:tcPr>
            <w:tcW w:w="6600" w:type="dxa"/>
            <w:tcBorders>
              <w:top w:val="single" w:color="auto" w:sz="4" w:space="0"/>
              <w:left w:val="single" w:color="auto" w:sz="4" w:space="0"/>
              <w:bottom w:val="single" w:color="auto" w:sz="4" w:space="0"/>
              <w:right w:val="single" w:color="auto" w:sz="4" w:space="0"/>
            </w:tcBorders>
            <w:vAlign w:val="center"/>
          </w:tcPr>
          <w:p w14:paraId="412EC7B0">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售后服务承诺分（满分6分）</w:t>
            </w:r>
          </w:p>
          <w:p w14:paraId="3AAF817B">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由评委在打分前根据各投标人对</w:t>
            </w:r>
            <w:r>
              <w:rPr>
                <w:rFonts w:hint="eastAsia" w:ascii="宋体" w:hAnsi="宋体" w:cs="宋体"/>
                <w:color w:val="000000" w:themeColor="text1"/>
                <w:sz w:val="24"/>
                <w:highlight w:val="none"/>
                <w14:textFill>
                  <w14:solidFill>
                    <w14:schemeClr w14:val="tx1"/>
                  </w14:solidFill>
                </w14:textFill>
              </w:rPr>
              <w:t>本项目售后服务承诺、技术服务、技术培训、质保期、服务体系及措施、响应时间、售后维护方式和售后保障能力等方面内容</w:t>
            </w:r>
            <w:r>
              <w:rPr>
                <w:rFonts w:hint="eastAsia" w:ascii="宋体" w:hAnsi="宋体" w:cs="宋体"/>
                <w:bCs/>
                <w:color w:val="000000" w:themeColor="text1"/>
                <w:sz w:val="24"/>
                <w:highlight w:val="none"/>
                <w14:textFill>
                  <w14:solidFill>
                    <w14:schemeClr w14:val="tx1"/>
                  </w14:solidFill>
                </w14:textFill>
              </w:rPr>
              <w:t>进行综合评审：</w:t>
            </w:r>
          </w:p>
          <w:p w14:paraId="7A071DA7">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1、售后服务承诺方案全面、可行，服务措施详细，有详细的故障处理和维护保障流程，</w:t>
            </w:r>
            <w:r>
              <w:rPr>
                <w:rFonts w:hint="eastAsia" w:ascii="宋体" w:hAnsi="宋体" w:cs="宋体"/>
                <w:color w:val="000000" w:themeColor="text1"/>
                <w:sz w:val="24"/>
                <w:highlight w:val="none"/>
                <w14:textFill>
                  <w14:solidFill>
                    <w14:schemeClr w14:val="tx1"/>
                  </w14:solidFill>
                </w14:textFill>
              </w:rPr>
              <w:t>故障响应时间短的得6分；</w:t>
            </w:r>
          </w:p>
          <w:p w14:paraId="7E0984ED">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2、售后服务承诺方案较为合理、可行，具体服务措施较详细的得</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14:textFill>
                  <w14:solidFill>
                    <w14:schemeClr w14:val="tx1"/>
                  </w14:solidFill>
                </w14:textFill>
              </w:rPr>
              <w:t>分；</w:t>
            </w:r>
          </w:p>
          <w:p w14:paraId="4E3D82A4">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3、售后服务承诺方案</w:t>
            </w:r>
            <w:r>
              <w:rPr>
                <w:rFonts w:hint="eastAsia" w:ascii="宋体" w:hAnsi="宋体" w:cs="宋体"/>
                <w:bCs/>
                <w:color w:val="000000" w:themeColor="text1"/>
                <w:sz w:val="24"/>
                <w:highlight w:val="none"/>
                <w:lang w:eastAsia="zh-CN"/>
                <w14:textFill>
                  <w14:solidFill>
                    <w14:schemeClr w14:val="tx1"/>
                  </w14:solidFill>
                </w14:textFill>
              </w:rPr>
              <w:t>较</w:t>
            </w:r>
            <w:r>
              <w:rPr>
                <w:rFonts w:hint="eastAsia" w:ascii="宋体" w:hAnsi="宋体" w:cs="宋体"/>
                <w:bCs/>
                <w:color w:val="000000" w:themeColor="text1"/>
                <w:sz w:val="24"/>
                <w:highlight w:val="none"/>
                <w14:textFill>
                  <w14:solidFill>
                    <w14:schemeClr w14:val="tx1"/>
                  </w14:solidFill>
                </w14:textFill>
              </w:rPr>
              <w:t>简单，对具体服务措施</w:t>
            </w:r>
            <w:r>
              <w:rPr>
                <w:rFonts w:hint="eastAsia" w:ascii="宋体" w:hAnsi="宋体" w:cs="宋体"/>
                <w:bCs/>
                <w:color w:val="000000" w:themeColor="text1"/>
                <w:sz w:val="24"/>
                <w:highlight w:val="none"/>
                <w:lang w:eastAsia="zh-CN"/>
                <w14:textFill>
                  <w14:solidFill>
                    <w14:schemeClr w14:val="tx1"/>
                  </w14:solidFill>
                </w14:textFill>
              </w:rPr>
              <w:t>较少</w:t>
            </w:r>
            <w:r>
              <w:rPr>
                <w:rFonts w:hint="eastAsia" w:ascii="宋体" w:hAnsi="宋体" w:cs="宋体"/>
                <w:bCs/>
                <w:color w:val="000000" w:themeColor="text1"/>
                <w:sz w:val="24"/>
                <w:highlight w:val="none"/>
                <w14:textFill>
                  <w14:solidFill>
                    <w14:schemeClr w14:val="tx1"/>
                  </w14:solidFill>
                </w14:textFill>
              </w:rPr>
              <w:t>说明的得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p w14:paraId="2DB2CE0B">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、售后服务承诺方案简单</w:t>
            </w:r>
            <w:r>
              <w:rPr>
                <w:rFonts w:hint="eastAsia" w:ascii="宋体" w:hAnsi="宋体" w:cs="宋体"/>
                <w:bCs/>
                <w:color w:val="000000" w:themeColor="text1"/>
                <w:sz w:val="24"/>
                <w:highlight w:val="none"/>
                <w:lang w:eastAsia="zh-CN"/>
                <w14:textFill>
                  <w14:solidFill>
                    <w14:schemeClr w14:val="tx1"/>
                  </w14:solidFill>
                </w14:textFill>
              </w:rPr>
              <w:t>缺项</w:t>
            </w:r>
            <w:r>
              <w:rPr>
                <w:rFonts w:hint="eastAsia" w:ascii="宋体" w:hAnsi="宋体" w:cs="宋体"/>
                <w:bCs/>
                <w:color w:val="000000" w:themeColor="text1"/>
                <w:sz w:val="24"/>
                <w:highlight w:val="none"/>
                <w14:textFill>
                  <w14:solidFill>
                    <w14:schemeClr w14:val="tx1"/>
                  </w14:solidFill>
                </w14:textFill>
              </w:rPr>
              <w:t>，对具体服务措施未说明的得</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r>
              <w:rPr>
                <w:rFonts w:hint="eastAsia" w:ascii="宋体" w:hAnsi="宋体" w:cs="宋体"/>
                <w:bCs/>
                <w:color w:val="000000" w:themeColor="text1"/>
                <w:sz w:val="24"/>
                <w:highlight w:val="none"/>
                <w:lang w:eastAsia="zh-CN"/>
                <w14:textFill>
                  <w14:solidFill>
                    <w14:schemeClr w14:val="tx1"/>
                  </w14:solidFill>
                </w14:textFill>
              </w:rPr>
              <w:t>；</w:t>
            </w:r>
          </w:p>
          <w:p w14:paraId="42018D20">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28C9A1E0">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5877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592" w:type="dxa"/>
            <w:vMerge w:val="continue"/>
            <w:tcBorders>
              <w:left w:val="single" w:color="auto" w:sz="4" w:space="0"/>
              <w:right w:val="single" w:color="auto" w:sz="4" w:space="0"/>
            </w:tcBorders>
            <w:vAlign w:val="center"/>
          </w:tcPr>
          <w:p w14:paraId="5C3D62FA">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3A0AE9B0">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1128" w:type="dxa"/>
            <w:vMerge w:val="continue"/>
            <w:tcBorders>
              <w:left w:val="single" w:color="auto" w:sz="4" w:space="0"/>
              <w:bottom w:val="single" w:color="auto" w:sz="4" w:space="0"/>
              <w:right w:val="single" w:color="auto" w:sz="4" w:space="0"/>
            </w:tcBorders>
            <w:vAlign w:val="center"/>
          </w:tcPr>
          <w:p w14:paraId="4FB3C8BF">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2FDFCB24">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根据供应商提供的培训方案进行评价打分：</w:t>
            </w:r>
          </w:p>
          <w:p w14:paraId="6DECBC92">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1、培训计划科学、全面，培训流程完善得3分；</w:t>
            </w:r>
          </w:p>
          <w:p w14:paraId="3F292FFD">
            <w:pPr>
              <w:spacing w:after="0"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2、培训计划一般，培训流程相对完善得2分</w:t>
            </w:r>
          </w:p>
          <w:p w14:paraId="15A3D9AF">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3、培训计划欠缺，培训流程不完善得1分。</w:t>
            </w:r>
          </w:p>
          <w:p w14:paraId="2A22C644">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培训方案未提供的不得分。</w:t>
            </w:r>
          </w:p>
        </w:tc>
        <w:tc>
          <w:tcPr>
            <w:tcW w:w="901" w:type="dxa"/>
            <w:tcBorders>
              <w:top w:val="single" w:color="auto" w:sz="4" w:space="0"/>
              <w:left w:val="single" w:color="auto" w:sz="4" w:space="0"/>
              <w:bottom w:val="single" w:color="auto" w:sz="4" w:space="0"/>
              <w:right w:val="single" w:color="auto" w:sz="4" w:space="0"/>
            </w:tcBorders>
            <w:vAlign w:val="center"/>
          </w:tcPr>
          <w:p w14:paraId="131CF1E0">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4BF1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0B4C80BF">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10F3CC46">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73F04556">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w:t>
            </w:r>
          </w:p>
        </w:tc>
        <w:tc>
          <w:tcPr>
            <w:tcW w:w="6600" w:type="dxa"/>
            <w:tcBorders>
              <w:top w:val="single" w:color="auto" w:sz="4" w:space="0"/>
              <w:left w:val="single" w:color="auto" w:sz="4" w:space="0"/>
              <w:bottom w:val="single" w:color="auto" w:sz="4" w:space="0"/>
              <w:right w:val="single" w:color="auto" w:sz="4" w:space="0"/>
            </w:tcBorders>
            <w:vAlign w:val="center"/>
          </w:tcPr>
          <w:p w14:paraId="63A0DF03">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实施团队分（满分5分）</w:t>
            </w:r>
          </w:p>
          <w:p w14:paraId="2D987026">
            <w:pPr>
              <w:pStyle w:val="40"/>
              <w:numPr>
                <w:ilvl w:val="0"/>
                <w:numId w:val="18"/>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拟派项目经理拥有高级信息系统项目管理师证书，得2分；</w:t>
            </w:r>
          </w:p>
          <w:p w14:paraId="4C133786">
            <w:pPr>
              <w:pStyle w:val="40"/>
              <w:numPr>
                <w:ilvl w:val="0"/>
                <w:numId w:val="18"/>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投标人拟投入本项目的相关专业技术人员有中级职称技术人员的每人得0.5分，有高级职称技术人员的每人得2分（满分3分，投标人需在投标文件中提供有效的专业人员花名册包括姓名、性别、出生日期、学历及职称证证书复印件，投标时提供复印件加盖公章）。（评标时以人员资格证明核验有效为准</w:t>
            </w:r>
            <w:r>
              <w:rPr>
                <w:rFonts w:hint="eastAsia" w:hAnsi="宋体" w:eastAsia="宋体" w:cs="Times New Roman"/>
                <w:color w:val="000000" w:themeColor="text1"/>
                <w:sz w:val="24"/>
                <w:szCs w:val="24"/>
                <w:highlight w:val="none"/>
                <w:lang w:eastAsia="zh-CN"/>
                <w14:textFill>
                  <w14:solidFill>
                    <w14:schemeClr w14:val="tx1"/>
                  </w14:solidFill>
                </w14:textFill>
              </w:rPr>
              <w:t>，同一人员只记分一次</w:t>
            </w:r>
            <w:r>
              <w:rPr>
                <w:rFonts w:hint="eastAsia" w:hAnsi="宋体" w:eastAsia="宋体" w:cs="Times New Roman"/>
                <w:color w:val="000000" w:themeColor="text1"/>
                <w:sz w:val="24"/>
                <w:szCs w:val="24"/>
                <w:highlight w:val="none"/>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1845E1BB">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138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08C012AD">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4B991E1C">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4C24F8E7">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w:t>
            </w:r>
          </w:p>
          <w:p w14:paraId="416DA2D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期限</w:t>
            </w:r>
          </w:p>
        </w:tc>
        <w:tc>
          <w:tcPr>
            <w:tcW w:w="6600" w:type="dxa"/>
            <w:tcBorders>
              <w:top w:val="single" w:color="auto" w:sz="4" w:space="0"/>
              <w:left w:val="single" w:color="auto" w:sz="4" w:space="0"/>
              <w:bottom w:val="single" w:color="auto" w:sz="4" w:space="0"/>
              <w:right w:val="single" w:color="auto" w:sz="4" w:space="0"/>
            </w:tcBorders>
            <w:vAlign w:val="center"/>
          </w:tcPr>
          <w:p w14:paraId="260DD62C">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免费质保期承诺：免费质保期1年的基础上每增加1年得1分，最多得3分</w:t>
            </w:r>
            <w:r>
              <w:rPr>
                <w:rFonts w:hint="eastAsia" w:ascii="宋体" w:hAnsi="宋体"/>
                <w:color w:val="000000" w:themeColor="text1"/>
                <w:sz w:val="24"/>
                <w:highlight w:val="none"/>
                <w:lang w:eastAsia="zh-CN"/>
                <w14:textFill>
                  <w14:solidFill>
                    <w14:schemeClr w14:val="tx1"/>
                  </w14:solidFill>
                </w14:textFill>
              </w:rPr>
              <w:t>。须提供承诺函，并加盖公章。</w:t>
            </w:r>
          </w:p>
        </w:tc>
        <w:tc>
          <w:tcPr>
            <w:tcW w:w="901" w:type="dxa"/>
            <w:tcBorders>
              <w:top w:val="single" w:color="auto" w:sz="4" w:space="0"/>
              <w:left w:val="single" w:color="auto" w:sz="4" w:space="0"/>
              <w:bottom w:val="single" w:color="auto" w:sz="4" w:space="0"/>
              <w:right w:val="single" w:color="auto" w:sz="4" w:space="0"/>
            </w:tcBorders>
            <w:vAlign w:val="center"/>
          </w:tcPr>
          <w:p w14:paraId="7BDE204F">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5048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592" w:type="dxa"/>
            <w:vMerge w:val="continue"/>
            <w:tcBorders>
              <w:left w:val="single" w:color="auto" w:sz="4" w:space="0"/>
              <w:right w:val="single" w:color="auto" w:sz="4" w:space="0"/>
            </w:tcBorders>
            <w:vAlign w:val="center"/>
          </w:tcPr>
          <w:p w14:paraId="43144140">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vAlign w:val="center"/>
          </w:tcPr>
          <w:p w14:paraId="7B18089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投标企业情况</w:t>
            </w:r>
          </w:p>
          <w:p w14:paraId="640F8377">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128" w:type="dxa"/>
            <w:tcBorders>
              <w:top w:val="single" w:color="auto" w:sz="4" w:space="0"/>
              <w:left w:val="single" w:color="auto" w:sz="4" w:space="0"/>
              <w:bottom w:val="single" w:color="auto" w:sz="4" w:space="0"/>
              <w:right w:val="single" w:color="auto" w:sz="4" w:space="0"/>
            </w:tcBorders>
            <w:vAlign w:val="center"/>
          </w:tcPr>
          <w:p w14:paraId="423365F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公司资质</w:t>
            </w:r>
          </w:p>
        </w:tc>
        <w:tc>
          <w:tcPr>
            <w:tcW w:w="6600" w:type="dxa"/>
            <w:tcBorders>
              <w:top w:val="single" w:color="auto" w:sz="4" w:space="0"/>
              <w:left w:val="single" w:color="auto" w:sz="4" w:space="0"/>
              <w:bottom w:val="single" w:color="auto" w:sz="4" w:space="0"/>
              <w:right w:val="single" w:color="auto" w:sz="4" w:space="0"/>
            </w:tcBorders>
            <w:vAlign w:val="center"/>
          </w:tcPr>
          <w:p w14:paraId="48DC7B1E">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投标人具备 ISO9001 质量管理体系认证证书、</w:t>
            </w:r>
            <w:bookmarkStart w:id="51" w:name="OLE_LINK9"/>
            <w:r>
              <w:rPr>
                <w:rFonts w:hint="eastAsia" w:ascii="宋体" w:hAnsi="宋体" w:cs="宋体"/>
                <w:color w:val="000000" w:themeColor="text1"/>
                <w:sz w:val="24"/>
                <w:highlight w:val="none"/>
                <w14:textFill>
                  <w14:solidFill>
                    <w14:schemeClr w14:val="tx1"/>
                  </w14:solidFill>
                </w14:textFill>
              </w:rPr>
              <w:t>ISO45001职业健康安全管理体系认证、 ISO27001信息安全管理体系认证</w:t>
            </w:r>
            <w:bookmarkEnd w:id="51"/>
            <w:r>
              <w:rPr>
                <w:rFonts w:hint="eastAsia" w:ascii="宋体" w:hAnsi="宋体" w:cs="宋体"/>
                <w:color w:val="000000" w:themeColor="text1"/>
                <w:sz w:val="24"/>
                <w:highlight w:val="none"/>
                <w14:textFill>
                  <w14:solidFill>
                    <w14:schemeClr w14:val="tx1"/>
                  </w14:solidFill>
                </w14:textFill>
              </w:rPr>
              <w:t>。每满足一个得1分（3分）；</w:t>
            </w:r>
          </w:p>
          <w:p w14:paraId="4D6C106E">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投标人获得行政主管部门颁发的与企业经营、科研有关证明的，如高新技术企业证书、软件企业证明，满足一项得1分，（满分2分，评标时以有效证明材料复印件加盖资料所属方公章为准）。</w:t>
            </w:r>
          </w:p>
        </w:tc>
        <w:tc>
          <w:tcPr>
            <w:tcW w:w="901" w:type="dxa"/>
            <w:tcBorders>
              <w:top w:val="single" w:color="auto" w:sz="4" w:space="0"/>
              <w:left w:val="single" w:color="auto" w:sz="4" w:space="0"/>
              <w:bottom w:val="single" w:color="auto" w:sz="4" w:space="0"/>
              <w:right w:val="single" w:color="auto" w:sz="4" w:space="0"/>
            </w:tcBorders>
            <w:vAlign w:val="center"/>
          </w:tcPr>
          <w:p w14:paraId="45BF2055">
            <w:pPr>
              <w:snapToGrid w:val="0"/>
              <w:spacing w:after="0" w:line="24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66A2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592" w:type="dxa"/>
            <w:vMerge w:val="continue"/>
            <w:tcBorders>
              <w:left w:val="single" w:color="auto" w:sz="4" w:space="0"/>
              <w:right w:val="single" w:color="auto" w:sz="4" w:space="0"/>
            </w:tcBorders>
            <w:vAlign w:val="center"/>
          </w:tcPr>
          <w:p w14:paraId="7AB061CF">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5BA541CD">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6DDA3C3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经验及业绩</w:t>
            </w:r>
          </w:p>
        </w:tc>
        <w:tc>
          <w:tcPr>
            <w:tcW w:w="6600" w:type="dxa"/>
            <w:tcBorders>
              <w:top w:val="single" w:color="auto" w:sz="4" w:space="0"/>
              <w:left w:val="single" w:color="auto" w:sz="4" w:space="0"/>
              <w:bottom w:val="single" w:color="auto" w:sz="4" w:space="0"/>
              <w:right w:val="single" w:color="auto" w:sz="4" w:space="0"/>
            </w:tcBorders>
            <w:vAlign w:val="center"/>
          </w:tcPr>
          <w:p w14:paraId="68444B7D">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项目业绩（自2021年1月1日以来成功实施的同类项目</w:t>
            </w:r>
            <w:r>
              <w:rPr>
                <w:rFonts w:hint="eastAsia" w:ascii="宋体" w:hAnsi="宋体"/>
                <w:color w:val="000000" w:themeColor="text1"/>
                <w:sz w:val="24"/>
                <w:highlight w:val="none"/>
                <w:lang w:eastAsia="zh-CN"/>
                <w14:textFill>
                  <w14:solidFill>
                    <w14:schemeClr w14:val="tx1"/>
                  </w14:solidFill>
                </w14:textFill>
              </w:rPr>
              <w:t>（数据采集仪或涉网综合研判系统）</w:t>
            </w:r>
            <w:r>
              <w:rPr>
                <w:rFonts w:hint="eastAsia" w:ascii="宋体" w:hAnsi="宋体"/>
                <w:color w:val="000000" w:themeColor="text1"/>
                <w:sz w:val="24"/>
                <w:highlight w:val="none"/>
                <w14:textFill>
                  <w14:solidFill>
                    <w14:schemeClr w14:val="tx1"/>
                  </w14:solidFill>
                </w14:textFill>
              </w:rPr>
              <w:t>业绩：每提供一个得1分，最高得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分；提供合同复印件并加盖公章）</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1F10E80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4E42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592" w:type="dxa"/>
            <w:vMerge w:val="continue"/>
            <w:tcBorders>
              <w:left w:val="single" w:color="auto" w:sz="4" w:space="0"/>
              <w:bottom w:val="single" w:color="auto" w:sz="4" w:space="0"/>
              <w:right w:val="single" w:color="auto" w:sz="4" w:space="0"/>
            </w:tcBorders>
            <w:vAlign w:val="center"/>
          </w:tcPr>
          <w:p w14:paraId="7B1BA641">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vAlign w:val="center"/>
          </w:tcPr>
          <w:p w14:paraId="6EC61661">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4055705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环境标志及节能产品</w:t>
            </w:r>
          </w:p>
        </w:tc>
        <w:tc>
          <w:tcPr>
            <w:tcW w:w="6600" w:type="dxa"/>
            <w:tcBorders>
              <w:top w:val="single" w:color="auto" w:sz="4" w:space="0"/>
              <w:left w:val="single" w:color="auto" w:sz="4" w:space="0"/>
              <w:bottom w:val="single" w:color="auto" w:sz="4" w:space="0"/>
              <w:right w:val="single" w:color="auto" w:sz="4" w:space="0"/>
            </w:tcBorders>
            <w:vAlign w:val="center"/>
          </w:tcPr>
          <w:p w14:paraId="28C473A2">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投标产品获得国家认证机构出具的环境标志产品或节能产品认证证书，每提供一个证书1分，最高得1分</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1394CB25">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1分</w:t>
            </w:r>
          </w:p>
        </w:tc>
      </w:tr>
    </w:tbl>
    <w:p w14:paraId="580F8B81">
      <w:pPr>
        <w:spacing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注：合同、证书、报告及其他相关证明材料，将原件扫描上传至电子投标文件，并加盖电子印章。</w:t>
      </w:r>
    </w:p>
    <w:p w14:paraId="6767ACCD">
      <w:pPr>
        <w:spacing w:after="0" w:line="312" w:lineRule="auto"/>
        <w:jc w:val="center"/>
        <w:rPr>
          <w:rFonts w:hint="eastAsia" w:asciiTheme="minorEastAsia" w:hAnsiTheme="minorEastAsia" w:eastAsiaTheme="minorEastAsia" w:cstheme="minorEastAsia"/>
          <w:b/>
          <w:sz w:val="36"/>
          <w:szCs w:val="36"/>
          <w:highlight w:val="none"/>
        </w:rPr>
      </w:pPr>
    </w:p>
    <w:p w14:paraId="0F5D259E">
      <w:pPr>
        <w:spacing w:after="0" w:line="312" w:lineRule="auto"/>
        <w:jc w:val="center"/>
        <w:rPr>
          <w:rFonts w:hint="eastAsia" w:asciiTheme="minorEastAsia" w:hAnsiTheme="minorEastAsia" w:eastAsiaTheme="minorEastAsia" w:cstheme="minorEastAsia"/>
          <w:b/>
          <w:sz w:val="36"/>
          <w:szCs w:val="36"/>
          <w:highlight w:val="none"/>
        </w:rPr>
      </w:pPr>
    </w:p>
    <w:p w14:paraId="0378DC85">
      <w:pPr>
        <w:spacing w:after="0" w:line="312" w:lineRule="auto"/>
        <w:jc w:val="center"/>
        <w:rPr>
          <w:rFonts w:hint="eastAsia" w:asciiTheme="minorEastAsia" w:hAnsiTheme="minorEastAsia" w:eastAsiaTheme="minorEastAsia" w:cstheme="minorEastAsia"/>
          <w:b/>
          <w:sz w:val="36"/>
          <w:szCs w:val="36"/>
          <w:highlight w:val="none"/>
        </w:rPr>
      </w:pPr>
    </w:p>
    <w:p w14:paraId="4EB07DAF">
      <w:pPr>
        <w:spacing w:after="0" w:line="312" w:lineRule="auto"/>
        <w:jc w:val="center"/>
        <w:rPr>
          <w:rFonts w:hint="eastAsia" w:asciiTheme="minorEastAsia" w:hAnsiTheme="minorEastAsia" w:eastAsiaTheme="minorEastAsia" w:cstheme="minorEastAsia"/>
          <w:b/>
          <w:sz w:val="36"/>
          <w:szCs w:val="36"/>
          <w:highlight w:val="none"/>
        </w:rPr>
      </w:pPr>
    </w:p>
    <w:p w14:paraId="63D27239">
      <w:pPr>
        <w:spacing w:after="0" w:line="312" w:lineRule="auto"/>
        <w:jc w:val="center"/>
        <w:rPr>
          <w:rFonts w:hint="eastAsia" w:asciiTheme="minorEastAsia" w:hAnsiTheme="minorEastAsia" w:eastAsiaTheme="minorEastAsia" w:cstheme="minorEastAsia"/>
          <w:b/>
          <w:sz w:val="36"/>
          <w:szCs w:val="36"/>
          <w:highlight w:val="none"/>
        </w:rPr>
      </w:pPr>
    </w:p>
    <w:p w14:paraId="1B74D1C5">
      <w:pPr>
        <w:spacing w:after="0" w:line="312" w:lineRule="auto"/>
        <w:jc w:val="center"/>
        <w:rPr>
          <w:rFonts w:hint="eastAsia" w:asciiTheme="minorEastAsia" w:hAnsiTheme="minorEastAsia" w:eastAsiaTheme="minorEastAsia" w:cstheme="minorEastAsia"/>
          <w:b/>
          <w:sz w:val="36"/>
          <w:szCs w:val="36"/>
          <w:highlight w:val="none"/>
        </w:rPr>
      </w:pPr>
    </w:p>
    <w:p w14:paraId="6BA03CF8">
      <w:pPr>
        <w:spacing w:after="0" w:line="312" w:lineRule="auto"/>
        <w:jc w:val="center"/>
        <w:rPr>
          <w:rFonts w:hint="eastAsia" w:asciiTheme="minorEastAsia" w:hAnsiTheme="minorEastAsia" w:eastAsiaTheme="minorEastAsia" w:cstheme="minorEastAsia"/>
          <w:b/>
          <w:sz w:val="36"/>
          <w:szCs w:val="36"/>
          <w:highlight w:val="none"/>
        </w:rPr>
      </w:pPr>
    </w:p>
    <w:p w14:paraId="7D4FDE17">
      <w:pPr>
        <w:spacing w:after="0" w:line="312" w:lineRule="auto"/>
        <w:jc w:val="center"/>
        <w:rPr>
          <w:rFonts w:hint="eastAsia" w:asciiTheme="minorEastAsia" w:hAnsiTheme="minorEastAsia" w:eastAsiaTheme="minorEastAsia" w:cstheme="minorEastAsia"/>
          <w:b/>
          <w:sz w:val="36"/>
          <w:szCs w:val="36"/>
          <w:highlight w:val="none"/>
        </w:rPr>
      </w:pPr>
    </w:p>
    <w:p w14:paraId="7C081D0D">
      <w:pPr>
        <w:spacing w:after="0" w:line="312" w:lineRule="auto"/>
        <w:jc w:val="center"/>
        <w:rPr>
          <w:rFonts w:hint="eastAsia" w:asciiTheme="minorEastAsia" w:hAnsiTheme="minorEastAsia" w:eastAsiaTheme="minorEastAsia" w:cstheme="minorEastAsia"/>
          <w:b/>
          <w:sz w:val="36"/>
          <w:szCs w:val="36"/>
          <w:highlight w:val="none"/>
        </w:rPr>
      </w:pPr>
    </w:p>
    <w:p w14:paraId="5E4F6FEF">
      <w:pPr>
        <w:spacing w:after="0" w:line="312" w:lineRule="auto"/>
        <w:jc w:val="center"/>
        <w:rPr>
          <w:rFonts w:hint="eastAsia" w:asciiTheme="minorEastAsia" w:hAnsiTheme="minorEastAsia" w:eastAsiaTheme="minorEastAsia" w:cstheme="minorEastAsia"/>
          <w:b/>
          <w:sz w:val="36"/>
          <w:szCs w:val="36"/>
          <w:highlight w:val="none"/>
        </w:rPr>
      </w:pPr>
    </w:p>
    <w:p w14:paraId="2886198A">
      <w:pPr>
        <w:spacing w:after="0" w:line="312" w:lineRule="auto"/>
        <w:jc w:val="center"/>
        <w:rPr>
          <w:rFonts w:hint="eastAsia" w:asciiTheme="minorEastAsia" w:hAnsiTheme="minorEastAsia" w:eastAsiaTheme="minorEastAsia" w:cstheme="minorEastAsia"/>
          <w:b/>
          <w:sz w:val="36"/>
          <w:szCs w:val="36"/>
          <w:highlight w:val="none"/>
        </w:rPr>
      </w:pPr>
    </w:p>
    <w:p w14:paraId="3B8E8452">
      <w:pPr>
        <w:spacing w:after="0" w:line="312" w:lineRule="auto"/>
        <w:jc w:val="center"/>
        <w:rPr>
          <w:rFonts w:hint="eastAsia" w:asciiTheme="minorEastAsia" w:hAnsiTheme="minorEastAsia" w:eastAsiaTheme="minorEastAsia" w:cstheme="minorEastAsia"/>
          <w:b/>
          <w:sz w:val="36"/>
          <w:szCs w:val="36"/>
          <w:highlight w:val="none"/>
        </w:rPr>
      </w:pPr>
    </w:p>
    <w:p w14:paraId="657718AD">
      <w:pPr>
        <w:spacing w:after="0" w:line="312" w:lineRule="auto"/>
        <w:jc w:val="center"/>
        <w:rPr>
          <w:rFonts w:hint="eastAsia" w:asciiTheme="minorEastAsia" w:hAnsiTheme="minorEastAsia" w:eastAsiaTheme="minorEastAsia" w:cstheme="minorEastAsia"/>
          <w:b/>
          <w:sz w:val="36"/>
          <w:szCs w:val="36"/>
          <w:highlight w:val="none"/>
        </w:rPr>
      </w:pPr>
    </w:p>
    <w:p w14:paraId="24FA8B5A">
      <w:pPr>
        <w:spacing w:after="0" w:line="312" w:lineRule="auto"/>
        <w:jc w:val="center"/>
        <w:rPr>
          <w:rFonts w:hint="eastAsia" w:asciiTheme="minorEastAsia" w:hAnsiTheme="minorEastAsia" w:eastAsiaTheme="minorEastAsia" w:cstheme="minorEastAsia"/>
          <w:b/>
          <w:sz w:val="36"/>
          <w:szCs w:val="36"/>
          <w:highlight w:val="none"/>
        </w:rPr>
      </w:pPr>
    </w:p>
    <w:p w14:paraId="3AC0C1C1">
      <w:pPr>
        <w:spacing w:after="0" w:line="312" w:lineRule="auto"/>
        <w:jc w:val="center"/>
        <w:rPr>
          <w:rFonts w:hint="eastAsia" w:asciiTheme="minorEastAsia" w:hAnsiTheme="minorEastAsia" w:eastAsiaTheme="minorEastAsia" w:cstheme="minorEastAsia"/>
          <w:b/>
          <w:sz w:val="36"/>
          <w:szCs w:val="36"/>
          <w:highlight w:val="none"/>
        </w:rPr>
      </w:pPr>
    </w:p>
    <w:p w14:paraId="0FD5DC96">
      <w:pPr>
        <w:spacing w:after="0" w:line="312" w:lineRule="auto"/>
        <w:jc w:val="center"/>
        <w:rPr>
          <w:rFonts w:hint="eastAsia" w:asciiTheme="minorEastAsia" w:hAnsiTheme="minorEastAsia" w:eastAsiaTheme="minorEastAsia" w:cstheme="minorEastAsia"/>
          <w:b/>
          <w:sz w:val="36"/>
          <w:szCs w:val="36"/>
          <w:highlight w:val="none"/>
        </w:rPr>
      </w:pPr>
    </w:p>
    <w:p w14:paraId="215B418A">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第五章   政府采购合同主要条款指引</w:t>
      </w:r>
    </w:p>
    <w:p w14:paraId="44EE09D9">
      <w:pPr>
        <w:widowControl/>
        <w:shd w:val="clear" w:color="auto" w:fill="FFFFFF"/>
        <w:spacing w:after="0" w:line="360" w:lineRule="auto"/>
        <w:ind w:firstLine="480"/>
        <w:jc w:val="left"/>
        <w:rPr>
          <w:rFonts w:hint="eastAsia" w:asciiTheme="minorEastAsia" w:hAnsiTheme="minorEastAsia" w:eastAsiaTheme="minorEastAsia" w:cstheme="minorEastAsia"/>
          <w:b/>
          <w:sz w:val="36"/>
          <w:szCs w:val="36"/>
          <w:highlight w:val="none"/>
        </w:rPr>
      </w:pPr>
    </w:p>
    <w:p w14:paraId="7AFCA4F1">
      <w:pPr>
        <w:widowControl/>
        <w:shd w:val="clear" w:color="auto" w:fill="FFFFFF"/>
        <w:spacing w:after="0"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以下为成交后签定本项目合同的通用条款，成交供应商不得提出实质性的修改，关于专用条款将由采购人与成交供应商结合本项目具体情况协商后签订。</w:t>
      </w:r>
    </w:p>
    <w:p w14:paraId="4950ACF5">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项目名称：台州市公安局椒江分局办案区采分设备采购                                      </w:t>
      </w:r>
    </w:p>
    <w:p w14:paraId="37081323">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项目编号：WLCG-2024-GK034号</w:t>
      </w:r>
    </w:p>
    <w:p w14:paraId="4BD30147">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甲方：（采购单位）                            所在地：                              </w:t>
      </w:r>
    </w:p>
    <w:p w14:paraId="78E4D948">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乙方：（中标供应商）                          所在地：</w:t>
      </w:r>
    </w:p>
    <w:p w14:paraId="7E708CD9">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 xml:space="preserve">    甲、乙双方根据台州蔚蓝投资咨询有限公司关于××单位××项目公开招标的结果，签署本合同。</w:t>
      </w:r>
    </w:p>
    <w:p w14:paraId="3ED85E0A">
      <w:pPr>
        <w:spacing w:after="0" w:line="360" w:lineRule="auto"/>
        <w:rPr>
          <w:rFonts w:hint="eastAsia" w:asciiTheme="minorEastAsia" w:hAnsiTheme="minorEastAsia" w:eastAsiaTheme="minorEastAsia" w:cstheme="minorEastAsia"/>
          <w:b/>
          <w:bCs/>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 xml:space="preserve">一、合同文件： </w:t>
      </w:r>
    </w:p>
    <w:p w14:paraId="0D9C6D31">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1.合同条款。</w:t>
      </w:r>
    </w:p>
    <w:p w14:paraId="4515B62F">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2.中标通知书。</w:t>
      </w:r>
    </w:p>
    <w:p w14:paraId="6CFB0A8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3.更正补充文件。</w:t>
      </w:r>
    </w:p>
    <w:p w14:paraId="75D0CF7C">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4.招标文件。</w:t>
      </w:r>
    </w:p>
    <w:p w14:paraId="66B4C972">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5.中标供应商投标文件。</w:t>
      </w:r>
    </w:p>
    <w:p w14:paraId="40A10EE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6.其他。</w:t>
      </w:r>
    </w:p>
    <w:p w14:paraId="7DC6853E">
      <w:pPr>
        <w:pStyle w:val="12"/>
        <w:snapToGrid w:val="0"/>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上述所指合同文件应认为是互相补充和解释的，但是有模棱两可或互相矛盾之处，以其所列内容顺序为准。</w:t>
      </w:r>
    </w:p>
    <w:p w14:paraId="43F291FC">
      <w:pPr>
        <w:spacing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二、货物内容</w:t>
      </w:r>
    </w:p>
    <w:p w14:paraId="4BD75121">
      <w:pPr>
        <w:autoSpaceDE w:val="0"/>
        <w:autoSpaceDN w:val="0"/>
        <w:adjustRightInd w:val="0"/>
        <w:snapToGrid w:val="0"/>
        <w:spacing w:after="0" w:line="360" w:lineRule="auto"/>
        <w:jc w:val="left"/>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pPr>
    </w:p>
    <w:p w14:paraId="1E503E00">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t xml:space="preserve"> </w:t>
      </w:r>
    </w:p>
    <w:p w14:paraId="076745C5">
      <w:pPr>
        <w:pStyle w:val="12"/>
        <w:snapToGrid w:val="0"/>
        <w:spacing w:after="0"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三、合同金额</w:t>
      </w:r>
    </w:p>
    <w:p w14:paraId="1FEC39C9">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本合同金额为（大写）：____________元（￥________元）人民币。</w:t>
      </w:r>
    </w:p>
    <w:p w14:paraId="447195BB">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四、技术资料</w:t>
      </w:r>
    </w:p>
    <w:p w14:paraId="548A0C3C">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1.乙方应按招标文件规定的时间向甲方提供货物。</w:t>
      </w:r>
    </w:p>
    <w:p w14:paraId="4F0449D0">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909F9A">
      <w:pPr>
        <w:pStyle w:val="12"/>
        <w:snapToGrid w:val="0"/>
        <w:spacing w:after="0" w:line="360" w:lineRule="auto"/>
        <w:ind w:left="412" w:hanging="412" w:hangingChars="17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五、知识产权</w:t>
      </w:r>
    </w:p>
    <w:p w14:paraId="3147DE7E">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1.乙方应保证所提供的货物或其任何一部分均不会侵犯任何第三方的知识产权。</w:t>
      </w:r>
    </w:p>
    <w:p w14:paraId="2D2F51E1">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2.若侵犯,由乙方赔偿甲方因此遭受的损失（包括但不限于应对及追偿过程中所支付的律师费、差旅费、诉讼费、保全费、鉴定费、评估费等）。</w:t>
      </w:r>
    </w:p>
    <w:p w14:paraId="0B64F0DE">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六、产权担保</w:t>
      </w:r>
    </w:p>
    <w:p w14:paraId="3A793D1B">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乙方保证所交付的货物的所有权完全属于乙方且无任何抵押、查封等产权瑕疵。</w:t>
      </w:r>
    </w:p>
    <w:p w14:paraId="582A0116">
      <w:pPr>
        <w:pStyle w:val="12"/>
        <w:snapToGrid w:val="0"/>
        <w:spacing w:after="0" w:line="360" w:lineRule="auto"/>
        <w:ind w:left="410" w:hanging="410" w:hangingChars="17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七、转包或分包</w:t>
      </w:r>
    </w:p>
    <w:p w14:paraId="5E787F62">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1.本合同范围的货物，应由乙方直接供应，不得转让他人供应；</w:t>
      </w:r>
    </w:p>
    <w:p w14:paraId="4FBBBD00">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2.除非得到甲方的书面同意，乙方不得将本合同范围的货物全部或部分分包给他人供应；</w:t>
      </w:r>
    </w:p>
    <w:p w14:paraId="704E8024">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3.如有转让和未经甲方同意的分包行为，甲方有权解除合同，追究乙方的违约责任。</w:t>
      </w:r>
    </w:p>
    <w:p w14:paraId="0E96C870">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八、质保期</w:t>
      </w:r>
    </w:p>
    <w:p w14:paraId="49941EC5">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1.质保期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年（自交货验收合格之日起计）。</w:t>
      </w:r>
    </w:p>
    <w:p w14:paraId="526D3A3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九、交货期、交货方式及交货地点</w:t>
      </w:r>
    </w:p>
    <w:p w14:paraId="43602BB9">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Cs/>
          <w:sz w:val="24"/>
          <w:highlight w:val="none"/>
        </w:rPr>
        <w:t>1、交货期：合同签订之后20日内。</w:t>
      </w:r>
    </w:p>
    <w:p w14:paraId="5B7A31D2">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2、交货方式：乙方需按甲方要求将货物送到指定地点。</w:t>
      </w:r>
    </w:p>
    <w:p w14:paraId="79D6286A">
      <w:pPr>
        <w:pStyle w:val="12"/>
        <w:snapToGrid w:val="0"/>
        <w:spacing w:after="0" w:line="360" w:lineRule="auto"/>
        <w:rPr>
          <w:rFonts w:hint="eastAsia" w:asciiTheme="minorEastAsia" w:hAnsiTheme="minorEastAsia" w:eastAsiaTheme="minorEastAsia" w:cstheme="minorEastAsia"/>
          <w:b/>
          <w:color w:val="FF0000"/>
          <w:sz w:val="24"/>
          <w:highlight w:val="none"/>
        </w:rPr>
      </w:pPr>
      <w:r>
        <w:rPr>
          <w:rFonts w:hint="eastAsia" w:asciiTheme="minorEastAsia" w:hAnsiTheme="minorEastAsia" w:eastAsiaTheme="minorEastAsia" w:cstheme="minorEastAsia"/>
          <w:bCs/>
          <w:color w:val="000000"/>
          <w:sz w:val="24"/>
          <w:highlight w:val="none"/>
        </w:rPr>
        <w:t xml:space="preserve">   </w:t>
      </w:r>
      <w:r>
        <w:rPr>
          <w:rFonts w:hint="eastAsia" w:asciiTheme="minorEastAsia" w:hAnsiTheme="minorEastAsia" w:eastAsiaTheme="minorEastAsia" w:cstheme="minorEastAsia"/>
          <w:bCs/>
          <w:sz w:val="24"/>
          <w:highlight w:val="none"/>
        </w:rPr>
        <w:t>2、交货地点：</w:t>
      </w:r>
    </w:p>
    <w:p w14:paraId="27D976A0">
      <w:pPr>
        <w:pStyle w:val="12"/>
        <w:snapToGrid w:val="0"/>
        <w:spacing w:after="0" w:line="360" w:lineRule="auto"/>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十、货款支付</w:t>
      </w:r>
    </w:p>
    <w:p w14:paraId="5CA8A560">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1.付款方式：</w:t>
      </w:r>
      <w:r>
        <w:rPr>
          <w:rFonts w:hint="eastAsia" w:asciiTheme="minorEastAsia" w:hAnsiTheme="minorEastAsia" w:eastAsiaTheme="minorEastAsia" w:cstheme="minorEastAsia"/>
          <w:snapToGrid w:val="0"/>
          <w:kern w:val="0"/>
          <w:sz w:val="24"/>
          <w:highlight w:val="none"/>
        </w:rPr>
        <w:t>合同签订生效后7个工作日内支付合同总额的40%，物资验收合格后15个工作日内付清余款。</w:t>
      </w:r>
    </w:p>
    <w:p w14:paraId="4CDD3821">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lang w:val="zh-CN"/>
        </w:rPr>
        <w:t xml:space="preserve">    2.当采购数量与实际使用数量不一致时，由采购单位向同级财政部门申请并经批准后，可以由乙方根据实际使用量供货，合同的最终结算金额按实际使用量乘以成交单价进行计算。</w:t>
      </w:r>
    </w:p>
    <w:p w14:paraId="5DBF252D">
      <w:pPr>
        <w:snapToGrid w:val="0"/>
        <w:spacing w:before="156" w:beforeLines="50" w:after="156" w:afterLines="5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十一、税费</w:t>
      </w:r>
    </w:p>
    <w:p w14:paraId="09020B5D">
      <w:pPr>
        <w:snapToGrid w:val="0"/>
        <w:spacing w:before="156" w:beforeLines="50" w:after="156" w:afterLines="5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本合同执行中相关的一切税费均由乙方负担。</w:t>
      </w:r>
    </w:p>
    <w:p w14:paraId="2E7AA45C">
      <w:pPr>
        <w:pStyle w:val="12"/>
        <w:snapToGrid w:val="0"/>
        <w:spacing w:after="0" w:line="360" w:lineRule="auto"/>
        <w:ind w:left="412" w:hanging="412"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十二、质量保证及售后服务</w:t>
      </w:r>
    </w:p>
    <w:p w14:paraId="32003264">
      <w:pPr>
        <w:pStyle w:val="12"/>
        <w:snapToGrid w:val="0"/>
        <w:spacing w:after="0" w:line="360" w:lineRule="auto"/>
        <w:ind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1、乙方应按招标文件规定的货物性能、技术要求、质量标准向甲方提供未经使用的全新产品。</w:t>
      </w:r>
    </w:p>
    <w:p w14:paraId="4C99FF6B">
      <w:pPr>
        <w:pStyle w:val="12"/>
        <w:snapToGrid w:val="0"/>
        <w:spacing w:after="0"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2、质保期内，应急生活包若发现质量问题，乙方须免费更换相应物品。</w:t>
      </w:r>
    </w:p>
    <w:p w14:paraId="4AE88496">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十三、调试和验收</w:t>
      </w:r>
    </w:p>
    <w:p w14:paraId="55334ABA">
      <w:pPr>
        <w:pStyle w:val="12"/>
        <w:snapToGrid w:val="0"/>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stheme="minorEastAsia"/>
          <w:sz w:val="24"/>
          <w:highlight w:val="none"/>
          <w:u w:val="single"/>
        </w:rPr>
        <w:t>五</w:t>
      </w:r>
      <w:r>
        <w:rPr>
          <w:rFonts w:hint="eastAsia" w:asciiTheme="minorEastAsia" w:hAnsiTheme="minorEastAsia" w:eastAsiaTheme="minorEastAsia" w:cstheme="minorEastAsia"/>
          <w:sz w:val="24"/>
          <w:highlight w:val="none"/>
        </w:rPr>
        <w:t>个工作日内验收。</w:t>
      </w:r>
    </w:p>
    <w:p w14:paraId="2BC6B26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2.乙方交货前应对产品作出全面检查和对验收文件进行整理，并列出清单，作为甲方收货验收和使用的技术条件依据，检验的结果应随货物交甲方。</w:t>
      </w:r>
    </w:p>
    <w:p w14:paraId="00B7551E">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3.</w:t>
      </w:r>
      <w:r>
        <w:rPr>
          <w:rFonts w:hint="eastAsia" w:asciiTheme="minorEastAsia" w:hAnsiTheme="minorEastAsia" w:eastAsiaTheme="minorEastAsia" w:cstheme="minorEastAsia"/>
          <w:sz w:val="24"/>
          <w:highlight w:val="none"/>
        </w:rPr>
        <w:t>验收时乙方必须在现场，验收完毕后作出验收结果报告；验收费用由乙方负责。</w:t>
      </w:r>
    </w:p>
    <w:p w14:paraId="144913C0">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十四、货物包装、发运及运输</w:t>
      </w:r>
    </w:p>
    <w:p w14:paraId="52877AE7">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1.乙方应在货物发运前对其进行满足运输距离、防潮、防震、防锈和防破损装卸等要求包装，以保证货物安全运达甲方指定地点。</w:t>
      </w:r>
    </w:p>
    <w:p w14:paraId="3282C034">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2.使用说明书、质量检验证明书、随配附件和工具以及清单一并附于货物内。</w:t>
      </w:r>
    </w:p>
    <w:p w14:paraId="5D146999">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3.乙方在货物发运手续办理完毕后24小时内或货到甲方48小时前通知甲方，以准备接货。</w:t>
      </w:r>
    </w:p>
    <w:p w14:paraId="73240332">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4.货物在交付甲方前发生的风险均由乙方负责。</w:t>
      </w:r>
    </w:p>
    <w:p w14:paraId="479B9597">
      <w:pPr>
        <w:pStyle w:val="12"/>
        <w:snapToGrid w:val="0"/>
        <w:spacing w:after="0" w:line="360" w:lineRule="auto"/>
        <w:ind w:right="2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5.货物在规定的交付期限内由乙方送达甲方指定的地点视为交付，乙方同时需通知甲方货物已送达。</w:t>
      </w:r>
    </w:p>
    <w:p w14:paraId="36C6A89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十五、违约责任</w:t>
      </w:r>
    </w:p>
    <w:p w14:paraId="7E3E3717">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1.甲方无正当理由拒收货物的，甲方向乙方偿付拒收货款总值的</w:t>
      </w:r>
      <w:r>
        <w:rPr>
          <w:rFonts w:hint="eastAsia" w:asciiTheme="minorEastAsia" w:hAnsiTheme="minorEastAsia" w:eastAsiaTheme="minorEastAsia" w:cstheme="minorEastAsia"/>
          <w:sz w:val="24"/>
          <w:highlight w:val="none"/>
          <w:u w:val="single"/>
        </w:rPr>
        <w:t>百分之五</w:t>
      </w:r>
      <w:r>
        <w:rPr>
          <w:rFonts w:hint="eastAsia" w:asciiTheme="minorEastAsia" w:hAnsiTheme="minorEastAsia" w:eastAsiaTheme="minorEastAsia" w:cstheme="minorEastAsia"/>
          <w:sz w:val="24"/>
          <w:highlight w:val="none"/>
        </w:rPr>
        <w:t>违约金。</w:t>
      </w:r>
    </w:p>
    <w:p w14:paraId="33D45AD4">
      <w:pPr>
        <w:pStyle w:val="12"/>
        <w:snapToGrid w:val="0"/>
        <w:spacing w:after="0"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2.甲方无故逾期验收和办理货款支付手续的,甲方应按逾期付款总额每日</w:t>
      </w:r>
      <w:r>
        <w:rPr>
          <w:rFonts w:hint="eastAsia" w:asciiTheme="minorEastAsia" w:hAnsiTheme="minorEastAsia" w:eastAsiaTheme="minorEastAsia" w:cstheme="minorEastAsia"/>
          <w:sz w:val="24"/>
          <w:highlight w:val="none"/>
          <w:u w:val="single"/>
        </w:rPr>
        <w:t>万分之五</w:t>
      </w:r>
      <w:r>
        <w:rPr>
          <w:rFonts w:hint="eastAsia" w:asciiTheme="minorEastAsia" w:hAnsiTheme="minorEastAsia" w:eastAsiaTheme="minorEastAsia" w:cstheme="minorEastAsia"/>
          <w:sz w:val="24"/>
          <w:highlight w:val="none"/>
        </w:rPr>
        <w:t>向乙方支付违约金。</w:t>
      </w:r>
    </w:p>
    <w:p w14:paraId="74AD3906">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3.乙方逾期交付货物的，乙方应按逾期交货总额每日</w:t>
      </w:r>
      <w:r>
        <w:rPr>
          <w:rFonts w:hint="eastAsia" w:asciiTheme="minorEastAsia" w:hAnsiTheme="minorEastAsia" w:eastAsiaTheme="minorEastAsia" w:cstheme="minorEastAsia"/>
          <w:sz w:val="24"/>
          <w:highlight w:val="none"/>
          <w:u w:val="single"/>
        </w:rPr>
        <w:t>千分之六</w:t>
      </w:r>
      <w:r>
        <w:rPr>
          <w:rFonts w:hint="eastAsia" w:asciiTheme="minorEastAsia" w:hAnsiTheme="minorEastAsia" w:eastAsiaTheme="minorEastAsia" w:cstheme="minorEastAsia"/>
          <w:sz w:val="24"/>
          <w:highlight w:val="none"/>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5%</w:t>
      </w:r>
      <w:r>
        <w:rPr>
          <w:rFonts w:hint="eastAsia" w:asciiTheme="minorEastAsia" w:hAnsiTheme="minorEastAsia" w:eastAsiaTheme="minorEastAsia" w:cstheme="minorEastAsia"/>
          <w:sz w:val="24"/>
          <w:highlight w:val="none"/>
        </w:rPr>
        <w:t xml:space="preserve">的违约金，如造成甲方损失超过违约金的，超出部分由乙方继续承担赔偿责任。 </w:t>
      </w:r>
    </w:p>
    <w:p w14:paraId="34719C5B">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5882E99">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5.若发生纠纷，由违约方赔偿守约方因纠纷所支付的费用（包括但不限于律师费、差旅费、诉讼费、保全费、鉴定费、评估费等）</w:t>
      </w:r>
    </w:p>
    <w:p w14:paraId="54704766">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十六、不可抗力事件处理</w:t>
      </w:r>
    </w:p>
    <w:p w14:paraId="726FE726">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1.在合同有效期内，任何一方因不可抗力事件导致不能履行合同，则合同履行期可延长，其延长期与不可抗力影响期相同。</w:t>
      </w:r>
    </w:p>
    <w:p w14:paraId="4A038781">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2.不可抗力事件发生后，应立即通知对方，并寄送有关权威机构出具的证明。</w:t>
      </w:r>
    </w:p>
    <w:p w14:paraId="04722C85">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3.不可抗力事件延续120天以上，双方应通过友好协商，确定是否继续履行合同。</w:t>
      </w:r>
    </w:p>
    <w:p w14:paraId="2B2296D3">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十七、解决争议的方法</w:t>
      </w:r>
    </w:p>
    <w:p w14:paraId="1717F6D1">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1.如双方在履行合同时发生纠纷，应协商解决；协商不成时，可提请政府采购管理部门调解；调解不成的通过以下</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方式解决（两种解决方式只能择其一）：</w:t>
      </w:r>
    </w:p>
    <w:p w14:paraId="34493B29">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 提交</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台州</w:t>
      </w:r>
      <w:r>
        <w:rPr>
          <w:rFonts w:hint="eastAsia" w:asciiTheme="minorEastAsia" w:hAnsiTheme="minorEastAsia" w:eastAsiaTheme="minorEastAsia" w:cstheme="minorEastAsia"/>
          <w:kern w:val="0"/>
          <w:sz w:val="24"/>
          <w:highlight w:val="none"/>
        </w:rPr>
        <w:t>仲裁委员会仲裁。</w:t>
      </w:r>
    </w:p>
    <w:p w14:paraId="6900F271">
      <w:pPr>
        <w:widowControl/>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    （2） 依法向甲方人民法院提起诉讼。 </w:t>
      </w:r>
    </w:p>
    <w:p w14:paraId="6461D86D">
      <w:pPr>
        <w:pStyle w:val="12"/>
        <w:tabs>
          <w:tab w:val="left" w:pos="5790"/>
        </w:tabs>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十八、合同生效及其它</w:t>
      </w:r>
      <w:r>
        <w:rPr>
          <w:rFonts w:hint="eastAsia" w:asciiTheme="minorEastAsia" w:hAnsiTheme="minorEastAsia" w:eastAsiaTheme="minorEastAsia" w:cstheme="minorEastAsia"/>
          <w:b/>
          <w:sz w:val="24"/>
          <w:highlight w:val="none"/>
        </w:rPr>
        <w:tab/>
      </w:r>
    </w:p>
    <w:p w14:paraId="18B8C5B6">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1.合同经双方法定代表人或授权代表签字并加盖单位公章后生效。</w:t>
      </w:r>
    </w:p>
    <w:p w14:paraId="0385911E">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2.本合同未尽事宜，遵照《中华人民共和国民法典》有关条文执行。</w:t>
      </w:r>
    </w:p>
    <w:p w14:paraId="361CCFA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3.本合同一式陆份。甲、乙双方各执俩份，采购组织机构及同级人民政府财政部门各执一份。本项目未尽事宜以招标文件、投标文件及澄清文件等为准。</w:t>
      </w:r>
    </w:p>
    <w:p w14:paraId="0A5692B5">
      <w:pPr>
        <w:widowControl/>
        <w:spacing w:after="0" w:line="360" w:lineRule="auto"/>
        <w:rPr>
          <w:rFonts w:hint="eastAsia" w:asciiTheme="minorEastAsia" w:hAnsiTheme="minorEastAsia" w:eastAsiaTheme="minorEastAsia" w:cstheme="minorEastAsia"/>
          <w:b/>
          <w:sz w:val="24"/>
          <w:highlight w:val="none"/>
        </w:rPr>
      </w:pPr>
    </w:p>
    <w:p w14:paraId="3646F23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甲方（公章）                                     乙方（公章）</w:t>
      </w:r>
    </w:p>
    <w:p w14:paraId="5AC6CDE5">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17D5A09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797E5E8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                                       联系电话：</w:t>
      </w:r>
    </w:p>
    <w:p w14:paraId="7FFD382E">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                                       开户银行：</w:t>
      </w:r>
    </w:p>
    <w:p w14:paraId="3061468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帐号：                                           帐号：</w:t>
      </w:r>
    </w:p>
    <w:p w14:paraId="1EDA9E34">
      <w:pPr>
        <w:spacing w:after="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地址及邮编：                                     地址及邮编：</w:t>
      </w:r>
    </w:p>
    <w:p w14:paraId="43F3F47A">
      <w:pPr>
        <w:spacing w:line="360" w:lineRule="auto"/>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 xml:space="preserve">                             </w:t>
      </w:r>
      <w:r>
        <w:rPr>
          <w:rFonts w:hint="eastAsia" w:asciiTheme="minorEastAsia" w:hAnsiTheme="minorEastAsia" w:eastAsiaTheme="minorEastAsia" w:cstheme="minorEastAsia"/>
          <w:sz w:val="24"/>
          <w:highlight w:val="none"/>
        </w:rPr>
        <w:t>签订时间：202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 xml:space="preserve"> 年   月    日</w:t>
      </w:r>
    </w:p>
    <w:p w14:paraId="00F6C005">
      <w:pPr>
        <w:spacing w:line="360" w:lineRule="auto"/>
        <w:jc w:val="center"/>
        <w:rPr>
          <w:rFonts w:hint="eastAsia" w:asciiTheme="minorEastAsia" w:hAnsiTheme="minorEastAsia" w:eastAsiaTheme="minorEastAsia" w:cstheme="minorEastAsia"/>
          <w:b/>
          <w:sz w:val="36"/>
          <w:highlight w:val="none"/>
        </w:rPr>
      </w:pPr>
    </w:p>
    <w:p w14:paraId="15312F2D">
      <w:pPr>
        <w:spacing w:line="360" w:lineRule="auto"/>
        <w:jc w:val="center"/>
        <w:rPr>
          <w:rFonts w:hint="eastAsia" w:asciiTheme="minorEastAsia" w:hAnsiTheme="minorEastAsia" w:eastAsiaTheme="minorEastAsia" w:cstheme="minorEastAsia"/>
          <w:b/>
          <w:sz w:val="36"/>
          <w:highlight w:val="none"/>
        </w:rPr>
      </w:pPr>
    </w:p>
    <w:p w14:paraId="1AEB7D09">
      <w:pPr>
        <w:spacing w:line="360" w:lineRule="auto"/>
        <w:jc w:val="center"/>
        <w:rPr>
          <w:rFonts w:hint="eastAsia" w:asciiTheme="minorEastAsia" w:hAnsiTheme="minorEastAsia" w:eastAsiaTheme="minorEastAsia" w:cstheme="minorEastAsia"/>
          <w:b/>
          <w:sz w:val="36"/>
          <w:highlight w:val="none"/>
        </w:rPr>
      </w:pPr>
    </w:p>
    <w:p w14:paraId="57287D46">
      <w:pPr>
        <w:spacing w:line="360" w:lineRule="auto"/>
        <w:jc w:val="center"/>
        <w:rPr>
          <w:rFonts w:hint="eastAsia" w:asciiTheme="minorEastAsia" w:hAnsiTheme="minorEastAsia" w:eastAsiaTheme="minorEastAsia" w:cstheme="minorEastAsia"/>
          <w:b/>
          <w:sz w:val="36"/>
          <w:highlight w:val="none"/>
        </w:rPr>
      </w:pPr>
    </w:p>
    <w:p w14:paraId="475AD510">
      <w:pPr>
        <w:spacing w:line="36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专用条款</w:t>
      </w:r>
    </w:p>
    <w:p w14:paraId="02AC94E4">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（如果项目性质特殊，采购人认为需要制定专用条款的，须在提交项目采购需求时一并提供，但条款内容应合法、合理，并符合项目实际需求，且不得与通用条款冲突）</w:t>
      </w:r>
    </w:p>
    <w:p w14:paraId="31D8ACA5">
      <w:pPr>
        <w:spacing w:after="0" w:line="312" w:lineRule="auto"/>
        <w:jc w:val="center"/>
        <w:rPr>
          <w:rFonts w:hint="eastAsia" w:asciiTheme="minorEastAsia" w:hAnsiTheme="minorEastAsia" w:eastAsiaTheme="minorEastAsia" w:cstheme="minorEastAsia"/>
          <w:b/>
          <w:sz w:val="36"/>
          <w:szCs w:val="36"/>
          <w:highlight w:val="none"/>
        </w:rPr>
      </w:pPr>
    </w:p>
    <w:p w14:paraId="60640A29">
      <w:pPr>
        <w:pStyle w:val="22"/>
        <w:rPr>
          <w:rFonts w:hint="eastAsia" w:asciiTheme="minorEastAsia" w:hAnsiTheme="minorEastAsia" w:eastAsiaTheme="minorEastAsia" w:cstheme="minorEastAsia"/>
          <w:highlight w:val="none"/>
        </w:rPr>
      </w:pPr>
    </w:p>
    <w:p w14:paraId="78E6BE07">
      <w:pPr>
        <w:pStyle w:val="22"/>
        <w:rPr>
          <w:rFonts w:hint="eastAsia" w:asciiTheme="minorEastAsia" w:hAnsiTheme="minorEastAsia" w:eastAsiaTheme="minorEastAsia" w:cstheme="minorEastAsia"/>
          <w:highlight w:val="none"/>
        </w:rPr>
      </w:pPr>
    </w:p>
    <w:p w14:paraId="47150B67">
      <w:pPr>
        <w:spacing w:after="0" w:line="312" w:lineRule="auto"/>
        <w:jc w:val="center"/>
        <w:rPr>
          <w:rFonts w:hint="eastAsia" w:asciiTheme="minorEastAsia" w:hAnsiTheme="minorEastAsia" w:eastAsiaTheme="minorEastAsia" w:cstheme="minorEastAsia"/>
          <w:b/>
          <w:sz w:val="36"/>
          <w:szCs w:val="36"/>
          <w:highlight w:val="none"/>
        </w:rPr>
      </w:pPr>
    </w:p>
    <w:p w14:paraId="0D6347D0">
      <w:pPr>
        <w:spacing w:after="0" w:line="312" w:lineRule="auto"/>
        <w:jc w:val="center"/>
        <w:rPr>
          <w:rFonts w:hint="eastAsia" w:asciiTheme="minorEastAsia" w:hAnsiTheme="minorEastAsia" w:eastAsiaTheme="minorEastAsia" w:cstheme="minorEastAsia"/>
          <w:b/>
          <w:sz w:val="36"/>
          <w:szCs w:val="36"/>
          <w:highlight w:val="none"/>
        </w:rPr>
      </w:pPr>
    </w:p>
    <w:p w14:paraId="34C69E6D">
      <w:pPr>
        <w:spacing w:after="0" w:line="312" w:lineRule="auto"/>
        <w:jc w:val="center"/>
        <w:rPr>
          <w:rFonts w:hint="eastAsia" w:asciiTheme="minorEastAsia" w:hAnsiTheme="minorEastAsia" w:eastAsiaTheme="minorEastAsia" w:cstheme="minorEastAsia"/>
          <w:b/>
          <w:sz w:val="36"/>
          <w:szCs w:val="36"/>
          <w:highlight w:val="none"/>
        </w:rPr>
      </w:pPr>
    </w:p>
    <w:p w14:paraId="42B8875A">
      <w:pPr>
        <w:spacing w:after="0" w:line="312" w:lineRule="auto"/>
        <w:jc w:val="center"/>
        <w:rPr>
          <w:rFonts w:hint="eastAsia" w:asciiTheme="minorEastAsia" w:hAnsiTheme="minorEastAsia" w:eastAsiaTheme="minorEastAsia" w:cstheme="minorEastAsia"/>
          <w:b/>
          <w:sz w:val="36"/>
          <w:szCs w:val="36"/>
          <w:highlight w:val="none"/>
        </w:rPr>
      </w:pPr>
    </w:p>
    <w:p w14:paraId="3C2D53AC">
      <w:pPr>
        <w:spacing w:after="0" w:line="312" w:lineRule="auto"/>
        <w:jc w:val="center"/>
        <w:rPr>
          <w:rFonts w:hint="eastAsia" w:asciiTheme="minorEastAsia" w:hAnsiTheme="minorEastAsia" w:eastAsiaTheme="minorEastAsia" w:cstheme="minorEastAsia"/>
          <w:b/>
          <w:sz w:val="36"/>
          <w:szCs w:val="36"/>
          <w:highlight w:val="none"/>
        </w:rPr>
      </w:pPr>
    </w:p>
    <w:p w14:paraId="31EFCE5E">
      <w:pPr>
        <w:spacing w:after="0" w:line="312" w:lineRule="auto"/>
        <w:jc w:val="center"/>
        <w:rPr>
          <w:rFonts w:hint="eastAsia" w:asciiTheme="minorEastAsia" w:hAnsiTheme="minorEastAsia" w:eastAsiaTheme="minorEastAsia" w:cstheme="minorEastAsia"/>
          <w:b/>
          <w:sz w:val="36"/>
          <w:szCs w:val="36"/>
          <w:highlight w:val="none"/>
        </w:rPr>
      </w:pPr>
    </w:p>
    <w:p w14:paraId="57CCC0AB">
      <w:pPr>
        <w:spacing w:after="0" w:line="312" w:lineRule="auto"/>
        <w:jc w:val="center"/>
        <w:rPr>
          <w:rFonts w:hint="eastAsia" w:asciiTheme="minorEastAsia" w:hAnsiTheme="minorEastAsia" w:eastAsiaTheme="minorEastAsia" w:cstheme="minorEastAsia"/>
          <w:b/>
          <w:sz w:val="36"/>
          <w:szCs w:val="36"/>
          <w:highlight w:val="none"/>
        </w:rPr>
      </w:pPr>
    </w:p>
    <w:p w14:paraId="650835C3">
      <w:pPr>
        <w:spacing w:after="0" w:line="312" w:lineRule="auto"/>
        <w:jc w:val="center"/>
        <w:rPr>
          <w:rFonts w:hint="eastAsia" w:asciiTheme="minorEastAsia" w:hAnsiTheme="minorEastAsia" w:eastAsiaTheme="minorEastAsia" w:cstheme="minorEastAsia"/>
          <w:b/>
          <w:sz w:val="36"/>
          <w:szCs w:val="36"/>
          <w:highlight w:val="none"/>
        </w:rPr>
      </w:pPr>
    </w:p>
    <w:p w14:paraId="07036B49">
      <w:pPr>
        <w:spacing w:after="0" w:line="312" w:lineRule="auto"/>
        <w:jc w:val="center"/>
        <w:rPr>
          <w:rFonts w:hint="eastAsia" w:asciiTheme="minorEastAsia" w:hAnsiTheme="minorEastAsia" w:eastAsiaTheme="minorEastAsia" w:cstheme="minorEastAsia"/>
          <w:b/>
          <w:sz w:val="36"/>
          <w:szCs w:val="36"/>
          <w:highlight w:val="none"/>
        </w:rPr>
      </w:pPr>
    </w:p>
    <w:p w14:paraId="29378326">
      <w:pPr>
        <w:spacing w:after="0" w:line="312" w:lineRule="auto"/>
        <w:jc w:val="center"/>
        <w:rPr>
          <w:rFonts w:hint="eastAsia" w:asciiTheme="minorEastAsia" w:hAnsiTheme="minorEastAsia" w:eastAsiaTheme="minorEastAsia" w:cstheme="minorEastAsia"/>
          <w:b/>
          <w:sz w:val="36"/>
          <w:szCs w:val="36"/>
          <w:highlight w:val="none"/>
        </w:rPr>
      </w:pPr>
    </w:p>
    <w:p w14:paraId="51AF020D">
      <w:pPr>
        <w:spacing w:after="0" w:line="312" w:lineRule="auto"/>
        <w:jc w:val="center"/>
        <w:rPr>
          <w:rFonts w:hint="eastAsia" w:asciiTheme="minorEastAsia" w:hAnsiTheme="minorEastAsia" w:eastAsiaTheme="minorEastAsia" w:cstheme="minorEastAsia"/>
          <w:b/>
          <w:sz w:val="36"/>
          <w:szCs w:val="36"/>
          <w:highlight w:val="none"/>
        </w:rPr>
      </w:pPr>
    </w:p>
    <w:p w14:paraId="41EE7DDF">
      <w:pPr>
        <w:spacing w:after="0" w:line="312" w:lineRule="auto"/>
        <w:jc w:val="center"/>
        <w:rPr>
          <w:rFonts w:hint="eastAsia" w:asciiTheme="minorEastAsia" w:hAnsiTheme="minorEastAsia" w:eastAsiaTheme="minorEastAsia" w:cstheme="minorEastAsia"/>
          <w:b/>
          <w:sz w:val="36"/>
          <w:szCs w:val="36"/>
          <w:highlight w:val="none"/>
        </w:rPr>
      </w:pPr>
    </w:p>
    <w:p w14:paraId="755FA2FC">
      <w:pPr>
        <w:spacing w:after="0" w:line="312" w:lineRule="auto"/>
        <w:jc w:val="center"/>
        <w:rPr>
          <w:rFonts w:hint="eastAsia" w:asciiTheme="minorEastAsia" w:hAnsiTheme="minorEastAsia" w:eastAsiaTheme="minorEastAsia" w:cstheme="minorEastAsia"/>
          <w:b/>
          <w:sz w:val="36"/>
          <w:szCs w:val="36"/>
          <w:highlight w:val="none"/>
        </w:rPr>
      </w:pPr>
    </w:p>
    <w:p w14:paraId="70FC889E">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    投标文件格式附件</w:t>
      </w:r>
    </w:p>
    <w:p w14:paraId="231204F8">
      <w:pPr>
        <w:spacing w:after="0" w:line="312" w:lineRule="auto"/>
        <w:jc w:val="left"/>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kern w:val="0"/>
          <w:sz w:val="28"/>
          <w:szCs w:val="28"/>
          <w:highlight w:val="none"/>
        </w:rPr>
        <w:t>附件1</w:t>
      </w: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b/>
          <w:sz w:val="28"/>
          <w:highlight w:val="none"/>
        </w:rPr>
        <w:t xml:space="preserve">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05556368">
      <w:pPr>
        <w:spacing w:after="0" w:line="312" w:lineRule="auto"/>
        <w:rPr>
          <w:rFonts w:hint="eastAsia" w:asciiTheme="minorEastAsia" w:hAnsiTheme="minorEastAsia" w:eastAsiaTheme="minorEastAsia" w:cstheme="minorEastAsia"/>
          <w:b/>
          <w:sz w:val="30"/>
          <w:szCs w:val="30"/>
          <w:highlight w:val="none"/>
        </w:rPr>
      </w:pPr>
    </w:p>
    <w:p w14:paraId="37D340EF">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3E6ED47C">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3CDA73B6">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2395DEB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478DE4E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29934444">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11AEB016">
      <w:pPr>
        <w:spacing w:after="0" w:line="312" w:lineRule="auto"/>
        <w:ind w:right="-108"/>
        <w:jc w:val="center"/>
        <w:rPr>
          <w:rFonts w:hint="eastAsia" w:asciiTheme="minorEastAsia" w:hAnsiTheme="minorEastAsia" w:eastAsiaTheme="minorEastAsia" w:cstheme="minorEastAsia"/>
          <w:b/>
          <w:spacing w:val="40"/>
          <w:sz w:val="28"/>
          <w:szCs w:val="28"/>
          <w:highlight w:val="none"/>
        </w:rPr>
      </w:pPr>
      <w:r>
        <w:rPr>
          <w:rFonts w:hint="eastAsia" w:asciiTheme="minorEastAsia" w:hAnsiTheme="minorEastAsia" w:eastAsiaTheme="minorEastAsia" w:cstheme="minorEastAsia"/>
          <w:b/>
          <w:bCs/>
          <w:sz w:val="28"/>
          <w:szCs w:val="28"/>
          <w:highlight w:val="none"/>
          <w:lang w:val="zh-CN"/>
        </w:rPr>
        <w:t>（</w:t>
      </w:r>
      <w:r>
        <w:rPr>
          <w:rFonts w:hint="eastAsia" w:asciiTheme="minorEastAsia" w:hAnsiTheme="minorEastAsia" w:eastAsiaTheme="minorEastAsia" w:cstheme="minorEastAsia"/>
          <w:b/>
          <w:spacing w:val="40"/>
          <w:sz w:val="28"/>
          <w:szCs w:val="28"/>
          <w:highlight w:val="none"/>
        </w:rPr>
        <w:t>资格证明文件）</w:t>
      </w:r>
    </w:p>
    <w:p w14:paraId="75A5E52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7853F21C">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477C152E">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7E456D09">
      <w:pPr>
        <w:snapToGrid w:val="0"/>
        <w:spacing w:before="50" w:after="0" w:line="312" w:lineRule="auto"/>
        <w:rPr>
          <w:rFonts w:hint="eastAsia" w:asciiTheme="minorEastAsia" w:hAnsiTheme="minorEastAsia" w:eastAsiaTheme="minorEastAsia" w:cstheme="minorEastAsia"/>
          <w:b/>
          <w:sz w:val="36"/>
          <w:szCs w:val="36"/>
          <w:highlight w:val="none"/>
        </w:rPr>
      </w:pPr>
    </w:p>
    <w:p w14:paraId="4874DE9E">
      <w:pPr>
        <w:snapToGrid w:val="0"/>
        <w:spacing w:before="50" w:after="0" w:line="312" w:lineRule="auto"/>
        <w:rPr>
          <w:rFonts w:hint="eastAsia" w:asciiTheme="minorEastAsia" w:hAnsiTheme="minorEastAsia" w:eastAsiaTheme="minorEastAsia" w:cstheme="minorEastAsia"/>
          <w:b/>
          <w:sz w:val="36"/>
          <w:szCs w:val="36"/>
          <w:highlight w:val="none"/>
        </w:rPr>
      </w:pPr>
    </w:p>
    <w:p w14:paraId="468D200D">
      <w:pPr>
        <w:snapToGrid w:val="0"/>
        <w:spacing w:before="50" w:after="0" w:line="312" w:lineRule="auto"/>
        <w:rPr>
          <w:rFonts w:hint="eastAsia" w:asciiTheme="minorEastAsia" w:hAnsiTheme="minorEastAsia" w:eastAsiaTheme="minorEastAsia" w:cstheme="minorEastAsia"/>
          <w:b/>
          <w:sz w:val="36"/>
          <w:szCs w:val="36"/>
          <w:highlight w:val="none"/>
        </w:rPr>
      </w:pPr>
    </w:p>
    <w:p w14:paraId="2F136598">
      <w:pPr>
        <w:pStyle w:val="2"/>
        <w:rPr>
          <w:rFonts w:hint="eastAsia" w:asciiTheme="minorEastAsia" w:hAnsiTheme="minorEastAsia" w:eastAsiaTheme="minorEastAsia" w:cstheme="minorEastAsia"/>
          <w:highlight w:val="none"/>
        </w:rPr>
      </w:pPr>
    </w:p>
    <w:p w14:paraId="162D4E04">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资格证明文件目录</w:t>
      </w:r>
    </w:p>
    <w:p w14:paraId="6316A21A">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p>
    <w:p w14:paraId="7655B78D">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1、声明书（附件2）；</w:t>
      </w:r>
    </w:p>
    <w:p w14:paraId="516FA2F1">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w:t>
      </w:r>
      <w:r>
        <w:rPr>
          <w:rFonts w:hint="eastAsia" w:asciiTheme="minorEastAsia" w:hAnsiTheme="minorEastAsia" w:eastAsiaTheme="minorEastAsia" w:cstheme="minorEastAsia"/>
          <w:sz w:val="24"/>
          <w:highlight w:val="none"/>
        </w:rPr>
        <w:t>（适用法定代表人亲自办理投标事宜)（附件3）；</w:t>
      </w:r>
    </w:p>
    <w:p w14:paraId="42CAE82B">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3、企业或者其他组织的营业执照等证明文件，自然人的身份证明；</w:t>
      </w:r>
    </w:p>
    <w:p w14:paraId="7D3993AE">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4、符合参与政府采购活动的资格条件，具备良好的商业信誉和健全的财务会计制度并且没有税收缴纳、社会保障等方面的失信记录的承诺函（附件4）；</w:t>
      </w:r>
    </w:p>
    <w:p w14:paraId="24E38727">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5、具备履行合同所必需的设备和专业技术能力的承诺函（附件5）；</w:t>
      </w:r>
    </w:p>
    <w:p w14:paraId="47C4B045">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6、中小企业声明函（附件16）</w:t>
      </w:r>
    </w:p>
    <w:p w14:paraId="42931C08">
      <w:pPr>
        <w:spacing w:after="0" w:line="312" w:lineRule="auto"/>
        <w:rPr>
          <w:rFonts w:hint="eastAsia" w:asciiTheme="minorEastAsia" w:hAnsiTheme="minorEastAsia" w:eastAsiaTheme="minorEastAsia" w:cstheme="minorEastAsia"/>
          <w:b/>
          <w:sz w:val="28"/>
          <w:highlight w:val="none"/>
        </w:rPr>
      </w:pPr>
    </w:p>
    <w:p w14:paraId="20A73A2C">
      <w:pPr>
        <w:spacing w:after="0" w:line="312" w:lineRule="auto"/>
        <w:rPr>
          <w:rFonts w:hint="eastAsia" w:asciiTheme="minorEastAsia" w:hAnsiTheme="minorEastAsia" w:eastAsiaTheme="minorEastAsia" w:cstheme="minorEastAsia"/>
          <w:b/>
          <w:sz w:val="28"/>
          <w:highlight w:val="none"/>
        </w:rPr>
      </w:pPr>
    </w:p>
    <w:p w14:paraId="4A6F669A">
      <w:pPr>
        <w:spacing w:after="0" w:line="312" w:lineRule="auto"/>
        <w:rPr>
          <w:rFonts w:hint="eastAsia" w:asciiTheme="minorEastAsia" w:hAnsiTheme="minorEastAsia" w:eastAsiaTheme="minorEastAsia" w:cstheme="minorEastAsia"/>
          <w:b/>
          <w:sz w:val="28"/>
          <w:highlight w:val="none"/>
        </w:rPr>
      </w:pPr>
    </w:p>
    <w:p w14:paraId="2EBFF9C3">
      <w:pPr>
        <w:spacing w:after="0" w:line="312" w:lineRule="auto"/>
        <w:rPr>
          <w:rFonts w:hint="eastAsia" w:asciiTheme="minorEastAsia" w:hAnsiTheme="minorEastAsia" w:eastAsiaTheme="minorEastAsia" w:cstheme="minorEastAsia"/>
          <w:b/>
          <w:sz w:val="28"/>
          <w:highlight w:val="none"/>
        </w:rPr>
      </w:pPr>
    </w:p>
    <w:p w14:paraId="15DD8330">
      <w:pPr>
        <w:pStyle w:val="22"/>
        <w:rPr>
          <w:rFonts w:hint="eastAsia" w:asciiTheme="minorEastAsia" w:hAnsiTheme="minorEastAsia" w:eastAsiaTheme="minorEastAsia" w:cstheme="minorEastAsia"/>
          <w:b/>
          <w:sz w:val="28"/>
          <w:highlight w:val="none"/>
        </w:rPr>
      </w:pPr>
    </w:p>
    <w:p w14:paraId="6DFE77A4">
      <w:pPr>
        <w:pStyle w:val="22"/>
        <w:rPr>
          <w:rFonts w:hint="eastAsia" w:asciiTheme="minorEastAsia" w:hAnsiTheme="minorEastAsia" w:eastAsiaTheme="minorEastAsia" w:cstheme="minorEastAsia"/>
          <w:b/>
          <w:sz w:val="28"/>
          <w:highlight w:val="none"/>
        </w:rPr>
      </w:pPr>
    </w:p>
    <w:p w14:paraId="5640B90D">
      <w:pPr>
        <w:pStyle w:val="22"/>
        <w:rPr>
          <w:rFonts w:hint="eastAsia" w:asciiTheme="minorEastAsia" w:hAnsiTheme="minorEastAsia" w:eastAsiaTheme="minorEastAsia" w:cstheme="minorEastAsia"/>
          <w:b/>
          <w:sz w:val="28"/>
          <w:highlight w:val="none"/>
        </w:rPr>
      </w:pPr>
    </w:p>
    <w:p w14:paraId="0C0805E9">
      <w:pPr>
        <w:pStyle w:val="22"/>
        <w:rPr>
          <w:rFonts w:hint="eastAsia" w:asciiTheme="minorEastAsia" w:hAnsiTheme="minorEastAsia" w:eastAsiaTheme="minorEastAsia" w:cstheme="minorEastAsia"/>
          <w:b/>
          <w:sz w:val="28"/>
          <w:highlight w:val="none"/>
        </w:rPr>
      </w:pPr>
    </w:p>
    <w:p w14:paraId="2AD77B7C">
      <w:pPr>
        <w:pStyle w:val="22"/>
        <w:rPr>
          <w:rFonts w:hint="eastAsia" w:asciiTheme="minorEastAsia" w:hAnsiTheme="minorEastAsia" w:eastAsiaTheme="minorEastAsia" w:cstheme="minorEastAsia"/>
          <w:b/>
          <w:sz w:val="28"/>
          <w:highlight w:val="none"/>
        </w:rPr>
      </w:pPr>
    </w:p>
    <w:p w14:paraId="1BF8DFCB">
      <w:pPr>
        <w:spacing w:after="0" w:line="336" w:lineRule="auto"/>
        <w:rPr>
          <w:rFonts w:hint="eastAsia" w:asciiTheme="minorEastAsia" w:hAnsiTheme="minorEastAsia" w:eastAsiaTheme="minorEastAsia" w:cstheme="minorEastAsia"/>
          <w:b/>
          <w:sz w:val="28"/>
          <w:highlight w:val="none"/>
        </w:rPr>
      </w:pPr>
    </w:p>
    <w:p w14:paraId="13634040">
      <w:pPr>
        <w:spacing w:after="0" w:line="336" w:lineRule="auto"/>
        <w:rPr>
          <w:rFonts w:hint="eastAsia" w:asciiTheme="minorEastAsia" w:hAnsiTheme="minorEastAsia" w:eastAsiaTheme="minorEastAsia" w:cstheme="minorEastAsia"/>
          <w:b/>
          <w:sz w:val="28"/>
          <w:highlight w:val="none"/>
        </w:rPr>
      </w:pPr>
    </w:p>
    <w:p w14:paraId="27A91499">
      <w:pPr>
        <w:spacing w:after="0" w:line="336"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附件2</w:t>
      </w:r>
    </w:p>
    <w:p w14:paraId="1C87EF2D">
      <w:pPr>
        <w:adjustRightInd w:val="0"/>
        <w:snapToGrid w:val="0"/>
        <w:spacing w:after="0" w:line="336" w:lineRule="auto"/>
        <w:ind w:right="480"/>
        <w:jc w:val="cente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投标声明书</w:t>
      </w:r>
    </w:p>
    <w:p w14:paraId="25EF50AA">
      <w:pPr>
        <w:snapToGrid w:val="0"/>
        <w:spacing w:after="0" w:line="336"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68F64FE3">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（投标人名称）系中华人民共和国合法企业，经营地址</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w:t>
      </w:r>
    </w:p>
    <w:p w14:paraId="4C63B844">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u w:val="single"/>
        </w:rPr>
        <w:t xml:space="preserve"> 姓名 </w:t>
      </w:r>
      <w:r>
        <w:rPr>
          <w:rFonts w:hint="eastAsia" w:asciiTheme="minorEastAsia" w:hAnsiTheme="minorEastAsia" w:eastAsiaTheme="minorEastAsia" w:cstheme="minorEastAsia"/>
          <w:kern w:val="0"/>
          <w:sz w:val="24"/>
          <w:highlight w:val="none"/>
        </w:rPr>
        <w:t>）系（</w:t>
      </w:r>
      <w:r>
        <w:rPr>
          <w:rFonts w:hint="eastAsia" w:asciiTheme="minorEastAsia" w:hAnsiTheme="minorEastAsia" w:eastAsiaTheme="minorEastAsia" w:cstheme="minorEastAsia"/>
          <w:kern w:val="0"/>
          <w:sz w:val="24"/>
          <w:highlight w:val="none"/>
          <w:u w:val="single"/>
        </w:rPr>
        <w:t xml:space="preserve"> 投标人名称 </w:t>
      </w:r>
      <w:r>
        <w:rPr>
          <w:rFonts w:hint="eastAsia" w:asciiTheme="minorEastAsia" w:hAnsiTheme="minorEastAsia" w:eastAsiaTheme="minorEastAsia" w:cstheme="minorEastAsia"/>
          <w:kern w:val="0"/>
          <w:sz w:val="24"/>
          <w:highlight w:val="none"/>
        </w:rPr>
        <w:t>）的法定代表人，我公司自愿参加贵方组织的（</w:t>
      </w:r>
      <w:r>
        <w:rPr>
          <w:rFonts w:hint="eastAsia" w:asciiTheme="minorEastAsia" w:hAnsiTheme="minorEastAsia" w:eastAsiaTheme="minorEastAsia" w:cstheme="minorEastAsia"/>
          <w:kern w:val="0"/>
          <w:sz w:val="24"/>
          <w:highlight w:val="none"/>
          <w:u w:val="single"/>
        </w:rPr>
        <w:t>招标项目名称</w:t>
      </w:r>
      <w:r>
        <w:rPr>
          <w:rFonts w:hint="eastAsia" w:asciiTheme="minorEastAsia" w:hAnsiTheme="minorEastAsia" w:eastAsiaTheme="minorEastAsia" w:cstheme="minorEastAsia"/>
          <w:kern w:val="0"/>
          <w:sz w:val="24"/>
          <w:highlight w:val="none"/>
        </w:rPr>
        <w:t>）（编号为   ）的投标，为此，我公司就本次投标有关事项郑重声明如下：</w:t>
      </w:r>
    </w:p>
    <w:p w14:paraId="28A0EBC3">
      <w:pPr>
        <w:snapToGrid w:val="0"/>
        <w:spacing w:after="0" w:line="336"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0815043">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BF0EB90">
      <w:pPr>
        <w:numPr>
          <w:ilvl w:val="255"/>
          <w:numId w:val="0"/>
        </w:num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不是采购人的附属机构；在获知本项目采购信息后，与采购人聘请的为此项目提供咨询服务的公司及其附属机构没有任何联系。</w:t>
      </w:r>
    </w:p>
    <w:p w14:paraId="2489C942">
      <w:pPr>
        <w:snapToGrid w:val="0"/>
        <w:spacing w:after="0" w:line="336" w:lineRule="auto"/>
        <w:ind w:firstLine="480" w:firstLineChars="200"/>
        <w:rPr>
          <w:rFonts w:hint="eastAsia" w:asciiTheme="minorEastAsia" w:hAnsiTheme="minorEastAsia" w:eastAsiaTheme="minorEastAsia" w:cstheme="minorEastAsia"/>
          <w:kern w:val="0"/>
          <w:sz w:val="24"/>
          <w:highlight w:val="none"/>
          <w:lang w:val="af-ZA"/>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rPr>
        <w:t>保证，</w:t>
      </w:r>
      <w:r>
        <w:rPr>
          <w:rFonts w:hint="eastAsia" w:asciiTheme="minorEastAsia" w:hAnsiTheme="minorEastAsia" w:eastAsiaTheme="minorEastAsia" w:cstheme="minorEastAsia"/>
          <w:kern w:val="0"/>
          <w:sz w:val="24"/>
          <w:highlight w:val="none"/>
          <w:lang w:val="af-ZA"/>
        </w:rPr>
        <w:t>采购人在中华人民共和国境内使用</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4FAA990">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lang w:val="af-ZA"/>
        </w:rPr>
        <w:t>5、我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2F47E92F">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6、以上事项如有虚假或隐瞒，我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愿意承担一切后果，并不再寻求任何旨在减轻或免除法律责任的辩解。</w:t>
      </w:r>
    </w:p>
    <w:p w14:paraId="74C96AD1">
      <w:pPr>
        <w:adjustRightInd w:val="0"/>
        <w:snapToGrid w:val="0"/>
        <w:spacing w:after="0" w:line="336" w:lineRule="auto"/>
        <w:ind w:firstLine="480"/>
        <w:rPr>
          <w:rFonts w:hint="eastAsia" w:asciiTheme="minorEastAsia" w:hAnsiTheme="minorEastAsia" w:eastAsiaTheme="minorEastAsia" w:cstheme="minorEastAsia"/>
          <w:kern w:val="0"/>
          <w:sz w:val="24"/>
          <w:highlight w:val="none"/>
        </w:rPr>
      </w:pPr>
    </w:p>
    <w:p w14:paraId="6E13BD59">
      <w:pPr>
        <w:adjustRightInd w:val="0"/>
        <w:snapToGrid w:val="0"/>
        <w:spacing w:after="0" w:line="336" w:lineRule="auto"/>
        <w:ind w:firstLine="4680" w:firstLineChars="195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投标人名称(公章)：</w:t>
      </w:r>
    </w:p>
    <w:p w14:paraId="0653EF0E">
      <w:pPr>
        <w:adjustRightInd w:val="0"/>
        <w:snapToGrid w:val="0"/>
        <w:spacing w:after="0" w:line="336"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法定代表人或授权委托人(签字)：</w:t>
      </w:r>
    </w:p>
    <w:p w14:paraId="5D0698F7">
      <w:pPr>
        <w:adjustRightInd w:val="0"/>
        <w:snapToGrid w:val="0"/>
        <w:spacing w:after="0" w:line="336" w:lineRule="auto"/>
        <w:ind w:right="480"/>
        <w:jc w:val="center"/>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年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月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日</w:t>
      </w:r>
    </w:p>
    <w:p w14:paraId="6127345D">
      <w:pPr>
        <w:pStyle w:val="22"/>
        <w:rPr>
          <w:rFonts w:hint="eastAsia" w:asciiTheme="minorEastAsia" w:hAnsiTheme="minorEastAsia" w:eastAsiaTheme="minorEastAsia" w:cstheme="minorEastAsia"/>
          <w:kern w:val="0"/>
          <w:sz w:val="24"/>
          <w:highlight w:val="none"/>
          <w:lang w:val="zh-CN"/>
        </w:rPr>
      </w:pPr>
    </w:p>
    <w:p w14:paraId="3810BE8F">
      <w:pPr>
        <w:pStyle w:val="22"/>
        <w:rPr>
          <w:rFonts w:hint="eastAsia" w:asciiTheme="minorEastAsia" w:hAnsiTheme="minorEastAsia" w:eastAsiaTheme="minorEastAsia" w:cstheme="minorEastAsia"/>
          <w:kern w:val="0"/>
          <w:sz w:val="24"/>
          <w:highlight w:val="none"/>
          <w:lang w:val="zh-CN"/>
        </w:rPr>
      </w:pPr>
    </w:p>
    <w:p w14:paraId="756B4791">
      <w:pPr>
        <w:pStyle w:val="22"/>
        <w:rPr>
          <w:rFonts w:hint="eastAsia" w:asciiTheme="minorEastAsia" w:hAnsiTheme="minorEastAsia" w:eastAsiaTheme="minorEastAsia" w:cstheme="minorEastAsia"/>
          <w:kern w:val="0"/>
          <w:sz w:val="24"/>
          <w:highlight w:val="none"/>
          <w:lang w:val="zh-CN"/>
        </w:rPr>
      </w:pPr>
    </w:p>
    <w:p w14:paraId="2FA57ACA">
      <w:pPr>
        <w:adjustRightInd w:val="0"/>
        <w:snapToGrid w:val="0"/>
        <w:spacing w:after="0" w:line="312" w:lineRule="auto"/>
        <w:ind w:right="48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附件3</w:t>
      </w:r>
    </w:p>
    <w:p w14:paraId="7A646D9F">
      <w:pPr>
        <w:spacing w:after="0" w:line="360" w:lineRule="auto"/>
        <w:jc w:val="center"/>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color w:val="000000"/>
          <w:sz w:val="32"/>
          <w:szCs w:val="32"/>
          <w:highlight w:val="none"/>
        </w:rPr>
        <w:t>授权委托书</w:t>
      </w:r>
    </w:p>
    <w:p w14:paraId="79CE6F95">
      <w:pPr>
        <w:snapToGrid w:val="0"/>
        <w:spacing w:after="0"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7F9BAD06">
      <w:pPr>
        <w:pStyle w:val="12"/>
        <w:spacing w:after="0" w:line="360" w:lineRule="auto"/>
        <w:ind w:left="240" w:hanging="240" w:hanging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single"/>
        </w:rPr>
        <w:t xml:space="preserve">  （投标人全称）  </w:t>
      </w:r>
      <w:r>
        <w:rPr>
          <w:rFonts w:hint="eastAsia" w:asciiTheme="minorEastAsia" w:hAnsiTheme="minorEastAsia" w:eastAsiaTheme="minorEastAsia" w:cstheme="minorEastAsia"/>
          <w:sz w:val="24"/>
          <w:highlight w:val="none"/>
        </w:rPr>
        <w:t>法定代表人（或营业执照中单位负责人）</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（法定代</w:t>
      </w:r>
    </w:p>
    <w:p w14:paraId="1249AFCD">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表人或营业执照中单位负责人姓名） </w:t>
      </w:r>
      <w:r>
        <w:rPr>
          <w:rFonts w:hint="eastAsia" w:asciiTheme="minorEastAsia" w:hAnsiTheme="minorEastAsia" w:eastAsiaTheme="minorEastAsia" w:cstheme="minorEastAsia"/>
          <w:sz w:val="24"/>
          <w:highlight w:val="none"/>
        </w:rPr>
        <w:t>授权</w:t>
      </w:r>
      <w:r>
        <w:rPr>
          <w:rFonts w:hint="eastAsia" w:asciiTheme="minorEastAsia" w:hAnsiTheme="minorEastAsia" w:eastAsiaTheme="minorEastAsia" w:cstheme="minorEastAsia"/>
          <w:sz w:val="24"/>
          <w:highlight w:val="none"/>
          <w:u w:val="single"/>
        </w:rPr>
        <w:t xml:space="preserve">   （授权代表姓名） </w:t>
      </w:r>
      <w:r>
        <w:rPr>
          <w:rFonts w:hint="eastAsia" w:asciiTheme="minorEastAsia" w:hAnsiTheme="minorEastAsia" w:eastAsiaTheme="minorEastAsia" w:cstheme="minorEastAsia"/>
          <w:sz w:val="24"/>
          <w:highlight w:val="none"/>
        </w:rPr>
        <w:t>为授权代表，</w:t>
      </w:r>
    </w:p>
    <w:p w14:paraId="2FE9FF40">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参加贵单位组织的</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项目的采购活动，并代表我方全权办理针对上述项目的</w:t>
      </w:r>
    </w:p>
    <w:p w14:paraId="3EF2016F">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投标、开标、评标、签约等具体事务和签署相关文件。我方对授权代表的签字事</w:t>
      </w:r>
    </w:p>
    <w:p w14:paraId="652DC83A">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项负全部责任。</w:t>
      </w:r>
    </w:p>
    <w:p w14:paraId="28674F29">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在撤销授权的书面通知以前，本授权书一直有效。授权代表在授权委托书</w:t>
      </w:r>
    </w:p>
    <w:p w14:paraId="1E549590">
      <w:pPr>
        <w:pStyle w:val="12"/>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有效期内签署的所有文件不因授权的撤销而失效。</w:t>
      </w:r>
    </w:p>
    <w:p w14:paraId="2DFA7B99">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授权代表无转委托权，特此委托。</w:t>
      </w:r>
    </w:p>
    <w:p w14:paraId="7D645E9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法定代表人签字或盖章：</w:t>
      </w:r>
    </w:p>
    <w:p w14:paraId="0E8DC809">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投标人全称（公章）：                              日期：</w:t>
      </w:r>
    </w:p>
    <w:p w14:paraId="703FBA70">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4BB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7E04B3B">
            <w:pPr>
              <w:spacing w:line="360" w:lineRule="auto"/>
              <w:rPr>
                <w:rFonts w:hint="eastAsia" w:asciiTheme="minorEastAsia" w:hAnsiTheme="minorEastAsia" w:eastAsiaTheme="minorEastAsia" w:cstheme="minorEastAsia"/>
                <w:b/>
                <w:sz w:val="24"/>
                <w:highlight w:val="none"/>
              </w:rPr>
            </w:pPr>
          </w:p>
          <w:p w14:paraId="52B2E9AE">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法定代表身份证复印件正反面粘帖处</w:t>
            </w:r>
          </w:p>
        </w:tc>
      </w:tr>
    </w:tbl>
    <w:p w14:paraId="19BC7B76">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法定代表人姓名：                                 </w:t>
      </w:r>
    </w:p>
    <w:p w14:paraId="6ED90B1F">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178C996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07E4CE1F">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6FC4315B">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54A675CE">
      <w:pPr>
        <w:spacing w:line="360" w:lineRule="auto"/>
        <w:rPr>
          <w:rFonts w:hint="eastAsia" w:asciiTheme="minorEastAsia" w:hAnsiTheme="minorEastAsia" w:eastAsiaTheme="minorEastAsia" w:cstheme="minorEastAsia"/>
          <w:b/>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2B0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024285">
            <w:pPr>
              <w:spacing w:line="360" w:lineRule="auto"/>
              <w:rPr>
                <w:rFonts w:hint="eastAsia" w:asciiTheme="minorEastAsia" w:hAnsiTheme="minorEastAsia" w:eastAsiaTheme="minorEastAsia" w:cstheme="minorEastAsia"/>
                <w:b/>
                <w:sz w:val="24"/>
                <w:highlight w:val="none"/>
              </w:rPr>
            </w:pPr>
          </w:p>
          <w:p w14:paraId="1EBEA443">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授权代表身份证复印件正反面粘帖处</w:t>
            </w:r>
          </w:p>
        </w:tc>
      </w:tr>
    </w:tbl>
    <w:p w14:paraId="130B7BE9">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授权代表姓名：       </w:t>
      </w:r>
    </w:p>
    <w:p w14:paraId="3A9D457A">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职务：                           </w:t>
      </w:r>
    </w:p>
    <w:p w14:paraId="3E7F3D20">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3258CC5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13A50087">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3C11EE5F">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5545B753">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5" w:type="default"/>
          <w:pgSz w:w="11906" w:h="16838"/>
          <w:pgMar w:top="1440" w:right="1558" w:bottom="1440" w:left="1418" w:header="851" w:footer="992" w:gutter="0"/>
          <w:cols w:space="425" w:num="1"/>
          <w:docGrid w:type="lines" w:linePitch="312" w:charSpace="0"/>
        </w:sectPr>
      </w:pPr>
    </w:p>
    <w:p w14:paraId="6EAF3084">
      <w:pPr>
        <w:snapToGrid w:val="0"/>
        <w:spacing w:after="0" w:line="240" w:lineRule="auto"/>
        <w:jc w:val="cente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法定代表人证明书</w:t>
      </w:r>
    </w:p>
    <w:p w14:paraId="51E52BCB">
      <w:pPr>
        <w:pStyle w:val="20"/>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 xml:space="preserve">     </w:t>
      </w:r>
    </w:p>
    <w:p w14:paraId="5FCDDDB1">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单位名称：</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w:t>
      </w:r>
    </w:p>
    <w:p w14:paraId="77BEAC0F">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单位性质：</w:t>
      </w:r>
      <w:r>
        <w:rPr>
          <w:rFonts w:hint="eastAsia" w:asciiTheme="minorEastAsia" w:hAnsiTheme="minorEastAsia" w:eastAsiaTheme="minorEastAsia" w:cstheme="minorEastAsia"/>
          <w:bCs/>
          <w:sz w:val="24"/>
          <w:highlight w:val="none"/>
          <w:u w:val="single"/>
        </w:rPr>
        <w:t xml:space="preserve">                                                   </w:t>
      </w:r>
    </w:p>
    <w:p w14:paraId="68DBB6B4">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u w:val="single"/>
        </w:rPr>
        <w:t xml:space="preserve">                                                   </w:t>
      </w:r>
    </w:p>
    <w:p w14:paraId="4FFD0FF3">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姓名：</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性别：</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年龄：</w:t>
      </w:r>
      <w:r>
        <w:rPr>
          <w:rFonts w:hint="eastAsia" w:asciiTheme="minorEastAsia" w:hAnsiTheme="minorEastAsia" w:eastAsiaTheme="minorEastAsia" w:cstheme="minorEastAsia"/>
          <w:bCs/>
          <w:sz w:val="24"/>
          <w:highlight w:val="none"/>
          <w:u w:val="single"/>
        </w:rPr>
        <w:t xml:space="preserve">              </w:t>
      </w:r>
    </w:p>
    <w:p w14:paraId="3A59C115">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职务：</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系</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的法定代表人</w:t>
      </w:r>
    </w:p>
    <w:p w14:paraId="20511A5F">
      <w:pPr>
        <w:rPr>
          <w:rFonts w:hint="eastAsia" w:asciiTheme="minorEastAsia" w:hAnsiTheme="minorEastAsia" w:eastAsiaTheme="minorEastAsia" w:cstheme="minorEastAsia"/>
          <w:bCs/>
          <w:sz w:val="24"/>
          <w:highlight w:val="none"/>
        </w:rPr>
      </w:pPr>
    </w:p>
    <w:p w14:paraId="626D7CE3">
      <w:pPr>
        <w:rPr>
          <w:rFonts w:hint="eastAsia" w:asciiTheme="minorEastAsia" w:hAnsiTheme="minorEastAsia" w:eastAsiaTheme="minorEastAsia" w:cstheme="minorEastAsia"/>
          <w:bCs/>
          <w:sz w:val="24"/>
          <w:highlight w:val="none"/>
        </w:rPr>
      </w:pPr>
    </w:p>
    <w:p w14:paraId="1D5CEA28">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特此证明。</w:t>
      </w:r>
    </w:p>
    <w:p w14:paraId="108FC445">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w:t>
      </w:r>
    </w:p>
    <w:tbl>
      <w:tblPr>
        <w:tblStyle w:val="23"/>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F3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6694655">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3FBC1EB8">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法定代表身份证正面</w:t>
            </w:r>
          </w:p>
        </w:tc>
      </w:tr>
    </w:tbl>
    <w:tbl>
      <w:tblPr>
        <w:tblStyle w:val="2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56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tcPr>
          <w:p w14:paraId="46AF6125">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512E9D56">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法定代表身份证反面</w:t>
            </w:r>
          </w:p>
        </w:tc>
      </w:tr>
    </w:tbl>
    <w:p w14:paraId="0ED1D2A0">
      <w:pPr>
        <w:jc w:val="left"/>
        <w:rPr>
          <w:rFonts w:hint="eastAsia" w:asciiTheme="minorEastAsia" w:hAnsiTheme="minorEastAsia" w:eastAsiaTheme="minorEastAsia" w:cstheme="minorEastAsia"/>
          <w:highlight w:val="none"/>
        </w:rPr>
      </w:pPr>
    </w:p>
    <w:p w14:paraId="2289F9A0">
      <w:pPr>
        <w:pStyle w:val="17"/>
        <w:spacing w:line="360" w:lineRule="auto"/>
        <w:ind w:firstLine="2640" w:firstLineChars="1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公司名称（盖章）：</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w:t>
      </w:r>
    </w:p>
    <w:p w14:paraId="223A3D21">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日    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b/>
          <w:sz w:val="28"/>
          <w:highlight w:val="none"/>
        </w:rPr>
        <w:br w:type="page"/>
      </w:r>
    </w:p>
    <w:p w14:paraId="2D2BFCED">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6" w:type="default"/>
          <w:pgSz w:w="11906" w:h="16838"/>
          <w:pgMar w:top="1440" w:right="1558" w:bottom="1440" w:left="1418" w:header="851" w:footer="992" w:gutter="0"/>
          <w:cols w:space="425" w:num="1"/>
          <w:docGrid w:type="lines" w:linePitch="312" w:charSpace="0"/>
        </w:sectPr>
      </w:pPr>
    </w:p>
    <w:p w14:paraId="7149D714">
      <w:pPr>
        <w:snapToGrid w:val="0"/>
        <w:spacing w:after="0" w:line="240" w:lineRule="auto"/>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附件4</w:t>
      </w:r>
    </w:p>
    <w:p w14:paraId="38CD206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0605533">
      <w:pPr>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p>
    <w:p w14:paraId="7AB15A31">
      <w:pPr>
        <w:pStyle w:val="63"/>
        <w:spacing w:line="480" w:lineRule="auto"/>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p>
    <w:p w14:paraId="00DE13BF">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62A8494C">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我单位郑重承诺：符合参与政府采购活动的资格条件，具备良好的商业信誉和健全的财务会计制度并且没有税收缴纳、社会保障等方面的失信记录。</w:t>
      </w:r>
    </w:p>
    <w:p w14:paraId="6D10CA51">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382E6556">
      <w:pPr>
        <w:pStyle w:val="22"/>
        <w:rPr>
          <w:rFonts w:hint="eastAsia" w:asciiTheme="minorEastAsia" w:hAnsiTheme="minorEastAsia" w:eastAsiaTheme="minorEastAsia" w:cstheme="minorEastAsia"/>
          <w:highlight w:val="none"/>
        </w:rPr>
      </w:pPr>
    </w:p>
    <w:p w14:paraId="66F25AE6">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A960E68">
      <w:pPr>
        <w:adjustRightInd w:val="0"/>
        <w:snapToGrid w:val="0"/>
        <w:spacing w:after="0" w:line="336" w:lineRule="auto"/>
        <w:ind w:firstLine="4680" w:firstLineChars="195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投标人名称(公章)：</w:t>
      </w:r>
    </w:p>
    <w:p w14:paraId="69B3985A">
      <w:pPr>
        <w:adjustRightInd w:val="0"/>
        <w:snapToGrid w:val="0"/>
        <w:spacing w:after="0" w:line="336"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法定代表人或授权委托人(签字)：</w:t>
      </w:r>
    </w:p>
    <w:p w14:paraId="77D6D92E">
      <w:pPr>
        <w:snapToGrid w:val="0"/>
        <w:spacing w:before="156" w:beforeLines="50" w:after="0" w:line="312" w:lineRule="auto"/>
        <w:rPr>
          <w:rFonts w:hint="eastAsia" w:asciiTheme="minorEastAsia" w:hAnsiTheme="minorEastAsia" w:eastAsiaTheme="minorEastAsia" w:cstheme="minorEastAsia"/>
          <w:b/>
          <w:sz w:val="28"/>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5AD62240">
      <w:pPr>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附件5</w:t>
      </w:r>
    </w:p>
    <w:p w14:paraId="63ECCC4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具有履行合同所必须的设备和专业技术能力的承诺函</w:t>
      </w:r>
    </w:p>
    <w:p w14:paraId="0E6600F6">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A3F9B2E">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75312E4A">
      <w:pPr>
        <w:pStyle w:val="63"/>
        <w:rPr>
          <w:rFonts w:hint="eastAsia" w:asciiTheme="minorEastAsia" w:hAnsiTheme="minorEastAsia" w:eastAsiaTheme="minorEastAsia" w:cstheme="minorEastAsia"/>
          <w:highlight w:val="none"/>
        </w:rPr>
      </w:pPr>
    </w:p>
    <w:p w14:paraId="7AC9D360">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我单位郑重承诺：具有履行</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台州市公安局椒江分局办案区采分设备采购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编号为</w:t>
      </w: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WLCG-2024-GK034号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）项目的设备和专业技术能力。</w:t>
      </w:r>
    </w:p>
    <w:p w14:paraId="2BBF0BE1">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B376FE8">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78CD07D2">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CB1FCBF">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3A162A">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公章/电子章</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6670F696">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法定代表人或授权委托人签字：</w:t>
      </w:r>
    </w:p>
    <w:p w14:paraId="26A26B6E">
      <w:pPr>
        <w:pStyle w:val="18"/>
        <w:ind w:firstLine="5280" w:firstLineChars="2200"/>
        <w:rPr>
          <w:rFonts w:hint="eastAsia" w:asciiTheme="minorEastAsia" w:hAnsiTheme="minorEastAsia" w:eastAsiaTheme="minorEastAsia" w:cstheme="minorEastAsia"/>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18D7F474">
      <w:pPr>
        <w:snapToGrid w:val="0"/>
        <w:spacing w:before="156" w:beforeLines="50" w:after="0" w:line="312" w:lineRule="auto"/>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 xml:space="preserve">附件6：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2FC9D2F2">
      <w:pPr>
        <w:spacing w:after="0" w:line="312" w:lineRule="auto"/>
        <w:ind w:right="-110"/>
        <w:jc w:val="center"/>
        <w:rPr>
          <w:rFonts w:hint="eastAsia" w:asciiTheme="minorEastAsia" w:hAnsiTheme="minorEastAsia" w:eastAsiaTheme="minorEastAsia" w:cstheme="minorEastAsia"/>
          <w:spacing w:val="40"/>
          <w:sz w:val="52"/>
          <w:szCs w:val="52"/>
          <w:highlight w:val="none"/>
        </w:rPr>
      </w:pPr>
    </w:p>
    <w:p w14:paraId="6CAE485B">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751ABEF8">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1E1D304C">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p>
    <w:p w14:paraId="60D2A55B">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0C1E746B">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0764F6FB">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4763A0F3">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542252BB">
      <w:pPr>
        <w:spacing w:after="0" w:line="312" w:lineRule="auto"/>
        <w:ind w:right="-108"/>
        <w:jc w:val="center"/>
        <w:rPr>
          <w:rFonts w:hint="eastAsia" w:asciiTheme="minorEastAsia" w:hAnsiTheme="minorEastAsia" w:eastAsiaTheme="minorEastAsia" w:cstheme="minorEastAsia"/>
          <w:b/>
          <w:bCs/>
          <w:sz w:val="28"/>
          <w:szCs w:val="28"/>
          <w:highlight w:val="none"/>
          <w:lang w:val="zh-CN"/>
        </w:rPr>
      </w:pPr>
      <w:r>
        <w:rPr>
          <w:rFonts w:hint="eastAsia" w:asciiTheme="minorEastAsia" w:hAnsiTheme="minorEastAsia" w:eastAsiaTheme="minorEastAsia" w:cstheme="minorEastAsia"/>
          <w:b/>
          <w:bCs/>
          <w:sz w:val="28"/>
          <w:szCs w:val="28"/>
          <w:highlight w:val="none"/>
          <w:lang w:val="zh-CN"/>
        </w:rPr>
        <w:t>（商务与技术文件）</w:t>
      </w:r>
    </w:p>
    <w:p w14:paraId="43CCC293">
      <w:pPr>
        <w:spacing w:after="0" w:line="312" w:lineRule="auto"/>
        <w:ind w:right="532" w:firstLine="720" w:firstLineChars="200"/>
        <w:rPr>
          <w:rFonts w:hint="eastAsia" w:asciiTheme="minorEastAsia" w:hAnsiTheme="minorEastAsia" w:eastAsiaTheme="minorEastAsia" w:cstheme="minorEastAsia"/>
          <w:sz w:val="36"/>
          <w:szCs w:val="36"/>
          <w:highlight w:val="none"/>
        </w:rPr>
      </w:pPr>
    </w:p>
    <w:p w14:paraId="215157CC">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48A1F125">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07ACEF96">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10700A7D">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354F0B58">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3472EFB5">
      <w:pPr>
        <w:snapToGrid w:val="0"/>
        <w:spacing w:before="50"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lang w:val="zh-CN"/>
        </w:rPr>
        <w:t>商务与技术文件</w:t>
      </w:r>
      <w:r>
        <w:rPr>
          <w:rFonts w:hint="eastAsia" w:asciiTheme="minorEastAsia" w:hAnsiTheme="minorEastAsia" w:eastAsiaTheme="minorEastAsia" w:cstheme="minorEastAsia"/>
          <w:b/>
          <w:bCs/>
          <w:sz w:val="36"/>
          <w:szCs w:val="36"/>
          <w:highlight w:val="none"/>
        </w:rPr>
        <w:t>目录</w:t>
      </w:r>
    </w:p>
    <w:p w14:paraId="3862CA32">
      <w:pPr>
        <w:pStyle w:val="22"/>
        <w:rPr>
          <w:rFonts w:hint="eastAsia" w:asciiTheme="minorEastAsia" w:hAnsiTheme="minorEastAsia" w:eastAsiaTheme="minorEastAsia" w:cstheme="minorEastAsia"/>
          <w:highlight w:val="none"/>
        </w:rPr>
      </w:pPr>
    </w:p>
    <w:p w14:paraId="40F3B907">
      <w:pPr>
        <w:snapToGrid w:val="0"/>
        <w:spacing w:after="0"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第一部分  技术方案描述部分</w:t>
      </w:r>
    </w:p>
    <w:p w14:paraId="610E2BB7">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1、投标人情况介绍（附件7）；</w:t>
      </w:r>
    </w:p>
    <w:p w14:paraId="77AFF414">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2、项目组织实施方案； </w:t>
      </w:r>
    </w:p>
    <w:p w14:paraId="343392FC">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第二部分  投标产品描述部分</w:t>
      </w:r>
    </w:p>
    <w:p w14:paraId="399AA0CB">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kern w:val="0"/>
          <w:sz w:val="24"/>
          <w:highlight w:val="none"/>
        </w:rPr>
        <w:t>投标产品（方案）描述及相关资料（</w:t>
      </w:r>
      <w:r>
        <w:rPr>
          <w:rFonts w:hint="eastAsia" w:asciiTheme="minorEastAsia" w:hAnsiTheme="minorEastAsia" w:eastAsiaTheme="minorEastAsia" w:cstheme="minorEastAsia"/>
          <w:sz w:val="24"/>
          <w:highlight w:val="none"/>
        </w:rPr>
        <w:t>可视情选用附件8</w:t>
      </w:r>
      <w:r>
        <w:rPr>
          <w:rFonts w:hint="eastAsia" w:asciiTheme="minorEastAsia" w:hAnsiTheme="minorEastAsia" w:eastAsiaTheme="minorEastAsia" w:cstheme="minorEastAsia"/>
          <w:kern w:val="0"/>
          <w:sz w:val="24"/>
          <w:highlight w:val="none"/>
        </w:rPr>
        <w:t>）；</w:t>
      </w:r>
    </w:p>
    <w:p w14:paraId="7C175E04">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z w:val="24"/>
          <w:highlight w:val="none"/>
        </w:rPr>
        <w:t>投标人需要说明的其他内容；（包括可能影响投标人技术性能评分项的各类证明材料）</w:t>
      </w:r>
    </w:p>
    <w:p w14:paraId="277EAA3A">
      <w:pPr>
        <w:snapToGrid w:val="0"/>
        <w:spacing w:after="0" w:line="360"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第三部分  商务响应部分</w:t>
      </w:r>
    </w:p>
    <w:p w14:paraId="415546C4">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1、证书一览表（附件9）；</w:t>
      </w:r>
    </w:p>
    <w:p w14:paraId="7F88A2EB">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2、近三年来类似项目的成功案例（附件10）</w:t>
      </w:r>
    </w:p>
    <w:p w14:paraId="37DF09C8">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3、售后服务描述及承诺（可视情选用附件11、附件12）；</w:t>
      </w:r>
    </w:p>
    <w:p w14:paraId="0287139A">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4、投标人需要说明的其他内容。（包括可能影响投标人企业实力及信誉评分项以及售后服务评分项的各类证明材料）</w:t>
      </w:r>
    </w:p>
    <w:p w14:paraId="1307BB89">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第四部分  其他参考表格（此部分视情况选用）</w:t>
      </w:r>
    </w:p>
    <w:p w14:paraId="2AB24047">
      <w:pPr>
        <w:snapToGrid w:val="0"/>
        <w:spacing w:after="0" w:line="360" w:lineRule="auto"/>
        <w:ind w:left="374" w:leftChars="178"/>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（以上内容具体描述详见“第三部分投标人须知”中“三、投标文件”的组成说明）</w:t>
      </w:r>
    </w:p>
    <w:p w14:paraId="1358B58B">
      <w:pPr>
        <w:snapToGrid w:val="0"/>
        <w:spacing w:after="0" w:line="312" w:lineRule="auto"/>
        <w:ind w:left="837" w:leftChars="260" w:hanging="291" w:hangingChars="104"/>
        <w:rPr>
          <w:rFonts w:hint="eastAsia" w:asciiTheme="minorEastAsia" w:hAnsiTheme="minorEastAsia" w:eastAsiaTheme="minorEastAsia" w:cstheme="minorEastAsia"/>
          <w:kern w:val="0"/>
          <w:sz w:val="28"/>
          <w:szCs w:val="28"/>
          <w:highlight w:val="none"/>
        </w:rPr>
      </w:pPr>
    </w:p>
    <w:p w14:paraId="4D394F7D">
      <w:pPr>
        <w:pStyle w:val="22"/>
        <w:rPr>
          <w:rFonts w:hint="eastAsia" w:asciiTheme="minorEastAsia" w:hAnsiTheme="minorEastAsia" w:eastAsiaTheme="minorEastAsia" w:cstheme="minorEastAsia"/>
          <w:kern w:val="0"/>
          <w:sz w:val="28"/>
          <w:szCs w:val="28"/>
          <w:highlight w:val="none"/>
        </w:rPr>
      </w:pPr>
    </w:p>
    <w:p w14:paraId="2AAB5EE1">
      <w:pPr>
        <w:pStyle w:val="22"/>
        <w:rPr>
          <w:rFonts w:hint="eastAsia" w:asciiTheme="minorEastAsia" w:hAnsiTheme="minorEastAsia" w:eastAsiaTheme="minorEastAsia" w:cstheme="minorEastAsia"/>
          <w:kern w:val="0"/>
          <w:sz w:val="28"/>
          <w:szCs w:val="28"/>
          <w:highlight w:val="none"/>
        </w:rPr>
      </w:pPr>
    </w:p>
    <w:p w14:paraId="0B63A9DE">
      <w:pPr>
        <w:pStyle w:val="22"/>
        <w:rPr>
          <w:rFonts w:hint="eastAsia" w:asciiTheme="minorEastAsia" w:hAnsiTheme="minorEastAsia" w:eastAsiaTheme="minorEastAsia" w:cstheme="minorEastAsia"/>
          <w:kern w:val="0"/>
          <w:sz w:val="28"/>
          <w:szCs w:val="28"/>
          <w:highlight w:val="none"/>
        </w:rPr>
      </w:pPr>
    </w:p>
    <w:p w14:paraId="0978721C">
      <w:pPr>
        <w:pStyle w:val="22"/>
        <w:rPr>
          <w:rFonts w:hint="eastAsia" w:asciiTheme="minorEastAsia" w:hAnsiTheme="minorEastAsia" w:eastAsiaTheme="minorEastAsia" w:cstheme="minorEastAsia"/>
          <w:kern w:val="0"/>
          <w:sz w:val="28"/>
          <w:szCs w:val="28"/>
          <w:highlight w:val="none"/>
        </w:rPr>
      </w:pPr>
    </w:p>
    <w:p w14:paraId="6CBE4215">
      <w:pPr>
        <w:pStyle w:val="22"/>
        <w:rPr>
          <w:rFonts w:hint="eastAsia" w:asciiTheme="minorEastAsia" w:hAnsiTheme="minorEastAsia" w:eastAsiaTheme="minorEastAsia" w:cstheme="minorEastAsia"/>
          <w:kern w:val="0"/>
          <w:sz w:val="28"/>
          <w:szCs w:val="28"/>
          <w:highlight w:val="none"/>
        </w:rPr>
      </w:pPr>
    </w:p>
    <w:p w14:paraId="59FA1C62">
      <w:pPr>
        <w:pStyle w:val="22"/>
        <w:rPr>
          <w:rFonts w:hint="eastAsia" w:asciiTheme="minorEastAsia" w:hAnsiTheme="minorEastAsia" w:eastAsiaTheme="minorEastAsia" w:cstheme="minorEastAsia"/>
          <w:kern w:val="0"/>
          <w:sz w:val="28"/>
          <w:szCs w:val="28"/>
          <w:highlight w:val="none"/>
        </w:rPr>
      </w:pPr>
    </w:p>
    <w:p w14:paraId="6B1FC613">
      <w:pPr>
        <w:pStyle w:val="22"/>
        <w:rPr>
          <w:rFonts w:hint="eastAsia" w:asciiTheme="minorEastAsia" w:hAnsiTheme="minorEastAsia" w:eastAsiaTheme="minorEastAsia" w:cstheme="minorEastAsia"/>
          <w:kern w:val="0"/>
          <w:sz w:val="28"/>
          <w:szCs w:val="28"/>
          <w:highlight w:val="none"/>
        </w:rPr>
      </w:pPr>
    </w:p>
    <w:p w14:paraId="3CFEA503">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附件7</w:t>
      </w:r>
    </w:p>
    <w:p w14:paraId="100D4354">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
          <w:bCs/>
          <w:spacing w:val="21"/>
          <w:sz w:val="32"/>
          <w:szCs w:val="32"/>
          <w:highlight w:val="none"/>
        </w:rPr>
      </w:pPr>
      <w:r>
        <w:rPr>
          <w:rFonts w:hint="eastAsia" w:asciiTheme="minorEastAsia" w:hAnsiTheme="minorEastAsia" w:eastAsiaTheme="minorEastAsia" w:cstheme="minorEastAsia"/>
          <w:b/>
          <w:sz w:val="32"/>
          <w:szCs w:val="32"/>
          <w:highlight w:val="none"/>
        </w:rPr>
        <w:t xml:space="preserve">  投标</w:t>
      </w:r>
      <w:r>
        <w:rPr>
          <w:rFonts w:hint="eastAsia" w:asciiTheme="minorEastAsia" w:hAnsiTheme="minorEastAsia" w:eastAsiaTheme="minorEastAsia" w:cstheme="minorEastAsia"/>
          <w:b/>
          <w:bCs/>
          <w:spacing w:val="21"/>
          <w:sz w:val="32"/>
          <w:szCs w:val="32"/>
          <w:highlight w:val="none"/>
        </w:rPr>
        <w:t>人基本情况表</w:t>
      </w:r>
    </w:p>
    <w:p w14:paraId="67DC9BD2">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sz w:val="36"/>
          <w:szCs w:val="36"/>
          <w:highlight w:val="none"/>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1E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1552AADF">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企业名称</w:t>
            </w:r>
          </w:p>
        </w:tc>
        <w:tc>
          <w:tcPr>
            <w:tcW w:w="3979" w:type="dxa"/>
            <w:gridSpan w:val="6"/>
          </w:tcPr>
          <w:p w14:paraId="1F71EFDA">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001" w:type="dxa"/>
            <w:gridSpan w:val="3"/>
          </w:tcPr>
          <w:p w14:paraId="710B329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法人代表</w:t>
            </w:r>
          </w:p>
        </w:tc>
        <w:tc>
          <w:tcPr>
            <w:tcW w:w="2151" w:type="dxa"/>
            <w:gridSpan w:val="2"/>
          </w:tcPr>
          <w:p w14:paraId="559FE39A">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0096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291162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地址</w:t>
            </w:r>
          </w:p>
        </w:tc>
        <w:tc>
          <w:tcPr>
            <w:tcW w:w="3979" w:type="dxa"/>
            <w:gridSpan w:val="6"/>
            <w:tcBorders>
              <w:bottom w:val="single" w:color="auto" w:sz="4" w:space="0"/>
            </w:tcBorders>
          </w:tcPr>
          <w:p w14:paraId="430AFC7B">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1784C457">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企业性质</w:t>
            </w:r>
          </w:p>
        </w:tc>
        <w:tc>
          <w:tcPr>
            <w:tcW w:w="2151" w:type="dxa"/>
            <w:gridSpan w:val="2"/>
          </w:tcPr>
          <w:p w14:paraId="5B6D064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4334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3BDC666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股东姓名</w:t>
            </w:r>
          </w:p>
        </w:tc>
        <w:tc>
          <w:tcPr>
            <w:tcW w:w="701" w:type="dxa"/>
            <w:tcBorders>
              <w:bottom w:val="single" w:color="auto" w:sz="4" w:space="0"/>
            </w:tcBorders>
          </w:tcPr>
          <w:p w14:paraId="11520266">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1232B4B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股权结构（%）</w:t>
            </w:r>
          </w:p>
        </w:tc>
        <w:tc>
          <w:tcPr>
            <w:tcW w:w="2368" w:type="dxa"/>
            <w:gridSpan w:val="3"/>
            <w:tcBorders>
              <w:bottom w:val="single" w:color="auto" w:sz="4" w:space="0"/>
            </w:tcBorders>
          </w:tcPr>
          <w:p w14:paraId="3E4C542F">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1146584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52B58764">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股东关系</w:t>
            </w:r>
          </w:p>
        </w:tc>
        <w:tc>
          <w:tcPr>
            <w:tcW w:w="2151" w:type="dxa"/>
            <w:gridSpan w:val="2"/>
          </w:tcPr>
          <w:p w14:paraId="1917DAE0">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r>
      <w:tr w14:paraId="710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51CB57D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联系人</w:t>
            </w:r>
            <w:r>
              <w:rPr>
                <w:rFonts w:hint="eastAsia" w:asciiTheme="minorEastAsia" w:hAnsiTheme="minorEastAsia" w:eastAsiaTheme="minorEastAsia" w:cstheme="minorEastAsia"/>
                <w:bCs/>
                <w:spacing w:val="27"/>
                <w:highlight w:val="none"/>
              </w:rPr>
              <w:t>姓名</w:t>
            </w:r>
          </w:p>
        </w:tc>
        <w:tc>
          <w:tcPr>
            <w:tcW w:w="701" w:type="dxa"/>
            <w:vMerge w:val="restart"/>
            <w:tcBorders>
              <w:top w:val="nil"/>
            </w:tcBorders>
          </w:tcPr>
          <w:p w14:paraId="00F4E86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top w:val="nil"/>
              <w:bottom w:val="single" w:color="auto" w:sz="4" w:space="0"/>
            </w:tcBorders>
          </w:tcPr>
          <w:p w14:paraId="4E84C4C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固定电话</w:t>
            </w:r>
          </w:p>
        </w:tc>
        <w:tc>
          <w:tcPr>
            <w:tcW w:w="2368" w:type="dxa"/>
            <w:gridSpan w:val="3"/>
            <w:tcBorders>
              <w:top w:val="nil"/>
              <w:bottom w:val="single" w:color="auto" w:sz="4" w:space="0"/>
            </w:tcBorders>
          </w:tcPr>
          <w:p w14:paraId="567F09AC">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62A2F3E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restart"/>
          </w:tcPr>
          <w:p w14:paraId="2074F99C">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传真</w:t>
            </w:r>
          </w:p>
        </w:tc>
        <w:tc>
          <w:tcPr>
            <w:tcW w:w="2151" w:type="dxa"/>
            <w:gridSpan w:val="2"/>
            <w:vMerge w:val="restart"/>
          </w:tcPr>
          <w:p w14:paraId="42988AB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5C52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59F9F96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vMerge w:val="continue"/>
            <w:tcBorders>
              <w:bottom w:val="single" w:color="auto" w:sz="4" w:space="0"/>
            </w:tcBorders>
          </w:tcPr>
          <w:p w14:paraId="65E22DC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3101FB36">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手机</w:t>
            </w:r>
          </w:p>
        </w:tc>
        <w:tc>
          <w:tcPr>
            <w:tcW w:w="2368" w:type="dxa"/>
            <w:gridSpan w:val="3"/>
            <w:tcBorders>
              <w:bottom w:val="single" w:color="auto" w:sz="4" w:space="0"/>
            </w:tcBorders>
          </w:tcPr>
          <w:p w14:paraId="340F260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continue"/>
          </w:tcPr>
          <w:p w14:paraId="4431B09B">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151" w:type="dxa"/>
            <w:gridSpan w:val="2"/>
            <w:vMerge w:val="continue"/>
          </w:tcPr>
          <w:p w14:paraId="415105A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08C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625B228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p w14:paraId="5D48446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企</w:t>
            </w:r>
          </w:p>
          <w:p w14:paraId="3874CF1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业</w:t>
            </w:r>
          </w:p>
          <w:p w14:paraId="7439EE4F">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r>
              <w:rPr>
                <w:rFonts w:hint="eastAsia" w:asciiTheme="minorEastAsia" w:hAnsiTheme="minorEastAsia" w:eastAsiaTheme="minorEastAsia" w:cstheme="minorEastAsia"/>
                <w:bCs/>
                <w:spacing w:val="27"/>
                <w:highlight w:val="none"/>
              </w:rPr>
              <w:t>概</w:t>
            </w:r>
          </w:p>
          <w:p w14:paraId="6D78530B">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况</w:t>
            </w:r>
          </w:p>
        </w:tc>
        <w:tc>
          <w:tcPr>
            <w:tcW w:w="701" w:type="dxa"/>
            <w:tcBorders>
              <w:top w:val="nil"/>
            </w:tcBorders>
          </w:tcPr>
          <w:p w14:paraId="3C16C11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职工人数</w:t>
            </w:r>
          </w:p>
        </w:tc>
        <w:tc>
          <w:tcPr>
            <w:tcW w:w="910" w:type="dxa"/>
            <w:gridSpan w:val="2"/>
            <w:tcBorders>
              <w:top w:val="nil"/>
            </w:tcBorders>
          </w:tcPr>
          <w:p w14:paraId="4FF9443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1163" w:type="dxa"/>
            <w:tcBorders>
              <w:top w:val="nil"/>
            </w:tcBorders>
          </w:tcPr>
          <w:p w14:paraId="28BB2E80">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8"/>
                <w:highlight w:val="none"/>
              </w:rPr>
              <w:t>具备大专以</w:t>
            </w:r>
            <w:r>
              <w:rPr>
                <w:rFonts w:hint="eastAsia" w:asciiTheme="minorEastAsia" w:hAnsiTheme="minorEastAsia" w:eastAsiaTheme="minorEastAsia" w:cstheme="minorEastAsia"/>
                <w:bCs/>
                <w:spacing w:val="12"/>
                <w:highlight w:val="none"/>
              </w:rPr>
              <w:t>上学历人数</w:t>
            </w:r>
          </w:p>
        </w:tc>
        <w:tc>
          <w:tcPr>
            <w:tcW w:w="1205" w:type="dxa"/>
            <w:gridSpan w:val="2"/>
            <w:tcBorders>
              <w:top w:val="nil"/>
            </w:tcBorders>
          </w:tcPr>
          <w:p w14:paraId="2FF3BEA4">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34E560C3">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5EBDE1BE">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358A2C1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65"/>
                <w:highlight w:val="none"/>
              </w:rPr>
              <w:t>国家授予技</w:t>
            </w:r>
            <w:r>
              <w:rPr>
                <w:rFonts w:hint="eastAsia" w:asciiTheme="minorEastAsia" w:hAnsiTheme="minorEastAsia" w:eastAsiaTheme="minorEastAsia" w:cstheme="minorEastAsia"/>
                <w:bCs/>
                <w:spacing w:val="12"/>
                <w:highlight w:val="none"/>
              </w:rPr>
              <w:t>术职称人数</w:t>
            </w:r>
          </w:p>
        </w:tc>
        <w:tc>
          <w:tcPr>
            <w:tcW w:w="2151" w:type="dxa"/>
            <w:gridSpan w:val="2"/>
          </w:tcPr>
          <w:p w14:paraId="10CB1234">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59861B2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67B6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476A573C">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55A1785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占地面积</w:t>
            </w:r>
          </w:p>
        </w:tc>
        <w:tc>
          <w:tcPr>
            <w:tcW w:w="910" w:type="dxa"/>
            <w:gridSpan w:val="2"/>
          </w:tcPr>
          <w:p w14:paraId="2E921F0F">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163" w:type="dxa"/>
          </w:tcPr>
          <w:p w14:paraId="36BE558C">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建筑面积</w:t>
            </w:r>
          </w:p>
        </w:tc>
        <w:tc>
          <w:tcPr>
            <w:tcW w:w="1205" w:type="dxa"/>
            <w:gridSpan w:val="2"/>
          </w:tcPr>
          <w:p w14:paraId="3EE4A032">
            <w:pPr>
              <w:pStyle w:val="33"/>
              <w:shd w:val="clear" w:color="auto" w:fill="FFFFFF"/>
              <w:spacing w:after="0" w:afterAutospacing="0" w:line="312"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平方米 </w:t>
            </w:r>
          </w:p>
          <w:p w14:paraId="63E26AD0">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□自有□租賃</w:t>
            </w:r>
          </w:p>
        </w:tc>
        <w:tc>
          <w:tcPr>
            <w:tcW w:w="2001" w:type="dxa"/>
            <w:gridSpan w:val="3"/>
          </w:tcPr>
          <w:p w14:paraId="0028A6C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生产经营场所及场所的设施与设备</w:t>
            </w:r>
          </w:p>
        </w:tc>
        <w:tc>
          <w:tcPr>
            <w:tcW w:w="2151" w:type="dxa"/>
            <w:gridSpan w:val="2"/>
          </w:tcPr>
          <w:p w14:paraId="3293B5E7">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r>
      <w:tr w14:paraId="762D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548CABF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33ADB191">
            <w:pPr>
              <w:pStyle w:val="33"/>
              <w:shd w:val="clear" w:color="auto" w:fill="FFFFFF"/>
              <w:spacing w:after="0" w:afterAutospacing="0" w:line="312" w:lineRule="auto"/>
              <w:ind w:left="2"/>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注册资金</w:t>
            </w:r>
          </w:p>
        </w:tc>
        <w:tc>
          <w:tcPr>
            <w:tcW w:w="910" w:type="dxa"/>
            <w:gridSpan w:val="2"/>
          </w:tcPr>
          <w:p w14:paraId="2981E02B">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p>
        </w:tc>
        <w:tc>
          <w:tcPr>
            <w:tcW w:w="1163" w:type="dxa"/>
          </w:tcPr>
          <w:p w14:paraId="768198F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注册发证</w:t>
            </w:r>
            <w:r>
              <w:rPr>
                <w:rFonts w:hint="eastAsia" w:asciiTheme="minorEastAsia" w:hAnsiTheme="minorEastAsia" w:eastAsiaTheme="minorEastAsia" w:cstheme="minorEastAsia"/>
                <w:bCs/>
                <w:spacing w:val="27"/>
                <w:highlight w:val="none"/>
              </w:rPr>
              <w:t>机关</w:t>
            </w:r>
          </w:p>
        </w:tc>
        <w:tc>
          <w:tcPr>
            <w:tcW w:w="3206" w:type="dxa"/>
            <w:gridSpan w:val="5"/>
          </w:tcPr>
          <w:p w14:paraId="64D59F7B">
            <w:pPr>
              <w:widowControl/>
              <w:spacing w:after="0" w:line="312" w:lineRule="auto"/>
              <w:jc w:val="left"/>
              <w:rPr>
                <w:rFonts w:hint="eastAsia" w:asciiTheme="minorEastAsia" w:hAnsiTheme="minorEastAsia" w:eastAsiaTheme="minorEastAsia" w:cstheme="minorEastAsia"/>
                <w:bCs/>
                <w:kern w:val="0"/>
                <w:sz w:val="24"/>
                <w:highlight w:val="none"/>
              </w:rPr>
            </w:pPr>
          </w:p>
          <w:p w14:paraId="72541F9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218" w:type="dxa"/>
          </w:tcPr>
          <w:p w14:paraId="204D42B2">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公司成</w:t>
            </w:r>
            <w:r>
              <w:rPr>
                <w:rFonts w:hint="eastAsia" w:asciiTheme="minorEastAsia" w:hAnsiTheme="minorEastAsia" w:eastAsiaTheme="minorEastAsia" w:cstheme="minorEastAsia"/>
                <w:bCs/>
                <w:spacing w:val="12"/>
                <w:highlight w:val="none"/>
              </w:rPr>
              <w:t>立时间</w:t>
            </w:r>
          </w:p>
        </w:tc>
        <w:tc>
          <w:tcPr>
            <w:tcW w:w="933" w:type="dxa"/>
          </w:tcPr>
          <w:p w14:paraId="4F0461EF">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76DF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5842EBC4">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1A5BB378">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核准经营范围</w:t>
            </w:r>
          </w:p>
        </w:tc>
        <w:tc>
          <w:tcPr>
            <w:tcW w:w="7430" w:type="dxa"/>
            <w:gridSpan w:val="10"/>
          </w:tcPr>
          <w:p w14:paraId="4B00C05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2C83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74EB760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8131" w:type="dxa"/>
            <w:gridSpan w:val="11"/>
          </w:tcPr>
          <w:p w14:paraId="081BC5E2">
            <w:pPr>
              <w:pStyle w:val="33"/>
              <w:shd w:val="clear" w:color="auto" w:fill="FFFFFF"/>
              <w:spacing w:after="0" w:afterAutospacing="0" w:line="312" w:lineRule="auto"/>
              <w:rPr>
                <w:rFonts w:hint="eastAsia" w:asciiTheme="minorEastAsia" w:hAnsiTheme="minorEastAsia" w:eastAsiaTheme="minorEastAsia" w:cstheme="minorEastAsia"/>
                <w:bCs/>
                <w:spacing w:val="13"/>
                <w:highlight w:val="none"/>
              </w:rPr>
            </w:pPr>
            <w:r>
              <w:rPr>
                <w:rFonts w:hint="eastAsia" w:asciiTheme="minorEastAsia" w:hAnsiTheme="minorEastAsia" w:eastAsiaTheme="minorEastAsia" w:cstheme="minorEastAsia"/>
                <w:bCs/>
                <w:spacing w:val="13"/>
                <w:highlight w:val="none"/>
              </w:rPr>
              <w:t>发展历程及主要荣誉：</w:t>
            </w:r>
          </w:p>
        </w:tc>
      </w:tr>
      <w:tr w14:paraId="677E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403F3D8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p w14:paraId="55274F76">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highlight w:val="none"/>
              </w:rPr>
              <w:t>企</w:t>
            </w:r>
            <w:r>
              <w:rPr>
                <w:rFonts w:hint="eastAsia" w:asciiTheme="minorEastAsia" w:hAnsiTheme="minorEastAsia" w:eastAsiaTheme="minorEastAsia" w:cstheme="minorEastAsia"/>
                <w:bCs/>
                <w:spacing w:val="12"/>
                <w:highlight w:val="none"/>
              </w:rPr>
              <w:t>业有关资质获证情况</w:t>
            </w:r>
          </w:p>
        </w:tc>
        <w:tc>
          <w:tcPr>
            <w:tcW w:w="1553" w:type="dxa"/>
            <w:gridSpan w:val="2"/>
            <w:vMerge w:val="restart"/>
          </w:tcPr>
          <w:p w14:paraId="60203449">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产品生产许可证情况</w:t>
            </w:r>
            <w:r>
              <w:rPr>
                <w:rFonts w:hint="eastAsia" w:asciiTheme="minorEastAsia" w:hAnsiTheme="minorEastAsia" w:eastAsiaTheme="minorEastAsia" w:cstheme="minorEastAsia"/>
                <w:bCs/>
                <w:spacing w:val="41"/>
                <w:highlight w:val="none"/>
              </w:rPr>
              <w:t>（对需获得生产许可证的</w:t>
            </w:r>
            <w:r>
              <w:rPr>
                <w:rFonts w:hint="eastAsia" w:asciiTheme="minorEastAsia" w:hAnsiTheme="minorEastAsia" w:eastAsiaTheme="minorEastAsia" w:cstheme="minorEastAsia"/>
                <w:bCs/>
                <w:spacing w:val="11"/>
                <w:highlight w:val="none"/>
              </w:rPr>
              <w:t>产品要填写此栏）</w:t>
            </w:r>
          </w:p>
        </w:tc>
        <w:tc>
          <w:tcPr>
            <w:tcW w:w="1333" w:type="dxa"/>
            <w:gridSpan w:val="3"/>
          </w:tcPr>
          <w:p w14:paraId="4E82CD3A">
            <w:pPr>
              <w:pStyle w:val="33"/>
              <w:shd w:val="clear" w:color="auto" w:fill="FFFFFF"/>
              <w:spacing w:after="0" w:afterAutospacing="0" w:line="312" w:lineRule="auto"/>
              <w:ind w:right="-78" w:rightChars="-3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产品名称</w:t>
            </w:r>
          </w:p>
        </w:tc>
        <w:tc>
          <w:tcPr>
            <w:tcW w:w="1418" w:type="dxa"/>
            <w:gridSpan w:val="2"/>
          </w:tcPr>
          <w:p w14:paraId="0B081BD1">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发证机关</w:t>
            </w:r>
          </w:p>
        </w:tc>
        <w:tc>
          <w:tcPr>
            <w:tcW w:w="1276" w:type="dxa"/>
          </w:tcPr>
          <w:p w14:paraId="511FCA10">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编号</w:t>
            </w:r>
          </w:p>
        </w:tc>
        <w:tc>
          <w:tcPr>
            <w:tcW w:w="1618" w:type="dxa"/>
            <w:gridSpan w:val="2"/>
          </w:tcPr>
          <w:p w14:paraId="4B9796F0">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发证时间</w:t>
            </w:r>
          </w:p>
        </w:tc>
        <w:tc>
          <w:tcPr>
            <w:tcW w:w="933" w:type="dxa"/>
          </w:tcPr>
          <w:p w14:paraId="118647D6">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期限</w:t>
            </w:r>
          </w:p>
        </w:tc>
      </w:tr>
      <w:tr w14:paraId="75C9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7F720ED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553" w:type="dxa"/>
            <w:gridSpan w:val="2"/>
            <w:vMerge w:val="continue"/>
          </w:tcPr>
          <w:p w14:paraId="55B12B45">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333" w:type="dxa"/>
            <w:gridSpan w:val="3"/>
          </w:tcPr>
          <w:p w14:paraId="08D5E0FE">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418" w:type="dxa"/>
            <w:gridSpan w:val="2"/>
          </w:tcPr>
          <w:p w14:paraId="10252B78">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276" w:type="dxa"/>
          </w:tcPr>
          <w:p w14:paraId="7D01611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551" w:type="dxa"/>
            <w:gridSpan w:val="3"/>
          </w:tcPr>
          <w:p w14:paraId="38F6F95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52DF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42BF6574">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c>
          <w:tcPr>
            <w:tcW w:w="1553" w:type="dxa"/>
            <w:gridSpan w:val="2"/>
          </w:tcPr>
          <w:p w14:paraId="43A3F945">
            <w:pPr>
              <w:pStyle w:val="33"/>
              <w:shd w:val="clear" w:color="auto" w:fill="FFFFFF"/>
              <w:spacing w:before="0" w:beforeAutospacing="0" w:after="0" w:afterAutospacing="0" w:line="312" w:lineRule="auto"/>
              <w:ind w:right="-107" w:rightChars="-51"/>
              <w:rPr>
                <w:rFonts w:hint="eastAsia" w:asciiTheme="minorEastAsia" w:hAnsiTheme="minorEastAsia" w:eastAsiaTheme="minorEastAsia" w:cstheme="minorEastAsia"/>
                <w:bCs/>
                <w:spacing w:val="41"/>
                <w:highlight w:val="none"/>
              </w:rPr>
            </w:pPr>
            <w:r>
              <w:rPr>
                <w:rFonts w:hint="eastAsia" w:asciiTheme="minorEastAsia" w:hAnsiTheme="minorEastAsia" w:eastAsiaTheme="minorEastAsia" w:cstheme="minorEastAsia"/>
                <w:bCs/>
                <w:spacing w:val="41"/>
                <w:highlight w:val="none"/>
              </w:rPr>
              <w:t>企业通过质量体系、环保</w:t>
            </w:r>
            <w:r>
              <w:rPr>
                <w:rFonts w:hint="eastAsia" w:asciiTheme="minorEastAsia" w:hAnsiTheme="minorEastAsia" w:eastAsiaTheme="minorEastAsia" w:cstheme="minorEastAsia"/>
                <w:bCs/>
                <w:spacing w:val="11"/>
                <w:highlight w:val="none"/>
              </w:rPr>
              <w:t>体系、计量等认证情况</w:t>
            </w:r>
          </w:p>
        </w:tc>
        <w:tc>
          <w:tcPr>
            <w:tcW w:w="6578" w:type="dxa"/>
            <w:gridSpan w:val="9"/>
          </w:tcPr>
          <w:p w14:paraId="049E95A6">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7316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6D4955C1">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p>
        </w:tc>
        <w:tc>
          <w:tcPr>
            <w:tcW w:w="1553" w:type="dxa"/>
            <w:gridSpan w:val="2"/>
          </w:tcPr>
          <w:p w14:paraId="316BBD2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0"/>
                <w:highlight w:val="none"/>
              </w:rPr>
              <w:t>企业获得专利情况</w:t>
            </w:r>
          </w:p>
        </w:tc>
        <w:tc>
          <w:tcPr>
            <w:tcW w:w="6578" w:type="dxa"/>
            <w:gridSpan w:val="9"/>
          </w:tcPr>
          <w:p w14:paraId="0D438A1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bl>
    <w:p w14:paraId="31554447">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p w14:paraId="2F291D67">
      <w:pPr>
        <w:pStyle w:val="33"/>
        <w:shd w:val="clear" w:color="auto" w:fill="FFFFFF"/>
        <w:spacing w:before="0" w:beforeAutospacing="0" w:after="0" w:afterAutospacing="0" w:line="312" w:lineRule="auto"/>
        <w:ind w:firstLine="424" w:firstLineChars="20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1.姓名栏须将所有股东都统计在内，若非股份公司此行（第三行）无需填写；</w:t>
      </w:r>
    </w:p>
    <w:p w14:paraId="5759C871">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2A6B7097">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76CB2D0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6B8ADC5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9334F5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076B74F">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5632637">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7BE07F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0454010">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BB786D9">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1ABCEEED">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D26C77F">
      <w:pPr>
        <w:pStyle w:val="22"/>
        <w:ind w:left="0" w:leftChars="0" w:firstLine="0"/>
        <w:rPr>
          <w:rFonts w:hint="eastAsia" w:asciiTheme="minorEastAsia" w:hAnsiTheme="minorEastAsia" w:eastAsiaTheme="minorEastAsia" w:cstheme="minorEastAsia"/>
          <w:b/>
          <w:sz w:val="28"/>
          <w:highlight w:val="none"/>
        </w:rPr>
      </w:pPr>
    </w:p>
    <w:p w14:paraId="33C04554">
      <w:pPr>
        <w:snapToGrid w:val="0"/>
        <w:spacing w:before="50" w:after="0" w:line="312" w:lineRule="auto"/>
        <w:rPr>
          <w:rFonts w:hint="eastAsia" w:asciiTheme="minorEastAsia" w:hAnsiTheme="minorEastAsia" w:eastAsiaTheme="minorEastAsia" w:cstheme="minorEastAsia"/>
          <w:b/>
          <w:sz w:val="28"/>
          <w:highlight w:val="none"/>
        </w:rPr>
      </w:pPr>
    </w:p>
    <w:p w14:paraId="72307A75">
      <w:pPr>
        <w:snapToGrid w:val="0"/>
        <w:spacing w:before="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附件8</w:t>
      </w:r>
    </w:p>
    <w:p w14:paraId="48D6DDA1">
      <w:pPr>
        <w:spacing w:after="0" w:line="312" w:lineRule="auto"/>
        <w:ind w:left="48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技术需求响应表(第 标)</w:t>
      </w:r>
    </w:p>
    <w:p w14:paraId="76013E87">
      <w:pPr>
        <w:spacing w:after="0" w:line="312" w:lineRule="auto"/>
        <w:rPr>
          <w:rFonts w:hint="eastAsia" w:asciiTheme="minorEastAsia" w:hAnsiTheme="minorEastAsia" w:eastAsiaTheme="minorEastAsia" w:cstheme="minorEastAsia"/>
          <w:sz w:val="24"/>
          <w:highlight w:val="none"/>
        </w:rPr>
      </w:pPr>
    </w:p>
    <w:tbl>
      <w:tblPr>
        <w:tblStyle w:val="23"/>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14:paraId="56B2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14:paraId="28C8C777">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017" w:type="dxa"/>
            <w:vAlign w:val="center"/>
          </w:tcPr>
          <w:p w14:paraId="3998F4FA">
            <w:pPr>
              <w:spacing w:after="0" w:line="312" w:lineRule="auto"/>
              <w:ind w:left="13" w:leftChars="6"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1763" w:type="dxa"/>
            <w:vAlign w:val="center"/>
          </w:tcPr>
          <w:p w14:paraId="3BFADF01">
            <w:pPr>
              <w:spacing w:after="0" w:line="312" w:lineRule="auto"/>
              <w:ind w:left="15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招标参数</w:t>
            </w:r>
          </w:p>
        </w:tc>
        <w:tc>
          <w:tcPr>
            <w:tcW w:w="1583" w:type="dxa"/>
            <w:vAlign w:val="center"/>
          </w:tcPr>
          <w:p w14:paraId="224A0E72">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投标参数</w:t>
            </w:r>
          </w:p>
        </w:tc>
        <w:tc>
          <w:tcPr>
            <w:tcW w:w="1542" w:type="dxa"/>
            <w:vAlign w:val="center"/>
          </w:tcPr>
          <w:p w14:paraId="0E18E02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偏离说明</w:t>
            </w:r>
          </w:p>
        </w:tc>
        <w:tc>
          <w:tcPr>
            <w:tcW w:w="1542" w:type="dxa"/>
            <w:vAlign w:val="center"/>
          </w:tcPr>
          <w:p w14:paraId="6B5C804D">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2F2B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14:paraId="28C909A7">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43840FDA">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3C610346">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70C76F8A">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2E0EFC8B">
            <w:pPr>
              <w:spacing w:after="0" w:line="312" w:lineRule="auto"/>
              <w:rPr>
                <w:rFonts w:hint="eastAsia" w:asciiTheme="minorEastAsia" w:hAnsiTheme="minorEastAsia" w:eastAsiaTheme="minorEastAsia" w:cstheme="minorEastAsia"/>
                <w:sz w:val="24"/>
                <w:highlight w:val="none"/>
              </w:rPr>
            </w:pPr>
          </w:p>
        </w:tc>
        <w:tc>
          <w:tcPr>
            <w:tcW w:w="1542" w:type="dxa"/>
          </w:tcPr>
          <w:p w14:paraId="0FFB1A45">
            <w:pPr>
              <w:spacing w:after="0" w:line="312" w:lineRule="auto"/>
              <w:rPr>
                <w:rFonts w:hint="eastAsia" w:asciiTheme="minorEastAsia" w:hAnsiTheme="minorEastAsia" w:eastAsiaTheme="minorEastAsia" w:cstheme="minorEastAsia"/>
                <w:sz w:val="24"/>
                <w:highlight w:val="none"/>
              </w:rPr>
            </w:pPr>
          </w:p>
        </w:tc>
      </w:tr>
      <w:tr w14:paraId="6AD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3297CF32">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04F47880">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31BF76FB">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194442AB">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6ABE5889">
            <w:pPr>
              <w:spacing w:after="0" w:line="312" w:lineRule="auto"/>
              <w:rPr>
                <w:rFonts w:hint="eastAsia" w:asciiTheme="minorEastAsia" w:hAnsiTheme="minorEastAsia" w:eastAsiaTheme="minorEastAsia" w:cstheme="minorEastAsia"/>
                <w:sz w:val="24"/>
                <w:highlight w:val="none"/>
              </w:rPr>
            </w:pPr>
          </w:p>
        </w:tc>
        <w:tc>
          <w:tcPr>
            <w:tcW w:w="1542" w:type="dxa"/>
          </w:tcPr>
          <w:p w14:paraId="23576560">
            <w:pPr>
              <w:spacing w:after="0" w:line="312" w:lineRule="auto"/>
              <w:rPr>
                <w:rFonts w:hint="eastAsia" w:asciiTheme="minorEastAsia" w:hAnsiTheme="minorEastAsia" w:eastAsiaTheme="minorEastAsia" w:cstheme="minorEastAsia"/>
                <w:sz w:val="24"/>
                <w:highlight w:val="none"/>
              </w:rPr>
            </w:pPr>
          </w:p>
        </w:tc>
      </w:tr>
      <w:tr w14:paraId="6F2F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1B250532">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6450BA1">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51DC0FBB">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25456AC">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788DC0E0">
            <w:pPr>
              <w:spacing w:after="0" w:line="312" w:lineRule="auto"/>
              <w:rPr>
                <w:rFonts w:hint="eastAsia" w:asciiTheme="minorEastAsia" w:hAnsiTheme="minorEastAsia" w:eastAsiaTheme="minorEastAsia" w:cstheme="minorEastAsia"/>
                <w:sz w:val="24"/>
                <w:highlight w:val="none"/>
              </w:rPr>
            </w:pPr>
          </w:p>
        </w:tc>
        <w:tc>
          <w:tcPr>
            <w:tcW w:w="1542" w:type="dxa"/>
          </w:tcPr>
          <w:p w14:paraId="712D3AA6">
            <w:pPr>
              <w:spacing w:after="0" w:line="312" w:lineRule="auto"/>
              <w:rPr>
                <w:rFonts w:hint="eastAsia" w:asciiTheme="minorEastAsia" w:hAnsiTheme="minorEastAsia" w:eastAsiaTheme="minorEastAsia" w:cstheme="minorEastAsia"/>
                <w:sz w:val="24"/>
                <w:highlight w:val="none"/>
              </w:rPr>
            </w:pPr>
          </w:p>
        </w:tc>
      </w:tr>
      <w:tr w14:paraId="4FA9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1C57C3E9">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6E0371D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5327DA0">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4D0A322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B33B407">
            <w:pPr>
              <w:spacing w:after="0" w:line="312" w:lineRule="auto"/>
              <w:rPr>
                <w:rFonts w:hint="eastAsia" w:asciiTheme="minorEastAsia" w:hAnsiTheme="minorEastAsia" w:eastAsiaTheme="minorEastAsia" w:cstheme="minorEastAsia"/>
                <w:sz w:val="24"/>
                <w:highlight w:val="none"/>
              </w:rPr>
            </w:pPr>
          </w:p>
        </w:tc>
        <w:tc>
          <w:tcPr>
            <w:tcW w:w="1542" w:type="dxa"/>
          </w:tcPr>
          <w:p w14:paraId="298E358E">
            <w:pPr>
              <w:spacing w:after="0" w:line="312" w:lineRule="auto"/>
              <w:rPr>
                <w:rFonts w:hint="eastAsia" w:asciiTheme="minorEastAsia" w:hAnsiTheme="minorEastAsia" w:eastAsiaTheme="minorEastAsia" w:cstheme="minorEastAsia"/>
                <w:sz w:val="24"/>
                <w:highlight w:val="none"/>
              </w:rPr>
            </w:pPr>
          </w:p>
        </w:tc>
      </w:tr>
      <w:tr w14:paraId="647A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30" w:type="dxa"/>
            <w:vAlign w:val="center"/>
          </w:tcPr>
          <w:p w14:paraId="2C1E5037">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21F82726">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48029620">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264621BE">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6B8940E0">
            <w:pPr>
              <w:spacing w:after="0" w:line="312" w:lineRule="auto"/>
              <w:rPr>
                <w:rFonts w:hint="eastAsia" w:asciiTheme="minorEastAsia" w:hAnsiTheme="minorEastAsia" w:eastAsiaTheme="minorEastAsia" w:cstheme="minorEastAsia"/>
                <w:sz w:val="24"/>
                <w:highlight w:val="none"/>
              </w:rPr>
            </w:pPr>
          </w:p>
        </w:tc>
        <w:tc>
          <w:tcPr>
            <w:tcW w:w="1542" w:type="dxa"/>
          </w:tcPr>
          <w:p w14:paraId="0B8ABCD3">
            <w:pPr>
              <w:spacing w:after="0" w:line="312" w:lineRule="auto"/>
              <w:rPr>
                <w:rFonts w:hint="eastAsia" w:asciiTheme="minorEastAsia" w:hAnsiTheme="minorEastAsia" w:eastAsiaTheme="minorEastAsia" w:cstheme="minorEastAsia"/>
                <w:sz w:val="24"/>
                <w:highlight w:val="none"/>
              </w:rPr>
            </w:pPr>
          </w:p>
        </w:tc>
      </w:tr>
      <w:tr w14:paraId="533C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vAlign w:val="center"/>
          </w:tcPr>
          <w:p w14:paraId="51CE8A1B">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B94FF1A">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E0B8BB9">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3BFBF4A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4BE65ABA">
            <w:pPr>
              <w:spacing w:after="0" w:line="312" w:lineRule="auto"/>
              <w:rPr>
                <w:rFonts w:hint="eastAsia" w:asciiTheme="minorEastAsia" w:hAnsiTheme="minorEastAsia" w:eastAsiaTheme="minorEastAsia" w:cstheme="minorEastAsia"/>
                <w:sz w:val="24"/>
                <w:highlight w:val="none"/>
              </w:rPr>
            </w:pPr>
          </w:p>
        </w:tc>
        <w:tc>
          <w:tcPr>
            <w:tcW w:w="1542" w:type="dxa"/>
          </w:tcPr>
          <w:p w14:paraId="5F336F27">
            <w:pPr>
              <w:spacing w:after="0" w:line="312" w:lineRule="auto"/>
              <w:rPr>
                <w:rFonts w:hint="eastAsia" w:asciiTheme="minorEastAsia" w:hAnsiTheme="minorEastAsia" w:eastAsiaTheme="minorEastAsia" w:cstheme="minorEastAsia"/>
                <w:sz w:val="24"/>
                <w:highlight w:val="none"/>
              </w:rPr>
            </w:pPr>
          </w:p>
        </w:tc>
      </w:tr>
      <w:tr w14:paraId="03F4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459815D9">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68B06C9">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4E904EDF">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112E929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42BB3D18">
            <w:pPr>
              <w:spacing w:after="0" w:line="312" w:lineRule="auto"/>
              <w:rPr>
                <w:rFonts w:hint="eastAsia" w:asciiTheme="minorEastAsia" w:hAnsiTheme="minorEastAsia" w:eastAsiaTheme="minorEastAsia" w:cstheme="minorEastAsia"/>
                <w:sz w:val="24"/>
                <w:highlight w:val="none"/>
              </w:rPr>
            </w:pPr>
          </w:p>
        </w:tc>
        <w:tc>
          <w:tcPr>
            <w:tcW w:w="1542" w:type="dxa"/>
          </w:tcPr>
          <w:p w14:paraId="24239411">
            <w:pPr>
              <w:spacing w:after="0" w:line="312" w:lineRule="auto"/>
              <w:rPr>
                <w:rFonts w:hint="eastAsia" w:asciiTheme="minorEastAsia" w:hAnsiTheme="minorEastAsia" w:eastAsiaTheme="minorEastAsia" w:cstheme="minorEastAsia"/>
                <w:sz w:val="24"/>
                <w:highlight w:val="none"/>
              </w:rPr>
            </w:pPr>
          </w:p>
        </w:tc>
      </w:tr>
    </w:tbl>
    <w:p w14:paraId="46D1E616">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p>
    <w:p w14:paraId="7D74A91D">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要求：</w:t>
      </w:r>
    </w:p>
    <w:p w14:paraId="7F88B68A">
      <w:pPr>
        <w:pStyle w:val="35"/>
        <w:tabs>
          <w:tab w:val="left" w:pos="360"/>
        </w:tabs>
        <w:spacing w:line="360" w:lineRule="auto"/>
        <w:ind w:right="84" w:rightChars="4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1.本表参照本招标文件第二章“采购需求”填制，投标人应根据投标服务指标，对照招标文件要求在“偏离情况”栏注明“正偏离”、“负偏离”或“无偏离”。</w:t>
      </w:r>
    </w:p>
    <w:p w14:paraId="3ACFD9D3">
      <w:pPr>
        <w:spacing w:line="360" w:lineRule="auto"/>
        <w:ind w:left="420"/>
        <w:rPr>
          <w:rFonts w:hint="eastAsia" w:asciiTheme="minorEastAsia" w:hAnsiTheme="minorEastAsia" w:eastAsiaTheme="minorEastAsia" w:cstheme="minorEastAsia"/>
          <w:sz w:val="24"/>
          <w:highlight w:val="none"/>
        </w:rPr>
      </w:pPr>
    </w:p>
    <w:p w14:paraId="52E439B6">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1886CE9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06B037AC">
      <w:pPr>
        <w:spacing w:line="360" w:lineRule="auto"/>
        <w:ind w:firstLine="435"/>
        <w:rPr>
          <w:rFonts w:hint="eastAsia" w:asciiTheme="minorEastAsia" w:hAnsiTheme="minorEastAsia" w:eastAsiaTheme="minorEastAsia" w:cstheme="minorEastAsia"/>
          <w:sz w:val="24"/>
          <w:highlight w:val="none"/>
        </w:rPr>
      </w:pPr>
    </w:p>
    <w:p w14:paraId="31547988">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10C72B27">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bCs/>
          <w:sz w:val="28"/>
          <w:szCs w:val="28"/>
          <w:highlight w:val="none"/>
        </w:rPr>
        <w:br w:type="page"/>
      </w:r>
    </w:p>
    <w:p w14:paraId="43CF3B5A">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附件9</w:t>
      </w:r>
    </w:p>
    <w:p w14:paraId="0024D0C7">
      <w:pPr>
        <w:pStyle w:val="37"/>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证书一览表</w:t>
      </w:r>
    </w:p>
    <w:p w14:paraId="1F6A170B">
      <w:pPr>
        <w:pStyle w:val="37"/>
        <w:spacing w:after="0" w:line="312" w:lineRule="auto"/>
        <w:jc w:val="center"/>
        <w:rPr>
          <w:rFonts w:hint="eastAsia" w:asciiTheme="minorEastAsia" w:hAnsiTheme="minorEastAsia" w:eastAsiaTheme="minorEastAsia" w:cstheme="minorEastAsia"/>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7B6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4402D60B">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证书名称</w:t>
            </w:r>
          </w:p>
        </w:tc>
        <w:tc>
          <w:tcPr>
            <w:tcW w:w="2258" w:type="dxa"/>
            <w:tcBorders>
              <w:top w:val="single" w:color="auto" w:sz="4" w:space="0"/>
              <w:bottom w:val="single" w:color="auto" w:sz="4" w:space="0"/>
            </w:tcBorders>
          </w:tcPr>
          <w:p w14:paraId="3BDA2C14">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发证单位</w:t>
            </w:r>
          </w:p>
        </w:tc>
        <w:tc>
          <w:tcPr>
            <w:tcW w:w="2260" w:type="dxa"/>
            <w:tcBorders>
              <w:top w:val="single" w:color="auto" w:sz="4" w:space="0"/>
              <w:bottom w:val="single" w:color="auto" w:sz="4" w:space="0"/>
            </w:tcBorders>
          </w:tcPr>
          <w:p w14:paraId="3BD9CB11">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证书等级</w:t>
            </w:r>
          </w:p>
        </w:tc>
        <w:tc>
          <w:tcPr>
            <w:tcW w:w="2047" w:type="dxa"/>
            <w:tcBorders>
              <w:top w:val="single" w:color="auto" w:sz="4" w:space="0"/>
              <w:bottom w:val="single" w:color="auto" w:sz="4" w:space="0"/>
              <w:right w:val="single" w:color="auto" w:sz="4" w:space="0"/>
            </w:tcBorders>
          </w:tcPr>
          <w:p w14:paraId="2D500FD0">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证书有效期</w:t>
            </w:r>
          </w:p>
        </w:tc>
      </w:tr>
      <w:tr w14:paraId="18761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F3A81F5">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top w:val="single" w:color="auto" w:sz="4" w:space="0"/>
            </w:tcBorders>
          </w:tcPr>
          <w:p w14:paraId="62986B72">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top w:val="single" w:color="auto" w:sz="4" w:space="0"/>
            </w:tcBorders>
          </w:tcPr>
          <w:p w14:paraId="0C5ECD48">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top w:val="single" w:color="auto" w:sz="4" w:space="0"/>
              <w:right w:val="single" w:color="auto" w:sz="4" w:space="0"/>
            </w:tcBorders>
          </w:tcPr>
          <w:p w14:paraId="2BF606F8">
            <w:pPr>
              <w:pStyle w:val="37"/>
              <w:spacing w:after="0" w:line="312" w:lineRule="auto"/>
              <w:jc w:val="center"/>
              <w:rPr>
                <w:rFonts w:hint="eastAsia" w:asciiTheme="minorEastAsia" w:hAnsiTheme="minorEastAsia" w:eastAsiaTheme="minorEastAsia" w:cstheme="minorEastAsia"/>
                <w:szCs w:val="21"/>
                <w:highlight w:val="none"/>
              </w:rPr>
            </w:pPr>
          </w:p>
        </w:tc>
      </w:tr>
      <w:tr w14:paraId="59115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5DCF83D">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92BE8F9">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74953D65">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1C613A96">
            <w:pPr>
              <w:pStyle w:val="37"/>
              <w:spacing w:after="0" w:line="312" w:lineRule="auto"/>
              <w:jc w:val="center"/>
              <w:rPr>
                <w:rFonts w:hint="eastAsia" w:asciiTheme="minorEastAsia" w:hAnsiTheme="minorEastAsia" w:eastAsiaTheme="minorEastAsia" w:cstheme="minorEastAsia"/>
                <w:szCs w:val="21"/>
                <w:highlight w:val="none"/>
              </w:rPr>
            </w:pPr>
          </w:p>
        </w:tc>
      </w:tr>
      <w:tr w14:paraId="593D1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A92A7EF">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3741403C">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D4A116A">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7D8B049E">
            <w:pPr>
              <w:pStyle w:val="37"/>
              <w:spacing w:after="0" w:line="312" w:lineRule="auto"/>
              <w:jc w:val="center"/>
              <w:rPr>
                <w:rFonts w:hint="eastAsia" w:asciiTheme="minorEastAsia" w:hAnsiTheme="minorEastAsia" w:eastAsiaTheme="minorEastAsia" w:cstheme="minorEastAsia"/>
                <w:szCs w:val="21"/>
                <w:highlight w:val="none"/>
              </w:rPr>
            </w:pPr>
          </w:p>
        </w:tc>
      </w:tr>
      <w:tr w14:paraId="01FC1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8B2091B">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1141BE4">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7B7EAD73">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45D11AC0">
            <w:pPr>
              <w:pStyle w:val="37"/>
              <w:spacing w:after="0" w:line="312" w:lineRule="auto"/>
              <w:jc w:val="center"/>
              <w:rPr>
                <w:rFonts w:hint="eastAsia" w:asciiTheme="minorEastAsia" w:hAnsiTheme="minorEastAsia" w:eastAsiaTheme="minorEastAsia" w:cstheme="minorEastAsia"/>
                <w:szCs w:val="21"/>
                <w:highlight w:val="none"/>
              </w:rPr>
            </w:pPr>
          </w:p>
        </w:tc>
      </w:tr>
      <w:tr w14:paraId="19E6E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A8DA9D">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6ED78F47">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EA08A42">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4FE4DC5E">
            <w:pPr>
              <w:pStyle w:val="37"/>
              <w:spacing w:after="0" w:line="312" w:lineRule="auto"/>
              <w:jc w:val="center"/>
              <w:rPr>
                <w:rFonts w:hint="eastAsia" w:asciiTheme="minorEastAsia" w:hAnsiTheme="minorEastAsia" w:eastAsiaTheme="minorEastAsia" w:cstheme="minorEastAsia"/>
                <w:szCs w:val="21"/>
                <w:highlight w:val="none"/>
              </w:rPr>
            </w:pPr>
          </w:p>
        </w:tc>
      </w:tr>
      <w:tr w14:paraId="24E12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B0D8E00">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620D795A">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39F56C5B">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174A9FCD">
            <w:pPr>
              <w:pStyle w:val="37"/>
              <w:spacing w:after="0" w:line="312" w:lineRule="auto"/>
              <w:jc w:val="center"/>
              <w:rPr>
                <w:rFonts w:hint="eastAsia" w:asciiTheme="minorEastAsia" w:hAnsiTheme="minorEastAsia" w:eastAsiaTheme="minorEastAsia" w:cstheme="minorEastAsia"/>
                <w:szCs w:val="21"/>
                <w:highlight w:val="none"/>
              </w:rPr>
            </w:pPr>
          </w:p>
        </w:tc>
      </w:tr>
      <w:tr w14:paraId="5DF6EC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D76F616">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bottom w:val="single" w:color="auto" w:sz="4" w:space="0"/>
            </w:tcBorders>
          </w:tcPr>
          <w:p w14:paraId="07CB942B">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bottom w:val="single" w:color="auto" w:sz="4" w:space="0"/>
            </w:tcBorders>
          </w:tcPr>
          <w:p w14:paraId="27FFF7EF">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bottom w:val="single" w:color="auto" w:sz="4" w:space="0"/>
              <w:right w:val="single" w:color="auto" w:sz="4" w:space="0"/>
            </w:tcBorders>
          </w:tcPr>
          <w:p w14:paraId="21D75C26">
            <w:pPr>
              <w:pStyle w:val="37"/>
              <w:spacing w:after="0" w:line="312" w:lineRule="auto"/>
              <w:jc w:val="center"/>
              <w:rPr>
                <w:rFonts w:hint="eastAsia" w:asciiTheme="minorEastAsia" w:hAnsiTheme="minorEastAsia" w:eastAsiaTheme="minorEastAsia" w:cstheme="minorEastAsia"/>
                <w:szCs w:val="21"/>
                <w:highlight w:val="none"/>
              </w:rPr>
            </w:pPr>
          </w:p>
        </w:tc>
      </w:tr>
    </w:tbl>
    <w:p w14:paraId="64E9593C">
      <w:pPr>
        <w:pStyle w:val="37"/>
        <w:tabs>
          <w:tab w:val="left" w:pos="1050"/>
        </w:tabs>
        <w:spacing w:after="0" w:line="312" w:lineRule="auto"/>
        <w:rPr>
          <w:rFonts w:hint="eastAsia" w:asciiTheme="minorEastAsia" w:hAnsiTheme="minorEastAsia" w:eastAsiaTheme="minorEastAsia" w:cstheme="minorEastAsia"/>
          <w:sz w:val="24"/>
          <w:highlight w:val="none"/>
        </w:rPr>
      </w:pPr>
    </w:p>
    <w:p w14:paraId="67113E2B">
      <w:pPr>
        <w:pStyle w:val="37"/>
        <w:tabs>
          <w:tab w:val="left" w:pos="1050"/>
        </w:tabs>
        <w:spacing w:after="0" w:line="312"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p>
    <w:p w14:paraId="1B8ADCA1">
      <w:pPr>
        <w:pStyle w:val="37"/>
        <w:tabs>
          <w:tab w:val="left" w:pos="1050"/>
        </w:tabs>
        <w:spacing w:after="0" w:line="312" w:lineRule="auto"/>
        <w:ind w:firstLine="424" w:firstLineChars="20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1.填写投标人获得资质、认证或企业信誉证书；</w:t>
      </w:r>
    </w:p>
    <w:p w14:paraId="393EBA45">
      <w:pPr>
        <w:pStyle w:val="37"/>
        <w:tabs>
          <w:tab w:val="left" w:pos="1050"/>
        </w:tabs>
        <w:spacing w:after="0" w:line="312" w:lineRule="auto"/>
        <w:ind w:firstLine="424" w:firstLineChars="20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2.附所列证书复印件或其他证明材料。</w:t>
      </w:r>
    </w:p>
    <w:p w14:paraId="367CC23B">
      <w:pPr>
        <w:pStyle w:val="37"/>
        <w:tabs>
          <w:tab w:val="left" w:pos="1050"/>
        </w:tabs>
        <w:spacing w:after="0" w:line="312" w:lineRule="auto"/>
        <w:ind w:firstLine="720" w:firstLineChars="300"/>
        <w:rPr>
          <w:rFonts w:hint="eastAsia" w:asciiTheme="minorEastAsia" w:hAnsiTheme="minorEastAsia" w:eastAsiaTheme="minorEastAsia" w:cstheme="minorEastAsia"/>
          <w:sz w:val="24"/>
          <w:highlight w:val="none"/>
        </w:rPr>
      </w:pPr>
    </w:p>
    <w:p w14:paraId="6B34311D">
      <w:pPr>
        <w:spacing w:after="0" w:line="312" w:lineRule="auto"/>
        <w:ind w:firstLine="424" w:firstLineChars="177"/>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4C4D2404">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66B784E">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23F333C9">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44166BA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B2BCF8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AC4AE2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6590426">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0010FAD">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3C3530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7547AE7">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EFB971B">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4E0C09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D48921B">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419F352">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32985EA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1A7388DB">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附件10</w:t>
      </w:r>
    </w:p>
    <w:p w14:paraId="5D55F3C7">
      <w:pPr>
        <w:pStyle w:val="36"/>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投标人类似项目实施情况一览表</w:t>
      </w:r>
    </w:p>
    <w:p w14:paraId="4575F84D">
      <w:pPr>
        <w:pStyle w:val="36"/>
        <w:spacing w:after="0" w:line="312" w:lineRule="auto"/>
        <w:jc w:val="center"/>
        <w:rPr>
          <w:rFonts w:hint="eastAsia" w:asciiTheme="minorEastAsia" w:hAnsiTheme="minorEastAsia" w:eastAsiaTheme="minorEastAsia" w:cstheme="minorEastAsia"/>
          <w:b/>
          <w:sz w:val="28"/>
          <w:szCs w:val="28"/>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839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9C38819">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D491706">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8052942">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90C87EB">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0C70C07">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253139">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0DE38E4">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项目单位名称及其联系人电话</w:t>
            </w:r>
          </w:p>
        </w:tc>
      </w:tr>
      <w:tr w14:paraId="282FE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9465915">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AD44736">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BC8829">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C04072">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5752E0D">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B74A45A">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D205A9">
            <w:pPr>
              <w:pStyle w:val="36"/>
              <w:spacing w:after="0" w:line="312" w:lineRule="auto"/>
              <w:rPr>
                <w:rFonts w:hint="eastAsia" w:asciiTheme="minorEastAsia" w:hAnsiTheme="minorEastAsia" w:eastAsiaTheme="minorEastAsia" w:cstheme="minorEastAsia"/>
                <w:sz w:val="24"/>
                <w:highlight w:val="none"/>
              </w:rPr>
            </w:pPr>
          </w:p>
        </w:tc>
      </w:tr>
      <w:tr w14:paraId="063E7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19593DC">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25641AD">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222731F">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A74E0B">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369D77B">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C8191">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83897E">
            <w:pPr>
              <w:pStyle w:val="36"/>
              <w:spacing w:after="0" w:line="312" w:lineRule="auto"/>
              <w:rPr>
                <w:rFonts w:hint="eastAsia" w:asciiTheme="minorEastAsia" w:hAnsiTheme="minorEastAsia" w:eastAsiaTheme="minorEastAsia" w:cstheme="minorEastAsia"/>
                <w:sz w:val="24"/>
                <w:highlight w:val="none"/>
              </w:rPr>
            </w:pPr>
          </w:p>
        </w:tc>
      </w:tr>
      <w:tr w14:paraId="217B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65A5E66">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3E43DF4">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299DBF">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9575A3">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1CED278">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66D20C8">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38F74AB">
            <w:pPr>
              <w:pStyle w:val="36"/>
              <w:spacing w:after="0" w:line="312" w:lineRule="auto"/>
              <w:rPr>
                <w:rFonts w:hint="eastAsia" w:asciiTheme="minorEastAsia" w:hAnsiTheme="minorEastAsia" w:eastAsiaTheme="minorEastAsia" w:cstheme="minorEastAsia"/>
                <w:sz w:val="24"/>
                <w:highlight w:val="none"/>
              </w:rPr>
            </w:pPr>
          </w:p>
        </w:tc>
      </w:tr>
      <w:tr w14:paraId="28BFC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B8346C">
            <w:pPr>
              <w:pStyle w:val="36"/>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1BBFC5F7">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71A4716">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625CCDE">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3312B20">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0505997">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589F66E">
            <w:pPr>
              <w:pStyle w:val="36"/>
              <w:spacing w:after="0" w:line="312" w:lineRule="auto"/>
              <w:rPr>
                <w:rFonts w:hint="eastAsia" w:asciiTheme="minorEastAsia" w:hAnsiTheme="minorEastAsia" w:eastAsiaTheme="minorEastAsia" w:cstheme="minorEastAsia"/>
                <w:sz w:val="24"/>
                <w:highlight w:val="none"/>
              </w:rPr>
            </w:pPr>
          </w:p>
        </w:tc>
      </w:tr>
      <w:tr w14:paraId="04C4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160E31A">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CF552E8">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A7A6ECA">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F9136C">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F6B007B">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6FE5E40">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772A8D8">
            <w:pPr>
              <w:pStyle w:val="36"/>
              <w:spacing w:after="0" w:line="312" w:lineRule="auto"/>
              <w:rPr>
                <w:rFonts w:hint="eastAsia" w:asciiTheme="minorEastAsia" w:hAnsiTheme="minorEastAsia" w:eastAsiaTheme="minorEastAsia" w:cstheme="minorEastAsia"/>
                <w:sz w:val="24"/>
                <w:highlight w:val="none"/>
              </w:rPr>
            </w:pPr>
          </w:p>
        </w:tc>
      </w:tr>
      <w:tr w14:paraId="075D4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CB23117">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B1246F9">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739B5F7">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06BA12">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91D0940">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9F8A562">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2ED5EDE">
            <w:pPr>
              <w:pStyle w:val="36"/>
              <w:spacing w:after="0" w:line="312" w:lineRule="auto"/>
              <w:rPr>
                <w:rFonts w:hint="eastAsia" w:asciiTheme="minorEastAsia" w:hAnsiTheme="minorEastAsia" w:eastAsiaTheme="minorEastAsia" w:cstheme="minorEastAsia"/>
                <w:sz w:val="24"/>
                <w:highlight w:val="none"/>
              </w:rPr>
            </w:pPr>
          </w:p>
        </w:tc>
      </w:tr>
      <w:tr w14:paraId="5FB1B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FC5E4D6">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5E89D31">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7E32429">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EF1E0C">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3609471">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B2B840C">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F75A7C2">
            <w:pPr>
              <w:pStyle w:val="36"/>
              <w:spacing w:after="0" w:line="312" w:lineRule="auto"/>
              <w:rPr>
                <w:rFonts w:hint="eastAsia" w:asciiTheme="minorEastAsia" w:hAnsiTheme="minorEastAsia" w:eastAsiaTheme="minorEastAsia" w:cstheme="minorEastAsia"/>
                <w:sz w:val="24"/>
                <w:highlight w:val="none"/>
              </w:rPr>
            </w:pPr>
          </w:p>
        </w:tc>
      </w:tr>
    </w:tbl>
    <w:p w14:paraId="3ED82434">
      <w:pPr>
        <w:autoSpaceDE w:val="0"/>
        <w:autoSpaceDN w:val="0"/>
        <w:adjustRightInd w:val="0"/>
        <w:spacing w:before="156" w:beforeLines="50"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要求：</w:t>
      </w:r>
    </w:p>
    <w:p w14:paraId="04F1AB2C">
      <w:pPr>
        <w:autoSpaceDE w:val="0"/>
        <w:autoSpaceDN w:val="0"/>
        <w:adjustRightInd w:val="0"/>
        <w:spacing w:before="156" w:beforeLines="50" w:after="0" w:line="312" w:lineRule="auto"/>
        <w:ind w:firstLine="424" w:firstLineChars="20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1.业绩证明应提供证明材料（合同复印件可只提供首页、含金额页、盖章页并加盖投标人公章）；</w:t>
      </w:r>
    </w:p>
    <w:p w14:paraId="46406703">
      <w:pPr>
        <w:spacing w:after="0" w:line="312" w:lineRule="auto"/>
        <w:ind w:firstLine="424" w:firstLineChars="202"/>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Cs w:val="21"/>
          <w:highlight w:val="none"/>
        </w:rPr>
        <w:t>2.报价供应商可按此表格式复制。</w:t>
      </w:r>
    </w:p>
    <w:p w14:paraId="2FBCC87D">
      <w:pPr>
        <w:spacing w:after="0" w:line="312" w:lineRule="auto"/>
        <w:ind w:left="420"/>
        <w:rPr>
          <w:rFonts w:hint="eastAsia" w:asciiTheme="minorEastAsia" w:hAnsiTheme="minorEastAsia" w:eastAsiaTheme="minorEastAsia" w:cstheme="minorEastAsia"/>
          <w:sz w:val="24"/>
          <w:highlight w:val="none"/>
        </w:rPr>
      </w:pPr>
    </w:p>
    <w:p w14:paraId="78643A8C">
      <w:pPr>
        <w:spacing w:after="0" w:line="312" w:lineRule="auto"/>
        <w:ind w:left="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38271694">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E9A0036">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0506E64C">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74BD9A71">
      <w:pPr>
        <w:pStyle w:val="22"/>
        <w:rPr>
          <w:rFonts w:hint="eastAsia" w:asciiTheme="minorEastAsia" w:hAnsiTheme="minorEastAsia" w:eastAsiaTheme="minorEastAsia" w:cstheme="minorEastAsia"/>
          <w:sz w:val="24"/>
          <w:highlight w:val="none"/>
        </w:rPr>
      </w:pPr>
    </w:p>
    <w:p w14:paraId="28DAE108">
      <w:pPr>
        <w:pStyle w:val="22"/>
        <w:rPr>
          <w:rFonts w:hint="eastAsia" w:asciiTheme="minorEastAsia" w:hAnsiTheme="minorEastAsia" w:eastAsiaTheme="minorEastAsia" w:cstheme="minorEastAsia"/>
          <w:sz w:val="24"/>
          <w:highlight w:val="none"/>
        </w:rPr>
      </w:pPr>
    </w:p>
    <w:p w14:paraId="6FF7ACAC">
      <w:pPr>
        <w:pStyle w:val="22"/>
        <w:rPr>
          <w:rFonts w:hint="eastAsia" w:asciiTheme="minorEastAsia" w:hAnsiTheme="minorEastAsia" w:eastAsiaTheme="minorEastAsia" w:cstheme="minorEastAsia"/>
          <w:sz w:val="24"/>
          <w:highlight w:val="none"/>
        </w:rPr>
      </w:pPr>
    </w:p>
    <w:p w14:paraId="0BA8283E">
      <w:pPr>
        <w:pStyle w:val="22"/>
        <w:rPr>
          <w:rFonts w:hint="eastAsia" w:asciiTheme="minorEastAsia" w:hAnsiTheme="minorEastAsia" w:eastAsiaTheme="minorEastAsia" w:cstheme="minorEastAsia"/>
          <w:sz w:val="24"/>
          <w:highlight w:val="none"/>
        </w:rPr>
      </w:pPr>
    </w:p>
    <w:p w14:paraId="4D1C7969">
      <w:pPr>
        <w:pStyle w:val="22"/>
        <w:rPr>
          <w:rFonts w:hint="eastAsia" w:asciiTheme="minorEastAsia" w:hAnsiTheme="minorEastAsia" w:eastAsiaTheme="minorEastAsia" w:cstheme="minorEastAsia"/>
          <w:sz w:val="24"/>
          <w:highlight w:val="none"/>
        </w:rPr>
      </w:pPr>
    </w:p>
    <w:p w14:paraId="586A9566">
      <w:pPr>
        <w:pStyle w:val="22"/>
        <w:rPr>
          <w:rFonts w:hint="eastAsia" w:asciiTheme="minorEastAsia" w:hAnsiTheme="minorEastAsia" w:eastAsiaTheme="minorEastAsia" w:cstheme="minorEastAsia"/>
          <w:sz w:val="24"/>
          <w:highlight w:val="none"/>
        </w:rPr>
      </w:pPr>
    </w:p>
    <w:p w14:paraId="0BF2453F">
      <w:pPr>
        <w:pStyle w:val="22"/>
        <w:rPr>
          <w:rFonts w:hint="eastAsia" w:asciiTheme="minorEastAsia" w:hAnsiTheme="minorEastAsia" w:eastAsiaTheme="minorEastAsia" w:cstheme="minorEastAsia"/>
          <w:sz w:val="24"/>
          <w:highlight w:val="none"/>
        </w:rPr>
      </w:pPr>
    </w:p>
    <w:p w14:paraId="68573789">
      <w:pPr>
        <w:pStyle w:val="22"/>
        <w:ind w:left="0" w:leftChars="0" w:firstLine="0"/>
        <w:rPr>
          <w:rFonts w:hint="eastAsia" w:asciiTheme="minorEastAsia" w:hAnsiTheme="minorEastAsia" w:eastAsiaTheme="minorEastAsia" w:cstheme="minorEastAsia"/>
          <w:sz w:val="24"/>
          <w:highlight w:val="none"/>
        </w:rPr>
      </w:pPr>
    </w:p>
    <w:p w14:paraId="74FA5EB4">
      <w:pPr>
        <w:pStyle w:val="37"/>
        <w:tabs>
          <w:tab w:val="left" w:pos="1050"/>
        </w:tabs>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8"/>
          <w:highlight w:val="none"/>
        </w:rPr>
        <w:t>附件11</w:t>
      </w:r>
    </w:p>
    <w:p w14:paraId="44101AB9">
      <w:pPr>
        <w:spacing w:after="0" w:line="312" w:lineRule="auto"/>
        <w:ind w:left="549" w:hanging="549" w:hangingChars="171"/>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资信及商务需求响应表(第 标)</w:t>
      </w:r>
    </w:p>
    <w:p w14:paraId="38DE0473">
      <w:pPr>
        <w:spacing w:after="0" w:line="312" w:lineRule="auto"/>
        <w:ind w:left="481" w:leftChars="229" w:firstLine="813" w:firstLineChars="450"/>
        <w:rPr>
          <w:rFonts w:hint="eastAsia" w:asciiTheme="minorEastAsia" w:hAnsiTheme="minorEastAsia" w:eastAsiaTheme="minorEastAsia" w:cstheme="minorEastAsia"/>
          <w:b/>
          <w:sz w:val="18"/>
          <w:szCs w:val="18"/>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43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85D7011">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1785" w:type="dxa"/>
            <w:vAlign w:val="center"/>
          </w:tcPr>
          <w:p w14:paraId="73A1102B">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内容</w:t>
            </w:r>
          </w:p>
        </w:tc>
        <w:tc>
          <w:tcPr>
            <w:tcW w:w="1785" w:type="dxa"/>
            <w:vAlign w:val="center"/>
          </w:tcPr>
          <w:p w14:paraId="04F63337">
            <w:pPr>
              <w:spacing w:after="0" w:line="312" w:lineRule="auto"/>
              <w:ind w:left="53" w:leftChars="25" w:firstLine="241"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招标需求</w:t>
            </w:r>
          </w:p>
        </w:tc>
        <w:tc>
          <w:tcPr>
            <w:tcW w:w="1365" w:type="dxa"/>
            <w:vAlign w:val="center"/>
          </w:tcPr>
          <w:p w14:paraId="7417868A">
            <w:pPr>
              <w:spacing w:after="0" w:line="312" w:lineRule="auto"/>
              <w:ind w:left="152"/>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是否响应</w:t>
            </w:r>
          </w:p>
        </w:tc>
        <w:tc>
          <w:tcPr>
            <w:tcW w:w="2625" w:type="dxa"/>
            <w:vAlign w:val="center"/>
          </w:tcPr>
          <w:p w14:paraId="459159DD">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31C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13DA3C0">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4BFB685">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售后服务保障要求</w:t>
            </w:r>
          </w:p>
        </w:tc>
        <w:tc>
          <w:tcPr>
            <w:tcW w:w="1785" w:type="dxa"/>
            <w:vAlign w:val="center"/>
          </w:tcPr>
          <w:p w14:paraId="59C9E7E1">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31D17B3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C714DC4">
            <w:pPr>
              <w:spacing w:after="0" w:line="312" w:lineRule="auto"/>
              <w:rPr>
                <w:rFonts w:hint="eastAsia" w:asciiTheme="minorEastAsia" w:hAnsiTheme="minorEastAsia" w:eastAsiaTheme="minorEastAsia" w:cstheme="minorEastAsia"/>
                <w:sz w:val="24"/>
                <w:highlight w:val="none"/>
              </w:rPr>
            </w:pPr>
          </w:p>
        </w:tc>
      </w:tr>
      <w:tr w14:paraId="08D5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B36A6D7">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AAB6AE2">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质保期</w:t>
            </w:r>
          </w:p>
        </w:tc>
        <w:tc>
          <w:tcPr>
            <w:tcW w:w="1785" w:type="dxa"/>
            <w:vAlign w:val="center"/>
          </w:tcPr>
          <w:p w14:paraId="7D3045B3">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3FEEEFE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C76E901">
            <w:pPr>
              <w:spacing w:after="0" w:line="312" w:lineRule="auto"/>
              <w:rPr>
                <w:rFonts w:hint="eastAsia" w:asciiTheme="minorEastAsia" w:hAnsiTheme="minorEastAsia" w:eastAsiaTheme="minorEastAsia" w:cstheme="minorEastAsia"/>
                <w:sz w:val="24"/>
                <w:highlight w:val="none"/>
              </w:rPr>
            </w:pPr>
          </w:p>
        </w:tc>
      </w:tr>
      <w:tr w14:paraId="4D5D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98E1247">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2A5FEDA2">
            <w:pPr>
              <w:snapToGrid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交货和服务</w:t>
            </w:r>
          </w:p>
          <w:p w14:paraId="3D2C3066">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时间及地点</w:t>
            </w:r>
          </w:p>
        </w:tc>
        <w:tc>
          <w:tcPr>
            <w:tcW w:w="1785" w:type="dxa"/>
            <w:vAlign w:val="center"/>
          </w:tcPr>
          <w:p w14:paraId="63499D02">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1A193B68">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5508CAEA">
            <w:pPr>
              <w:spacing w:after="0" w:line="312" w:lineRule="auto"/>
              <w:rPr>
                <w:rFonts w:hint="eastAsia" w:asciiTheme="minorEastAsia" w:hAnsiTheme="minorEastAsia" w:eastAsiaTheme="minorEastAsia" w:cstheme="minorEastAsia"/>
                <w:sz w:val="24"/>
                <w:highlight w:val="none"/>
              </w:rPr>
            </w:pPr>
          </w:p>
        </w:tc>
      </w:tr>
      <w:tr w14:paraId="39C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70F179">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7AEC6760">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付款条件</w:t>
            </w:r>
          </w:p>
        </w:tc>
        <w:tc>
          <w:tcPr>
            <w:tcW w:w="1785" w:type="dxa"/>
            <w:vAlign w:val="center"/>
          </w:tcPr>
          <w:p w14:paraId="5A46C576">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681215CF">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8DB8D27">
            <w:pPr>
              <w:spacing w:after="0" w:line="312" w:lineRule="auto"/>
              <w:rPr>
                <w:rFonts w:hint="eastAsia" w:asciiTheme="minorEastAsia" w:hAnsiTheme="minorEastAsia" w:eastAsiaTheme="minorEastAsia" w:cstheme="minorEastAsia"/>
                <w:sz w:val="24"/>
                <w:highlight w:val="none"/>
              </w:rPr>
            </w:pPr>
          </w:p>
        </w:tc>
      </w:tr>
      <w:tr w14:paraId="4D9C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34BD998">
            <w:pPr>
              <w:spacing w:after="0" w:line="312" w:lineRule="auto"/>
              <w:rPr>
                <w:rFonts w:hint="eastAsia" w:asciiTheme="minorEastAsia" w:hAnsiTheme="minorEastAsia" w:eastAsiaTheme="minorEastAsia" w:cstheme="minorEastAsia"/>
                <w:sz w:val="24"/>
                <w:highlight w:val="none"/>
              </w:rPr>
            </w:pPr>
          </w:p>
        </w:tc>
        <w:tc>
          <w:tcPr>
            <w:tcW w:w="1785" w:type="dxa"/>
          </w:tcPr>
          <w:p w14:paraId="0FE75F48">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785" w:type="dxa"/>
            <w:vAlign w:val="center"/>
          </w:tcPr>
          <w:p w14:paraId="3A3F1670">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14CA9E5">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51E7C8D">
            <w:pPr>
              <w:spacing w:after="0" w:line="312" w:lineRule="auto"/>
              <w:rPr>
                <w:rFonts w:hint="eastAsia" w:asciiTheme="minorEastAsia" w:hAnsiTheme="minorEastAsia" w:eastAsiaTheme="minorEastAsia" w:cstheme="minorEastAsia"/>
                <w:sz w:val="24"/>
                <w:highlight w:val="none"/>
              </w:rPr>
            </w:pPr>
          </w:p>
        </w:tc>
      </w:tr>
      <w:tr w14:paraId="13F8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99DFF96">
            <w:pPr>
              <w:spacing w:after="0" w:line="312" w:lineRule="auto"/>
              <w:rPr>
                <w:rFonts w:hint="eastAsia" w:asciiTheme="minorEastAsia" w:hAnsiTheme="minorEastAsia" w:eastAsiaTheme="minorEastAsia" w:cstheme="minorEastAsia"/>
                <w:sz w:val="24"/>
                <w:highlight w:val="none"/>
              </w:rPr>
            </w:pPr>
          </w:p>
        </w:tc>
        <w:tc>
          <w:tcPr>
            <w:tcW w:w="1785" w:type="dxa"/>
          </w:tcPr>
          <w:p w14:paraId="5D62D709">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33E0614B">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20138BD">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3EA70DE">
            <w:pPr>
              <w:spacing w:after="0" w:line="312" w:lineRule="auto"/>
              <w:rPr>
                <w:rFonts w:hint="eastAsia" w:asciiTheme="minorEastAsia" w:hAnsiTheme="minorEastAsia" w:eastAsiaTheme="minorEastAsia" w:cstheme="minorEastAsia"/>
                <w:sz w:val="24"/>
                <w:highlight w:val="none"/>
              </w:rPr>
            </w:pPr>
          </w:p>
        </w:tc>
      </w:tr>
      <w:tr w14:paraId="3905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C38B605">
            <w:pPr>
              <w:spacing w:after="0" w:line="312" w:lineRule="auto"/>
              <w:rPr>
                <w:rFonts w:hint="eastAsia" w:asciiTheme="minorEastAsia" w:hAnsiTheme="minorEastAsia" w:eastAsiaTheme="minorEastAsia" w:cstheme="minorEastAsia"/>
                <w:sz w:val="24"/>
                <w:highlight w:val="none"/>
              </w:rPr>
            </w:pPr>
          </w:p>
        </w:tc>
        <w:tc>
          <w:tcPr>
            <w:tcW w:w="1785" w:type="dxa"/>
          </w:tcPr>
          <w:p w14:paraId="36ABBCFA">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757D908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6D1E2604">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38A55047">
            <w:pPr>
              <w:spacing w:after="0" w:line="312" w:lineRule="auto"/>
              <w:rPr>
                <w:rFonts w:hint="eastAsia" w:asciiTheme="minorEastAsia" w:hAnsiTheme="minorEastAsia" w:eastAsiaTheme="minorEastAsia" w:cstheme="minorEastAsia"/>
                <w:sz w:val="24"/>
                <w:highlight w:val="none"/>
              </w:rPr>
            </w:pPr>
          </w:p>
        </w:tc>
      </w:tr>
      <w:tr w14:paraId="4678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5C3C9C4">
            <w:pPr>
              <w:spacing w:after="0" w:line="312" w:lineRule="auto"/>
              <w:rPr>
                <w:rFonts w:hint="eastAsia" w:asciiTheme="minorEastAsia" w:hAnsiTheme="minorEastAsia" w:eastAsiaTheme="minorEastAsia" w:cstheme="minorEastAsia"/>
                <w:sz w:val="24"/>
                <w:highlight w:val="none"/>
              </w:rPr>
            </w:pPr>
          </w:p>
        </w:tc>
        <w:tc>
          <w:tcPr>
            <w:tcW w:w="1785" w:type="dxa"/>
          </w:tcPr>
          <w:p w14:paraId="63202C82">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64585BEE">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CCB9819">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996BA5F">
            <w:pPr>
              <w:spacing w:after="0" w:line="312" w:lineRule="auto"/>
              <w:rPr>
                <w:rFonts w:hint="eastAsia" w:asciiTheme="minorEastAsia" w:hAnsiTheme="minorEastAsia" w:eastAsiaTheme="minorEastAsia" w:cstheme="minorEastAsia"/>
                <w:sz w:val="24"/>
                <w:highlight w:val="none"/>
              </w:rPr>
            </w:pPr>
          </w:p>
        </w:tc>
      </w:tr>
    </w:tbl>
    <w:p w14:paraId="18C65115">
      <w:pPr>
        <w:spacing w:after="0" w:line="312" w:lineRule="auto"/>
        <w:rPr>
          <w:rFonts w:hint="eastAsia" w:asciiTheme="minorEastAsia" w:hAnsiTheme="minorEastAsia" w:eastAsiaTheme="minorEastAsia" w:cstheme="minorEastAsia"/>
          <w:sz w:val="24"/>
          <w:highlight w:val="none"/>
        </w:rPr>
      </w:pPr>
    </w:p>
    <w:p w14:paraId="0B21632E">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1AE6994E">
      <w:pPr>
        <w:spacing w:after="0" w:line="312" w:lineRule="auto"/>
        <w:ind w:left="420"/>
        <w:rPr>
          <w:rFonts w:hint="eastAsia" w:asciiTheme="minorEastAsia" w:hAnsiTheme="minorEastAsia" w:eastAsiaTheme="minorEastAsia" w:cstheme="minorEastAsia"/>
          <w:sz w:val="24"/>
          <w:highlight w:val="none"/>
        </w:rPr>
      </w:pPr>
    </w:p>
    <w:p w14:paraId="1B9404A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188340CE">
      <w:pPr>
        <w:spacing w:after="0" w:line="312" w:lineRule="auto"/>
        <w:rPr>
          <w:rFonts w:hint="eastAsia" w:asciiTheme="minorEastAsia" w:hAnsiTheme="minorEastAsia" w:eastAsiaTheme="minorEastAsia" w:cstheme="minorEastAsia"/>
          <w:sz w:val="24"/>
          <w:highlight w:val="none"/>
        </w:rPr>
      </w:pPr>
    </w:p>
    <w:p w14:paraId="7E59D2E8">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56FD17B3">
      <w:pPr>
        <w:spacing w:after="0" w:line="312" w:lineRule="auto"/>
        <w:ind w:firstLine="435"/>
        <w:rPr>
          <w:rFonts w:hint="eastAsia" w:asciiTheme="minorEastAsia" w:hAnsiTheme="minorEastAsia" w:eastAsiaTheme="minorEastAsia" w:cstheme="minorEastAsia"/>
          <w:sz w:val="24"/>
          <w:highlight w:val="none"/>
          <w:u w:val="single"/>
        </w:rPr>
      </w:pPr>
    </w:p>
    <w:p w14:paraId="46830CF6">
      <w:pPr>
        <w:tabs>
          <w:tab w:val="left" w:pos="2460"/>
        </w:tabs>
        <w:spacing w:after="0" w:line="312" w:lineRule="auto"/>
        <w:rPr>
          <w:rFonts w:hint="eastAsia" w:asciiTheme="minorEastAsia" w:hAnsiTheme="minorEastAsia" w:eastAsiaTheme="minorEastAsia" w:cstheme="minorEastAsia"/>
          <w:b/>
          <w:sz w:val="28"/>
          <w:highlight w:val="none"/>
        </w:rPr>
      </w:pPr>
    </w:p>
    <w:p w14:paraId="2C951887">
      <w:pPr>
        <w:tabs>
          <w:tab w:val="left" w:pos="2460"/>
        </w:tabs>
        <w:spacing w:after="0" w:line="312" w:lineRule="auto"/>
        <w:rPr>
          <w:rFonts w:hint="eastAsia" w:asciiTheme="minorEastAsia" w:hAnsiTheme="minorEastAsia" w:eastAsiaTheme="minorEastAsia" w:cstheme="minorEastAsia"/>
          <w:b/>
          <w:sz w:val="28"/>
          <w:highlight w:val="none"/>
        </w:rPr>
      </w:pPr>
    </w:p>
    <w:p w14:paraId="6EDAC0BE">
      <w:pPr>
        <w:tabs>
          <w:tab w:val="left" w:pos="2460"/>
        </w:tabs>
        <w:spacing w:after="0" w:line="312" w:lineRule="auto"/>
        <w:rPr>
          <w:rFonts w:hint="eastAsia" w:asciiTheme="minorEastAsia" w:hAnsiTheme="minorEastAsia" w:eastAsiaTheme="minorEastAsia" w:cstheme="minorEastAsia"/>
          <w:b/>
          <w:sz w:val="28"/>
          <w:highlight w:val="none"/>
        </w:rPr>
      </w:pPr>
    </w:p>
    <w:p w14:paraId="592120B9">
      <w:pPr>
        <w:tabs>
          <w:tab w:val="left" w:pos="2460"/>
        </w:tabs>
        <w:spacing w:after="0" w:line="312" w:lineRule="auto"/>
        <w:rPr>
          <w:rFonts w:hint="eastAsia" w:asciiTheme="minorEastAsia" w:hAnsiTheme="minorEastAsia" w:eastAsiaTheme="minorEastAsia" w:cstheme="minorEastAsia"/>
          <w:b/>
          <w:sz w:val="28"/>
          <w:highlight w:val="none"/>
        </w:rPr>
      </w:pPr>
    </w:p>
    <w:p w14:paraId="66F14208">
      <w:pPr>
        <w:tabs>
          <w:tab w:val="left" w:pos="2460"/>
        </w:tabs>
        <w:spacing w:after="0" w:line="312" w:lineRule="auto"/>
        <w:rPr>
          <w:rFonts w:hint="eastAsia" w:asciiTheme="minorEastAsia" w:hAnsiTheme="minorEastAsia" w:eastAsiaTheme="minorEastAsia" w:cstheme="minorEastAsia"/>
          <w:b/>
          <w:sz w:val="28"/>
          <w:highlight w:val="none"/>
        </w:rPr>
      </w:pPr>
    </w:p>
    <w:p w14:paraId="507F0B2A">
      <w:pPr>
        <w:tabs>
          <w:tab w:val="left" w:pos="2460"/>
        </w:tabs>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附件12</w:t>
      </w:r>
      <w:r>
        <w:rPr>
          <w:rFonts w:hint="eastAsia" w:asciiTheme="minorEastAsia" w:hAnsiTheme="minorEastAsia" w:eastAsiaTheme="minorEastAsia" w:cstheme="minorEastAsia"/>
          <w:b/>
          <w:sz w:val="28"/>
          <w:highlight w:val="none"/>
        </w:rPr>
        <w:tab/>
      </w:r>
    </w:p>
    <w:p w14:paraId="34DC376E">
      <w:pPr>
        <w:spacing w:after="0" w:line="312" w:lineRule="auto"/>
        <w:ind w:firstLine="435"/>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售后服务情况表</w:t>
      </w:r>
    </w:p>
    <w:p w14:paraId="7F474362">
      <w:pPr>
        <w:spacing w:after="0" w:line="312" w:lineRule="auto"/>
        <w:ind w:firstLine="435"/>
        <w:jc w:val="center"/>
        <w:rPr>
          <w:rFonts w:hint="eastAsia" w:asciiTheme="minorEastAsia" w:hAnsiTheme="minorEastAsia" w:eastAsiaTheme="minorEastAsia" w:cstheme="minorEastAsia"/>
          <w:b/>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C204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6BF1114B">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355" w:type="dxa"/>
            <w:vAlign w:val="center"/>
          </w:tcPr>
          <w:p w14:paraId="1A314C7B">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项目</w:t>
            </w:r>
          </w:p>
        </w:tc>
        <w:tc>
          <w:tcPr>
            <w:tcW w:w="4061" w:type="dxa"/>
            <w:vAlign w:val="center"/>
          </w:tcPr>
          <w:p w14:paraId="704FC340">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投标人情况</w:t>
            </w:r>
          </w:p>
        </w:tc>
        <w:tc>
          <w:tcPr>
            <w:tcW w:w="1373" w:type="dxa"/>
            <w:vAlign w:val="center"/>
          </w:tcPr>
          <w:p w14:paraId="3F0273C6">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备注</w:t>
            </w:r>
          </w:p>
        </w:tc>
      </w:tr>
      <w:tr w14:paraId="529FE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restart"/>
            <w:vAlign w:val="center"/>
          </w:tcPr>
          <w:p w14:paraId="5C6207EE">
            <w:pPr>
              <w:pStyle w:val="38"/>
              <w:spacing w:after="0" w:line="312"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p>
        </w:tc>
        <w:tc>
          <w:tcPr>
            <w:tcW w:w="2355" w:type="dxa"/>
            <w:vMerge w:val="restart"/>
            <w:vAlign w:val="center"/>
          </w:tcPr>
          <w:p w14:paraId="37D7160B">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保修期内售后服务情况(服务方式、服务网点、售后服务的内容和措施等等，可用附页和宣传材料)</w:t>
            </w:r>
          </w:p>
        </w:tc>
        <w:tc>
          <w:tcPr>
            <w:tcW w:w="4061" w:type="dxa"/>
          </w:tcPr>
          <w:p w14:paraId="51758301">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生产厂商售后服务情况：</w:t>
            </w:r>
          </w:p>
        </w:tc>
        <w:tc>
          <w:tcPr>
            <w:tcW w:w="1373" w:type="dxa"/>
            <w:vMerge w:val="restart"/>
          </w:tcPr>
          <w:p w14:paraId="242FA37E">
            <w:pPr>
              <w:pStyle w:val="38"/>
              <w:spacing w:after="0" w:line="312" w:lineRule="auto"/>
              <w:rPr>
                <w:rFonts w:hint="eastAsia" w:asciiTheme="minorEastAsia" w:hAnsiTheme="minorEastAsia" w:eastAsiaTheme="minorEastAsia" w:cstheme="minorEastAsia"/>
                <w:bCs/>
                <w:sz w:val="24"/>
                <w:highlight w:val="none"/>
              </w:rPr>
            </w:pPr>
          </w:p>
        </w:tc>
      </w:tr>
      <w:tr w14:paraId="36A225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continue"/>
            <w:vAlign w:val="center"/>
          </w:tcPr>
          <w:p w14:paraId="5ABB7EC5">
            <w:pPr>
              <w:pStyle w:val="38"/>
              <w:spacing w:after="0" w:line="312" w:lineRule="auto"/>
              <w:jc w:val="center"/>
              <w:rPr>
                <w:rFonts w:hint="eastAsia" w:asciiTheme="minorEastAsia" w:hAnsiTheme="minorEastAsia" w:eastAsiaTheme="minorEastAsia" w:cstheme="minorEastAsia"/>
                <w:bCs/>
                <w:sz w:val="24"/>
                <w:highlight w:val="none"/>
              </w:rPr>
            </w:pPr>
          </w:p>
        </w:tc>
        <w:tc>
          <w:tcPr>
            <w:tcW w:w="2355" w:type="dxa"/>
            <w:vMerge w:val="continue"/>
            <w:vAlign w:val="center"/>
          </w:tcPr>
          <w:p w14:paraId="65FB30DE">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4061" w:type="dxa"/>
          </w:tcPr>
          <w:p w14:paraId="708EA4A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投标人售后服务情况：</w:t>
            </w:r>
          </w:p>
        </w:tc>
        <w:tc>
          <w:tcPr>
            <w:tcW w:w="1373" w:type="dxa"/>
            <w:vMerge w:val="continue"/>
          </w:tcPr>
          <w:p w14:paraId="2B4FFCCE">
            <w:pPr>
              <w:pStyle w:val="38"/>
              <w:spacing w:after="0" w:line="312" w:lineRule="auto"/>
              <w:rPr>
                <w:rFonts w:hint="eastAsia" w:asciiTheme="minorEastAsia" w:hAnsiTheme="minorEastAsia" w:eastAsiaTheme="minorEastAsia" w:cstheme="minorEastAsia"/>
                <w:bCs/>
                <w:sz w:val="24"/>
                <w:highlight w:val="none"/>
              </w:rPr>
            </w:pPr>
          </w:p>
        </w:tc>
      </w:tr>
      <w:tr w14:paraId="3206E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059127CE">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2355" w:type="dxa"/>
            <w:vAlign w:val="center"/>
          </w:tcPr>
          <w:p w14:paraId="2CB0C6C1">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4061" w:type="dxa"/>
          </w:tcPr>
          <w:p w14:paraId="14C5A771">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1373" w:type="dxa"/>
          </w:tcPr>
          <w:p w14:paraId="7DB55EE8">
            <w:pPr>
              <w:pStyle w:val="38"/>
              <w:widowControl/>
              <w:spacing w:after="0" w:line="312" w:lineRule="auto"/>
              <w:jc w:val="left"/>
              <w:rPr>
                <w:rFonts w:hint="eastAsia" w:asciiTheme="minorEastAsia" w:hAnsiTheme="minorEastAsia" w:eastAsiaTheme="minorEastAsia" w:cstheme="minorEastAsia"/>
                <w:bCs/>
                <w:sz w:val="24"/>
                <w:highlight w:val="none"/>
              </w:rPr>
            </w:pPr>
          </w:p>
        </w:tc>
      </w:tr>
    </w:tbl>
    <w:p w14:paraId="4DF40DA7">
      <w:pPr>
        <w:spacing w:after="0" w:line="312" w:lineRule="auto"/>
        <w:ind w:left="420"/>
        <w:rPr>
          <w:rFonts w:hint="eastAsia" w:asciiTheme="minorEastAsia" w:hAnsiTheme="minorEastAsia" w:eastAsiaTheme="minorEastAsia" w:cstheme="minorEastAsia"/>
          <w:sz w:val="24"/>
          <w:highlight w:val="none"/>
        </w:rPr>
      </w:pPr>
    </w:p>
    <w:p w14:paraId="26BCA606">
      <w:pPr>
        <w:spacing w:after="0" w:line="312" w:lineRule="auto"/>
        <w:ind w:left="420"/>
        <w:rPr>
          <w:rFonts w:hint="eastAsia" w:asciiTheme="minorEastAsia" w:hAnsiTheme="minorEastAsia" w:eastAsiaTheme="minorEastAsia" w:cstheme="minorEastAsia"/>
          <w:sz w:val="24"/>
          <w:highlight w:val="none"/>
        </w:rPr>
      </w:pPr>
    </w:p>
    <w:p w14:paraId="2E39EC4D">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F2B21AE">
      <w:pPr>
        <w:spacing w:after="0" w:line="312" w:lineRule="auto"/>
        <w:ind w:left="420"/>
        <w:rPr>
          <w:rFonts w:hint="eastAsia" w:asciiTheme="minorEastAsia" w:hAnsiTheme="minorEastAsia" w:eastAsiaTheme="minorEastAsia" w:cstheme="minorEastAsia"/>
          <w:sz w:val="24"/>
          <w:highlight w:val="none"/>
        </w:rPr>
      </w:pPr>
    </w:p>
    <w:p w14:paraId="34B81D01">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163D6E88">
      <w:pPr>
        <w:spacing w:after="0" w:line="312" w:lineRule="auto"/>
        <w:ind w:firstLine="435"/>
        <w:rPr>
          <w:rFonts w:hint="eastAsia" w:asciiTheme="minorEastAsia" w:hAnsiTheme="minorEastAsia" w:eastAsiaTheme="minorEastAsia" w:cstheme="minorEastAsia"/>
          <w:sz w:val="24"/>
          <w:highlight w:val="none"/>
        </w:rPr>
      </w:pPr>
    </w:p>
    <w:p w14:paraId="4DC60F9A">
      <w:pPr>
        <w:spacing w:after="0" w:line="312" w:lineRule="auto"/>
        <w:ind w:firstLine="435"/>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日        期：</w:t>
      </w:r>
    </w:p>
    <w:p w14:paraId="425169A0">
      <w:pPr>
        <w:spacing w:after="0" w:line="312" w:lineRule="auto"/>
        <w:ind w:right="-110"/>
        <w:jc w:val="left"/>
        <w:rPr>
          <w:rFonts w:hint="eastAsia" w:asciiTheme="minorEastAsia" w:hAnsiTheme="minorEastAsia" w:eastAsiaTheme="minorEastAsia" w:cstheme="minorEastAsia"/>
          <w:b/>
          <w:sz w:val="28"/>
          <w:highlight w:val="none"/>
        </w:rPr>
      </w:pPr>
    </w:p>
    <w:p w14:paraId="484E016E">
      <w:pPr>
        <w:spacing w:after="0" w:line="312" w:lineRule="auto"/>
        <w:ind w:right="-110"/>
        <w:jc w:val="left"/>
        <w:rPr>
          <w:rFonts w:hint="eastAsia" w:asciiTheme="minorEastAsia" w:hAnsiTheme="minorEastAsia" w:eastAsiaTheme="minorEastAsia" w:cstheme="minorEastAsia"/>
          <w:b/>
          <w:sz w:val="28"/>
          <w:highlight w:val="none"/>
        </w:rPr>
      </w:pPr>
    </w:p>
    <w:p w14:paraId="7399BEC9">
      <w:pPr>
        <w:spacing w:after="0" w:line="312" w:lineRule="auto"/>
        <w:ind w:right="-110"/>
        <w:jc w:val="left"/>
        <w:rPr>
          <w:rFonts w:hint="eastAsia" w:asciiTheme="minorEastAsia" w:hAnsiTheme="minorEastAsia" w:eastAsiaTheme="minorEastAsia" w:cstheme="minorEastAsia"/>
          <w:b/>
          <w:sz w:val="28"/>
          <w:highlight w:val="none"/>
        </w:rPr>
      </w:pPr>
    </w:p>
    <w:p w14:paraId="6C391F73">
      <w:pPr>
        <w:spacing w:after="0" w:line="312" w:lineRule="auto"/>
        <w:ind w:right="-110"/>
        <w:jc w:val="left"/>
        <w:rPr>
          <w:rFonts w:hint="eastAsia" w:asciiTheme="minorEastAsia" w:hAnsiTheme="minorEastAsia" w:eastAsiaTheme="minorEastAsia" w:cstheme="minorEastAsia"/>
          <w:b/>
          <w:sz w:val="28"/>
          <w:highlight w:val="none"/>
        </w:rPr>
      </w:pPr>
    </w:p>
    <w:p w14:paraId="6678777C">
      <w:pPr>
        <w:pStyle w:val="2"/>
        <w:rPr>
          <w:rFonts w:hint="eastAsia" w:asciiTheme="minorEastAsia" w:hAnsiTheme="minorEastAsia" w:eastAsiaTheme="minorEastAsia" w:cstheme="minorEastAsia"/>
          <w:b/>
          <w:sz w:val="28"/>
          <w:highlight w:val="none"/>
        </w:rPr>
      </w:pPr>
    </w:p>
    <w:p w14:paraId="368CC1DD">
      <w:pPr>
        <w:rPr>
          <w:rFonts w:hint="eastAsia" w:asciiTheme="minorEastAsia" w:hAnsiTheme="minorEastAsia" w:eastAsiaTheme="minorEastAsia" w:cstheme="minorEastAsia"/>
          <w:b/>
          <w:sz w:val="28"/>
          <w:highlight w:val="none"/>
        </w:rPr>
      </w:pPr>
    </w:p>
    <w:p w14:paraId="50F611C0">
      <w:pPr>
        <w:pStyle w:val="2"/>
        <w:rPr>
          <w:rFonts w:hint="eastAsia" w:asciiTheme="minorEastAsia" w:hAnsiTheme="minorEastAsia" w:eastAsiaTheme="minorEastAsia" w:cstheme="minorEastAsia"/>
          <w:b/>
          <w:sz w:val="28"/>
          <w:highlight w:val="none"/>
        </w:rPr>
      </w:pPr>
    </w:p>
    <w:p w14:paraId="0B13E41F">
      <w:pPr>
        <w:pStyle w:val="22"/>
        <w:ind w:left="0" w:leftChars="0" w:firstLine="0"/>
        <w:rPr>
          <w:rFonts w:hint="eastAsia" w:asciiTheme="minorEastAsia" w:hAnsiTheme="minorEastAsia" w:eastAsiaTheme="minorEastAsia" w:cstheme="minorEastAsia"/>
          <w:highlight w:val="none"/>
        </w:rPr>
      </w:pPr>
    </w:p>
    <w:p w14:paraId="152325EC">
      <w:pPr>
        <w:spacing w:after="0" w:line="312" w:lineRule="auto"/>
        <w:ind w:right="-110"/>
        <w:jc w:val="left"/>
        <w:rPr>
          <w:rFonts w:hint="eastAsia" w:asciiTheme="minorEastAsia" w:hAnsiTheme="minorEastAsia" w:eastAsiaTheme="minorEastAsia" w:cstheme="minorEastAsia"/>
          <w:spacing w:val="40"/>
          <w:sz w:val="52"/>
          <w:szCs w:val="52"/>
          <w:highlight w:val="none"/>
          <w:u w:val="single"/>
        </w:rPr>
      </w:pPr>
      <w:r>
        <w:rPr>
          <w:rFonts w:hint="eastAsia" w:asciiTheme="minorEastAsia" w:hAnsiTheme="minorEastAsia" w:eastAsiaTheme="minorEastAsia" w:cstheme="minorEastAsia"/>
          <w:b/>
          <w:sz w:val="28"/>
          <w:highlight w:val="none"/>
        </w:rPr>
        <w:t xml:space="preserve">附件13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
          <w:sz w:val="28"/>
          <w:highlight w:val="none"/>
        </w:rPr>
        <w:t>本</w:t>
      </w:r>
    </w:p>
    <w:p w14:paraId="00728C1B">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45759238">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4A7740D7">
      <w:pPr>
        <w:spacing w:after="0" w:line="312" w:lineRule="auto"/>
        <w:ind w:right="-108"/>
        <w:jc w:val="center"/>
        <w:rPr>
          <w:rFonts w:hint="eastAsia" w:asciiTheme="minorEastAsia" w:hAnsiTheme="minorEastAsia" w:eastAsiaTheme="minorEastAsia" w:cstheme="minorEastAsia"/>
          <w:b/>
          <w:spacing w:val="40"/>
          <w:sz w:val="84"/>
          <w:szCs w:val="84"/>
          <w:highlight w:val="none"/>
        </w:rPr>
      </w:pPr>
    </w:p>
    <w:p w14:paraId="5BFF5CE2">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报</w:t>
      </w:r>
    </w:p>
    <w:p w14:paraId="6E9B2FB4">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价</w:t>
      </w:r>
    </w:p>
    <w:p w14:paraId="5281F1EB">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文</w:t>
      </w:r>
    </w:p>
    <w:p w14:paraId="5E2AA301">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件</w:t>
      </w:r>
    </w:p>
    <w:p w14:paraId="24BC4704">
      <w:pPr>
        <w:spacing w:after="0" w:line="312" w:lineRule="auto"/>
        <w:ind w:right="532"/>
        <w:jc w:val="center"/>
        <w:rPr>
          <w:rFonts w:hint="eastAsia" w:asciiTheme="minorEastAsia" w:hAnsiTheme="minorEastAsia" w:eastAsiaTheme="minorEastAsia" w:cstheme="minorEastAsia"/>
          <w:sz w:val="36"/>
          <w:szCs w:val="36"/>
          <w:highlight w:val="none"/>
        </w:rPr>
      </w:pPr>
    </w:p>
    <w:p w14:paraId="65FD1C46">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供应商全称（公章）：</w:t>
      </w:r>
    </w:p>
    <w:p w14:paraId="3A328FA2">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40BD0A66">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2F44CF03">
      <w:pPr>
        <w:spacing w:after="0" w:line="312" w:lineRule="auto"/>
        <w:ind w:right="-108"/>
        <w:jc w:val="center"/>
        <w:rPr>
          <w:rFonts w:hint="eastAsia" w:asciiTheme="minorEastAsia" w:hAnsiTheme="minorEastAsia" w:eastAsiaTheme="minorEastAsia" w:cstheme="minorEastAsia"/>
          <w:b/>
          <w:sz w:val="36"/>
          <w:szCs w:val="36"/>
          <w:highlight w:val="none"/>
        </w:rPr>
      </w:pPr>
    </w:p>
    <w:p w14:paraId="7DC66567">
      <w:pPr>
        <w:spacing w:after="0" w:line="312" w:lineRule="auto"/>
        <w:ind w:right="-108"/>
        <w:jc w:val="center"/>
        <w:rPr>
          <w:rFonts w:hint="eastAsia" w:asciiTheme="minorEastAsia" w:hAnsiTheme="minorEastAsia" w:eastAsiaTheme="minorEastAsia" w:cstheme="minorEastAsia"/>
          <w:b/>
          <w:sz w:val="32"/>
          <w:szCs w:val="32"/>
          <w:highlight w:val="none"/>
        </w:rPr>
      </w:pPr>
    </w:p>
    <w:p w14:paraId="3F2D0CEA">
      <w:pPr>
        <w:spacing w:after="0" w:line="312" w:lineRule="auto"/>
        <w:ind w:right="-108"/>
        <w:jc w:val="center"/>
        <w:rPr>
          <w:rFonts w:hint="eastAsia" w:asciiTheme="minorEastAsia" w:hAnsiTheme="minorEastAsia" w:eastAsiaTheme="minorEastAsia" w:cstheme="minorEastAsia"/>
          <w:b/>
          <w:sz w:val="32"/>
          <w:szCs w:val="32"/>
          <w:highlight w:val="none"/>
        </w:rPr>
      </w:pPr>
    </w:p>
    <w:p w14:paraId="3E554772">
      <w:pPr>
        <w:spacing w:after="0" w:line="312" w:lineRule="auto"/>
        <w:ind w:right="-108"/>
        <w:jc w:val="center"/>
        <w:rPr>
          <w:rFonts w:hint="eastAsia" w:asciiTheme="minorEastAsia" w:hAnsiTheme="minorEastAsia" w:eastAsiaTheme="minorEastAsia" w:cstheme="minorEastAsia"/>
          <w:b/>
          <w:sz w:val="32"/>
          <w:szCs w:val="32"/>
          <w:highlight w:val="none"/>
        </w:rPr>
      </w:pPr>
    </w:p>
    <w:p w14:paraId="68A2C378">
      <w:pPr>
        <w:spacing w:after="0" w:line="312" w:lineRule="auto"/>
        <w:ind w:right="-108"/>
        <w:jc w:val="center"/>
        <w:rPr>
          <w:rFonts w:hint="eastAsia" w:asciiTheme="minorEastAsia" w:hAnsiTheme="minorEastAsia" w:eastAsiaTheme="minorEastAsia" w:cstheme="minorEastAsia"/>
          <w:b/>
          <w:sz w:val="32"/>
          <w:szCs w:val="32"/>
          <w:highlight w:val="none"/>
        </w:rPr>
      </w:pPr>
    </w:p>
    <w:p w14:paraId="4731B161">
      <w:pPr>
        <w:spacing w:after="0" w:line="312" w:lineRule="auto"/>
        <w:ind w:right="-108"/>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报价文件目录</w:t>
      </w:r>
    </w:p>
    <w:p w14:paraId="586EA776">
      <w:pPr>
        <w:spacing w:after="0" w:line="312" w:lineRule="auto"/>
        <w:ind w:right="-108"/>
        <w:jc w:val="center"/>
        <w:rPr>
          <w:rFonts w:hint="eastAsia" w:asciiTheme="minorEastAsia" w:hAnsiTheme="minorEastAsia" w:eastAsiaTheme="minorEastAsia" w:cstheme="minorEastAsia"/>
          <w:b/>
          <w:sz w:val="36"/>
          <w:szCs w:val="36"/>
          <w:highlight w:val="none"/>
        </w:rPr>
      </w:pPr>
    </w:p>
    <w:p w14:paraId="281B2FD0">
      <w:pPr>
        <w:spacing w:after="0" w:line="360" w:lineRule="auto"/>
        <w:rPr>
          <w:rFonts w:hint="eastAsia" w:asciiTheme="minorEastAsia" w:hAnsiTheme="minorEastAsia" w:eastAsiaTheme="minorEastAsia" w:cstheme="minorEastAsia"/>
          <w:sz w:val="24"/>
          <w:highlight w:val="none"/>
        </w:rPr>
      </w:pPr>
    </w:p>
    <w:p w14:paraId="3605FF27">
      <w:pPr>
        <w:snapToGrid w:val="0"/>
        <w:spacing w:after="0"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1、开标一览表（附件14）；</w:t>
      </w:r>
    </w:p>
    <w:p w14:paraId="1F1A44AD">
      <w:pPr>
        <w:pStyle w:val="22"/>
        <w:ind w:left="0" w:leftChars="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2、报价明细表（附件15）；</w:t>
      </w:r>
    </w:p>
    <w:p w14:paraId="4DC95B97">
      <w:pPr>
        <w:snapToGrid w:val="0"/>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3、针对报价投标人认为其他需要说明的；</w:t>
      </w:r>
    </w:p>
    <w:p w14:paraId="40CB9948">
      <w:pPr>
        <w:pStyle w:val="22"/>
        <w:spacing w:line="360" w:lineRule="auto"/>
        <w:ind w:left="0" w:leftChars="0" w:firstLine="562" w:firstLineChars="200"/>
        <w:rPr>
          <w:rFonts w:hint="eastAsia" w:asciiTheme="minorEastAsia" w:hAnsiTheme="minorEastAsia" w:eastAsiaTheme="minorEastAsia" w:cstheme="minorEastAsia"/>
          <w:b/>
          <w:sz w:val="28"/>
          <w:szCs w:val="28"/>
          <w:highlight w:val="none"/>
        </w:rPr>
      </w:pPr>
    </w:p>
    <w:p w14:paraId="5DC4286F">
      <w:pPr>
        <w:spacing w:after="0" w:line="312" w:lineRule="auto"/>
        <w:ind w:left="480"/>
        <w:rPr>
          <w:rFonts w:hint="eastAsia" w:asciiTheme="minorEastAsia" w:hAnsiTheme="minorEastAsia" w:eastAsiaTheme="minorEastAsia" w:cstheme="minorEastAsia"/>
          <w:b/>
          <w:sz w:val="28"/>
          <w:highlight w:val="none"/>
        </w:rPr>
      </w:pPr>
    </w:p>
    <w:p w14:paraId="49501CE4">
      <w:pPr>
        <w:spacing w:after="0" w:line="312" w:lineRule="auto"/>
        <w:ind w:left="480"/>
        <w:rPr>
          <w:rFonts w:hint="eastAsia" w:asciiTheme="minorEastAsia" w:hAnsiTheme="minorEastAsia" w:eastAsiaTheme="minorEastAsia" w:cstheme="minorEastAsia"/>
          <w:b/>
          <w:sz w:val="28"/>
          <w:highlight w:val="none"/>
        </w:rPr>
      </w:pPr>
    </w:p>
    <w:p w14:paraId="21712641">
      <w:pPr>
        <w:spacing w:after="0" w:line="312" w:lineRule="auto"/>
        <w:ind w:left="480"/>
        <w:rPr>
          <w:rFonts w:hint="eastAsia" w:asciiTheme="minorEastAsia" w:hAnsiTheme="minorEastAsia" w:eastAsiaTheme="minorEastAsia" w:cstheme="minorEastAsia"/>
          <w:b/>
          <w:sz w:val="28"/>
          <w:highlight w:val="none"/>
        </w:rPr>
      </w:pPr>
    </w:p>
    <w:p w14:paraId="0CD553C6">
      <w:pPr>
        <w:spacing w:after="0" w:line="312" w:lineRule="auto"/>
        <w:ind w:left="480"/>
        <w:rPr>
          <w:rFonts w:hint="eastAsia" w:asciiTheme="minorEastAsia" w:hAnsiTheme="minorEastAsia" w:eastAsiaTheme="minorEastAsia" w:cstheme="minorEastAsia"/>
          <w:b/>
          <w:sz w:val="28"/>
          <w:highlight w:val="none"/>
        </w:rPr>
      </w:pPr>
    </w:p>
    <w:p w14:paraId="6EFB8355">
      <w:pPr>
        <w:spacing w:after="0" w:line="312" w:lineRule="auto"/>
        <w:ind w:left="480"/>
        <w:rPr>
          <w:rFonts w:hint="eastAsia" w:asciiTheme="minorEastAsia" w:hAnsiTheme="minorEastAsia" w:eastAsiaTheme="minorEastAsia" w:cstheme="minorEastAsia"/>
          <w:b/>
          <w:sz w:val="28"/>
          <w:highlight w:val="none"/>
        </w:rPr>
      </w:pPr>
    </w:p>
    <w:p w14:paraId="41EA3AC1">
      <w:pPr>
        <w:spacing w:after="0" w:line="312" w:lineRule="auto"/>
        <w:ind w:left="480"/>
        <w:rPr>
          <w:rFonts w:hint="eastAsia" w:asciiTheme="minorEastAsia" w:hAnsiTheme="minorEastAsia" w:eastAsiaTheme="minorEastAsia" w:cstheme="minorEastAsia"/>
          <w:b/>
          <w:sz w:val="28"/>
          <w:highlight w:val="none"/>
        </w:rPr>
      </w:pPr>
    </w:p>
    <w:p w14:paraId="51DCE716">
      <w:pPr>
        <w:spacing w:after="0" w:line="312" w:lineRule="auto"/>
        <w:ind w:left="480"/>
        <w:rPr>
          <w:rFonts w:hint="eastAsia" w:asciiTheme="minorEastAsia" w:hAnsiTheme="minorEastAsia" w:eastAsiaTheme="minorEastAsia" w:cstheme="minorEastAsia"/>
          <w:b/>
          <w:sz w:val="28"/>
          <w:highlight w:val="none"/>
        </w:rPr>
      </w:pPr>
    </w:p>
    <w:p w14:paraId="229A2331">
      <w:pPr>
        <w:spacing w:after="0" w:line="312" w:lineRule="auto"/>
        <w:ind w:left="480"/>
        <w:rPr>
          <w:rFonts w:hint="eastAsia" w:asciiTheme="minorEastAsia" w:hAnsiTheme="minorEastAsia" w:eastAsiaTheme="minorEastAsia" w:cstheme="minorEastAsia"/>
          <w:b/>
          <w:sz w:val="28"/>
          <w:highlight w:val="none"/>
        </w:rPr>
      </w:pPr>
    </w:p>
    <w:p w14:paraId="0E44CD5F">
      <w:pPr>
        <w:spacing w:after="0" w:line="312" w:lineRule="auto"/>
        <w:ind w:left="480"/>
        <w:rPr>
          <w:rFonts w:hint="eastAsia" w:asciiTheme="minorEastAsia" w:hAnsiTheme="minorEastAsia" w:eastAsiaTheme="minorEastAsia" w:cstheme="minorEastAsia"/>
          <w:b/>
          <w:sz w:val="28"/>
          <w:highlight w:val="none"/>
        </w:rPr>
      </w:pPr>
    </w:p>
    <w:p w14:paraId="00875C54">
      <w:pPr>
        <w:spacing w:after="0" w:line="312" w:lineRule="auto"/>
        <w:rPr>
          <w:rFonts w:hint="eastAsia" w:asciiTheme="minorEastAsia" w:hAnsiTheme="minorEastAsia" w:eastAsiaTheme="minorEastAsia" w:cstheme="minorEastAsia"/>
          <w:b/>
          <w:sz w:val="28"/>
          <w:highlight w:val="none"/>
        </w:rPr>
      </w:pPr>
    </w:p>
    <w:p w14:paraId="63EDB970">
      <w:pPr>
        <w:spacing w:after="0" w:line="312" w:lineRule="auto"/>
        <w:rPr>
          <w:rFonts w:hint="eastAsia" w:asciiTheme="minorEastAsia" w:hAnsiTheme="minorEastAsia" w:eastAsiaTheme="minorEastAsia" w:cstheme="minorEastAsia"/>
          <w:b/>
          <w:sz w:val="28"/>
          <w:highlight w:val="none"/>
        </w:rPr>
      </w:pPr>
    </w:p>
    <w:p w14:paraId="31EFDD00">
      <w:pPr>
        <w:spacing w:after="0" w:line="312" w:lineRule="auto"/>
        <w:rPr>
          <w:rFonts w:hint="eastAsia" w:asciiTheme="minorEastAsia" w:hAnsiTheme="minorEastAsia" w:eastAsiaTheme="minorEastAsia" w:cstheme="minorEastAsia"/>
          <w:b/>
          <w:sz w:val="28"/>
          <w:highlight w:val="none"/>
        </w:rPr>
      </w:pPr>
    </w:p>
    <w:p w14:paraId="59FE09BD">
      <w:pPr>
        <w:spacing w:after="0" w:line="312" w:lineRule="auto"/>
        <w:rPr>
          <w:rFonts w:hint="eastAsia" w:asciiTheme="minorEastAsia" w:hAnsiTheme="minorEastAsia" w:eastAsiaTheme="minorEastAsia" w:cstheme="minorEastAsia"/>
          <w:b/>
          <w:sz w:val="28"/>
          <w:highlight w:val="none"/>
        </w:rPr>
      </w:pPr>
    </w:p>
    <w:p w14:paraId="01C86F1B">
      <w:pPr>
        <w:spacing w:after="0" w:line="312" w:lineRule="auto"/>
        <w:rPr>
          <w:rFonts w:hint="eastAsia" w:asciiTheme="minorEastAsia" w:hAnsiTheme="minorEastAsia" w:eastAsiaTheme="minorEastAsia" w:cstheme="minorEastAsia"/>
          <w:b/>
          <w:sz w:val="28"/>
          <w:highlight w:val="none"/>
        </w:rPr>
      </w:pPr>
    </w:p>
    <w:p w14:paraId="015B1150">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附件14</w:t>
      </w:r>
    </w:p>
    <w:p w14:paraId="1DB3EDE1">
      <w:pPr>
        <w:pStyle w:val="12"/>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6"/>
          <w:szCs w:val="36"/>
          <w:highlight w:val="none"/>
        </w:rPr>
        <w:t>开标一览表</w:t>
      </w:r>
    </w:p>
    <w:p w14:paraId="1AB9839D">
      <w:pPr>
        <w:pStyle w:val="12"/>
        <w:spacing w:line="320" w:lineRule="exact"/>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项目编号：</w:t>
      </w:r>
    </w:p>
    <w:p w14:paraId="59FACB2E">
      <w:pPr>
        <w:pStyle w:val="42"/>
        <w:spacing w:line="360" w:lineRule="auto"/>
        <w:ind w:right="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项目名称：</w:t>
      </w:r>
      <w:r>
        <w:rPr>
          <w:rFonts w:hint="eastAsia" w:asciiTheme="minorEastAsia" w:hAnsiTheme="minorEastAsia" w:eastAsiaTheme="minorEastAsia" w:cstheme="minorEastAsia"/>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30AC4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517B32">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1EFCFEF">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808C218">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r w14:paraId="10E5D5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F0EE196">
            <w:pPr>
              <w:rPr>
                <w:rFonts w:hint="eastAsia" w:asciiTheme="minorEastAsia" w:hAnsiTheme="minorEastAsia" w:eastAsiaTheme="minorEastAsia" w:cstheme="minorEastAsia"/>
                <w:color w:val="000000"/>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8F1154D">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3CB14B3">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bl>
    <w:p w14:paraId="5C489501">
      <w:pPr>
        <w:spacing w:after="0" w:line="240" w:lineRule="auto"/>
        <w:rPr>
          <w:rFonts w:hint="eastAsia" w:asciiTheme="minorEastAsia" w:hAnsiTheme="minorEastAsia" w:eastAsiaTheme="minorEastAsia" w:cstheme="minorEastAsia"/>
          <w:b/>
          <w:szCs w:val="21"/>
          <w:highlight w:val="none"/>
        </w:rPr>
      </w:pPr>
    </w:p>
    <w:p w14:paraId="67893EA6">
      <w:pPr>
        <w:spacing w:after="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Cs w:val="21"/>
          <w:highlight w:val="none"/>
        </w:rPr>
        <w:t>填报要求：</w:t>
      </w:r>
    </w:p>
    <w:p w14:paraId="173546BD">
      <w:pPr>
        <w:pStyle w:val="6"/>
        <w:spacing w:after="0" w:line="240" w:lineRule="auto"/>
        <w:ind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14:paraId="71E791BB">
      <w:pPr>
        <w:spacing w:after="0" w:line="240" w:lineRule="auto"/>
        <w:ind w:firstLine="420" w:firstLineChars="200"/>
        <w:rPr>
          <w:rFonts w:hint="eastAsia" w:asciiTheme="minorEastAsia" w:hAnsiTheme="minorEastAsia" w:eastAsiaTheme="minorEastAsia" w:cstheme="minorEastAsia"/>
          <w:b/>
          <w:i/>
          <w:szCs w:val="21"/>
          <w:highlight w:val="none"/>
          <w:u w:val="single"/>
        </w:rPr>
      </w:pPr>
      <w:r>
        <w:rPr>
          <w:rFonts w:hint="eastAsia" w:asciiTheme="minorEastAsia" w:hAnsiTheme="minorEastAsia" w:eastAsiaTheme="minorEastAsia" w:cstheme="minorEastAsia"/>
          <w:kern w:val="0"/>
          <w:szCs w:val="21"/>
          <w:highlight w:val="none"/>
        </w:rPr>
        <w:t>2.报价一经涂改，应在涂改处加盖单位公章，或者由法定代表人或授权代表签字或盖章，否则其投标作无效标处理。</w:t>
      </w:r>
    </w:p>
    <w:p w14:paraId="5BCEA14D">
      <w:pPr>
        <w:spacing w:line="360" w:lineRule="auto"/>
        <w:rPr>
          <w:rFonts w:hint="eastAsia" w:asciiTheme="minorEastAsia" w:hAnsiTheme="minorEastAsia" w:eastAsiaTheme="minorEastAsia" w:cstheme="minorEastAsia"/>
          <w:sz w:val="24"/>
          <w:highlight w:val="none"/>
        </w:rPr>
      </w:pPr>
    </w:p>
    <w:p w14:paraId="210EF63E">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5609783F">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456ECEB">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55CBB9A7">
      <w:pPr>
        <w:snapToGrid w:val="0"/>
        <w:spacing w:before="156" w:beforeLines="50" w:after="0" w:line="312" w:lineRule="auto"/>
        <w:rPr>
          <w:rFonts w:hint="eastAsia" w:asciiTheme="minorEastAsia" w:hAnsiTheme="minorEastAsia" w:eastAsiaTheme="minorEastAsia" w:cstheme="minorEastAsia"/>
          <w:b/>
          <w:sz w:val="28"/>
          <w:highlight w:val="none"/>
        </w:rPr>
      </w:pPr>
    </w:p>
    <w:p w14:paraId="039E240C">
      <w:pPr>
        <w:snapToGrid w:val="0"/>
        <w:spacing w:before="156" w:beforeLines="50" w:after="0" w:line="312" w:lineRule="auto"/>
        <w:rPr>
          <w:rFonts w:hint="eastAsia" w:asciiTheme="minorEastAsia" w:hAnsiTheme="minorEastAsia" w:eastAsiaTheme="minorEastAsia" w:cstheme="minorEastAsia"/>
          <w:b/>
          <w:sz w:val="28"/>
          <w:highlight w:val="none"/>
        </w:rPr>
      </w:pPr>
    </w:p>
    <w:p w14:paraId="64D994CF">
      <w:pPr>
        <w:snapToGrid w:val="0"/>
        <w:spacing w:before="156" w:beforeLines="50" w:after="0" w:line="312" w:lineRule="auto"/>
        <w:rPr>
          <w:rFonts w:hint="eastAsia" w:asciiTheme="minorEastAsia" w:hAnsiTheme="minorEastAsia" w:eastAsiaTheme="minorEastAsia" w:cstheme="minorEastAsia"/>
          <w:b/>
          <w:sz w:val="28"/>
          <w:highlight w:val="none"/>
        </w:rPr>
      </w:pPr>
    </w:p>
    <w:p w14:paraId="0A2EA8BD">
      <w:pPr>
        <w:snapToGrid w:val="0"/>
        <w:spacing w:before="156" w:beforeLines="50" w:after="0" w:line="312" w:lineRule="auto"/>
        <w:rPr>
          <w:rFonts w:hint="eastAsia" w:asciiTheme="minorEastAsia" w:hAnsiTheme="minorEastAsia" w:eastAsiaTheme="minorEastAsia" w:cstheme="minorEastAsia"/>
          <w:b/>
          <w:sz w:val="28"/>
          <w:highlight w:val="none"/>
        </w:rPr>
      </w:pPr>
    </w:p>
    <w:p w14:paraId="3B0BFE7A">
      <w:pPr>
        <w:pStyle w:val="22"/>
        <w:rPr>
          <w:rFonts w:hint="eastAsia" w:asciiTheme="minorEastAsia" w:hAnsiTheme="minorEastAsia" w:eastAsiaTheme="minorEastAsia" w:cstheme="minorEastAsia"/>
          <w:highlight w:val="none"/>
        </w:rPr>
      </w:pPr>
    </w:p>
    <w:p w14:paraId="562E616A">
      <w:pPr>
        <w:pStyle w:val="22"/>
        <w:rPr>
          <w:rFonts w:hint="eastAsia" w:asciiTheme="minorEastAsia" w:hAnsiTheme="minorEastAsia" w:eastAsiaTheme="minorEastAsia" w:cstheme="minorEastAsia"/>
          <w:highlight w:val="none"/>
        </w:rPr>
      </w:pPr>
    </w:p>
    <w:p w14:paraId="4C5C0A35">
      <w:pPr>
        <w:pStyle w:val="22"/>
        <w:rPr>
          <w:rFonts w:hint="eastAsia" w:asciiTheme="minorEastAsia" w:hAnsiTheme="minorEastAsia" w:eastAsiaTheme="minorEastAsia" w:cstheme="minorEastAsia"/>
          <w:highlight w:val="none"/>
        </w:rPr>
      </w:pPr>
    </w:p>
    <w:p w14:paraId="02005FE9">
      <w:pPr>
        <w:snapToGrid w:val="0"/>
        <w:spacing w:before="156" w:beforeLines="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附件15</w:t>
      </w:r>
    </w:p>
    <w:p w14:paraId="636C1A26">
      <w:pPr>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报价明细表</w:t>
      </w:r>
    </w:p>
    <w:p w14:paraId="45341FF7">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项目名称：</w:t>
      </w:r>
    </w:p>
    <w:p w14:paraId="7BBB1062">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项目编号：                                       [单位：人民币/元]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4C8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52706EA5">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460" w:type="dxa"/>
            <w:vAlign w:val="center"/>
          </w:tcPr>
          <w:p w14:paraId="3E519146">
            <w:pPr>
              <w:tabs>
                <w:tab w:val="left" w:pos="8280"/>
              </w:tabs>
              <w:autoSpaceDE w:val="0"/>
              <w:autoSpaceDN w:val="0"/>
              <w:adjustRightInd w:val="0"/>
              <w:spacing w:line="360" w:lineRule="auto"/>
              <w:ind w:right="2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报价项目</w:t>
            </w:r>
          </w:p>
        </w:tc>
        <w:tc>
          <w:tcPr>
            <w:tcW w:w="1559" w:type="dxa"/>
            <w:vAlign w:val="center"/>
          </w:tcPr>
          <w:p w14:paraId="5A3F0265">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品牌、产地</w:t>
            </w:r>
          </w:p>
        </w:tc>
        <w:tc>
          <w:tcPr>
            <w:tcW w:w="1559" w:type="dxa"/>
            <w:vAlign w:val="center"/>
          </w:tcPr>
          <w:p w14:paraId="3E4BBFF9">
            <w:pPr>
              <w:spacing w:line="360" w:lineRule="auto"/>
              <w:ind w:left="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型号规格</w:t>
            </w:r>
          </w:p>
        </w:tc>
        <w:tc>
          <w:tcPr>
            <w:tcW w:w="851" w:type="dxa"/>
            <w:vAlign w:val="center"/>
          </w:tcPr>
          <w:p w14:paraId="7B1080C8">
            <w:pPr>
              <w:spacing w:line="360" w:lineRule="auto"/>
              <w:ind w:left="1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92" w:type="dxa"/>
            <w:vAlign w:val="center"/>
          </w:tcPr>
          <w:p w14:paraId="432963E1">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tc>
        <w:tc>
          <w:tcPr>
            <w:tcW w:w="992" w:type="dxa"/>
            <w:vAlign w:val="center"/>
          </w:tcPr>
          <w:p w14:paraId="25E985E2">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小计</w:t>
            </w:r>
          </w:p>
        </w:tc>
        <w:tc>
          <w:tcPr>
            <w:tcW w:w="709" w:type="dxa"/>
            <w:vAlign w:val="center"/>
          </w:tcPr>
          <w:p w14:paraId="0AC1EC19">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p>
        </w:tc>
      </w:tr>
      <w:tr w14:paraId="04D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1B13F3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57D2123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112AD6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492992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7709BC5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B8A38C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10B123E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76BB273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F19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6B47B64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3929F0C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1906FA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BCCA14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345340F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8EFEAF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2716F30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36755A6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3F3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17B0BCB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7244738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710BA9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7D3F84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49E843B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6E7B66E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0F26889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54524A2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689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5111CB3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32AEDC5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947049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488D82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0D9E170">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1AA23C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72C96C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4A1997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5BFD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6A92651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0D3D2B9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EBD88C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8354D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3FE92B1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6F26E3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202DB61">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02A701D1">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BA5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22503F9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合计人民币：大写                               小写</w:t>
            </w:r>
          </w:p>
        </w:tc>
      </w:tr>
    </w:tbl>
    <w:p w14:paraId="15E920D1">
      <w:pPr>
        <w:spacing w:line="360" w:lineRule="auto"/>
        <w:jc w:val="left"/>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要求：</w:t>
      </w:r>
    </w:p>
    <w:p w14:paraId="2B9CA04F">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1.本表为《开标一览表》的报价明细表，如有缺项、漏项，视为投标报价中已包含相关费用，采购人无需另外支付任何费用。</w:t>
      </w:r>
    </w:p>
    <w:p w14:paraId="32BEBAE3">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“报价明细表”中的报价合计应与“开标一览表”中的投标总报价相一致，不一致时，以开标一览表为准。</w:t>
      </w:r>
    </w:p>
    <w:p w14:paraId="5A14552E">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14:paraId="5914A0D3">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14:paraId="076A93B3">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授权委托代理人签字或盖章：</w:t>
      </w:r>
    </w:p>
    <w:p w14:paraId="1EB0F3B9">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p>
    <w:p w14:paraId="0582D4CE">
      <w:pPr>
        <w:snapToGrid w:val="0"/>
        <w:spacing w:before="156" w:beforeLines="50" w:after="0" w:line="312" w:lineRule="auto"/>
        <w:rPr>
          <w:rFonts w:hint="eastAsia" w:asciiTheme="minorEastAsia" w:hAnsiTheme="minorEastAsia" w:eastAsiaTheme="minorEastAsia" w:cstheme="minorEastAsia"/>
          <w:bCs/>
          <w:sz w:val="30"/>
          <w:szCs w:val="30"/>
          <w:highlight w:val="none"/>
        </w:rPr>
      </w:pPr>
      <w:r>
        <w:rPr>
          <w:rFonts w:hint="eastAsia" w:asciiTheme="minorEastAsia" w:hAnsiTheme="minorEastAsia" w:eastAsiaTheme="minorEastAsia" w:cstheme="minorEastAsia"/>
          <w:b/>
          <w:sz w:val="28"/>
          <w:highlight w:val="none"/>
        </w:rPr>
        <w:t>附件16</w:t>
      </w:r>
    </w:p>
    <w:p w14:paraId="072A9916">
      <w:pPr>
        <w:spacing w:after="0" w:line="360" w:lineRule="auto"/>
        <w:ind w:right="-110"/>
        <w:jc w:val="center"/>
        <w:rPr>
          <w:rFonts w:hint="eastAsia" w:asciiTheme="minorEastAsia" w:hAnsiTheme="minorEastAsia" w:eastAsiaTheme="minorEastAsia" w:cstheme="minorEastAsia"/>
          <w:b/>
          <w:sz w:val="32"/>
          <w:szCs w:val="32"/>
          <w:highlight w:val="none"/>
        </w:rPr>
      </w:pPr>
      <w:bookmarkStart w:id="52" w:name="_Hlk62036196"/>
      <w:r>
        <w:rPr>
          <w:rFonts w:hint="eastAsia" w:asciiTheme="minorEastAsia" w:hAnsiTheme="minorEastAsia" w:eastAsiaTheme="minorEastAsia" w:cstheme="minorEastAsia"/>
          <w:b/>
          <w:sz w:val="32"/>
          <w:szCs w:val="32"/>
          <w:highlight w:val="none"/>
        </w:rPr>
        <w:t>中小企业声明函（货物）</w:t>
      </w:r>
    </w:p>
    <w:p w14:paraId="083FA7F4">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（含联合体中的中小企业、签订分包意向协议的中小企业）的具体情况如下：</w:t>
      </w:r>
    </w:p>
    <w:p w14:paraId="0D1AEFA5">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万元 </w:t>
      </w:r>
      <w:r>
        <w:rPr>
          <w:rFonts w:hint="eastAsia" w:asciiTheme="minorEastAsia" w:hAnsiTheme="minorEastAsia" w:eastAsiaTheme="minorEastAsia" w:cstheme="minorEastAsia"/>
          <w:color w:val="000000" w:themeColor="text1"/>
          <w:sz w:val="16"/>
          <w:szCs w:val="16"/>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6842AA">
      <w:pPr>
        <w:spacing w:after="0"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p>
    <w:p w14:paraId="03D256AB">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753889B">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1AAC7BC7">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本企业对上述声明内容的真实性负责。如有虚假，将依法承担相应责任。 </w:t>
      </w:r>
    </w:p>
    <w:p w14:paraId="6615301F">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5E40341">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企业名称（盖章）： </w:t>
      </w:r>
    </w:p>
    <w:p w14:paraId="275DC75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 期： </w:t>
      </w:r>
    </w:p>
    <w:p w14:paraId="53B4BEE0">
      <w:pPr>
        <w:spacing w:after="0" w:line="312" w:lineRule="auto"/>
        <w:ind w:firstLine="420" w:firstLineChars="200"/>
        <w:rPr>
          <w:rFonts w:hint="eastAsia" w:asciiTheme="minorEastAsia" w:hAnsiTheme="minorEastAsia" w:eastAsiaTheme="minorEastAsia" w:cstheme="minorEastAsia"/>
          <w:highlight w:val="none"/>
        </w:rPr>
      </w:pPr>
    </w:p>
    <w:p w14:paraId="580B7DA7">
      <w:pPr>
        <w:spacing w:after="0" w:line="312" w:lineRule="auto"/>
        <w:ind w:firstLine="420" w:firstLineChars="200"/>
        <w:rPr>
          <w:rFonts w:hint="eastAsia" w:asciiTheme="minorEastAsia" w:hAnsiTheme="minorEastAsia" w:eastAsiaTheme="minorEastAsia" w:cstheme="minorEastAsia"/>
          <w:highlight w:val="none"/>
        </w:rPr>
      </w:pPr>
    </w:p>
    <w:p w14:paraId="4BE0472F">
      <w:pPr>
        <w:spacing w:after="0" w:line="312" w:lineRule="auto"/>
        <w:ind w:firstLine="420" w:firstLineChars="200"/>
        <w:rPr>
          <w:rFonts w:hint="eastAsia" w:asciiTheme="minorEastAsia" w:hAnsiTheme="minorEastAsia" w:eastAsiaTheme="minorEastAsia" w:cstheme="minorEastAsia"/>
          <w:highlight w:val="none"/>
        </w:rPr>
      </w:pPr>
    </w:p>
    <w:p w14:paraId="7617B5E8">
      <w:pPr>
        <w:spacing w:after="0" w:line="312" w:lineRule="auto"/>
        <w:ind w:firstLine="420" w:firstLineChars="200"/>
        <w:rPr>
          <w:rFonts w:hint="eastAsia" w:asciiTheme="minorEastAsia" w:hAnsiTheme="minorEastAsia" w:eastAsiaTheme="minorEastAsia" w:cstheme="minorEastAsia"/>
          <w:highlight w:val="none"/>
        </w:rPr>
      </w:pPr>
    </w:p>
    <w:p w14:paraId="06AA6B56">
      <w:pPr>
        <w:spacing w:after="0" w:line="312" w:lineRule="auto"/>
        <w:ind w:firstLine="420" w:firstLineChars="200"/>
        <w:rPr>
          <w:rFonts w:hint="eastAsia" w:asciiTheme="minorEastAsia" w:hAnsiTheme="minorEastAsia" w:eastAsiaTheme="minorEastAsia" w:cstheme="minorEastAsia"/>
          <w:highlight w:val="none"/>
        </w:rPr>
      </w:pPr>
    </w:p>
    <w:p w14:paraId="52E48501">
      <w:pPr>
        <w:spacing w:after="0" w:line="312" w:lineRule="auto"/>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b/>
          <w:bCs/>
          <w:highlight w:val="none"/>
        </w:rPr>
        <w:t>注：</w:t>
      </w:r>
      <w:r>
        <w:rPr>
          <w:rFonts w:hint="eastAsia" w:asciiTheme="minorEastAsia" w:hAnsiTheme="minorEastAsia" w:eastAsiaTheme="minorEastAsia" w:cstheme="minorEastAsia"/>
          <w:highlight w:val="none"/>
        </w:rPr>
        <w:t>从业人员、营业收入、资产总额填报上一年度数据，无上一年度数据的新成立企业可不填报。</w:t>
      </w:r>
    </w:p>
    <w:p w14:paraId="23CF4B23">
      <w:pPr>
        <w:spacing w:after="0" w:line="312" w:lineRule="auto"/>
        <w:ind w:firstLine="504" w:firstLineChars="200"/>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w:t>
      </w:r>
    </w:p>
    <w:bookmarkEnd w:id="52"/>
    <w:p w14:paraId="62823409">
      <w:pPr>
        <w:pStyle w:val="22"/>
        <w:rPr>
          <w:rFonts w:hint="eastAsia" w:asciiTheme="minorEastAsia" w:hAnsiTheme="minorEastAsia" w:eastAsiaTheme="minorEastAsia" w:cstheme="minorEastAsia"/>
          <w:highlight w:val="none"/>
        </w:rPr>
      </w:pPr>
    </w:p>
    <w:p w14:paraId="3813318F">
      <w:pPr>
        <w:pStyle w:val="22"/>
        <w:rPr>
          <w:rFonts w:hint="eastAsia" w:asciiTheme="minorEastAsia" w:hAnsiTheme="minorEastAsia" w:eastAsiaTheme="minorEastAsia" w:cstheme="minorEastAsia"/>
          <w:highlight w:val="none"/>
        </w:rPr>
      </w:pPr>
    </w:p>
    <w:p w14:paraId="53611131">
      <w:pPr>
        <w:spacing w:after="0" w:line="240" w:lineRule="auto"/>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t>要求：</w:t>
      </w:r>
    </w:p>
    <w:p w14:paraId="4DDD6143">
      <w:pPr>
        <w:numPr>
          <w:ilvl w:val="0"/>
          <w:numId w:val="19"/>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如响应产品由小微企业生产，则需提供中小企业声明函。</w:t>
      </w:r>
    </w:p>
    <w:p w14:paraId="40E926B9">
      <w:pPr>
        <w:numPr>
          <w:ilvl w:val="0"/>
          <w:numId w:val="19"/>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如中标人声明为小微企业，本声明函将随中标结果同时公告，接受社会监督。</w:t>
      </w:r>
    </w:p>
    <w:p w14:paraId="4B7F69D0">
      <w:pPr>
        <w:spacing w:line="360" w:lineRule="auto"/>
        <w:ind w:left="-2" w:hanging="2"/>
        <w:jc w:val="cente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t>残疾人福利性单位声明函</w:t>
      </w:r>
    </w:p>
    <w:p w14:paraId="720B2BE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1A0008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624028B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2668B68">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42FF04F3">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4C6DB4E5">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27C18E22">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47767921">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2711CB78">
      <w:pPr>
        <w:pStyle w:val="4"/>
        <w:ind w:firstLine="241"/>
        <w:jc w:val="cente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pPr>
      <w: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t>监狱企业资格证明材料</w:t>
      </w:r>
    </w:p>
    <w:p w14:paraId="70B78452">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（省级以上监狱管理局、戒毒管理局（含新疆生产建设兵团）出具的属于监狱企业的证明文件）</w:t>
      </w:r>
    </w:p>
    <w:p w14:paraId="4B5C33CD">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B3C1C9C">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说明：根据财库[2014]68号的相关规定，监狱企业视同小型、微型企业。</w:t>
      </w:r>
    </w:p>
    <w:p w14:paraId="3C225E0B">
      <w:pPr>
        <w:pStyle w:val="12"/>
        <w:spacing w:after="0" w:line="312" w:lineRule="auto"/>
        <w:jc w:val="center"/>
        <w:outlineLvl w:val="1"/>
        <w:rPr>
          <w:rFonts w:hint="eastAsia" w:asciiTheme="minorEastAsia" w:hAnsiTheme="minorEastAsia" w:eastAsiaTheme="minorEastAsia" w:cstheme="minorEastAsia"/>
          <w:b/>
          <w:sz w:val="32"/>
          <w:szCs w:val="32"/>
          <w:highlight w:val="none"/>
        </w:rPr>
      </w:pPr>
    </w:p>
    <w:p w14:paraId="0D7EAFE1">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502E0315">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10392D40">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C89A3F2">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476387DB">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505FA9A9">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p>
    <w:p w14:paraId="00FC8EB7">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政府采购活动现场确认声明书</w:t>
      </w:r>
    </w:p>
    <w:p w14:paraId="73FBBF8B">
      <w:pPr>
        <w:pStyle w:val="22"/>
        <w:rPr>
          <w:rFonts w:hint="eastAsia" w:asciiTheme="minorEastAsia" w:hAnsiTheme="minorEastAsia" w:eastAsiaTheme="minorEastAsia" w:cstheme="minorEastAsia"/>
          <w:highlight w:val="none"/>
        </w:rPr>
      </w:pPr>
    </w:p>
    <w:p w14:paraId="1BF0392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台州蔚蓝投资咨询有限公司：</w:t>
      </w:r>
    </w:p>
    <w:p w14:paraId="69CC48C7">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本人</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（授权代表姓名），经由</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（单位）__________（法定代表人姓名）合法授权参加</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项目（编号：WLCG-2024-GK034号）政府采购活动，经与本单位法人代表（负责人）联系确认，现就有关公平竞争事项郑重声明如下：</w:t>
      </w:r>
    </w:p>
    <w:p w14:paraId="5D10F76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一、本单位与采购人之间 □不存在利害关系 □存在下列利害关系 ：</w:t>
      </w:r>
    </w:p>
    <w:p w14:paraId="6EF0D11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投资关系 B. 行政隶属关系 C. 业务指导关系</w:t>
      </w:r>
    </w:p>
    <w:p w14:paraId="27930813">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其他可能影响采购公正的利害关系（如有，请如实说明）。</w:t>
      </w:r>
    </w:p>
    <w:p w14:paraId="4EA97FC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二、现已清楚知道参加本项目采购活动的其他所有供应商名称，本单位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（供应商名称）之间存在下列利害关系：</w:t>
      </w:r>
    </w:p>
    <w:p w14:paraId="57976B4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法定代表人或负责人或实际控制人是同一人</w:t>
      </w:r>
    </w:p>
    <w:p w14:paraId="66FA696A">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 法定代表人或负责人或实际控制人是夫妻关系</w:t>
      </w:r>
    </w:p>
    <w:p w14:paraId="2FAAE85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C. 法定代表人或负责人或实际控制人是直系血亲关系</w:t>
      </w:r>
    </w:p>
    <w:p w14:paraId="4A9F38FA">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法定代表人或负责人或实际控制人存在三代以内旁系血亲关系</w:t>
      </w:r>
    </w:p>
    <w:p w14:paraId="5959A895">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E. 法定代表人或负责人或实际控制人存在近姻亲关系</w:t>
      </w:r>
    </w:p>
    <w:p w14:paraId="5FA54D32">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F. 法定代表人或负责人或实际控制人存在股份控制或实际控制关系</w:t>
      </w:r>
    </w:p>
    <w:p w14:paraId="638F54A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G. 存在共同直接或间接投资设立子公司、联营企业和合营企业情况</w:t>
      </w:r>
    </w:p>
    <w:p w14:paraId="0CB03EB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H. 存在分级代理或代销关系、同一生产制造商关系、 管理关系、重要业务（占主营业务收入 50% 以上）或重要财务往来关系（如融资）等其他实质性控制关系</w:t>
      </w:r>
    </w:p>
    <w:p w14:paraId="6062284D">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I . 其他利害关系情况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w:t>
      </w:r>
    </w:p>
    <w:p w14:paraId="30B0F28E">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三、现已清楚知道并 严格遵守政府采购法律法规和现场纪律。</w:t>
      </w:r>
    </w:p>
    <w:p w14:paraId="0F561099">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四、我发现</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供应商之间存在或可能存在上述第二条第</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项利害关系。</w:t>
      </w:r>
    </w:p>
    <w:p w14:paraId="73C77D5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472088E9">
      <w:pPr>
        <w:autoSpaceDE w:val="0"/>
        <w:autoSpaceDN w:val="0"/>
        <w:adjustRightInd w:val="0"/>
        <w:spacing w:after="0" w:line="360" w:lineRule="auto"/>
        <w:ind w:left="4200" w:firstLine="420"/>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（供应商代表签名）：</w:t>
      </w:r>
    </w:p>
    <w:p w14:paraId="46313ADF">
      <w:pPr>
        <w:spacing w:after="0" w:line="360" w:lineRule="auto"/>
        <w:ind w:left="588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2024年   月   日</w:t>
      </w:r>
    </w:p>
    <w:p w14:paraId="69AC49E3">
      <w:pPr>
        <w:pStyle w:val="22"/>
        <w:ind w:left="0" w:leftChars="0" w:firstLine="422"/>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注：解密完成后。投标供应商确认签署后，发送代理邮箱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00EB">
    <w:pPr>
      <w:pStyle w:val="16"/>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B5F81">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F7B5F81">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台州蔚蓝投资咨询有限公司招标文件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D938">
    <w:pPr>
      <w:pStyle w:val="16"/>
    </w:pPr>
    <w:r>
      <w:rPr>
        <w:rFonts w:hint="eastAsia"/>
        <w:i/>
        <w:color w:val="000000" w:themeColor="text1"/>
        <w:kern w:val="0"/>
        <w:u w:val="single"/>
        <w14:textFill>
          <w14:solidFill>
            <w14:schemeClr w14:val="tx1"/>
          </w14:solidFill>
        </w14:textFill>
      </w:rPr>
      <w:t>台州蔚蓝投资咨询有限公司招标文件</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EFF2C">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A0EFF2C">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F6FC8"/>
    <w:multiLevelType w:val="singleLevel"/>
    <w:tmpl w:val="A93F6FC8"/>
    <w:lvl w:ilvl="0" w:tentative="0">
      <w:start w:val="1"/>
      <w:numFmt w:val="decimal"/>
      <w:lvlText w:val="%1)"/>
      <w:lvlJc w:val="left"/>
      <w:pPr>
        <w:ind w:left="425" w:hanging="425"/>
      </w:pPr>
      <w:rPr>
        <w:rFonts w:hint="default"/>
      </w:rPr>
    </w:lvl>
  </w:abstractNum>
  <w:abstractNum w:abstractNumId="1">
    <w:nsid w:val="A9BE020B"/>
    <w:multiLevelType w:val="singleLevel"/>
    <w:tmpl w:val="A9BE020B"/>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3">
    <w:nsid w:val="C2256B98"/>
    <w:multiLevelType w:val="singleLevel"/>
    <w:tmpl w:val="C2256B98"/>
    <w:lvl w:ilvl="0" w:tentative="0">
      <w:start w:val="1"/>
      <w:numFmt w:val="bullet"/>
      <w:lvlText w:val=""/>
      <w:lvlJc w:val="left"/>
      <w:pPr>
        <w:ind w:left="420" w:hanging="420"/>
      </w:pPr>
      <w:rPr>
        <w:rFonts w:hint="default" w:ascii="Wingdings" w:hAnsi="Wingdings"/>
      </w:rPr>
    </w:lvl>
  </w:abstractNum>
  <w:abstractNum w:abstractNumId="4">
    <w:nsid w:val="EC135D07"/>
    <w:multiLevelType w:val="singleLevel"/>
    <w:tmpl w:val="EC135D07"/>
    <w:lvl w:ilvl="0" w:tentative="0">
      <w:start w:val="1"/>
      <w:numFmt w:val="decimal"/>
      <w:lvlText w:val="%1)"/>
      <w:lvlJc w:val="left"/>
      <w:pPr>
        <w:ind w:left="425" w:hanging="425"/>
      </w:pPr>
      <w:rPr>
        <w:rFonts w:hint="default"/>
      </w:rPr>
    </w:lvl>
  </w:abstractNum>
  <w:abstractNum w:abstractNumId="5">
    <w:nsid w:val="EFB30B35"/>
    <w:multiLevelType w:val="singleLevel"/>
    <w:tmpl w:val="EFB30B35"/>
    <w:lvl w:ilvl="0" w:tentative="0">
      <w:start w:val="1"/>
      <w:numFmt w:val="decimal"/>
      <w:lvlText w:val="%1)"/>
      <w:lvlJc w:val="left"/>
      <w:pPr>
        <w:tabs>
          <w:tab w:val="left" w:pos="-420"/>
        </w:tabs>
        <w:ind w:left="5" w:hanging="425"/>
      </w:pPr>
      <w:rPr>
        <w:rFonts w:hint="default"/>
      </w:rPr>
    </w:lvl>
  </w:abstractNum>
  <w:abstractNum w:abstractNumId="6">
    <w:nsid w:val="F2671524"/>
    <w:multiLevelType w:val="singleLevel"/>
    <w:tmpl w:val="F2671524"/>
    <w:lvl w:ilvl="0" w:tentative="0">
      <w:start w:val="1"/>
      <w:numFmt w:val="decimal"/>
      <w:lvlText w:val="%1)"/>
      <w:lvlJc w:val="left"/>
      <w:pPr>
        <w:ind w:left="425" w:hanging="425"/>
      </w:pPr>
      <w:rPr>
        <w:rFonts w:hint="default"/>
      </w:rPr>
    </w:lvl>
  </w:abstractNum>
  <w:abstractNum w:abstractNumId="7">
    <w:nsid w:val="FAB936B6"/>
    <w:multiLevelType w:val="singleLevel"/>
    <w:tmpl w:val="FAB936B6"/>
    <w:lvl w:ilvl="0" w:tentative="0">
      <w:start w:val="1"/>
      <w:numFmt w:val="decimal"/>
      <w:lvlText w:val="%1)"/>
      <w:lvlJc w:val="left"/>
      <w:pPr>
        <w:ind w:left="425" w:hanging="425"/>
      </w:pPr>
      <w:rPr>
        <w:rFonts w:hint="default"/>
      </w:rPr>
    </w:lvl>
  </w:abstractNum>
  <w:abstractNum w:abstractNumId="8">
    <w:nsid w:val="1039A90C"/>
    <w:multiLevelType w:val="singleLevel"/>
    <w:tmpl w:val="1039A90C"/>
    <w:lvl w:ilvl="0" w:tentative="0">
      <w:start w:val="1"/>
      <w:numFmt w:val="decimal"/>
      <w:lvlText w:val="%1)"/>
      <w:lvlJc w:val="left"/>
      <w:pPr>
        <w:ind w:left="425" w:hanging="425"/>
      </w:pPr>
      <w:rPr>
        <w:rFonts w:hint="default"/>
      </w:rPr>
    </w:lvl>
  </w:abstractNum>
  <w:abstractNum w:abstractNumId="9">
    <w:nsid w:val="2C7C4A63"/>
    <w:multiLevelType w:val="multilevel"/>
    <w:tmpl w:val="2C7C4A63"/>
    <w:lvl w:ilvl="0" w:tentative="0">
      <w:start w:val="1"/>
      <w:numFmt w:val="decimal"/>
      <w:lvlText w:val="%1."/>
      <w:lvlJc w:val="left"/>
      <w:pPr>
        <w:ind w:left="428" w:hanging="360"/>
      </w:pPr>
      <w:rPr>
        <w:rFonts w:hint="default"/>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0">
    <w:nsid w:val="3669F2C5"/>
    <w:multiLevelType w:val="singleLevel"/>
    <w:tmpl w:val="3669F2C5"/>
    <w:lvl w:ilvl="0" w:tentative="0">
      <w:start w:val="1"/>
      <w:numFmt w:val="decimal"/>
      <w:suff w:val="nothing"/>
      <w:lvlText w:val="（%1）"/>
      <w:lvlJc w:val="left"/>
    </w:lvl>
  </w:abstractNum>
  <w:abstractNum w:abstractNumId="11">
    <w:nsid w:val="3E0F0943"/>
    <w:multiLevelType w:val="multilevel"/>
    <w:tmpl w:val="3E0F0943"/>
    <w:lvl w:ilvl="0" w:tentative="0">
      <w:start w:val="1"/>
      <w:numFmt w:val="decimalEnclosedCircle"/>
      <w:lvlText w:val="%1"/>
      <w:lvlJc w:val="left"/>
      <w:pPr>
        <w:ind w:left="360" w:hanging="360"/>
      </w:pPr>
      <w:rPr>
        <w:rFonts w:hint="default" w:eastAsiaTheme="minorEastAsia"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26A3AD2"/>
    <w:multiLevelType w:val="singleLevel"/>
    <w:tmpl w:val="426A3AD2"/>
    <w:lvl w:ilvl="0" w:tentative="0">
      <w:start w:val="1"/>
      <w:numFmt w:val="decimal"/>
      <w:suff w:val="nothing"/>
      <w:lvlText w:val="（%1）"/>
      <w:lvlJc w:val="left"/>
    </w:lvl>
  </w:abstractNum>
  <w:abstractNum w:abstractNumId="13">
    <w:nsid w:val="42A6BF0F"/>
    <w:multiLevelType w:val="singleLevel"/>
    <w:tmpl w:val="42A6BF0F"/>
    <w:lvl w:ilvl="0" w:tentative="0">
      <w:start w:val="1"/>
      <w:numFmt w:val="decimal"/>
      <w:lvlText w:val="%1."/>
      <w:lvlJc w:val="left"/>
      <w:pPr>
        <w:ind w:left="425" w:hanging="425"/>
      </w:pPr>
      <w:rPr>
        <w:rFonts w:hint="default"/>
      </w:rPr>
    </w:lvl>
  </w:abstractNum>
  <w:abstractNum w:abstractNumId="14">
    <w:nsid w:val="468D9129"/>
    <w:multiLevelType w:val="singleLevel"/>
    <w:tmpl w:val="468D9129"/>
    <w:lvl w:ilvl="0" w:tentative="0">
      <w:start w:val="1"/>
      <w:numFmt w:val="decimal"/>
      <w:suff w:val="nothing"/>
      <w:lvlText w:val="%1、"/>
      <w:lvlJc w:val="left"/>
    </w:lvl>
  </w:abstractNum>
  <w:abstractNum w:abstractNumId="1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6">
    <w:nsid w:val="5452B688"/>
    <w:multiLevelType w:val="singleLevel"/>
    <w:tmpl w:val="5452B688"/>
    <w:lvl w:ilvl="0" w:tentative="0">
      <w:start w:val="1"/>
      <w:numFmt w:val="decimal"/>
      <w:lvlText w:val="%1)"/>
      <w:lvlJc w:val="left"/>
      <w:pPr>
        <w:ind w:left="425" w:hanging="425"/>
      </w:pPr>
      <w:rPr>
        <w:rFonts w:hint="default"/>
      </w:rPr>
    </w:lvl>
  </w:abstractNum>
  <w:abstractNum w:abstractNumId="17">
    <w:nsid w:val="6D86D76B"/>
    <w:multiLevelType w:val="singleLevel"/>
    <w:tmpl w:val="6D86D76B"/>
    <w:lvl w:ilvl="0" w:tentative="0">
      <w:start w:val="1"/>
      <w:numFmt w:val="bullet"/>
      <w:lvlText w:val=""/>
      <w:lvlJc w:val="left"/>
      <w:pPr>
        <w:ind w:left="420" w:hanging="420"/>
      </w:pPr>
      <w:rPr>
        <w:rFonts w:hint="default" w:ascii="Wingdings" w:hAnsi="Wingdings"/>
      </w:rPr>
    </w:lvl>
  </w:abstractNum>
  <w:abstractNum w:abstractNumId="18">
    <w:nsid w:val="6E3663F0"/>
    <w:multiLevelType w:val="singleLevel"/>
    <w:tmpl w:val="6E3663F0"/>
    <w:lvl w:ilvl="0" w:tentative="0">
      <w:start w:val="1"/>
      <w:numFmt w:val="decimal"/>
      <w:lvlText w:val="%1)"/>
      <w:lvlJc w:val="left"/>
      <w:pPr>
        <w:ind w:left="425" w:hanging="425"/>
      </w:pPr>
      <w:rPr>
        <w:rFonts w:hint="default"/>
      </w:rPr>
    </w:lvl>
  </w:abstractNum>
  <w:num w:numId="1">
    <w:abstractNumId w:val="2"/>
  </w:num>
  <w:num w:numId="2">
    <w:abstractNumId w:val="15"/>
  </w:num>
  <w:num w:numId="3">
    <w:abstractNumId w:val="13"/>
  </w:num>
  <w:num w:numId="4">
    <w:abstractNumId w:val="3"/>
  </w:num>
  <w:num w:numId="5">
    <w:abstractNumId w:val="17"/>
  </w:num>
  <w:num w:numId="6">
    <w:abstractNumId w:val="9"/>
  </w:num>
  <w:num w:numId="7">
    <w:abstractNumId w:val="0"/>
  </w:num>
  <w:num w:numId="8">
    <w:abstractNumId w:val="5"/>
  </w:num>
  <w:num w:numId="9">
    <w:abstractNumId w:val="4"/>
  </w:num>
  <w:num w:numId="10">
    <w:abstractNumId w:val="16"/>
  </w:num>
  <w:num w:numId="11">
    <w:abstractNumId w:val="6"/>
  </w:num>
  <w:num w:numId="12">
    <w:abstractNumId w:val="8"/>
  </w:num>
  <w:num w:numId="13">
    <w:abstractNumId w:val="7"/>
  </w:num>
  <w:num w:numId="14">
    <w:abstractNumId w:val="18"/>
  </w:num>
  <w:num w:numId="15">
    <w:abstractNumId w:val="1"/>
  </w:num>
  <w:num w:numId="16">
    <w:abstractNumId w:val="12"/>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mI0NzYzODc1MjViNjJkNGUzY2NiZDY4YmY0YWMifQ=="/>
  </w:docVars>
  <w:rsids>
    <w:rsidRoot w:val="0E970358"/>
    <w:rsid w:val="00005239"/>
    <w:rsid w:val="000065D3"/>
    <w:rsid w:val="00007FC9"/>
    <w:rsid w:val="00012AE6"/>
    <w:rsid w:val="00013B47"/>
    <w:rsid w:val="0001541C"/>
    <w:rsid w:val="00017310"/>
    <w:rsid w:val="0001759D"/>
    <w:rsid w:val="00017FB2"/>
    <w:rsid w:val="000221E6"/>
    <w:rsid w:val="00027B2C"/>
    <w:rsid w:val="0003000A"/>
    <w:rsid w:val="00033281"/>
    <w:rsid w:val="00037FAE"/>
    <w:rsid w:val="00041E3E"/>
    <w:rsid w:val="000424FC"/>
    <w:rsid w:val="00042E5B"/>
    <w:rsid w:val="00044814"/>
    <w:rsid w:val="0004557E"/>
    <w:rsid w:val="00050183"/>
    <w:rsid w:val="000502E2"/>
    <w:rsid w:val="000514E9"/>
    <w:rsid w:val="00052921"/>
    <w:rsid w:val="00053BFA"/>
    <w:rsid w:val="000572BB"/>
    <w:rsid w:val="000579DE"/>
    <w:rsid w:val="00060FA1"/>
    <w:rsid w:val="000613FE"/>
    <w:rsid w:val="0006220A"/>
    <w:rsid w:val="0006294D"/>
    <w:rsid w:val="00062AB3"/>
    <w:rsid w:val="00063593"/>
    <w:rsid w:val="0006625F"/>
    <w:rsid w:val="0006641E"/>
    <w:rsid w:val="00071459"/>
    <w:rsid w:val="00073F69"/>
    <w:rsid w:val="0007438C"/>
    <w:rsid w:val="0007578C"/>
    <w:rsid w:val="00076729"/>
    <w:rsid w:val="000769F2"/>
    <w:rsid w:val="000771E2"/>
    <w:rsid w:val="00080C5C"/>
    <w:rsid w:val="00082B9D"/>
    <w:rsid w:val="000846E6"/>
    <w:rsid w:val="00084FAB"/>
    <w:rsid w:val="000949A1"/>
    <w:rsid w:val="00097447"/>
    <w:rsid w:val="000A1A32"/>
    <w:rsid w:val="000A2695"/>
    <w:rsid w:val="000A2B05"/>
    <w:rsid w:val="000A59E8"/>
    <w:rsid w:val="000A6326"/>
    <w:rsid w:val="000A6C7A"/>
    <w:rsid w:val="000B38ED"/>
    <w:rsid w:val="000B68BE"/>
    <w:rsid w:val="000B71A3"/>
    <w:rsid w:val="000C2F8F"/>
    <w:rsid w:val="000C44AF"/>
    <w:rsid w:val="000C6335"/>
    <w:rsid w:val="000D1679"/>
    <w:rsid w:val="000D33F9"/>
    <w:rsid w:val="000D3DE5"/>
    <w:rsid w:val="000E00DF"/>
    <w:rsid w:val="000E015A"/>
    <w:rsid w:val="000E3461"/>
    <w:rsid w:val="000E5E68"/>
    <w:rsid w:val="000E6354"/>
    <w:rsid w:val="000E76FD"/>
    <w:rsid w:val="000F2CB3"/>
    <w:rsid w:val="000F38B6"/>
    <w:rsid w:val="000F7D31"/>
    <w:rsid w:val="00102F78"/>
    <w:rsid w:val="00104FCE"/>
    <w:rsid w:val="001050C2"/>
    <w:rsid w:val="00106842"/>
    <w:rsid w:val="00107BF6"/>
    <w:rsid w:val="00107DD0"/>
    <w:rsid w:val="00111329"/>
    <w:rsid w:val="00111483"/>
    <w:rsid w:val="00115B65"/>
    <w:rsid w:val="00116669"/>
    <w:rsid w:val="0012439C"/>
    <w:rsid w:val="00133A8B"/>
    <w:rsid w:val="00133C2F"/>
    <w:rsid w:val="0014125C"/>
    <w:rsid w:val="001437DB"/>
    <w:rsid w:val="00143DDF"/>
    <w:rsid w:val="00143FB6"/>
    <w:rsid w:val="00144798"/>
    <w:rsid w:val="0014493D"/>
    <w:rsid w:val="00145057"/>
    <w:rsid w:val="001472E9"/>
    <w:rsid w:val="001505B1"/>
    <w:rsid w:val="001525C8"/>
    <w:rsid w:val="00152A88"/>
    <w:rsid w:val="00155A7B"/>
    <w:rsid w:val="0015759D"/>
    <w:rsid w:val="001607B5"/>
    <w:rsid w:val="0016212A"/>
    <w:rsid w:val="00163546"/>
    <w:rsid w:val="001638AF"/>
    <w:rsid w:val="00164A40"/>
    <w:rsid w:val="00165F2A"/>
    <w:rsid w:val="00166341"/>
    <w:rsid w:val="00167DFB"/>
    <w:rsid w:val="0017280D"/>
    <w:rsid w:val="00172E7A"/>
    <w:rsid w:val="00174083"/>
    <w:rsid w:val="00175690"/>
    <w:rsid w:val="00176776"/>
    <w:rsid w:val="001773B4"/>
    <w:rsid w:val="00177863"/>
    <w:rsid w:val="00182992"/>
    <w:rsid w:val="00182AC4"/>
    <w:rsid w:val="00184A12"/>
    <w:rsid w:val="00184DEF"/>
    <w:rsid w:val="00185E7F"/>
    <w:rsid w:val="00186F8A"/>
    <w:rsid w:val="001926A9"/>
    <w:rsid w:val="00193207"/>
    <w:rsid w:val="001953C9"/>
    <w:rsid w:val="001A1BCF"/>
    <w:rsid w:val="001A3477"/>
    <w:rsid w:val="001A4CB7"/>
    <w:rsid w:val="001A5739"/>
    <w:rsid w:val="001A73E0"/>
    <w:rsid w:val="001B36AF"/>
    <w:rsid w:val="001B377D"/>
    <w:rsid w:val="001B6BD9"/>
    <w:rsid w:val="001B705A"/>
    <w:rsid w:val="001C269C"/>
    <w:rsid w:val="001C35AE"/>
    <w:rsid w:val="001C766C"/>
    <w:rsid w:val="001C7E35"/>
    <w:rsid w:val="001D1BA7"/>
    <w:rsid w:val="001D52F0"/>
    <w:rsid w:val="001D5E12"/>
    <w:rsid w:val="001E13D9"/>
    <w:rsid w:val="001E6E5E"/>
    <w:rsid w:val="001F14B3"/>
    <w:rsid w:val="001F1FA8"/>
    <w:rsid w:val="001F2870"/>
    <w:rsid w:val="001F74CA"/>
    <w:rsid w:val="001F7760"/>
    <w:rsid w:val="00201D62"/>
    <w:rsid w:val="00201FA2"/>
    <w:rsid w:val="002029DD"/>
    <w:rsid w:val="00202B77"/>
    <w:rsid w:val="00203713"/>
    <w:rsid w:val="00203A69"/>
    <w:rsid w:val="00205D57"/>
    <w:rsid w:val="0020660E"/>
    <w:rsid w:val="00207E65"/>
    <w:rsid w:val="00212A92"/>
    <w:rsid w:val="0021318F"/>
    <w:rsid w:val="00214B1D"/>
    <w:rsid w:val="00214FE2"/>
    <w:rsid w:val="0021568F"/>
    <w:rsid w:val="00216701"/>
    <w:rsid w:val="00217301"/>
    <w:rsid w:val="00217685"/>
    <w:rsid w:val="00220C79"/>
    <w:rsid w:val="00222BD2"/>
    <w:rsid w:val="00230327"/>
    <w:rsid w:val="0023070A"/>
    <w:rsid w:val="0023772E"/>
    <w:rsid w:val="00240CEB"/>
    <w:rsid w:val="0024147E"/>
    <w:rsid w:val="002424B0"/>
    <w:rsid w:val="00243C47"/>
    <w:rsid w:val="00246DA4"/>
    <w:rsid w:val="002521AD"/>
    <w:rsid w:val="002536C3"/>
    <w:rsid w:val="00253F27"/>
    <w:rsid w:val="0026167B"/>
    <w:rsid w:val="002616A0"/>
    <w:rsid w:val="0026188E"/>
    <w:rsid w:val="0026385C"/>
    <w:rsid w:val="002701B1"/>
    <w:rsid w:val="00277841"/>
    <w:rsid w:val="002801AC"/>
    <w:rsid w:val="002828BE"/>
    <w:rsid w:val="00283815"/>
    <w:rsid w:val="0028544E"/>
    <w:rsid w:val="00296063"/>
    <w:rsid w:val="002A1620"/>
    <w:rsid w:val="002A22B7"/>
    <w:rsid w:val="002A3FD8"/>
    <w:rsid w:val="002A4F05"/>
    <w:rsid w:val="002A78BF"/>
    <w:rsid w:val="002B037A"/>
    <w:rsid w:val="002B07F8"/>
    <w:rsid w:val="002C6481"/>
    <w:rsid w:val="002D0A93"/>
    <w:rsid w:val="002D2E3C"/>
    <w:rsid w:val="002E4E21"/>
    <w:rsid w:val="002E7D76"/>
    <w:rsid w:val="002F0D1C"/>
    <w:rsid w:val="002F60B3"/>
    <w:rsid w:val="003027B5"/>
    <w:rsid w:val="00304A07"/>
    <w:rsid w:val="00304FE0"/>
    <w:rsid w:val="00305AB3"/>
    <w:rsid w:val="003064D5"/>
    <w:rsid w:val="003102FB"/>
    <w:rsid w:val="00310B81"/>
    <w:rsid w:val="00313356"/>
    <w:rsid w:val="00313AF8"/>
    <w:rsid w:val="00320060"/>
    <w:rsid w:val="00321F56"/>
    <w:rsid w:val="003225B4"/>
    <w:rsid w:val="00327BA7"/>
    <w:rsid w:val="0033271F"/>
    <w:rsid w:val="00332E30"/>
    <w:rsid w:val="00333BCF"/>
    <w:rsid w:val="00333E90"/>
    <w:rsid w:val="0033494A"/>
    <w:rsid w:val="00340A8A"/>
    <w:rsid w:val="00343A22"/>
    <w:rsid w:val="00343D17"/>
    <w:rsid w:val="00344D8B"/>
    <w:rsid w:val="0035148C"/>
    <w:rsid w:val="0035341E"/>
    <w:rsid w:val="003564E6"/>
    <w:rsid w:val="00361AD0"/>
    <w:rsid w:val="003621AC"/>
    <w:rsid w:val="00367E04"/>
    <w:rsid w:val="00371691"/>
    <w:rsid w:val="00380333"/>
    <w:rsid w:val="00385830"/>
    <w:rsid w:val="003935E9"/>
    <w:rsid w:val="003936D1"/>
    <w:rsid w:val="0039593A"/>
    <w:rsid w:val="003A05ED"/>
    <w:rsid w:val="003A610A"/>
    <w:rsid w:val="003B0BAE"/>
    <w:rsid w:val="003B19F5"/>
    <w:rsid w:val="003B1C66"/>
    <w:rsid w:val="003B4891"/>
    <w:rsid w:val="003B7F02"/>
    <w:rsid w:val="003C018F"/>
    <w:rsid w:val="003C1CEF"/>
    <w:rsid w:val="003C2144"/>
    <w:rsid w:val="003C5E00"/>
    <w:rsid w:val="003C6BB9"/>
    <w:rsid w:val="003C6FA4"/>
    <w:rsid w:val="003D3D8C"/>
    <w:rsid w:val="003E309F"/>
    <w:rsid w:val="003F2AC9"/>
    <w:rsid w:val="003F58B9"/>
    <w:rsid w:val="003F595C"/>
    <w:rsid w:val="003F78E0"/>
    <w:rsid w:val="0040259C"/>
    <w:rsid w:val="00402C86"/>
    <w:rsid w:val="004033BC"/>
    <w:rsid w:val="004164B2"/>
    <w:rsid w:val="004167D2"/>
    <w:rsid w:val="00420394"/>
    <w:rsid w:val="00423F5E"/>
    <w:rsid w:val="00424B31"/>
    <w:rsid w:val="00426C9C"/>
    <w:rsid w:val="0043061B"/>
    <w:rsid w:val="00430BF5"/>
    <w:rsid w:val="0043307C"/>
    <w:rsid w:val="0043365E"/>
    <w:rsid w:val="00441FAE"/>
    <w:rsid w:val="0044212D"/>
    <w:rsid w:val="0044466F"/>
    <w:rsid w:val="00445FAD"/>
    <w:rsid w:val="0044629D"/>
    <w:rsid w:val="00446CEF"/>
    <w:rsid w:val="0044792B"/>
    <w:rsid w:val="00450303"/>
    <w:rsid w:val="00454787"/>
    <w:rsid w:val="00457C30"/>
    <w:rsid w:val="00460C7B"/>
    <w:rsid w:val="004625F9"/>
    <w:rsid w:val="004626C3"/>
    <w:rsid w:val="00473285"/>
    <w:rsid w:val="00480D05"/>
    <w:rsid w:val="00481CBF"/>
    <w:rsid w:val="0048242E"/>
    <w:rsid w:val="00483938"/>
    <w:rsid w:val="00484026"/>
    <w:rsid w:val="00485FA4"/>
    <w:rsid w:val="00491BDF"/>
    <w:rsid w:val="004969C0"/>
    <w:rsid w:val="004A201C"/>
    <w:rsid w:val="004A641A"/>
    <w:rsid w:val="004B2652"/>
    <w:rsid w:val="004B4165"/>
    <w:rsid w:val="004B4904"/>
    <w:rsid w:val="004B612F"/>
    <w:rsid w:val="004C06D1"/>
    <w:rsid w:val="004C3004"/>
    <w:rsid w:val="004C3AE3"/>
    <w:rsid w:val="004C3D13"/>
    <w:rsid w:val="004C4700"/>
    <w:rsid w:val="004C4CD1"/>
    <w:rsid w:val="004C7A54"/>
    <w:rsid w:val="004D0A35"/>
    <w:rsid w:val="004D0DC1"/>
    <w:rsid w:val="004D0DEC"/>
    <w:rsid w:val="004D7839"/>
    <w:rsid w:val="004E0174"/>
    <w:rsid w:val="004E0EA1"/>
    <w:rsid w:val="004E1561"/>
    <w:rsid w:val="004E25E4"/>
    <w:rsid w:val="004E3499"/>
    <w:rsid w:val="004E5043"/>
    <w:rsid w:val="004F172C"/>
    <w:rsid w:val="004F543D"/>
    <w:rsid w:val="004F59D4"/>
    <w:rsid w:val="004F69EB"/>
    <w:rsid w:val="004F70D3"/>
    <w:rsid w:val="0050113C"/>
    <w:rsid w:val="0050280A"/>
    <w:rsid w:val="005039BD"/>
    <w:rsid w:val="00503DBC"/>
    <w:rsid w:val="00507DD7"/>
    <w:rsid w:val="005107CA"/>
    <w:rsid w:val="00513ACC"/>
    <w:rsid w:val="00513D8D"/>
    <w:rsid w:val="00516620"/>
    <w:rsid w:val="00520F22"/>
    <w:rsid w:val="00521507"/>
    <w:rsid w:val="0053143A"/>
    <w:rsid w:val="005334F0"/>
    <w:rsid w:val="00534DBF"/>
    <w:rsid w:val="0053635B"/>
    <w:rsid w:val="00536592"/>
    <w:rsid w:val="0053680A"/>
    <w:rsid w:val="00541B58"/>
    <w:rsid w:val="005450C3"/>
    <w:rsid w:val="00546424"/>
    <w:rsid w:val="00556C96"/>
    <w:rsid w:val="00561B03"/>
    <w:rsid w:val="00561F24"/>
    <w:rsid w:val="00562164"/>
    <w:rsid w:val="0056216A"/>
    <w:rsid w:val="00562A4B"/>
    <w:rsid w:val="00562DAE"/>
    <w:rsid w:val="005637D4"/>
    <w:rsid w:val="00563D69"/>
    <w:rsid w:val="0056595B"/>
    <w:rsid w:val="0056621F"/>
    <w:rsid w:val="005724A0"/>
    <w:rsid w:val="00574306"/>
    <w:rsid w:val="005749D1"/>
    <w:rsid w:val="005760CD"/>
    <w:rsid w:val="00576DC8"/>
    <w:rsid w:val="00577B01"/>
    <w:rsid w:val="00580921"/>
    <w:rsid w:val="005813B2"/>
    <w:rsid w:val="0058260C"/>
    <w:rsid w:val="00582F3B"/>
    <w:rsid w:val="00583C4D"/>
    <w:rsid w:val="005908A8"/>
    <w:rsid w:val="005A1A0E"/>
    <w:rsid w:val="005A1CD8"/>
    <w:rsid w:val="005A2E2D"/>
    <w:rsid w:val="005B0CB5"/>
    <w:rsid w:val="005B1AF2"/>
    <w:rsid w:val="005B3437"/>
    <w:rsid w:val="005B56CD"/>
    <w:rsid w:val="005B5FB3"/>
    <w:rsid w:val="005C3EA7"/>
    <w:rsid w:val="005C458E"/>
    <w:rsid w:val="005D09BC"/>
    <w:rsid w:val="005D1E9C"/>
    <w:rsid w:val="005D2C94"/>
    <w:rsid w:val="005D3906"/>
    <w:rsid w:val="005E7F7D"/>
    <w:rsid w:val="005F62E2"/>
    <w:rsid w:val="005F6816"/>
    <w:rsid w:val="0060248F"/>
    <w:rsid w:val="00602871"/>
    <w:rsid w:val="00606DDA"/>
    <w:rsid w:val="00607C00"/>
    <w:rsid w:val="00612955"/>
    <w:rsid w:val="00614706"/>
    <w:rsid w:val="00614906"/>
    <w:rsid w:val="00616546"/>
    <w:rsid w:val="00616E31"/>
    <w:rsid w:val="00621FA2"/>
    <w:rsid w:val="006232CF"/>
    <w:rsid w:val="00627A21"/>
    <w:rsid w:val="00632ABD"/>
    <w:rsid w:val="00633027"/>
    <w:rsid w:val="00634956"/>
    <w:rsid w:val="00636582"/>
    <w:rsid w:val="00641C8E"/>
    <w:rsid w:val="00646E27"/>
    <w:rsid w:val="006515A0"/>
    <w:rsid w:val="00651F85"/>
    <w:rsid w:val="00652CDF"/>
    <w:rsid w:val="00653A48"/>
    <w:rsid w:val="006551B4"/>
    <w:rsid w:val="00655E3C"/>
    <w:rsid w:val="00663D9F"/>
    <w:rsid w:val="00663EC7"/>
    <w:rsid w:val="00664538"/>
    <w:rsid w:val="00664A79"/>
    <w:rsid w:val="00664D03"/>
    <w:rsid w:val="00665119"/>
    <w:rsid w:val="006654F9"/>
    <w:rsid w:val="00665772"/>
    <w:rsid w:val="006658F6"/>
    <w:rsid w:val="00665BFC"/>
    <w:rsid w:val="0066747C"/>
    <w:rsid w:val="00670998"/>
    <w:rsid w:val="00674C42"/>
    <w:rsid w:val="00674CE7"/>
    <w:rsid w:val="00675453"/>
    <w:rsid w:val="00676344"/>
    <w:rsid w:val="00682EF3"/>
    <w:rsid w:val="006863CC"/>
    <w:rsid w:val="00694C4F"/>
    <w:rsid w:val="00695F3F"/>
    <w:rsid w:val="00697DCB"/>
    <w:rsid w:val="006A020F"/>
    <w:rsid w:val="006A1A15"/>
    <w:rsid w:val="006A2802"/>
    <w:rsid w:val="006A2C8C"/>
    <w:rsid w:val="006A3619"/>
    <w:rsid w:val="006A51B8"/>
    <w:rsid w:val="006A6C5D"/>
    <w:rsid w:val="006A70D7"/>
    <w:rsid w:val="006A77DE"/>
    <w:rsid w:val="006B0210"/>
    <w:rsid w:val="006C13A1"/>
    <w:rsid w:val="006C26A8"/>
    <w:rsid w:val="006C3170"/>
    <w:rsid w:val="006D0959"/>
    <w:rsid w:val="006D447D"/>
    <w:rsid w:val="006D6A9D"/>
    <w:rsid w:val="006D7A58"/>
    <w:rsid w:val="006E3CEF"/>
    <w:rsid w:val="006E7514"/>
    <w:rsid w:val="006E7BC3"/>
    <w:rsid w:val="006F4DFE"/>
    <w:rsid w:val="006F545F"/>
    <w:rsid w:val="006F5660"/>
    <w:rsid w:val="00704FD6"/>
    <w:rsid w:val="007105A0"/>
    <w:rsid w:val="00710CE8"/>
    <w:rsid w:val="007113E5"/>
    <w:rsid w:val="0071149A"/>
    <w:rsid w:val="007125F3"/>
    <w:rsid w:val="00715BBD"/>
    <w:rsid w:val="00716A06"/>
    <w:rsid w:val="00721E3F"/>
    <w:rsid w:val="007233DC"/>
    <w:rsid w:val="00724C16"/>
    <w:rsid w:val="00725C76"/>
    <w:rsid w:val="00727100"/>
    <w:rsid w:val="00732733"/>
    <w:rsid w:val="007342B5"/>
    <w:rsid w:val="0073451F"/>
    <w:rsid w:val="00737A9A"/>
    <w:rsid w:val="00737C99"/>
    <w:rsid w:val="00745769"/>
    <w:rsid w:val="007477DC"/>
    <w:rsid w:val="00754D04"/>
    <w:rsid w:val="00756621"/>
    <w:rsid w:val="00761395"/>
    <w:rsid w:val="007642AE"/>
    <w:rsid w:val="00764398"/>
    <w:rsid w:val="0076508E"/>
    <w:rsid w:val="0077232F"/>
    <w:rsid w:val="00772A89"/>
    <w:rsid w:val="0077663D"/>
    <w:rsid w:val="0078276F"/>
    <w:rsid w:val="007834E5"/>
    <w:rsid w:val="00790DB1"/>
    <w:rsid w:val="007946F1"/>
    <w:rsid w:val="00794E9A"/>
    <w:rsid w:val="007A2629"/>
    <w:rsid w:val="007A4648"/>
    <w:rsid w:val="007A6643"/>
    <w:rsid w:val="007A72B5"/>
    <w:rsid w:val="007B4BDC"/>
    <w:rsid w:val="007B535F"/>
    <w:rsid w:val="007B7616"/>
    <w:rsid w:val="007C1005"/>
    <w:rsid w:val="007C24B7"/>
    <w:rsid w:val="007C380C"/>
    <w:rsid w:val="007C4545"/>
    <w:rsid w:val="007C5323"/>
    <w:rsid w:val="007C6D7B"/>
    <w:rsid w:val="007C7FD5"/>
    <w:rsid w:val="007D0F3F"/>
    <w:rsid w:val="007D1C82"/>
    <w:rsid w:val="007D248B"/>
    <w:rsid w:val="007D3C65"/>
    <w:rsid w:val="007D5C08"/>
    <w:rsid w:val="007D7933"/>
    <w:rsid w:val="007E14A0"/>
    <w:rsid w:val="007E53F3"/>
    <w:rsid w:val="007E7129"/>
    <w:rsid w:val="007F4481"/>
    <w:rsid w:val="007F6BDD"/>
    <w:rsid w:val="00802325"/>
    <w:rsid w:val="008027C2"/>
    <w:rsid w:val="008139F4"/>
    <w:rsid w:val="00817641"/>
    <w:rsid w:val="00820B7F"/>
    <w:rsid w:val="00820D09"/>
    <w:rsid w:val="00824F39"/>
    <w:rsid w:val="0083155C"/>
    <w:rsid w:val="008354FD"/>
    <w:rsid w:val="00842629"/>
    <w:rsid w:val="00842752"/>
    <w:rsid w:val="0084494E"/>
    <w:rsid w:val="0084611A"/>
    <w:rsid w:val="00846222"/>
    <w:rsid w:val="00847BE5"/>
    <w:rsid w:val="008545A9"/>
    <w:rsid w:val="00857579"/>
    <w:rsid w:val="00857832"/>
    <w:rsid w:val="00861911"/>
    <w:rsid w:val="00866F9F"/>
    <w:rsid w:val="008708A2"/>
    <w:rsid w:val="0087235A"/>
    <w:rsid w:val="00872E08"/>
    <w:rsid w:val="00872FB6"/>
    <w:rsid w:val="0088066B"/>
    <w:rsid w:val="0088149F"/>
    <w:rsid w:val="00881E87"/>
    <w:rsid w:val="0088374E"/>
    <w:rsid w:val="008921CF"/>
    <w:rsid w:val="008A657C"/>
    <w:rsid w:val="008B38D3"/>
    <w:rsid w:val="008B714E"/>
    <w:rsid w:val="008C2316"/>
    <w:rsid w:val="008C372E"/>
    <w:rsid w:val="008C775A"/>
    <w:rsid w:val="008D2815"/>
    <w:rsid w:val="008D491C"/>
    <w:rsid w:val="008D7B71"/>
    <w:rsid w:val="008D7C77"/>
    <w:rsid w:val="008E0586"/>
    <w:rsid w:val="008E088C"/>
    <w:rsid w:val="008E3041"/>
    <w:rsid w:val="008E3D3B"/>
    <w:rsid w:val="008E4864"/>
    <w:rsid w:val="008E67B9"/>
    <w:rsid w:val="008F1071"/>
    <w:rsid w:val="008F2C7F"/>
    <w:rsid w:val="008F3499"/>
    <w:rsid w:val="0090418A"/>
    <w:rsid w:val="009044B0"/>
    <w:rsid w:val="00905727"/>
    <w:rsid w:val="00906266"/>
    <w:rsid w:val="00907D5A"/>
    <w:rsid w:val="00912983"/>
    <w:rsid w:val="00914A90"/>
    <w:rsid w:val="00921E4B"/>
    <w:rsid w:val="00933192"/>
    <w:rsid w:val="00933517"/>
    <w:rsid w:val="0093422D"/>
    <w:rsid w:val="00934532"/>
    <w:rsid w:val="00934BF6"/>
    <w:rsid w:val="00935787"/>
    <w:rsid w:val="00935FB7"/>
    <w:rsid w:val="009460EF"/>
    <w:rsid w:val="00947DBF"/>
    <w:rsid w:val="0095406B"/>
    <w:rsid w:val="00954130"/>
    <w:rsid w:val="00957928"/>
    <w:rsid w:val="00962E0E"/>
    <w:rsid w:val="00964405"/>
    <w:rsid w:val="0096546F"/>
    <w:rsid w:val="00972C32"/>
    <w:rsid w:val="00976655"/>
    <w:rsid w:val="00977EC8"/>
    <w:rsid w:val="00982974"/>
    <w:rsid w:val="00984413"/>
    <w:rsid w:val="00984C89"/>
    <w:rsid w:val="009910A3"/>
    <w:rsid w:val="009A006F"/>
    <w:rsid w:val="009A09A8"/>
    <w:rsid w:val="009A26EA"/>
    <w:rsid w:val="009A4ECC"/>
    <w:rsid w:val="009A52BE"/>
    <w:rsid w:val="009A6BB6"/>
    <w:rsid w:val="009B0205"/>
    <w:rsid w:val="009B37DD"/>
    <w:rsid w:val="009B3E22"/>
    <w:rsid w:val="009B5A5B"/>
    <w:rsid w:val="009B7C5C"/>
    <w:rsid w:val="009C13C9"/>
    <w:rsid w:val="009C7055"/>
    <w:rsid w:val="009C7E4D"/>
    <w:rsid w:val="009D7D13"/>
    <w:rsid w:val="009E1520"/>
    <w:rsid w:val="009E1DE6"/>
    <w:rsid w:val="009F0398"/>
    <w:rsid w:val="009F2271"/>
    <w:rsid w:val="009F3459"/>
    <w:rsid w:val="009F3A9D"/>
    <w:rsid w:val="009F7C76"/>
    <w:rsid w:val="00A00FB9"/>
    <w:rsid w:val="00A01625"/>
    <w:rsid w:val="00A038BF"/>
    <w:rsid w:val="00A10FF7"/>
    <w:rsid w:val="00A168EF"/>
    <w:rsid w:val="00A16FA6"/>
    <w:rsid w:val="00A1714E"/>
    <w:rsid w:val="00A2366F"/>
    <w:rsid w:val="00A249F1"/>
    <w:rsid w:val="00A276E3"/>
    <w:rsid w:val="00A30B75"/>
    <w:rsid w:val="00A33E80"/>
    <w:rsid w:val="00A35103"/>
    <w:rsid w:val="00A42110"/>
    <w:rsid w:val="00A4653D"/>
    <w:rsid w:val="00A506A6"/>
    <w:rsid w:val="00A51CBE"/>
    <w:rsid w:val="00A54A96"/>
    <w:rsid w:val="00A55D56"/>
    <w:rsid w:val="00A56281"/>
    <w:rsid w:val="00A626AC"/>
    <w:rsid w:val="00A63517"/>
    <w:rsid w:val="00A64819"/>
    <w:rsid w:val="00A66C09"/>
    <w:rsid w:val="00A70E0D"/>
    <w:rsid w:val="00A716FA"/>
    <w:rsid w:val="00A730CA"/>
    <w:rsid w:val="00A73935"/>
    <w:rsid w:val="00A8397D"/>
    <w:rsid w:val="00A83A80"/>
    <w:rsid w:val="00A8492E"/>
    <w:rsid w:val="00A85E76"/>
    <w:rsid w:val="00A86E5B"/>
    <w:rsid w:val="00A91115"/>
    <w:rsid w:val="00A92543"/>
    <w:rsid w:val="00A94E57"/>
    <w:rsid w:val="00AA47CE"/>
    <w:rsid w:val="00AA4933"/>
    <w:rsid w:val="00AB2D65"/>
    <w:rsid w:val="00AB3B94"/>
    <w:rsid w:val="00AB7F84"/>
    <w:rsid w:val="00AC0208"/>
    <w:rsid w:val="00AC360D"/>
    <w:rsid w:val="00AD0227"/>
    <w:rsid w:val="00AD2A05"/>
    <w:rsid w:val="00AD3E60"/>
    <w:rsid w:val="00AE0121"/>
    <w:rsid w:val="00AE17A3"/>
    <w:rsid w:val="00AE4AC7"/>
    <w:rsid w:val="00AF2E38"/>
    <w:rsid w:val="00AF6F24"/>
    <w:rsid w:val="00B06CC3"/>
    <w:rsid w:val="00B139A8"/>
    <w:rsid w:val="00B1500A"/>
    <w:rsid w:val="00B20CFE"/>
    <w:rsid w:val="00B25B09"/>
    <w:rsid w:val="00B25EBA"/>
    <w:rsid w:val="00B277EA"/>
    <w:rsid w:val="00B34A4F"/>
    <w:rsid w:val="00B3619C"/>
    <w:rsid w:val="00B3630B"/>
    <w:rsid w:val="00B36D0F"/>
    <w:rsid w:val="00B402B7"/>
    <w:rsid w:val="00B455A9"/>
    <w:rsid w:val="00B46F10"/>
    <w:rsid w:val="00B5465A"/>
    <w:rsid w:val="00B56E8B"/>
    <w:rsid w:val="00B6214B"/>
    <w:rsid w:val="00B632E0"/>
    <w:rsid w:val="00B6586A"/>
    <w:rsid w:val="00B662F6"/>
    <w:rsid w:val="00B6663C"/>
    <w:rsid w:val="00B66B78"/>
    <w:rsid w:val="00B700A8"/>
    <w:rsid w:val="00B7115A"/>
    <w:rsid w:val="00B74064"/>
    <w:rsid w:val="00B74A23"/>
    <w:rsid w:val="00B75D9B"/>
    <w:rsid w:val="00B7685C"/>
    <w:rsid w:val="00B774E5"/>
    <w:rsid w:val="00B86240"/>
    <w:rsid w:val="00B92386"/>
    <w:rsid w:val="00B93AFF"/>
    <w:rsid w:val="00B96FA6"/>
    <w:rsid w:val="00BA3687"/>
    <w:rsid w:val="00BA374D"/>
    <w:rsid w:val="00BA54BA"/>
    <w:rsid w:val="00BA57CC"/>
    <w:rsid w:val="00BA60FF"/>
    <w:rsid w:val="00BB1716"/>
    <w:rsid w:val="00BB1A71"/>
    <w:rsid w:val="00BB4819"/>
    <w:rsid w:val="00BB59BE"/>
    <w:rsid w:val="00BB5A03"/>
    <w:rsid w:val="00BC0C3A"/>
    <w:rsid w:val="00BE09DF"/>
    <w:rsid w:val="00BE0DE3"/>
    <w:rsid w:val="00BE0E50"/>
    <w:rsid w:val="00BE67D3"/>
    <w:rsid w:val="00BF0E27"/>
    <w:rsid w:val="00BF2FF0"/>
    <w:rsid w:val="00BF3856"/>
    <w:rsid w:val="00BF7B88"/>
    <w:rsid w:val="00C02933"/>
    <w:rsid w:val="00C0310C"/>
    <w:rsid w:val="00C11EB3"/>
    <w:rsid w:val="00C13F0F"/>
    <w:rsid w:val="00C140F9"/>
    <w:rsid w:val="00C162D2"/>
    <w:rsid w:val="00C16634"/>
    <w:rsid w:val="00C16BDC"/>
    <w:rsid w:val="00C226CA"/>
    <w:rsid w:val="00C33D23"/>
    <w:rsid w:val="00C33F55"/>
    <w:rsid w:val="00C36B72"/>
    <w:rsid w:val="00C37313"/>
    <w:rsid w:val="00C4008C"/>
    <w:rsid w:val="00C43C4E"/>
    <w:rsid w:val="00C45E37"/>
    <w:rsid w:val="00C47CC6"/>
    <w:rsid w:val="00C50207"/>
    <w:rsid w:val="00C523C4"/>
    <w:rsid w:val="00C52B86"/>
    <w:rsid w:val="00C52E14"/>
    <w:rsid w:val="00C5679A"/>
    <w:rsid w:val="00C5771F"/>
    <w:rsid w:val="00C57968"/>
    <w:rsid w:val="00C609E6"/>
    <w:rsid w:val="00C62812"/>
    <w:rsid w:val="00C63246"/>
    <w:rsid w:val="00C63408"/>
    <w:rsid w:val="00C63907"/>
    <w:rsid w:val="00C64A34"/>
    <w:rsid w:val="00C656C2"/>
    <w:rsid w:val="00C66F78"/>
    <w:rsid w:val="00C7184C"/>
    <w:rsid w:val="00C767D4"/>
    <w:rsid w:val="00C828E8"/>
    <w:rsid w:val="00C83B9D"/>
    <w:rsid w:val="00C842BD"/>
    <w:rsid w:val="00C91D14"/>
    <w:rsid w:val="00C92D78"/>
    <w:rsid w:val="00C93E87"/>
    <w:rsid w:val="00CA1471"/>
    <w:rsid w:val="00CA3A75"/>
    <w:rsid w:val="00CA3BE8"/>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D1804"/>
    <w:rsid w:val="00CD4035"/>
    <w:rsid w:val="00CD537D"/>
    <w:rsid w:val="00CD71AE"/>
    <w:rsid w:val="00CE0689"/>
    <w:rsid w:val="00CE2448"/>
    <w:rsid w:val="00CE3AD5"/>
    <w:rsid w:val="00CE4B79"/>
    <w:rsid w:val="00CF2A88"/>
    <w:rsid w:val="00CF3866"/>
    <w:rsid w:val="00CF3969"/>
    <w:rsid w:val="00CF4D35"/>
    <w:rsid w:val="00CF5FE5"/>
    <w:rsid w:val="00D003CE"/>
    <w:rsid w:val="00D02503"/>
    <w:rsid w:val="00D1030E"/>
    <w:rsid w:val="00D104E7"/>
    <w:rsid w:val="00D1171F"/>
    <w:rsid w:val="00D16503"/>
    <w:rsid w:val="00D16DA0"/>
    <w:rsid w:val="00D231A7"/>
    <w:rsid w:val="00D240BE"/>
    <w:rsid w:val="00D24DEB"/>
    <w:rsid w:val="00D26B5C"/>
    <w:rsid w:val="00D309D7"/>
    <w:rsid w:val="00D31B68"/>
    <w:rsid w:val="00D34C0C"/>
    <w:rsid w:val="00D4601C"/>
    <w:rsid w:val="00D5170A"/>
    <w:rsid w:val="00D5188B"/>
    <w:rsid w:val="00D55198"/>
    <w:rsid w:val="00D57775"/>
    <w:rsid w:val="00D615A6"/>
    <w:rsid w:val="00D65B22"/>
    <w:rsid w:val="00D65C1C"/>
    <w:rsid w:val="00D71501"/>
    <w:rsid w:val="00D72612"/>
    <w:rsid w:val="00D72FD7"/>
    <w:rsid w:val="00D7453B"/>
    <w:rsid w:val="00D76F0E"/>
    <w:rsid w:val="00D77B71"/>
    <w:rsid w:val="00D80E6B"/>
    <w:rsid w:val="00D83C64"/>
    <w:rsid w:val="00D84AA8"/>
    <w:rsid w:val="00D86E20"/>
    <w:rsid w:val="00D912BA"/>
    <w:rsid w:val="00D93EE2"/>
    <w:rsid w:val="00D95825"/>
    <w:rsid w:val="00DA085C"/>
    <w:rsid w:val="00DA1A8B"/>
    <w:rsid w:val="00DA6033"/>
    <w:rsid w:val="00DB0650"/>
    <w:rsid w:val="00DB2938"/>
    <w:rsid w:val="00DB34DC"/>
    <w:rsid w:val="00DB3FD8"/>
    <w:rsid w:val="00DC5FCC"/>
    <w:rsid w:val="00DC7C68"/>
    <w:rsid w:val="00DD5642"/>
    <w:rsid w:val="00DE0E71"/>
    <w:rsid w:val="00DE1154"/>
    <w:rsid w:val="00DE2396"/>
    <w:rsid w:val="00DE51C8"/>
    <w:rsid w:val="00DE6DD6"/>
    <w:rsid w:val="00DE7C51"/>
    <w:rsid w:val="00DF019B"/>
    <w:rsid w:val="00DF03FE"/>
    <w:rsid w:val="00DF1922"/>
    <w:rsid w:val="00DF2038"/>
    <w:rsid w:val="00DF316D"/>
    <w:rsid w:val="00DF3C08"/>
    <w:rsid w:val="00DF4AD5"/>
    <w:rsid w:val="00DF501E"/>
    <w:rsid w:val="00DF5760"/>
    <w:rsid w:val="00DF60E8"/>
    <w:rsid w:val="00E03178"/>
    <w:rsid w:val="00E04CDD"/>
    <w:rsid w:val="00E10278"/>
    <w:rsid w:val="00E158B8"/>
    <w:rsid w:val="00E158C4"/>
    <w:rsid w:val="00E1724F"/>
    <w:rsid w:val="00E17459"/>
    <w:rsid w:val="00E2220E"/>
    <w:rsid w:val="00E3072B"/>
    <w:rsid w:val="00E319E7"/>
    <w:rsid w:val="00E32BB4"/>
    <w:rsid w:val="00E335EE"/>
    <w:rsid w:val="00E37342"/>
    <w:rsid w:val="00E40068"/>
    <w:rsid w:val="00E429C1"/>
    <w:rsid w:val="00E44BE2"/>
    <w:rsid w:val="00E51A98"/>
    <w:rsid w:val="00E51B8E"/>
    <w:rsid w:val="00E54D0B"/>
    <w:rsid w:val="00E55A9A"/>
    <w:rsid w:val="00E61204"/>
    <w:rsid w:val="00E62308"/>
    <w:rsid w:val="00E759BE"/>
    <w:rsid w:val="00E75A3B"/>
    <w:rsid w:val="00E76837"/>
    <w:rsid w:val="00E77776"/>
    <w:rsid w:val="00E81EE6"/>
    <w:rsid w:val="00E82505"/>
    <w:rsid w:val="00E83C44"/>
    <w:rsid w:val="00E87276"/>
    <w:rsid w:val="00E94DD4"/>
    <w:rsid w:val="00EA24C7"/>
    <w:rsid w:val="00EA620A"/>
    <w:rsid w:val="00EB0FD4"/>
    <w:rsid w:val="00EB261B"/>
    <w:rsid w:val="00EB52F5"/>
    <w:rsid w:val="00EB7707"/>
    <w:rsid w:val="00EC0B3F"/>
    <w:rsid w:val="00EC2DD1"/>
    <w:rsid w:val="00EC3442"/>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DA9"/>
    <w:rsid w:val="00F10E47"/>
    <w:rsid w:val="00F127FF"/>
    <w:rsid w:val="00F16599"/>
    <w:rsid w:val="00F1766B"/>
    <w:rsid w:val="00F2096E"/>
    <w:rsid w:val="00F21739"/>
    <w:rsid w:val="00F23C18"/>
    <w:rsid w:val="00F245DB"/>
    <w:rsid w:val="00F313A3"/>
    <w:rsid w:val="00F31D5A"/>
    <w:rsid w:val="00F322F8"/>
    <w:rsid w:val="00F33DC9"/>
    <w:rsid w:val="00F34C5B"/>
    <w:rsid w:val="00F363D5"/>
    <w:rsid w:val="00F42BA5"/>
    <w:rsid w:val="00F43EFA"/>
    <w:rsid w:val="00F468D4"/>
    <w:rsid w:val="00F539A3"/>
    <w:rsid w:val="00F56FC0"/>
    <w:rsid w:val="00F62052"/>
    <w:rsid w:val="00F62D97"/>
    <w:rsid w:val="00F633DD"/>
    <w:rsid w:val="00F638DC"/>
    <w:rsid w:val="00F63AC7"/>
    <w:rsid w:val="00F64B42"/>
    <w:rsid w:val="00F66C00"/>
    <w:rsid w:val="00F7045C"/>
    <w:rsid w:val="00F71C2B"/>
    <w:rsid w:val="00F77C10"/>
    <w:rsid w:val="00F804E2"/>
    <w:rsid w:val="00F87DFE"/>
    <w:rsid w:val="00F92595"/>
    <w:rsid w:val="00F928F9"/>
    <w:rsid w:val="00F93A73"/>
    <w:rsid w:val="00F97EE6"/>
    <w:rsid w:val="00FA03F9"/>
    <w:rsid w:val="00FA0FA5"/>
    <w:rsid w:val="00FA3D48"/>
    <w:rsid w:val="00FA4837"/>
    <w:rsid w:val="00FA7D25"/>
    <w:rsid w:val="00FB0418"/>
    <w:rsid w:val="00FB20A9"/>
    <w:rsid w:val="00FB20C2"/>
    <w:rsid w:val="00FB336C"/>
    <w:rsid w:val="00FB7708"/>
    <w:rsid w:val="00FC01F8"/>
    <w:rsid w:val="00FC095C"/>
    <w:rsid w:val="00FC48D7"/>
    <w:rsid w:val="00FC6A2C"/>
    <w:rsid w:val="00FD06DB"/>
    <w:rsid w:val="00FD2FD1"/>
    <w:rsid w:val="00FD3AEB"/>
    <w:rsid w:val="00FD619C"/>
    <w:rsid w:val="00FE1674"/>
    <w:rsid w:val="00FE2A43"/>
    <w:rsid w:val="00FE7722"/>
    <w:rsid w:val="00FE7CC2"/>
    <w:rsid w:val="00FF2AD2"/>
    <w:rsid w:val="00FF4AA6"/>
    <w:rsid w:val="01935887"/>
    <w:rsid w:val="02D94734"/>
    <w:rsid w:val="03C77316"/>
    <w:rsid w:val="04CC2600"/>
    <w:rsid w:val="04CC341D"/>
    <w:rsid w:val="05137CD7"/>
    <w:rsid w:val="05AB3113"/>
    <w:rsid w:val="05C141FC"/>
    <w:rsid w:val="060B26E0"/>
    <w:rsid w:val="060D0B5B"/>
    <w:rsid w:val="08716544"/>
    <w:rsid w:val="08BE5AC4"/>
    <w:rsid w:val="096824EC"/>
    <w:rsid w:val="0B32436D"/>
    <w:rsid w:val="0C1E2BA0"/>
    <w:rsid w:val="0C2F0EDC"/>
    <w:rsid w:val="0C677AB4"/>
    <w:rsid w:val="0C765CB2"/>
    <w:rsid w:val="0CC927F2"/>
    <w:rsid w:val="0D2F728D"/>
    <w:rsid w:val="0E970358"/>
    <w:rsid w:val="0ECB6A47"/>
    <w:rsid w:val="0F2E4BF4"/>
    <w:rsid w:val="0FF1315C"/>
    <w:rsid w:val="102B7FC5"/>
    <w:rsid w:val="10392EAE"/>
    <w:rsid w:val="10706EC2"/>
    <w:rsid w:val="10E15417"/>
    <w:rsid w:val="12714D53"/>
    <w:rsid w:val="12807280"/>
    <w:rsid w:val="13482C10"/>
    <w:rsid w:val="134D2964"/>
    <w:rsid w:val="148463E6"/>
    <w:rsid w:val="14D20D9B"/>
    <w:rsid w:val="14DF0BF0"/>
    <w:rsid w:val="15A72BED"/>
    <w:rsid w:val="1621170E"/>
    <w:rsid w:val="16611A5C"/>
    <w:rsid w:val="16DA04EA"/>
    <w:rsid w:val="17D41B5D"/>
    <w:rsid w:val="185537EF"/>
    <w:rsid w:val="18B91D2B"/>
    <w:rsid w:val="18C40414"/>
    <w:rsid w:val="197565E1"/>
    <w:rsid w:val="1A6A6D44"/>
    <w:rsid w:val="1A817123"/>
    <w:rsid w:val="1A924B4B"/>
    <w:rsid w:val="1AF3062B"/>
    <w:rsid w:val="1B993D49"/>
    <w:rsid w:val="1C093ECB"/>
    <w:rsid w:val="1CE4433A"/>
    <w:rsid w:val="1CFB7E65"/>
    <w:rsid w:val="1D5A2EB3"/>
    <w:rsid w:val="1DFE26B5"/>
    <w:rsid w:val="1E3E561C"/>
    <w:rsid w:val="1E834831"/>
    <w:rsid w:val="1EBD04C7"/>
    <w:rsid w:val="1EE84AA8"/>
    <w:rsid w:val="20241274"/>
    <w:rsid w:val="203377E2"/>
    <w:rsid w:val="228447E5"/>
    <w:rsid w:val="23424F53"/>
    <w:rsid w:val="236E14E2"/>
    <w:rsid w:val="237B6CF5"/>
    <w:rsid w:val="24FD489A"/>
    <w:rsid w:val="25690EE6"/>
    <w:rsid w:val="261D2B9D"/>
    <w:rsid w:val="26222B50"/>
    <w:rsid w:val="26E14441"/>
    <w:rsid w:val="26F47237"/>
    <w:rsid w:val="276F4994"/>
    <w:rsid w:val="284A00B5"/>
    <w:rsid w:val="28E86F25"/>
    <w:rsid w:val="29CE5A6F"/>
    <w:rsid w:val="29D148D0"/>
    <w:rsid w:val="29F41202"/>
    <w:rsid w:val="2AC803DC"/>
    <w:rsid w:val="2B5D4262"/>
    <w:rsid w:val="2C8F68B4"/>
    <w:rsid w:val="2DD33C07"/>
    <w:rsid w:val="2E06172C"/>
    <w:rsid w:val="2E073C10"/>
    <w:rsid w:val="2E3A6473"/>
    <w:rsid w:val="2E611ED3"/>
    <w:rsid w:val="2F513BE3"/>
    <w:rsid w:val="2F58699C"/>
    <w:rsid w:val="30143D85"/>
    <w:rsid w:val="306539BC"/>
    <w:rsid w:val="30A85F0E"/>
    <w:rsid w:val="31107EB5"/>
    <w:rsid w:val="312B52FF"/>
    <w:rsid w:val="31752B09"/>
    <w:rsid w:val="319E482C"/>
    <w:rsid w:val="32961BD0"/>
    <w:rsid w:val="33290ED2"/>
    <w:rsid w:val="340057F5"/>
    <w:rsid w:val="341548E3"/>
    <w:rsid w:val="35DF54EA"/>
    <w:rsid w:val="37712A39"/>
    <w:rsid w:val="38543A8E"/>
    <w:rsid w:val="38D97C10"/>
    <w:rsid w:val="394647E0"/>
    <w:rsid w:val="3A206823"/>
    <w:rsid w:val="3A382C9D"/>
    <w:rsid w:val="3AE50133"/>
    <w:rsid w:val="3B345EA5"/>
    <w:rsid w:val="3C0C7846"/>
    <w:rsid w:val="3C336BA3"/>
    <w:rsid w:val="3C43061B"/>
    <w:rsid w:val="3D5D5E14"/>
    <w:rsid w:val="3D981865"/>
    <w:rsid w:val="3DA84C6F"/>
    <w:rsid w:val="3DB531EC"/>
    <w:rsid w:val="3DB8680E"/>
    <w:rsid w:val="3E860FEB"/>
    <w:rsid w:val="40EF43E3"/>
    <w:rsid w:val="422F3E26"/>
    <w:rsid w:val="43036342"/>
    <w:rsid w:val="44762818"/>
    <w:rsid w:val="44821DFE"/>
    <w:rsid w:val="44ED72D0"/>
    <w:rsid w:val="454C4251"/>
    <w:rsid w:val="4563730C"/>
    <w:rsid w:val="45A25A5F"/>
    <w:rsid w:val="46092CD6"/>
    <w:rsid w:val="47217A87"/>
    <w:rsid w:val="472603F3"/>
    <w:rsid w:val="47FB2049"/>
    <w:rsid w:val="48121A33"/>
    <w:rsid w:val="482F072B"/>
    <w:rsid w:val="48694FA0"/>
    <w:rsid w:val="488E768B"/>
    <w:rsid w:val="48F83F33"/>
    <w:rsid w:val="49F41D5E"/>
    <w:rsid w:val="4A16385D"/>
    <w:rsid w:val="4A437992"/>
    <w:rsid w:val="4B1E31F7"/>
    <w:rsid w:val="4B441C14"/>
    <w:rsid w:val="4BCB3573"/>
    <w:rsid w:val="4BDD6632"/>
    <w:rsid w:val="4CE75373"/>
    <w:rsid w:val="4D164505"/>
    <w:rsid w:val="4D6F1F52"/>
    <w:rsid w:val="4DE4323A"/>
    <w:rsid w:val="4E0E0E2F"/>
    <w:rsid w:val="4ECB0F1D"/>
    <w:rsid w:val="4F1240FB"/>
    <w:rsid w:val="4F9C19A5"/>
    <w:rsid w:val="4FFE4531"/>
    <w:rsid w:val="50DF1BF5"/>
    <w:rsid w:val="51066F16"/>
    <w:rsid w:val="51E97071"/>
    <w:rsid w:val="546142C1"/>
    <w:rsid w:val="546A2353"/>
    <w:rsid w:val="566D4B95"/>
    <w:rsid w:val="572656D4"/>
    <w:rsid w:val="582F7751"/>
    <w:rsid w:val="589B201D"/>
    <w:rsid w:val="59090D3D"/>
    <w:rsid w:val="59AD06A4"/>
    <w:rsid w:val="59AE303D"/>
    <w:rsid w:val="59FA2A84"/>
    <w:rsid w:val="5A4D586D"/>
    <w:rsid w:val="5A6249B0"/>
    <w:rsid w:val="5B86466F"/>
    <w:rsid w:val="5BF15A6A"/>
    <w:rsid w:val="5CE02700"/>
    <w:rsid w:val="5E0B52B6"/>
    <w:rsid w:val="5EDB3B38"/>
    <w:rsid w:val="5EE84C68"/>
    <w:rsid w:val="5EF2482C"/>
    <w:rsid w:val="5F4E6E75"/>
    <w:rsid w:val="603E10A5"/>
    <w:rsid w:val="60BF052D"/>
    <w:rsid w:val="61E025FF"/>
    <w:rsid w:val="621D5BA4"/>
    <w:rsid w:val="62E250F1"/>
    <w:rsid w:val="62E56CAD"/>
    <w:rsid w:val="635B6748"/>
    <w:rsid w:val="63947A95"/>
    <w:rsid w:val="63DE187D"/>
    <w:rsid w:val="645B75C4"/>
    <w:rsid w:val="64855C62"/>
    <w:rsid w:val="6575765A"/>
    <w:rsid w:val="66583DCD"/>
    <w:rsid w:val="67057995"/>
    <w:rsid w:val="67B167D1"/>
    <w:rsid w:val="685F1C50"/>
    <w:rsid w:val="69807F47"/>
    <w:rsid w:val="699022E9"/>
    <w:rsid w:val="69DC5B83"/>
    <w:rsid w:val="69E2467A"/>
    <w:rsid w:val="6A714498"/>
    <w:rsid w:val="6ACE183E"/>
    <w:rsid w:val="6B0734DC"/>
    <w:rsid w:val="6B086362"/>
    <w:rsid w:val="6B243503"/>
    <w:rsid w:val="6B7E5C45"/>
    <w:rsid w:val="6B91045C"/>
    <w:rsid w:val="6BBA2C9E"/>
    <w:rsid w:val="6BDA7CFF"/>
    <w:rsid w:val="6D967C55"/>
    <w:rsid w:val="6DC937E6"/>
    <w:rsid w:val="6EC85CA0"/>
    <w:rsid w:val="6F733FF1"/>
    <w:rsid w:val="6FAA66AE"/>
    <w:rsid w:val="71331A6C"/>
    <w:rsid w:val="715008E3"/>
    <w:rsid w:val="717B5AE0"/>
    <w:rsid w:val="720E304D"/>
    <w:rsid w:val="73024FCF"/>
    <w:rsid w:val="745919C6"/>
    <w:rsid w:val="74702A9A"/>
    <w:rsid w:val="74EF72B3"/>
    <w:rsid w:val="75892AC3"/>
    <w:rsid w:val="759C3518"/>
    <w:rsid w:val="761C2BBB"/>
    <w:rsid w:val="765E71C8"/>
    <w:rsid w:val="767C0716"/>
    <w:rsid w:val="76842EA9"/>
    <w:rsid w:val="76C86E4B"/>
    <w:rsid w:val="76E211F9"/>
    <w:rsid w:val="776A1DE8"/>
    <w:rsid w:val="78576AD8"/>
    <w:rsid w:val="785D00CA"/>
    <w:rsid w:val="796E4C23"/>
    <w:rsid w:val="798D7E04"/>
    <w:rsid w:val="7B6C3ED6"/>
    <w:rsid w:val="7B8E3D6B"/>
    <w:rsid w:val="7D2A435D"/>
    <w:rsid w:val="7D2A6636"/>
    <w:rsid w:val="7D7F2253"/>
    <w:rsid w:val="7DDD6CEA"/>
    <w:rsid w:val="7E21470A"/>
    <w:rsid w:val="7E494870"/>
    <w:rsid w:val="7E636E14"/>
    <w:rsid w:val="7ECB27F1"/>
    <w:rsid w:val="7FBE9FFA"/>
    <w:rsid w:val="A6DDE88A"/>
    <w:rsid w:val="F5DD0C9B"/>
    <w:rsid w:val="F97F162C"/>
    <w:rsid w:val="FF7F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5"/>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0"/>
    <w:qFormat/>
    <w:uiPriority w:val="0"/>
    <w:pPr>
      <w:ind w:firstLine="200" w:firstLineChars="200"/>
    </w:pPr>
  </w:style>
  <w:style w:type="paragraph" w:styleId="10">
    <w:name w:val="toc 6"/>
    <w:basedOn w:val="1"/>
    <w:next w:val="1"/>
    <w:qFormat/>
    <w:uiPriority w:val="0"/>
    <w:pPr>
      <w:ind w:left="1000" w:leftChars="1000"/>
    </w:pPr>
  </w:style>
  <w:style w:type="paragraph" w:styleId="11">
    <w:name w:val="Body Text Indent"/>
    <w:basedOn w:val="1"/>
    <w:link w:val="48"/>
    <w:qFormat/>
    <w:uiPriority w:val="0"/>
    <w:pPr>
      <w:spacing w:after="120"/>
      <w:ind w:left="420" w:leftChars="200"/>
    </w:pPr>
  </w:style>
  <w:style w:type="paragraph" w:styleId="12">
    <w:name w:val="Plain Text"/>
    <w:basedOn w:val="1"/>
    <w:link w:val="54"/>
    <w:qFormat/>
    <w:uiPriority w:val="99"/>
    <w:rPr>
      <w:rFonts w:ascii="宋体" w:hAnsi="Courier New" w:cstheme="minorBidi"/>
    </w:rPr>
  </w:style>
  <w:style w:type="paragraph" w:styleId="13">
    <w:name w:val="Date"/>
    <w:basedOn w:val="1"/>
    <w:next w:val="1"/>
    <w:link w:val="59"/>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835"/>
      </w:tabs>
    </w:pPr>
    <w:rPr>
      <w:rFonts w:eastAsia="仿宋_GB2312"/>
      <w:sz w:val="32"/>
    </w:rPr>
  </w:style>
  <w:style w:type="paragraph" w:styleId="18">
    <w:name w:val="footnote text"/>
    <w:basedOn w:val="1"/>
    <w:semiHidden/>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0"/>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7"/>
    <w:next w:val="7"/>
    <w:link w:val="46"/>
    <w:qFormat/>
    <w:uiPriority w:val="0"/>
    <w:rPr>
      <w:b/>
      <w:bCs/>
    </w:rPr>
  </w:style>
  <w:style w:type="paragraph" w:styleId="22">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0"/>
    <w:rPr>
      <w:color w:val="0563C1"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1">
    <w:name w:val="列出段落1"/>
    <w:basedOn w:val="1"/>
    <w:qFormat/>
    <w:uiPriority w:val="0"/>
    <w:pPr>
      <w:ind w:firstLine="420" w:firstLineChars="200"/>
    </w:pPr>
    <w:rPr>
      <w:rFonts w:ascii="Calibri" w:hAnsi="Calibri"/>
      <w:kern w:val="0"/>
      <w:szCs w:val="20"/>
    </w:rPr>
  </w:style>
  <w:style w:type="paragraph" w:customStyle="1" w:styleId="32">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5">
    <w:name w:val="批注文字 字符"/>
    <w:basedOn w:val="25"/>
    <w:link w:val="7"/>
    <w:qFormat/>
    <w:uiPriority w:val="0"/>
    <w:rPr>
      <w:rFonts w:ascii="Times New Roman" w:hAnsi="Times New Roman" w:eastAsia="宋体" w:cs="Times New Roman"/>
      <w:kern w:val="2"/>
      <w:sz w:val="21"/>
      <w:szCs w:val="24"/>
    </w:rPr>
  </w:style>
  <w:style w:type="character" w:customStyle="1" w:styleId="46">
    <w:name w:val="批注主题 字符"/>
    <w:basedOn w:val="45"/>
    <w:link w:val="21"/>
    <w:qFormat/>
    <w:uiPriority w:val="0"/>
    <w:rPr>
      <w:rFonts w:ascii="Times New Roman" w:hAnsi="Times New Roman" w:eastAsia="宋体" w:cs="Times New Roman"/>
      <w:b/>
      <w:bCs/>
      <w:kern w:val="2"/>
      <w:sz w:val="21"/>
      <w:szCs w:val="24"/>
    </w:rPr>
  </w:style>
  <w:style w:type="character" w:customStyle="1" w:styleId="47">
    <w:name w:val="批注框文本 字符"/>
    <w:basedOn w:val="25"/>
    <w:link w:val="14"/>
    <w:qFormat/>
    <w:uiPriority w:val="0"/>
    <w:rPr>
      <w:rFonts w:ascii="Times New Roman" w:hAnsi="Times New Roman" w:eastAsia="宋体" w:cs="Times New Roman"/>
      <w:kern w:val="2"/>
      <w:sz w:val="18"/>
      <w:szCs w:val="18"/>
    </w:rPr>
  </w:style>
  <w:style w:type="character" w:customStyle="1" w:styleId="48">
    <w:name w:val="正文文本缩进 字符"/>
    <w:basedOn w:val="25"/>
    <w:link w:val="11"/>
    <w:qFormat/>
    <w:uiPriority w:val="0"/>
    <w:rPr>
      <w:kern w:val="2"/>
      <w:sz w:val="21"/>
      <w:szCs w:val="24"/>
    </w:rPr>
  </w:style>
  <w:style w:type="paragraph" w:customStyle="1" w:styleId="49">
    <w:name w:val="样式 标题 3 + (中文) 黑体 小四 非加粗 段前: 7.8 磅 段后: 0 磅 行距: 固定值 20 磅"/>
    <w:basedOn w:val="4"/>
    <w:qFormat/>
    <w:uiPriority w:val="0"/>
    <w:pPr>
      <w:spacing w:before="0" w:after="0" w:line="400" w:lineRule="exact"/>
    </w:pPr>
    <w:rPr>
      <w:rFonts w:eastAsia="黑体"/>
      <w:bCs w:val="0"/>
      <w:sz w:val="24"/>
      <w:szCs w:val="20"/>
    </w:rPr>
  </w:style>
  <w:style w:type="character" w:customStyle="1" w:styleId="50">
    <w:name w:val="标题 字符"/>
    <w:basedOn w:val="25"/>
    <w:link w:val="20"/>
    <w:qFormat/>
    <w:uiPriority w:val="0"/>
    <w:rPr>
      <w:rFonts w:asciiTheme="majorHAnsi" w:hAnsiTheme="majorHAnsi" w:eastAsiaTheme="majorEastAsia" w:cstheme="majorBidi"/>
      <w:spacing w:val="-10"/>
      <w:kern w:val="28"/>
      <w:sz w:val="56"/>
      <w:szCs w:val="56"/>
    </w:rPr>
  </w:style>
  <w:style w:type="character" w:customStyle="1" w:styleId="51">
    <w:name w:val="font01"/>
    <w:basedOn w:val="25"/>
    <w:qFormat/>
    <w:uiPriority w:val="0"/>
    <w:rPr>
      <w:rFonts w:hint="eastAsia" w:ascii="宋体" w:hAnsi="宋体" w:eastAsia="宋体" w:cs="宋体"/>
      <w:color w:val="FF0000"/>
      <w:sz w:val="24"/>
      <w:szCs w:val="24"/>
      <w:u w:val="none"/>
    </w:rPr>
  </w:style>
  <w:style w:type="character" w:customStyle="1" w:styleId="52">
    <w:name w:val="font41"/>
    <w:basedOn w:val="25"/>
    <w:qFormat/>
    <w:uiPriority w:val="0"/>
    <w:rPr>
      <w:rFonts w:hint="default" w:ascii="Times New Roman" w:hAnsi="Times New Roman" w:eastAsia="黑体" w:cs="Times New Roman"/>
      <w:color w:val="000000"/>
      <w:sz w:val="24"/>
      <w:szCs w:val="24"/>
      <w:u w:val="none"/>
    </w:rPr>
  </w:style>
  <w:style w:type="character" w:customStyle="1" w:styleId="53">
    <w:name w:val="font11"/>
    <w:basedOn w:val="25"/>
    <w:qFormat/>
    <w:uiPriority w:val="0"/>
    <w:rPr>
      <w:rFonts w:hint="eastAsia" w:ascii="宋体" w:hAnsi="宋体" w:eastAsia="宋体" w:cs="宋体"/>
      <w:b/>
      <w:color w:val="000000"/>
      <w:sz w:val="21"/>
      <w:szCs w:val="21"/>
      <w:u w:val="none"/>
    </w:rPr>
  </w:style>
  <w:style w:type="character" w:customStyle="1" w:styleId="54">
    <w:name w:val="纯文本 字符"/>
    <w:basedOn w:val="25"/>
    <w:link w:val="12"/>
    <w:qFormat/>
    <w:uiPriority w:val="99"/>
    <w:rPr>
      <w:rFonts w:ascii="宋体" w:hAnsi="Courier New" w:cstheme="minorBidi"/>
      <w:kern w:val="2"/>
      <w:sz w:val="21"/>
      <w:szCs w:val="24"/>
    </w:rPr>
  </w:style>
  <w:style w:type="character" w:customStyle="1" w:styleId="55">
    <w:name w:val="标题 1 字符"/>
    <w:basedOn w:val="25"/>
    <w:link w:val="2"/>
    <w:qFormat/>
    <w:uiPriority w:val="0"/>
    <w:rPr>
      <w:rFonts w:asciiTheme="majorHAnsi" w:hAnsiTheme="majorHAnsi" w:eastAsiaTheme="majorEastAsia" w:cstheme="majorBidi"/>
      <w:color w:val="2E75B6" w:themeColor="accent1" w:themeShade="BF"/>
      <w:kern w:val="2"/>
      <w:sz w:val="32"/>
      <w:szCs w:val="32"/>
    </w:rPr>
  </w:style>
  <w:style w:type="character" w:customStyle="1" w:styleId="56">
    <w:name w:val="页眉 字符"/>
    <w:basedOn w:val="25"/>
    <w:link w:val="16"/>
    <w:qFormat/>
    <w:uiPriority w:val="0"/>
    <w:rPr>
      <w:kern w:val="2"/>
      <w:sz w:val="18"/>
      <w:szCs w:val="24"/>
    </w:rPr>
  </w:style>
  <w:style w:type="paragraph" w:customStyle="1" w:styleId="57">
    <w:name w:val="附件文字"/>
    <w:basedOn w:val="12"/>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58">
    <w:name w:val="标题 2 字符"/>
    <w:basedOn w:val="25"/>
    <w:link w:val="3"/>
    <w:qFormat/>
    <w:uiPriority w:val="0"/>
    <w:rPr>
      <w:rFonts w:asciiTheme="majorHAnsi" w:hAnsiTheme="majorHAnsi" w:eastAsiaTheme="majorEastAsia" w:cstheme="majorBidi"/>
      <w:b/>
      <w:bCs/>
      <w:kern w:val="2"/>
      <w:sz w:val="32"/>
      <w:szCs w:val="32"/>
    </w:rPr>
  </w:style>
  <w:style w:type="character" w:customStyle="1" w:styleId="59">
    <w:name w:val="日期 字符"/>
    <w:basedOn w:val="25"/>
    <w:link w:val="13"/>
    <w:qFormat/>
    <w:locked/>
    <w:uiPriority w:val="99"/>
    <w:rPr>
      <w:rFonts w:eastAsia="楷体_GB2312" w:asciiTheme="minorHAnsi" w:hAnsiTheme="minorHAnsi" w:cstheme="minorBidi"/>
      <w:kern w:val="2"/>
      <w:sz w:val="32"/>
      <w:szCs w:val="22"/>
    </w:rPr>
  </w:style>
  <w:style w:type="paragraph" w:customStyle="1" w:styleId="6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1">
    <w:name w:val="未处理的提及1"/>
    <w:basedOn w:val="25"/>
    <w:unhideWhenUsed/>
    <w:qFormat/>
    <w:uiPriority w:val="99"/>
    <w:rPr>
      <w:color w:val="605E5C"/>
      <w:shd w:val="clear" w:color="auto" w:fill="E1DFDD"/>
    </w:rPr>
  </w:style>
  <w:style w:type="paragraph" w:customStyle="1" w:styleId="62">
    <w:name w:val="Table Paragraph"/>
    <w:basedOn w:val="1"/>
    <w:qFormat/>
    <w:uiPriority w:val="1"/>
    <w:pPr>
      <w:spacing w:after="0" w:line="240" w:lineRule="auto"/>
    </w:pPr>
    <w:rPr>
      <w:rFonts w:ascii="宋体" w:hAnsi="宋体" w:cs="宋体"/>
    </w:rPr>
  </w:style>
  <w:style w:type="paragraph" w:customStyle="1" w:styleId="63">
    <w:name w:val="样式 标题 1 + 四号 加粗"/>
    <w:basedOn w:val="2"/>
    <w:qFormat/>
    <w:uiPriority w:val="0"/>
    <w:rPr>
      <w:rFonts w:eastAsia="黑体"/>
      <w:lang w:eastAsia="en-US"/>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文件正文"/>
    <w:basedOn w:val="1"/>
    <w:qFormat/>
    <w:uiPriority w:val="0"/>
    <w:pPr>
      <w:spacing w:before="48" w:beforeLines="20" w:line="360" w:lineRule="auto"/>
      <w:ind w:firstLine="420"/>
    </w:pPr>
  </w:style>
  <w:style w:type="paragraph" w:styleId="6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30383</Words>
  <Characters>32017</Characters>
  <Lines>255</Lines>
  <Paragraphs>71</Paragraphs>
  <TotalTime>204</TotalTime>
  <ScaleCrop>false</ScaleCrop>
  <LinksUpToDate>false</LinksUpToDate>
  <CharactersWithSpaces>34091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2024-09-13T09:48:00Z</dcterms:created>
  <dc:creator>S-mile</dc:creator>
  <cp:lastModifiedBy>凸凸怪</cp:lastModifiedBy>
  <cp:lastPrinted>2020-06-11T08:25:00Z</cp:lastPrinted>
  <dcterms:modified xsi:type="dcterms:W3CDTF">2024-10-10T06:08:59Z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774DAA48D5854C569F7A5D3D52F96283_13</vt:lpwstr>
  </property>
</Properties>
</file>