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88B59B2">
      <w:pPr>
        <w:rPr>
          <w:rFonts w:hint="eastAsia" w:ascii="宋体" w:hAnsi="宋体" w:eastAsia="宋体" w:cs="宋体"/>
          <w:color w:val="auto"/>
          <w:highlight w:val="none"/>
        </w:rPr>
      </w:pPr>
      <w:bookmarkStart w:id="3" w:name="_GoBack"/>
    </w:p>
    <w:p w14:paraId="37EDF207">
      <w:pPr>
        <w:pStyle w:val="7"/>
        <w:jc w:val="center"/>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0" distR="0" simplePos="0" relativeHeight="251659264" behindDoc="1" locked="0" layoutInCell="1" allowOverlap="1">
            <wp:simplePos x="0" y="0"/>
            <wp:positionH relativeFrom="column">
              <wp:posOffset>4445</wp:posOffset>
            </wp:positionH>
            <wp:positionV relativeFrom="paragraph">
              <wp:posOffset>129540</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3" cstate="print"/>
                    <a:stretch>
                      <a:fillRect/>
                    </a:stretch>
                  </pic:blipFill>
                  <pic:spPr>
                    <a:xfrm>
                      <a:off x="0" y="0"/>
                      <a:ext cx="5488940" cy="2279015"/>
                    </a:xfrm>
                    <a:prstGeom prst="rect">
                      <a:avLst/>
                    </a:prstGeom>
                  </pic:spPr>
                </pic:pic>
              </a:graphicData>
            </a:graphic>
          </wp:anchor>
        </w:drawing>
      </w:r>
    </w:p>
    <w:p w14:paraId="3CDDC3A3">
      <w:pPr>
        <w:pStyle w:val="7"/>
        <w:jc w:val="center"/>
        <w:rPr>
          <w:rFonts w:hint="eastAsia" w:ascii="宋体" w:hAnsi="宋体" w:eastAsia="宋体" w:cs="宋体"/>
          <w:color w:val="auto"/>
          <w:highlight w:val="none"/>
        </w:rPr>
      </w:pPr>
    </w:p>
    <w:p w14:paraId="589055D1">
      <w:pPr>
        <w:pStyle w:val="7"/>
        <w:jc w:val="center"/>
        <w:rPr>
          <w:rFonts w:hint="eastAsia" w:ascii="宋体" w:hAnsi="宋体" w:eastAsia="宋体" w:cs="宋体"/>
          <w:color w:val="auto"/>
          <w:highlight w:val="none"/>
        </w:rPr>
      </w:pPr>
    </w:p>
    <w:p w14:paraId="79BF1638">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84"/>
          <w:szCs w:val="84"/>
          <w:highlight w:val="none"/>
          <w:lang w:val="en-US" w:eastAsia="zh-CN"/>
        </w:rPr>
      </w:pPr>
      <w:r>
        <w:rPr>
          <w:rFonts w:hint="eastAsia" w:ascii="宋体" w:hAnsi="宋体" w:eastAsia="宋体" w:cs="宋体"/>
          <w:b/>
          <w:color w:val="auto"/>
          <w:kern w:val="0"/>
          <w:sz w:val="84"/>
          <w:szCs w:val="84"/>
          <w:highlight w:val="none"/>
          <w:lang w:val="en-US" w:eastAsia="zh-CN"/>
        </w:rPr>
        <w:t xml:space="preserve"> </w:t>
      </w:r>
    </w:p>
    <w:p w14:paraId="60B2042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72"/>
          <w:szCs w:val="72"/>
          <w:highlight w:val="none"/>
        </w:rPr>
      </w:pPr>
    </w:p>
    <w:p w14:paraId="0CC6C79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2"/>
          <w:szCs w:val="72"/>
          <w:highlight w:val="none"/>
          <w:lang w:val="en-US" w:eastAsia="zh-CN"/>
        </w:rPr>
        <w:t xml:space="preserve">   </w:t>
      </w:r>
      <w:r>
        <w:rPr>
          <w:rFonts w:hint="eastAsia" w:ascii="宋体" w:hAnsi="宋体" w:eastAsia="宋体" w:cs="宋体"/>
          <w:b/>
          <w:color w:val="auto"/>
          <w:kern w:val="0"/>
          <w:sz w:val="72"/>
          <w:szCs w:val="72"/>
          <w:highlight w:val="none"/>
        </w:rPr>
        <w:t>政府采购</w:t>
      </w:r>
    </w:p>
    <w:p w14:paraId="762D699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lang w:val="en-US" w:eastAsia="zh-CN"/>
        </w:rPr>
      </w:pPr>
      <w:r>
        <w:rPr>
          <w:rFonts w:hint="eastAsia" w:ascii="宋体" w:hAnsi="宋体" w:eastAsia="宋体" w:cs="宋体"/>
          <w:b/>
          <w:color w:val="auto"/>
          <w:kern w:val="0"/>
          <w:sz w:val="72"/>
          <w:szCs w:val="72"/>
          <w:highlight w:val="none"/>
          <w:lang w:val="en-US" w:eastAsia="zh-CN"/>
        </w:rPr>
        <w:t xml:space="preserve">   竞争性磋商</w:t>
      </w:r>
      <w:r>
        <w:rPr>
          <w:rFonts w:hint="eastAsia" w:ascii="宋体" w:hAnsi="宋体" w:eastAsia="宋体" w:cs="宋体"/>
          <w:b/>
          <w:color w:val="auto"/>
          <w:kern w:val="0"/>
          <w:sz w:val="72"/>
          <w:szCs w:val="72"/>
          <w:highlight w:val="none"/>
          <w:lang w:eastAsia="zh-CN"/>
        </w:rPr>
        <w:t>文件</w:t>
      </w:r>
    </w:p>
    <w:p w14:paraId="7ED924D4">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（电子招</w:t>
      </w:r>
      <w:r>
        <w:rPr>
          <w:rFonts w:hint="eastAsia" w:ascii="宋体" w:hAnsi="宋体" w:eastAsia="宋体" w:cs="宋体"/>
          <w:b/>
          <w:bCs/>
          <w:color w:val="auto"/>
          <w:kern w:val="0"/>
          <w:sz w:val="32"/>
          <w:szCs w:val="32"/>
          <w:highlight w:val="none"/>
          <w:lang w:val="en-US" w:eastAsia="zh-CN"/>
        </w:rPr>
        <w:t>投标</w:t>
      </w:r>
      <w:r>
        <w:rPr>
          <w:rFonts w:hint="eastAsia" w:ascii="宋体" w:hAnsi="宋体" w:eastAsia="宋体" w:cs="宋体"/>
          <w:b/>
          <w:bCs/>
          <w:color w:val="auto"/>
          <w:kern w:val="0"/>
          <w:sz w:val="32"/>
          <w:szCs w:val="32"/>
          <w:highlight w:val="none"/>
        </w:rPr>
        <w:t>方式）</w:t>
      </w:r>
    </w:p>
    <w:p w14:paraId="10929FAF">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tzya2024-lq92</w:t>
      </w:r>
      <w:r>
        <w:rPr>
          <w:rFonts w:hint="eastAsia" w:ascii="宋体" w:hAnsi="宋体" w:eastAsia="宋体" w:cs="宋体"/>
          <w:color w:val="auto"/>
          <w:kern w:val="0"/>
          <w:sz w:val="28"/>
          <w:szCs w:val="28"/>
          <w:highlight w:val="none"/>
          <w:u w:val="single"/>
          <w:lang w:val="en-US" w:eastAsia="zh-CN"/>
        </w:rPr>
        <w:t xml:space="preserve"> </w:t>
      </w:r>
    </w:p>
    <w:p w14:paraId="73E885A2">
      <w:pPr>
        <w:pStyle w:val="7"/>
        <w:jc w:val="center"/>
        <w:rPr>
          <w:rFonts w:hint="eastAsia" w:ascii="宋体" w:hAnsi="宋体" w:eastAsia="宋体" w:cs="宋体"/>
          <w:color w:val="auto"/>
          <w:highlight w:val="none"/>
        </w:rPr>
      </w:pPr>
    </w:p>
    <w:p w14:paraId="1708585E">
      <w:pPr>
        <w:pStyle w:val="7"/>
        <w:jc w:val="both"/>
        <w:rPr>
          <w:rFonts w:hint="eastAsia" w:ascii="宋体" w:hAnsi="宋体" w:eastAsia="宋体" w:cs="宋体"/>
          <w:color w:val="auto"/>
          <w:highlight w:val="none"/>
        </w:rPr>
      </w:pPr>
    </w:p>
    <w:p w14:paraId="4C72AF17">
      <w:pPr>
        <w:pStyle w:val="7"/>
        <w:jc w:val="center"/>
        <w:rPr>
          <w:rFonts w:hint="eastAsia" w:ascii="宋体" w:hAnsi="宋体" w:eastAsia="宋体" w:cs="宋体"/>
          <w:color w:val="auto"/>
          <w:highlight w:val="none"/>
        </w:rPr>
      </w:pPr>
    </w:p>
    <w:p w14:paraId="6BEF2CF7">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病死动物无害化处理项目</w:t>
      </w:r>
    </w:p>
    <w:p w14:paraId="14BEB62E">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台州市路桥区农业农村和水利局</w:t>
      </w:r>
    </w:p>
    <w:p w14:paraId="37A6AD10">
      <w:pPr>
        <w:pStyle w:val="7"/>
        <w:rPr>
          <w:rFonts w:hint="eastAsia" w:ascii="宋体" w:hAnsi="宋体" w:eastAsia="宋体" w:cs="宋体"/>
          <w:color w:val="auto"/>
          <w:highlight w:val="none"/>
        </w:rPr>
      </w:pPr>
    </w:p>
    <w:p w14:paraId="4A758623">
      <w:pPr>
        <w:pStyle w:val="7"/>
        <w:rPr>
          <w:rFonts w:hint="eastAsia" w:ascii="宋体" w:hAnsi="宋体" w:eastAsia="宋体" w:cs="宋体"/>
          <w:color w:val="auto"/>
          <w:highlight w:val="none"/>
        </w:rPr>
      </w:pPr>
    </w:p>
    <w:p w14:paraId="4F1DEF80">
      <w:pPr>
        <w:spacing w:line="360" w:lineRule="auto"/>
        <w:ind w:firstLine="1405" w:firstLineChars="500"/>
        <w:jc w:val="both"/>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6AC228E3">
      <w:pPr>
        <w:pStyle w:val="7"/>
        <w:rPr>
          <w:rFonts w:hint="eastAsia" w:ascii="宋体" w:hAnsi="宋体" w:eastAsia="宋体" w:cs="宋体"/>
          <w:color w:val="auto"/>
          <w:highlight w:val="none"/>
        </w:rPr>
      </w:pPr>
    </w:p>
    <w:p w14:paraId="31A6DFC7">
      <w:pPr>
        <w:pStyle w:val="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8"/>
          <w:szCs w:val="28"/>
          <w:highlight w:val="none"/>
          <w:lang w:val="en-US" w:eastAsia="zh-CN" w:bidi="ar-SA"/>
        </w:rPr>
        <w:t>二○</w:t>
      </w:r>
      <w:r>
        <w:rPr>
          <w:rFonts w:hint="eastAsia" w:ascii="宋体" w:hAnsi="宋体" w:cs="宋体"/>
          <w:color w:val="auto"/>
          <w:kern w:val="0"/>
          <w:sz w:val="28"/>
          <w:szCs w:val="28"/>
          <w:highlight w:val="none"/>
          <w:lang w:val="en-US" w:eastAsia="zh-CN" w:bidi="ar-SA"/>
        </w:rPr>
        <w:t>二四年十月</w:t>
      </w:r>
    </w:p>
    <w:p w14:paraId="14E71F3D">
      <w:pPr>
        <w:pStyle w:val="7"/>
        <w:jc w:val="center"/>
        <w:rPr>
          <w:rFonts w:hint="eastAsia" w:ascii="宋体" w:hAnsi="宋体" w:eastAsia="宋体" w:cs="宋体"/>
          <w:color w:val="auto"/>
          <w:kern w:val="0"/>
          <w:szCs w:val="21"/>
          <w:highlight w:val="none"/>
        </w:rPr>
      </w:pPr>
    </w:p>
    <w:p w14:paraId="293D9607">
      <w:pPr>
        <w:pStyle w:val="7"/>
        <w:jc w:val="both"/>
        <w:rPr>
          <w:rFonts w:hint="eastAsia" w:ascii="宋体" w:hAnsi="宋体" w:eastAsia="宋体" w:cs="宋体"/>
          <w:color w:val="auto"/>
          <w:highlight w:val="none"/>
        </w:rPr>
      </w:pPr>
    </w:p>
    <w:p w14:paraId="79995233">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1600B958">
      <w:pPr>
        <w:spacing w:line="360" w:lineRule="auto"/>
        <w:rPr>
          <w:rFonts w:hint="eastAsia" w:ascii="宋体" w:hAnsi="宋体" w:eastAsia="宋体" w:cs="宋体"/>
          <w:color w:val="auto"/>
          <w:sz w:val="28"/>
          <w:szCs w:val="28"/>
          <w:highlight w:val="none"/>
        </w:rPr>
      </w:pPr>
    </w:p>
    <w:p w14:paraId="08BE920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竞争性磋商公告</w:t>
      </w:r>
    </w:p>
    <w:p w14:paraId="064926E2">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供应商须知</w:t>
      </w:r>
    </w:p>
    <w:p w14:paraId="3CE03B45">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评审办法及评审标准</w:t>
      </w:r>
    </w:p>
    <w:p w14:paraId="3FB4F2A3">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项目需求</w:t>
      </w:r>
    </w:p>
    <w:p w14:paraId="2B6D300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516F6E2F">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响应文件格式附件</w:t>
      </w:r>
    </w:p>
    <w:p w14:paraId="694091EA">
      <w:pPr>
        <w:pStyle w:val="7"/>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54A9E4E8">
      <w:pPr>
        <w:pStyle w:val="7"/>
        <w:jc w:val="center"/>
        <w:rPr>
          <w:rFonts w:hint="eastAsia" w:ascii="宋体" w:hAnsi="宋体" w:eastAsia="宋体" w:cs="宋体"/>
          <w:color w:val="auto"/>
          <w:highlight w:val="none"/>
        </w:rPr>
      </w:pPr>
    </w:p>
    <w:p w14:paraId="50BA5BA5">
      <w:pPr>
        <w:pStyle w:val="7"/>
        <w:jc w:val="center"/>
        <w:rPr>
          <w:rFonts w:hint="eastAsia" w:ascii="宋体" w:hAnsi="宋体" w:eastAsia="宋体" w:cs="宋体"/>
          <w:color w:val="auto"/>
          <w:highlight w:val="none"/>
        </w:rPr>
      </w:pPr>
    </w:p>
    <w:p w14:paraId="1E1C4765">
      <w:pPr>
        <w:pStyle w:val="7"/>
        <w:jc w:val="center"/>
        <w:rPr>
          <w:rFonts w:hint="eastAsia" w:ascii="宋体" w:hAnsi="宋体" w:eastAsia="宋体" w:cs="宋体"/>
          <w:color w:val="auto"/>
          <w:highlight w:val="none"/>
        </w:rPr>
      </w:pPr>
    </w:p>
    <w:p w14:paraId="6222552D">
      <w:pPr>
        <w:pStyle w:val="7"/>
        <w:jc w:val="center"/>
        <w:rPr>
          <w:rFonts w:hint="eastAsia" w:ascii="宋体" w:hAnsi="宋体" w:eastAsia="宋体" w:cs="宋体"/>
          <w:color w:val="auto"/>
          <w:highlight w:val="none"/>
        </w:rPr>
      </w:pPr>
    </w:p>
    <w:p w14:paraId="331CADB1">
      <w:pPr>
        <w:pStyle w:val="7"/>
        <w:jc w:val="center"/>
        <w:rPr>
          <w:rFonts w:hint="eastAsia" w:ascii="宋体" w:hAnsi="宋体" w:eastAsia="宋体" w:cs="宋体"/>
          <w:color w:val="auto"/>
          <w:highlight w:val="none"/>
        </w:rPr>
      </w:pPr>
    </w:p>
    <w:p w14:paraId="7DA842D4">
      <w:pPr>
        <w:pStyle w:val="7"/>
        <w:jc w:val="center"/>
        <w:rPr>
          <w:rFonts w:hint="eastAsia" w:ascii="宋体" w:hAnsi="宋体" w:eastAsia="宋体" w:cs="宋体"/>
          <w:color w:val="auto"/>
          <w:highlight w:val="none"/>
        </w:rPr>
      </w:pPr>
    </w:p>
    <w:p w14:paraId="2D68CF0D">
      <w:pPr>
        <w:pStyle w:val="7"/>
        <w:jc w:val="center"/>
        <w:rPr>
          <w:rFonts w:hint="eastAsia" w:ascii="宋体" w:hAnsi="宋体" w:eastAsia="宋体" w:cs="宋体"/>
          <w:color w:val="auto"/>
          <w:highlight w:val="none"/>
        </w:rPr>
      </w:pPr>
    </w:p>
    <w:p w14:paraId="35BB7733">
      <w:pPr>
        <w:pStyle w:val="7"/>
        <w:jc w:val="center"/>
        <w:rPr>
          <w:rFonts w:hint="eastAsia" w:ascii="宋体" w:hAnsi="宋体" w:eastAsia="宋体" w:cs="宋体"/>
          <w:color w:val="auto"/>
          <w:highlight w:val="none"/>
        </w:rPr>
      </w:pPr>
    </w:p>
    <w:p w14:paraId="02B431F4">
      <w:pPr>
        <w:pStyle w:val="7"/>
        <w:jc w:val="center"/>
        <w:rPr>
          <w:rFonts w:hint="eastAsia" w:ascii="宋体" w:hAnsi="宋体" w:eastAsia="宋体" w:cs="宋体"/>
          <w:color w:val="auto"/>
          <w:highlight w:val="none"/>
        </w:rPr>
      </w:pPr>
    </w:p>
    <w:p w14:paraId="4F419DB2">
      <w:pPr>
        <w:pStyle w:val="7"/>
        <w:jc w:val="center"/>
        <w:rPr>
          <w:rFonts w:hint="eastAsia" w:ascii="宋体" w:hAnsi="宋体" w:eastAsia="宋体" w:cs="宋体"/>
          <w:color w:val="auto"/>
          <w:highlight w:val="none"/>
        </w:rPr>
      </w:pPr>
    </w:p>
    <w:p w14:paraId="1CFACB3E">
      <w:pPr>
        <w:pStyle w:val="7"/>
        <w:jc w:val="center"/>
        <w:rPr>
          <w:rFonts w:hint="eastAsia" w:ascii="宋体" w:hAnsi="宋体" w:eastAsia="宋体" w:cs="宋体"/>
          <w:color w:val="auto"/>
          <w:highlight w:val="none"/>
        </w:rPr>
      </w:pPr>
    </w:p>
    <w:p w14:paraId="6EA18690">
      <w:pPr>
        <w:pStyle w:val="7"/>
        <w:jc w:val="center"/>
        <w:rPr>
          <w:rFonts w:hint="eastAsia" w:ascii="宋体" w:hAnsi="宋体" w:eastAsia="宋体" w:cs="宋体"/>
          <w:color w:val="auto"/>
          <w:highlight w:val="none"/>
        </w:rPr>
      </w:pPr>
    </w:p>
    <w:p w14:paraId="429902BF">
      <w:pPr>
        <w:pStyle w:val="19"/>
        <w:rPr>
          <w:rFonts w:hint="eastAsia" w:ascii="宋体" w:hAnsi="宋体" w:eastAsia="宋体" w:cs="宋体"/>
          <w:color w:val="auto"/>
          <w:highlight w:val="none"/>
        </w:rPr>
      </w:pPr>
    </w:p>
    <w:p w14:paraId="0BAAC219">
      <w:pPr>
        <w:pStyle w:val="19"/>
        <w:rPr>
          <w:rFonts w:hint="eastAsia" w:ascii="宋体" w:hAnsi="宋体" w:eastAsia="宋体" w:cs="宋体"/>
          <w:color w:val="auto"/>
          <w:highlight w:val="none"/>
        </w:rPr>
      </w:pPr>
    </w:p>
    <w:p w14:paraId="1190BB94">
      <w:pPr>
        <w:pStyle w:val="7"/>
        <w:jc w:val="center"/>
        <w:rPr>
          <w:rFonts w:hint="eastAsia" w:ascii="宋体" w:hAnsi="宋体" w:eastAsia="宋体" w:cs="宋体"/>
          <w:color w:val="auto"/>
          <w:highlight w:val="none"/>
        </w:rPr>
      </w:pPr>
    </w:p>
    <w:p w14:paraId="077DDCED">
      <w:pPr>
        <w:pStyle w:val="19"/>
        <w:rPr>
          <w:rFonts w:hint="eastAsia" w:ascii="宋体" w:hAnsi="宋体" w:eastAsia="宋体" w:cs="宋体"/>
          <w:color w:val="auto"/>
          <w:highlight w:val="none"/>
        </w:rPr>
      </w:pPr>
    </w:p>
    <w:p w14:paraId="45DE0236">
      <w:pPr>
        <w:pStyle w:val="7"/>
        <w:jc w:val="center"/>
        <w:rPr>
          <w:rFonts w:hint="eastAsia" w:ascii="宋体" w:hAnsi="宋体" w:eastAsia="宋体" w:cs="宋体"/>
          <w:color w:val="auto"/>
          <w:highlight w:val="none"/>
        </w:rPr>
      </w:pPr>
    </w:p>
    <w:p w14:paraId="10AB824B">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 xml:space="preserve">第一章 </w:t>
      </w:r>
      <w:r>
        <w:rPr>
          <w:rFonts w:hint="eastAsia" w:ascii="宋体" w:hAnsi="宋体" w:eastAsia="宋体" w:cs="宋体"/>
          <w:b/>
          <w:color w:val="auto"/>
          <w:kern w:val="0"/>
          <w:sz w:val="36"/>
          <w:szCs w:val="36"/>
          <w:highlight w:val="none"/>
          <w:lang w:eastAsia="zh-CN"/>
        </w:rPr>
        <w:t>竞争性磋商公告</w:t>
      </w:r>
    </w:p>
    <w:p w14:paraId="6A5C1AD6">
      <w:pPr>
        <w:keepNext w:val="0"/>
        <w:keepLines w:val="0"/>
        <w:pageBreakBefore w:val="0"/>
        <w:kinsoku/>
        <w:topLinePunct w:val="0"/>
        <w:bidi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根据《中华人民共和国政府采购法》、《中华人民共和国政府采购法实施条例》和</w:t>
      </w:r>
      <w:r>
        <w:rPr>
          <w:rFonts w:hint="eastAsia" w:ascii="宋体" w:hAnsi="宋体" w:eastAsia="宋体" w:cs="宋体"/>
          <w:color w:val="auto"/>
          <w:sz w:val="21"/>
          <w:szCs w:val="21"/>
          <w:highlight w:val="none"/>
          <w:lang w:eastAsia="zh-CN"/>
        </w:rPr>
        <w:t>《政府采购竞争性磋商采购方式管理暂行办法》</w:t>
      </w:r>
      <w:r>
        <w:rPr>
          <w:rFonts w:hint="eastAsia" w:ascii="宋体" w:hAnsi="宋体" w:eastAsia="宋体" w:cs="宋体"/>
          <w:color w:val="auto"/>
          <w:sz w:val="21"/>
          <w:szCs w:val="21"/>
          <w:highlight w:val="none"/>
        </w:rPr>
        <w:t>等有关规定, 受</w:t>
      </w:r>
      <w:r>
        <w:rPr>
          <w:rFonts w:hint="eastAsia" w:ascii="宋体" w:hAnsi="宋体" w:cs="宋体"/>
          <w:b/>
          <w:bCs/>
          <w:color w:val="auto"/>
          <w:sz w:val="21"/>
          <w:szCs w:val="21"/>
          <w:highlight w:val="none"/>
          <w:lang w:eastAsia="zh-CN"/>
        </w:rPr>
        <w:t>台州市路桥区农业农村和水利局</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病死动物无害化处理项目</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竞争性</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，欢迎合格供应商前来</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w:t>
      </w:r>
    </w:p>
    <w:p w14:paraId="1B3D3778">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kern w:val="2"/>
          <w:sz w:val="21"/>
          <w:szCs w:val="21"/>
          <w:highlight w:val="none"/>
          <w:lang w:val="en-US" w:eastAsia="zh-CN" w:bidi="ar-SA"/>
        </w:rPr>
        <w:t>根据《政府向社会力量购买服务指导性目录（202</w:t>
      </w:r>
      <w:r>
        <w:rPr>
          <w:rFonts w:hint="eastAsia" w:ascii="宋体" w:hAnsi="宋体" w:cs="宋体"/>
          <w:b/>
          <w:color w:val="auto"/>
          <w:kern w:val="2"/>
          <w:sz w:val="21"/>
          <w:szCs w:val="21"/>
          <w:highlight w:val="none"/>
          <w:lang w:val="en-US" w:eastAsia="zh-CN" w:bidi="ar-SA"/>
        </w:rPr>
        <w:t>4</w:t>
      </w:r>
      <w:r>
        <w:rPr>
          <w:rFonts w:hint="eastAsia" w:ascii="宋体" w:hAnsi="宋体" w:eastAsia="宋体" w:cs="宋体"/>
          <w:b/>
          <w:color w:val="auto"/>
          <w:kern w:val="2"/>
          <w:sz w:val="21"/>
          <w:szCs w:val="21"/>
          <w:highlight w:val="none"/>
          <w:lang w:val="en-US" w:eastAsia="zh-CN" w:bidi="ar-SA"/>
        </w:rPr>
        <w:t>年）》中 A1208内容以及《政府采购竞争性磋商采购方式管理暂行办法》第一章第三条：“符合下列情形的项目，可以采用竞争性磋商方式开展采购：政府购买服务项目”，</w:t>
      </w:r>
      <w:r>
        <w:rPr>
          <w:rFonts w:hint="eastAsia" w:ascii="宋体" w:hAnsi="宋体" w:cs="宋体"/>
          <w:b/>
          <w:color w:val="auto"/>
          <w:kern w:val="2"/>
          <w:sz w:val="21"/>
          <w:szCs w:val="21"/>
          <w:highlight w:val="none"/>
          <w:lang w:val="en-US" w:eastAsia="zh-CN" w:bidi="ar-SA"/>
        </w:rPr>
        <w:t>病死动物无害化处理项目</w:t>
      </w:r>
      <w:r>
        <w:rPr>
          <w:rFonts w:hint="eastAsia" w:ascii="宋体" w:hAnsi="宋体" w:eastAsia="宋体" w:cs="宋体"/>
          <w:b/>
          <w:color w:val="auto"/>
          <w:kern w:val="2"/>
          <w:sz w:val="21"/>
          <w:szCs w:val="21"/>
          <w:highlight w:val="none"/>
          <w:lang w:val="en-US" w:eastAsia="zh-CN" w:bidi="ar-SA"/>
        </w:rPr>
        <w:t xml:space="preserve"> 符合此条款要求，可采用竞争性磋商采购。</w:t>
      </w:r>
    </w:p>
    <w:p w14:paraId="22BA73A4">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tzya2024-lq92</w:t>
      </w:r>
    </w:p>
    <w:p w14:paraId="164C10B1">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en-US" w:eastAsia="zh-CN"/>
        </w:rPr>
        <w:t>磋商内容</w:t>
      </w:r>
      <w:r>
        <w:rPr>
          <w:rFonts w:hint="eastAsia" w:ascii="宋体" w:hAnsi="宋体" w:eastAsia="宋体" w:cs="宋体"/>
          <w:b/>
          <w:bCs/>
          <w:color w:val="auto"/>
          <w:sz w:val="21"/>
          <w:szCs w:val="21"/>
          <w:highlight w:val="none"/>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41"/>
        <w:gridCol w:w="1105"/>
        <w:gridCol w:w="695"/>
        <w:gridCol w:w="777"/>
        <w:gridCol w:w="982"/>
        <w:gridCol w:w="2072"/>
      </w:tblGrid>
      <w:tr w14:paraId="4680E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765" w:type="dxa"/>
            <w:noWrap w:val="0"/>
            <w:vAlign w:val="center"/>
          </w:tcPr>
          <w:p w14:paraId="624D7C2A">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bookmarkStart w:id="0" w:name="EBc3c9f0bc06b6413d849824fe98ba274c"/>
            <w:r>
              <w:rPr>
                <w:rFonts w:hint="eastAsia" w:ascii="宋体" w:hAnsi="宋体" w:eastAsia="宋体" w:cs="宋体"/>
                <w:b/>
                <w:color w:val="auto"/>
                <w:sz w:val="21"/>
                <w:szCs w:val="21"/>
                <w:highlight w:val="none"/>
                <w:lang w:val="en-US" w:eastAsia="zh-CN"/>
              </w:rPr>
              <w:t>序</w:t>
            </w:r>
            <w:r>
              <w:rPr>
                <w:rFonts w:hint="eastAsia" w:ascii="宋体" w:hAnsi="宋体" w:eastAsia="宋体" w:cs="宋体"/>
                <w:b/>
                <w:color w:val="auto"/>
                <w:sz w:val="21"/>
                <w:szCs w:val="21"/>
                <w:highlight w:val="none"/>
              </w:rPr>
              <w:t>号</w:t>
            </w:r>
          </w:p>
        </w:tc>
        <w:tc>
          <w:tcPr>
            <w:tcW w:w="2141" w:type="dxa"/>
            <w:noWrap w:val="0"/>
            <w:vAlign w:val="center"/>
          </w:tcPr>
          <w:p w14:paraId="3C00AA31">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105" w:type="dxa"/>
            <w:noWrap w:val="0"/>
            <w:vAlign w:val="center"/>
          </w:tcPr>
          <w:p w14:paraId="0B5EF885">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695" w:type="dxa"/>
            <w:noWrap w:val="0"/>
            <w:vAlign w:val="center"/>
          </w:tcPr>
          <w:p w14:paraId="39A4494B">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77" w:type="dxa"/>
            <w:noWrap w:val="0"/>
            <w:vAlign w:val="center"/>
          </w:tcPr>
          <w:p w14:paraId="36BA36B9">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982" w:type="dxa"/>
            <w:noWrap w:val="0"/>
            <w:vAlign w:val="center"/>
          </w:tcPr>
          <w:p w14:paraId="7321CD47">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w:t>
            </w:r>
          </w:p>
          <w:p w14:paraId="011277EE">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2072" w:type="dxa"/>
            <w:noWrap w:val="0"/>
            <w:vAlign w:val="center"/>
          </w:tcPr>
          <w:p w14:paraId="13560F61">
            <w:pPr>
              <w:tabs>
                <w:tab w:val="left" w:pos="8280"/>
              </w:tabs>
              <w:autoSpaceDE w:val="0"/>
              <w:autoSpaceDN w:val="0"/>
              <w:adjustRightInd w:val="0"/>
              <w:ind w:right="25" w:firstLine="240"/>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备注</w:t>
            </w:r>
          </w:p>
        </w:tc>
      </w:tr>
      <w:tr w14:paraId="541F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65" w:type="dxa"/>
            <w:noWrap w:val="0"/>
            <w:vAlign w:val="center"/>
          </w:tcPr>
          <w:p w14:paraId="7F5F3E70">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41" w:type="dxa"/>
            <w:noWrap w:val="0"/>
            <w:vAlign w:val="center"/>
          </w:tcPr>
          <w:p w14:paraId="2197FB30">
            <w:pPr>
              <w:tabs>
                <w:tab w:val="left" w:pos="8280"/>
              </w:tabs>
              <w:autoSpaceDE w:val="0"/>
              <w:autoSpaceDN w:val="0"/>
              <w:adjustRightInd w:val="0"/>
              <w:ind w:right="25"/>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病死动物无害化处理项目</w:t>
            </w:r>
          </w:p>
        </w:tc>
        <w:tc>
          <w:tcPr>
            <w:tcW w:w="1105" w:type="dxa"/>
            <w:noWrap w:val="0"/>
            <w:vAlign w:val="center"/>
          </w:tcPr>
          <w:p w14:paraId="7271AE3F">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详见项目需求</w:t>
            </w:r>
          </w:p>
        </w:tc>
        <w:tc>
          <w:tcPr>
            <w:tcW w:w="695" w:type="dxa"/>
            <w:noWrap w:val="0"/>
            <w:vAlign w:val="center"/>
          </w:tcPr>
          <w:p w14:paraId="5B9DE812">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77" w:type="dxa"/>
            <w:noWrap w:val="0"/>
            <w:vAlign w:val="center"/>
          </w:tcPr>
          <w:p w14:paraId="6B66701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982" w:type="dxa"/>
            <w:noWrap w:val="0"/>
            <w:vAlign w:val="center"/>
          </w:tcPr>
          <w:p w14:paraId="4F002EEB">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80</w:t>
            </w:r>
          </w:p>
        </w:tc>
        <w:tc>
          <w:tcPr>
            <w:tcW w:w="2072" w:type="dxa"/>
            <w:noWrap w:val="0"/>
            <w:vAlign w:val="center"/>
          </w:tcPr>
          <w:p w14:paraId="3E6B06A9">
            <w:pPr>
              <w:tabs>
                <w:tab w:val="left" w:pos="8280"/>
              </w:tabs>
              <w:autoSpaceDE w:val="0"/>
              <w:autoSpaceDN w:val="0"/>
              <w:adjustRightInd w:val="0"/>
              <w:ind w:right="25"/>
              <w:jc w:val="both"/>
              <w:rPr>
                <w:rFonts w:hint="eastAsia" w:ascii="宋体" w:hAnsi="宋体" w:eastAsia="宋体" w:cs="宋体"/>
                <w:color w:val="auto"/>
                <w:sz w:val="21"/>
                <w:szCs w:val="21"/>
                <w:highlight w:val="none"/>
                <w:lang w:eastAsia="zh-CN"/>
              </w:rPr>
            </w:pPr>
          </w:p>
        </w:tc>
      </w:tr>
    </w:tbl>
    <w:p w14:paraId="386FEC96">
      <w:pPr>
        <w:pStyle w:val="9"/>
        <w:adjustRightInd w:val="0"/>
        <w:snapToGrid w:val="0"/>
        <w:spacing w:line="360" w:lineRule="auto"/>
        <w:rPr>
          <w:rFonts w:hint="eastAsia" w:ascii="宋体" w:hAnsi="宋体" w:eastAsia="宋体" w:cs="宋体"/>
          <w:b/>
          <w:bCs/>
          <w:color w:val="auto"/>
          <w:szCs w:val="21"/>
          <w:highlight w:val="none"/>
        </w:rPr>
      </w:pPr>
    </w:p>
    <w:bookmarkEnd w:id="0"/>
    <w:p w14:paraId="38B14CF9">
      <w:pPr>
        <w:keepNext w:val="0"/>
        <w:keepLines w:val="0"/>
        <w:pageBreakBefore w:val="0"/>
        <w:widowControl/>
        <w:tabs>
          <w:tab w:val="left" w:pos="0"/>
        </w:tabs>
        <w:kinsoku/>
        <w:topLinePunct w:val="0"/>
        <w:bidi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本项目采用“电子交易”的方式提交磋商响应文件（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提供备份磋商响应文件），请各供应商按照要求进行。</w:t>
      </w:r>
    </w:p>
    <w:p w14:paraId="71E78A3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三、合格磋商供应商的资格条件：</w:t>
      </w:r>
    </w:p>
    <w:p w14:paraId="5FBC7CC1">
      <w:pPr>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14:paraId="17099D32">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479BA937">
      <w:pPr>
        <w:spacing w:line="360" w:lineRule="auto"/>
        <w:ind w:firstLine="422" w:firstLineChars="200"/>
        <w:rPr>
          <w:rFonts w:hint="eastAsia" w:ascii="宋体" w:hAnsi="宋体" w:eastAsia="宋体" w:cs="宋体"/>
          <w:b/>
          <w:bCs w:val="0"/>
          <w:color w:val="auto"/>
          <w:sz w:val="21"/>
          <w:szCs w:val="21"/>
          <w:highlight w:val="none"/>
          <w:shd w:val="clear" w:color="auto" w:fill="auto"/>
          <w:lang w:eastAsia="zh-CN"/>
        </w:rPr>
      </w:pP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p>
    <w:p w14:paraId="311443D5">
      <w:pPr>
        <w:spacing w:line="360" w:lineRule="auto"/>
        <w:ind w:firstLine="632" w:firstLineChars="300"/>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shd w:val="clear" w:color="auto" w:fill="auto"/>
          <w:lang w:val="en-US" w:eastAsia="zh-CN"/>
        </w:rPr>
        <w:t>2、</w:t>
      </w:r>
      <w:r>
        <w:rPr>
          <w:rFonts w:hint="eastAsia" w:ascii="宋体" w:hAnsi="宋体" w:eastAsia="宋体" w:cs="宋体"/>
          <w:b/>
          <w:bCs w:val="0"/>
          <w:color w:val="auto"/>
          <w:sz w:val="21"/>
          <w:szCs w:val="21"/>
          <w:highlight w:val="none"/>
          <w:shd w:val="clear" w:color="auto" w:fill="auto"/>
        </w:rPr>
        <w:t>落实政府采购政策需满足的资格要求：本项目按照《政府采购促进中小企业发展管理办法》【财库（2020）46号】第七条规定：专门面向中小企业采购。</w:t>
      </w:r>
    </w:p>
    <w:p w14:paraId="5C470380">
      <w:pPr>
        <w:spacing w:line="360" w:lineRule="auto"/>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参与磋商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31B2D8EC">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获取的方式、时间:</w:t>
      </w:r>
    </w:p>
    <w:p w14:paraId="369755CE">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4"/>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纸质版。供应商获取</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14:paraId="12A2C7E0">
      <w:pPr>
        <w:keepNext w:val="0"/>
        <w:keepLines w:val="0"/>
        <w:pageBreakBefore w:val="0"/>
        <w:kinsoku/>
        <w:topLinePunct w:val="0"/>
        <w:bidi w:val="0"/>
        <w:spacing w:beforeAutospacing="0" w:afterAutospacing="0" w:line="360" w:lineRule="auto"/>
        <w:ind w:firstLine="498" w:firstLineChars="236"/>
        <w:rPr>
          <w:rStyle w:val="24"/>
          <w:rFonts w:hint="eastAsia" w:ascii="宋体" w:hAnsi="宋体" w:eastAsia="宋体" w:cs="宋体"/>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4"/>
          <w:rFonts w:hint="eastAsia" w:ascii="宋体" w:hAnsi="宋体" w:eastAsia="宋体" w:cs="宋体"/>
          <w:i w:val="0"/>
          <w:caps w:val="0"/>
          <w:color w:val="auto"/>
          <w:spacing w:val="0"/>
          <w:sz w:val="21"/>
          <w:szCs w:val="21"/>
          <w:highlight w:val="none"/>
        </w:rPr>
        <w:t>方式：潜在供应商登陆</w:t>
      </w:r>
      <w:r>
        <w:rPr>
          <w:rStyle w:val="24"/>
          <w:rFonts w:hint="eastAsia" w:ascii="宋体" w:hAnsi="宋体" w:eastAsia="宋体" w:cs="宋体"/>
          <w:i w:val="0"/>
          <w:caps w:val="0"/>
          <w:color w:val="auto"/>
          <w:spacing w:val="0"/>
          <w:sz w:val="21"/>
          <w:szCs w:val="21"/>
          <w:highlight w:val="none"/>
          <w:lang w:val="en-US" w:eastAsia="zh-CN"/>
        </w:rPr>
        <w:t>政府采购</w:t>
      </w:r>
      <w:r>
        <w:rPr>
          <w:rStyle w:val="24"/>
          <w:rFonts w:hint="eastAsia" w:ascii="宋体" w:hAnsi="宋体" w:eastAsia="宋体" w:cs="宋体"/>
          <w:i w:val="0"/>
          <w:caps w:val="0"/>
          <w:color w:val="auto"/>
          <w:spacing w:val="0"/>
          <w:sz w:val="21"/>
          <w:szCs w:val="21"/>
          <w:highlight w:val="none"/>
        </w:rPr>
        <w:t>云平台，在线申请获取</w:t>
      </w:r>
      <w:r>
        <w:rPr>
          <w:rStyle w:val="24"/>
          <w:rFonts w:hint="eastAsia" w:ascii="宋体" w:hAnsi="宋体" w:cs="宋体"/>
          <w:i w:val="0"/>
          <w:caps w:val="0"/>
          <w:color w:val="auto"/>
          <w:spacing w:val="0"/>
          <w:sz w:val="21"/>
          <w:szCs w:val="21"/>
          <w:highlight w:val="none"/>
          <w:lang w:eastAsia="zh-CN"/>
        </w:rPr>
        <w:t>采购文件</w:t>
      </w:r>
      <w:r>
        <w:rPr>
          <w:rStyle w:val="24"/>
          <w:rFonts w:hint="eastAsia" w:ascii="宋体" w:hAnsi="宋体" w:eastAsia="宋体" w:cs="宋体"/>
          <w:b w:val="0"/>
          <w:bCs/>
          <w:i w:val="0"/>
          <w:caps w:val="0"/>
          <w:color w:val="auto"/>
          <w:spacing w:val="0"/>
          <w:sz w:val="21"/>
          <w:szCs w:val="21"/>
          <w:highlight w:val="none"/>
        </w:rPr>
        <w:t>（进入“项目采购”应用，在获取</w:t>
      </w:r>
      <w:r>
        <w:rPr>
          <w:rStyle w:val="24"/>
          <w:rFonts w:hint="eastAsia" w:ascii="宋体" w:hAnsi="宋体" w:cs="宋体"/>
          <w:b w:val="0"/>
          <w:bCs/>
          <w:i w:val="0"/>
          <w:caps w:val="0"/>
          <w:color w:val="auto"/>
          <w:spacing w:val="0"/>
          <w:sz w:val="21"/>
          <w:szCs w:val="21"/>
          <w:highlight w:val="none"/>
          <w:lang w:eastAsia="zh-CN"/>
        </w:rPr>
        <w:t>采购文件</w:t>
      </w:r>
      <w:r>
        <w:rPr>
          <w:rStyle w:val="24"/>
          <w:rFonts w:hint="eastAsia" w:ascii="宋体" w:hAnsi="宋体" w:eastAsia="宋体" w:cs="宋体"/>
          <w:b w:val="0"/>
          <w:bCs/>
          <w:i w:val="0"/>
          <w:caps w:val="0"/>
          <w:color w:val="auto"/>
          <w:spacing w:val="0"/>
          <w:sz w:val="21"/>
          <w:szCs w:val="21"/>
          <w:highlight w:val="none"/>
        </w:rPr>
        <w:t>菜单中选择项目，申请获取</w:t>
      </w:r>
      <w:r>
        <w:rPr>
          <w:rStyle w:val="24"/>
          <w:rFonts w:hint="eastAsia" w:ascii="宋体" w:hAnsi="宋体" w:cs="宋体"/>
          <w:b w:val="0"/>
          <w:bCs/>
          <w:i w:val="0"/>
          <w:caps w:val="0"/>
          <w:color w:val="auto"/>
          <w:spacing w:val="0"/>
          <w:sz w:val="21"/>
          <w:szCs w:val="21"/>
          <w:highlight w:val="none"/>
          <w:lang w:eastAsia="zh-CN"/>
        </w:rPr>
        <w:t>采购文件</w:t>
      </w:r>
      <w:r>
        <w:rPr>
          <w:rStyle w:val="24"/>
          <w:rFonts w:hint="eastAsia" w:ascii="宋体" w:hAnsi="宋体" w:eastAsia="宋体" w:cs="宋体"/>
          <w:b w:val="0"/>
          <w:bCs/>
          <w:i w:val="0"/>
          <w:caps w:val="0"/>
          <w:color w:val="auto"/>
          <w:spacing w:val="0"/>
          <w:sz w:val="21"/>
          <w:szCs w:val="21"/>
          <w:highlight w:val="none"/>
        </w:rPr>
        <w:t>，本项目</w:t>
      </w:r>
      <w:r>
        <w:rPr>
          <w:rStyle w:val="24"/>
          <w:rFonts w:hint="eastAsia" w:ascii="宋体" w:hAnsi="宋体" w:cs="宋体"/>
          <w:b w:val="0"/>
          <w:bCs/>
          <w:i w:val="0"/>
          <w:caps w:val="0"/>
          <w:color w:val="auto"/>
          <w:spacing w:val="0"/>
          <w:sz w:val="21"/>
          <w:szCs w:val="21"/>
          <w:highlight w:val="none"/>
          <w:lang w:eastAsia="zh-CN"/>
        </w:rPr>
        <w:t>采购文件</w:t>
      </w:r>
      <w:r>
        <w:rPr>
          <w:rStyle w:val="24"/>
          <w:rFonts w:hint="eastAsia" w:ascii="宋体" w:hAnsi="宋体" w:eastAsia="宋体" w:cs="宋体"/>
          <w:b w:val="0"/>
          <w:bCs/>
          <w:i w:val="0"/>
          <w:caps w:val="0"/>
          <w:color w:val="auto"/>
          <w:spacing w:val="0"/>
          <w:sz w:val="21"/>
          <w:szCs w:val="21"/>
          <w:highlight w:val="none"/>
        </w:rPr>
        <w:t>不收取工本费；</w:t>
      </w:r>
      <w:r>
        <w:rPr>
          <w:rStyle w:val="24"/>
          <w:rFonts w:hint="eastAsia" w:ascii="宋体" w:hAnsi="宋体" w:eastAsia="宋体" w:cs="宋体"/>
          <w:b w:val="0"/>
          <w:bCs/>
          <w:i w:val="0"/>
          <w:caps w:val="0"/>
          <w:color w:val="auto"/>
          <w:spacing w:val="0"/>
          <w:sz w:val="21"/>
          <w:szCs w:val="21"/>
          <w:highlight w:val="none"/>
          <w:u w:val="single"/>
        </w:rPr>
        <w:t>仅需浏览</w:t>
      </w:r>
      <w:r>
        <w:rPr>
          <w:rStyle w:val="24"/>
          <w:rFonts w:hint="eastAsia" w:ascii="宋体" w:hAnsi="宋体" w:cs="宋体"/>
          <w:b w:val="0"/>
          <w:bCs/>
          <w:i w:val="0"/>
          <w:caps w:val="0"/>
          <w:color w:val="auto"/>
          <w:spacing w:val="0"/>
          <w:sz w:val="21"/>
          <w:szCs w:val="21"/>
          <w:highlight w:val="none"/>
          <w:u w:val="single"/>
          <w:lang w:eastAsia="zh-CN"/>
        </w:rPr>
        <w:t>采购文件</w:t>
      </w:r>
      <w:r>
        <w:rPr>
          <w:rStyle w:val="24"/>
          <w:rFonts w:hint="eastAsia" w:ascii="宋体" w:hAnsi="宋体" w:eastAsia="宋体" w:cs="宋体"/>
          <w:b w:val="0"/>
          <w:bCs/>
          <w:i w:val="0"/>
          <w:caps w:val="0"/>
          <w:color w:val="auto"/>
          <w:spacing w:val="0"/>
          <w:sz w:val="21"/>
          <w:szCs w:val="21"/>
          <w:highlight w:val="none"/>
          <w:u w:val="single"/>
        </w:rPr>
        <w:t>的供应</w:t>
      </w:r>
      <w:r>
        <w:rPr>
          <w:rStyle w:val="24"/>
          <w:rFonts w:hint="eastAsia" w:ascii="宋体" w:hAnsi="宋体" w:eastAsia="宋体" w:cs="宋体"/>
          <w:b w:val="0"/>
          <w:bCs/>
          <w:i w:val="0"/>
          <w:caps w:val="0"/>
          <w:color w:val="auto"/>
          <w:spacing w:val="0"/>
          <w:sz w:val="21"/>
          <w:szCs w:val="21"/>
          <w:highlight w:val="none"/>
          <w:u w:val="single"/>
        </w:rPr>
        <w:t>商可点击“游客，浏览</w:t>
      </w:r>
      <w:r>
        <w:rPr>
          <w:rStyle w:val="24"/>
          <w:rFonts w:hint="eastAsia" w:ascii="宋体" w:hAnsi="宋体" w:cs="宋体"/>
          <w:b w:val="0"/>
          <w:bCs/>
          <w:i w:val="0"/>
          <w:caps w:val="0"/>
          <w:color w:val="auto"/>
          <w:spacing w:val="0"/>
          <w:sz w:val="21"/>
          <w:szCs w:val="21"/>
          <w:highlight w:val="none"/>
          <w:u w:val="single"/>
          <w:lang w:eastAsia="zh-CN"/>
        </w:rPr>
        <w:t>采购文件</w:t>
      </w:r>
      <w:r>
        <w:rPr>
          <w:rStyle w:val="24"/>
          <w:rFonts w:hint="eastAsia" w:ascii="宋体" w:hAnsi="宋体" w:eastAsia="宋体" w:cs="宋体"/>
          <w:b w:val="0"/>
          <w:bCs/>
          <w:i w:val="0"/>
          <w:caps w:val="0"/>
          <w:color w:val="auto"/>
          <w:spacing w:val="0"/>
          <w:sz w:val="21"/>
          <w:szCs w:val="21"/>
          <w:highlight w:val="none"/>
          <w:u w:val="single"/>
        </w:rPr>
        <w:t>”直接下载</w:t>
      </w:r>
      <w:r>
        <w:rPr>
          <w:rStyle w:val="24"/>
          <w:rFonts w:hint="eastAsia" w:ascii="宋体" w:hAnsi="宋体" w:cs="宋体"/>
          <w:b w:val="0"/>
          <w:bCs/>
          <w:i w:val="0"/>
          <w:caps w:val="0"/>
          <w:color w:val="auto"/>
          <w:spacing w:val="0"/>
          <w:sz w:val="21"/>
          <w:szCs w:val="21"/>
          <w:highlight w:val="none"/>
          <w:u w:val="single"/>
          <w:lang w:eastAsia="zh-CN"/>
        </w:rPr>
        <w:t>采购文件</w:t>
      </w:r>
      <w:r>
        <w:rPr>
          <w:rStyle w:val="24"/>
          <w:rFonts w:hint="eastAsia" w:ascii="宋体" w:hAnsi="宋体" w:eastAsia="宋体" w:cs="宋体"/>
          <w:b w:val="0"/>
          <w:bCs/>
          <w:i w:val="0"/>
          <w:caps w:val="0"/>
          <w:color w:val="auto"/>
          <w:spacing w:val="0"/>
          <w:sz w:val="21"/>
          <w:szCs w:val="21"/>
          <w:highlight w:val="none"/>
          <w:u w:val="single"/>
        </w:rPr>
        <w:t>浏览</w:t>
      </w:r>
      <w:r>
        <w:rPr>
          <w:rStyle w:val="24"/>
          <w:rFonts w:hint="eastAsia" w:ascii="宋体" w:hAnsi="宋体" w:eastAsia="宋体" w:cs="宋体"/>
          <w:b w:val="0"/>
          <w:bCs/>
          <w:i w:val="0"/>
          <w:caps w:val="0"/>
          <w:color w:val="auto"/>
          <w:spacing w:val="0"/>
          <w:sz w:val="21"/>
          <w:szCs w:val="21"/>
          <w:highlight w:val="none"/>
        </w:rPr>
        <w:t>）；</w:t>
      </w:r>
    </w:p>
    <w:p w14:paraId="77478426">
      <w:pPr>
        <w:spacing w:line="360" w:lineRule="auto"/>
        <w:ind w:firstLine="422" w:firstLineChars="200"/>
        <w:rPr>
          <w:rFonts w:hint="eastAsia" w:ascii="宋体" w:hAnsi="宋体" w:eastAsia="宋体" w:cs="宋体"/>
          <w:color w:val="auto"/>
          <w:sz w:val="21"/>
          <w:szCs w:val="21"/>
          <w:highlight w:val="none"/>
          <w:lang w:eastAsia="zh-CN"/>
        </w:rPr>
      </w:pPr>
      <w:r>
        <w:rPr>
          <w:rStyle w:val="24"/>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6D86FD48">
      <w:pPr>
        <w:keepNext w:val="0"/>
        <w:keepLines w:val="0"/>
        <w:pageBreakBefore w:val="0"/>
        <w:numPr>
          <w:ilvl w:val="0"/>
          <w:numId w:val="0"/>
        </w:numPr>
        <w:kinsoku/>
        <w:topLinePunct w:val="0"/>
        <w:bidi w:val="0"/>
        <w:spacing w:beforeAutospacing="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4"/>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14:paraId="54045900">
      <w:pPr>
        <w:pStyle w:val="17"/>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Fonts w:hint="eastAsia" w:ascii="宋体" w:hAnsi="宋体" w:eastAsia="宋体" w:cs="宋体"/>
          <w:b w:val="0"/>
          <w:bCs w:val="0"/>
          <w:i w:val="0"/>
          <w:caps w:val="0"/>
          <w:color w:val="auto"/>
          <w:spacing w:val="0"/>
          <w:sz w:val="21"/>
          <w:szCs w:val="21"/>
          <w:highlight w:val="none"/>
        </w:rPr>
      </w:pPr>
      <w:r>
        <w:rPr>
          <w:rStyle w:val="24"/>
          <w:rFonts w:hint="eastAsia" w:ascii="宋体" w:hAnsi="宋体" w:eastAsia="宋体" w:cs="宋体"/>
          <w:b w:val="0"/>
          <w:bCs w:val="0"/>
          <w:i w:val="0"/>
          <w:caps w:val="0"/>
          <w:color w:val="auto"/>
          <w:spacing w:val="0"/>
          <w:sz w:val="21"/>
          <w:szCs w:val="21"/>
          <w:highlight w:val="none"/>
          <w:lang w:val="en-US" w:eastAsia="zh-CN"/>
        </w:rPr>
        <w:t>5</w:t>
      </w:r>
      <w:r>
        <w:rPr>
          <w:rStyle w:val="24"/>
          <w:rFonts w:hint="eastAsia" w:ascii="宋体" w:hAnsi="宋体" w:eastAsia="宋体" w:cs="宋体"/>
          <w:b w:val="0"/>
          <w:bCs w:val="0"/>
          <w:i w:val="0"/>
          <w:caps w:val="0"/>
          <w:color w:val="auto"/>
          <w:spacing w:val="0"/>
          <w:sz w:val="21"/>
          <w:szCs w:val="21"/>
          <w:highlight w:val="none"/>
        </w:rPr>
        <w:t>、供应商获取</w:t>
      </w:r>
      <w:r>
        <w:rPr>
          <w:rStyle w:val="24"/>
          <w:rFonts w:hint="eastAsia" w:cs="宋体"/>
          <w:b w:val="0"/>
          <w:bCs w:val="0"/>
          <w:i w:val="0"/>
          <w:caps w:val="0"/>
          <w:color w:val="auto"/>
          <w:spacing w:val="0"/>
          <w:sz w:val="21"/>
          <w:szCs w:val="21"/>
          <w:highlight w:val="none"/>
          <w:lang w:eastAsia="zh-CN"/>
        </w:rPr>
        <w:t>采购文件</w:t>
      </w:r>
      <w:r>
        <w:rPr>
          <w:rStyle w:val="24"/>
          <w:rFonts w:hint="eastAsia" w:ascii="宋体" w:hAnsi="宋体" w:eastAsia="宋体" w:cs="宋体"/>
          <w:b w:val="0"/>
          <w:bCs w:val="0"/>
          <w:i w:val="0"/>
          <w:caps w:val="0"/>
          <w:color w:val="auto"/>
          <w:spacing w:val="0"/>
          <w:sz w:val="21"/>
          <w:szCs w:val="21"/>
          <w:highlight w:val="none"/>
        </w:rPr>
        <w:t>时须提交的文件资料：无；</w:t>
      </w:r>
    </w:p>
    <w:p w14:paraId="66F88930">
      <w:pPr>
        <w:pStyle w:val="17"/>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Fonts w:hint="eastAsia" w:ascii="宋体" w:hAnsi="宋体" w:eastAsia="宋体" w:cs="宋体"/>
          <w:b w:val="0"/>
          <w:i w:val="0"/>
          <w:caps w:val="0"/>
          <w:color w:val="auto"/>
          <w:spacing w:val="0"/>
          <w:sz w:val="21"/>
          <w:szCs w:val="21"/>
          <w:highlight w:val="none"/>
        </w:rPr>
      </w:pPr>
      <w:r>
        <w:rPr>
          <w:rStyle w:val="24"/>
          <w:rFonts w:hint="eastAsia" w:ascii="宋体" w:hAnsi="宋体" w:eastAsia="宋体" w:cs="宋体"/>
          <w:i w:val="0"/>
          <w:caps w:val="0"/>
          <w:color w:val="auto"/>
          <w:spacing w:val="0"/>
          <w:sz w:val="21"/>
          <w:szCs w:val="21"/>
          <w:highlight w:val="none"/>
          <w:lang w:val="en-US" w:eastAsia="zh-CN"/>
        </w:rPr>
        <w:t>6</w:t>
      </w:r>
      <w:r>
        <w:rPr>
          <w:rStyle w:val="24"/>
          <w:rFonts w:hint="eastAsia" w:ascii="宋体" w:hAnsi="宋体" w:eastAsia="宋体" w:cs="宋体"/>
          <w:i w:val="0"/>
          <w:caps w:val="0"/>
          <w:color w:val="auto"/>
          <w:spacing w:val="0"/>
          <w:sz w:val="21"/>
          <w:szCs w:val="21"/>
          <w:highlight w:val="none"/>
        </w:rPr>
        <w:t>、提示：</w:t>
      </w:r>
      <w:r>
        <w:rPr>
          <w:rStyle w:val="24"/>
          <w:rFonts w:hint="eastAsia" w:ascii="宋体" w:hAnsi="宋体" w:eastAsia="宋体" w:cs="宋体"/>
          <w:i w:val="0"/>
          <w:caps w:val="0"/>
          <w:color w:val="auto"/>
          <w:spacing w:val="0"/>
          <w:sz w:val="21"/>
          <w:szCs w:val="21"/>
          <w:highlight w:val="none"/>
          <w:lang w:eastAsia="zh-CN"/>
        </w:rPr>
        <w:t>竞争性磋商公告</w:t>
      </w:r>
      <w:r>
        <w:rPr>
          <w:rStyle w:val="24"/>
          <w:rFonts w:hint="eastAsia" w:ascii="宋体" w:hAnsi="宋体" w:eastAsia="宋体" w:cs="宋体"/>
          <w:i w:val="0"/>
          <w:caps w:val="0"/>
          <w:color w:val="auto"/>
          <w:spacing w:val="0"/>
          <w:sz w:val="21"/>
          <w:szCs w:val="21"/>
          <w:highlight w:val="none"/>
        </w:rPr>
        <w:t>附件内的</w:t>
      </w:r>
      <w:r>
        <w:rPr>
          <w:rStyle w:val="24"/>
          <w:rFonts w:hint="eastAsia" w:cs="宋体"/>
          <w:i w:val="0"/>
          <w:caps w:val="0"/>
          <w:color w:val="auto"/>
          <w:spacing w:val="0"/>
          <w:sz w:val="21"/>
          <w:szCs w:val="21"/>
          <w:highlight w:val="none"/>
          <w:lang w:eastAsia="zh-CN"/>
        </w:rPr>
        <w:t>采购文件</w:t>
      </w:r>
      <w:r>
        <w:rPr>
          <w:rStyle w:val="24"/>
          <w:rFonts w:hint="eastAsia" w:ascii="宋体" w:hAnsi="宋体" w:eastAsia="宋体" w:cs="宋体"/>
          <w:i w:val="0"/>
          <w:caps w:val="0"/>
          <w:color w:val="auto"/>
          <w:spacing w:val="0"/>
          <w:sz w:val="21"/>
          <w:szCs w:val="21"/>
          <w:highlight w:val="none"/>
        </w:rPr>
        <w:t>（或采购需求）仅供阅览使用，供应商只有在“政府采购云平台”完成获取</w:t>
      </w:r>
      <w:r>
        <w:rPr>
          <w:rStyle w:val="24"/>
          <w:rFonts w:hint="eastAsia" w:cs="宋体"/>
          <w:i w:val="0"/>
          <w:caps w:val="0"/>
          <w:color w:val="auto"/>
          <w:spacing w:val="0"/>
          <w:sz w:val="21"/>
          <w:szCs w:val="21"/>
          <w:highlight w:val="none"/>
          <w:lang w:eastAsia="zh-CN"/>
        </w:rPr>
        <w:t>采购文件</w:t>
      </w:r>
      <w:r>
        <w:rPr>
          <w:rStyle w:val="24"/>
          <w:rFonts w:hint="eastAsia" w:ascii="宋体" w:hAnsi="宋体" w:eastAsia="宋体" w:cs="宋体"/>
          <w:i w:val="0"/>
          <w:caps w:val="0"/>
          <w:color w:val="auto"/>
          <w:spacing w:val="0"/>
          <w:sz w:val="21"/>
          <w:szCs w:val="21"/>
          <w:highlight w:val="none"/>
        </w:rPr>
        <w:t>申请并下载了</w:t>
      </w:r>
      <w:r>
        <w:rPr>
          <w:rStyle w:val="24"/>
          <w:rFonts w:hint="eastAsia" w:cs="宋体"/>
          <w:i w:val="0"/>
          <w:caps w:val="0"/>
          <w:color w:val="auto"/>
          <w:spacing w:val="0"/>
          <w:sz w:val="21"/>
          <w:szCs w:val="21"/>
          <w:highlight w:val="none"/>
          <w:lang w:eastAsia="zh-CN"/>
        </w:rPr>
        <w:t>采购文件</w:t>
      </w:r>
      <w:r>
        <w:rPr>
          <w:rStyle w:val="24"/>
          <w:rFonts w:hint="eastAsia" w:ascii="宋体" w:hAnsi="宋体" w:eastAsia="宋体" w:cs="宋体"/>
          <w:i w:val="0"/>
          <w:caps w:val="0"/>
          <w:color w:val="auto"/>
          <w:spacing w:val="0"/>
          <w:sz w:val="21"/>
          <w:szCs w:val="21"/>
          <w:highlight w:val="none"/>
        </w:rPr>
        <w:t>后才视作依法获取</w:t>
      </w:r>
      <w:r>
        <w:rPr>
          <w:rStyle w:val="24"/>
          <w:rFonts w:hint="eastAsia" w:cs="宋体"/>
          <w:i w:val="0"/>
          <w:caps w:val="0"/>
          <w:color w:val="auto"/>
          <w:spacing w:val="0"/>
          <w:sz w:val="21"/>
          <w:szCs w:val="21"/>
          <w:highlight w:val="none"/>
          <w:lang w:eastAsia="zh-CN"/>
        </w:rPr>
        <w:t>采购文件</w:t>
      </w:r>
      <w:r>
        <w:rPr>
          <w:rStyle w:val="24"/>
          <w:rFonts w:hint="eastAsia" w:ascii="宋体" w:hAnsi="宋体" w:eastAsia="宋体" w:cs="宋体"/>
          <w:i w:val="0"/>
          <w:caps w:val="0"/>
          <w:color w:val="auto"/>
          <w:spacing w:val="0"/>
          <w:sz w:val="21"/>
          <w:szCs w:val="21"/>
          <w:highlight w:val="none"/>
        </w:rPr>
        <w:t>（法律法规所指的供应商获取</w:t>
      </w:r>
      <w:r>
        <w:rPr>
          <w:rStyle w:val="24"/>
          <w:rFonts w:hint="eastAsia" w:cs="宋体"/>
          <w:i w:val="0"/>
          <w:caps w:val="0"/>
          <w:color w:val="auto"/>
          <w:spacing w:val="0"/>
          <w:sz w:val="21"/>
          <w:szCs w:val="21"/>
          <w:highlight w:val="none"/>
          <w:lang w:eastAsia="zh-CN"/>
        </w:rPr>
        <w:t>采购文件</w:t>
      </w:r>
      <w:r>
        <w:rPr>
          <w:rStyle w:val="24"/>
          <w:rFonts w:hint="eastAsia" w:ascii="宋体" w:hAnsi="宋体" w:eastAsia="宋体" w:cs="宋体"/>
          <w:i w:val="0"/>
          <w:caps w:val="0"/>
          <w:color w:val="auto"/>
          <w:spacing w:val="0"/>
          <w:sz w:val="21"/>
          <w:szCs w:val="21"/>
          <w:highlight w:val="none"/>
        </w:rPr>
        <w:t>时间以供应商完成获取</w:t>
      </w:r>
      <w:r>
        <w:rPr>
          <w:rStyle w:val="24"/>
          <w:rFonts w:hint="eastAsia" w:cs="宋体"/>
          <w:i w:val="0"/>
          <w:caps w:val="0"/>
          <w:color w:val="auto"/>
          <w:spacing w:val="0"/>
          <w:sz w:val="21"/>
          <w:szCs w:val="21"/>
          <w:highlight w:val="none"/>
          <w:lang w:eastAsia="zh-CN"/>
        </w:rPr>
        <w:t>采购文件</w:t>
      </w:r>
      <w:r>
        <w:rPr>
          <w:rStyle w:val="24"/>
          <w:rFonts w:hint="eastAsia" w:ascii="宋体" w:hAnsi="宋体" w:eastAsia="宋体" w:cs="宋体"/>
          <w:i w:val="0"/>
          <w:caps w:val="0"/>
          <w:color w:val="auto"/>
          <w:spacing w:val="0"/>
          <w:sz w:val="21"/>
          <w:szCs w:val="21"/>
          <w:highlight w:val="none"/>
        </w:rPr>
        <w:t>申请后下载</w:t>
      </w:r>
      <w:r>
        <w:rPr>
          <w:rStyle w:val="24"/>
          <w:rFonts w:hint="eastAsia" w:cs="宋体"/>
          <w:i w:val="0"/>
          <w:caps w:val="0"/>
          <w:color w:val="auto"/>
          <w:spacing w:val="0"/>
          <w:sz w:val="21"/>
          <w:szCs w:val="21"/>
          <w:highlight w:val="none"/>
          <w:lang w:eastAsia="zh-CN"/>
        </w:rPr>
        <w:t>采购文件</w:t>
      </w:r>
      <w:r>
        <w:rPr>
          <w:rStyle w:val="24"/>
          <w:rFonts w:hint="eastAsia" w:ascii="宋体" w:hAnsi="宋体" w:eastAsia="宋体" w:cs="宋体"/>
          <w:i w:val="0"/>
          <w:caps w:val="0"/>
          <w:color w:val="auto"/>
          <w:spacing w:val="0"/>
          <w:sz w:val="21"/>
          <w:szCs w:val="21"/>
          <w:highlight w:val="none"/>
        </w:rPr>
        <w:t>的时间为准）。</w:t>
      </w:r>
    </w:p>
    <w:p w14:paraId="5B02E41E">
      <w:pPr>
        <w:pStyle w:val="17"/>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Style w:val="24"/>
          <w:rFonts w:hint="eastAsia" w:ascii="宋体" w:hAnsi="宋体" w:eastAsia="宋体" w:cs="宋体"/>
          <w:i w:val="0"/>
          <w:caps w:val="0"/>
          <w:color w:val="auto"/>
          <w:spacing w:val="0"/>
          <w:sz w:val="21"/>
          <w:szCs w:val="21"/>
          <w:highlight w:val="none"/>
        </w:rPr>
      </w:pPr>
      <w:r>
        <w:rPr>
          <w:rStyle w:val="24"/>
          <w:rFonts w:hint="eastAsia" w:ascii="宋体" w:hAnsi="宋体" w:eastAsia="宋体" w:cs="宋体"/>
          <w:i w:val="0"/>
          <w:caps w:val="0"/>
          <w:color w:val="auto"/>
          <w:spacing w:val="0"/>
          <w:sz w:val="21"/>
          <w:szCs w:val="21"/>
          <w:highlight w:val="none"/>
        </w:rPr>
        <w:t>注：请供应商按上述要求获取</w:t>
      </w:r>
      <w:r>
        <w:rPr>
          <w:rStyle w:val="24"/>
          <w:rFonts w:hint="eastAsia" w:cs="宋体"/>
          <w:i w:val="0"/>
          <w:caps w:val="0"/>
          <w:color w:val="auto"/>
          <w:spacing w:val="0"/>
          <w:sz w:val="21"/>
          <w:szCs w:val="21"/>
          <w:highlight w:val="none"/>
          <w:lang w:eastAsia="zh-CN"/>
        </w:rPr>
        <w:t>采购文件</w:t>
      </w:r>
      <w:r>
        <w:rPr>
          <w:rStyle w:val="24"/>
          <w:rFonts w:hint="eastAsia" w:ascii="宋体" w:hAnsi="宋体" w:eastAsia="宋体" w:cs="宋体"/>
          <w:i w:val="0"/>
          <w:caps w:val="0"/>
          <w:color w:val="auto"/>
          <w:spacing w:val="0"/>
          <w:sz w:val="21"/>
          <w:szCs w:val="21"/>
          <w:highlight w:val="none"/>
        </w:rPr>
        <w:t>，如未在“</w:t>
      </w:r>
      <w:r>
        <w:rPr>
          <w:rStyle w:val="24"/>
          <w:rFonts w:hint="eastAsia" w:ascii="宋体" w:hAnsi="宋体" w:eastAsia="宋体" w:cs="宋体"/>
          <w:i w:val="0"/>
          <w:caps w:val="0"/>
          <w:color w:val="auto"/>
          <w:spacing w:val="0"/>
          <w:sz w:val="21"/>
          <w:szCs w:val="21"/>
          <w:highlight w:val="none"/>
          <w:lang w:val="en-US" w:eastAsia="zh-CN"/>
        </w:rPr>
        <w:t>政府采购云平台</w:t>
      </w:r>
      <w:r>
        <w:rPr>
          <w:rStyle w:val="24"/>
          <w:rFonts w:hint="eastAsia" w:ascii="宋体" w:hAnsi="宋体" w:eastAsia="宋体" w:cs="宋体"/>
          <w:i w:val="0"/>
          <w:caps w:val="0"/>
          <w:color w:val="auto"/>
          <w:spacing w:val="0"/>
          <w:sz w:val="21"/>
          <w:szCs w:val="21"/>
          <w:highlight w:val="none"/>
        </w:rPr>
        <w:t>”系统内完成相关流程，引起的</w:t>
      </w:r>
      <w:r>
        <w:rPr>
          <w:rStyle w:val="24"/>
          <w:rFonts w:hint="eastAsia" w:ascii="宋体" w:hAnsi="宋体" w:eastAsia="宋体" w:cs="宋体"/>
          <w:i w:val="0"/>
          <w:caps w:val="0"/>
          <w:color w:val="auto"/>
          <w:spacing w:val="0"/>
          <w:sz w:val="21"/>
          <w:szCs w:val="21"/>
          <w:highlight w:val="none"/>
          <w:lang w:val="en-US" w:eastAsia="zh-CN"/>
        </w:rPr>
        <w:t>投标</w:t>
      </w:r>
      <w:r>
        <w:rPr>
          <w:rStyle w:val="24"/>
          <w:rFonts w:hint="eastAsia" w:ascii="宋体" w:hAnsi="宋体" w:eastAsia="宋体" w:cs="宋体"/>
          <w:i w:val="0"/>
          <w:caps w:val="0"/>
          <w:color w:val="auto"/>
          <w:spacing w:val="0"/>
          <w:sz w:val="21"/>
          <w:szCs w:val="21"/>
          <w:highlight w:val="none"/>
        </w:rPr>
        <w:t>无效责任自负。</w:t>
      </w:r>
    </w:p>
    <w:p w14:paraId="427CEA8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00DD0BB9">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543AC475">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w:t>
      </w:r>
      <w:r>
        <w:rPr>
          <w:rFonts w:hint="eastAsia" w:ascii="宋体" w:hAnsi="宋体" w:eastAsia="宋体" w:cs="宋体"/>
          <w:b/>
          <w:bCs/>
          <w:color w:val="auto"/>
          <w:sz w:val="21"/>
          <w:szCs w:val="21"/>
          <w:highlight w:val="none"/>
          <w:lang w:eastAsia="zh-CN"/>
        </w:rPr>
        <w:t>响应文件递交</w:t>
      </w:r>
      <w:r>
        <w:rPr>
          <w:rFonts w:hint="eastAsia" w:ascii="宋体" w:hAnsi="宋体" w:eastAsia="宋体" w:cs="宋体"/>
          <w:b/>
          <w:bCs/>
          <w:color w:val="auto"/>
          <w:sz w:val="21"/>
          <w:szCs w:val="21"/>
          <w:highlight w:val="none"/>
        </w:rPr>
        <w:t>截止</w:t>
      </w:r>
      <w:r>
        <w:rPr>
          <w:rFonts w:hint="eastAsia" w:ascii="宋体" w:hAnsi="宋体" w:eastAsia="宋体" w:cs="宋体"/>
          <w:b/>
          <w:bCs/>
          <w:color w:val="auto"/>
          <w:sz w:val="21"/>
          <w:szCs w:val="21"/>
          <w:highlight w:val="none"/>
          <w:lang w:eastAsia="zh-CN"/>
        </w:rPr>
        <w:t>时间</w:t>
      </w:r>
      <w:r>
        <w:rPr>
          <w:rFonts w:hint="eastAsia" w:ascii="宋体" w:hAnsi="宋体" w:eastAsia="宋体" w:cs="宋体"/>
          <w:b/>
          <w:bCs/>
          <w:color w:val="auto"/>
          <w:sz w:val="21"/>
          <w:szCs w:val="21"/>
          <w:highlight w:val="none"/>
        </w:rPr>
        <w:t>及</w:t>
      </w:r>
      <w:r>
        <w:rPr>
          <w:rFonts w:hint="eastAsia" w:ascii="宋体" w:hAnsi="宋体" w:eastAsia="宋体" w:cs="宋体"/>
          <w:b/>
          <w:bCs/>
          <w:color w:val="auto"/>
          <w:sz w:val="21"/>
          <w:szCs w:val="21"/>
          <w:highlight w:val="none"/>
          <w:lang w:eastAsia="zh-CN"/>
        </w:rPr>
        <w:t>磋商开始</w:t>
      </w:r>
      <w:r>
        <w:rPr>
          <w:rFonts w:hint="eastAsia" w:ascii="宋体" w:hAnsi="宋体" w:eastAsia="宋体" w:cs="宋体"/>
          <w:b/>
          <w:bCs/>
          <w:color w:val="auto"/>
          <w:sz w:val="21"/>
          <w:szCs w:val="21"/>
          <w:highlight w:val="none"/>
        </w:rPr>
        <w:t>时间、地点：</w:t>
      </w:r>
    </w:p>
    <w:p w14:paraId="47564C03">
      <w:pPr>
        <w:pStyle w:val="53"/>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递交</w:t>
      </w:r>
      <w:r>
        <w:rPr>
          <w:rFonts w:hint="eastAsia" w:ascii="宋体" w:hAnsi="宋体" w:eastAsia="宋体" w:cs="宋体"/>
          <w:b/>
          <w:bCs/>
          <w:color w:val="auto"/>
          <w:sz w:val="21"/>
          <w:szCs w:val="21"/>
          <w:highlight w:val="none"/>
          <w:lang w:val="en-US" w:eastAsia="zh-CN"/>
        </w:rPr>
        <w:t>磋商</w:t>
      </w:r>
      <w:r>
        <w:rPr>
          <w:rFonts w:hint="eastAsia" w:ascii="宋体" w:hAnsi="宋体" w:cs="宋体"/>
          <w:b/>
          <w:bCs/>
          <w:color w:val="auto"/>
          <w:sz w:val="21"/>
          <w:szCs w:val="21"/>
          <w:highlight w:val="none"/>
          <w:lang w:val="en-US" w:eastAsia="zh-CN"/>
        </w:rPr>
        <w:t>响应文件</w:t>
      </w:r>
      <w:r>
        <w:rPr>
          <w:rFonts w:hint="eastAsia" w:ascii="宋体" w:hAnsi="宋体" w:eastAsia="宋体" w:cs="宋体"/>
          <w:b/>
          <w:bCs/>
          <w:color w:val="auto"/>
          <w:sz w:val="21"/>
          <w:szCs w:val="21"/>
          <w:highlight w:val="none"/>
        </w:rPr>
        <w:t>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2024年月日</w:t>
      </w:r>
      <w:r>
        <w:rPr>
          <w:rFonts w:hint="eastAsia" w:ascii="宋体" w:hAnsi="宋体" w:eastAsia="宋体" w:cs="宋体"/>
          <w:color w:val="auto"/>
          <w:sz w:val="21"/>
          <w:szCs w:val="21"/>
          <w:highlight w:val="none"/>
          <w:lang w:eastAsia="zh-CN"/>
        </w:rPr>
        <w:t xml:space="preserve">14:00整，地点：通过“政府采购云平台（www.zcygov.cn）”实行在线投标响应   </w:t>
      </w:r>
    </w:p>
    <w:p w14:paraId="5553A1F1">
      <w:pPr>
        <w:pStyle w:val="53"/>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2024年月日</w:t>
      </w:r>
      <w:r>
        <w:rPr>
          <w:rFonts w:hint="eastAsia" w:ascii="宋体" w:hAnsi="宋体" w:eastAsia="宋体" w:cs="宋体"/>
          <w:color w:val="auto"/>
          <w:sz w:val="21"/>
          <w:szCs w:val="21"/>
          <w:highlight w:val="none"/>
          <w:lang w:eastAsia="zh-CN"/>
        </w:rPr>
        <w:t>14:00整，地点：通过“政府采购云平台（www.zcygov.cn）”实行在线投标响应</w:t>
      </w:r>
    </w:p>
    <w:p w14:paraId="2D514735">
      <w:pPr>
        <w:pStyle w:val="53"/>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2024年月日</w:t>
      </w:r>
      <w:r>
        <w:rPr>
          <w:rFonts w:hint="eastAsia" w:ascii="宋体" w:hAnsi="宋体" w:eastAsia="宋体" w:cs="宋体"/>
          <w:color w:val="auto"/>
          <w:sz w:val="21"/>
          <w:szCs w:val="21"/>
          <w:highlight w:val="none"/>
          <w:lang w:eastAsia="zh-CN"/>
        </w:rPr>
        <w:t>14:30整</w:t>
      </w:r>
    </w:p>
    <w:p w14:paraId="4F1F0CFA">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14:paraId="591268C9">
      <w:pPr>
        <w:pStyle w:val="9"/>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1、本项目通过“政府采购云平台（www.zcygov.cn）”实行在线投标响应（电子投标），供应商应先安装“政采云电子投标客户端”，并按照本</w:t>
      </w:r>
      <w:r>
        <w:rPr>
          <w:rFonts w:hint="eastAsia" w:hAnsi="宋体" w:cs="宋体"/>
          <w:b/>
          <w:bCs/>
          <w:color w:val="auto"/>
          <w:kern w:val="0"/>
          <w:sz w:val="21"/>
          <w:szCs w:val="21"/>
          <w:highlight w:val="none"/>
          <w:lang w:val="en-US" w:eastAsia="zh-CN" w:bidi="ar-SA"/>
        </w:rPr>
        <w:t>采购文件</w:t>
      </w:r>
      <w:r>
        <w:rPr>
          <w:rFonts w:hint="eastAsia" w:ascii="宋体" w:hAnsi="宋体" w:eastAsia="宋体" w:cs="宋体"/>
          <w:b/>
          <w:bCs/>
          <w:color w:val="auto"/>
          <w:kern w:val="0"/>
          <w:sz w:val="21"/>
          <w:szCs w:val="21"/>
          <w:highlight w:val="none"/>
          <w:lang w:val="en-US" w:eastAsia="zh-CN" w:bidi="ar-SA"/>
        </w:rPr>
        <w:t>和“政府采购云平台”的要求，通过“政采云电子投标客户端”编制并加密磋商响应文件。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供应商未按规定加密的磋商响应文件，“政府采购云平台”将予以拒收。</w:t>
      </w:r>
    </w:p>
    <w:p w14:paraId="77E48234">
      <w:pPr>
        <w:pStyle w:val="9"/>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58EA6F80">
      <w:pPr>
        <w:pStyle w:val="53"/>
        <w:keepNext w:val="0"/>
        <w:keepLines w:val="0"/>
        <w:pageBreakBefore w:val="0"/>
        <w:kinsoku/>
        <w:topLinePunct w:val="0"/>
        <w:bidi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磋商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14:paraId="1756AB0B">
      <w:pPr>
        <w:pStyle w:val="9"/>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供应商通过政府采购云平台电子投标工具制作磋商响应文件，电子投标工具请供应商自行前往浙江省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08FE6907">
      <w:pPr>
        <w:pStyle w:val="9"/>
        <w:keepNext w:val="0"/>
        <w:keepLines w:val="0"/>
        <w:pageBreakBefore w:val="0"/>
        <w:kinsoku/>
        <w:topLinePunct w:val="0"/>
        <w:bidi w:val="0"/>
        <w:adjustRightInd w:val="0"/>
        <w:snapToGrid w:val="0"/>
        <w:spacing w:beforeAutospacing="0" w:afterAutospacing="0" w:line="360"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lNdQ8Na?keyword=%E6%8A%95%E6%A0%87。</w:t>
      </w:r>
    </w:p>
    <w:p w14:paraId="3B5A2FC6">
      <w:pPr>
        <w:pStyle w:val="9"/>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▲4、投标供应商应当在磋商截止时间前，将生成的“电子加密磋商响应文件”上传递交至“政府采购云平台”。磋商截止时间前可以补充、修改或者撤回电子磋商响应文件。补充或者修改电子</w:t>
      </w:r>
      <w:r>
        <w:rPr>
          <w:rFonts w:hint="eastAsia" w:ascii="宋体" w:hAnsi="宋体" w:eastAsia="宋体" w:cs="宋体"/>
          <w:b/>
          <w:bCs/>
          <w:color w:val="auto"/>
          <w:kern w:val="0"/>
          <w:sz w:val="21"/>
          <w:szCs w:val="21"/>
          <w:highlight w:val="none"/>
          <w:lang w:val="en-US" w:eastAsia="zh-CN" w:bidi="ar-SA"/>
        </w:rPr>
        <w:t>磋商响应文件的，应当先行撤回原文件，补充、修改后重新传输递交。磋商截止时间前未完成传输的，视为撤回磋商响应文件。</w:t>
      </w:r>
    </w:p>
    <w:p w14:paraId="56BD55DD">
      <w:pPr>
        <w:pStyle w:val="9"/>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磋商响应文件（不强制要求，未递交备份磋商响应文件的风险由供应商自行承担）。备份磋商响应文件应当在磋商截止时间前送达并按要求密封</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highlight w:val="none"/>
        </w:rPr>
        <w:t>备份磋商响应文件在密封袋的封口处应有磋商供应商公章或磋商授权委托代理人签字。封皮上写明项目编号、标段、招标项目名称、供应商名称，并注明“</w:t>
      </w:r>
      <w:r>
        <w:rPr>
          <w:rFonts w:hint="eastAsia" w:ascii="宋体" w:hAnsi="宋体" w:eastAsia="宋体" w:cs="宋体"/>
          <w:b/>
          <w:bCs/>
          <w:color w:val="auto"/>
          <w:kern w:val="0"/>
          <w:highlight w:val="none"/>
          <w:lang w:val="en-US" w:eastAsia="zh-CN"/>
        </w:rPr>
        <w:t>备份</w:t>
      </w:r>
      <w:r>
        <w:rPr>
          <w:rFonts w:hint="eastAsia" w:ascii="宋体" w:hAnsi="宋体" w:eastAsia="宋体" w:cs="宋体"/>
          <w:b/>
          <w:bCs/>
          <w:color w:val="auto"/>
          <w:kern w:val="0"/>
          <w:highlight w:val="none"/>
        </w:rPr>
        <w:t>磋商响应文件”、“磋商时启封”字样</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sz w:val="21"/>
          <w:szCs w:val="21"/>
          <w:highlight w:val="none"/>
          <w:lang w:val="en-US" w:eastAsia="zh-CN" w:bidi="ar-SA"/>
        </w:rPr>
        <w:t>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14:paraId="2D8256E4">
      <w:pPr>
        <w:pStyle w:val="9"/>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w:t>
      </w:r>
      <w:r>
        <w:rPr>
          <w:rFonts w:hint="eastAsia" w:ascii="宋体" w:hAnsi="宋体" w:eastAsia="宋体" w:cs="宋体"/>
          <w:color w:val="auto"/>
          <w:szCs w:val="21"/>
          <w:highlight w:val="none"/>
        </w:rPr>
        <w:t>▲</w:t>
      </w:r>
      <w:r>
        <w:rPr>
          <w:rFonts w:hint="eastAsia" w:ascii="宋体" w:hAnsi="宋体" w:eastAsia="宋体" w:cs="宋体"/>
          <w:b/>
          <w:bCs/>
          <w:color w:val="auto"/>
          <w:kern w:val="0"/>
          <w:sz w:val="21"/>
          <w:szCs w:val="21"/>
          <w:highlight w:val="none"/>
          <w:lang w:val="en-US" w:eastAsia="zh-CN" w:bidi="ar-SA"/>
        </w:rPr>
        <w:t>通过“政府采购云平台”上传递交的“电子加密磋商响应文件”无法按时解密，投标供应商递交了备份磋商响应文件的，以备份磋商响应文件为依据，否则视为磋商响应文件撤回。通过“政府采购云平台”上传递交的“电子加密磋商响应文件”已按时解密的，“备份磋商响应文件”自动失效。▲磋商供应商仅递交备份磋商响应文件的，投标无效。</w:t>
      </w:r>
    </w:p>
    <w:p w14:paraId="5115D2C9">
      <w:pPr>
        <w:pStyle w:val="9"/>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029A44C1">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信用信息查询渠道及截止时点、信用信息查询记录和证据留存的具体方式、信用信息的使用规则：</w:t>
      </w:r>
    </w:p>
    <w:p w14:paraId="3AAA88A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t>
      </w:r>
      <w:r>
        <w:rPr>
          <w:rFonts w:hint="eastAsia" w:ascii="宋体" w:hAnsi="宋体" w:eastAsia="宋体" w:cs="宋体"/>
          <w:color w:val="auto"/>
          <w:sz w:val="21"/>
          <w:szCs w:val="21"/>
          <w:highlight w:val="none"/>
          <w:lang w:eastAsia="zh-CN"/>
        </w:rPr>
        <w:t>www.ccgp.gov.cn）、“浙江政府采购网（www.zjzfcg.gov.cn）。</w:t>
      </w:r>
    </w:p>
    <w:p w14:paraId="39B5015F">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709D51B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在规定查询时间内打印信用信息查询记录并归入项目档案。</w:t>
      </w:r>
    </w:p>
    <w:p w14:paraId="335EA41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14:paraId="748F9EB6">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1F106563">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4806FC84">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0ED6FEB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、本项目公告期限为3个工作日。</w:t>
      </w:r>
      <w:r>
        <w:rPr>
          <w:rFonts w:hint="eastAsia" w:ascii="宋体" w:hAnsi="宋体" w:eastAsia="宋体" w:cs="宋体"/>
          <w:color w:val="auto"/>
          <w:szCs w:val="21"/>
          <w:highlight w:val="none"/>
        </w:rPr>
        <w:t>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采购文件之日或采购文件公告期限届满之日起（公告期限届满后获取采购文件的，以公告期限届满之日为准）7个工作日内，</w:t>
      </w:r>
      <w:r>
        <w:rPr>
          <w:rFonts w:hint="eastAsia" w:ascii="宋体" w:hAnsi="宋体" w:eastAsia="宋体" w:cs="宋体"/>
          <w:color w:val="auto"/>
          <w:sz w:val="21"/>
          <w:szCs w:val="21"/>
          <w:highlight w:val="none"/>
        </w:rPr>
        <w:t>以书面形式一次性向采购人和采购代理机构提出同一环节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AD806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3565E97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、请各磋商响应供应商及时办理浙江政府采购网“政府采购供应商注册”手续。</w:t>
      </w:r>
    </w:p>
    <w:p w14:paraId="75A55F28">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参与政府采购项目的注册供应商，需登录浙江政府采购网（http://zfcg.czt.zj.gov.cn）进行网上获取文件；尚未注册的供应商应当先在浙江政府采购网上申请注册，注册终审通过后再进行网上获取文件。</w:t>
      </w:r>
    </w:p>
    <w:p w14:paraId="0397694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本项目所有公告发布网站：“浙江省政府采购网”（http://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www.zjzfcg.gov.cn）。</w:t>
      </w:r>
      <w:r>
        <w:rPr>
          <w:rFonts w:hint="eastAsia" w:ascii="宋体" w:hAnsi="宋体" w:eastAsia="宋体" w:cs="宋体"/>
          <w:color w:val="auto"/>
          <w:sz w:val="21"/>
          <w:szCs w:val="21"/>
          <w:highlight w:val="none"/>
        </w:rPr>
        <w:fldChar w:fldCharType="end"/>
      </w:r>
    </w:p>
    <w:p w14:paraId="460A8D2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、采购文件发售截止时间之后有潜在供应商提出要求获取采购文件的允许其报名获取，但对采购文件有异议应按规定的时间提出，逾期提出的，采购组织机构可不予受理、答复。</w:t>
      </w:r>
    </w:p>
    <w:p w14:paraId="287423B7">
      <w:pPr>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2F3868F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4AABEA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w:t>
      </w:r>
      <w:r>
        <w:rPr>
          <w:rFonts w:hint="eastAsia" w:ascii="宋体" w:hAnsi="宋体" w:eastAsia="宋体" w:cs="宋体"/>
          <w:color w:val="auto"/>
          <w:sz w:val="21"/>
          <w:szCs w:val="21"/>
          <w:highlight w:val="none"/>
        </w:rPr>
        <w:t>购代理机构名称：</w:t>
      </w:r>
      <w:r>
        <w:rPr>
          <w:rFonts w:hint="eastAsia" w:ascii="宋体" w:hAnsi="宋体" w:eastAsia="宋体" w:cs="宋体"/>
          <w:color w:val="auto"/>
          <w:sz w:val="21"/>
          <w:szCs w:val="21"/>
          <w:highlight w:val="none"/>
          <w:lang w:eastAsia="zh-CN"/>
        </w:rPr>
        <w:t>台州永安工程咨询有限公司</w:t>
      </w:r>
    </w:p>
    <w:p w14:paraId="18FA41EC">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 xml:space="preserve"> 陈</w:t>
      </w:r>
      <w:r>
        <w:rPr>
          <w:rFonts w:hint="eastAsia" w:ascii="宋体" w:hAnsi="宋体" w:eastAsia="宋体" w:cs="宋体"/>
          <w:color w:val="auto"/>
          <w:sz w:val="21"/>
          <w:szCs w:val="21"/>
          <w:highlight w:val="none"/>
        </w:rPr>
        <w:t>女士</w:t>
      </w:r>
      <w:r>
        <w:rPr>
          <w:rFonts w:hint="eastAsia" w:ascii="宋体" w:hAnsi="宋体" w:eastAsia="宋体" w:cs="宋体"/>
          <w:color w:val="auto"/>
          <w:sz w:val="21"/>
          <w:szCs w:val="21"/>
          <w:highlight w:val="none"/>
          <w:lang w:val="en-US" w:eastAsia="zh-CN"/>
        </w:rPr>
        <w:t xml:space="preserve"> </w:t>
      </w:r>
    </w:p>
    <w:p w14:paraId="6D99498E">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0576-88882270，18267677445</w:t>
      </w:r>
    </w:p>
    <w:p w14:paraId="10D5C9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015CFC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759C99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0E8A5D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2AF5E58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392154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台州市路桥区农业农村和水利局</w:t>
      </w:r>
    </w:p>
    <w:p w14:paraId="0BA15A5C">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询问联系人：</w:t>
      </w:r>
      <w:r>
        <w:rPr>
          <w:rFonts w:hint="eastAsia" w:asciiTheme="minorEastAsia" w:hAnsiTheme="minorEastAsia" w:eastAsiaTheme="minorEastAsia" w:cstheme="minorEastAsia"/>
          <w:color w:val="auto"/>
          <w:sz w:val="21"/>
          <w:szCs w:val="21"/>
          <w:highlight w:val="none"/>
          <w:lang w:eastAsia="zh-CN"/>
        </w:rPr>
        <w:t>潘女士</w:t>
      </w:r>
      <w:r>
        <w:rPr>
          <w:rFonts w:hint="eastAsia" w:ascii="宋体" w:hAnsi="宋体" w:eastAsia="宋体" w:cs="宋体"/>
          <w:color w:val="auto"/>
          <w:szCs w:val="21"/>
          <w:highlight w:val="none"/>
        </w:rPr>
        <w:t xml:space="preserve">      询问联系电话：</w:t>
      </w:r>
      <w:r>
        <w:rPr>
          <w:rFonts w:hint="eastAsia" w:asciiTheme="minorEastAsia" w:hAnsiTheme="minorEastAsia" w:eastAsiaTheme="minorEastAsia" w:cstheme="minorEastAsia"/>
          <w:color w:val="auto"/>
          <w:sz w:val="21"/>
          <w:szCs w:val="21"/>
          <w:highlight w:val="none"/>
          <w:lang w:eastAsia="zh-CN"/>
        </w:rPr>
        <w:t>0576-82520187</w:t>
      </w:r>
    </w:p>
    <w:p w14:paraId="6A19BC92">
      <w:pPr>
        <w:spacing w:line="360" w:lineRule="auto"/>
        <w:ind w:firstLine="420" w:firstLineChars="2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质疑联系人：</w:t>
      </w:r>
      <w:r>
        <w:rPr>
          <w:rFonts w:hint="eastAsia" w:ascii="宋体" w:hAnsi="宋体" w:eastAsia="宋体" w:cs="宋体"/>
          <w:color w:val="auto"/>
          <w:szCs w:val="21"/>
          <w:highlight w:val="none"/>
          <w:lang w:val="en-US" w:eastAsia="zh-CN"/>
        </w:rPr>
        <w:t>XXXX</w:t>
      </w:r>
      <w:r>
        <w:rPr>
          <w:rFonts w:hint="eastAsia" w:ascii="宋体" w:hAnsi="宋体" w:eastAsia="宋体" w:cs="宋体"/>
          <w:color w:val="auto"/>
          <w:szCs w:val="21"/>
          <w:highlight w:val="none"/>
        </w:rPr>
        <w:t xml:space="preserve">      质疑联系电话：0576-</w:t>
      </w:r>
      <w:r>
        <w:rPr>
          <w:rFonts w:hint="eastAsia" w:ascii="宋体" w:hAnsi="宋体" w:eastAsia="宋体" w:cs="宋体"/>
          <w:color w:val="auto"/>
          <w:szCs w:val="21"/>
          <w:highlight w:val="none"/>
          <w:lang w:val="en-US" w:eastAsia="zh-CN"/>
        </w:rPr>
        <w:t>XXXXXXXX</w:t>
      </w:r>
    </w:p>
    <w:p w14:paraId="0BAC38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w:t>
      </w:r>
      <w:r>
        <w:rPr>
          <w:rFonts w:hint="eastAsia" w:asciiTheme="minorEastAsia" w:hAnsiTheme="minorEastAsia" w:eastAsiaTheme="minorEastAsia" w:cstheme="minorEastAsia"/>
          <w:color w:val="auto"/>
          <w:sz w:val="21"/>
          <w:szCs w:val="21"/>
          <w:highlight w:val="none"/>
          <w:lang w:val="en-US" w:eastAsia="zh-CN"/>
        </w:rPr>
        <w:t>台州市路桥区</w:t>
      </w:r>
      <w:r>
        <w:rPr>
          <w:rFonts w:hint="eastAsia" w:asciiTheme="minorEastAsia" w:hAnsiTheme="minorEastAsia" w:eastAsiaTheme="minorEastAsia" w:cstheme="minorEastAsia"/>
          <w:color w:val="auto"/>
          <w:sz w:val="21"/>
          <w:szCs w:val="21"/>
          <w:highlight w:val="none"/>
        </w:rPr>
        <w:t>西路桥大道539号</w:t>
      </w:r>
    </w:p>
    <w:p w14:paraId="7349D21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7B756D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w:t>
      </w:r>
      <w:r>
        <w:rPr>
          <w:rFonts w:hint="eastAsia" w:ascii="宋体" w:hAnsi="宋体" w:eastAsia="宋体" w:cs="宋体"/>
          <w:color w:val="auto"/>
          <w:sz w:val="21"/>
          <w:szCs w:val="21"/>
          <w:highlight w:val="none"/>
          <w:lang w:val="en-US" w:eastAsia="zh-CN"/>
        </w:rPr>
        <w:t>路桥</w:t>
      </w:r>
      <w:r>
        <w:rPr>
          <w:rFonts w:hint="eastAsia" w:ascii="宋体" w:hAnsi="宋体" w:eastAsia="宋体" w:cs="宋体"/>
          <w:color w:val="auto"/>
          <w:sz w:val="21"/>
          <w:szCs w:val="21"/>
          <w:highlight w:val="none"/>
        </w:rPr>
        <w:t>区财政局</w:t>
      </w:r>
    </w:p>
    <w:p w14:paraId="1B1E61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联系人：吴女士</w:t>
      </w:r>
    </w:p>
    <w:p w14:paraId="464A8C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监督投诉电话：0576-82517851</w:t>
      </w:r>
    </w:p>
    <w:p w14:paraId="1FD0D3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地址：台州市路桥区西路桥大道58号</w:t>
      </w:r>
    </w:p>
    <w:p w14:paraId="21EEA15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7C9F5392">
      <w:pPr>
        <w:jc w:val="both"/>
        <w:rPr>
          <w:rFonts w:hint="eastAsia" w:ascii="宋体" w:hAnsi="宋体" w:eastAsia="宋体" w:cs="宋体"/>
          <w:b w:val="0"/>
          <w:bCs w:val="0"/>
          <w:color w:val="auto"/>
          <w:sz w:val="32"/>
          <w:szCs w:val="32"/>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合同履</w:t>
      </w:r>
      <w:r>
        <w:rPr>
          <w:rFonts w:hint="eastAsia" w:ascii="宋体" w:hAnsi="宋体" w:eastAsia="宋体" w:cs="宋体"/>
          <w:b w:val="0"/>
          <w:bCs w:val="0"/>
          <w:color w:val="auto"/>
          <w:sz w:val="21"/>
          <w:szCs w:val="21"/>
          <w:highlight w:val="none"/>
        </w:rPr>
        <w:t>约保函联系方式</w:t>
      </w:r>
    </w:p>
    <w:tbl>
      <w:tblPr>
        <w:tblStyle w:val="22"/>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18D5B0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387F995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25E526A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5456102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5D92ECC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0A4709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8362C2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33749C8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54C01D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640770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3D0EDD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277C88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7FF6478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489BF5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468EB3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675755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5ADDF6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31FFB79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065816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3469C2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20B057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F3D0C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619E721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580675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1DAE532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486A04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B24C22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032474B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6A6EEA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13C4EF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29F34F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6B63B0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33E5D79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1EB1B7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29E6669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10D558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979B2D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75D2BFA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4123C2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097912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66E156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E51B44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3203A09B">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56C5C6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19620C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52AE662A">
      <w:pPr>
        <w:jc w:val="both"/>
        <w:rPr>
          <w:rFonts w:hint="eastAsia" w:ascii="宋体" w:hAnsi="宋体" w:eastAsia="宋体" w:cs="宋体"/>
          <w:b/>
          <w:bCs/>
          <w:color w:val="auto"/>
          <w:sz w:val="21"/>
          <w:szCs w:val="21"/>
          <w:highlight w:val="none"/>
        </w:rPr>
      </w:pPr>
    </w:p>
    <w:p w14:paraId="79C70CB0">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rPr>
        <w:t>预付款保函联系方式</w:t>
      </w:r>
    </w:p>
    <w:tbl>
      <w:tblPr>
        <w:tblStyle w:val="22"/>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636D1F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27DDE05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096B847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67F884D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1BACD63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3C1600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303E9E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36EACD2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17A027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4CAE242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41C441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455DBA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1340D5F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147CD9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062717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4BA962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3BC911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2ED485A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0B90DC0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3A89A50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149CE411">
      <w:pPr>
        <w:pStyle w:val="29"/>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银行（中标项目贷款咨询）</w:t>
      </w:r>
    </w:p>
    <w:p w14:paraId="5B9E88C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中标供应商如有融资需求，可使用以下银行的政采贷服务。</w:t>
      </w:r>
    </w:p>
    <w:tbl>
      <w:tblPr>
        <w:tblStyle w:val="21"/>
        <w:tblW w:w="94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4860"/>
        <w:gridCol w:w="1537"/>
        <w:gridCol w:w="911"/>
        <w:gridCol w:w="1433"/>
      </w:tblGrid>
      <w:tr w14:paraId="4997C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30D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48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 行 名 称</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3D8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政采贷年利率</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1A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联系人</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4F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联系电话</w:t>
            </w:r>
          </w:p>
        </w:tc>
      </w:tr>
      <w:tr w14:paraId="41209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F65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E47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中国建设银行股份有限公司台州路桥支行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DF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B2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徐剑鸿</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9A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15167671223</w:t>
            </w:r>
          </w:p>
        </w:tc>
      </w:tr>
      <w:tr w14:paraId="63B29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6F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560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中国工商银行股份有限公司台州路桥支行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FE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150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倪  昊</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A3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15968680259</w:t>
            </w:r>
          </w:p>
        </w:tc>
      </w:tr>
      <w:tr w14:paraId="3BCC2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152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CC0B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中国农业银行股份有限公司台州路桥支行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1F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2CC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丁道兵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AF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13606668045</w:t>
            </w:r>
          </w:p>
        </w:tc>
      </w:tr>
      <w:tr w14:paraId="5CEED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4C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EF6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2AA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63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  斌</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4B3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13750661198</w:t>
            </w:r>
          </w:p>
        </w:tc>
      </w:tr>
      <w:tr w14:paraId="747F7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54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C78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76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29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黄红芹</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B1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13968689000</w:t>
            </w:r>
          </w:p>
        </w:tc>
      </w:tr>
      <w:tr w14:paraId="37168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07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480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浙江泰隆商业银行股份有限公司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FC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98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冯观凤</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37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17858683988</w:t>
            </w:r>
          </w:p>
        </w:tc>
      </w:tr>
      <w:tr w14:paraId="3D469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18F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B528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中国邮政储蓄银行股份有限公司台州市路桥区支行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25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E7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沈丹华</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F8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13306566969</w:t>
            </w:r>
          </w:p>
        </w:tc>
      </w:tr>
      <w:tr w14:paraId="63DF3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7E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17B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4A1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E6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刘鲁浙</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E6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15968662111</w:t>
            </w:r>
          </w:p>
        </w:tc>
      </w:tr>
      <w:tr w14:paraId="33BF0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501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709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兴业银行股份有限公司台州路桥支行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F2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16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蒋  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6D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13586088395</w:t>
            </w:r>
          </w:p>
        </w:tc>
      </w:tr>
      <w:tr w14:paraId="65844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A7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FE3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中信银行股份有限公司台州路桥支行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23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59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曹筱婕</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D5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18105768199</w:t>
            </w:r>
          </w:p>
        </w:tc>
      </w:tr>
      <w:tr w14:paraId="19E03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29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5321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浙商银行股份有限公司台州路桥小微企业专营支行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30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D58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庄道勇</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92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13867611023</w:t>
            </w:r>
          </w:p>
        </w:tc>
      </w:tr>
      <w:tr w14:paraId="58256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5D3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389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广发银行股份有限公司台州路桥小微企业专营支行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0A4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6B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林  春</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4E2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13858687790</w:t>
            </w:r>
          </w:p>
        </w:tc>
      </w:tr>
      <w:tr w14:paraId="0123C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A5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F79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平安银行股份有限公司台州路桥小微企业专营支行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76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14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李俊丽</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A1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15906861025</w:t>
            </w:r>
          </w:p>
        </w:tc>
      </w:tr>
      <w:tr w14:paraId="0CFEC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5B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88EF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宁波银行股份有限公司台州路桥小微企业专营支行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B7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53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李诚杰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6D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13395745558</w:t>
            </w:r>
          </w:p>
        </w:tc>
      </w:tr>
      <w:tr w14:paraId="6B136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7D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162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浙江台州路桥富民村镇银行股份有限公司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7B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13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金根灵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AA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13157608788</w:t>
            </w:r>
          </w:p>
        </w:tc>
      </w:tr>
    </w:tbl>
    <w:p w14:paraId="3E039606">
      <w:pPr>
        <w:pStyle w:val="28"/>
        <w:rPr>
          <w:rFonts w:hint="eastAsia" w:ascii="宋体" w:hAnsi="宋体" w:eastAsia="宋体" w:cs="宋体"/>
          <w:color w:val="auto"/>
          <w:highlight w:val="none"/>
        </w:rPr>
      </w:pPr>
    </w:p>
    <w:p w14:paraId="7FA3A497">
      <w:pPr>
        <w:keepNext w:val="0"/>
        <w:keepLines w:val="0"/>
        <w:pageBreakBefore w:val="0"/>
        <w:kinsoku/>
        <w:topLinePunct w:val="0"/>
        <w:bidi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6"/>
          <w:rFonts w:hint="eastAsia" w:ascii="宋体" w:hAnsi="宋体" w:eastAsia="宋体" w:cs="宋体"/>
          <w:color w:val="auto"/>
          <w:szCs w:val="21"/>
          <w:highlight w:val="none"/>
        </w:rPr>
        <w:t>http://zfcg.czt.zj.gov.cn</w:t>
      </w:r>
      <w:r>
        <w:rPr>
          <w:rStyle w:val="26"/>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030D1922">
      <w:pPr>
        <w:keepNext w:val="0"/>
        <w:keepLines w:val="0"/>
        <w:pageBreakBefore w:val="0"/>
        <w:kinsoku/>
        <w:topLinePunct w:val="0"/>
        <w:bidi w:val="0"/>
        <w:spacing w:beforeAutospacing="0" w:afterAutospacing="0" w:line="360" w:lineRule="auto"/>
        <w:ind w:right="-252" w:rightChars="-12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w:t>
      </w:r>
      <w:r>
        <w:rPr>
          <w:rFonts w:hint="eastAsia" w:ascii="宋体" w:hAnsi="宋体" w:eastAsia="宋体" w:cs="宋体"/>
          <w:b/>
          <w:color w:val="auto"/>
          <w:szCs w:val="21"/>
          <w:highlight w:val="none"/>
          <w:lang w:val="en-US" w:eastAsia="zh-CN"/>
        </w:rPr>
        <w:t>响应</w:t>
      </w:r>
      <w:r>
        <w:rPr>
          <w:rFonts w:hint="eastAsia" w:ascii="宋体" w:hAnsi="宋体" w:eastAsia="宋体" w:cs="宋体"/>
          <w:b/>
          <w:color w:val="auto"/>
          <w:szCs w:val="21"/>
          <w:highlight w:val="none"/>
        </w:rPr>
        <w:t>文件。</w:t>
      </w:r>
    </w:p>
    <w:p w14:paraId="3997B3F3">
      <w:pPr>
        <w:spacing w:line="240" w:lineRule="auto"/>
        <w:ind w:firstLine="420" w:firstLineChars="200"/>
        <w:jc w:val="left"/>
        <w:rPr>
          <w:rFonts w:hint="eastAsia" w:ascii="宋体" w:hAnsi="宋体" w:eastAsia="宋体" w:cs="宋体"/>
          <w:color w:val="auto"/>
          <w:sz w:val="21"/>
          <w:szCs w:val="21"/>
          <w:highlight w:val="none"/>
        </w:rPr>
      </w:pPr>
    </w:p>
    <w:p w14:paraId="549C1605">
      <w:pPr>
        <w:spacing w:line="24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台州永安工程咨询有限公司</w:t>
      </w:r>
    </w:p>
    <w:p w14:paraId="3BD144EB">
      <w:pPr>
        <w:pStyle w:val="7"/>
        <w:jc w:val="right"/>
        <w:rPr>
          <w:rFonts w:hint="eastAsia" w:ascii="宋体" w:hAnsi="宋体" w:eastAsia="宋体" w:cs="宋体"/>
          <w:b/>
          <w:color w:val="auto"/>
          <w:sz w:val="36"/>
          <w:szCs w:val="36"/>
          <w:highlight w:val="none"/>
          <w:lang w:val="en-US" w:eastAsia="zh-CN"/>
        </w:rPr>
      </w:pPr>
      <w:r>
        <w:rPr>
          <w:rFonts w:hint="eastAsia" w:ascii="宋体" w:hAnsi="宋体" w:eastAsia="宋体" w:cs="宋体"/>
          <w:color w:val="auto"/>
          <w:sz w:val="21"/>
          <w:szCs w:val="21"/>
          <w:highlight w:val="none"/>
          <w:lang w:eastAsia="zh-CN"/>
        </w:rPr>
        <w:t>二○</w:t>
      </w:r>
      <w:r>
        <w:rPr>
          <w:rFonts w:hint="eastAsia" w:ascii="宋体" w:hAnsi="宋体" w:cs="宋体"/>
          <w:color w:val="auto"/>
          <w:sz w:val="21"/>
          <w:szCs w:val="21"/>
          <w:highlight w:val="none"/>
          <w:lang w:eastAsia="zh-CN"/>
        </w:rPr>
        <w:t>二四年十月</w:t>
      </w:r>
      <w:r>
        <w:rPr>
          <w:rFonts w:hint="eastAsia" w:ascii="宋体" w:hAnsi="宋体" w:eastAsia="宋体" w:cs="宋体"/>
          <w:b/>
          <w:color w:val="auto"/>
          <w:sz w:val="36"/>
          <w:szCs w:val="36"/>
          <w:highlight w:val="none"/>
          <w:lang w:val="en-US" w:eastAsia="zh-CN"/>
        </w:rPr>
        <w:br w:type="page"/>
      </w:r>
    </w:p>
    <w:p w14:paraId="02046006">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lang w:eastAsia="zh-CN"/>
        </w:rPr>
        <w:t>供应商须知</w:t>
      </w:r>
    </w:p>
    <w:p w14:paraId="6D0C9746">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1"/>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992"/>
        <w:gridCol w:w="6775"/>
      </w:tblGrid>
      <w:tr w14:paraId="11E2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34F73D36">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992" w:type="dxa"/>
            <w:vAlign w:val="center"/>
          </w:tcPr>
          <w:p w14:paraId="29564841">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6775" w:type="dxa"/>
            <w:vAlign w:val="center"/>
          </w:tcPr>
          <w:p w14:paraId="497B3271">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496C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7AA7E07A">
            <w:pPr>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1992" w:type="dxa"/>
            <w:vAlign w:val="center"/>
          </w:tcPr>
          <w:p w14:paraId="39DE4541">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项目说明</w:t>
            </w:r>
          </w:p>
        </w:tc>
        <w:tc>
          <w:tcPr>
            <w:tcW w:w="6775" w:type="dxa"/>
            <w:vAlign w:val="center"/>
          </w:tcPr>
          <w:p w14:paraId="39DC214E">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w:t>
            </w:r>
            <w:r>
              <w:rPr>
                <w:rFonts w:hint="eastAsia" w:ascii="宋体" w:hAnsi="宋体" w:eastAsia="宋体" w:cs="宋体"/>
                <w:color w:val="auto"/>
                <w:sz w:val="21"/>
                <w:szCs w:val="21"/>
                <w:highlight w:val="none"/>
              </w:rPr>
              <w:t>服务类</w:t>
            </w:r>
          </w:p>
          <w:p w14:paraId="5BF1193D">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w:t>
            </w:r>
            <w:r>
              <w:rPr>
                <w:rFonts w:hint="eastAsia" w:ascii="宋体" w:hAnsi="宋体" w:eastAsia="宋体" w:cs="宋体"/>
                <w:color w:val="auto"/>
                <w:sz w:val="21"/>
                <w:szCs w:val="21"/>
                <w:highlight w:val="none"/>
              </w:rPr>
              <w:t>（十六）其他未列明行业。</w:t>
            </w:r>
          </w:p>
        </w:tc>
      </w:tr>
      <w:tr w14:paraId="3B4F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5EDD1AD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992" w:type="dxa"/>
            <w:vAlign w:val="center"/>
          </w:tcPr>
          <w:p w14:paraId="67D3801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6775" w:type="dxa"/>
            <w:vAlign w:val="center"/>
          </w:tcPr>
          <w:p w14:paraId="6A51A895">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竞争性磋商公告</w:t>
            </w:r>
            <w:r>
              <w:rPr>
                <w:rFonts w:hint="eastAsia" w:ascii="宋体" w:hAnsi="宋体" w:eastAsia="宋体" w:cs="宋体"/>
                <w:color w:val="auto"/>
                <w:sz w:val="21"/>
                <w:szCs w:val="21"/>
                <w:highlight w:val="none"/>
              </w:rPr>
              <w:t>资格要求的供应商</w:t>
            </w:r>
          </w:p>
        </w:tc>
      </w:tr>
      <w:tr w14:paraId="6DA8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0177C90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992" w:type="dxa"/>
            <w:vAlign w:val="center"/>
          </w:tcPr>
          <w:p w14:paraId="2A7FDB1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6775" w:type="dxa"/>
            <w:vAlign w:val="center"/>
          </w:tcPr>
          <w:p w14:paraId="0ED05623">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099B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02A68B8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992" w:type="dxa"/>
            <w:vAlign w:val="center"/>
          </w:tcPr>
          <w:p w14:paraId="5CF1490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775" w:type="dxa"/>
            <w:vAlign w:val="center"/>
          </w:tcPr>
          <w:p w14:paraId="55DB74A6">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本项目实行电子投标，供应商应准备电子磋商响应文件、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以介质（U盘）存储的数据电文形式的备份磋商响应文件</w:t>
            </w:r>
            <w:r>
              <w:rPr>
                <w:rFonts w:hint="eastAsia" w:ascii="宋体" w:hAnsi="宋体" w:eastAsia="宋体" w:cs="宋体"/>
                <w:color w:val="auto"/>
                <w:sz w:val="21"/>
                <w:szCs w:val="21"/>
                <w:highlight w:val="none"/>
                <w:lang w:eastAsia="zh-CN"/>
              </w:rPr>
              <w:t>。</w:t>
            </w:r>
          </w:p>
          <w:p w14:paraId="17435EE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磋商响应文件。</w:t>
            </w:r>
          </w:p>
          <w:p w14:paraId="668E551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文件”同时生成的数据电文形式的电子文件（备份标书），以U盘形式提供。</w:t>
            </w:r>
          </w:p>
          <w:p w14:paraId="70EC40B7">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775F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1EBDAA2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992" w:type="dxa"/>
            <w:vAlign w:val="center"/>
          </w:tcPr>
          <w:p w14:paraId="6A6F4C6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有效期</w:t>
            </w:r>
          </w:p>
        </w:tc>
        <w:tc>
          <w:tcPr>
            <w:tcW w:w="6775" w:type="dxa"/>
            <w:vAlign w:val="center"/>
          </w:tcPr>
          <w:p w14:paraId="78C635A6">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有效期为90天，</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有效期从提交</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的截止之日起算。</w:t>
            </w:r>
          </w:p>
        </w:tc>
      </w:tr>
      <w:tr w14:paraId="5F95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22AAA4A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992" w:type="dxa"/>
            <w:vAlign w:val="center"/>
          </w:tcPr>
          <w:p w14:paraId="45321B15">
            <w:pPr>
              <w:pStyle w:val="7"/>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电子磋商响应文件的传输递交</w:t>
            </w:r>
          </w:p>
        </w:tc>
        <w:tc>
          <w:tcPr>
            <w:tcW w:w="6775" w:type="dxa"/>
            <w:vAlign w:val="center"/>
          </w:tcPr>
          <w:p w14:paraId="420A71A6">
            <w:pPr>
              <w:keepNext w:val="0"/>
              <w:keepLines w:val="0"/>
              <w:pageBreakBefore w:val="0"/>
              <w:kinsoku/>
              <w:wordWrap/>
              <w:overflowPunct/>
              <w:topLinePunct w:val="0"/>
              <w:bidi w:val="0"/>
              <w:spacing w:line="240" w:lineRule="auto"/>
              <w:outlineLvl w:val="9"/>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2024年月日</w:t>
            </w:r>
            <w:r>
              <w:rPr>
                <w:rFonts w:hint="eastAsia" w:ascii="宋体" w:hAnsi="宋体" w:eastAsia="宋体" w:cs="宋体"/>
                <w:b/>
                <w:bCs/>
                <w:color w:val="auto"/>
                <w:kern w:val="2"/>
                <w:sz w:val="21"/>
                <w:szCs w:val="21"/>
                <w:highlight w:val="none"/>
                <w:u w:val="single"/>
                <w:lang w:val="en-US" w:eastAsia="zh-CN" w:bidi="ar-SA"/>
              </w:rPr>
              <w:t>14:00整</w:t>
            </w:r>
          </w:p>
          <w:p w14:paraId="37512241">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供应商应当在磋商截止时间前完成电子磋商响应文件的传输递交，磋商截止时间前可以补充、修改或者撤回电子磋商响应文件。补充或者修改电子磋商响应文件的，应当先行撤回原文件，补充、修改后重新传输递交。磋商截止时间前未完成传输的，视为撤回磋商响应文件。磋商截止时间后寄达的磋商响应文件，将被拒收。</w:t>
            </w:r>
          </w:p>
        </w:tc>
      </w:tr>
      <w:tr w14:paraId="433B4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25FA5B7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992" w:type="dxa"/>
            <w:vAlign w:val="center"/>
          </w:tcPr>
          <w:p w14:paraId="15C05D0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备份磋商响应文件的递交</w:t>
            </w:r>
          </w:p>
        </w:tc>
        <w:tc>
          <w:tcPr>
            <w:tcW w:w="6775" w:type="dxa"/>
            <w:vAlign w:val="center"/>
          </w:tcPr>
          <w:p w14:paraId="40FD79D3">
            <w:pPr>
              <w:pStyle w:val="53"/>
              <w:keepNext w:val="0"/>
              <w:keepLines w:val="0"/>
              <w:pageBreakBefore w:val="0"/>
              <w:kinsoku/>
              <w:wordWrap/>
              <w:overflowPunct/>
              <w:topLinePunct w:val="0"/>
              <w:bidi w:val="0"/>
              <w:snapToGrid w:val="0"/>
              <w:spacing w:line="240" w:lineRule="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kern w:val="2"/>
                <w:highlight w:val="none"/>
              </w:rPr>
              <w:t>台州市椒江区中环世纪6幢801室（交通银行台州分行楼上）收件人：俞雅琪</w:t>
            </w:r>
            <w:r>
              <w:rPr>
                <w:rFonts w:hint="eastAsia" w:ascii="宋体" w:hAnsi="宋体" w:eastAsia="宋体" w:cs="宋体"/>
                <w:color w:val="auto"/>
                <w:kern w:val="2"/>
                <w:highlight w:val="none"/>
              </w:rPr>
              <w:t>；联系电话：15757696186，逾期寄达、到付或未按要求密封将被拒收。</w:t>
            </w:r>
            <w:r>
              <w:rPr>
                <w:rFonts w:hint="eastAsia" w:ascii="宋体" w:hAnsi="宋体" w:eastAsia="宋体" w:cs="宋体"/>
                <w:color w:val="auto"/>
                <w:kern w:val="2"/>
                <w:sz w:val="21"/>
                <w:szCs w:val="21"/>
                <w:highlight w:val="none"/>
                <w:lang w:val="en-US" w:eastAsia="zh-CN" w:bidi="ar-SA"/>
              </w:rPr>
              <w:t>▲如供应商未在磋商截止时间前完成电子磋商响应文件的传输递交，其备份磋商响应文件也将为无效磋商响应文件。</w:t>
            </w:r>
          </w:p>
          <w:p w14:paraId="765E4412">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2024年月日</w:t>
            </w:r>
            <w:r>
              <w:rPr>
                <w:rFonts w:hint="eastAsia" w:ascii="宋体" w:hAnsi="宋体" w:eastAsia="宋体" w:cs="宋体"/>
                <w:b/>
                <w:bCs/>
                <w:color w:val="auto"/>
                <w:kern w:val="2"/>
                <w:sz w:val="21"/>
                <w:szCs w:val="21"/>
                <w:highlight w:val="none"/>
                <w:u w:val="single"/>
                <w:lang w:val="en-US" w:eastAsia="zh-CN" w:bidi="ar-SA"/>
              </w:rPr>
              <w:t>14:00整</w:t>
            </w:r>
          </w:p>
        </w:tc>
      </w:tr>
      <w:tr w14:paraId="6E7F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3CF84A0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992" w:type="dxa"/>
            <w:vAlign w:val="center"/>
          </w:tcPr>
          <w:p w14:paraId="07040486">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6775" w:type="dxa"/>
            <w:vAlign w:val="center"/>
          </w:tcPr>
          <w:p w14:paraId="66971706">
            <w:pPr>
              <w:pStyle w:val="17"/>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4F574D34">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备份</w:t>
            </w:r>
            <w:r>
              <w:rPr>
                <w:rFonts w:hint="eastAsia" w:ascii="宋体" w:hAnsi="宋体" w:eastAsia="宋体" w:cs="宋体"/>
                <w:bCs/>
                <w:color w:val="auto"/>
                <w:sz w:val="21"/>
                <w:szCs w:val="21"/>
                <w:highlight w:val="none"/>
                <w:lang w:val="en-US" w:eastAsia="zh-CN"/>
              </w:rPr>
              <w:t>磋商响应</w:t>
            </w:r>
            <w:r>
              <w:rPr>
                <w:rFonts w:hint="eastAsia" w:ascii="宋体" w:hAnsi="宋体" w:eastAsia="宋体" w:cs="宋体"/>
                <w:bCs/>
                <w:color w:val="auto"/>
                <w:sz w:val="21"/>
                <w:szCs w:val="21"/>
                <w:highlight w:val="none"/>
              </w:rPr>
              <w:t>文件在密封袋的封口处加盖投标人公章、法定代表人代表或授权委托代理人印章或签字。封皮上写明项目编号、标项、招标项目名称、投标人名称，并注明“</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文件名称”、“开标时启封”字样</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bCs/>
                <w:color w:val="auto"/>
                <w:sz w:val="21"/>
                <w:szCs w:val="21"/>
                <w:highlight w:val="none"/>
              </w:rPr>
              <w:t>，采购代理机构对</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文件的误投和提前启封不负责任。</w:t>
            </w:r>
          </w:p>
          <w:p w14:paraId="5625AC97">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文件解密成功，则备份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文件不再拆封。</w:t>
            </w:r>
          </w:p>
        </w:tc>
      </w:tr>
      <w:tr w14:paraId="5390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19FEC49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992" w:type="dxa"/>
            <w:vAlign w:val="center"/>
          </w:tcPr>
          <w:p w14:paraId="2CC5AF8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解密时间</w:t>
            </w:r>
            <w:r>
              <w:rPr>
                <w:rFonts w:hint="eastAsia" w:ascii="宋体" w:hAnsi="宋体" w:eastAsia="宋体" w:cs="宋体"/>
                <w:color w:val="auto"/>
                <w:sz w:val="21"/>
                <w:szCs w:val="21"/>
                <w:highlight w:val="none"/>
                <w:lang w:val="en-US" w:eastAsia="zh-CN"/>
              </w:rPr>
              <w:t>及地点</w:t>
            </w:r>
          </w:p>
        </w:tc>
        <w:tc>
          <w:tcPr>
            <w:tcW w:w="6775" w:type="dxa"/>
            <w:vAlign w:val="center"/>
          </w:tcPr>
          <w:p w14:paraId="6035C438">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2024年月日</w:t>
            </w:r>
            <w:r>
              <w:rPr>
                <w:rFonts w:hint="eastAsia" w:ascii="宋体" w:hAnsi="宋体" w:eastAsia="宋体" w:cs="宋体"/>
                <w:color w:val="auto"/>
                <w:sz w:val="21"/>
                <w:szCs w:val="21"/>
                <w:highlight w:val="none"/>
                <w:lang w:eastAsia="zh-CN"/>
              </w:rPr>
              <w:t>14:00-14:30</w:t>
            </w:r>
            <w:r>
              <w:rPr>
                <w:rFonts w:hint="eastAsia" w:ascii="宋体" w:hAnsi="宋体" w:eastAsia="宋体" w:cs="宋体"/>
                <w:color w:val="auto"/>
                <w:sz w:val="21"/>
                <w:szCs w:val="21"/>
                <w:highlight w:val="none"/>
              </w:rPr>
              <w:t>（北京时间）</w:t>
            </w:r>
          </w:p>
          <w:p w14:paraId="636F6A39">
            <w:pPr>
              <w:pStyle w:val="52"/>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地点：政采云平台（www.zcygov.cn）</w:t>
            </w:r>
          </w:p>
        </w:tc>
      </w:tr>
      <w:tr w14:paraId="495C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3E79991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992" w:type="dxa"/>
            <w:vAlign w:val="center"/>
          </w:tcPr>
          <w:p w14:paraId="2CDDBE9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实质性条款</w:t>
            </w:r>
          </w:p>
        </w:tc>
        <w:tc>
          <w:tcPr>
            <w:tcW w:w="6775" w:type="dxa"/>
            <w:vAlign w:val="center"/>
          </w:tcPr>
          <w:p w14:paraId="38841433">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须作出实质性响应</w:t>
            </w:r>
            <w:r>
              <w:rPr>
                <w:rFonts w:hint="eastAsia" w:ascii="宋体" w:hAnsi="宋体" w:eastAsia="宋体" w:cs="宋体"/>
                <w:color w:val="auto"/>
                <w:sz w:val="21"/>
                <w:szCs w:val="21"/>
                <w:highlight w:val="none"/>
                <w:lang w:eastAsia="zh-CN"/>
              </w:rPr>
              <w:t>，否则终止磋商。</w:t>
            </w:r>
          </w:p>
        </w:tc>
      </w:tr>
      <w:tr w14:paraId="0293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7BD379C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11</w:t>
            </w:r>
          </w:p>
        </w:tc>
        <w:tc>
          <w:tcPr>
            <w:tcW w:w="1992" w:type="dxa"/>
            <w:vAlign w:val="center"/>
          </w:tcPr>
          <w:p w14:paraId="596F0A0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其他要求</w:t>
            </w:r>
          </w:p>
        </w:tc>
        <w:tc>
          <w:tcPr>
            <w:tcW w:w="6775" w:type="dxa"/>
            <w:vAlign w:val="center"/>
          </w:tcPr>
          <w:p w14:paraId="763BA04C">
            <w:pPr>
              <w:keepNext w:val="0"/>
              <w:keepLines w:val="0"/>
              <w:pageBreakBefore w:val="0"/>
              <w:kinsoku/>
              <w:wordWrap/>
              <w:overflowPunct/>
              <w:topLinePunct w:val="0"/>
              <w:bidi w:val="0"/>
              <w:spacing w:line="240" w:lineRule="auto"/>
              <w:jc w:val="left"/>
              <w:outlineLvl w:val="9"/>
              <w:rPr>
                <w:rFonts w:hint="eastAsia" w:ascii="宋体" w:hAnsi="宋体" w:eastAsia="宋体" w:cs="宋体"/>
                <w:color w:val="auto"/>
                <w:szCs w:val="21"/>
                <w:highlight w:val="none"/>
              </w:rPr>
            </w:pPr>
            <w:r>
              <w:rPr>
                <w:rFonts w:hint="eastAsia" w:ascii="宋体" w:hAnsi="宋体" w:eastAsia="宋体" w:cs="宋体"/>
                <w:color w:val="auto"/>
                <w:highlight w:val="none"/>
              </w:rPr>
              <w:t>1、踏勘现场时间及地点：不组织，各投标单位根据自己需要，自行前往勘察现场和周围环境，所产生的费用由投标单位自理。</w:t>
            </w:r>
            <w:r>
              <w:rPr>
                <w:rFonts w:hint="eastAsia" w:ascii="宋体" w:hAnsi="宋体" w:eastAsia="宋体" w:cs="宋体"/>
                <w:color w:val="auto"/>
                <w:szCs w:val="21"/>
                <w:highlight w:val="none"/>
              </w:rPr>
              <w:t>2、节能产品、环保产品：无要求；3、样品：无要求；4、现场演示：无要求</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5、本项目无需提供履约保证金</w:t>
            </w:r>
            <w:r>
              <w:rPr>
                <w:rFonts w:hint="eastAsia" w:ascii="宋体" w:hAnsi="宋体" w:eastAsia="宋体" w:cs="宋体"/>
                <w:color w:val="auto"/>
                <w:szCs w:val="21"/>
                <w:highlight w:val="none"/>
              </w:rPr>
              <w:t>。</w:t>
            </w:r>
          </w:p>
        </w:tc>
      </w:tr>
      <w:tr w14:paraId="2BD52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68A2362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1992" w:type="dxa"/>
            <w:vAlign w:val="center"/>
          </w:tcPr>
          <w:p w14:paraId="79E944C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中小企业扶持政策</w:t>
            </w:r>
          </w:p>
        </w:tc>
        <w:tc>
          <w:tcPr>
            <w:tcW w:w="6775" w:type="dxa"/>
            <w:vAlign w:val="center"/>
          </w:tcPr>
          <w:p w14:paraId="1F9A28B4">
            <w:pPr>
              <w:pStyle w:val="52"/>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p>
          <w:p w14:paraId="02641E39">
            <w:pPr>
              <w:pStyle w:val="52"/>
              <w:keepNext w:val="0"/>
              <w:keepLines w:val="0"/>
              <w:pageBreakBefore w:val="0"/>
              <w:numPr>
                <w:ilvl w:val="0"/>
                <w:numId w:val="0"/>
              </w:numPr>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0DE1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63E9D49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13</w:t>
            </w:r>
          </w:p>
        </w:tc>
        <w:tc>
          <w:tcPr>
            <w:tcW w:w="1992" w:type="dxa"/>
            <w:vAlign w:val="center"/>
          </w:tcPr>
          <w:p w14:paraId="00E5295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解释权</w:t>
            </w:r>
          </w:p>
        </w:tc>
        <w:tc>
          <w:tcPr>
            <w:tcW w:w="6775" w:type="dxa"/>
            <w:vAlign w:val="center"/>
          </w:tcPr>
          <w:p w14:paraId="4E68D64B">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本</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w:t>
            </w:r>
            <w:r>
              <w:rPr>
                <w:rFonts w:hint="eastAsia" w:ascii="宋体" w:hAnsi="宋体" w:eastAsia="宋体" w:cs="宋体"/>
                <w:b/>
                <w:color w:val="auto"/>
                <w:szCs w:val="21"/>
                <w:highlight w:val="none"/>
                <w:lang w:val="en-US" w:eastAsia="zh-CN"/>
              </w:rPr>
              <w:t>和采购人</w:t>
            </w:r>
          </w:p>
        </w:tc>
      </w:tr>
    </w:tbl>
    <w:p w14:paraId="3B355ADF">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p>
    <w:p w14:paraId="27931943">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47F6FA11">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3DDDF23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本磋商文件适用于本次项目的磋商、</w:t>
      </w:r>
      <w:r>
        <w:rPr>
          <w:rFonts w:hint="eastAsia" w:ascii="宋体" w:hAnsi="宋体" w:eastAsia="宋体" w:cs="宋体"/>
          <w:color w:val="auto"/>
          <w:sz w:val="21"/>
          <w:szCs w:val="21"/>
          <w:highlight w:val="none"/>
          <w:lang w:eastAsia="zh-CN"/>
        </w:rPr>
        <w:t>评审、确定成交供应商</w:t>
      </w:r>
      <w:r>
        <w:rPr>
          <w:rFonts w:hint="eastAsia" w:ascii="宋体" w:hAnsi="宋体" w:eastAsia="宋体" w:cs="宋体"/>
          <w:color w:val="auto"/>
          <w:sz w:val="21"/>
          <w:szCs w:val="21"/>
          <w:highlight w:val="none"/>
        </w:rPr>
        <w:t>、验收、合同履约、付款等行为（法律、法规另有规定的，从其规定）。</w:t>
      </w:r>
    </w:p>
    <w:p w14:paraId="6513D827">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77E65CC5">
      <w:pPr>
        <w:keepNext w:val="0"/>
        <w:keepLines w:val="0"/>
        <w:pageBreakBefore w:val="0"/>
        <w:tabs>
          <w:tab w:val="left" w:pos="0"/>
          <w:tab w:val="left" w:pos="851"/>
        </w:tabs>
        <w:kinsoku/>
        <w:wordWrap/>
        <w:overflowPunct/>
        <w:topLinePunct w:val="0"/>
        <w:autoSpaceDE w:val="0"/>
        <w:autoSpaceDN w:val="0"/>
        <w:bidi w:val="0"/>
        <w:adjustRightInd w:val="0"/>
        <w:snapToGrid w:val="0"/>
        <w:spacing w:before="0" w:after="0"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zh-CN" w:eastAsia="zh-CN" w:bidi="ar-SA"/>
        </w:rPr>
        <w:t>“采购组织机构”指采购人委托组织磋商的集中采购机构或采购代理机构。</w:t>
      </w:r>
    </w:p>
    <w:p w14:paraId="6310F974">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2、采购人：是指委托</w:t>
      </w:r>
      <w:r>
        <w:rPr>
          <w:rFonts w:hint="eastAsia" w:ascii="宋体" w:hAnsi="宋体" w:eastAsia="宋体" w:cs="宋体"/>
          <w:b w:val="0"/>
          <w:bCs w:val="0"/>
          <w:color w:val="auto"/>
          <w:kern w:val="2"/>
          <w:sz w:val="21"/>
          <w:szCs w:val="21"/>
          <w:highlight w:val="none"/>
          <w:lang w:val="zh-CN" w:eastAsia="zh-CN" w:bidi="ar-SA"/>
        </w:rPr>
        <w:t>集中采购机构或</w:t>
      </w:r>
      <w:r>
        <w:rPr>
          <w:rFonts w:hint="eastAsia" w:ascii="宋体" w:hAnsi="宋体" w:eastAsia="宋体" w:cs="宋体"/>
          <w:b w:val="0"/>
          <w:bCs w:val="0"/>
          <w:color w:val="auto"/>
          <w:kern w:val="2"/>
          <w:sz w:val="21"/>
          <w:szCs w:val="21"/>
          <w:highlight w:val="none"/>
          <w:lang w:val="en-US" w:eastAsia="zh-CN" w:bidi="ar-SA"/>
        </w:rPr>
        <w:t>采购代理机构采购本次项目的国家机关、事业单位和团体组织。</w:t>
      </w:r>
    </w:p>
    <w:p w14:paraId="37B10073">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3、磋商供应商：是指向</w:t>
      </w:r>
      <w:r>
        <w:rPr>
          <w:rFonts w:hint="eastAsia" w:ascii="宋体" w:hAnsi="宋体" w:eastAsia="宋体" w:cs="宋体"/>
          <w:b w:val="0"/>
          <w:bCs w:val="0"/>
          <w:color w:val="auto"/>
          <w:kern w:val="2"/>
          <w:sz w:val="21"/>
          <w:szCs w:val="21"/>
          <w:highlight w:val="none"/>
          <w:lang w:val="zh-CN" w:eastAsia="zh-CN" w:bidi="ar-SA"/>
        </w:rPr>
        <w:t>采购组织机构</w:t>
      </w:r>
      <w:r>
        <w:rPr>
          <w:rFonts w:hint="eastAsia" w:ascii="宋体" w:hAnsi="宋体" w:eastAsia="宋体" w:cs="宋体"/>
          <w:b w:val="0"/>
          <w:bCs w:val="0"/>
          <w:color w:val="auto"/>
          <w:kern w:val="2"/>
          <w:sz w:val="21"/>
          <w:szCs w:val="21"/>
          <w:highlight w:val="none"/>
          <w:lang w:val="en-US" w:eastAsia="zh-CN" w:bidi="ar-SA"/>
        </w:rPr>
        <w:t>提交磋商响应文件的单位或个人。</w:t>
      </w:r>
    </w:p>
    <w:p w14:paraId="7678FDC4">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4、货物：是指各种形态和种类的物品，包括原材料、燃料、设备、产品等。</w:t>
      </w:r>
    </w:p>
    <w:p w14:paraId="038D25B1">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5、服务：是指除货物和工程以外的政府采购对象，包括各类专业服务、信息网络开发服务、金融保险服务、运输服务，以及维修与维护服务等。</w:t>
      </w:r>
    </w:p>
    <w:p w14:paraId="2ABCA55E">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6、“书面形式”包括信函、传真等。</w:t>
      </w:r>
    </w:p>
    <w:p w14:paraId="79740CC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7、“▲”系指实质性要求条款。</w:t>
      </w:r>
    </w:p>
    <w:p w14:paraId="566175AC">
      <w:pPr>
        <w:keepNext w:val="0"/>
        <w:keepLines w:val="0"/>
        <w:pageBreakBefore w:val="0"/>
        <w:kinsoku/>
        <w:wordWrap/>
        <w:overflowPunct/>
        <w:topLinePunct w:val="0"/>
        <w:bidi w:val="0"/>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费用</w:t>
      </w:r>
    </w:p>
    <w:p w14:paraId="77B4D346">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不论磋商结果如何，供应商均应自行承担所有与磋商有关的全部费用（磋商文件有相关规定除外）。</w:t>
      </w:r>
    </w:p>
    <w:p w14:paraId="1A7D415F">
      <w:pPr>
        <w:keepNext w:val="0"/>
        <w:keepLines w:val="0"/>
        <w:pageBreakBefore w:val="0"/>
        <w:kinsoku/>
        <w:wordWrap/>
        <w:overflowPunct/>
        <w:topLinePunct w:val="0"/>
        <w:bidi w:val="0"/>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4EB0297A">
      <w:pPr>
        <w:pStyle w:val="9"/>
        <w:keepNext w:val="0"/>
        <w:keepLines w:val="0"/>
        <w:pageBreakBefore w:val="0"/>
        <w:kinsoku/>
        <w:wordWrap/>
        <w:overflowPunct/>
        <w:topLinePunct w:val="0"/>
        <w:bidi w:val="0"/>
        <w:snapToGrid w:val="0"/>
        <w:spacing w:line="360" w:lineRule="auto"/>
        <w:ind w:left="2" w:leftChars="1"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1、供应商磋商所使用的资格、信誉、荣誉、业绩与企业认证必须为本法人所拥有。供应商磋商所使用的采购项目实施人员必须为本法人员工。▲其中涉及资格条件的如非本法人所拥有，则投标无效。</w:t>
      </w:r>
    </w:p>
    <w:p w14:paraId="27D35EE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2、供应商所标产品除磋商文件中明确规定要求“提供官网截图或相应检测报告的证明材料”以外，所有技术参数描述均以磋商响应文件为准。</w:t>
      </w:r>
      <w:r>
        <w:rPr>
          <w:rFonts w:hint="eastAsia" w:ascii="宋体" w:hAnsi="宋体" w:eastAsia="宋体" w:cs="宋体"/>
          <w:b/>
          <w:bCs/>
          <w:color w:val="auto"/>
          <w:kern w:val="2"/>
          <w:sz w:val="21"/>
          <w:szCs w:val="21"/>
          <w:highlight w:val="none"/>
          <w:lang w:val="en-US" w:eastAsia="zh-CN" w:bidi="ar-SA"/>
        </w:rPr>
        <w:t>磋商供应商对所标产品技术参数的真实性承担法律责任。</w:t>
      </w:r>
      <w:r>
        <w:rPr>
          <w:rFonts w:hint="eastAsia" w:ascii="宋体" w:hAnsi="宋体" w:eastAsia="宋体" w:cs="宋体"/>
          <w:color w:val="auto"/>
          <w:kern w:val="2"/>
          <w:sz w:val="21"/>
          <w:szCs w:val="21"/>
          <w:highlight w:val="none"/>
          <w:lang w:val="en-US" w:eastAsia="zh-CN" w:bidi="ar-SA"/>
        </w:rPr>
        <w:t>项目磋商结束后、质疑期限内，如有质疑供应商认为成交供应商所标产品、磋商响应文件技术参数与采购需求存在重大偏离、错误、甚至造假的情况，应提供具体有效的证明材料。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auto"/>
          <w:kern w:val="2"/>
          <w:sz w:val="21"/>
          <w:szCs w:val="21"/>
          <w:highlight w:val="none"/>
          <w:lang w:val="en-US" w:eastAsia="zh-CN" w:bidi="ar-SA"/>
        </w:rPr>
        <w:tab/>
      </w:r>
    </w:p>
    <w:p w14:paraId="6227D3B1">
      <w:pPr>
        <w:pStyle w:val="54"/>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CFF11DF">
      <w:pPr>
        <w:pStyle w:val="54"/>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4、供应商不得相互串通磋商报价，不得妨碍其他供应商的公平竞争，不得损害采购人或其他供应商的合法权益，供应商不得以向采购人、磋商小组成员行贿或者采取其他不正当手段谋取成交。</w:t>
      </w:r>
    </w:p>
    <w:p w14:paraId="651FB065">
      <w:pPr>
        <w:pStyle w:val="54"/>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5、为采购项目提供整体设计、规范编制或者项目管理、监理、检测等服务的供应商，不得再参加该采购项目的其他采购活动。</w:t>
      </w:r>
    </w:p>
    <w:p w14:paraId="38CE3A6A">
      <w:pPr>
        <w:pStyle w:val="54"/>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6、磋商响应文件格式中的表格式样可以根据项目差别做适当调整,但应当保持表格样式基本形态不变。</w:t>
      </w:r>
    </w:p>
    <w:p w14:paraId="3BD664E7">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2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7、单位负责人为同一人或者存在直接控股、管理关系的不同供应商，不得参加同一合同项下的政府采购活动。</w:t>
      </w:r>
      <w:r>
        <w:rPr>
          <w:rFonts w:hint="eastAsia" w:ascii="宋体" w:hAnsi="宋体" w:eastAsia="宋体" w:cs="宋体"/>
          <w:b w:val="0"/>
          <w:bCs w:val="0"/>
          <w:color w:val="auto"/>
          <w:sz w:val="21"/>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14:paraId="54EAC7D1">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2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sz w:val="21"/>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7BF16A3B">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8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sz w:val="21"/>
          <w:szCs w:val="21"/>
          <w:highlight w:val="none"/>
        </w:rPr>
        <w:t>9、</w:t>
      </w:r>
      <w:r>
        <w:rPr>
          <w:rFonts w:hint="eastAsia" w:ascii="宋体" w:hAnsi="宋体" w:eastAsia="宋体" w:cs="宋体"/>
          <w:b w:val="0"/>
          <w:bCs w:val="0"/>
          <w:color w:val="auto"/>
          <w:kern w:val="2"/>
          <w:sz w:val="21"/>
          <w:szCs w:val="21"/>
          <w:highlight w:val="none"/>
          <w:lang w:val="en-US" w:eastAsia="zh-CN" w:bidi="ar-SA"/>
        </w:rPr>
        <w:t>本项目不允许转包、分包。</w:t>
      </w:r>
    </w:p>
    <w:p w14:paraId="125DFF35">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二、磋商响应文件</w:t>
      </w:r>
    </w:p>
    <w:p w14:paraId="5E26F1A0">
      <w:pPr>
        <w:keepNext w:val="0"/>
        <w:keepLines w:val="0"/>
        <w:pageBreakBefore w:val="0"/>
        <w:kinsoku/>
        <w:wordWrap/>
        <w:overflowPunct/>
        <w:topLinePunct w:val="0"/>
        <w:autoSpaceDE w:val="0"/>
        <w:autoSpaceDN w:val="0"/>
        <w:bidi w:val="0"/>
        <w:adjustRightInd w:val="0"/>
        <w:snapToGrid w:val="0"/>
        <w:spacing w:line="360" w:lineRule="auto"/>
        <w:outlineLvl w:val="9"/>
        <w:rPr>
          <w:rFonts w:hint="eastAsia" w:ascii="宋体" w:hAnsi="宋体" w:eastAsia="宋体" w:cs="宋体"/>
          <w:b/>
          <w:color w:val="auto"/>
          <w:szCs w:val="21"/>
          <w:highlight w:val="none"/>
          <w:lang w:val="en-US" w:eastAsia="zh-CN"/>
        </w:rPr>
      </w:pP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color w:val="auto"/>
          <w:szCs w:val="21"/>
          <w:highlight w:val="none"/>
          <w:lang w:val="en-US" w:eastAsia="zh-CN"/>
        </w:rPr>
        <w:t>响应文件的形式和效力</w:t>
      </w:r>
    </w:p>
    <w:p w14:paraId="0EBE449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备份磋商响应文件。</w:t>
      </w:r>
    </w:p>
    <w:p w14:paraId="3E6740DB">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Cs w:val="21"/>
          <w:highlight w:val="none"/>
          <w:lang w:val="zh-CN"/>
        </w:rPr>
        <w:t>电子磋商响应文件按</w:t>
      </w:r>
      <w:r>
        <w:rPr>
          <w:rFonts w:hint="eastAsia" w:ascii="宋体" w:hAnsi="宋体" w:eastAsia="宋体" w:cs="宋体"/>
          <w:color w:val="auto"/>
          <w:szCs w:val="21"/>
          <w:highlight w:val="none"/>
          <w:lang w:val="en-US" w:eastAsia="zh-CN"/>
        </w:rPr>
        <w:t>政府采购</w:t>
      </w:r>
      <w:r>
        <w:rPr>
          <w:rFonts w:hint="eastAsia" w:ascii="宋体" w:hAnsi="宋体" w:eastAsia="宋体" w:cs="宋体"/>
          <w:color w:val="auto"/>
          <w:szCs w:val="21"/>
          <w:highlight w:val="none"/>
          <w:lang w:val="zh-CN"/>
        </w:rPr>
        <w:t>云平台供应商项目采购-电子招</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lang w:val="zh-CN"/>
        </w:rPr>
        <w:t>操作指南（网址：https://helpcenter.zcygov.cn/document/#/document/detail?siteCode=beijing&amp;manualId=359&amp;topicId=1447）及本磋商文件要求制作、加密并递交</w:t>
      </w:r>
      <w:r>
        <w:rPr>
          <w:rFonts w:hint="eastAsia" w:ascii="宋体" w:hAnsi="宋体" w:eastAsia="宋体" w:cs="宋体"/>
          <w:bCs/>
          <w:color w:val="auto"/>
          <w:sz w:val="21"/>
          <w:szCs w:val="21"/>
          <w:highlight w:val="none"/>
          <w:lang w:val="zh-CN"/>
        </w:rPr>
        <w:t>。</w:t>
      </w:r>
    </w:p>
    <w:p w14:paraId="0E42A763">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备份磋商响应文件是指“电子</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val="zh-CN"/>
        </w:rPr>
        <w:t>文件”同时生成的数据电文形式的电子文件（备份标书），以U盘形式提供。</w:t>
      </w:r>
    </w:p>
    <w:p w14:paraId="1568FFF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3、磋商响应</w:t>
      </w:r>
      <w:r>
        <w:rPr>
          <w:rFonts w:hint="eastAsia" w:ascii="宋体" w:hAnsi="宋体" w:eastAsia="宋体" w:cs="宋体"/>
          <w:color w:val="auto"/>
          <w:sz w:val="21"/>
          <w:szCs w:val="21"/>
          <w:highlight w:val="none"/>
          <w:u w:val="single"/>
        </w:rPr>
        <w:t>文件启用顺序和效力：</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文件的启用，按先后顺位分别为</w:t>
      </w:r>
      <w:r>
        <w:rPr>
          <w:rFonts w:hint="eastAsia" w:ascii="宋体" w:hAnsi="宋体" w:eastAsia="宋体" w:cs="宋体"/>
          <w:color w:val="auto"/>
          <w:sz w:val="21"/>
          <w:szCs w:val="21"/>
          <w:highlight w:val="none"/>
          <w:u w:val="single"/>
          <w:lang w:eastAsia="zh-CN"/>
        </w:rPr>
        <w:t>电子磋商响应文件</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备份磋商响应文件</w:t>
      </w:r>
      <w:r>
        <w:rPr>
          <w:rFonts w:hint="eastAsia" w:ascii="宋体" w:hAnsi="宋体" w:eastAsia="宋体" w:cs="宋体"/>
          <w:color w:val="auto"/>
          <w:sz w:val="21"/>
          <w:szCs w:val="21"/>
          <w:highlight w:val="none"/>
          <w:u w:val="single"/>
        </w:rPr>
        <w:t>。如果某位</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的电子</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55EE9E59">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color w:val="auto"/>
          <w:highlight w:val="none"/>
        </w:rPr>
      </w:pPr>
      <w:r>
        <w:rPr>
          <w:rFonts w:hint="eastAsia" w:ascii="宋体" w:hAnsi="宋体" w:eastAsia="宋体" w:cs="宋体"/>
          <w:bCs/>
          <w:color w:val="auto"/>
          <w:sz w:val="21"/>
          <w:szCs w:val="21"/>
          <w:highlight w:val="none"/>
        </w:rPr>
        <w:t>▲未传输递交</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，投标无效。</w:t>
      </w:r>
    </w:p>
    <w:p w14:paraId="313228B9">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）磋商响应文件的组成</w:t>
      </w:r>
    </w:p>
    <w:p w14:paraId="4BFA423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供应商应仔细阅读</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文件的所有内容，按</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文件的要求，详细编制磋商响应文件（包含</w:t>
      </w: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备份磋商响应文件</w:t>
      </w:r>
      <w:r>
        <w:rPr>
          <w:rFonts w:hint="eastAsia" w:ascii="宋体" w:hAnsi="宋体" w:eastAsia="宋体" w:cs="宋体"/>
          <w:color w:val="auto"/>
          <w:sz w:val="21"/>
          <w:szCs w:val="21"/>
          <w:highlight w:val="none"/>
        </w:rPr>
        <w:t>）。【特别提示：如有要求提供资料原件的，原件另行包装，并与磋商响应文件一起提交，磋商响应截止时间后所有原件不予接收。资料原件也可以用与原件相符的公证原件替代】</w:t>
      </w:r>
    </w:p>
    <w:p w14:paraId="107DB103">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▲1、资格证明内容的组成：</w:t>
      </w:r>
    </w:p>
    <w:p w14:paraId="229D419F">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磋商声明书</w:t>
      </w:r>
      <w:r>
        <w:rPr>
          <w:rFonts w:hint="eastAsia" w:ascii="宋体" w:hAnsi="宋体" w:eastAsia="宋体" w:cs="宋体"/>
          <w:color w:val="auto"/>
          <w:szCs w:val="21"/>
          <w:highlight w:val="none"/>
        </w:rPr>
        <w:t>；</w:t>
      </w:r>
    </w:p>
    <w:p w14:paraId="21989E81">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w:t>
      </w:r>
      <w:r>
        <w:rPr>
          <w:rFonts w:hint="eastAsia" w:ascii="宋体" w:hAnsi="宋体" w:eastAsia="宋体" w:cs="宋体"/>
          <w:color w:val="auto"/>
          <w:szCs w:val="21"/>
          <w:highlight w:val="none"/>
        </w:rPr>
        <w:t>代表人亲自办理投标事宜的，则无需提交)；</w:t>
      </w:r>
    </w:p>
    <w:p w14:paraId="76B9E362">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w:t>
      </w:r>
      <w:r>
        <w:rPr>
          <w:rFonts w:hint="eastAsia" w:ascii="宋体" w:hAnsi="宋体" w:eastAsia="宋体" w:cs="宋体"/>
          <w:color w:val="auto"/>
          <w:sz w:val="21"/>
          <w:szCs w:val="21"/>
          <w:highlight w:val="none"/>
        </w:rPr>
        <w:t>法定代表人</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rPr>
        <w:t>授权代表</w:t>
      </w:r>
      <w:r>
        <w:rPr>
          <w:rFonts w:hint="eastAsia" w:ascii="宋体" w:hAnsi="宋体" w:eastAsia="宋体" w:cs="宋体"/>
          <w:color w:val="auto"/>
          <w:szCs w:val="21"/>
          <w:highlight w:val="none"/>
        </w:rPr>
        <w:t>的身份证明；</w:t>
      </w:r>
    </w:p>
    <w:p w14:paraId="54D5FAA5">
      <w:pPr>
        <w:keepNext w:val="0"/>
        <w:keepLines w:val="0"/>
        <w:pageBreakBefore w:val="0"/>
        <w:kinsoku/>
        <w:wordWrap/>
        <w:overflowPunct/>
        <w:topLinePunct w:val="0"/>
        <w:bidi w:val="0"/>
        <w:spacing w:line="360" w:lineRule="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（4）</w:t>
      </w:r>
      <w:r>
        <w:rPr>
          <w:rFonts w:hint="eastAsia" w:ascii="宋体" w:hAnsi="宋体" w:eastAsia="宋体" w:cs="宋体"/>
          <w:color w:val="auto"/>
          <w:kern w:val="0"/>
          <w:sz w:val="21"/>
          <w:szCs w:val="21"/>
          <w:highlight w:val="none"/>
          <w:lang w:val="en-US" w:eastAsia="zh-CN"/>
        </w:rPr>
        <w:t>须提供中小企业声明函等政府优惠政策适用证明材料；</w:t>
      </w:r>
    </w:p>
    <w:p w14:paraId="1B9BC9B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szCs w:val="21"/>
          <w:highlight w:val="none"/>
        </w:rPr>
        <w:t>供应商认为需要说明的其他材料；</w:t>
      </w:r>
    </w:p>
    <w:p w14:paraId="76E471C4">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2、商务与技术内容的组成：</w:t>
      </w:r>
    </w:p>
    <w:p w14:paraId="72C5ECA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（1）供应商</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7807BE0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（2）磋商响应方案描述：</w:t>
      </w:r>
    </w:p>
    <w:p w14:paraId="1FF2484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A.项目需求的理解与分析(供应商对项目现状及需求的理解情况，对项目现状和需求描述的全面性、准确性、针对性，对项目重点、难点的把握，解决方案及合理化建议)。</w:t>
      </w:r>
    </w:p>
    <w:p w14:paraId="0053787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w:t>
      </w:r>
      <w:r>
        <w:rPr>
          <w:rFonts w:hint="eastAsia" w:ascii="宋体" w:hAnsi="宋体" w:eastAsia="宋体" w:cs="宋体"/>
          <w:color w:val="auto"/>
          <w:sz w:val="21"/>
          <w:szCs w:val="21"/>
          <w:highlight w:val="none"/>
        </w:rPr>
        <w:t>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w:t>
      </w:r>
      <w:r>
        <w:rPr>
          <w:rFonts w:hint="eastAsia" w:ascii="宋体" w:hAnsi="宋体" w:eastAsia="宋体" w:cs="宋体"/>
          <w:color w:val="auto"/>
          <w:sz w:val="21"/>
          <w:szCs w:val="21"/>
          <w:highlight w:val="none"/>
        </w:rPr>
        <w:t>施进度安排、项目实施人员及项目负责人的资质、类似经验及社保证明等</w:t>
      </w:r>
      <w:r>
        <w:rPr>
          <w:rFonts w:hint="eastAsia" w:ascii="宋体" w:hAnsi="宋体" w:eastAsia="宋体" w:cs="宋体"/>
          <w:color w:val="auto"/>
          <w:sz w:val="21"/>
          <w:szCs w:val="21"/>
          <w:highlight w:val="none"/>
        </w:rPr>
        <w:t>）。</w:t>
      </w:r>
    </w:p>
    <w:p w14:paraId="3ADB86E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C.验收方案（包括项目验收标准和验收方法等）和措施；</w:t>
      </w:r>
    </w:p>
    <w:p w14:paraId="21B5E286">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14:paraId="50244AD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（4）供应商通过的质量管理和质量保证体系、环保体系、自主创新相关证书、软件著作权证等等与本项目相关的认证证书或文件；</w:t>
      </w:r>
    </w:p>
    <w:p w14:paraId="528AA67E">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（5）类似项目的成功案例（供应商类似项目实施情况一览表、</w:t>
      </w:r>
      <w:r>
        <w:rPr>
          <w:rFonts w:hint="eastAsia" w:ascii="宋体" w:hAnsi="宋体" w:eastAsia="宋体" w:cs="宋体"/>
          <w:color w:val="auto"/>
          <w:sz w:val="21"/>
          <w:szCs w:val="21"/>
          <w:highlight w:val="none"/>
        </w:rPr>
        <w:t>合同复印件及其相应的发票、用户验收报告等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5A7BF44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（6）供应商认为需要提供的其他资料（包括可能影响供应商商务与技术内容评分的各类证明材料）。</w:t>
      </w:r>
    </w:p>
    <w:p w14:paraId="7EE7911F">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034E375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006D011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B.针对本项目的售后服务措施及承诺（售后技术服务方案、人员配备、故障响应时间、技术培训方案等）。</w:t>
      </w:r>
    </w:p>
    <w:p w14:paraId="45A2B806">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color w:val="auto"/>
          <w:highlight w:val="none"/>
        </w:rPr>
      </w:pPr>
      <w:r>
        <w:rPr>
          <w:rFonts w:hint="eastAsia" w:ascii="宋体" w:hAnsi="宋体" w:eastAsia="宋体" w:cs="宋体"/>
          <w:b/>
          <w:color w:val="auto"/>
          <w:szCs w:val="21"/>
          <w:highlight w:val="none"/>
          <w:u w:val="single"/>
        </w:rPr>
        <w:t>注：若</w:t>
      </w:r>
      <w:r>
        <w:rPr>
          <w:rFonts w:hint="eastAsia" w:ascii="宋体" w:hAnsi="宋体" w:eastAsia="宋体" w:cs="宋体"/>
          <w:b/>
          <w:color w:val="auto"/>
          <w:szCs w:val="21"/>
          <w:highlight w:val="none"/>
          <w:u w:val="single"/>
          <w:lang w:eastAsia="zh-CN"/>
        </w:rPr>
        <w:t>磋商文件</w:t>
      </w:r>
      <w:r>
        <w:rPr>
          <w:rFonts w:hint="eastAsia" w:ascii="宋体" w:hAnsi="宋体" w:eastAsia="宋体" w:cs="宋体"/>
          <w:b/>
          <w:color w:val="auto"/>
          <w:szCs w:val="21"/>
          <w:highlight w:val="none"/>
          <w:u w:val="single"/>
        </w:rPr>
        <w:t>中有专门标注的某关联点，并要求</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在</w:t>
      </w:r>
      <w:r>
        <w:rPr>
          <w:rFonts w:hint="eastAsia" w:ascii="宋体" w:hAnsi="宋体" w:eastAsia="宋体" w:cs="宋体"/>
          <w:b/>
          <w:color w:val="auto"/>
          <w:szCs w:val="21"/>
          <w:highlight w:val="none"/>
          <w:u w:val="single"/>
          <w:lang w:eastAsia="zh-CN"/>
        </w:rPr>
        <w:t>电子投标</w:t>
      </w:r>
      <w:r>
        <w:rPr>
          <w:rFonts w:hint="eastAsia" w:ascii="宋体" w:hAnsi="宋体" w:eastAsia="宋体" w:cs="宋体"/>
          <w:b/>
          <w:color w:val="auto"/>
          <w:szCs w:val="21"/>
          <w:highlight w:val="none"/>
          <w:u w:val="single"/>
        </w:rPr>
        <w:t>系统中作出</w:t>
      </w:r>
      <w:r>
        <w:rPr>
          <w:rFonts w:hint="eastAsia" w:ascii="宋体" w:hAnsi="宋体" w:eastAsia="宋体" w:cs="宋体"/>
          <w:b/>
          <w:color w:val="auto"/>
          <w:szCs w:val="21"/>
          <w:highlight w:val="none"/>
          <w:u w:val="single"/>
          <w:lang w:eastAsia="zh-CN"/>
        </w:rPr>
        <w:t>磋商</w:t>
      </w:r>
      <w:r>
        <w:rPr>
          <w:rFonts w:hint="eastAsia" w:ascii="宋体" w:hAnsi="宋体" w:eastAsia="宋体" w:cs="宋体"/>
          <w:b/>
          <w:color w:val="auto"/>
          <w:szCs w:val="21"/>
          <w:highlight w:val="none"/>
          <w:u w:val="single"/>
        </w:rPr>
        <w:t>响应的，如</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未对关联点进行响应或者在</w:t>
      </w:r>
      <w:r>
        <w:rPr>
          <w:rFonts w:hint="eastAsia" w:ascii="宋体" w:hAnsi="宋体" w:eastAsia="宋体" w:cs="宋体"/>
          <w:b/>
          <w:color w:val="auto"/>
          <w:szCs w:val="21"/>
          <w:highlight w:val="none"/>
          <w:u w:val="single"/>
          <w:lang w:eastAsia="zh-CN"/>
        </w:rPr>
        <w:t>响应文件</w:t>
      </w:r>
      <w:r>
        <w:rPr>
          <w:rFonts w:hint="eastAsia" w:ascii="宋体" w:hAnsi="宋体" w:eastAsia="宋体" w:cs="宋体"/>
          <w:b/>
          <w:color w:val="auto"/>
          <w:szCs w:val="21"/>
          <w:highlight w:val="none"/>
          <w:u w:val="single"/>
        </w:rPr>
        <w:t>其它内容进行描述，造成电子评审不能查询的责任由</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自行承担。</w:t>
      </w:r>
    </w:p>
    <w:p w14:paraId="467F68CA">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3、报价内容的组成</w:t>
      </w:r>
    </w:p>
    <w:p w14:paraId="366F898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（1）报价内容由</w:t>
      </w:r>
      <w:r>
        <w:rPr>
          <w:rFonts w:hint="eastAsia" w:ascii="宋体" w:hAnsi="宋体" w:eastAsia="宋体" w:cs="宋体"/>
          <w:b/>
          <w:bCs/>
          <w:color w:val="auto"/>
          <w:sz w:val="21"/>
          <w:szCs w:val="21"/>
          <w:highlight w:val="none"/>
          <w:lang w:val="en-US" w:eastAsia="zh-CN"/>
        </w:rPr>
        <w:t>开标</w:t>
      </w:r>
      <w:r>
        <w:rPr>
          <w:rFonts w:hint="eastAsia" w:ascii="宋体" w:hAnsi="宋体" w:eastAsia="宋体" w:cs="宋体"/>
          <w:b/>
          <w:bCs/>
          <w:color w:val="auto"/>
          <w:sz w:val="21"/>
          <w:szCs w:val="21"/>
          <w:highlight w:val="none"/>
        </w:rPr>
        <w:t>一览表，以及供应商认为其他需要说明的内容组成。</w:t>
      </w:r>
    </w:p>
    <w:p w14:paraId="0479082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（2）此报价为供应商针对本项目报出的唯一的首次报价，包含其它一切所要涉及到的费用，有选择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r>
        <w:rPr>
          <w:rFonts w:hint="eastAsia" w:ascii="宋体" w:hAnsi="宋体" w:eastAsia="宋体" w:cs="宋体"/>
          <w:color w:val="auto"/>
          <w:sz w:val="21"/>
          <w:szCs w:val="21"/>
          <w:highlight w:val="none"/>
          <w:lang w:eastAsia="zh-CN"/>
        </w:rPr>
        <w:t>。</w:t>
      </w:r>
    </w:p>
    <w:p w14:paraId="1F4530AD">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Theme="minorEastAsia" w:hAnsiTheme="minorEastAsia" w:eastAsiaTheme="minorEastAsia" w:cstheme="minorEastAsia"/>
          <w:color w:val="auto"/>
          <w:szCs w:val="21"/>
          <w:highlight w:val="none"/>
        </w:rPr>
        <w:t>投标</w:t>
      </w:r>
      <w:r>
        <w:rPr>
          <w:rFonts w:hint="eastAsia" w:asciiTheme="minorEastAsia" w:hAnsiTheme="minorEastAsia" w:eastAsiaTheme="minorEastAsia" w:cstheme="minorEastAsia"/>
          <w:color w:val="auto"/>
          <w:szCs w:val="21"/>
          <w:highlight w:val="none"/>
          <w:lang w:val="en-US" w:eastAsia="zh-CN"/>
        </w:rPr>
        <w:t>总</w:t>
      </w:r>
      <w:r>
        <w:rPr>
          <w:rFonts w:hint="eastAsia" w:asciiTheme="minorEastAsia" w:hAnsiTheme="minorEastAsia" w:eastAsiaTheme="minorEastAsia" w:cstheme="minorEastAsia"/>
          <w:color w:val="auto"/>
          <w:szCs w:val="21"/>
          <w:highlight w:val="none"/>
        </w:rPr>
        <w:t>报价为完成本项目的所有费用，包含所有人员的人工费、交通费、住宿费、伙食费、办公设施费、管理费、利润、税金等一切费用，全部费用已包含在投标</w:t>
      </w:r>
      <w:r>
        <w:rPr>
          <w:rFonts w:hint="eastAsia" w:asciiTheme="minorEastAsia" w:hAnsiTheme="minorEastAsia" w:eastAsiaTheme="minorEastAsia" w:cstheme="minorEastAsia"/>
          <w:color w:val="auto"/>
          <w:szCs w:val="21"/>
          <w:highlight w:val="none"/>
          <w:lang w:val="en-US" w:eastAsia="zh-CN"/>
        </w:rPr>
        <w:t>总</w:t>
      </w:r>
      <w:r>
        <w:rPr>
          <w:rFonts w:hint="eastAsia" w:asciiTheme="minorEastAsia" w:hAnsiTheme="minorEastAsia" w:eastAsiaTheme="minorEastAsia" w:cstheme="minorEastAsia"/>
          <w:color w:val="auto"/>
          <w:szCs w:val="21"/>
          <w:highlight w:val="none"/>
        </w:rPr>
        <w:t>报价中</w:t>
      </w:r>
      <w:r>
        <w:rPr>
          <w:rFonts w:hint="eastAsia" w:ascii="宋体" w:hAnsi="宋体" w:eastAsia="宋体" w:cs="宋体"/>
          <w:color w:val="auto"/>
          <w:sz w:val="21"/>
          <w:szCs w:val="21"/>
          <w:highlight w:val="none"/>
          <w:lang w:val="en-US" w:eastAsia="zh-CN"/>
        </w:rPr>
        <w:t>。</w:t>
      </w:r>
    </w:p>
    <w:p w14:paraId="3FBB8BE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（4）相关报价表需打印或用不</w:t>
      </w:r>
      <w:r>
        <w:rPr>
          <w:rFonts w:hint="eastAsia" w:ascii="宋体" w:hAnsi="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磋商响应报价表不得涂改和增删，如有错漏必须修改，修改处须由同一签署人签字或盖章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。由于字迹模糊或表达不清引起的后果由供应商负责。</w:t>
      </w:r>
    </w:p>
    <w:p w14:paraId="0F4A4D7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）报价有关表格应按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中相关附表格式填写。</w:t>
      </w:r>
    </w:p>
    <w:p w14:paraId="0873B577">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（6）最后的磋商报价低于首次报价，除磋商内容发生实质性变更，其报价明细表（如有）中各项报价需另行明确以外，各项报价均按比例下调。</w:t>
      </w:r>
    </w:p>
    <w:p w14:paraId="56AA685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）磋商响应文件的制作、封装及递交要求</w:t>
      </w:r>
    </w:p>
    <w:p w14:paraId="5CB4FC5B">
      <w:pPr>
        <w:keepNext w:val="0"/>
        <w:keepLines w:val="0"/>
        <w:pageBreakBefore w:val="0"/>
        <w:kinsoku/>
        <w:wordWrap/>
        <w:overflowPunct/>
        <w:topLinePunct w:val="0"/>
        <w:bidi w:val="0"/>
        <w:snapToGrid w:val="0"/>
        <w:spacing w:before="120" w:beforeLines="50"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磋商响应文件</w:t>
      </w:r>
      <w:r>
        <w:rPr>
          <w:rFonts w:hint="eastAsia" w:ascii="宋体" w:hAnsi="宋体" w:eastAsia="宋体" w:cs="宋体"/>
          <w:b/>
          <w:color w:val="auto"/>
          <w:sz w:val="21"/>
          <w:szCs w:val="21"/>
          <w:highlight w:val="none"/>
        </w:rPr>
        <w:t>的签署</w:t>
      </w:r>
    </w:p>
    <w:p w14:paraId="616ADD01">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中须加盖</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操作指南”及本</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规定的格式和顺序编制</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并进行关联定位，以便</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在评标时，点击评分项可直接定位到该评分项内容。如对</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的某项要求，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未能关联定位提供相应的内容与其对应，则</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在评审时如做出对</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不利的评审由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5A95ADA2">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如内容不完整、编排混乱导致</w:t>
      </w:r>
      <w:r>
        <w:rPr>
          <w:rFonts w:hint="eastAsia" w:ascii="宋体" w:hAnsi="宋体" w:eastAsia="宋体" w:cs="宋体"/>
          <w:bCs/>
          <w:color w:val="auto"/>
          <w:sz w:val="21"/>
          <w:szCs w:val="21"/>
          <w:highlight w:val="none"/>
          <w:lang w:eastAsia="zh-CN"/>
        </w:rPr>
        <w:t>磋商响应文件</w:t>
      </w:r>
      <w:r>
        <w:rPr>
          <w:rFonts w:hint="eastAsia" w:ascii="宋体" w:hAnsi="宋体" w:eastAsia="宋体" w:cs="宋体"/>
          <w:bCs/>
          <w:color w:val="auto"/>
          <w:sz w:val="21"/>
          <w:szCs w:val="21"/>
          <w:highlight w:val="none"/>
        </w:rPr>
        <w:t>被误读、漏读，或者在按采购文件规定的部位查找不到相关内容的，由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66F4E824">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联系浙江杭州汇信科技有限公司等相应公司进行办理，或在</w:t>
      </w:r>
      <w:r>
        <w:rPr>
          <w:rFonts w:hint="eastAsia" w:ascii="宋体" w:hAnsi="宋体" w:eastAsia="宋体" w:cs="宋体"/>
          <w:color w:val="auto"/>
          <w:sz w:val="21"/>
          <w:szCs w:val="21"/>
          <w:highlight w:val="none"/>
          <w:u w:val="single"/>
          <w:lang w:eastAsia="zh-CN"/>
        </w:rPr>
        <w:t>磋商响应文件</w:t>
      </w:r>
      <w:r>
        <w:rPr>
          <w:rFonts w:hint="eastAsia" w:ascii="宋体" w:hAnsi="宋体" w:eastAsia="宋体" w:cs="宋体"/>
          <w:color w:val="auto"/>
          <w:sz w:val="21"/>
          <w:szCs w:val="21"/>
          <w:highlight w:val="none"/>
          <w:u w:val="single"/>
        </w:rPr>
        <w:t>中涉及到签字的位置线下签好字然后扫描或者拍照做成PDF的格式亦可。</w:t>
      </w:r>
    </w:p>
    <w:p w14:paraId="6796E1F1">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不得涂改，若有修改错漏处，须加盖单位公章或者法定代表人或授权委托人签字或盖章。</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因字迹潦草或表达不清所引起的后果由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w:t>
      </w:r>
    </w:p>
    <w:p w14:paraId="70A9152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、磋商响应文件的制作要求</w:t>
      </w:r>
    </w:p>
    <w:p w14:paraId="0912C21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（1）供应商应按照磋商响应文件组成内容及项目磋商需求制作磋商响应文件，不按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要求制作磋商响应文件由此产生的责任由磋商供应商自行承担。</w:t>
      </w:r>
    </w:p>
    <w:p w14:paraId="44E2E930">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lang w:val="zh-CN"/>
        </w:rPr>
        <w:t>响应文件（包含电子磋商响应文件和备份磋商响应文件）</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其中电子磋商响应文件中所须加盖公章部分均采用CA签章。备份磋商响应文件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要求密封</w:t>
      </w:r>
      <w:r>
        <w:rPr>
          <w:rFonts w:hint="eastAsia" w:ascii="宋体" w:hAnsi="宋体" w:eastAsia="宋体" w:cs="宋体"/>
          <w:color w:val="auto"/>
          <w:szCs w:val="21"/>
          <w:highlight w:val="none"/>
        </w:rPr>
        <w:t>，否则其响应文件将可能被拒绝。</w:t>
      </w:r>
    </w:p>
    <w:p w14:paraId="6A22145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供应商应对所提供的全部资料的真实性承担法律责任，磋商响应文件内容中有要求盖章或签字的地方，必须加盖磋商供应商的公章以及法定代表人或</w:t>
      </w:r>
      <w:r>
        <w:rPr>
          <w:rFonts w:hint="eastAsia" w:ascii="宋体" w:hAnsi="宋体" w:eastAsia="宋体" w:cs="宋体"/>
          <w:color w:val="auto"/>
          <w:sz w:val="21"/>
          <w:szCs w:val="21"/>
          <w:highlight w:val="none"/>
          <w:lang w:eastAsia="zh-CN"/>
        </w:rPr>
        <w:t>授权委托代</w:t>
      </w:r>
      <w:r>
        <w:rPr>
          <w:rFonts w:hint="eastAsia" w:ascii="宋体" w:hAnsi="宋体" w:eastAsia="宋体" w:cs="宋体"/>
          <w:color w:val="auto"/>
          <w:sz w:val="21"/>
          <w:szCs w:val="21"/>
          <w:highlight w:val="none"/>
          <w:lang w:eastAsia="zh-CN"/>
        </w:rPr>
        <w:t>理人</w:t>
      </w:r>
      <w:r>
        <w:rPr>
          <w:rFonts w:hint="eastAsia" w:ascii="宋体" w:hAnsi="宋体" w:eastAsia="宋体" w:cs="宋体"/>
          <w:color w:val="auto"/>
          <w:sz w:val="21"/>
          <w:szCs w:val="21"/>
          <w:highlight w:val="none"/>
        </w:rPr>
        <w:t>的盖章或签字，其中所有证书类文件提供的复印件必须全部加盖单位公章且必须在有效期内的。</w:t>
      </w:r>
    </w:p>
    <w:p w14:paraId="29943EC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（3）磋商响应文件以及磋商供应商与采购组织机构就有关磋商事宜的所有来往函电，均应以中文汉语书写。</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除签字、盖章、专用名称等特殊情形外，以中文汉语以外的文字表述的磋商响应文件视同未提供</w:t>
      </w:r>
      <w:r>
        <w:rPr>
          <w:rFonts w:hint="eastAsia" w:ascii="宋体" w:hAnsi="宋体" w:cs="宋体"/>
          <w:color w:val="auto"/>
          <w:szCs w:val="21"/>
          <w:highlight w:val="none"/>
        </w:rPr>
        <w:t>，如该文件未提供将影响投标有效性的，则视为投标无效</w:t>
      </w:r>
      <w:r>
        <w:rPr>
          <w:rFonts w:hint="eastAsia" w:ascii="宋体" w:hAnsi="宋体" w:eastAsia="宋体" w:cs="宋体"/>
          <w:color w:val="auto"/>
          <w:sz w:val="21"/>
          <w:szCs w:val="21"/>
          <w:highlight w:val="none"/>
        </w:rPr>
        <w:t>。</w:t>
      </w:r>
    </w:p>
    <w:p w14:paraId="5D5B3DC6">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（4）磋商计量单位，磋商采购文件已有明确规定的，使用磋商采购文件规定的计量单位；磋商采购文件没有规定的</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1EEFD83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（5）若磋商供应商不按采购文件的要求提供资格审查材料，其风险由磋商供应商自行承担。</w:t>
      </w:r>
    </w:p>
    <w:p w14:paraId="7DF4A6A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（6）与本次磋商无关的内容请不要制作在内，确保磋商响应文件有针对性、简洁明了，同时节约纸张；磋商响应文件统一以A4纸大小双面打印并装订</w:t>
      </w:r>
      <w:r>
        <w:rPr>
          <w:rFonts w:hint="eastAsia" w:ascii="宋体" w:hAnsi="宋体" w:eastAsia="宋体" w:cs="宋体"/>
          <w:color w:val="auto"/>
          <w:sz w:val="21"/>
          <w:szCs w:val="21"/>
          <w:highlight w:val="none"/>
          <w:lang w:eastAsia="zh-CN"/>
        </w:rPr>
        <w:t>。</w:t>
      </w:r>
    </w:p>
    <w:p w14:paraId="06A2FFE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、磋商响应文件的封装要求</w:t>
      </w:r>
    </w:p>
    <w:p w14:paraId="24B22895">
      <w:pPr>
        <w:pStyle w:val="52"/>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2E114A1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（2）所有磋商响应资料按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的组成所列内容及顺序装订成册，并逐页连续标注页码。因磋商响应文件内容不完整、编排混乱导致磋商响应文件被误读、漏读或者查找不到相关内容的责任由供应商自行承担。</w:t>
      </w:r>
    </w:p>
    <w:p w14:paraId="7DAD649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val="0"/>
          <w:bCs w:val="0"/>
          <w:color w:val="auto"/>
          <w:sz w:val="21"/>
          <w:szCs w:val="21"/>
          <w:highlight w:val="none"/>
          <w:lang w:val="en-US" w:eastAsia="zh-CN"/>
        </w:rPr>
        <w:t>备份</w:t>
      </w:r>
      <w:r>
        <w:rPr>
          <w:rFonts w:hint="eastAsia" w:ascii="宋体" w:hAnsi="宋体" w:eastAsia="宋体" w:cs="宋体"/>
          <w:color w:val="auto"/>
          <w:sz w:val="21"/>
          <w:szCs w:val="21"/>
          <w:highlight w:val="none"/>
        </w:rPr>
        <w:t>磋商响应文件请在密封袋的封口处应有磋商供应商公章或磋商</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签字。封皮上写明项目编号、标段、</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项目名称、供应商名称，并注明“磋商响应文件名称”、“磋商时启封”字样，未按上述要求密封及加写标记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color w:val="auto"/>
          <w:sz w:val="21"/>
          <w:szCs w:val="21"/>
          <w:highlight w:val="none"/>
        </w:rPr>
        <w:t>，采购组织机构对磋商响应文件的误投和提前启封不负责任。</w:t>
      </w:r>
    </w:p>
    <w:p w14:paraId="418C607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（4）项目如分标段，各标段磋商响应文件必须分开编制。</w:t>
      </w:r>
    </w:p>
    <w:p w14:paraId="01363A2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（5）因密封不严、标记不明而造成失密、拒收、过早启封等情况，采购组织机构概不负责。</w:t>
      </w:r>
    </w:p>
    <w:p w14:paraId="6C569C2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、磋商响应文件的递交要求</w:t>
      </w:r>
    </w:p>
    <w:p w14:paraId="02FBB17E">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Cs w:val="21"/>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szCs w:val="21"/>
          <w:highlight w:val="none"/>
        </w:rPr>
        <w:t>台州市椒江区中环世纪6幢801室（交通银行台州分行楼上）收件人：俞雅琪；联系电话：15757696186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备份磋商响应文件在截止时间后提交、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，采购代理机构将拒绝接收。▲如供应商未在磋商截止时间前完成电子磋商响应文件的传输递交，其备份磋商响应文件也将为无效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rPr>
        <w:t>磋商响应文件。</w:t>
      </w:r>
    </w:p>
    <w:p w14:paraId="74B4C9A2">
      <w:pPr>
        <w:keepNext w:val="0"/>
        <w:keepLines w:val="0"/>
        <w:pageBreakBefore w:val="0"/>
        <w:tabs>
          <w:tab w:val="left" w:pos="1418"/>
        </w:tabs>
        <w:kinsoku/>
        <w:wordWrap/>
        <w:overflowPunct/>
        <w:topLinePunct w:val="0"/>
        <w:autoSpaceDE w:val="0"/>
        <w:autoSpaceDN w:val="0"/>
        <w:bidi w:val="0"/>
        <w:adjustRightInd w:val="0"/>
        <w:spacing w:line="360" w:lineRule="auto"/>
        <w:ind w:firstLine="422" w:firstLineChars="200"/>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电子磋商响应文件的相关说明</w:t>
      </w:r>
    </w:p>
    <w:p w14:paraId="4E6063A1">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供应商未按规定加密的磋商响应文件，电子交易平台将拒收。</w:t>
      </w:r>
    </w:p>
    <w:p w14:paraId="31A216A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磋商截止时间后递交的磋商响应文</w:t>
      </w:r>
      <w:r>
        <w:rPr>
          <w:rFonts w:hint="eastAsia" w:ascii="宋体" w:hAnsi="宋体" w:eastAsia="宋体" w:cs="宋体"/>
          <w:b w:val="0"/>
          <w:bCs w:val="0"/>
          <w:color w:val="auto"/>
          <w:kern w:val="2"/>
          <w:sz w:val="21"/>
          <w:szCs w:val="21"/>
          <w:highlight w:val="none"/>
          <w:lang w:val="en-US" w:eastAsia="zh-CN" w:bidi="ar-SA"/>
        </w:rPr>
        <w:t>件，电子交易平台将拒收。</w:t>
      </w:r>
    </w:p>
    <w:p w14:paraId="47E9EFE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供应商在电子交易平台传输递交磋商响应文件后，还可以在磋商截止时间前提交备份磋商响应文件，若供应商未提交备份磋商响应文件，其后果由供应商自行承担。</w:t>
      </w:r>
    </w:p>
    <w:p w14:paraId="6DD49DDD">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▲供应商仅提交备份磋商响应文件的，投标无效。</w:t>
      </w:r>
    </w:p>
    <w:p w14:paraId="43209F5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的权利和义务将受到新的截止时间和开标时间的约束。</w:t>
      </w:r>
    </w:p>
    <w:p w14:paraId="51C27D7C">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、磋商响应文件的补充、修改和撤回。</w:t>
      </w:r>
    </w:p>
    <w:p w14:paraId="4ADF15DE">
      <w:pPr>
        <w:pStyle w:val="57"/>
        <w:spacing w:line="360" w:lineRule="auto"/>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应当在投标截止时间前完成电子</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文件的上传、递交，并可以补充、修改或者撤回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文件。补充或者修改</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文件的，应当先行撤回原文件，补充、修改后重新上传、递交。投标截止时间前未完成上传、递交的，视为撤回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文件。投标截止时间后递交的</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文件，“政府采购云平台”将予以拒收。</w:t>
      </w:r>
    </w:p>
    <w:p w14:paraId="0E9E479A">
      <w:pPr>
        <w:pStyle w:val="57"/>
        <w:spacing w:line="360" w:lineRule="auto"/>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）投标截止时间后，供应商不得撤回、修改</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62BC4D60">
      <w:pPr>
        <w:pStyle w:val="57"/>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不能撤销</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5565A1FB">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）磋商响应文件的有效期</w:t>
      </w:r>
    </w:p>
    <w:p w14:paraId="3060BD4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1、自磋商响应截止日起90天磋商响应文件应保持有效。有效期不足的磋商响应文件将被拒绝。</w:t>
      </w:r>
    </w:p>
    <w:p w14:paraId="35316F8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2、在符合相关法律法规规定的情况下，采购人可与磋商供应商协商延长磋商响应文件的有效期，这种要求和答复均以书面形式进行。</w:t>
      </w:r>
    </w:p>
    <w:p w14:paraId="721B95F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3、磋商供应商可拒绝接受延期要求。同意延长有效期的磋商供应商不能修改磋商响应文件。 </w:t>
      </w:r>
    </w:p>
    <w:p w14:paraId="2DE7F89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成交供应商的磋商响应文件自磋商之日起至合同履行完毕均应保</w:t>
      </w:r>
      <w:r>
        <w:rPr>
          <w:rFonts w:hint="eastAsia" w:ascii="宋体" w:hAnsi="宋体" w:eastAsia="宋体" w:cs="宋体"/>
          <w:color w:val="auto"/>
          <w:sz w:val="21"/>
          <w:szCs w:val="21"/>
          <w:highlight w:val="none"/>
        </w:rPr>
        <w:t>持有效。</w:t>
      </w:r>
    </w:p>
    <w:p w14:paraId="2944AEF4">
      <w:pPr>
        <w:keepNext w:val="0"/>
        <w:keepLines w:val="0"/>
        <w:pageBreakBefore w:val="0"/>
        <w:tabs>
          <w:tab w:val="left" w:pos="1418"/>
        </w:tabs>
        <w:kinsoku/>
        <w:wordWrap/>
        <w:overflowPunct/>
        <w:topLinePunct w:val="0"/>
        <w:autoSpaceDE w:val="0"/>
        <w:autoSpaceDN w:val="0"/>
        <w:bidi w:val="0"/>
        <w:adjustRightInd w:val="0"/>
        <w:spacing w:line="360" w:lineRule="auto"/>
        <w:outlineLvl w:val="9"/>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p>
    <w:p w14:paraId="2836775C">
      <w:pPr>
        <w:keepNext w:val="0"/>
        <w:keepLines w:val="0"/>
        <w:pageBreakBefore w:val="0"/>
        <w:tabs>
          <w:tab w:val="left" w:pos="1418"/>
        </w:tabs>
        <w:kinsoku/>
        <w:wordWrap/>
        <w:overflowPunct/>
        <w:topLinePunct w:val="0"/>
        <w:autoSpaceDE w:val="0"/>
        <w:autoSpaceDN w:val="0"/>
        <w:bidi w:val="0"/>
        <w:adjustRightInd w:val="0"/>
        <w:spacing w:line="360" w:lineRule="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val="en-US" w:eastAsia="zh-CN"/>
        </w:rPr>
        <w:t>磋商</w:t>
      </w:r>
      <w:r>
        <w:rPr>
          <w:rFonts w:hint="eastAsia" w:ascii="宋体" w:hAnsi="宋体" w:eastAsia="宋体" w:cs="宋体"/>
          <w:b/>
          <w:bCs/>
          <w:color w:val="auto"/>
          <w:kern w:val="2"/>
          <w:sz w:val="21"/>
          <w:szCs w:val="21"/>
          <w:highlight w:val="none"/>
          <w:lang w:val="en-US" w:eastAsia="zh-CN" w:bidi="ar-SA"/>
        </w:rPr>
        <w:t>事项：</w:t>
      </w:r>
    </w:p>
    <w:p w14:paraId="4D4390A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采购组织机构按照采购文件规定的时间通过电子交易平台组织磋商、开启响应文件，所有供应商均应当准时在线参加。</w:t>
      </w:r>
    </w:p>
    <w:p w14:paraId="491FC873">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磋商时，电子交易平台自动提取所有响应文件，提示采购组织机构和供应商按采购文件规定的方式和时间在线解密。</w:t>
      </w:r>
      <w:r>
        <w:rPr>
          <w:rFonts w:hint="eastAsia" w:ascii="宋体" w:hAnsi="宋体" w:cs="宋体"/>
          <w:b/>
          <w:bCs/>
          <w:color w:val="auto"/>
          <w:szCs w:val="21"/>
          <w:highlight w:val="none"/>
        </w:rPr>
        <w:t>给予供应商在线解密的时间为截止</w:t>
      </w:r>
      <w:r>
        <w:rPr>
          <w:rFonts w:hint="eastAsia" w:ascii="宋体" w:hAnsi="宋体" w:cs="宋体"/>
          <w:b/>
          <w:bCs/>
          <w:color w:val="auto"/>
          <w:szCs w:val="21"/>
          <w:highlight w:val="none"/>
          <w:lang w:val="en-US" w:eastAsia="zh-CN"/>
        </w:rPr>
        <w:t>提交</w:t>
      </w:r>
      <w:r>
        <w:rPr>
          <w:rFonts w:hint="eastAsia" w:ascii="宋体" w:hAnsi="宋体" w:cs="宋体"/>
          <w:b/>
          <w:bCs/>
          <w:color w:val="auto"/>
          <w:szCs w:val="21"/>
          <w:highlight w:val="none"/>
        </w:rPr>
        <w:t>磋商</w:t>
      </w:r>
      <w:r>
        <w:rPr>
          <w:rFonts w:hint="eastAsia" w:ascii="宋体" w:hAnsi="宋体" w:cs="宋体"/>
          <w:b/>
          <w:bCs/>
          <w:color w:val="auto"/>
          <w:szCs w:val="21"/>
          <w:highlight w:val="none"/>
          <w:lang w:val="en-US" w:eastAsia="zh-CN"/>
        </w:rPr>
        <w:t>响应文件</w:t>
      </w:r>
      <w:r>
        <w:rPr>
          <w:rFonts w:hint="eastAsia" w:ascii="宋体" w:hAnsi="宋体" w:cs="宋体"/>
          <w:b/>
          <w:bCs/>
          <w:color w:val="auto"/>
          <w:szCs w:val="21"/>
          <w:highlight w:val="none"/>
        </w:rPr>
        <w:t>后30分钟。</w:t>
      </w:r>
    </w:p>
    <w:p w14:paraId="19FFDB9D">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响应文件未按时解密，供应商提供了备份磋商响应文件的，以备份磋商响应文件作为依据，否则视为响应文件撤回。响应文件已按时解密的，备份磋商响应文件不再拆封。</w:t>
      </w:r>
    </w:p>
    <w:p w14:paraId="280AAF93">
      <w:pPr>
        <w:keepNext w:val="0"/>
        <w:keepLines w:val="0"/>
        <w:pageBreakBefore w:val="0"/>
        <w:numPr>
          <w:ilvl w:val="0"/>
          <w:numId w:val="2"/>
        </w:numPr>
        <w:kinsoku/>
        <w:wordWrap/>
        <w:overflowPunct/>
        <w:topLinePunct w:val="0"/>
        <w:autoSpaceDE w:val="0"/>
        <w:autoSpaceDN w:val="0"/>
        <w:bidi w:val="0"/>
        <w:adjustRightInd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磋商委员会或磋商小组</w:t>
      </w:r>
    </w:p>
    <w:p w14:paraId="51047C2C">
      <w:pPr>
        <w:keepNext w:val="0"/>
        <w:keepLines w:val="0"/>
        <w:pageBreakBefore w:val="0"/>
        <w:numPr>
          <w:ilvl w:val="0"/>
          <w:numId w:val="0"/>
        </w:numPr>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磋商委员会或磋商小组（以下简称磋商委员会）成员由政府采购管理部门负责组织，对具备实质性响应的</w:t>
      </w:r>
      <w:r>
        <w:rPr>
          <w:rFonts w:hint="eastAsia" w:ascii="宋体" w:hAnsi="宋体" w:eastAsia="宋体" w:cs="宋体"/>
          <w:b w:val="0"/>
          <w:bCs/>
          <w:color w:val="auto"/>
          <w:sz w:val="21"/>
          <w:szCs w:val="21"/>
          <w:highlight w:val="none"/>
          <w:lang w:val="en-US" w:eastAsia="zh-CN"/>
        </w:rPr>
        <w:t>磋商响应</w:t>
      </w:r>
      <w:r>
        <w:rPr>
          <w:rFonts w:hint="eastAsia" w:ascii="宋体" w:hAnsi="宋体" w:eastAsia="宋体" w:cs="宋体"/>
          <w:b w:val="0"/>
          <w:bCs/>
          <w:color w:val="auto"/>
          <w:sz w:val="21"/>
          <w:szCs w:val="21"/>
          <w:highlight w:val="none"/>
        </w:rPr>
        <w:t>文件进行评估和比较。</w:t>
      </w:r>
      <w:r>
        <w:rPr>
          <w:rFonts w:hint="eastAsia" w:ascii="宋体" w:hAnsi="宋体" w:eastAsia="宋体" w:cs="宋体"/>
          <w:b w:val="0"/>
          <w:bCs/>
          <w:color w:val="auto"/>
          <w:sz w:val="21"/>
          <w:szCs w:val="21"/>
          <w:highlight w:val="none"/>
          <w:lang w:eastAsia="zh-CN"/>
        </w:rPr>
        <w:t>磋商委员会</w:t>
      </w:r>
      <w:r>
        <w:rPr>
          <w:rFonts w:hint="eastAsia" w:ascii="宋体" w:hAnsi="宋体" w:eastAsia="宋体" w:cs="宋体"/>
          <w:b w:val="0"/>
          <w:bCs/>
          <w:color w:val="auto"/>
          <w:sz w:val="21"/>
          <w:szCs w:val="21"/>
          <w:highlight w:val="none"/>
        </w:rPr>
        <w:t xml:space="preserve">由招标人的代表、专家和其他有关方面的代表组成。 </w:t>
      </w:r>
    </w:p>
    <w:p w14:paraId="3BF3CE4B">
      <w:pPr>
        <w:keepNext w:val="0"/>
        <w:keepLines w:val="0"/>
        <w:pageBreakBefore w:val="0"/>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5489C925">
      <w:pPr>
        <w:keepNext w:val="0"/>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磋商程序</w:t>
      </w:r>
    </w:p>
    <w:p w14:paraId="503B73BF">
      <w:pPr>
        <w:keepNext w:val="0"/>
        <w:keepLines w:val="0"/>
        <w:pageBreakBefore w:val="0"/>
        <w:kinsoku/>
        <w:wordWrap/>
        <w:overflowPunct/>
        <w:topLinePunct w:val="0"/>
        <w:autoSpaceDE w:val="0"/>
        <w:autoSpaceDN w:val="0"/>
        <w:bidi w:val="0"/>
        <w:adjustRightInd w:val="0"/>
        <w:spacing w:line="360" w:lineRule="auto"/>
        <w:ind w:firstLine="415" w:firstLineChars="198"/>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1、采购组织机构将在“磋商公告”规定的时间和地点进行磋商，磋商采购会议由采购组织机构工作人员主持，所有供应商均应准时</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参加磋商采购会议。</w:t>
      </w:r>
    </w:p>
    <w:p w14:paraId="2A66B8A4">
      <w:pPr>
        <w:pStyle w:val="9"/>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主持人宣布磋商</w:t>
      </w:r>
      <w:r>
        <w:rPr>
          <w:rFonts w:hint="eastAsia" w:ascii="宋体" w:hAnsi="宋体" w:eastAsia="宋体" w:cs="宋体"/>
          <w:color w:val="auto"/>
          <w:sz w:val="21"/>
          <w:szCs w:val="21"/>
          <w:highlight w:val="none"/>
          <w:lang w:eastAsia="zh-CN"/>
        </w:rPr>
        <w:t>采购会议开始</w:t>
      </w:r>
      <w:r>
        <w:rPr>
          <w:rFonts w:hint="eastAsia" w:ascii="宋体" w:hAnsi="宋体" w:eastAsia="宋体" w:cs="宋体"/>
          <w:color w:val="auto"/>
          <w:sz w:val="21"/>
          <w:szCs w:val="21"/>
          <w:highlight w:val="none"/>
        </w:rPr>
        <w:t>，介绍磋商现场的人员情况，宣读提交磋商响应文件的供应商名单、磋商纪律、应当回避的情形等注意事项。</w:t>
      </w:r>
    </w:p>
    <w:p w14:paraId="44C1EBB5">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登录政采云平台，用“项目采购-开标评标”功能对电子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文件准备在线解密，在线解密电子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文件时间为开启解密时间起30分钟内。</w:t>
      </w:r>
    </w:p>
    <w:p w14:paraId="35AE600D">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电子磋商响应文件未按时解密，供应商提供了备份磋商响应文件的，以备份磋商响应文件作为依据，否则视为磋商响应文件撤回。电子磋商响应文件已按时解密的，备份磋商响应文件不再拆封。</w:t>
      </w:r>
    </w:p>
    <w:p w14:paraId="13343E7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、采购组织机构点击【开启标书信息】，进入资格审查及符合性审查环节。</w:t>
      </w:r>
    </w:p>
    <w:p w14:paraId="472CBD9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、磋商小组必须按照客观、公正、审慎的原则，根据磋商文件规定的评审程序、评审方法和评审标准进行独立评审。</w:t>
      </w:r>
      <w:r>
        <w:rPr>
          <w:rFonts w:hint="eastAsia" w:ascii="宋体" w:hAnsi="宋体" w:cs="宋体"/>
          <w:color w:val="auto"/>
          <w:szCs w:val="21"/>
          <w:highlight w:val="none"/>
        </w:rPr>
        <w:t>▲</w:t>
      </w:r>
      <w:r>
        <w:rPr>
          <w:rFonts w:hint="eastAsia" w:ascii="宋体" w:hAnsi="宋体" w:eastAsia="宋体" w:cs="宋体"/>
          <w:color w:val="auto"/>
          <w:sz w:val="21"/>
          <w:szCs w:val="21"/>
          <w:highlight w:val="none"/>
        </w:rPr>
        <w:t>未实质性响应磋商文件的响应文件按无效响应处理，磋商小组应当告知提交响应文件的供应商。</w:t>
      </w:r>
    </w:p>
    <w:p w14:paraId="1F3F739E">
      <w:pPr>
        <w:keepNext w:val="0"/>
        <w:keepLines w:val="0"/>
        <w:pageBreakBefore w:val="0"/>
        <w:kinsoku/>
        <w:wordWrap/>
        <w:overflowPunct/>
        <w:topLinePunct w:val="0"/>
        <w:bidi w:val="0"/>
        <w:adjustRightInd w:val="0"/>
        <w:snapToGrid w:val="0"/>
        <w:spacing w:line="360" w:lineRule="auto"/>
        <w:ind w:left="-210" w:left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对响应文件的初审</w:t>
      </w:r>
    </w:p>
    <w:p w14:paraId="4BF40E02">
      <w:pPr>
        <w:keepNext w:val="0"/>
        <w:keepLines w:val="0"/>
        <w:pageBreakBefore w:val="0"/>
        <w:kinsoku/>
        <w:wordWrap/>
        <w:overflowPunct/>
        <w:topLinePunct w:val="0"/>
        <w:bidi w:val="0"/>
        <w:adjustRightInd w:val="0"/>
        <w:snapToGrid w:val="0"/>
        <w:spacing w:line="360" w:lineRule="auto"/>
        <w:ind w:left="-210" w:left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A.</w:t>
      </w:r>
      <w:r>
        <w:rPr>
          <w:rFonts w:hint="eastAsia" w:ascii="宋体" w:hAnsi="宋体" w:eastAsia="宋体" w:cs="宋体"/>
          <w:color w:val="auto"/>
          <w:szCs w:val="21"/>
          <w:highlight w:val="none"/>
        </w:rPr>
        <w:t>资格性检查：依据法律法规和磋商文件的规定，对响应文件中的资格条件进行审查，以确定磋商供应商是否具备投标资格。</w:t>
      </w:r>
    </w:p>
    <w:p w14:paraId="75BFE250">
      <w:pPr>
        <w:pStyle w:val="7"/>
        <w:keepNext w:val="0"/>
        <w:keepLines w:val="0"/>
        <w:pageBreakBefore w:val="0"/>
        <w:kinsoku/>
        <w:wordWrap/>
        <w:overflowPunct/>
        <w:topLinePunct w:val="0"/>
        <w:bidi w:val="0"/>
        <w:spacing w:line="360" w:lineRule="auto"/>
        <w:outlineLvl w:val="9"/>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B.</w:t>
      </w:r>
      <w:r>
        <w:rPr>
          <w:rFonts w:hint="eastAsia" w:ascii="宋体" w:hAnsi="宋体" w:eastAsia="宋体" w:cs="宋体"/>
          <w:color w:val="auto"/>
          <w:szCs w:val="21"/>
          <w:highlight w:val="none"/>
        </w:rPr>
        <w:t>符合性检查：详细评标之前，磋商小组依据磋商文件的规定，对响应文件是否满足</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的实质性要求进行审查，以确定响应文件是否有效。</w:t>
      </w:r>
    </w:p>
    <w:p w14:paraId="569289A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初审合格的供应商进入下一步的磋商活动</w:t>
      </w:r>
      <w:r>
        <w:rPr>
          <w:rFonts w:hint="eastAsia" w:ascii="宋体" w:hAnsi="宋体" w:eastAsia="宋体" w:cs="宋体"/>
          <w:color w:val="auto"/>
          <w:szCs w:val="21"/>
          <w:highlight w:val="none"/>
          <w:lang w:eastAsia="zh-CN"/>
        </w:rPr>
        <w:t>。</w:t>
      </w:r>
    </w:p>
    <w:p w14:paraId="4534840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 w:val="21"/>
          <w:szCs w:val="21"/>
          <w:highlight w:val="none"/>
        </w:rPr>
        <w:t>磋商小组所有成员集中与单一供应商分别进行磋商，并给予所有参加磋商的供应商平等的磋商机会。</w:t>
      </w:r>
    </w:p>
    <w:p w14:paraId="0041E3F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1F6CD6E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、磋商文件能够详细列明采购标的的技术、服务要求的，磋商分二轮进行，首次报价在响应文件中体现；最终报价在磋商结束后由所有参加磋商的竞标人在规定的时间内书面提供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最后报价是供应商响应文件的有效组成部分。 </w:t>
      </w:r>
    </w:p>
    <w:p w14:paraId="233A208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、经磋商确定最终采购需求和提交最后报价的供应商后，由磋商小组采用综合评分法对提交最后报价的供应商的响应文件和最后报价进行综合评分。</w:t>
      </w:r>
    </w:p>
    <w:p w14:paraId="6EB409E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、磋商小组根据综合评分情况，按照评审得分由高到低顺序确定成交</w:t>
      </w:r>
      <w:r>
        <w:rPr>
          <w:rFonts w:hint="eastAsia" w:ascii="宋体" w:hAnsi="宋体" w:eastAsia="宋体" w:cs="宋体"/>
          <w:color w:val="auto"/>
          <w:sz w:val="21"/>
          <w:szCs w:val="21"/>
          <w:highlight w:val="none"/>
          <w:lang w:val="en-US" w:eastAsia="zh-CN"/>
        </w:rPr>
        <w:t>候选</w:t>
      </w:r>
      <w:r>
        <w:rPr>
          <w:rFonts w:hint="eastAsia" w:ascii="宋体" w:hAnsi="宋体" w:eastAsia="宋体" w:cs="宋体"/>
          <w:color w:val="auto"/>
          <w:sz w:val="21"/>
          <w:szCs w:val="21"/>
          <w:highlight w:val="none"/>
        </w:rPr>
        <w:t>供应商，编写评审报告。</w:t>
      </w:r>
    </w:p>
    <w:p w14:paraId="3A993DF2">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、采购组织机构对磋商小组</w:t>
      </w:r>
      <w:r>
        <w:rPr>
          <w:rFonts w:hint="eastAsia" w:ascii="宋体" w:hAnsi="宋体" w:eastAsia="宋体" w:cs="宋体"/>
          <w:color w:val="auto"/>
          <w:sz w:val="21"/>
          <w:szCs w:val="21"/>
          <w:highlight w:val="none"/>
          <w:lang w:eastAsia="zh-CN"/>
        </w:rPr>
        <w:t>专家成员</w:t>
      </w:r>
      <w:r>
        <w:rPr>
          <w:rFonts w:hint="eastAsia" w:ascii="宋体" w:hAnsi="宋体" w:eastAsia="宋体" w:cs="宋体"/>
          <w:color w:val="auto"/>
          <w:sz w:val="21"/>
          <w:szCs w:val="21"/>
          <w:highlight w:val="none"/>
        </w:rPr>
        <w:t>进行评价；</w:t>
      </w:r>
    </w:p>
    <w:p w14:paraId="136095FF">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主持人宣布磋商结果（含技术得分、最</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 xml:space="preserve">报价、报价得分及总得分），磋商采购会议结束。   </w:t>
      </w:r>
      <w:r>
        <w:rPr>
          <w:rFonts w:hint="eastAsia" w:ascii="宋体" w:hAnsi="宋体" w:eastAsia="宋体" w:cs="宋体"/>
          <w:color w:val="auto"/>
          <w:sz w:val="21"/>
          <w:szCs w:val="21"/>
          <w:highlight w:val="none"/>
          <w:lang w:val="en-US" w:eastAsia="zh-CN"/>
        </w:rPr>
        <w:t xml:space="preserve"> </w:t>
      </w:r>
    </w:p>
    <w:p w14:paraId="76BF63F8">
      <w:pPr>
        <w:pStyle w:val="9"/>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）澄清问题的形式</w:t>
      </w:r>
    </w:p>
    <w:p w14:paraId="18847F6D">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磋商供应商的澄清、说明或者补正应当采</w:t>
      </w:r>
      <w:r>
        <w:rPr>
          <w:rFonts w:hint="eastAsia" w:ascii="宋体" w:hAnsi="宋体" w:eastAsia="宋体" w:cs="宋体"/>
          <w:b w:val="0"/>
          <w:bCs w:val="0"/>
          <w:color w:val="auto"/>
          <w:sz w:val="21"/>
          <w:szCs w:val="21"/>
          <w:highlight w:val="none"/>
        </w:rPr>
        <w:t>用书面形式，并加盖公章，或者由</w:t>
      </w:r>
      <w:r>
        <w:rPr>
          <w:rFonts w:hint="eastAsia" w:ascii="宋体" w:hAnsi="宋体" w:eastAsia="宋体" w:cs="宋体"/>
          <w:b w:val="0"/>
          <w:bCs w:val="0"/>
          <w:color w:val="auto"/>
          <w:sz w:val="21"/>
          <w:szCs w:val="21"/>
          <w:highlight w:val="none"/>
          <w:lang w:eastAsia="zh-CN"/>
        </w:rPr>
        <w:t>法定代表人或授权委托代理人签字</w:t>
      </w:r>
      <w:r>
        <w:rPr>
          <w:rFonts w:hint="eastAsia" w:ascii="宋体" w:hAnsi="宋体" w:eastAsia="宋体" w:cs="宋体"/>
          <w:b w:val="0"/>
          <w:bCs w:val="0"/>
          <w:color w:val="auto"/>
          <w:sz w:val="21"/>
          <w:szCs w:val="21"/>
          <w:highlight w:val="none"/>
        </w:rPr>
        <w:t>，并不得超出磋商响应文件的范围或者改变磋商响应文件的实质性内容。</w:t>
      </w:r>
    </w:p>
    <w:p w14:paraId="166AF3A4">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）错误修正</w:t>
      </w:r>
    </w:p>
    <w:p w14:paraId="10C2D11F">
      <w:pPr>
        <w:pStyle w:val="17"/>
        <w:keepNext w:val="0"/>
        <w:keepLines w:val="0"/>
        <w:pageBreakBefore w:val="0"/>
        <w:shd w:val="clear"/>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磋商响应文件报价出现前后不一致的，除</w:t>
      </w:r>
      <w:r>
        <w:rPr>
          <w:rFonts w:hint="eastAsia" w:cs="宋体"/>
          <w:bCs/>
          <w:color w:val="auto"/>
          <w:sz w:val="21"/>
          <w:szCs w:val="21"/>
          <w:highlight w:val="none"/>
          <w:lang w:eastAsia="zh-CN"/>
        </w:rPr>
        <w:t>采购文件</w:t>
      </w:r>
      <w:r>
        <w:rPr>
          <w:rFonts w:hint="eastAsia" w:ascii="宋体" w:hAnsi="宋体" w:eastAsia="宋体" w:cs="宋体"/>
          <w:color w:val="auto"/>
          <w:sz w:val="21"/>
          <w:szCs w:val="21"/>
          <w:highlight w:val="none"/>
        </w:rPr>
        <w:t>另有规定外，按照下列规定修正：</w:t>
      </w:r>
    </w:p>
    <w:p w14:paraId="37B09B65">
      <w:pPr>
        <w:pStyle w:val="17"/>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1、磋商响应文件中</w:t>
      </w:r>
      <w:bookmarkStart w:id="1" w:name="_Hlk61427222"/>
      <w:r>
        <w:rPr>
          <w:rFonts w:hint="eastAsia" w:ascii="宋体" w:hAnsi="宋体" w:eastAsia="宋体" w:cs="宋体"/>
          <w:color w:val="auto"/>
          <w:sz w:val="21"/>
          <w:szCs w:val="21"/>
          <w:highlight w:val="none"/>
        </w:rPr>
        <w:t>开标一览表</w:t>
      </w:r>
      <w:bookmarkEnd w:id="1"/>
      <w:r>
        <w:rPr>
          <w:rFonts w:hint="eastAsia" w:ascii="宋体" w:hAnsi="宋体" w:eastAsia="宋体" w:cs="宋体"/>
          <w:color w:val="auto"/>
          <w:sz w:val="21"/>
          <w:szCs w:val="21"/>
          <w:highlight w:val="none"/>
        </w:rPr>
        <w:t>内容与磋商响应文件中相应内容不一致的，以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一览表为准</w:t>
      </w:r>
      <w:r>
        <w:rPr>
          <w:rFonts w:hint="eastAsia" w:ascii="宋体" w:hAnsi="宋体" w:eastAsia="宋体" w:cs="宋体"/>
          <w:color w:val="auto"/>
          <w:sz w:val="21"/>
          <w:szCs w:val="21"/>
          <w:highlight w:val="none"/>
          <w:lang w:eastAsia="zh-CN"/>
        </w:rPr>
        <w:t>。政采云平台开标一览表中填报的价格与上传的报价响应文件中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一览表的报价不一致的，以上传的报价响应文件中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一览表的价格为准，修正平台上的投标报价</w:t>
      </w:r>
      <w:r>
        <w:rPr>
          <w:rFonts w:hint="eastAsia" w:ascii="宋体" w:hAnsi="宋体" w:eastAsia="宋体" w:cs="宋体"/>
          <w:color w:val="auto"/>
          <w:sz w:val="21"/>
          <w:szCs w:val="21"/>
          <w:highlight w:val="none"/>
        </w:rPr>
        <w:t>；</w:t>
      </w:r>
    </w:p>
    <w:p w14:paraId="6028759A">
      <w:pPr>
        <w:pStyle w:val="17"/>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2、大写金额和小写金额不一致的，以大写金额为准；</w:t>
      </w:r>
    </w:p>
    <w:p w14:paraId="24BB6131">
      <w:pPr>
        <w:pStyle w:val="17"/>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3、单价金额小数点或者百分比有明显错位的，以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一览表的总价为准，并修改单价；</w:t>
      </w:r>
    </w:p>
    <w:p w14:paraId="4996BC6D">
      <w:pPr>
        <w:pStyle w:val="17"/>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4、总价金额与按单价汇总金额不一致的，以单价金额计算结果为准。</w:t>
      </w:r>
    </w:p>
    <w:p w14:paraId="4754150F">
      <w:pPr>
        <w:pStyle w:val="17"/>
        <w:keepNext w:val="0"/>
        <w:keepLines w:val="0"/>
        <w:pageBreakBefore w:val="0"/>
        <w:kinsoku/>
        <w:wordWrap/>
        <w:overflowPunct/>
        <w:topLinePunct w:val="0"/>
        <w:bidi w:val="0"/>
        <w:spacing w:before="0" w:beforeAutospacing="0" w:after="0" w:afterAutospacing="0" w:line="360" w:lineRule="auto"/>
        <w:ind w:firstLine="48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同时出现两种以上不一致的，按照前款规定的顺序修正。修正应当采用书面形式，并加盖公章，或者由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。修正后的报价经磋商供应商确认后产生约束力，磋商供应商不确认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的，将终止磋商。</w:t>
      </w:r>
    </w:p>
    <w:p w14:paraId="64EC0FB3">
      <w:pPr>
        <w:pStyle w:val="17"/>
        <w:keepNext w:val="0"/>
        <w:keepLines w:val="0"/>
        <w:pageBreakBefore w:val="0"/>
        <w:kinsoku/>
        <w:wordWrap/>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磋商供应商存在下列情况之一的，响应无效，终止磋商</w:t>
      </w:r>
    </w:p>
    <w:p w14:paraId="557A4CEE">
      <w:pPr>
        <w:keepNext w:val="0"/>
        <w:keepLines w:val="0"/>
        <w:pageBreakBefore w:val="0"/>
        <w:kinsoku/>
        <w:wordWrap/>
        <w:overflowPunct/>
        <w:topLinePunct w:val="0"/>
        <w:bidi w:val="0"/>
        <w:adjustRightInd w:val="0"/>
        <w:snapToGrid w:val="0"/>
        <w:spacing w:line="360" w:lineRule="auto"/>
        <w:ind w:firstLine="420"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、磋商响应文件中的报价</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lang w:eastAsia="zh-CN"/>
        </w:rPr>
        <w:t>跟</w:t>
      </w:r>
      <w:r>
        <w:rPr>
          <w:rFonts w:hint="eastAsia" w:ascii="宋体" w:hAnsi="宋体" w:eastAsia="宋体" w:cs="宋体"/>
          <w:color w:val="auto"/>
          <w:kern w:val="0"/>
          <w:sz w:val="21"/>
          <w:szCs w:val="21"/>
          <w:highlight w:val="none"/>
        </w:rPr>
        <w:t>商务与技术内容中</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lang w:eastAsia="zh-CN"/>
        </w:rPr>
        <w:t>供应</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出现重大偏差的；</w:t>
      </w:r>
    </w:p>
    <w:p w14:paraId="5978C420">
      <w:pPr>
        <w:pStyle w:val="17"/>
        <w:keepNext w:val="0"/>
        <w:keepLines w:val="0"/>
        <w:pageBreakBefore w:val="0"/>
        <w:tabs>
          <w:tab w:val="left" w:pos="7380"/>
        </w:tabs>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、不具备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中规定的资格要求的。</w:t>
      </w:r>
    </w:p>
    <w:p w14:paraId="294366B3">
      <w:pPr>
        <w:pStyle w:val="17"/>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、磋商响应文件含有采购人不能接受的附加条</w:t>
      </w:r>
      <w:r>
        <w:rPr>
          <w:rFonts w:hint="eastAsia" w:ascii="宋体" w:hAnsi="宋体" w:eastAsia="宋体" w:cs="宋体"/>
          <w:color w:val="auto"/>
          <w:sz w:val="21"/>
          <w:szCs w:val="21"/>
          <w:highlight w:val="none"/>
        </w:rPr>
        <w:t>件的。</w:t>
      </w:r>
    </w:p>
    <w:p w14:paraId="2A923AFE">
      <w:pPr>
        <w:keepNext w:val="0"/>
        <w:keepLines w:val="0"/>
        <w:pageBreakBefore w:val="0"/>
        <w:kinsoku/>
        <w:wordWrap/>
        <w:overflowPunct/>
        <w:topLinePunct w:val="0"/>
        <w:bidi w:val="0"/>
        <w:adjustRightInd w:val="0"/>
        <w:snapToGrid w:val="0"/>
        <w:spacing w:line="360" w:lineRule="auto"/>
        <w:ind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、供应商代表人未能出具身份证明或与法定代表人授权委托人身份不符的</w:t>
      </w:r>
      <w:r>
        <w:rPr>
          <w:rFonts w:hint="eastAsia" w:ascii="宋体" w:hAnsi="宋体" w:eastAsia="宋体" w:cs="宋体"/>
          <w:b w:val="0"/>
          <w:bCs w:val="0"/>
          <w:color w:val="auto"/>
          <w:kern w:val="2"/>
          <w:sz w:val="21"/>
          <w:szCs w:val="21"/>
          <w:highlight w:val="none"/>
          <w:lang w:val="en-US" w:eastAsia="zh-CN" w:bidi="ar-SA"/>
        </w:rPr>
        <w:t>（受疫情期间影响供应商代表人无需现场参加磋商会议）</w:t>
      </w:r>
      <w:r>
        <w:rPr>
          <w:rFonts w:hint="eastAsia" w:ascii="宋体" w:hAnsi="宋体" w:eastAsia="宋体" w:cs="宋体"/>
          <w:color w:val="auto"/>
          <w:sz w:val="21"/>
          <w:szCs w:val="21"/>
          <w:highlight w:val="none"/>
        </w:rPr>
        <w:t>；</w:t>
      </w:r>
    </w:p>
    <w:p w14:paraId="2CB515FF">
      <w:pPr>
        <w:pStyle w:val="17"/>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5D040FDC">
      <w:pPr>
        <w:pStyle w:val="17"/>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、报价超过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中规定的预算金额/最高限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价。</w:t>
      </w:r>
    </w:p>
    <w:p w14:paraId="415F4C0A">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、磋商参数未如实填写，完全复制粘贴</w:t>
      </w:r>
      <w:r>
        <w:rPr>
          <w:rFonts w:hint="eastAsia" w:ascii="宋体" w:hAnsi="宋体" w:eastAsia="宋体" w:cs="宋体"/>
          <w:color w:val="auto"/>
          <w:kern w:val="0"/>
          <w:sz w:val="21"/>
          <w:szCs w:val="21"/>
          <w:highlight w:val="none"/>
          <w:lang w:eastAsia="zh-CN"/>
        </w:rPr>
        <w:t>招标</w:t>
      </w:r>
      <w:r>
        <w:rPr>
          <w:rFonts w:hint="eastAsia" w:ascii="宋体" w:hAnsi="宋体" w:eastAsia="宋体" w:cs="宋体"/>
          <w:color w:val="auto"/>
          <w:kern w:val="0"/>
          <w:sz w:val="21"/>
          <w:szCs w:val="21"/>
          <w:highlight w:val="none"/>
        </w:rPr>
        <w:t>参数的。</w:t>
      </w:r>
    </w:p>
    <w:p w14:paraId="05312DAF">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、磋商响应文件提供虚假材料的。</w:t>
      </w:r>
    </w:p>
    <w:p w14:paraId="35B3D74D">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不同供应商的磋商响应文件由同一单位或者个人编制；</w:t>
      </w:r>
    </w:p>
    <w:p w14:paraId="1150E702">
      <w:pPr>
        <w:pStyle w:val="17"/>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、不同供应商委托同一单位或者个人办理磋商事宜；</w:t>
      </w:r>
    </w:p>
    <w:p w14:paraId="2EFF5907">
      <w:pPr>
        <w:pStyle w:val="17"/>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、不同供应商的磋商响应文件载明的项目管理成员或者联系人员为同一人；</w:t>
      </w:r>
    </w:p>
    <w:p w14:paraId="25141BA5">
      <w:pPr>
        <w:pStyle w:val="17"/>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、不同供应商的磋商响应文件异常一致或者报价呈规律性差异；</w:t>
      </w:r>
    </w:p>
    <w:p w14:paraId="5175368D">
      <w:pPr>
        <w:pStyle w:val="17"/>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、不同供应商的磋商响应文件相互混装；</w:t>
      </w:r>
    </w:p>
    <w:p w14:paraId="3B665C56">
      <w:pPr>
        <w:keepNext w:val="0"/>
        <w:keepLines w:val="0"/>
        <w:pageBreakBefore w:val="0"/>
        <w:kinsoku/>
        <w:wordWrap/>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、不符合法律、法规和</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中规定的其他实质性要求的（</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中打“▲”内容及被拒绝的条款）。</w:t>
      </w:r>
    </w:p>
    <w:p w14:paraId="41B9F37B">
      <w:pPr>
        <w:pStyle w:val="17"/>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15、投标人的电子响应文件无法按时解密且本项目未达到启动备份文件条件的。</w:t>
      </w:r>
    </w:p>
    <w:p w14:paraId="6F2445B2">
      <w:pPr>
        <w:pStyle w:val="17"/>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16、电子磋商响应文件解密失败的，且未在规定时间内提交备份磋商响应文件的；</w:t>
      </w:r>
    </w:p>
    <w:p w14:paraId="2530C12D">
      <w:pPr>
        <w:pStyle w:val="7"/>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val="0"/>
          <w:bCs w:val="0"/>
          <w:color w:val="auto"/>
          <w:highlight w:val="none"/>
        </w:rPr>
      </w:pPr>
      <w:r>
        <w:rPr>
          <w:rFonts w:hint="eastAsia" w:ascii="宋体" w:hAnsi="宋体" w:eastAsia="宋体" w:cs="宋体"/>
          <w:b w:val="0"/>
          <w:bCs w:val="0"/>
          <w:color w:val="auto"/>
          <w:kern w:val="2"/>
          <w:sz w:val="21"/>
          <w:szCs w:val="21"/>
          <w:highlight w:val="none"/>
          <w:lang w:val="en-US" w:eastAsia="zh-CN" w:bidi="ar-SA"/>
        </w:rPr>
        <w:t>17、电子磋商响应文件未按规定要求提供电子签章的。</w:t>
      </w:r>
    </w:p>
    <w:p w14:paraId="518E9266">
      <w:pPr>
        <w:keepNext w:val="0"/>
        <w:keepLines w:val="0"/>
        <w:pageBreakBefore w:val="0"/>
        <w:kinsoku/>
        <w:wordWrap/>
        <w:overflowPunct/>
        <w:topLinePunct w:val="0"/>
        <w:autoSpaceDE w:val="0"/>
        <w:autoSpaceDN w:val="0"/>
        <w:bidi w:val="0"/>
        <w:adjustRightInd w:val="0"/>
        <w:spacing w:line="360" w:lineRule="auto"/>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七</w:t>
      </w:r>
      <w:r>
        <w:rPr>
          <w:rFonts w:hint="eastAsia" w:ascii="宋体" w:hAnsi="宋体" w:eastAsia="宋体" w:cs="宋体"/>
          <w:b/>
          <w:color w:val="auto"/>
          <w:kern w:val="0"/>
          <w:sz w:val="21"/>
          <w:szCs w:val="21"/>
          <w:highlight w:val="none"/>
        </w:rPr>
        <w:t>）有下列情况之一的，本次磋商终止</w:t>
      </w:r>
    </w:p>
    <w:p w14:paraId="316134F9">
      <w:pPr>
        <w:pStyle w:val="17"/>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347E7530">
      <w:pPr>
        <w:pStyle w:val="17"/>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2、磋商小组发现磋商文件存在歧义、重大缺陷导致评审工作无法进行，或者磋商文件内容违反国家有关强制性规定的； </w:t>
      </w:r>
    </w:p>
    <w:p w14:paraId="076CAE30">
      <w:pPr>
        <w:pStyle w:val="17"/>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7BA4CB21">
      <w:pPr>
        <w:pStyle w:val="17"/>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4、法律、法规和磋商文件规定的其他导致评审结果无效的。</w:t>
      </w:r>
    </w:p>
    <w:p w14:paraId="7CA420F3">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八</w:t>
      </w:r>
      <w:r>
        <w:rPr>
          <w:rFonts w:hint="eastAsia" w:ascii="宋体" w:hAnsi="宋体" w:eastAsia="宋体" w:cs="宋体"/>
          <w:b/>
          <w:color w:val="auto"/>
          <w:kern w:val="0"/>
          <w:sz w:val="21"/>
          <w:szCs w:val="21"/>
          <w:highlight w:val="none"/>
        </w:rPr>
        <w:t>）磋商原则和方法</w:t>
      </w:r>
    </w:p>
    <w:p w14:paraId="6F64B4B8">
      <w:pPr>
        <w:pStyle w:val="9"/>
        <w:keepNext w:val="0"/>
        <w:keepLines w:val="0"/>
        <w:pageBreakBefore w:val="0"/>
        <w:kinsoku/>
        <w:wordWrap/>
        <w:overflowPunct/>
        <w:topLinePunct w:val="0"/>
        <w:bidi w:val="0"/>
        <w:snapToGrid w:val="0"/>
        <w:spacing w:line="360" w:lineRule="auto"/>
        <w:ind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47843F2B">
      <w:pPr>
        <w:pStyle w:val="9"/>
        <w:keepNext w:val="0"/>
        <w:keepLines w:val="0"/>
        <w:pageBreakBefore w:val="0"/>
        <w:kinsoku/>
        <w:wordWrap/>
        <w:overflowPunct/>
        <w:topLinePunct w:val="0"/>
        <w:bidi w:val="0"/>
        <w:snapToGrid w:val="0"/>
        <w:spacing w:line="360" w:lineRule="auto"/>
        <w:ind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2、磋商办法。具体磋商内容及评分标准等详见《第</w:t>
      </w:r>
      <w:r>
        <w:rPr>
          <w:rFonts w:hint="eastAsia" w:ascii="宋体" w:hAnsi="宋体" w:eastAsia="宋体" w:cs="宋体"/>
          <w:color w:val="auto"/>
          <w:sz w:val="21"/>
          <w:szCs w:val="21"/>
          <w:highlight w:val="none"/>
          <w:lang w:eastAsia="zh-CN"/>
        </w:rPr>
        <w:t>三章</w:t>
      </w:r>
      <w:r>
        <w:rPr>
          <w:rFonts w:hint="eastAsia" w:ascii="宋体" w:hAnsi="宋体" w:eastAsia="宋体" w:cs="宋体"/>
          <w:color w:val="auto"/>
          <w:sz w:val="21"/>
          <w:szCs w:val="21"/>
          <w:highlight w:val="none"/>
        </w:rPr>
        <w:t>：评审</w:t>
      </w:r>
      <w:r>
        <w:rPr>
          <w:rFonts w:hint="eastAsia" w:hAnsi="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3A1C949D">
      <w:pPr>
        <w:pStyle w:val="9"/>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）评审过程的监控</w:t>
      </w:r>
    </w:p>
    <w:p w14:paraId="4E4AA824">
      <w:pPr>
        <w:pStyle w:val="17"/>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本项目评审过程实行全程录音、录像监控，政府采购监管部门</w:t>
      </w:r>
      <w:r>
        <w:rPr>
          <w:rFonts w:hint="eastAsia" w:ascii="宋体" w:hAnsi="宋体" w:eastAsia="宋体" w:cs="宋体"/>
          <w:color w:val="auto"/>
          <w:sz w:val="21"/>
          <w:szCs w:val="21"/>
          <w:highlight w:val="none"/>
          <w:lang w:eastAsia="zh-CN"/>
        </w:rPr>
        <w:t>视情</w:t>
      </w:r>
      <w:r>
        <w:rPr>
          <w:rFonts w:hint="eastAsia" w:ascii="宋体" w:hAnsi="宋体" w:eastAsia="宋体" w:cs="宋体"/>
          <w:color w:val="auto"/>
          <w:sz w:val="21"/>
          <w:szCs w:val="21"/>
          <w:highlight w:val="none"/>
        </w:rPr>
        <w:t>进行现场监督，供应商在评审过程中所进行的试图影响评审结果的不公正活动，可能导致其被拒绝磋商。</w:t>
      </w:r>
    </w:p>
    <w:p w14:paraId="18B1ACD2">
      <w:pPr>
        <w:keepNext w:val="0"/>
        <w:keepLines w:val="0"/>
        <w:pageBreakBefore w:val="0"/>
        <w:kinsoku/>
        <w:wordWrap/>
        <w:overflowPunct/>
        <w:topLinePunct w:val="0"/>
        <w:bidi w:val="0"/>
        <w:adjustRightInd w:val="0"/>
        <w:snapToGrid w:val="0"/>
        <w:spacing w:line="360" w:lineRule="auto"/>
        <w:jc w:val="left"/>
        <w:outlineLvl w:val="9"/>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lang w:val="en-US" w:eastAsia="zh-CN"/>
        </w:rPr>
        <w:t>（十）</w:t>
      </w:r>
      <w:r>
        <w:rPr>
          <w:rFonts w:hint="eastAsia" w:ascii="宋体" w:hAnsi="宋体" w:eastAsia="宋体" w:cs="宋体"/>
          <w:b/>
          <w:bCs w:val="0"/>
          <w:color w:val="auto"/>
          <w:szCs w:val="21"/>
          <w:highlight w:val="none"/>
        </w:rPr>
        <w:t>电子交易异常情形处理</w:t>
      </w:r>
    </w:p>
    <w:p w14:paraId="03935F0A">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采购过程中出现以下情形，导致电子交易平台无法正常运行，或者无法保证电子交易的公平、公正和安全时，采购组织机构可中止电子交易活动：</w:t>
      </w:r>
    </w:p>
    <w:p w14:paraId="7877B9A6">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rPr>
        <w:t>电子交易平台发生故障而无法登录访问的；</w:t>
      </w:r>
    </w:p>
    <w:p w14:paraId="78467080">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电子交易平台应用或数据库出现错误，不能进行正常操作的；</w:t>
      </w:r>
    </w:p>
    <w:p w14:paraId="545EBB22">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电子交易平台发现严重安全漏洞，有潜在泄密危险的；</w:t>
      </w:r>
    </w:p>
    <w:p w14:paraId="3D96A54C">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病毒发作导致不能进行正常操作的；</w:t>
      </w:r>
    </w:p>
    <w:p w14:paraId="01F9AAE1">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其他无法保证电子交易的公平、公正和安全的情况。</w:t>
      </w:r>
    </w:p>
    <w:p w14:paraId="57EA38F2">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出现</w:t>
      </w:r>
      <w:r>
        <w:rPr>
          <w:rFonts w:hint="eastAsia" w:ascii="宋体" w:hAnsi="宋体" w:eastAsia="宋体" w:cs="宋体"/>
          <w:b w:val="0"/>
          <w:bCs/>
          <w:color w:val="auto"/>
          <w:szCs w:val="21"/>
          <w:highlight w:val="none"/>
          <w:lang w:eastAsia="zh-CN"/>
        </w:rPr>
        <w:t>以上</w:t>
      </w:r>
      <w:r>
        <w:rPr>
          <w:rFonts w:hint="eastAsia" w:ascii="宋体" w:hAnsi="宋体" w:eastAsia="宋体" w:cs="宋体"/>
          <w:b w:val="0"/>
          <w:bCs/>
          <w:color w:val="auto"/>
          <w:szCs w:val="21"/>
          <w:highlight w:val="none"/>
        </w:rPr>
        <w:t>规定情形，不影响采购公平、公正性的，采购组织机构可以待上述情形消除后继续组织电子交易活动，也可以决定某些环节以纸质形式进行；影响或可能影响采购公平、公正性的，应当重新采购</w:t>
      </w:r>
      <w:r>
        <w:rPr>
          <w:rFonts w:hint="eastAsia" w:ascii="宋体" w:hAnsi="宋体" w:eastAsia="宋体" w:cs="宋体"/>
          <w:b w:val="0"/>
          <w:bCs/>
          <w:color w:val="auto"/>
          <w:szCs w:val="21"/>
          <w:highlight w:val="none"/>
          <w:lang w:eastAsia="zh-CN"/>
        </w:rPr>
        <w:t>。</w:t>
      </w:r>
    </w:p>
    <w:p w14:paraId="029D8F88">
      <w:pPr>
        <w:keepNext w:val="0"/>
        <w:keepLines w:val="0"/>
        <w:pageBreakBefore w:val="0"/>
        <w:kinsoku/>
        <w:wordWrap/>
        <w:overflowPunct/>
        <w:topLinePunct w:val="0"/>
        <w:bidi w:val="0"/>
        <w:adjustRightInd w:val="0"/>
        <w:snapToGrid w:val="0"/>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rPr>
        <w:t>磋商结果确定</w:t>
      </w:r>
    </w:p>
    <w:p w14:paraId="5C76F39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7C80E06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2DE8719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3、发出成交通知书。采购组织机构在发布成交结果同时，向成交供应商发出成交通知书。</w:t>
      </w:r>
    </w:p>
    <w:p w14:paraId="0F165A04">
      <w:pPr>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0011B3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招标代理费：</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06C054B8">
      <w:pPr>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724F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253FD5E4">
            <w:pPr>
              <w:keepNext w:val="0"/>
              <w:keepLines w:val="0"/>
              <w:pageBreakBefore w:val="0"/>
              <w:kinsoku/>
              <w:wordWrap/>
              <w:overflowPunct/>
              <w:topLinePunct w:val="0"/>
              <w:bidi w:val="0"/>
              <w:spacing w:line="240" w:lineRule="auto"/>
              <w:ind w:firstLine="1470" w:firstLineChars="700"/>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-59690</wp:posOffset>
                      </wp:positionH>
                      <wp:positionV relativeFrom="paragraph">
                        <wp:posOffset>40005</wp:posOffset>
                      </wp:positionV>
                      <wp:extent cx="1612265" cy="762000"/>
                      <wp:effectExtent l="1905" t="4445" r="5080" b="14605"/>
                      <wp:wrapNone/>
                      <wp:docPr id="6" name="直接连接符 6"/>
                      <wp:cNvGraphicFramePr/>
                      <a:graphic xmlns:a="http://schemas.openxmlformats.org/drawingml/2006/main">
                        <a:graphicData uri="http://schemas.microsoft.com/office/word/2010/wordprocessingShape">
                          <wps:wsp>
                            <wps:cNvCnPr/>
                            <wps:spPr>
                              <a:xfrm flipH="1" flipV="1">
                                <a:off x="999490" y="935355"/>
                                <a:ext cx="1612265"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7pt;margin-top:3.15pt;height:60pt;width:126.95pt;z-index:251664384;mso-width-relative:page;mso-height-relative:page;" filled="f" stroked="t" coordsize="21600,21600" o:gfxdata="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KugDUAAAACAEAAA8AAAAAAAAAAQAgAAAAIgAA&#10;AGRycy9kb3ducmV2LnhtbFBLAQIUABQAAAAIAIdO4kAcV3xrDAIAAPYDAAAOAAAAAAAAAAEAIAAA&#10;ACMBAABkcnMvZTJvRG9jLnhtbFBLBQYAAAAABgAGAFkBAAChBQ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890905" cy="810260"/>
                      <wp:effectExtent l="3175" t="3810" r="20320" b="5080"/>
                      <wp:wrapNone/>
                      <wp:docPr id="4" name="直接连接符 4"/>
                      <wp:cNvGraphicFramePr/>
                      <a:graphic xmlns:a="http://schemas.openxmlformats.org/drawingml/2006/main">
                        <a:graphicData uri="http://schemas.microsoft.com/office/word/2010/wordprocessingShape">
                          <wps:wsp>
                            <wps:cNvCnPr/>
                            <wps:spPr>
                              <a:xfrm>
                                <a:off x="1812925" y="964565"/>
                                <a:ext cx="890905" cy="810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63.8pt;width:70.15pt;z-index:251663360;mso-width-relative:page;mso-height-relative:page;" filled="f" stroked="t" coordsize="21600,21600" o:gfxdata="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YoEdUAAAAIAQAADwAAAAAAAAABACAAAAAiAAAAZHJzL2Rvd25y&#10;ZXYueG1sUEsBAhQAFAAAAAgAh07iQH+nxrs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2F0E1CCC">
            <w:pPr>
              <w:keepNext w:val="0"/>
              <w:keepLines w:val="0"/>
              <w:pageBreakBefore w:val="0"/>
              <w:kinsoku/>
              <w:wordWrap/>
              <w:overflowPunct/>
              <w:topLinePunct w:val="0"/>
              <w:bidi w:val="0"/>
              <w:spacing w:line="240" w:lineRule="auto"/>
              <w:ind w:firstLine="1054" w:firstLineChars="5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5FDD00FC">
            <w:pPr>
              <w:keepNext w:val="0"/>
              <w:keepLines w:val="0"/>
              <w:pageBreakBefore w:val="0"/>
              <w:kinsoku/>
              <w:wordWrap/>
              <w:overflowPunct/>
              <w:topLinePunct w:val="0"/>
              <w:bidi w:val="0"/>
              <w:spacing w:line="240" w:lineRule="auto"/>
              <w:ind w:firstLine="1476" w:firstLineChars="7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545DBE01">
            <w:pPr>
              <w:keepNext w:val="0"/>
              <w:keepLines w:val="0"/>
              <w:pageBreakBefore w:val="0"/>
              <w:kinsoku/>
              <w:wordWrap/>
              <w:overflowPunct/>
              <w:topLinePunct w:val="0"/>
              <w:bidi w:val="0"/>
              <w:spacing w:line="24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56AD052F">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3452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D1D0B2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79ED5B9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3092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228E60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2C13908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2D6A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E183CB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5DA91B8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413B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23063D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381FEBD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011F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364BA6F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31784A5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710F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jc w:val="center"/>
        </w:trPr>
        <w:tc>
          <w:tcPr>
            <w:tcW w:w="2556" w:type="dxa"/>
          </w:tcPr>
          <w:p w14:paraId="21508A8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540B806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3AA6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8" w:hRule="atLeast"/>
          <w:jc w:val="center"/>
        </w:trPr>
        <w:tc>
          <w:tcPr>
            <w:tcW w:w="2556" w:type="dxa"/>
          </w:tcPr>
          <w:p w14:paraId="4B37228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2173ECF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2E28BBA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17D966C0">
      <w:pPr>
        <w:keepNext w:val="0"/>
        <w:keepLines w:val="0"/>
        <w:pageBreakBefore w:val="0"/>
        <w:kinsoku/>
        <w:wordWrap/>
        <w:overflowPunct/>
        <w:topLinePunct w:val="0"/>
        <w:bidi w:val="0"/>
        <w:spacing w:line="360" w:lineRule="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、合同签订及公告</w:t>
      </w:r>
    </w:p>
    <w:p w14:paraId="567C6A0E">
      <w:pPr>
        <w:pStyle w:val="8"/>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pacing w:line="360" w:lineRule="auto"/>
        <w:ind w:left="0" w:leftChars="0" w:firstLine="0" w:firstLineChars="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rPr>
        <w:t>签订合同</w:t>
      </w:r>
    </w:p>
    <w:p w14:paraId="11A82A69">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1、采购人应当自成交通知书发出之日起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日内，按照磋商采购文件确定的合同文本以及采购标的、规格型号、采购金额、采购数量和服务要求等事项签订政府采购合同。</w:t>
      </w:r>
    </w:p>
    <w:p w14:paraId="4FBA26AC">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74EA5C77">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3、成交供应商无故拖延、拒签合同的,取消成交资格。</w:t>
      </w:r>
    </w:p>
    <w:p w14:paraId="79BEE3BC">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518AC139">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5、询问或者质疑事项可能影响成交结果的，采购人应当暂停签订合同，已经签订合同的，应当中止履行合同（成交结果的质疑期为成交结果公告期限届满之日起七个工作日）。</w:t>
      </w:r>
    </w:p>
    <w:p w14:paraId="3EE0FFBF">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（二）合同公告及备案</w:t>
      </w:r>
    </w:p>
    <w:p w14:paraId="1B7865BF">
      <w:pPr>
        <w:pStyle w:val="7"/>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68FD74D0">
      <w:pPr>
        <w:pStyle w:val="7"/>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00BCCCBD">
      <w:pPr>
        <w:spacing w:line="360" w:lineRule="auto"/>
        <w:jc w:val="both"/>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p>
    <w:p w14:paraId="5150C619">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第三章 </w:t>
      </w:r>
      <w:r>
        <w:rPr>
          <w:rFonts w:hint="eastAsia" w:ascii="宋体" w:hAnsi="宋体" w:eastAsia="宋体" w:cs="宋体"/>
          <w:b/>
          <w:color w:val="auto"/>
          <w:sz w:val="36"/>
          <w:szCs w:val="36"/>
          <w:highlight w:val="none"/>
          <w:lang w:eastAsia="zh-CN"/>
        </w:rPr>
        <w:t>评审办法及评审标准</w:t>
      </w:r>
    </w:p>
    <w:p w14:paraId="7AA08159">
      <w:pPr>
        <w:autoSpaceDE w:val="0"/>
        <w:autoSpaceDN w:val="0"/>
        <w:spacing w:line="360" w:lineRule="auto"/>
        <w:ind w:firstLine="420" w:firstLineChars="200"/>
        <w:rPr>
          <w:rFonts w:hint="eastAsia" w:ascii="宋体" w:hAnsi="宋体" w:eastAsia="宋体" w:cs="宋体"/>
          <w:b/>
          <w:i/>
          <w:color w:val="auto"/>
          <w:kern w:val="0"/>
          <w:sz w:val="21"/>
          <w:szCs w:val="21"/>
          <w:highlight w:val="none"/>
        </w:rPr>
      </w:pPr>
      <w:r>
        <w:rPr>
          <w:rFonts w:hint="eastAsia" w:ascii="宋体" w:hAnsi="宋体" w:eastAsia="宋体" w:cs="宋体"/>
          <w:color w:val="auto"/>
          <w:kern w:val="0"/>
          <w:sz w:val="21"/>
          <w:szCs w:val="21"/>
          <w:highlight w:val="none"/>
        </w:rPr>
        <w:t>一、采购组织机构将组织</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rPr>
        <w:t>，对</w:t>
      </w: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提供的</w:t>
      </w:r>
      <w:r>
        <w:rPr>
          <w:rFonts w:hint="eastAsia" w:ascii="宋体" w:hAnsi="宋体" w:eastAsia="宋体" w:cs="宋体"/>
          <w:color w:val="auto"/>
          <w:sz w:val="21"/>
          <w:szCs w:val="21"/>
          <w:highlight w:val="none"/>
        </w:rPr>
        <w:t>磋商响应文件</w:t>
      </w:r>
      <w:r>
        <w:rPr>
          <w:rFonts w:hint="eastAsia" w:ascii="宋体" w:hAnsi="宋体" w:eastAsia="宋体" w:cs="宋体"/>
          <w:color w:val="auto"/>
          <w:kern w:val="0"/>
          <w:sz w:val="21"/>
          <w:szCs w:val="21"/>
          <w:highlight w:val="none"/>
        </w:rPr>
        <w:t xml:space="preserve">进行综合评审。   </w:t>
      </w:r>
    </w:p>
    <w:p w14:paraId="588D9D5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二、本次磋商项目的评审方法为</w:t>
      </w:r>
      <w:r>
        <w:rPr>
          <w:rFonts w:hint="eastAsia" w:ascii="宋体" w:hAnsi="宋体" w:eastAsia="宋体" w:cs="宋体"/>
          <w:b/>
          <w:color w:val="auto"/>
          <w:kern w:val="0"/>
          <w:sz w:val="21"/>
          <w:szCs w:val="21"/>
          <w:highlight w:val="none"/>
        </w:rPr>
        <w:t>综合评分法</w:t>
      </w:r>
      <w:r>
        <w:rPr>
          <w:rFonts w:hint="eastAsia" w:ascii="宋体" w:hAnsi="宋体" w:eastAsia="宋体" w:cs="宋体"/>
          <w:color w:val="auto"/>
          <w:kern w:val="0"/>
          <w:sz w:val="21"/>
          <w:szCs w:val="21"/>
          <w:highlight w:val="none"/>
        </w:rPr>
        <w:t>，总计100分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其中</w:t>
      </w:r>
      <w:r>
        <w:rPr>
          <w:rFonts w:hint="eastAsia" w:ascii="宋体" w:hAnsi="宋体" w:eastAsia="宋体" w:cs="宋体"/>
          <w:color w:val="auto"/>
          <w:sz w:val="21"/>
          <w:szCs w:val="21"/>
          <w:highlight w:val="none"/>
          <w:lang w:val="zh-CN"/>
        </w:rPr>
        <w:t>商务技术分值</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分，投标报价分值</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评审标</w:t>
      </w:r>
      <w:r>
        <w:rPr>
          <w:rFonts w:hint="eastAsia" w:ascii="宋体" w:hAnsi="宋体" w:eastAsia="宋体" w:cs="宋体"/>
          <w:color w:val="auto"/>
          <w:kern w:val="0"/>
          <w:sz w:val="21"/>
          <w:szCs w:val="21"/>
          <w:highlight w:val="none"/>
        </w:rPr>
        <w:t>准按评分细化条款及分值进行评审。</w:t>
      </w:r>
    </w:p>
    <w:p w14:paraId="2113A21F">
      <w:pPr>
        <w:autoSpaceDE w:val="0"/>
        <w:autoSpaceDN w:val="0"/>
        <w:adjustRightInd w:val="0"/>
        <w:spacing w:line="360" w:lineRule="auto"/>
        <w:ind w:right="84" w:firstLine="472"/>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（一）商</w:t>
      </w:r>
      <w:r>
        <w:rPr>
          <w:rFonts w:hint="eastAsia" w:ascii="宋体" w:hAnsi="宋体" w:eastAsia="宋体" w:cs="宋体"/>
          <w:bCs/>
          <w:color w:val="auto"/>
          <w:sz w:val="21"/>
          <w:szCs w:val="21"/>
          <w:highlight w:val="none"/>
          <w:lang w:val="zh-CN"/>
        </w:rPr>
        <w:t>务技术文件中的客观分</w:t>
      </w:r>
      <w:r>
        <w:rPr>
          <w:rFonts w:hint="eastAsia" w:ascii="宋体" w:hAnsi="宋体" w:eastAsia="宋体" w:cs="宋体"/>
          <w:color w:val="auto"/>
          <w:sz w:val="21"/>
          <w:szCs w:val="21"/>
          <w:highlight w:val="none"/>
          <w:lang w:val="zh-CN"/>
        </w:rPr>
        <w:t>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bCs/>
          <w:color w:val="auto"/>
          <w:sz w:val="21"/>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bCs/>
          <w:color w:val="auto"/>
          <w:sz w:val="21"/>
          <w:szCs w:val="21"/>
          <w:highlight w:val="none"/>
          <w:lang w:val="zh-CN"/>
        </w:rPr>
        <w:t>。</w:t>
      </w:r>
    </w:p>
    <w:p w14:paraId="37C7C26F">
      <w:pPr>
        <w:autoSpaceDE w:val="0"/>
        <w:autoSpaceDN w:val="0"/>
        <w:adjustRightInd w:val="0"/>
        <w:spacing w:line="360" w:lineRule="auto"/>
        <w:ind w:right="84" w:firstLine="472"/>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bCs/>
          <w:color w:val="auto"/>
          <w:sz w:val="21"/>
          <w:szCs w:val="21"/>
          <w:highlight w:val="none"/>
          <w:lang w:val="zh-CN"/>
        </w:rPr>
        <w:t>（二）各磋商供应商商务技术文件</w:t>
      </w:r>
      <w:r>
        <w:rPr>
          <w:rFonts w:hint="eastAsia" w:ascii="宋体" w:hAnsi="宋体" w:eastAsia="宋体" w:cs="宋体"/>
          <w:color w:val="auto"/>
          <w:kern w:val="0"/>
          <w:sz w:val="21"/>
          <w:szCs w:val="21"/>
          <w:highlight w:val="none"/>
          <w:lang w:val="zh-CN"/>
        </w:rPr>
        <w:t>得分</w:t>
      </w:r>
      <w:r>
        <w:rPr>
          <w:rFonts w:hint="eastAsia" w:ascii="宋体" w:hAnsi="宋体" w:eastAsia="宋体" w:cs="宋体"/>
          <w:color w:val="auto"/>
          <w:kern w:val="0"/>
          <w:sz w:val="21"/>
          <w:szCs w:val="21"/>
          <w:highlight w:val="none"/>
          <w:lang w:val="zh-CN"/>
        </w:rPr>
        <w:t>按照</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lang w:val="zh-CN"/>
        </w:rPr>
        <w:t>成</w:t>
      </w:r>
      <w:r>
        <w:rPr>
          <w:rFonts w:hint="eastAsia" w:ascii="宋体" w:hAnsi="宋体" w:eastAsia="宋体" w:cs="宋体"/>
          <w:bCs/>
          <w:color w:val="auto"/>
          <w:sz w:val="21"/>
          <w:szCs w:val="21"/>
          <w:highlight w:val="none"/>
          <w:lang w:val="zh-CN"/>
        </w:rPr>
        <w:t>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zh-CN"/>
        </w:rPr>
        <w:t>，计算公式为：</w:t>
      </w:r>
    </w:p>
    <w:p w14:paraId="5EF3B0A7">
      <w:pPr>
        <w:autoSpaceDE w:val="0"/>
        <w:autoSpaceDN w:val="0"/>
        <w:adjustRightInd w:val="0"/>
        <w:spacing w:line="360" w:lineRule="auto"/>
        <w:ind w:right="84" w:firstLine="472"/>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color w:val="auto"/>
          <w:sz w:val="21"/>
          <w:szCs w:val="21"/>
          <w:highlight w:val="none"/>
        </w:rPr>
        <w:t>商务技术文件得分</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所有成员评分合计数/</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组成人员数。</w:t>
      </w:r>
    </w:p>
    <w:p w14:paraId="5FAF18D5">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（三）</w:t>
      </w:r>
      <w:r>
        <w:rPr>
          <w:rFonts w:hint="eastAsia" w:ascii="宋体" w:hAnsi="宋体" w:eastAsia="宋体" w:cs="宋体"/>
          <w:color w:val="auto"/>
          <w:sz w:val="21"/>
          <w:szCs w:val="21"/>
          <w:highlight w:val="none"/>
          <w:u w:val="single"/>
        </w:rPr>
        <w:t>综合评分法中的价格分统一</w:t>
      </w:r>
      <w:r>
        <w:rPr>
          <w:rFonts w:hint="eastAsia" w:ascii="宋体" w:hAnsi="宋体" w:eastAsia="宋体" w:cs="宋体"/>
          <w:color w:val="auto"/>
          <w:sz w:val="21"/>
          <w:szCs w:val="21"/>
          <w:highlight w:val="none"/>
          <w:lang w:val="zh-CN"/>
        </w:rPr>
        <w:t>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，即满足磋商文件要求且最后报价最低的供应商的价格作为</w:t>
      </w:r>
      <w:r>
        <w:rPr>
          <w:rFonts w:hint="eastAsia" w:ascii="宋体" w:hAnsi="宋体" w:eastAsia="宋体" w:cs="宋体"/>
          <w:color w:val="auto"/>
          <w:sz w:val="21"/>
          <w:szCs w:val="21"/>
          <w:highlight w:val="none"/>
          <w:lang w:val="zh-CN"/>
        </w:rPr>
        <w:t>磋商基准价，其报价得满分。其他供应商的价格分统一按照下列公式计算：</w:t>
      </w:r>
    </w:p>
    <w:p w14:paraId="1F76D092">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u w:val="single"/>
        </w:rPr>
        <w:t>磋商报价得分=</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zh-CN"/>
        </w:rPr>
        <w:t>磋商基准价</w:t>
      </w:r>
      <w:r>
        <w:rPr>
          <w:rFonts w:hint="eastAsia" w:ascii="宋体" w:hAnsi="宋体" w:eastAsia="宋体" w:cs="宋体"/>
          <w:color w:val="auto"/>
          <w:sz w:val="21"/>
          <w:szCs w:val="21"/>
          <w:highlight w:val="none"/>
          <w:u w:val="single"/>
        </w:rPr>
        <w:t>／最后磋商报价)×</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×100。</w:t>
      </w:r>
    </w:p>
    <w:p w14:paraId="7DCF450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注：本项目专门面向中小企业采购，价格评审时，中小微企业的投标价格不做扣除。</w:t>
      </w:r>
    </w:p>
    <w:p w14:paraId="3E07B14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（四）</w:t>
      </w:r>
      <w:r>
        <w:rPr>
          <w:rFonts w:hint="eastAsia" w:ascii="宋体" w:hAnsi="宋体" w:eastAsia="宋体" w:cs="宋体"/>
          <w:bCs/>
          <w:color w:val="auto"/>
          <w:sz w:val="21"/>
          <w:szCs w:val="21"/>
          <w:highlight w:val="none"/>
          <w:lang w:val="zh-CN"/>
        </w:rPr>
        <w:t>磋商供应商</w:t>
      </w:r>
      <w:r>
        <w:rPr>
          <w:rFonts w:hint="eastAsia" w:asciiTheme="minorEastAsia" w:hAnsiTheme="minorEastAsia" w:eastAsiaTheme="minorEastAsia" w:cstheme="minorEastAsia"/>
          <w:color w:val="auto"/>
          <w:sz w:val="21"/>
          <w:szCs w:val="21"/>
          <w:highlight w:val="none"/>
          <w:lang w:val="zh-CN"/>
        </w:rPr>
        <w:t>综合得分＝商务技术文件得分＋投标报价得分。</w:t>
      </w:r>
    </w:p>
    <w:p w14:paraId="7B86CC49">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三、在最大限度地满足磋商文件实质性要求前提下，</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szCs w:val="21"/>
          <w:highlight w:val="none"/>
          <w:lang w:val="zh-CN"/>
        </w:rPr>
        <w:t>按照磋商文件中规定的各项因素进行综合评审后，以评审总得分最高的供应商为第一成交候选供应商，评审总得分次高的供应商为第二成交候选供应商，评审总得分第三高的为第三成交候选供应商。</w:t>
      </w:r>
    </w:p>
    <w:p w14:paraId="2DD28B04">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四、如综合得分相同，最后报价低者为先；如综合得分且最后报价相同的，以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得分也相同的则抽签决定。</w:t>
      </w:r>
    </w:p>
    <w:p w14:paraId="0424C37B">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lang w:val="zh-CN"/>
        </w:rPr>
        <w:t>中标候选人放弃中标、拒绝与采购人签订合同、因不可抗力提出不能履行合同，采购人可以按照评审报告推荐的中标或者成交候选人名单排序，确定下一候选人为中标或者成交供应商，也可以重新开展政府采购活动。评标办法的解释权归招标人。</w:t>
      </w:r>
    </w:p>
    <w:p w14:paraId="7E912E27">
      <w:pPr>
        <w:autoSpaceDE w:val="0"/>
        <w:autoSpaceDN w:val="0"/>
        <w:adjustRightInd w:val="0"/>
        <w:spacing w:line="360" w:lineRule="auto"/>
        <w:ind w:firstLine="315" w:firstLineChars="150"/>
        <w:jc w:val="left"/>
        <w:rPr>
          <w:rFonts w:hint="eastAsia" w:ascii="宋体" w:hAnsi="宋体" w:eastAsia="宋体" w:cs="宋体"/>
          <w:color w:val="auto"/>
          <w:highlight w:val="none"/>
        </w:rPr>
      </w:pPr>
      <w:r>
        <w:rPr>
          <w:rFonts w:hint="eastAsia" w:ascii="宋体" w:hAnsi="宋体" w:cs="宋体"/>
          <w:color w:val="auto"/>
          <w:kern w:val="0"/>
          <w:sz w:val="21"/>
          <w:szCs w:val="21"/>
          <w:highlight w:val="none"/>
          <w:lang w:val="en-US" w:eastAsia="zh-CN"/>
        </w:rPr>
        <w:t>六</w:t>
      </w:r>
      <w:r>
        <w:rPr>
          <w:rFonts w:hint="eastAsia" w:ascii="宋体" w:hAnsi="宋体" w:eastAsia="宋体" w:cs="宋体"/>
          <w:color w:val="auto"/>
          <w:kern w:val="0"/>
          <w:sz w:val="21"/>
          <w:szCs w:val="21"/>
          <w:highlight w:val="none"/>
        </w:rPr>
        <w:t>、本次评分具体分值细化条款如下表</w:t>
      </w:r>
      <w:r>
        <w:rPr>
          <w:rFonts w:hint="eastAsia" w:ascii="宋体" w:hAnsi="宋体" w:eastAsia="宋体" w:cs="宋体"/>
          <w:color w:val="auto"/>
          <w:kern w:val="0"/>
          <w:sz w:val="21"/>
          <w:szCs w:val="21"/>
          <w:highlight w:val="none"/>
        </w:rPr>
        <w:t>：</w:t>
      </w:r>
    </w:p>
    <w:p w14:paraId="3F2683AA">
      <w:pPr>
        <w:spacing w:line="300" w:lineRule="exact"/>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评标打分标准</w:t>
      </w:r>
    </w:p>
    <w:tbl>
      <w:tblPr>
        <w:tblStyle w:val="21"/>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168"/>
        <w:gridCol w:w="5522"/>
        <w:gridCol w:w="803"/>
      </w:tblGrid>
      <w:tr w14:paraId="1895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3" w:type="dxa"/>
            <w:gridSpan w:val="2"/>
            <w:noWrap w:val="0"/>
            <w:vAlign w:val="center"/>
          </w:tcPr>
          <w:p w14:paraId="47CACB45">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评标因素</w:t>
            </w:r>
          </w:p>
        </w:tc>
        <w:tc>
          <w:tcPr>
            <w:tcW w:w="5522" w:type="dxa"/>
            <w:noWrap w:val="0"/>
            <w:vAlign w:val="center"/>
          </w:tcPr>
          <w:p w14:paraId="5B2790B5">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评分标准</w:t>
            </w:r>
          </w:p>
        </w:tc>
        <w:tc>
          <w:tcPr>
            <w:tcW w:w="803" w:type="dxa"/>
            <w:noWrap w:val="0"/>
            <w:vAlign w:val="center"/>
          </w:tcPr>
          <w:p w14:paraId="519320A9">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分值</w:t>
            </w:r>
          </w:p>
        </w:tc>
      </w:tr>
      <w:tr w14:paraId="75D21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265" w:type="dxa"/>
            <w:vMerge w:val="restart"/>
            <w:noWrap w:val="0"/>
            <w:vAlign w:val="center"/>
          </w:tcPr>
          <w:p w14:paraId="4456A287">
            <w:pPr>
              <w:pStyle w:val="9"/>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商务分</w:t>
            </w:r>
          </w:p>
          <w:p w14:paraId="5A30D870">
            <w:pPr>
              <w:pStyle w:val="9"/>
              <w:adjustRightInd w:val="0"/>
              <w:snapToGrid w:val="0"/>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（15分）</w:t>
            </w:r>
          </w:p>
        </w:tc>
        <w:tc>
          <w:tcPr>
            <w:tcW w:w="1168" w:type="dxa"/>
            <w:noWrap w:val="0"/>
            <w:vAlign w:val="center"/>
          </w:tcPr>
          <w:p w14:paraId="034C46CE">
            <w:pPr>
              <w:pStyle w:val="9"/>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企业认证</w:t>
            </w:r>
          </w:p>
        </w:tc>
        <w:tc>
          <w:tcPr>
            <w:tcW w:w="5522" w:type="dxa"/>
            <w:noWrap w:val="0"/>
            <w:vAlign w:val="center"/>
          </w:tcPr>
          <w:p w14:paraId="2E1E4AC8">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投标人具备有效期内的质量管理体系认证证书、环境管理体系认证证书、职业健康安全管理体系认证证书，每具备一项认证证书得1分，最高得3分。</w:t>
            </w:r>
          </w:p>
          <w:p w14:paraId="777D7499">
            <w:pPr>
              <w:pStyle w:val="9"/>
              <w:adjustRightInd w:val="0"/>
              <w:snapToGrid w:val="0"/>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提供相关证书扫描件加盖投标人公章编入投标文件中，未提供的不得分）</w:t>
            </w:r>
          </w:p>
        </w:tc>
        <w:tc>
          <w:tcPr>
            <w:tcW w:w="803" w:type="dxa"/>
            <w:noWrap w:val="0"/>
            <w:vAlign w:val="center"/>
          </w:tcPr>
          <w:p w14:paraId="2CEBBC08">
            <w:pPr>
              <w:pStyle w:val="9"/>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r>
      <w:tr w14:paraId="407A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265" w:type="dxa"/>
            <w:vMerge w:val="continue"/>
            <w:noWrap w:val="0"/>
            <w:vAlign w:val="center"/>
          </w:tcPr>
          <w:p w14:paraId="5D6C28A0">
            <w:pPr>
              <w:pStyle w:val="9"/>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p>
        </w:tc>
        <w:tc>
          <w:tcPr>
            <w:tcW w:w="1168" w:type="dxa"/>
            <w:noWrap w:val="0"/>
            <w:vAlign w:val="center"/>
          </w:tcPr>
          <w:p w14:paraId="34CEBFA8">
            <w:pPr>
              <w:pStyle w:val="9"/>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承接经验</w:t>
            </w:r>
          </w:p>
        </w:tc>
        <w:tc>
          <w:tcPr>
            <w:tcW w:w="5522" w:type="dxa"/>
            <w:noWrap w:val="0"/>
            <w:vAlign w:val="center"/>
          </w:tcPr>
          <w:p w14:paraId="47F3F67F">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自2018年1月1日以来</w:t>
            </w:r>
            <w:r>
              <w:rPr>
                <w:rFonts w:hint="eastAsia" w:ascii="宋体" w:hAnsi="宋体" w:eastAsia="宋体" w:cs="宋体"/>
                <w:b w:val="0"/>
                <w:bCs w:val="0"/>
                <w:color w:val="auto"/>
                <w:kern w:val="0"/>
                <w:sz w:val="21"/>
                <w:szCs w:val="21"/>
                <w:highlight w:val="none"/>
                <w:u w:val="none"/>
                <w:lang w:val="zh-CN"/>
              </w:rPr>
              <w:t>（以合同签订时间为准），</w:t>
            </w:r>
            <w:r>
              <w:rPr>
                <w:rFonts w:hint="eastAsia" w:ascii="宋体" w:hAnsi="宋体" w:eastAsia="宋体" w:cs="宋体"/>
                <w:b w:val="0"/>
                <w:bCs w:val="0"/>
                <w:color w:val="auto"/>
                <w:kern w:val="0"/>
                <w:sz w:val="21"/>
                <w:szCs w:val="21"/>
                <w:highlight w:val="none"/>
                <w:u w:val="none"/>
                <w:lang w:val="en-US" w:eastAsia="zh-CN"/>
              </w:rPr>
              <w:t>承接过类似项目的。每提供1个合同得1分，最高得2分。</w:t>
            </w:r>
          </w:p>
          <w:p w14:paraId="2B2E99E9">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提供有效的合同扫描件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803" w:type="dxa"/>
            <w:noWrap w:val="0"/>
            <w:vAlign w:val="center"/>
          </w:tcPr>
          <w:p w14:paraId="337D0C3A">
            <w:pPr>
              <w:pStyle w:val="9"/>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r>
      <w:tr w14:paraId="7006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265" w:type="dxa"/>
            <w:vMerge w:val="continue"/>
            <w:noWrap w:val="0"/>
            <w:vAlign w:val="center"/>
          </w:tcPr>
          <w:p w14:paraId="7CC32D57">
            <w:pPr>
              <w:pStyle w:val="9"/>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p>
        </w:tc>
        <w:tc>
          <w:tcPr>
            <w:tcW w:w="1168" w:type="dxa"/>
            <w:noWrap w:val="0"/>
            <w:vAlign w:val="center"/>
          </w:tcPr>
          <w:p w14:paraId="4963FBEF">
            <w:pPr>
              <w:pStyle w:val="9"/>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服务团队</w:t>
            </w:r>
          </w:p>
        </w:tc>
        <w:tc>
          <w:tcPr>
            <w:tcW w:w="5522" w:type="dxa"/>
            <w:noWrap w:val="0"/>
            <w:vAlign w:val="center"/>
          </w:tcPr>
          <w:p w14:paraId="2CC80E0E">
            <w:pPr>
              <w:pStyle w:val="9"/>
              <w:adjustRightInd w:val="0"/>
              <w:snapToGrid w:val="0"/>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投标人拟派的服务团队人员(除项目负责人外)中，具有动物疫病防治员、兽医师、动物检疫员、电工证、锅炉证等证书的，以上证书每具备一项得2分，最高得10分。</w:t>
            </w:r>
          </w:p>
          <w:p w14:paraId="27889942">
            <w:pPr>
              <w:pStyle w:val="9"/>
              <w:adjustRightInd w:val="0"/>
              <w:snapToGrid w:val="0"/>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有效的职称证书、资格</w:t>
            </w:r>
            <w:r>
              <w:rPr>
                <w:rFonts w:hint="eastAsia" w:ascii="宋体" w:hAnsi="宋体" w:eastAsia="宋体" w:cs="宋体"/>
                <w:b/>
                <w:bCs/>
                <w:color w:val="auto"/>
                <w:sz w:val="21"/>
                <w:szCs w:val="21"/>
                <w:highlight w:val="none"/>
              </w:rPr>
              <w:t>证书扫描件及投标截止时间前的社保缴费证明</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未提供或提供不全的</w:t>
            </w:r>
            <w:r>
              <w:rPr>
                <w:rFonts w:hint="eastAsia" w:ascii="宋体" w:hAnsi="宋体" w:eastAsia="宋体" w:cs="宋体"/>
                <w:b/>
                <w:bCs/>
                <w:color w:val="auto"/>
                <w:sz w:val="21"/>
                <w:szCs w:val="21"/>
                <w:highlight w:val="none"/>
              </w:rPr>
              <w:t>不得分）</w:t>
            </w:r>
          </w:p>
        </w:tc>
        <w:tc>
          <w:tcPr>
            <w:tcW w:w="803" w:type="dxa"/>
            <w:noWrap w:val="0"/>
            <w:vAlign w:val="center"/>
          </w:tcPr>
          <w:p w14:paraId="337A6911">
            <w:pPr>
              <w:pStyle w:val="9"/>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p>
        </w:tc>
      </w:tr>
      <w:tr w14:paraId="7EAE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65" w:type="dxa"/>
            <w:vMerge w:val="restart"/>
            <w:noWrap w:val="0"/>
            <w:vAlign w:val="center"/>
          </w:tcPr>
          <w:p w14:paraId="40EFE496">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技术分</w:t>
            </w:r>
          </w:p>
          <w:p w14:paraId="112C091D">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（65分）</w:t>
            </w:r>
          </w:p>
        </w:tc>
        <w:tc>
          <w:tcPr>
            <w:tcW w:w="1168" w:type="dxa"/>
            <w:shd w:val="clear" w:color="auto" w:fill="auto"/>
            <w:noWrap w:val="0"/>
            <w:vAlign w:val="center"/>
          </w:tcPr>
          <w:p w14:paraId="671EF7C7">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w:t>
            </w:r>
          </w:p>
        </w:tc>
        <w:tc>
          <w:tcPr>
            <w:tcW w:w="5522" w:type="dxa"/>
            <w:shd w:val="clear" w:color="auto" w:fill="auto"/>
            <w:noWrap w:val="0"/>
            <w:vAlign w:val="center"/>
          </w:tcPr>
          <w:p w14:paraId="35E9B726">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根据投标人提供的实施方案、处理厂产出物处理方案的科学性、合理性、运输距离等进行打分。</w:t>
            </w:r>
          </w:p>
          <w:p w14:paraId="55D1804E">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方案完整到位，内容丰富，措施得力的得7.0-10.0分；</w:t>
            </w:r>
          </w:p>
          <w:p w14:paraId="7EDD1AB7">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方案较完整，能较好满足招标内容的得4.0-6.9分；</w:t>
            </w:r>
          </w:p>
          <w:p w14:paraId="04556345">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方案片面，仅基本满足采购人需求的得0.1-3.9分；</w:t>
            </w:r>
          </w:p>
          <w:p w14:paraId="5B2B4294">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803" w:type="dxa"/>
            <w:shd w:val="clear" w:color="auto" w:fill="auto"/>
            <w:noWrap w:val="0"/>
            <w:vAlign w:val="center"/>
          </w:tcPr>
          <w:p w14:paraId="61FD8440">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p>
        </w:tc>
      </w:tr>
      <w:tr w14:paraId="1AC89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65" w:type="dxa"/>
            <w:vMerge w:val="continue"/>
            <w:noWrap w:val="0"/>
            <w:vAlign w:val="center"/>
          </w:tcPr>
          <w:p w14:paraId="0AF0CEBF">
            <w:pPr>
              <w:spacing w:line="240" w:lineRule="auto"/>
              <w:jc w:val="center"/>
              <w:rPr>
                <w:rFonts w:hint="eastAsia" w:ascii="宋体" w:hAnsi="宋体" w:eastAsia="宋体" w:cs="宋体"/>
                <w:color w:val="auto"/>
                <w:kern w:val="2"/>
                <w:sz w:val="21"/>
                <w:szCs w:val="21"/>
                <w:highlight w:val="none"/>
                <w:lang w:val="en-US" w:eastAsia="zh-CN" w:bidi="ar-SA"/>
              </w:rPr>
            </w:pPr>
          </w:p>
        </w:tc>
        <w:tc>
          <w:tcPr>
            <w:tcW w:w="1168" w:type="dxa"/>
            <w:shd w:val="clear" w:color="auto" w:fill="auto"/>
            <w:noWrap w:val="0"/>
            <w:vAlign w:val="center"/>
          </w:tcPr>
          <w:p w14:paraId="69B5CF41">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运营方案</w:t>
            </w:r>
          </w:p>
        </w:tc>
        <w:tc>
          <w:tcPr>
            <w:tcW w:w="5522" w:type="dxa"/>
            <w:shd w:val="clear" w:color="auto" w:fill="auto"/>
            <w:noWrap w:val="0"/>
            <w:vAlign w:val="center"/>
          </w:tcPr>
          <w:p w14:paraId="0602D06B">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根据投标人提供的运营机构设置、运营管理方案、卫生方案等进行打分。</w:t>
            </w:r>
          </w:p>
          <w:p w14:paraId="21A03D65">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方案全面科学、合理可行的得4.0-6.0分；</w:t>
            </w:r>
          </w:p>
          <w:p w14:paraId="4AC7D87C">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方案较完整，能较好满足招标内容的得2.0-3.9分；</w:t>
            </w:r>
          </w:p>
          <w:p w14:paraId="7D801DE2">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方案片面，仅基本满足采购人需求的得0.1-1.9分；</w:t>
            </w:r>
          </w:p>
          <w:p w14:paraId="49505C53">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803" w:type="dxa"/>
            <w:shd w:val="clear" w:color="auto" w:fill="auto"/>
            <w:noWrap w:val="0"/>
            <w:vAlign w:val="center"/>
          </w:tcPr>
          <w:p w14:paraId="1AE884C6">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r>
      <w:tr w14:paraId="5E24C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65" w:type="dxa"/>
            <w:vMerge w:val="continue"/>
            <w:noWrap w:val="0"/>
            <w:vAlign w:val="center"/>
          </w:tcPr>
          <w:p w14:paraId="33739698">
            <w:pPr>
              <w:spacing w:line="240" w:lineRule="auto"/>
              <w:jc w:val="center"/>
              <w:rPr>
                <w:rFonts w:hint="eastAsia" w:ascii="宋体" w:hAnsi="宋体" w:eastAsia="宋体" w:cs="宋体"/>
                <w:color w:val="auto"/>
                <w:kern w:val="2"/>
                <w:sz w:val="21"/>
                <w:szCs w:val="21"/>
                <w:highlight w:val="none"/>
                <w:lang w:val="en-US" w:eastAsia="zh-CN" w:bidi="ar-SA"/>
              </w:rPr>
            </w:pPr>
          </w:p>
        </w:tc>
        <w:tc>
          <w:tcPr>
            <w:tcW w:w="1168" w:type="dxa"/>
            <w:shd w:val="clear" w:color="auto" w:fill="auto"/>
            <w:noWrap w:val="0"/>
            <w:vAlign w:val="center"/>
          </w:tcPr>
          <w:p w14:paraId="14D3A1DE">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收运方案</w:t>
            </w:r>
          </w:p>
        </w:tc>
        <w:tc>
          <w:tcPr>
            <w:tcW w:w="5522" w:type="dxa"/>
            <w:shd w:val="clear" w:color="auto" w:fill="auto"/>
            <w:noWrap w:val="0"/>
            <w:vAlign w:val="center"/>
          </w:tcPr>
          <w:p w14:paraId="7BCC7A70">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根据投标人提供的收运方案，包括但不限于收运车辆选型配置、收运模式、及时收运措施等进行打分。</w:t>
            </w:r>
          </w:p>
          <w:p w14:paraId="226928E2">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方案全面科学、合理可行的得4.0-6.0分；</w:t>
            </w:r>
          </w:p>
          <w:p w14:paraId="086544CD">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方案较完整，能较好满足招标内容的得2.0-3.9分；</w:t>
            </w:r>
          </w:p>
          <w:p w14:paraId="147DC29B">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方案片面，仅基本满足采购人需求的得0.1-1.9分；</w:t>
            </w:r>
          </w:p>
          <w:p w14:paraId="137929EB">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803" w:type="dxa"/>
            <w:shd w:val="clear" w:color="auto" w:fill="auto"/>
            <w:noWrap w:val="0"/>
            <w:vAlign w:val="center"/>
          </w:tcPr>
          <w:p w14:paraId="447908D7">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r>
      <w:tr w14:paraId="5BEC4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65" w:type="dxa"/>
            <w:vMerge w:val="continue"/>
            <w:noWrap w:val="0"/>
            <w:vAlign w:val="center"/>
          </w:tcPr>
          <w:p w14:paraId="488BAC4B">
            <w:pPr>
              <w:spacing w:line="240" w:lineRule="auto"/>
              <w:jc w:val="center"/>
              <w:rPr>
                <w:rFonts w:hint="eastAsia" w:ascii="宋体" w:hAnsi="宋体" w:eastAsia="宋体" w:cs="宋体"/>
                <w:color w:val="auto"/>
                <w:kern w:val="2"/>
                <w:sz w:val="21"/>
                <w:szCs w:val="21"/>
                <w:highlight w:val="none"/>
                <w:lang w:val="en-US" w:eastAsia="zh-CN" w:bidi="ar-SA"/>
              </w:rPr>
            </w:pPr>
          </w:p>
        </w:tc>
        <w:tc>
          <w:tcPr>
            <w:tcW w:w="1168" w:type="dxa"/>
            <w:noWrap w:val="0"/>
            <w:vAlign w:val="center"/>
          </w:tcPr>
          <w:p w14:paraId="4EE89B05">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防疫安全管理方案</w:t>
            </w:r>
          </w:p>
        </w:tc>
        <w:tc>
          <w:tcPr>
            <w:tcW w:w="5522" w:type="dxa"/>
            <w:noWrap w:val="0"/>
            <w:vAlign w:val="center"/>
          </w:tcPr>
          <w:p w14:paraId="221A0F51">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根据投标人提供的生产场区防疫安全管理方案等进行打分。 </w:t>
            </w:r>
          </w:p>
          <w:p w14:paraId="0019ED6B">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方案完善，针对性、操作性强，合理有效的得6.0-8.0分；</w:t>
            </w:r>
          </w:p>
          <w:p w14:paraId="40384275">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方案较完整，能较好满足招标内容的得3.0-5.9分；</w:t>
            </w:r>
          </w:p>
          <w:p w14:paraId="7BAC4D79">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方案片面，仅基本满足采购人需求的得0.1-2.9分；</w:t>
            </w:r>
          </w:p>
          <w:p w14:paraId="5835A0E0">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803" w:type="dxa"/>
            <w:noWrap w:val="0"/>
            <w:vAlign w:val="center"/>
          </w:tcPr>
          <w:p w14:paraId="6D11776D">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r>
      <w:tr w14:paraId="78E2D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5" w:type="dxa"/>
            <w:vMerge w:val="continue"/>
            <w:noWrap w:val="0"/>
            <w:vAlign w:val="center"/>
          </w:tcPr>
          <w:p w14:paraId="75FF6B28">
            <w:pPr>
              <w:spacing w:line="240" w:lineRule="auto"/>
              <w:jc w:val="center"/>
              <w:rPr>
                <w:rFonts w:hint="eastAsia" w:ascii="宋体" w:hAnsi="宋体" w:eastAsia="宋体" w:cs="宋体"/>
                <w:color w:val="auto"/>
                <w:kern w:val="2"/>
                <w:sz w:val="21"/>
                <w:szCs w:val="21"/>
                <w:highlight w:val="none"/>
                <w:lang w:val="en-US" w:eastAsia="zh-CN" w:bidi="ar-SA"/>
              </w:rPr>
            </w:pPr>
          </w:p>
        </w:tc>
        <w:tc>
          <w:tcPr>
            <w:tcW w:w="1168" w:type="dxa"/>
            <w:noWrap w:val="0"/>
            <w:vAlign w:val="center"/>
          </w:tcPr>
          <w:p w14:paraId="6FCCE63D">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设备检修维护方案</w:t>
            </w:r>
          </w:p>
        </w:tc>
        <w:tc>
          <w:tcPr>
            <w:tcW w:w="5522" w:type="dxa"/>
            <w:noWrap w:val="0"/>
            <w:vAlign w:val="center"/>
          </w:tcPr>
          <w:p w14:paraId="1CA150B4">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根据投标人制定的设备检修方案、设备维护管理方案、日常点检方案、定期检查方案等进行打分。</w:t>
            </w:r>
          </w:p>
          <w:p w14:paraId="5EFE408C">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方案全面科学、合理可行的得6.0-8.0分；</w:t>
            </w:r>
          </w:p>
          <w:p w14:paraId="19B41525">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方案较完整，能较好满足招标内容的得3.0-5.9分；</w:t>
            </w:r>
          </w:p>
          <w:p w14:paraId="2CE890FB">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方案片面，仅基本满足采购人需求的得0.1-2.9分；</w:t>
            </w:r>
          </w:p>
          <w:p w14:paraId="3A235A7A">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803" w:type="dxa"/>
            <w:noWrap w:val="0"/>
            <w:vAlign w:val="center"/>
          </w:tcPr>
          <w:p w14:paraId="3676C46E">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r>
      <w:tr w14:paraId="61B0E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65" w:type="dxa"/>
            <w:vMerge w:val="continue"/>
            <w:noWrap w:val="0"/>
            <w:vAlign w:val="center"/>
          </w:tcPr>
          <w:p w14:paraId="607609AA">
            <w:pPr>
              <w:spacing w:line="240" w:lineRule="auto"/>
              <w:jc w:val="center"/>
              <w:rPr>
                <w:rFonts w:hint="eastAsia" w:ascii="宋体" w:hAnsi="宋体" w:eastAsia="宋体" w:cs="宋体"/>
                <w:color w:val="auto"/>
                <w:kern w:val="2"/>
                <w:sz w:val="21"/>
                <w:szCs w:val="21"/>
                <w:highlight w:val="none"/>
                <w:lang w:val="en-US" w:eastAsia="zh-CN" w:bidi="ar-SA"/>
              </w:rPr>
            </w:pPr>
          </w:p>
        </w:tc>
        <w:tc>
          <w:tcPr>
            <w:tcW w:w="1168" w:type="dxa"/>
            <w:noWrap w:val="0"/>
            <w:vAlign w:val="center"/>
          </w:tcPr>
          <w:p w14:paraId="02F8417C">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紧急方案措施</w:t>
            </w:r>
          </w:p>
        </w:tc>
        <w:tc>
          <w:tcPr>
            <w:tcW w:w="5522" w:type="dxa"/>
            <w:noWrap w:val="0"/>
            <w:vAlign w:val="center"/>
          </w:tcPr>
          <w:p w14:paraId="3C8C071A">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根据投标人提供的应急预案，从大面积大量病害动物、传播性强的病害动物应急处理方案、处理厂设备故障应急处理方案等进行打分。 </w:t>
            </w:r>
          </w:p>
          <w:p w14:paraId="33EA03C7">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提供的应急预案全面，提出的各项措施科学合理的得6.0-8.0分；</w:t>
            </w:r>
          </w:p>
          <w:p w14:paraId="42F26F14">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提供的应急预案较完整，提出的各项措施较完善、合理的得3.0-5.9分；</w:t>
            </w:r>
          </w:p>
          <w:p w14:paraId="45FE81C1">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提供的应急预案片面，提出的各项措施较不合理的得0.1-2.9分；</w:t>
            </w:r>
          </w:p>
          <w:p w14:paraId="4C7CD616">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803" w:type="dxa"/>
            <w:noWrap w:val="0"/>
            <w:vAlign w:val="center"/>
          </w:tcPr>
          <w:p w14:paraId="68A5289A">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r>
      <w:tr w14:paraId="3A271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65" w:type="dxa"/>
            <w:vMerge w:val="continue"/>
            <w:noWrap w:val="0"/>
            <w:vAlign w:val="center"/>
          </w:tcPr>
          <w:p w14:paraId="7E042B94">
            <w:pPr>
              <w:spacing w:line="240" w:lineRule="auto"/>
              <w:jc w:val="center"/>
              <w:rPr>
                <w:rFonts w:hint="eastAsia" w:ascii="宋体" w:hAnsi="宋体" w:eastAsia="宋体" w:cs="宋体"/>
                <w:color w:val="auto"/>
                <w:kern w:val="2"/>
                <w:sz w:val="21"/>
                <w:szCs w:val="21"/>
                <w:highlight w:val="none"/>
                <w:lang w:val="en-US" w:eastAsia="zh-CN" w:bidi="ar-SA"/>
              </w:rPr>
            </w:pPr>
          </w:p>
        </w:tc>
        <w:tc>
          <w:tcPr>
            <w:tcW w:w="1168" w:type="dxa"/>
            <w:noWrap w:val="0"/>
            <w:vAlign w:val="center"/>
          </w:tcPr>
          <w:p w14:paraId="09CA165B">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环境保护方案</w:t>
            </w:r>
          </w:p>
        </w:tc>
        <w:tc>
          <w:tcPr>
            <w:tcW w:w="5522" w:type="dxa"/>
            <w:noWrap w:val="0"/>
            <w:vAlign w:val="center"/>
          </w:tcPr>
          <w:p w14:paraId="5A8643AA">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根据投标人提供的废气、废水处理方案等进行打分。</w:t>
            </w:r>
          </w:p>
          <w:p w14:paraId="6EE503A4">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提出的各项处理措施科学合理的得6.0-8.0分；</w:t>
            </w:r>
          </w:p>
          <w:p w14:paraId="2EC3AE60">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提出的各项处理措施较完善、合理的得3.0-5.9分；</w:t>
            </w:r>
          </w:p>
          <w:p w14:paraId="2F0091CC">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提出的各项处理措施较不合理的得0.1-2.9分；</w:t>
            </w:r>
          </w:p>
          <w:p w14:paraId="31AB49C0">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803" w:type="dxa"/>
            <w:noWrap w:val="0"/>
            <w:vAlign w:val="center"/>
          </w:tcPr>
          <w:p w14:paraId="1CD66084">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r>
      <w:tr w14:paraId="62774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65" w:type="dxa"/>
            <w:vMerge w:val="continue"/>
            <w:noWrap w:val="0"/>
            <w:vAlign w:val="center"/>
          </w:tcPr>
          <w:p w14:paraId="1313C3C0">
            <w:pPr>
              <w:spacing w:line="240" w:lineRule="auto"/>
              <w:jc w:val="center"/>
              <w:rPr>
                <w:rFonts w:hint="eastAsia" w:ascii="宋体" w:hAnsi="宋体" w:eastAsia="宋体" w:cs="宋体"/>
                <w:color w:val="auto"/>
                <w:kern w:val="2"/>
                <w:sz w:val="21"/>
                <w:szCs w:val="21"/>
                <w:highlight w:val="none"/>
                <w:lang w:val="en-US" w:eastAsia="zh-CN" w:bidi="ar-SA"/>
              </w:rPr>
            </w:pPr>
          </w:p>
        </w:tc>
        <w:tc>
          <w:tcPr>
            <w:tcW w:w="1168" w:type="dxa"/>
            <w:shd w:val="clear" w:color="auto" w:fill="auto"/>
            <w:noWrap w:val="0"/>
            <w:vAlign w:val="center"/>
          </w:tcPr>
          <w:p w14:paraId="37DE2891">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环保、再利用方案</w:t>
            </w:r>
          </w:p>
        </w:tc>
        <w:tc>
          <w:tcPr>
            <w:tcW w:w="5522" w:type="dxa"/>
            <w:shd w:val="clear" w:color="auto" w:fill="auto"/>
            <w:noWrap w:val="0"/>
            <w:vAlign w:val="center"/>
          </w:tcPr>
          <w:p w14:paraId="7B62F75C">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根据投标人提供的处理后产出物的资源化利用方案进行打分。</w:t>
            </w:r>
          </w:p>
          <w:p w14:paraId="1C2BD66E">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方案全面科学、合理可行的得4.0-5.0分；</w:t>
            </w:r>
          </w:p>
          <w:p w14:paraId="2CC99963">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方案较完整，能较好满足招标内容的得2.0-3.9分；</w:t>
            </w:r>
          </w:p>
          <w:p w14:paraId="2CF79AA9">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方案片面，仅基本满足采购人需求的得0.1-1.9分；</w:t>
            </w:r>
          </w:p>
          <w:p w14:paraId="4BF3ACFD">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未提及此项不得分。</w:t>
            </w:r>
          </w:p>
        </w:tc>
        <w:tc>
          <w:tcPr>
            <w:tcW w:w="803" w:type="dxa"/>
            <w:shd w:val="clear" w:color="auto" w:fill="auto"/>
            <w:noWrap w:val="0"/>
            <w:vAlign w:val="center"/>
          </w:tcPr>
          <w:p w14:paraId="57DFFC6C">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r>
      <w:tr w14:paraId="7152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265" w:type="dxa"/>
            <w:vMerge w:val="continue"/>
            <w:noWrap w:val="0"/>
            <w:vAlign w:val="center"/>
          </w:tcPr>
          <w:p w14:paraId="4CB0A0B5">
            <w:pPr>
              <w:spacing w:line="240" w:lineRule="auto"/>
              <w:jc w:val="center"/>
              <w:rPr>
                <w:rFonts w:hint="eastAsia" w:ascii="宋体" w:hAnsi="宋体" w:eastAsia="宋体" w:cs="宋体"/>
                <w:color w:val="auto"/>
                <w:kern w:val="2"/>
                <w:sz w:val="21"/>
                <w:szCs w:val="21"/>
                <w:highlight w:val="none"/>
                <w:lang w:val="en-US" w:eastAsia="zh-CN" w:bidi="ar-SA"/>
              </w:rPr>
            </w:pPr>
          </w:p>
        </w:tc>
        <w:tc>
          <w:tcPr>
            <w:tcW w:w="1168" w:type="dxa"/>
            <w:noWrap w:val="0"/>
            <w:vAlign w:val="center"/>
          </w:tcPr>
          <w:p w14:paraId="7DDDAA21">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监控管理方案</w:t>
            </w:r>
          </w:p>
        </w:tc>
        <w:tc>
          <w:tcPr>
            <w:tcW w:w="5522" w:type="dxa"/>
            <w:noWrap w:val="0"/>
            <w:vAlign w:val="center"/>
          </w:tcPr>
          <w:p w14:paraId="21C8875B">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根据投标人提供的病死动物处理监控管理方案进行打分。</w:t>
            </w:r>
          </w:p>
          <w:p w14:paraId="7F19554C">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方案全面科学、合理可行的得4.0-6.0分；</w:t>
            </w:r>
          </w:p>
          <w:p w14:paraId="03A4A99D">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方案较完整，能较好满足招标内容的得2.0-3.9分；</w:t>
            </w:r>
          </w:p>
          <w:p w14:paraId="22659286">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方案片面，仅基本满足采购人需求的得0.1-1.9分；</w:t>
            </w:r>
          </w:p>
          <w:p w14:paraId="7A7D2093">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803" w:type="dxa"/>
            <w:noWrap w:val="0"/>
            <w:vAlign w:val="center"/>
          </w:tcPr>
          <w:p w14:paraId="3E23B929">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r>
      <w:tr w14:paraId="5757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433" w:type="dxa"/>
            <w:gridSpan w:val="2"/>
            <w:noWrap w:val="0"/>
            <w:vAlign w:val="center"/>
          </w:tcPr>
          <w:p w14:paraId="7D1999CF">
            <w:pPr>
              <w:keepLines w:val="0"/>
              <w:pageBreakBefore w:val="0"/>
              <w:kinsoku/>
              <w:wordWrap/>
              <w:overflowPunct/>
              <w:topLinePunct w:val="0"/>
              <w:bidi w:val="0"/>
              <w:spacing w:beforeAutospacing="0" w:afterAutospacing="0" w:line="240" w:lineRule="auto"/>
              <w:ind w:left="0"/>
              <w:jc w:val="center"/>
              <w:textAlignment w:val="auto"/>
              <w:rPr>
                <w:rStyle w:val="56"/>
                <w:rFonts w:hint="eastAsia" w:ascii="宋体" w:hAnsi="宋体" w:eastAsia="宋体" w:cs="宋体"/>
                <w:color w:val="auto"/>
                <w:kern w:val="0"/>
                <w:sz w:val="21"/>
                <w:szCs w:val="21"/>
                <w:highlight w:val="none"/>
              </w:rPr>
            </w:pPr>
            <w:r>
              <w:rPr>
                <w:rStyle w:val="56"/>
                <w:rFonts w:hint="eastAsia" w:ascii="宋体" w:hAnsi="宋体" w:eastAsia="宋体" w:cs="宋体"/>
                <w:color w:val="auto"/>
                <w:kern w:val="0"/>
                <w:sz w:val="21"/>
                <w:szCs w:val="21"/>
                <w:highlight w:val="none"/>
              </w:rPr>
              <w:t>价格</w:t>
            </w:r>
          </w:p>
          <w:p w14:paraId="131BAD48">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Style w:val="56"/>
                <w:rFonts w:hint="eastAsia" w:ascii="宋体" w:hAnsi="宋体" w:eastAsia="宋体" w:cs="宋体"/>
                <w:color w:val="auto"/>
                <w:kern w:val="0"/>
                <w:sz w:val="21"/>
                <w:szCs w:val="21"/>
                <w:highlight w:val="none"/>
              </w:rPr>
              <w:t>（20分）</w:t>
            </w:r>
          </w:p>
        </w:tc>
        <w:tc>
          <w:tcPr>
            <w:tcW w:w="5522" w:type="dxa"/>
            <w:noWrap w:val="0"/>
            <w:vAlign w:val="center"/>
          </w:tcPr>
          <w:p w14:paraId="6B2D6266">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取投标合格供应商的投标最终报价最低价为评标基准价，基准价为20分。</w:t>
            </w:r>
          </w:p>
          <w:p w14:paraId="1B6481DE">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投标报价得分=(评标基准价／投标报价)×20%×100 。（小数点后保留2位</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四舍五入</w:t>
            </w:r>
            <w:r>
              <w:rPr>
                <w:rFonts w:hint="eastAsia" w:ascii="宋体" w:hAnsi="宋体" w:eastAsia="宋体" w:cs="宋体"/>
                <w:color w:val="auto"/>
                <w:sz w:val="21"/>
                <w:szCs w:val="21"/>
                <w:highlight w:val="none"/>
                <w:lang w:val="zh-CN"/>
              </w:rPr>
              <w:t>）。</w:t>
            </w:r>
          </w:p>
        </w:tc>
        <w:tc>
          <w:tcPr>
            <w:tcW w:w="803" w:type="dxa"/>
            <w:noWrap w:val="0"/>
            <w:vAlign w:val="center"/>
          </w:tcPr>
          <w:p w14:paraId="2CEFC112">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20</w:t>
            </w:r>
          </w:p>
        </w:tc>
      </w:tr>
    </w:tbl>
    <w:p w14:paraId="26D453AF">
      <w:pPr>
        <w:pStyle w:val="19"/>
        <w:ind w:left="0" w:leftChars="0" w:firstLine="0" w:firstLineChars="0"/>
        <w:rPr>
          <w:rFonts w:hint="eastAsia" w:ascii="宋体" w:hAnsi="宋体" w:eastAsia="宋体" w:cs="宋体"/>
          <w:color w:val="auto"/>
          <w:highlight w:val="none"/>
        </w:rPr>
        <w:sectPr>
          <w:pgSz w:w="11906" w:h="16838"/>
          <w:pgMar w:top="1440" w:right="1440" w:bottom="1440" w:left="1803" w:header="851" w:footer="992" w:gutter="0"/>
          <w:pgNumType w:fmt="decimal"/>
          <w:cols w:space="0" w:num="1"/>
          <w:docGrid w:type="lines" w:linePitch="325" w:charSpace="0"/>
        </w:sectPr>
      </w:pPr>
    </w:p>
    <w:p w14:paraId="06A38010">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第四章 </w:t>
      </w:r>
      <w:r>
        <w:rPr>
          <w:rFonts w:hint="eastAsia" w:ascii="宋体" w:hAnsi="宋体" w:eastAsia="宋体" w:cs="宋体"/>
          <w:b/>
          <w:color w:val="auto"/>
          <w:sz w:val="36"/>
          <w:szCs w:val="36"/>
          <w:highlight w:val="none"/>
          <w:lang w:eastAsia="zh-CN"/>
        </w:rPr>
        <w:t>项目需求</w:t>
      </w:r>
    </w:p>
    <w:p w14:paraId="7B6F4B1C">
      <w:pPr>
        <w:numPr>
          <w:ilvl w:val="0"/>
          <w:numId w:val="3"/>
        </w:numPr>
        <w:spacing w:line="360" w:lineRule="auto"/>
        <w:jc w:val="left"/>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b/>
          <w:color w:val="auto"/>
          <w:sz w:val="21"/>
          <w:szCs w:val="21"/>
          <w:highlight w:val="none"/>
        </w:rPr>
        <w:t>招标项目一览表</w:t>
      </w:r>
    </w:p>
    <w:tbl>
      <w:tblPr>
        <w:tblStyle w:val="21"/>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61"/>
        <w:gridCol w:w="1356"/>
        <w:gridCol w:w="708"/>
        <w:gridCol w:w="1372"/>
        <w:gridCol w:w="2736"/>
      </w:tblGrid>
      <w:tr w14:paraId="5317A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6" w:type="dxa"/>
            <w:vAlign w:val="center"/>
          </w:tcPr>
          <w:p w14:paraId="07E19053">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lang w:val="en-US"/>
              </w:rPr>
            </w:pPr>
            <w:r>
              <w:rPr>
                <w:rFonts w:hint="eastAsia" w:asciiTheme="minorEastAsia" w:hAnsiTheme="minorEastAsia" w:eastAsiaTheme="minorEastAsia" w:cstheme="minorEastAsia"/>
                <w:b/>
                <w:color w:val="auto"/>
                <w:sz w:val="21"/>
                <w:szCs w:val="21"/>
                <w:highlight w:val="none"/>
                <w:lang w:val="en-US" w:eastAsia="zh-CN"/>
              </w:rPr>
              <w:t>序号</w:t>
            </w:r>
          </w:p>
        </w:tc>
        <w:tc>
          <w:tcPr>
            <w:tcW w:w="1961" w:type="dxa"/>
            <w:vAlign w:val="center"/>
          </w:tcPr>
          <w:p w14:paraId="3680954A">
            <w:pPr>
              <w:tabs>
                <w:tab w:val="left" w:pos="8280"/>
              </w:tabs>
              <w:autoSpaceDE w:val="0"/>
              <w:autoSpaceDN w:val="0"/>
              <w:adjustRightInd w:val="0"/>
              <w:spacing w:line="240" w:lineRule="auto"/>
              <w:ind w:right="25" w:firstLine="105" w:firstLineChars="5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项目名称</w:t>
            </w:r>
          </w:p>
        </w:tc>
        <w:tc>
          <w:tcPr>
            <w:tcW w:w="1356" w:type="dxa"/>
            <w:vAlign w:val="center"/>
          </w:tcPr>
          <w:p w14:paraId="12F87D0C">
            <w:pPr>
              <w:tabs>
                <w:tab w:val="left" w:pos="8280"/>
              </w:tabs>
              <w:autoSpaceDE w:val="0"/>
              <w:autoSpaceDN w:val="0"/>
              <w:adjustRightInd w:val="0"/>
              <w:spacing w:line="240" w:lineRule="auto"/>
              <w:ind w:right="25" w:rightChars="0"/>
              <w:jc w:val="center"/>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rPr>
              <w:t>数量</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lang w:val="en-US" w:eastAsia="zh-CN"/>
              </w:rPr>
              <w:t>暂定</w:t>
            </w:r>
            <w:r>
              <w:rPr>
                <w:rFonts w:hint="eastAsia" w:asciiTheme="minorEastAsia" w:hAnsiTheme="minorEastAsia" w:eastAsiaTheme="minorEastAsia" w:cstheme="minorEastAsia"/>
                <w:b/>
                <w:color w:val="auto"/>
                <w:sz w:val="21"/>
                <w:szCs w:val="21"/>
                <w:highlight w:val="none"/>
                <w:lang w:eastAsia="zh-CN"/>
              </w:rPr>
              <w:t>）</w:t>
            </w:r>
          </w:p>
        </w:tc>
        <w:tc>
          <w:tcPr>
            <w:tcW w:w="708" w:type="dxa"/>
            <w:vAlign w:val="center"/>
          </w:tcPr>
          <w:p w14:paraId="2577A57F">
            <w:pPr>
              <w:tabs>
                <w:tab w:val="left" w:pos="8280"/>
              </w:tabs>
              <w:autoSpaceDE w:val="0"/>
              <w:autoSpaceDN w:val="0"/>
              <w:adjustRightInd w:val="0"/>
              <w:spacing w:line="240" w:lineRule="auto"/>
              <w:ind w:right="25" w:rightChars="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单位</w:t>
            </w:r>
          </w:p>
        </w:tc>
        <w:tc>
          <w:tcPr>
            <w:tcW w:w="1372" w:type="dxa"/>
            <w:vAlign w:val="center"/>
          </w:tcPr>
          <w:p w14:paraId="51DCA66B">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预算（万元）</w:t>
            </w:r>
          </w:p>
        </w:tc>
        <w:tc>
          <w:tcPr>
            <w:tcW w:w="2736" w:type="dxa"/>
            <w:vAlign w:val="center"/>
          </w:tcPr>
          <w:p w14:paraId="69510049">
            <w:pPr>
              <w:tabs>
                <w:tab w:val="left" w:pos="8280"/>
              </w:tabs>
              <w:autoSpaceDE w:val="0"/>
              <w:autoSpaceDN w:val="0"/>
              <w:adjustRightInd w:val="0"/>
              <w:spacing w:line="240" w:lineRule="auto"/>
              <w:ind w:right="25" w:rightChars="0"/>
              <w:jc w:val="center"/>
              <w:rPr>
                <w:rFonts w:hint="eastAsia" w:asciiTheme="minorEastAsia" w:hAnsiTheme="minorEastAsia" w:eastAsiaTheme="minorEastAsia" w:cstheme="minorEastAsia"/>
                <w:b/>
                <w:color w:val="auto"/>
                <w:sz w:val="21"/>
                <w:szCs w:val="21"/>
                <w:highlight w:val="none"/>
              </w:rPr>
            </w:pPr>
            <w:r>
              <w:rPr>
                <w:rFonts w:hint="eastAsia" w:ascii="宋体" w:hAnsi="宋体"/>
                <w:b/>
                <w:color w:val="auto"/>
                <w:sz w:val="21"/>
                <w:szCs w:val="21"/>
                <w:highlight w:val="none"/>
                <w:lang w:val="en-US" w:eastAsia="zh-CN"/>
              </w:rPr>
              <w:t>服务期</w:t>
            </w:r>
          </w:p>
        </w:tc>
      </w:tr>
      <w:tr w14:paraId="207AA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6" w:type="dxa"/>
            <w:vAlign w:val="center"/>
          </w:tcPr>
          <w:p w14:paraId="4C0D594C">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一</w:t>
            </w:r>
          </w:p>
        </w:tc>
        <w:tc>
          <w:tcPr>
            <w:tcW w:w="1961" w:type="dxa"/>
            <w:vAlign w:val="center"/>
          </w:tcPr>
          <w:p w14:paraId="1C82C3B9">
            <w:pPr>
              <w:widowControl/>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病死动物无害化处理项目</w:t>
            </w:r>
          </w:p>
        </w:tc>
        <w:tc>
          <w:tcPr>
            <w:tcW w:w="1356" w:type="dxa"/>
            <w:vAlign w:val="center"/>
          </w:tcPr>
          <w:p w14:paraId="6126BB8B">
            <w:pPr>
              <w:tabs>
                <w:tab w:val="left" w:pos="8280"/>
              </w:tabs>
              <w:autoSpaceDE w:val="0"/>
              <w:autoSpaceDN w:val="0"/>
              <w:adjustRightInd w:val="0"/>
              <w:spacing w:line="240" w:lineRule="auto"/>
              <w:ind w:right="25" w:right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183</w:t>
            </w:r>
          </w:p>
        </w:tc>
        <w:tc>
          <w:tcPr>
            <w:tcW w:w="708" w:type="dxa"/>
            <w:vAlign w:val="center"/>
          </w:tcPr>
          <w:p w14:paraId="5CBE6ACE">
            <w:pPr>
              <w:tabs>
                <w:tab w:val="left" w:pos="8280"/>
              </w:tabs>
              <w:autoSpaceDE w:val="0"/>
              <w:autoSpaceDN w:val="0"/>
              <w:adjustRightInd w:val="0"/>
              <w:spacing w:line="240" w:lineRule="auto"/>
              <w:ind w:right="25" w:rightChars="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吨</w:t>
            </w:r>
          </w:p>
        </w:tc>
        <w:tc>
          <w:tcPr>
            <w:tcW w:w="1372" w:type="dxa"/>
            <w:vAlign w:val="center"/>
          </w:tcPr>
          <w:p w14:paraId="27B61E8A">
            <w:pPr>
              <w:tabs>
                <w:tab w:val="left" w:pos="8280"/>
              </w:tabs>
              <w:autoSpaceDE w:val="0"/>
              <w:autoSpaceDN w:val="0"/>
              <w:adjustRightInd w:val="0"/>
              <w:spacing w:line="240" w:lineRule="auto"/>
              <w:ind w:right="25"/>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80</w:t>
            </w:r>
          </w:p>
        </w:tc>
        <w:tc>
          <w:tcPr>
            <w:tcW w:w="2736" w:type="dxa"/>
            <w:vAlign w:val="center"/>
          </w:tcPr>
          <w:p w14:paraId="50B2ED5A">
            <w:pPr>
              <w:widowControl/>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b/>
                <w:bCs/>
                <w:color w:val="auto"/>
                <w:sz w:val="21"/>
                <w:szCs w:val="21"/>
                <w:highlight w:val="none"/>
                <w:lang w:val="zh-CN"/>
              </w:rPr>
              <w:t>一年，自202</w:t>
            </w:r>
            <w:r>
              <w:rPr>
                <w:rFonts w:hint="eastAsia" w:ascii="宋体" w:hAnsi="宋体" w:cs="宋体"/>
                <w:b/>
                <w:bCs/>
                <w:color w:val="auto"/>
                <w:sz w:val="21"/>
                <w:szCs w:val="21"/>
                <w:highlight w:val="none"/>
                <w:lang w:val="en-US" w:eastAsia="zh-CN"/>
              </w:rPr>
              <w:t>4</w:t>
            </w:r>
            <w:r>
              <w:rPr>
                <w:rFonts w:hint="eastAsia" w:ascii="宋体" w:hAnsi="宋体" w:cs="宋体"/>
                <w:b/>
                <w:bCs/>
                <w:color w:val="auto"/>
                <w:sz w:val="21"/>
                <w:szCs w:val="21"/>
                <w:highlight w:val="none"/>
                <w:lang w:val="zh-CN"/>
              </w:rPr>
              <w:t>年12月1日至202</w:t>
            </w:r>
            <w:r>
              <w:rPr>
                <w:rFonts w:hint="eastAsia" w:ascii="宋体" w:hAnsi="宋体" w:cs="宋体"/>
                <w:b/>
                <w:bCs/>
                <w:color w:val="auto"/>
                <w:sz w:val="21"/>
                <w:szCs w:val="21"/>
                <w:highlight w:val="none"/>
                <w:lang w:val="en-US" w:eastAsia="zh-CN"/>
              </w:rPr>
              <w:t>5</w:t>
            </w:r>
            <w:r>
              <w:rPr>
                <w:rFonts w:hint="eastAsia" w:ascii="宋体" w:hAnsi="宋体" w:cs="宋体"/>
                <w:b/>
                <w:bCs/>
                <w:color w:val="auto"/>
                <w:sz w:val="21"/>
                <w:szCs w:val="21"/>
                <w:highlight w:val="none"/>
                <w:lang w:val="zh-CN"/>
              </w:rPr>
              <w:t>年11月30日止。</w:t>
            </w:r>
          </w:p>
        </w:tc>
      </w:tr>
    </w:tbl>
    <w:p w14:paraId="30EA34DF">
      <w:pPr>
        <w:numPr>
          <w:ilvl w:val="0"/>
          <w:numId w:val="0"/>
        </w:numPr>
        <w:autoSpaceDE w:val="0"/>
        <w:autoSpaceDN w:val="0"/>
        <w:adjustRightInd w:val="0"/>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采购数量：</w:t>
      </w:r>
    </w:p>
    <w:p w14:paraId="06159DE2">
      <w:pPr>
        <w:autoSpaceDE w:val="0"/>
        <w:autoSpaceDN w:val="0"/>
        <w:adjustRightInd w:val="0"/>
        <w:spacing w:line="360" w:lineRule="auto"/>
        <w:rPr>
          <w:rFonts w:hint="eastAsia" w:ascii="宋体" w:hAnsi="宋体" w:cs="宋体"/>
          <w:b/>
          <w:bCs/>
          <w:color w:val="auto"/>
          <w:sz w:val="21"/>
          <w:szCs w:val="21"/>
          <w:highlight w:val="none"/>
          <w:lang w:val="en-US"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台州市路桥区农业农村和水利局病死动物无害化处理项目，</w:t>
      </w:r>
      <w:r>
        <w:rPr>
          <w:rFonts w:hint="eastAsia" w:ascii="宋体" w:hAnsi="宋体" w:eastAsia="宋体" w:cs="宋体"/>
          <w:color w:val="auto"/>
          <w:sz w:val="21"/>
          <w:szCs w:val="21"/>
          <w:highlight w:val="none"/>
        </w:rPr>
        <w:t>数量暂定</w:t>
      </w:r>
      <w:r>
        <w:rPr>
          <w:rFonts w:hint="eastAsia" w:ascii="宋体" w:hAnsi="宋体" w:cs="宋体"/>
          <w:color w:val="auto"/>
          <w:sz w:val="21"/>
          <w:szCs w:val="21"/>
          <w:highlight w:val="none"/>
          <w:lang w:val="en-US" w:eastAsia="zh-CN"/>
        </w:rPr>
        <w:t>183</w:t>
      </w:r>
      <w:r>
        <w:rPr>
          <w:rFonts w:hint="eastAsia" w:ascii="宋体" w:hAnsi="宋体" w:eastAsia="宋体" w:cs="宋体"/>
          <w:color w:val="auto"/>
          <w:sz w:val="21"/>
          <w:szCs w:val="21"/>
          <w:highlight w:val="none"/>
        </w:rPr>
        <w:t>吨，最高限</w:t>
      </w:r>
      <w:r>
        <w:rPr>
          <w:rFonts w:hint="eastAsia" w:ascii="宋体" w:hAnsi="宋体" w:eastAsia="宋体" w:cs="宋体"/>
          <w:color w:val="auto"/>
          <w:sz w:val="21"/>
          <w:szCs w:val="21"/>
          <w:highlight w:val="none"/>
          <w:lang w:eastAsia="zh-CN"/>
        </w:rPr>
        <w:t>单</w:t>
      </w:r>
      <w:r>
        <w:rPr>
          <w:rFonts w:hint="eastAsia" w:ascii="宋体" w:hAnsi="宋体" w:eastAsia="宋体" w:cs="宋体"/>
          <w:color w:val="auto"/>
          <w:sz w:val="21"/>
          <w:szCs w:val="21"/>
          <w:highlight w:val="none"/>
        </w:rPr>
        <w:t>价</w:t>
      </w: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350</w:t>
      </w:r>
      <w:r>
        <w:rPr>
          <w:rFonts w:hint="eastAsia" w:ascii="宋体" w:hAnsi="宋体" w:eastAsia="宋体" w:cs="宋体"/>
          <w:color w:val="auto"/>
          <w:sz w:val="21"/>
          <w:szCs w:val="21"/>
          <w:highlight w:val="none"/>
          <w:lang w:val="en-US" w:eastAsia="zh-CN"/>
        </w:rPr>
        <w:t>元</w:t>
      </w:r>
      <w:r>
        <w:rPr>
          <w:rFonts w:hint="eastAsia" w:ascii="宋体" w:hAnsi="宋体" w:eastAsia="宋体" w:cs="宋体"/>
          <w:color w:val="auto"/>
          <w:sz w:val="21"/>
          <w:szCs w:val="21"/>
          <w:highlight w:val="none"/>
        </w:rPr>
        <w:t>/吨，预算合计</w:t>
      </w:r>
      <w:r>
        <w:rPr>
          <w:rFonts w:hint="eastAsia" w:ascii="宋体" w:hAnsi="宋体" w:cs="宋体"/>
          <w:color w:val="auto"/>
          <w:sz w:val="21"/>
          <w:szCs w:val="21"/>
          <w:highlight w:val="none"/>
          <w:lang w:val="en-US" w:eastAsia="zh-CN"/>
        </w:rPr>
        <w:t>80</w:t>
      </w:r>
      <w:r>
        <w:rPr>
          <w:rFonts w:hint="eastAsia" w:ascii="宋体" w:hAnsi="宋体" w:eastAsia="宋体" w:cs="宋体"/>
          <w:color w:val="auto"/>
          <w:sz w:val="21"/>
          <w:szCs w:val="21"/>
          <w:highlight w:val="none"/>
        </w:rPr>
        <w:t>0000.00元，具体按实结算。接收并处理路桥区境内产生的死亡动物和路桥屠宰场中需要无害化处理的动物产品，因发生重大动物疫情及因此而死亡或扑杀的动物，不纳入接受</w:t>
      </w:r>
      <w:r>
        <w:rPr>
          <w:rFonts w:hint="eastAsia" w:ascii="宋体" w:hAnsi="宋体" w:eastAsia="宋体" w:cs="宋体"/>
          <w:color w:val="auto"/>
          <w:sz w:val="21"/>
          <w:szCs w:val="21"/>
          <w:highlight w:val="none"/>
          <w:lang w:eastAsia="zh-CN"/>
        </w:rPr>
        <w:t>范围。</w:t>
      </w:r>
    </w:p>
    <w:p w14:paraId="155890BD">
      <w:pPr>
        <w:autoSpaceDE w:val="0"/>
        <w:autoSpaceDN w:val="0"/>
        <w:adjustRightInd w:val="0"/>
        <w:spacing w:after="50" w:line="360" w:lineRule="auto"/>
        <w:rPr>
          <w:rFonts w:hint="eastAsia" w:ascii="宋体" w:hAnsi="宋体" w:eastAsia="宋体" w:cs="宋体"/>
          <w:b/>
          <w:bCs/>
          <w:color w:val="auto"/>
          <w:sz w:val="21"/>
          <w:szCs w:val="21"/>
          <w:highlight w:val="none"/>
          <w:lang w:val="zh-CN"/>
        </w:rPr>
      </w:pPr>
      <w:r>
        <w:rPr>
          <w:rFonts w:hint="eastAsia" w:ascii="宋体" w:hAnsi="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val="zh-CN"/>
        </w:rPr>
        <w:t>、质量保证和标准：</w:t>
      </w:r>
    </w:p>
    <w:p w14:paraId="4BB1A43E">
      <w:pPr>
        <w:autoSpaceDE w:val="0"/>
        <w:autoSpaceDN w:val="0"/>
        <w:adjustRightInd w:val="0"/>
        <w:spacing w:line="360" w:lineRule="auto"/>
        <w:ind w:firstLine="480"/>
        <w:rPr>
          <w:rFonts w:hint="eastAsia" w:ascii="宋体" w:hAnsi="宋体" w:cs="宋体"/>
          <w:b/>
          <w:bCs/>
          <w:color w:val="auto"/>
          <w:sz w:val="21"/>
          <w:szCs w:val="21"/>
          <w:highlight w:val="none"/>
          <w:lang w:val="en-US" w:eastAsia="zh-CN"/>
        </w:rPr>
      </w:pPr>
      <w:r>
        <w:rPr>
          <w:rFonts w:hint="eastAsia" w:ascii="宋体" w:hAnsi="宋体" w:eastAsia="宋体" w:cs="宋体"/>
          <w:color w:val="auto"/>
          <w:sz w:val="21"/>
          <w:szCs w:val="21"/>
          <w:highlight w:val="none"/>
          <w:lang w:val="zh-CN"/>
        </w:rPr>
        <w:t>质量要求：符合国家最新颁布的有关标准和规范要求（如无国家规定和要求的，按承诺和其他有关规定）。</w:t>
      </w:r>
    </w:p>
    <w:p w14:paraId="278BED24">
      <w:pPr>
        <w:numPr>
          <w:ilvl w:val="0"/>
          <w:numId w:val="0"/>
        </w:numPr>
        <w:spacing w:line="360" w:lineRule="auto"/>
        <w:ind w:leftChars="0"/>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lang w:val="zh-CN"/>
        </w:rPr>
        <w:t>、</w:t>
      </w:r>
      <w:r>
        <w:rPr>
          <w:rFonts w:hint="eastAsia" w:ascii="宋体" w:hAnsi="宋体" w:cs="宋体"/>
          <w:b/>
          <w:bCs/>
          <w:color w:val="auto"/>
          <w:sz w:val="21"/>
          <w:szCs w:val="21"/>
          <w:highlight w:val="none"/>
          <w:lang w:val="en-US" w:eastAsia="zh-CN"/>
        </w:rPr>
        <w:t>具体要求</w:t>
      </w:r>
    </w:p>
    <w:p w14:paraId="7E5D5CE4">
      <w:pPr>
        <w:autoSpaceDE w:val="0"/>
        <w:autoSpaceDN w:val="0"/>
        <w:adjustRightInd w:val="0"/>
        <w:spacing w:line="360" w:lineRule="auto"/>
        <w:ind w:firstLine="480"/>
        <w:rPr>
          <w:rFonts w:hint="eastAsia" w:ascii="宋体" w:hAnsi="宋体" w:eastAsia="宋体" w:cs="宋体"/>
          <w:b/>
          <w:bCs/>
          <w:color w:val="auto"/>
          <w:sz w:val="21"/>
          <w:szCs w:val="21"/>
          <w:highlight w:val="none"/>
          <w:u w:val="single"/>
          <w:lang w:val="zh-CN"/>
        </w:rPr>
      </w:pPr>
      <w:r>
        <w:rPr>
          <w:rFonts w:hint="eastAsia" w:ascii="宋体" w:hAnsi="宋体" w:eastAsia="宋体" w:cs="宋体"/>
          <w:b/>
          <w:bCs/>
          <w:color w:val="auto"/>
          <w:sz w:val="21"/>
          <w:szCs w:val="21"/>
          <w:highlight w:val="none"/>
          <w:u w:val="single"/>
          <w:lang w:val="zh-CN"/>
        </w:rPr>
        <w:t>▲1、投标人中标后7天内，须取得投标单位所在地农业农村主管部门同意跨区域无害化处置</w:t>
      </w:r>
      <w:r>
        <w:rPr>
          <w:rFonts w:hint="eastAsia" w:ascii="宋体" w:hAnsi="宋体" w:cs="宋体"/>
          <w:b/>
          <w:bCs/>
          <w:color w:val="auto"/>
          <w:sz w:val="21"/>
          <w:szCs w:val="21"/>
          <w:highlight w:val="none"/>
          <w:u w:val="single"/>
          <w:lang w:val="en-US" w:eastAsia="zh-CN"/>
        </w:rPr>
        <w:t>路桥区</w:t>
      </w:r>
      <w:r>
        <w:rPr>
          <w:rFonts w:hint="eastAsia" w:ascii="宋体" w:hAnsi="宋体" w:eastAsia="宋体" w:cs="宋体"/>
          <w:b/>
          <w:bCs/>
          <w:color w:val="auto"/>
          <w:sz w:val="21"/>
          <w:szCs w:val="21"/>
          <w:highlight w:val="none"/>
          <w:u w:val="single"/>
          <w:lang w:val="zh-CN"/>
        </w:rPr>
        <w:t>病死动物的意见书；如中标单位不能取得当地主管部门同意，采购人可按照评标报告推荐的中标候选人名单排序，确定下一候选人为中标人；中标供应商需配备相应人员确保项目顺利运行，配备数字信息化网络系统，全程监控病死动物的处理等，符合浙江省农业农村厅对无害化处理的要求。</w:t>
      </w:r>
    </w:p>
    <w:p w14:paraId="68D7C42F">
      <w:pPr>
        <w:autoSpaceDE w:val="0"/>
        <w:autoSpaceDN w:val="0"/>
        <w:adjustRightInd w:val="0"/>
        <w:spacing w:line="360" w:lineRule="auto"/>
        <w:ind w:firstLine="480"/>
        <w:rPr>
          <w:rFonts w:hint="eastAsia" w:ascii="宋体" w:hAnsi="宋体" w:eastAsia="宋体" w:cs="宋体"/>
          <w:b/>
          <w:bCs/>
          <w:color w:val="auto"/>
          <w:sz w:val="21"/>
          <w:szCs w:val="21"/>
          <w:highlight w:val="none"/>
          <w:u w:val="single"/>
          <w:lang w:val="zh-CN"/>
        </w:rPr>
      </w:pPr>
      <w:r>
        <w:rPr>
          <w:rFonts w:hint="eastAsia" w:ascii="宋体" w:hAnsi="宋体" w:eastAsia="宋体" w:cs="宋体"/>
          <w:b/>
          <w:bCs/>
          <w:color w:val="auto"/>
          <w:sz w:val="21"/>
          <w:szCs w:val="21"/>
          <w:highlight w:val="none"/>
          <w:u w:val="single"/>
          <w:lang w:val="zh-CN"/>
        </w:rPr>
        <w:t>▲</w:t>
      </w:r>
      <w:r>
        <w:rPr>
          <w:rFonts w:hint="eastAsia" w:ascii="宋体" w:hAnsi="宋体" w:cs="宋体"/>
          <w:b/>
          <w:bCs/>
          <w:color w:val="auto"/>
          <w:sz w:val="21"/>
          <w:szCs w:val="21"/>
          <w:highlight w:val="none"/>
          <w:u w:val="single"/>
          <w:lang w:val="en-US" w:eastAsia="zh-CN"/>
        </w:rPr>
        <w:t>2</w:t>
      </w:r>
      <w:r>
        <w:rPr>
          <w:rFonts w:hint="eastAsia" w:ascii="宋体" w:hAnsi="宋体" w:eastAsia="宋体" w:cs="宋体"/>
          <w:b/>
          <w:bCs/>
          <w:color w:val="auto"/>
          <w:sz w:val="21"/>
          <w:szCs w:val="21"/>
          <w:highlight w:val="none"/>
          <w:u w:val="single"/>
          <w:lang w:val="zh-CN"/>
        </w:rPr>
        <w:t>、关于病死动物运输费的特别说明：采购人仅负责</w:t>
      </w:r>
      <w:r>
        <w:rPr>
          <w:rFonts w:hint="eastAsia" w:ascii="宋体" w:hAnsi="宋体" w:cs="宋体"/>
          <w:b/>
          <w:bCs/>
          <w:color w:val="auto"/>
          <w:sz w:val="21"/>
          <w:szCs w:val="21"/>
          <w:highlight w:val="none"/>
          <w:u w:val="single"/>
          <w:lang w:val="en-US" w:eastAsia="zh-CN"/>
        </w:rPr>
        <w:t>3</w:t>
      </w:r>
      <w:r>
        <w:rPr>
          <w:rFonts w:hint="eastAsia" w:ascii="宋体" w:hAnsi="宋体" w:eastAsia="宋体" w:cs="宋体"/>
          <w:b/>
          <w:bCs/>
          <w:color w:val="auto"/>
          <w:sz w:val="21"/>
          <w:szCs w:val="21"/>
          <w:highlight w:val="none"/>
          <w:u w:val="single"/>
          <w:lang w:val="zh-CN"/>
        </w:rPr>
        <w:t>0公里以内的运输费用，超出距离部分由中标单位自行解决。</w:t>
      </w:r>
    </w:p>
    <w:p w14:paraId="4C6BB716">
      <w:pPr>
        <w:numPr>
          <w:ilvl w:val="0"/>
          <w:numId w:val="0"/>
        </w:numPr>
        <w:spacing w:line="360" w:lineRule="auto"/>
        <w:ind w:leftChars="0"/>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val="zh-CN"/>
        </w:rPr>
        <w:t>服务期限：</w:t>
      </w:r>
      <w:r>
        <w:rPr>
          <w:rFonts w:hint="eastAsia" w:ascii="宋体" w:hAnsi="宋体" w:cs="宋体"/>
          <w:b/>
          <w:bCs/>
          <w:color w:val="auto"/>
          <w:sz w:val="21"/>
          <w:szCs w:val="21"/>
          <w:highlight w:val="none"/>
          <w:lang w:val="zh-CN"/>
        </w:rPr>
        <w:t>一年，自202</w:t>
      </w:r>
      <w:r>
        <w:rPr>
          <w:rFonts w:hint="eastAsia" w:ascii="宋体" w:hAnsi="宋体" w:cs="宋体"/>
          <w:b/>
          <w:bCs/>
          <w:color w:val="auto"/>
          <w:sz w:val="21"/>
          <w:szCs w:val="21"/>
          <w:highlight w:val="none"/>
          <w:lang w:val="en-US" w:eastAsia="zh-CN"/>
        </w:rPr>
        <w:t>4</w:t>
      </w:r>
      <w:r>
        <w:rPr>
          <w:rFonts w:hint="eastAsia" w:ascii="宋体" w:hAnsi="宋体" w:cs="宋体"/>
          <w:b/>
          <w:bCs/>
          <w:color w:val="auto"/>
          <w:sz w:val="21"/>
          <w:szCs w:val="21"/>
          <w:highlight w:val="none"/>
          <w:lang w:val="zh-CN"/>
        </w:rPr>
        <w:t>年12月1日至202</w:t>
      </w:r>
      <w:r>
        <w:rPr>
          <w:rFonts w:hint="eastAsia" w:ascii="宋体" w:hAnsi="宋体" w:cs="宋体"/>
          <w:b/>
          <w:bCs/>
          <w:color w:val="auto"/>
          <w:sz w:val="21"/>
          <w:szCs w:val="21"/>
          <w:highlight w:val="none"/>
          <w:lang w:val="en-US" w:eastAsia="zh-CN"/>
        </w:rPr>
        <w:t>5</w:t>
      </w:r>
      <w:r>
        <w:rPr>
          <w:rFonts w:hint="eastAsia" w:ascii="宋体" w:hAnsi="宋体" w:cs="宋体"/>
          <w:b/>
          <w:bCs/>
          <w:color w:val="auto"/>
          <w:sz w:val="21"/>
          <w:szCs w:val="21"/>
          <w:highlight w:val="none"/>
          <w:lang w:val="zh-CN"/>
        </w:rPr>
        <w:t>年11月30日止。</w:t>
      </w:r>
    </w:p>
    <w:p w14:paraId="679C63EF">
      <w:pPr>
        <w:numPr>
          <w:ilvl w:val="0"/>
          <w:numId w:val="0"/>
        </w:numPr>
        <w:spacing w:line="360" w:lineRule="auto"/>
        <w:ind w:leftChars="0"/>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lang w:eastAsia="zh-CN"/>
        </w:rPr>
        <w:t>、费用结算</w:t>
      </w:r>
    </w:p>
    <w:p w14:paraId="0308989C">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具体</w:t>
      </w:r>
      <w:r>
        <w:rPr>
          <w:rFonts w:hint="eastAsia" w:ascii="宋体" w:hAnsi="宋体" w:eastAsia="宋体" w:cs="宋体"/>
          <w:color w:val="auto"/>
          <w:sz w:val="21"/>
          <w:szCs w:val="21"/>
          <w:highlight w:val="none"/>
          <w:lang w:val="en-US" w:eastAsia="zh-CN"/>
        </w:rPr>
        <w:t>按实结算，</w:t>
      </w:r>
      <w:r>
        <w:rPr>
          <w:rFonts w:hint="eastAsia" w:ascii="宋体" w:hAnsi="宋体" w:cs="宋体"/>
          <w:b/>
          <w:bCs/>
          <w:color w:val="auto"/>
          <w:sz w:val="21"/>
          <w:szCs w:val="21"/>
          <w:highlight w:val="none"/>
          <w:lang w:val="en-US" w:eastAsia="zh-CN"/>
        </w:rPr>
        <w:t>结算价</w:t>
      </w:r>
      <w:r>
        <w:rPr>
          <w:rFonts w:hint="eastAsia" w:ascii="宋体" w:hAnsi="宋体" w:eastAsia="宋体" w:cs="宋体"/>
          <w:b/>
          <w:bCs/>
          <w:color w:val="auto"/>
          <w:sz w:val="21"/>
          <w:szCs w:val="21"/>
          <w:highlight w:val="none"/>
          <w:lang w:val="en-US" w:eastAsia="zh-CN"/>
        </w:rPr>
        <w:t>=中标单价*实际死亡动物及动物产品处理结算量</w:t>
      </w:r>
      <w:r>
        <w:rPr>
          <w:rFonts w:hint="eastAsia" w:ascii="宋体" w:hAnsi="宋体" w:eastAsia="宋体" w:cs="宋体"/>
          <w:color w:val="auto"/>
          <w:sz w:val="21"/>
          <w:szCs w:val="21"/>
          <w:highlight w:val="none"/>
          <w:lang w:val="en-US" w:eastAsia="zh-CN"/>
        </w:rPr>
        <w:t>。</w:t>
      </w:r>
    </w:p>
    <w:p w14:paraId="75A77EB0">
      <w:pPr>
        <w:autoSpaceDE w:val="0"/>
        <w:autoSpaceDN w:val="0"/>
        <w:adjustRightInd w:val="0"/>
        <w:spacing w:line="360" w:lineRule="auto"/>
        <w:ind w:firstLine="420" w:firstLineChars="200"/>
        <w:jc w:val="left"/>
        <w:rPr>
          <w:rFonts w:hint="eastAsia" w:asciiTheme="minorEastAsia" w:hAnsiTheme="minorEastAsia" w:eastAsiaTheme="minorEastAsia" w:cstheme="minorEastAsia"/>
          <w:b/>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付款方式</w:t>
      </w:r>
      <w:r>
        <w:rPr>
          <w:rFonts w:hint="eastAsia" w:ascii="宋体" w:hAnsi="宋体" w:eastAsia="宋体" w:cs="宋体"/>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bidi="ar"/>
        </w:rPr>
        <w:t>签订合同后，在合同生效以及具备实施条件后7个工作日内支付合同金额的40%作为预付款，</w:t>
      </w:r>
      <w:r>
        <w:rPr>
          <w:rFonts w:hint="eastAsia" w:ascii="宋体" w:hAnsi="宋体" w:cs="Times New Roman"/>
          <w:b w:val="0"/>
          <w:bCs w:val="0"/>
          <w:color w:val="auto"/>
          <w:szCs w:val="21"/>
          <w:highlight w:val="none"/>
          <w:lang w:val="en-US" w:eastAsia="zh-CN"/>
        </w:rPr>
        <w:t>后续款项</w:t>
      </w:r>
      <w:r>
        <w:rPr>
          <w:rFonts w:hint="eastAsia" w:ascii="宋体" w:hAnsi="宋体" w:eastAsia="宋体" w:cs="Times New Roman"/>
          <w:color w:val="auto"/>
          <w:szCs w:val="21"/>
          <w:highlight w:val="none"/>
        </w:rPr>
        <w:t>定期</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按</w:t>
      </w:r>
      <w:r>
        <w:rPr>
          <w:rFonts w:hint="eastAsia" w:ascii="宋体" w:hAnsi="宋体" w:cs="Times New Roman"/>
          <w:color w:val="auto"/>
          <w:szCs w:val="21"/>
          <w:highlight w:val="none"/>
          <w:lang w:val="en-US" w:eastAsia="zh-CN"/>
        </w:rPr>
        <w:t>季</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按实</w:t>
      </w:r>
      <w:r>
        <w:rPr>
          <w:rFonts w:hint="eastAsia" w:ascii="宋体" w:hAnsi="宋体" w:eastAsia="宋体" w:cs="Times New Roman"/>
          <w:color w:val="auto"/>
          <w:szCs w:val="21"/>
          <w:highlight w:val="none"/>
        </w:rPr>
        <w:t>结算</w:t>
      </w:r>
      <w:r>
        <w:rPr>
          <w:rFonts w:hint="eastAsia" w:ascii="宋体" w:hAnsi="宋体" w:cs="Times New Roman"/>
          <w:color w:val="auto"/>
          <w:szCs w:val="21"/>
          <w:highlight w:val="none"/>
          <w:lang w:eastAsia="zh-CN"/>
        </w:rPr>
        <w:t>，</w:t>
      </w:r>
      <w:r>
        <w:rPr>
          <w:rFonts w:hint="eastAsia" w:ascii="宋体" w:hAnsi="宋体" w:eastAsia="宋体" w:cs="宋体"/>
          <w:color w:val="auto"/>
          <w:sz w:val="21"/>
          <w:szCs w:val="21"/>
          <w:highlight w:val="none"/>
          <w:lang w:val="en-US" w:eastAsia="zh-CN"/>
        </w:rPr>
        <w:t>中标单位应向采购单位提交实际处理量清单，采购单位在收到中标单位清单后</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个工作日内支付到中标单位。</w:t>
      </w:r>
    </w:p>
    <w:p w14:paraId="3664F023">
      <w:pPr>
        <w:keepNext w:val="0"/>
        <w:keepLines w:val="0"/>
        <w:pageBreakBefore w:val="0"/>
        <w:kinsoku/>
        <w:wordWrap/>
        <w:overflowPunct/>
        <w:topLinePunct w:val="0"/>
        <w:autoSpaceDE/>
        <w:autoSpaceDN w:val="0"/>
        <w:bidi w:val="0"/>
        <w:adjustRightInd/>
        <w:spacing w:line="360" w:lineRule="auto"/>
        <w:textAlignment w:val="auto"/>
        <w:outlineLvl w:val="9"/>
        <w:rPr>
          <w:rFonts w:hint="eastAsia" w:ascii="宋体" w:hAnsi="宋体"/>
          <w:b/>
          <w:color w:val="auto"/>
          <w:sz w:val="36"/>
          <w:szCs w:val="36"/>
          <w:highlight w:val="none"/>
        </w:rPr>
        <w:sectPr>
          <w:footerReference r:id="rId5" w:type="default"/>
          <w:pgSz w:w="11906" w:h="16838"/>
          <w:pgMar w:top="1440" w:right="1800" w:bottom="1440" w:left="1800" w:header="851" w:footer="992" w:gutter="0"/>
          <w:pgNumType w:fmt="decimal"/>
          <w:cols w:space="425" w:num="1"/>
          <w:docGrid w:type="lines" w:linePitch="312" w:charSpace="0"/>
        </w:sectPr>
      </w:pPr>
      <w:r>
        <w:rPr>
          <w:rFonts w:hint="eastAsia" w:asciiTheme="minorEastAsia" w:hAnsiTheme="minorEastAsia" w:eastAsiaTheme="minorEastAsia" w:cstheme="minorEastAsia"/>
          <w:b/>
          <w:bCs w:val="0"/>
          <w:color w:val="auto"/>
          <w:sz w:val="21"/>
          <w:szCs w:val="21"/>
          <w:highlight w:val="none"/>
          <w:lang w:val="en-US" w:eastAsia="zh-CN"/>
        </w:rPr>
        <w:t>七</w:t>
      </w:r>
      <w:r>
        <w:rPr>
          <w:rFonts w:hint="eastAsia" w:asciiTheme="minorEastAsia" w:hAnsiTheme="minorEastAsia" w:eastAsiaTheme="minorEastAsia" w:cstheme="minorEastAsia"/>
          <w:b/>
          <w:bCs w:val="0"/>
          <w:color w:val="auto"/>
          <w:sz w:val="21"/>
          <w:szCs w:val="21"/>
          <w:highlight w:val="none"/>
        </w:rPr>
        <w:t>、</w:t>
      </w:r>
      <w:r>
        <w:rPr>
          <w:rFonts w:hint="eastAsia" w:ascii="宋体" w:hAnsi="宋体" w:eastAsia="宋体" w:cs="宋体"/>
          <w:b/>
          <w:color w:val="auto"/>
          <w:sz w:val="21"/>
          <w:szCs w:val="21"/>
          <w:highlight w:val="none"/>
        </w:rPr>
        <w:t>本项目中标（成交）供应商应在浙江省政府采购网</w:t>
      </w:r>
      <w:r>
        <w:rPr>
          <w:rFonts w:hint="eastAsia" w:ascii="宋体" w:hAnsi="宋体" w:eastAsia="宋体" w:cs="宋体"/>
          <w:b/>
          <w:color w:val="auto"/>
          <w:sz w:val="21"/>
          <w:szCs w:val="21"/>
          <w:highlight w:val="none"/>
          <w:lang w:eastAsia="zh-CN"/>
        </w:rPr>
        <w:t>（http://zfcg.czt.zj.gov.cn）</w:t>
      </w:r>
      <w:r>
        <w:rPr>
          <w:rFonts w:hint="eastAsia" w:ascii="宋体" w:hAnsi="宋体" w:eastAsia="宋体" w:cs="宋体"/>
          <w:b/>
          <w:color w:val="auto"/>
          <w:sz w:val="21"/>
          <w:szCs w:val="21"/>
          <w:highlight w:val="none"/>
        </w:rPr>
        <w:t>上注册成为“政府采购供应商”，如不按要求注册的，采购方有权延期发布中标（成交）通知书和中标（成交）公告，后果由供应商自行承担</w:t>
      </w:r>
      <w:r>
        <w:rPr>
          <w:rFonts w:hint="eastAsia" w:ascii="宋体" w:hAnsi="宋体" w:eastAsia="宋体" w:cs="宋体"/>
          <w:b/>
          <w:color w:val="auto"/>
          <w:szCs w:val="21"/>
          <w:highlight w:val="none"/>
        </w:rPr>
        <w:t>。</w:t>
      </w:r>
    </w:p>
    <w:p w14:paraId="09785C8A">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 政府采购合同主要条款</w:t>
      </w:r>
    </w:p>
    <w:p w14:paraId="254A9146">
      <w:pPr>
        <w:pStyle w:val="52"/>
        <w:keepNext w:val="0"/>
        <w:keepLines w:val="0"/>
        <w:pageBreakBefore w:val="0"/>
        <w:widowControl w:val="0"/>
        <w:kinsoku/>
        <w:wordWrap/>
        <w:overflowPunct/>
        <w:topLinePunct w:val="0"/>
        <w:bidi w:val="0"/>
        <w:spacing w:line="360" w:lineRule="auto"/>
        <w:jc w:val="center"/>
        <w:outlineLvl w:val="9"/>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（此稿为合同样本，最终定稿待双方协商后定，但不得背离实质性内容）</w:t>
      </w:r>
    </w:p>
    <w:p w14:paraId="55BF417C">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合同将由</w:t>
      </w:r>
      <w:r>
        <w:rPr>
          <w:rFonts w:hint="eastAsia" w:ascii="宋体" w:hAnsi="宋体" w:cs="宋体"/>
          <w:color w:val="auto"/>
          <w:szCs w:val="21"/>
          <w:highlight w:val="none"/>
          <w:lang w:eastAsia="zh-CN"/>
        </w:rPr>
        <w:t>台州市路桥区农业农村和水利局</w:t>
      </w:r>
      <w:r>
        <w:rPr>
          <w:rFonts w:hint="eastAsia" w:ascii="宋体" w:hAnsi="宋体" w:eastAsia="宋体" w:cs="宋体"/>
          <w:color w:val="auto"/>
          <w:szCs w:val="21"/>
          <w:highlight w:val="none"/>
        </w:rPr>
        <w:t>（以下简称甲方）与经评审最终确定的中标人（以下简称乙方）结合本项目具体情况协商后签订。以下为采购人提出涉及乙方的主要条款，投标人在</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文件中应对其进行确认或拒绝。如投标人在其</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文件中未做拒绝或提出调整完善要求的，采购人将视作认同。具体如下：</w:t>
      </w:r>
    </w:p>
    <w:p w14:paraId="39A2D0C9">
      <w:pPr>
        <w:pStyle w:val="9"/>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项目编号</w:t>
      </w:r>
      <w:r>
        <w:rPr>
          <w:rFonts w:hint="eastAsia" w:ascii="宋体" w:hAnsi="宋体" w:eastAsia="宋体" w:cs="宋体"/>
          <w:color w:val="auto"/>
          <w:szCs w:val="21"/>
          <w:highlight w:val="none"/>
        </w:rPr>
        <w:t>：</w:t>
      </w:r>
    </w:p>
    <w:p w14:paraId="6D116A21">
      <w:pPr>
        <w:pStyle w:val="9"/>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甲方：</w:t>
      </w:r>
      <w:r>
        <w:rPr>
          <w:rFonts w:hint="eastAsia" w:ascii="宋体" w:hAnsi="宋体" w:eastAsia="宋体" w:cs="宋体"/>
          <w:color w:val="auto"/>
          <w:szCs w:val="21"/>
          <w:highlight w:val="none"/>
        </w:rPr>
        <w:t>（采购方）</w:t>
      </w:r>
      <w:r>
        <w:rPr>
          <w:rFonts w:hint="eastAsia" w:hAnsi="宋体" w:cs="宋体"/>
          <w:color w:val="auto"/>
          <w:szCs w:val="21"/>
          <w:highlight w:val="none"/>
          <w:lang w:eastAsia="zh-CN"/>
        </w:rPr>
        <w:t>台州市路桥区农业农村和水利局</w:t>
      </w:r>
    </w:p>
    <w:p w14:paraId="7AB10109">
      <w:pPr>
        <w:pStyle w:val="9"/>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w:t>
      </w:r>
      <w:r>
        <w:rPr>
          <w:rFonts w:hint="eastAsia" w:ascii="宋体" w:hAnsi="宋体" w:eastAsia="宋体" w:cs="宋体"/>
          <w:color w:val="auto"/>
          <w:szCs w:val="21"/>
          <w:highlight w:val="none"/>
        </w:rPr>
        <w:t>（供应商）</w:t>
      </w:r>
      <w:r>
        <w:rPr>
          <w:rFonts w:hint="eastAsia" w:ascii="宋体" w:hAnsi="宋体" w:eastAsia="宋体" w:cs="宋体"/>
          <w:b/>
          <w:color w:val="auto"/>
          <w:szCs w:val="21"/>
          <w:highlight w:val="none"/>
        </w:rPr>
        <w:t xml:space="preserve"> </w:t>
      </w:r>
    </w:p>
    <w:p w14:paraId="46356164">
      <w:pPr>
        <w:pStyle w:val="9"/>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甲、乙双方根据</w:t>
      </w:r>
      <w:r>
        <w:rPr>
          <w:rFonts w:hint="eastAsia" w:hAnsi="宋体" w:cs="宋体"/>
          <w:color w:val="auto"/>
          <w:szCs w:val="21"/>
          <w:highlight w:val="none"/>
          <w:u w:val="single"/>
          <w:lang w:eastAsia="zh-CN"/>
        </w:rPr>
        <w:t>台州市路桥区农业农村和水利局病死动物无害化处理项目</w:t>
      </w:r>
      <w:r>
        <w:rPr>
          <w:rFonts w:hint="eastAsia" w:ascii="宋体" w:hAnsi="宋体" w:eastAsia="宋体" w:cs="宋体"/>
          <w:color w:val="auto"/>
          <w:szCs w:val="21"/>
          <w:highlight w:val="none"/>
          <w:u w:val="single"/>
        </w:rPr>
        <w:t>竞争性磋商</w:t>
      </w:r>
      <w:r>
        <w:rPr>
          <w:rFonts w:hint="eastAsia" w:ascii="宋体" w:hAnsi="宋体" w:eastAsia="宋体" w:cs="宋体"/>
          <w:color w:val="auto"/>
          <w:szCs w:val="21"/>
          <w:highlight w:val="none"/>
        </w:rPr>
        <w:t>的结果，签署本合同。</w:t>
      </w:r>
    </w:p>
    <w:p w14:paraId="25EA4DDE">
      <w:pPr>
        <w:pStyle w:val="9"/>
        <w:keepNext w:val="0"/>
        <w:keepLines w:val="0"/>
        <w:pageBreakBefore w:val="0"/>
        <w:kinsoku/>
        <w:wordWrap/>
        <w:overflowPunct/>
        <w:topLinePunct w:val="0"/>
        <w:autoSpaceDE/>
        <w:autoSpaceDN/>
        <w:bidi w:val="0"/>
        <w:adjustRightInd w:val="0"/>
        <w:snapToGrid w:val="0"/>
        <w:spacing w:line="360" w:lineRule="auto"/>
        <w:ind w:firstLine="422" w:firstLineChars="200"/>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第一条：</w:t>
      </w:r>
      <w:r>
        <w:rPr>
          <w:rFonts w:hint="eastAsia" w:ascii="宋体" w:hAnsi="宋体" w:eastAsia="宋体" w:cs="宋体"/>
          <w:b/>
          <w:color w:val="auto"/>
          <w:sz w:val="21"/>
          <w:szCs w:val="21"/>
          <w:highlight w:val="none"/>
        </w:rPr>
        <w:t>服务内容</w:t>
      </w:r>
    </w:p>
    <w:p w14:paraId="6B3871FE">
      <w:pPr>
        <w:pStyle w:val="9"/>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详见本项目</w:t>
      </w:r>
      <w:r>
        <w:rPr>
          <w:rFonts w:hint="eastAsia" w:ascii="宋体" w:hAnsi="宋体" w:eastAsia="宋体" w:cs="宋体"/>
          <w:color w:val="auto"/>
          <w:sz w:val="21"/>
          <w:szCs w:val="21"/>
          <w:highlight w:val="none"/>
          <w:lang w:eastAsia="zh-CN"/>
        </w:rPr>
        <w:t>采购文件</w:t>
      </w:r>
      <w:r>
        <w:rPr>
          <w:rFonts w:hint="eastAsia" w:ascii="宋体" w:hAnsi="宋体" w:eastAsia="宋体" w:cs="宋体"/>
          <w:bCs/>
          <w:color w:val="auto"/>
          <w:sz w:val="21"/>
          <w:szCs w:val="21"/>
          <w:highlight w:val="none"/>
        </w:rPr>
        <w:t>第</w:t>
      </w:r>
      <w:r>
        <w:rPr>
          <w:rFonts w:hint="eastAsia" w:ascii="宋体" w:hAnsi="宋体" w:eastAsia="宋体" w:cs="宋体"/>
          <w:bCs/>
          <w:color w:val="auto"/>
          <w:sz w:val="21"/>
          <w:szCs w:val="21"/>
          <w:highlight w:val="none"/>
          <w:lang w:val="en-US" w:eastAsia="zh-CN"/>
        </w:rPr>
        <w:t>四</w:t>
      </w:r>
      <w:r>
        <w:rPr>
          <w:rFonts w:hint="eastAsia" w:ascii="宋体" w:hAnsi="宋体" w:eastAsia="宋体" w:cs="宋体"/>
          <w:bCs/>
          <w:color w:val="auto"/>
          <w:sz w:val="21"/>
          <w:szCs w:val="21"/>
          <w:highlight w:val="none"/>
        </w:rPr>
        <w:t>部分《</w:t>
      </w:r>
      <w:r>
        <w:rPr>
          <w:rFonts w:hint="eastAsia" w:ascii="宋体" w:hAnsi="宋体" w:eastAsia="宋体" w:cs="宋体"/>
          <w:bCs/>
          <w:color w:val="auto"/>
          <w:sz w:val="21"/>
          <w:szCs w:val="21"/>
          <w:highlight w:val="none"/>
          <w:lang w:val="en-US" w:eastAsia="zh-CN"/>
        </w:rPr>
        <w:t>项目需求</w:t>
      </w:r>
      <w:r>
        <w:rPr>
          <w:rFonts w:hint="eastAsia" w:ascii="宋体" w:hAnsi="宋体" w:eastAsia="宋体" w:cs="宋体"/>
          <w:color w:val="auto"/>
          <w:sz w:val="21"/>
          <w:szCs w:val="21"/>
          <w:highlight w:val="none"/>
        </w:rPr>
        <w:t>》。</w:t>
      </w:r>
    </w:p>
    <w:p w14:paraId="0EB74BC2">
      <w:pPr>
        <w:keepNext w:val="0"/>
        <w:keepLines w:val="0"/>
        <w:pageBreakBefore w:val="0"/>
        <w:kinsoku/>
        <w:wordWrap/>
        <w:overflowPunct/>
        <w:topLinePunct w:val="0"/>
        <w:autoSpaceDE/>
        <w:autoSpaceDN/>
        <w:bidi w:val="0"/>
        <w:snapToGrid w:val="0"/>
        <w:spacing w:line="360" w:lineRule="auto"/>
        <w:ind w:firstLine="422" w:firstLineChars="200"/>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第二条：合同金额</w:t>
      </w:r>
    </w:p>
    <w:p w14:paraId="5C07430B">
      <w:pPr>
        <w:keepNext w:val="0"/>
        <w:keepLines w:val="0"/>
        <w:pageBreakBefore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本合同金额为(大写):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 人民币。</w:t>
      </w:r>
    </w:p>
    <w:p w14:paraId="07AB6070">
      <w:pPr>
        <w:keepNext w:val="0"/>
        <w:keepLines w:val="0"/>
        <w:pageBreakBefore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甲、</w:t>
      </w:r>
      <w:r>
        <w:rPr>
          <w:rFonts w:hint="eastAsia" w:ascii="宋体" w:hAnsi="宋体" w:eastAsia="宋体" w:cs="宋体"/>
          <w:color w:val="auto"/>
          <w:sz w:val="21"/>
          <w:szCs w:val="21"/>
          <w:highlight w:val="none"/>
        </w:rPr>
        <w:t>乙双方商定的</w:t>
      </w:r>
      <w:r>
        <w:rPr>
          <w:rFonts w:hint="eastAsia" w:ascii="宋体" w:hAnsi="宋体" w:eastAsia="宋体" w:cs="宋体"/>
          <w:color w:val="auto"/>
          <w:sz w:val="21"/>
          <w:szCs w:val="21"/>
          <w:highlight w:val="none"/>
          <w:lang w:eastAsia="zh-CN"/>
        </w:rPr>
        <w:t>死亡动物</w:t>
      </w:r>
      <w:r>
        <w:rPr>
          <w:rFonts w:hint="eastAsia" w:ascii="宋体" w:hAnsi="宋体" w:eastAsia="宋体" w:cs="宋体"/>
          <w:color w:val="auto"/>
          <w:sz w:val="21"/>
          <w:szCs w:val="21"/>
          <w:highlight w:val="none"/>
        </w:rPr>
        <w:t>数量及处置价格（含税）如下：</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1"/>
        <w:gridCol w:w="2603"/>
        <w:gridCol w:w="2586"/>
      </w:tblGrid>
      <w:tr w14:paraId="0D1EC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71" w:type="dxa"/>
            <w:noWrap w:val="0"/>
            <w:vAlign w:val="center"/>
          </w:tcPr>
          <w:p w14:paraId="02740C5F">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名称</w:t>
            </w:r>
          </w:p>
        </w:tc>
        <w:tc>
          <w:tcPr>
            <w:tcW w:w="2603" w:type="dxa"/>
            <w:noWrap w:val="0"/>
            <w:vAlign w:val="center"/>
          </w:tcPr>
          <w:p w14:paraId="11B9B13E">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数量（吨）</w:t>
            </w:r>
          </w:p>
        </w:tc>
        <w:tc>
          <w:tcPr>
            <w:tcW w:w="2586" w:type="dxa"/>
            <w:noWrap w:val="0"/>
            <w:vAlign w:val="center"/>
          </w:tcPr>
          <w:p w14:paraId="7E24C8B2">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价格（元/吨）</w:t>
            </w:r>
          </w:p>
        </w:tc>
      </w:tr>
      <w:tr w14:paraId="611D8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2571" w:type="dxa"/>
            <w:noWrap w:val="0"/>
            <w:vAlign w:val="center"/>
          </w:tcPr>
          <w:p w14:paraId="7D0192F1">
            <w:pPr>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死亡动物</w:t>
            </w:r>
          </w:p>
        </w:tc>
        <w:tc>
          <w:tcPr>
            <w:tcW w:w="2603" w:type="dxa"/>
            <w:noWrap w:val="0"/>
            <w:vAlign w:val="center"/>
          </w:tcPr>
          <w:p w14:paraId="12F7448E">
            <w:pPr>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183（暂定）</w:t>
            </w:r>
          </w:p>
        </w:tc>
        <w:tc>
          <w:tcPr>
            <w:tcW w:w="2586" w:type="dxa"/>
            <w:noWrap w:val="0"/>
            <w:vAlign w:val="center"/>
          </w:tcPr>
          <w:p w14:paraId="67B17B12">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tc>
      </w:tr>
    </w:tbl>
    <w:p w14:paraId="5048585F">
      <w:pPr>
        <w:pStyle w:val="9"/>
        <w:keepNext w:val="0"/>
        <w:keepLines w:val="0"/>
        <w:pageBreakBefore w:val="0"/>
        <w:kinsoku/>
        <w:wordWrap/>
        <w:overflowPunct/>
        <w:topLinePunct w:val="0"/>
        <w:autoSpaceDE/>
        <w:autoSpaceDN/>
        <w:bidi w:val="0"/>
        <w:adjustRightInd w:val="0"/>
        <w:snapToGrid w:val="0"/>
        <w:spacing w:line="360" w:lineRule="auto"/>
        <w:ind w:firstLine="422" w:firstLineChars="200"/>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第三条：技术资料</w:t>
      </w:r>
    </w:p>
    <w:p w14:paraId="2B74FF74">
      <w:pPr>
        <w:pStyle w:val="9"/>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规定的时间向甲方提供有关技术资料。</w:t>
      </w:r>
    </w:p>
    <w:p w14:paraId="6D8B6492">
      <w:pPr>
        <w:pStyle w:val="9"/>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52A7A12">
      <w:pPr>
        <w:pStyle w:val="9"/>
        <w:keepNext w:val="0"/>
        <w:keepLines w:val="0"/>
        <w:pageBreakBefore w:val="0"/>
        <w:kinsoku/>
        <w:wordWrap/>
        <w:overflowPunct/>
        <w:topLinePunct w:val="0"/>
        <w:autoSpaceDE/>
        <w:autoSpaceDN/>
        <w:bidi w:val="0"/>
        <w:adjustRightInd w:val="0"/>
        <w:snapToGrid w:val="0"/>
        <w:spacing w:line="360" w:lineRule="auto"/>
        <w:ind w:firstLine="422" w:firstLineChars="200"/>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第四条：知识产权</w:t>
      </w:r>
    </w:p>
    <w:p w14:paraId="0F35AB9F">
      <w:pPr>
        <w:pStyle w:val="9"/>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1、乙方应保证提供服务过程中不会侵犯任何第三方的知识产权和其他权利</w:t>
      </w:r>
      <w:r>
        <w:rPr>
          <w:rFonts w:hint="eastAsia" w:ascii="宋体" w:hAnsi="宋体" w:eastAsia="宋体" w:cs="宋体"/>
          <w:bCs/>
          <w:color w:val="auto"/>
          <w:sz w:val="21"/>
          <w:szCs w:val="21"/>
          <w:highlight w:val="none"/>
        </w:rPr>
        <w:t>。</w:t>
      </w:r>
    </w:p>
    <w:p w14:paraId="4D678CC4">
      <w:pPr>
        <w:pStyle w:val="9"/>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2、本项目所有成果以及采集的数据的知识产权和其他权利属甲方所有，乙方不得以任何形式向第三方提供，否则，按国家法律和有关规定追究乙方的一切责任，并要求乙方承担甲方因此造成的损失。</w:t>
      </w:r>
    </w:p>
    <w:p w14:paraId="4ED17944">
      <w:pPr>
        <w:pStyle w:val="9"/>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3、本项目作业过程中提供的或涉及的所有数据属甲方拥有，乙方无权在技术要求规定之外自行处置数据，不得自行删除、复制、调整完善、转移数据，不得以任何形式擅自使用或向第三方提供。</w:t>
      </w:r>
    </w:p>
    <w:p w14:paraId="42402C0C">
      <w:pPr>
        <w:pStyle w:val="9"/>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4、若侵犯,除承担本协议中的违约责任外，还应由乙方赔偿甲方因此遭受的损失（包括但不限于应对及追偿过程中所支付的律师费、差旅费、诉讼费、保全费、鉴定费、评估费等）。</w:t>
      </w:r>
    </w:p>
    <w:p w14:paraId="0BC33613">
      <w:pPr>
        <w:keepNext w:val="0"/>
        <w:keepLines w:val="0"/>
        <w:pageBreakBefore w:val="0"/>
        <w:kinsoku/>
        <w:wordWrap/>
        <w:overflowPunct/>
        <w:topLinePunct w:val="0"/>
        <w:autoSpaceDE/>
        <w:autoSpaceDN/>
        <w:bidi w:val="0"/>
        <w:snapToGrid w:val="0"/>
        <w:spacing w:line="360" w:lineRule="auto"/>
        <w:ind w:firstLine="422" w:firstLineChars="200"/>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条：转包或分包</w:t>
      </w:r>
    </w:p>
    <w:p w14:paraId="50F4E9C5">
      <w:pPr>
        <w:keepNext w:val="0"/>
        <w:keepLines w:val="0"/>
        <w:pageBreakBefore w:val="0"/>
        <w:kinsoku/>
        <w:wordWrap/>
        <w:overflowPunct/>
        <w:topLinePunct w:val="0"/>
        <w:autoSpaceDE/>
        <w:autoSpaceDN/>
        <w:bidi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本合同范围的服务，应由乙方直接供应，不得转让他人供应；</w:t>
      </w:r>
    </w:p>
    <w:p w14:paraId="7BF4F106">
      <w:pPr>
        <w:keepNext w:val="0"/>
        <w:keepLines w:val="0"/>
        <w:pageBreakBefore w:val="0"/>
        <w:kinsoku/>
        <w:wordWrap/>
        <w:overflowPunct/>
        <w:topLinePunct w:val="0"/>
        <w:autoSpaceDE/>
        <w:autoSpaceDN/>
        <w:bidi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乙方不得将本合同范围的服务全部或部分分包给他人供应；</w:t>
      </w:r>
    </w:p>
    <w:p w14:paraId="22103A08">
      <w:pPr>
        <w:keepNext w:val="0"/>
        <w:keepLines w:val="0"/>
        <w:pageBreakBefore w:val="0"/>
        <w:kinsoku/>
        <w:wordWrap/>
        <w:overflowPunct/>
        <w:topLinePunct w:val="0"/>
        <w:autoSpaceDE/>
        <w:autoSpaceDN/>
        <w:bidi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如有转让和分包行为，甲方有权解除合同并追究乙方的违约责任。</w:t>
      </w:r>
    </w:p>
    <w:p w14:paraId="450110F0">
      <w:pPr>
        <w:keepNext w:val="0"/>
        <w:keepLines w:val="0"/>
        <w:pageBreakBefore w:val="0"/>
        <w:kinsoku/>
        <w:wordWrap/>
        <w:overflowPunct/>
        <w:topLinePunct w:val="0"/>
        <w:autoSpaceDE/>
        <w:autoSpaceDN/>
        <w:bidi w:val="0"/>
        <w:snapToGrid w:val="0"/>
        <w:spacing w:line="360" w:lineRule="auto"/>
        <w:ind w:firstLine="422" w:firstLineChars="200"/>
        <w:jc w:val="left"/>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六</w:t>
      </w:r>
      <w:r>
        <w:rPr>
          <w:rFonts w:hint="eastAsia" w:ascii="宋体" w:hAnsi="宋体" w:eastAsia="宋体" w:cs="宋体"/>
          <w:b/>
          <w:color w:val="auto"/>
          <w:sz w:val="21"/>
          <w:szCs w:val="21"/>
          <w:highlight w:val="none"/>
        </w:rPr>
        <w:t>条：</w:t>
      </w:r>
      <w:r>
        <w:rPr>
          <w:rFonts w:hint="eastAsia" w:ascii="宋体" w:hAnsi="宋体" w:eastAsia="宋体" w:cs="宋体"/>
          <w:b/>
          <w:color w:val="auto"/>
          <w:sz w:val="21"/>
          <w:szCs w:val="21"/>
          <w:highlight w:val="none"/>
          <w:lang w:val="en-US" w:eastAsia="zh-CN"/>
        </w:rPr>
        <w:t>服务内容</w:t>
      </w:r>
    </w:p>
    <w:p w14:paraId="5DB3E751">
      <w:pPr>
        <w:keepNext w:val="0"/>
        <w:keepLines w:val="0"/>
        <w:pageBreakBefore w:val="0"/>
        <w:kinsoku/>
        <w:wordWrap/>
        <w:overflowPunct/>
        <w:topLinePunct w:val="0"/>
        <w:autoSpaceDE/>
        <w:autoSpaceDN/>
        <w:bidi w:val="0"/>
        <w:spacing w:line="360" w:lineRule="auto"/>
        <w:ind w:firstLine="422" w:firstLineChars="200"/>
        <w:jc w:val="left"/>
        <w:textAlignment w:val="baseline"/>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en-US"/>
        </w:rPr>
        <w:t>—</w:t>
      </w:r>
      <w:r>
        <w:rPr>
          <w:rFonts w:hint="eastAsia" w:ascii="宋体" w:hAnsi="宋体" w:eastAsia="宋体" w:cs="宋体"/>
          <w:b/>
          <w:bCs/>
          <w:color w:val="auto"/>
          <w:sz w:val="21"/>
          <w:szCs w:val="21"/>
          <w:highlight w:val="none"/>
          <w:lang w:val="en-US" w:eastAsia="zh-CN"/>
        </w:rPr>
        <w:t>、乙方的接收</w:t>
      </w:r>
    </w:p>
    <w:p w14:paraId="43A44D75">
      <w:pPr>
        <w:keepNext w:val="0"/>
        <w:keepLines w:val="0"/>
        <w:pageBreakBefore w:val="0"/>
        <w:kinsoku/>
        <w:wordWrap/>
        <w:overflowPunct/>
        <w:topLinePunct w:val="0"/>
        <w:autoSpaceDE/>
        <w:autoSpaceDN/>
        <w:bidi w:val="0"/>
        <w:spacing w:line="360" w:lineRule="auto"/>
        <w:ind w:firstLine="420" w:firstLineChars="200"/>
        <w:jc w:val="left"/>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乙方在确保接收并处理路桥区境内产生的死亡动物和路桥屠宰场中需要无害化处理的动物产品。因发生重大动物疫情及因此而死亡或扑杀的动物，不纳入接受范围。   </w:t>
      </w:r>
    </w:p>
    <w:p w14:paraId="60FFB7AA">
      <w:pPr>
        <w:keepNext w:val="0"/>
        <w:keepLines w:val="0"/>
        <w:pageBreakBefore w:val="0"/>
        <w:kinsoku/>
        <w:wordWrap/>
        <w:overflowPunct/>
        <w:topLinePunct w:val="0"/>
        <w:autoSpaceDE/>
        <w:autoSpaceDN/>
        <w:bidi w:val="0"/>
        <w:spacing w:line="360" w:lineRule="auto"/>
        <w:ind w:firstLine="422" w:firstLineChars="200"/>
        <w:jc w:val="left"/>
        <w:textAlignment w:val="baseline"/>
        <w:outlineLvl w:val="9"/>
        <w:rPr>
          <w:rFonts w:hint="eastAsia" w:ascii="宋体" w:hAnsi="宋体" w:eastAsia="宋体" w:cs="宋体"/>
          <w:b/>
          <w:bCs/>
          <w:color w:val="auto"/>
          <w:sz w:val="21"/>
          <w:szCs w:val="21"/>
          <w:highlight w:val="none"/>
          <w:lang w:val="en-US" w:eastAsia="zh-CN"/>
        </w:rPr>
      </w:pPr>
      <w:bookmarkStart w:id="2" w:name="bookmark0"/>
      <w:r>
        <w:rPr>
          <w:rFonts w:hint="eastAsia" w:ascii="宋体" w:hAnsi="宋体" w:eastAsia="宋体" w:cs="宋体"/>
          <w:b/>
          <w:bCs/>
          <w:color w:val="auto"/>
          <w:sz w:val="21"/>
          <w:szCs w:val="21"/>
          <w:highlight w:val="none"/>
          <w:lang w:val="en-US" w:eastAsia="zh-CN"/>
        </w:rPr>
        <w:t>二</w:t>
      </w:r>
      <w:bookmarkEnd w:id="2"/>
      <w:r>
        <w:rPr>
          <w:rFonts w:hint="eastAsia" w:ascii="宋体" w:hAnsi="宋体" w:eastAsia="宋体" w:cs="宋体"/>
          <w:b/>
          <w:bCs/>
          <w:color w:val="auto"/>
          <w:sz w:val="21"/>
          <w:szCs w:val="21"/>
          <w:highlight w:val="none"/>
          <w:lang w:val="en-US" w:eastAsia="zh-CN"/>
        </w:rPr>
        <w:t>、协议期限</w:t>
      </w:r>
    </w:p>
    <w:p w14:paraId="2A508CED">
      <w:pPr>
        <w:keepNext w:val="0"/>
        <w:keepLines w:val="0"/>
        <w:pageBreakBefore w:val="0"/>
        <w:kinsoku/>
        <w:wordWrap/>
        <w:overflowPunct/>
        <w:topLinePunct w:val="0"/>
        <w:autoSpaceDE/>
        <w:autoSpaceDN/>
        <w:bidi w:val="0"/>
        <w:spacing w:line="360" w:lineRule="auto"/>
        <w:ind w:firstLine="420" w:firstLineChars="200"/>
        <w:jc w:val="left"/>
        <w:textAlignment w:val="baseline"/>
        <w:outlineLvl w:val="9"/>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一年，自</w:t>
      </w:r>
      <w:r>
        <w:rPr>
          <w:rFonts w:hint="eastAsia" w:ascii="宋体" w:hAnsi="宋体" w:cs="宋体"/>
          <w:color w:val="auto"/>
          <w:sz w:val="21"/>
          <w:szCs w:val="21"/>
          <w:highlight w:val="none"/>
          <w:u w:val="single"/>
          <w:lang w:val="en-US" w:eastAsia="zh-CN"/>
        </w:rPr>
        <w:t xml:space="preserve">    年  月    日至    年  月    日</w:t>
      </w:r>
      <w:r>
        <w:rPr>
          <w:rFonts w:hint="eastAsia" w:ascii="宋体" w:hAnsi="宋体" w:eastAsia="宋体" w:cs="宋体"/>
          <w:color w:val="auto"/>
          <w:sz w:val="21"/>
          <w:szCs w:val="21"/>
          <w:highlight w:val="none"/>
          <w:u w:val="single"/>
          <w:lang w:val="en-US" w:eastAsia="zh-CN"/>
        </w:rPr>
        <w:t>止。</w:t>
      </w:r>
    </w:p>
    <w:p w14:paraId="3398122D">
      <w:pPr>
        <w:pStyle w:val="9"/>
        <w:keepNext w:val="0"/>
        <w:keepLines w:val="0"/>
        <w:pageBreakBefore w:val="0"/>
        <w:kinsoku/>
        <w:wordWrap/>
        <w:overflowPunct/>
        <w:topLinePunct w:val="0"/>
        <w:autoSpaceDE/>
        <w:autoSpaceDN/>
        <w:bidi w:val="0"/>
        <w:adjustRightInd w:val="0"/>
        <w:snapToGrid w:val="0"/>
        <w:spacing w:line="360" w:lineRule="auto"/>
        <w:ind w:firstLine="422" w:firstLineChars="200"/>
        <w:jc w:val="left"/>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第</w:t>
      </w:r>
      <w:r>
        <w:rPr>
          <w:rFonts w:hint="eastAsia" w:ascii="宋体" w:hAnsi="宋体" w:eastAsia="宋体" w:cs="宋体"/>
          <w:b/>
          <w:bCs w:val="0"/>
          <w:color w:val="auto"/>
          <w:sz w:val="21"/>
          <w:szCs w:val="21"/>
          <w:highlight w:val="none"/>
          <w:lang w:val="en-US" w:eastAsia="zh-CN"/>
        </w:rPr>
        <w:t>七</w:t>
      </w:r>
      <w:r>
        <w:rPr>
          <w:rFonts w:hint="eastAsia" w:ascii="宋体" w:hAnsi="宋体" w:eastAsia="宋体" w:cs="宋体"/>
          <w:b/>
          <w:bCs w:val="0"/>
          <w:color w:val="auto"/>
          <w:sz w:val="21"/>
          <w:szCs w:val="21"/>
          <w:highlight w:val="none"/>
        </w:rPr>
        <w:t>条：</w:t>
      </w:r>
      <w:r>
        <w:rPr>
          <w:rFonts w:hint="eastAsia" w:ascii="宋体" w:hAnsi="宋体" w:eastAsia="宋体" w:cs="宋体"/>
          <w:b/>
          <w:bCs w:val="0"/>
          <w:color w:val="auto"/>
          <w:sz w:val="21"/>
          <w:szCs w:val="21"/>
          <w:highlight w:val="none"/>
        </w:rPr>
        <w:t>甲、乙双方权利和义务</w:t>
      </w:r>
    </w:p>
    <w:p w14:paraId="6E942087">
      <w:pPr>
        <w:keepNext w:val="0"/>
        <w:keepLines w:val="0"/>
        <w:pageBreakBefore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（一）甲方的权利和义务</w:t>
      </w:r>
    </w:p>
    <w:p w14:paraId="2342C5A2">
      <w:pPr>
        <w:keepNext w:val="0"/>
        <w:keepLines w:val="0"/>
        <w:pageBreakBefore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1、有按本协议规定从乙方获得死亡动物无害化处理服务的权利；</w:t>
      </w:r>
    </w:p>
    <w:p w14:paraId="573DC0AE">
      <w:pPr>
        <w:keepNext w:val="0"/>
        <w:keepLines w:val="0"/>
        <w:pageBreakBefore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2、具有按本协议规定在</w:t>
      </w:r>
      <w:r>
        <w:rPr>
          <w:rFonts w:hint="eastAsia" w:ascii="宋体" w:hAnsi="宋体" w:cs="宋体"/>
          <w:color w:val="auto"/>
          <w:sz w:val="21"/>
          <w:szCs w:val="21"/>
          <w:highlight w:val="none"/>
          <w:lang w:val="en-US" w:eastAsia="zh-CN"/>
        </w:rPr>
        <w:t>路桥区</w:t>
      </w:r>
      <w:r>
        <w:rPr>
          <w:rFonts w:hint="eastAsia" w:ascii="宋体" w:hAnsi="宋体" w:eastAsia="宋体" w:cs="宋体"/>
          <w:color w:val="auto"/>
          <w:sz w:val="21"/>
          <w:szCs w:val="21"/>
          <w:highlight w:val="none"/>
        </w:rPr>
        <w:t>境内运输死亡动物的权利；</w:t>
      </w:r>
    </w:p>
    <w:p w14:paraId="1776AF50">
      <w:pPr>
        <w:keepNext w:val="0"/>
        <w:keepLines w:val="0"/>
        <w:pageBreakBefore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3、具有对乙方无害化处理过程全程监督的权利，有向乙方获取其死 亡动物交接记录、计量、处理等数据和交接单据的权利。甲方及路桥区</w:t>
      </w:r>
    </w:p>
    <w:p w14:paraId="3AC0EEE8">
      <w:pPr>
        <w:keepNext w:val="0"/>
        <w:keepLines w:val="0"/>
        <w:pageBreakBefore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相关政府部门和保险公司到乙方厂内开展工作，要求乙方配合的杈利</w:t>
      </w:r>
    </w:p>
    <w:p w14:paraId="1D2EB9B2">
      <w:pPr>
        <w:keepNext w:val="0"/>
        <w:keepLines w:val="0"/>
        <w:pageBreakBefore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4、根据本协议的规定向乙方支付死亡动物无害化处理服务费；</w:t>
      </w:r>
    </w:p>
    <w:p w14:paraId="09FAAE30">
      <w:pPr>
        <w:keepNext w:val="0"/>
        <w:keepLines w:val="0"/>
        <w:pageBreakBefore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5、对死亡动物在</w:t>
      </w:r>
      <w:r>
        <w:rPr>
          <w:rFonts w:hint="eastAsia" w:ascii="宋体" w:hAnsi="宋体" w:cs="宋体"/>
          <w:color w:val="auto"/>
          <w:sz w:val="21"/>
          <w:szCs w:val="21"/>
          <w:highlight w:val="none"/>
          <w:lang w:eastAsia="zh-CN"/>
        </w:rPr>
        <w:t>路桥</w:t>
      </w:r>
      <w:r>
        <w:rPr>
          <w:rFonts w:hint="eastAsia" w:ascii="宋体" w:hAnsi="宋体" w:eastAsia="宋体" w:cs="宋体"/>
          <w:color w:val="auto"/>
          <w:sz w:val="21"/>
          <w:szCs w:val="21"/>
          <w:highlight w:val="none"/>
        </w:rPr>
        <w:t>境内运输的安全负责，确保不发生疫病扩亂 环境污染等事故；</w:t>
      </w:r>
    </w:p>
    <w:p w14:paraId="5CD6F990">
      <w:pPr>
        <w:keepNext w:val="0"/>
        <w:keepLines w:val="0"/>
        <w:pageBreakBefore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6、甲方死亡动物运输车辆进入乙方厂区，要遵守乙、丙双方的相关 管理制度。</w:t>
      </w:r>
    </w:p>
    <w:p w14:paraId="5384D832">
      <w:pPr>
        <w:keepNext w:val="0"/>
        <w:keepLines w:val="0"/>
        <w:pageBreakBefore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（二）乙方的权利和义务</w:t>
      </w:r>
    </w:p>
    <w:p w14:paraId="5338B781">
      <w:pPr>
        <w:keepNext w:val="0"/>
        <w:keepLines w:val="0"/>
        <w:pageBreakBefore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1、对已经接收死亡动物的安全负责，并对甲方供应的可以接受的死 亡动物全部进行无害化处理；</w:t>
      </w:r>
    </w:p>
    <w:p w14:paraId="2E345F14">
      <w:pPr>
        <w:keepNext w:val="0"/>
        <w:keepLines w:val="0"/>
        <w:pageBreakBefore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按规定与甲方共同办理好相关交接单据并向甲方和路桥区相关保 险公司提供，应甲方和路桥区相关保险公司要求提供相关数据。配合甲 方及路桥区相关政府部门和保险公司到乙方厂内开展工作；</w:t>
      </w:r>
    </w:p>
    <w:p w14:paraId="155A0FF5">
      <w:pPr>
        <w:keepNext w:val="0"/>
        <w:keepLines w:val="0"/>
        <w:pageBreakBefore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3、有权拒绝接收甲方的非可接收死亡动物；</w:t>
      </w:r>
    </w:p>
    <w:p w14:paraId="5426CC55">
      <w:pPr>
        <w:keepNext w:val="0"/>
        <w:keepLines w:val="0"/>
        <w:pageBreakBefore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4、如果甲方供应的死亡动物超出乙方的实际处理能力，对超出部分 乙方有权拒绝接纳，并不应视为乙方违约；</w:t>
      </w:r>
    </w:p>
    <w:p w14:paraId="258F9876">
      <w:pPr>
        <w:keepNext w:val="0"/>
        <w:keepLines w:val="0"/>
        <w:pageBreakBefore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5、正常情况下不能拒绝接收约定的、甲方的死亡动物。设备检修时， 提前2天告知甲方,可暂停接收死亡动物。</w:t>
      </w:r>
    </w:p>
    <w:p w14:paraId="5077D5B9">
      <w:pPr>
        <w:keepNext w:val="0"/>
        <w:keepLines w:val="0"/>
        <w:pageBreakBefore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6、按照本协议约定的时间和方式取得甲方支付的死亡动物无害化处 理服务费；</w:t>
      </w:r>
    </w:p>
    <w:p w14:paraId="60625A37">
      <w:pPr>
        <w:keepNext w:val="0"/>
        <w:keepLines w:val="0"/>
        <w:pageBreakBefore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7、有要求甲方运输车辆遵守乙方相关规章制度的权利。</w:t>
      </w:r>
    </w:p>
    <w:p w14:paraId="78F8889F">
      <w:pPr>
        <w:pStyle w:val="8"/>
        <w:keepNext w:val="0"/>
        <w:keepLines w:val="0"/>
        <w:pageBreakBefore w:val="0"/>
        <w:kinsoku/>
        <w:wordWrap/>
        <w:overflowPunct/>
        <w:topLinePunct w:val="0"/>
        <w:autoSpaceDE/>
        <w:autoSpaceDN/>
        <w:bidi w:val="0"/>
        <w:adjustRightInd w:val="0"/>
        <w:snapToGrid w:val="0"/>
        <w:spacing w:after="0" w:line="360" w:lineRule="auto"/>
        <w:ind w:left="0" w:leftChars="0" w:firstLine="422" w:firstLineChars="200"/>
        <w:jc w:val="left"/>
        <w:outlineLvl w:val="9"/>
        <w:rPr>
          <w:rFonts w:hint="eastAsia" w:asciiTheme="minorEastAsia" w:hAnsiTheme="minorEastAsia" w:eastAsiaTheme="minorEastAsia" w:cstheme="minorEastAsia"/>
          <w:b/>
          <w:bCs/>
          <w:color w:val="auto"/>
          <w:sz w:val="21"/>
          <w:szCs w:val="21"/>
          <w:highlight w:val="none"/>
          <w:lang w:eastAsia="zh-CN"/>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rPr>
        <w:t>条：</w:t>
      </w:r>
      <w:r>
        <w:rPr>
          <w:rFonts w:hint="eastAsia" w:asciiTheme="minorEastAsia" w:hAnsiTheme="minorEastAsia" w:eastAsiaTheme="minorEastAsia" w:cstheme="minorEastAsia"/>
          <w:b/>
          <w:bCs/>
          <w:color w:val="auto"/>
          <w:sz w:val="21"/>
          <w:szCs w:val="21"/>
          <w:highlight w:val="none"/>
          <w:lang w:val="en-US" w:eastAsia="zh-CN"/>
        </w:rPr>
        <w:t>费用</w:t>
      </w:r>
      <w:r>
        <w:rPr>
          <w:rFonts w:hint="eastAsia" w:asciiTheme="minorEastAsia" w:hAnsiTheme="minorEastAsia" w:eastAsiaTheme="minorEastAsia" w:cstheme="minorEastAsia"/>
          <w:b/>
          <w:bCs/>
          <w:color w:val="auto"/>
          <w:sz w:val="21"/>
          <w:szCs w:val="21"/>
          <w:highlight w:val="none"/>
          <w:lang w:eastAsia="zh-CN"/>
        </w:rPr>
        <w:t>结算</w:t>
      </w:r>
    </w:p>
    <w:p w14:paraId="7CCCDB77">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具体</w:t>
      </w:r>
      <w:r>
        <w:rPr>
          <w:rFonts w:hint="eastAsia" w:ascii="宋体" w:hAnsi="宋体" w:eastAsia="宋体" w:cs="宋体"/>
          <w:color w:val="auto"/>
          <w:sz w:val="21"/>
          <w:szCs w:val="21"/>
          <w:highlight w:val="none"/>
          <w:lang w:val="en-US" w:eastAsia="zh-CN"/>
        </w:rPr>
        <w:t>按实结算，</w:t>
      </w:r>
      <w:r>
        <w:rPr>
          <w:rFonts w:hint="eastAsia" w:ascii="宋体" w:hAnsi="宋体" w:cs="宋体"/>
          <w:b/>
          <w:bCs/>
          <w:color w:val="auto"/>
          <w:sz w:val="21"/>
          <w:szCs w:val="21"/>
          <w:highlight w:val="none"/>
          <w:lang w:val="en-US" w:eastAsia="zh-CN"/>
        </w:rPr>
        <w:t>结算价</w:t>
      </w:r>
      <w:r>
        <w:rPr>
          <w:rFonts w:hint="eastAsia" w:ascii="宋体" w:hAnsi="宋体" w:eastAsia="宋体" w:cs="宋体"/>
          <w:b/>
          <w:bCs/>
          <w:color w:val="auto"/>
          <w:sz w:val="21"/>
          <w:szCs w:val="21"/>
          <w:highlight w:val="none"/>
          <w:lang w:val="en-US" w:eastAsia="zh-CN"/>
        </w:rPr>
        <w:t>=中标单价*实际死亡动物及动物产品处理结算量</w:t>
      </w:r>
      <w:r>
        <w:rPr>
          <w:rFonts w:hint="eastAsia" w:ascii="宋体" w:hAnsi="宋体" w:eastAsia="宋体" w:cs="宋体"/>
          <w:color w:val="auto"/>
          <w:sz w:val="21"/>
          <w:szCs w:val="21"/>
          <w:highlight w:val="none"/>
          <w:lang w:val="en-US" w:eastAsia="zh-CN"/>
        </w:rPr>
        <w:t>。</w:t>
      </w:r>
    </w:p>
    <w:p w14:paraId="77B2B681">
      <w:pPr>
        <w:autoSpaceDE w:val="0"/>
        <w:autoSpaceDN w:val="0"/>
        <w:adjustRightInd w:val="0"/>
        <w:spacing w:line="360" w:lineRule="auto"/>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付款方式</w:t>
      </w:r>
      <w:r>
        <w:rPr>
          <w:rFonts w:hint="eastAsia" w:ascii="宋体" w:hAnsi="宋体" w:eastAsia="宋体" w:cs="宋体"/>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bidi="ar"/>
        </w:rPr>
        <w:t>签订合同后，在合同生效以及具备实施条件后7个工作日内支付合同金额的40%作为预付款，</w:t>
      </w:r>
      <w:r>
        <w:rPr>
          <w:rFonts w:hint="eastAsia" w:ascii="宋体" w:hAnsi="宋体" w:cs="Times New Roman"/>
          <w:b w:val="0"/>
          <w:bCs w:val="0"/>
          <w:color w:val="auto"/>
          <w:szCs w:val="21"/>
          <w:highlight w:val="none"/>
          <w:lang w:val="en-US" w:eastAsia="zh-CN"/>
        </w:rPr>
        <w:t>后续款项</w:t>
      </w:r>
      <w:r>
        <w:rPr>
          <w:rFonts w:hint="eastAsia" w:ascii="宋体" w:hAnsi="宋体" w:eastAsia="宋体" w:cs="Times New Roman"/>
          <w:color w:val="auto"/>
          <w:szCs w:val="21"/>
          <w:highlight w:val="none"/>
        </w:rPr>
        <w:t>定期</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按</w:t>
      </w:r>
      <w:r>
        <w:rPr>
          <w:rFonts w:hint="eastAsia" w:ascii="宋体" w:hAnsi="宋体" w:cs="Times New Roman"/>
          <w:color w:val="auto"/>
          <w:szCs w:val="21"/>
          <w:highlight w:val="none"/>
          <w:lang w:val="en-US" w:eastAsia="zh-CN"/>
        </w:rPr>
        <w:t>季</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按实</w:t>
      </w:r>
      <w:r>
        <w:rPr>
          <w:rFonts w:hint="eastAsia" w:ascii="宋体" w:hAnsi="宋体" w:eastAsia="宋体" w:cs="Times New Roman"/>
          <w:color w:val="auto"/>
          <w:szCs w:val="21"/>
          <w:highlight w:val="none"/>
        </w:rPr>
        <w:t>结算</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乙方</w:t>
      </w:r>
      <w:r>
        <w:rPr>
          <w:rFonts w:hint="eastAsia" w:ascii="宋体" w:hAnsi="宋体" w:eastAsia="宋体" w:cs="宋体"/>
          <w:color w:val="auto"/>
          <w:sz w:val="21"/>
          <w:szCs w:val="21"/>
          <w:highlight w:val="none"/>
          <w:lang w:val="en-US" w:eastAsia="zh-CN"/>
        </w:rPr>
        <w:t>应向</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CN"/>
        </w:rPr>
        <w:t>提交实际处理量清单，</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CN"/>
        </w:rPr>
        <w:t>在收到</w:t>
      </w:r>
      <w:r>
        <w:rPr>
          <w:rFonts w:hint="eastAsia" w:ascii="宋体" w:hAnsi="宋体" w:cs="Times New Roman"/>
          <w:color w:val="auto"/>
          <w:szCs w:val="21"/>
          <w:highlight w:val="none"/>
          <w:lang w:val="en-US" w:eastAsia="zh-CN"/>
        </w:rPr>
        <w:t>乙方</w:t>
      </w:r>
      <w:r>
        <w:rPr>
          <w:rFonts w:hint="eastAsia" w:ascii="宋体" w:hAnsi="宋体" w:eastAsia="宋体" w:cs="宋体"/>
          <w:color w:val="auto"/>
          <w:sz w:val="21"/>
          <w:szCs w:val="21"/>
          <w:highlight w:val="none"/>
          <w:lang w:val="en-US" w:eastAsia="zh-CN"/>
        </w:rPr>
        <w:t>清单后</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个工作日内支付到</w:t>
      </w:r>
      <w:r>
        <w:rPr>
          <w:rFonts w:hint="eastAsia" w:ascii="宋体" w:hAnsi="宋体" w:cs="Times New Roman"/>
          <w:color w:val="auto"/>
          <w:szCs w:val="21"/>
          <w:highlight w:val="none"/>
          <w:lang w:val="en-US" w:eastAsia="zh-CN"/>
        </w:rPr>
        <w:t>乙方</w:t>
      </w:r>
      <w:r>
        <w:rPr>
          <w:rFonts w:hint="eastAsia" w:ascii="宋体" w:hAnsi="宋体" w:eastAsia="宋体" w:cs="宋体"/>
          <w:color w:val="auto"/>
          <w:sz w:val="21"/>
          <w:szCs w:val="21"/>
          <w:highlight w:val="none"/>
          <w:lang w:val="en-US" w:eastAsia="zh-CN"/>
        </w:rPr>
        <w:t>。</w:t>
      </w:r>
    </w:p>
    <w:p w14:paraId="0CEDFF53">
      <w:pPr>
        <w:pStyle w:val="8"/>
        <w:keepNext w:val="0"/>
        <w:keepLines w:val="0"/>
        <w:pageBreakBefore w:val="0"/>
        <w:kinsoku/>
        <w:wordWrap/>
        <w:overflowPunct/>
        <w:topLinePunct w:val="0"/>
        <w:autoSpaceDE/>
        <w:autoSpaceDN/>
        <w:bidi w:val="0"/>
        <w:adjustRightInd w:val="0"/>
        <w:snapToGrid w:val="0"/>
        <w:spacing w:after="0" w:line="360" w:lineRule="auto"/>
        <w:ind w:left="0" w:leftChars="0" w:firstLine="422" w:firstLineChars="200"/>
        <w:jc w:val="left"/>
        <w:outlineLvl w:val="9"/>
        <w:rPr>
          <w:rFonts w:hint="eastAsia" w:ascii="宋体" w:hAnsi="宋体" w:eastAsia="宋体" w:cs="宋体"/>
          <w:b/>
          <w:color w:val="auto"/>
          <w:sz w:val="21"/>
          <w:szCs w:val="21"/>
          <w:highlight w:val="none"/>
        </w:rPr>
      </w:pPr>
      <w:r>
        <w:rPr>
          <w:rFonts w:hint="eastAsia" w:ascii="宋体" w:hAnsi="宋体" w:eastAsia="宋体" w:cs="宋体"/>
          <w:b/>
          <w:bCs/>
          <w:snapToGrid w:val="0"/>
          <w:color w:val="auto"/>
          <w:sz w:val="21"/>
          <w:szCs w:val="21"/>
          <w:highlight w:val="none"/>
        </w:rPr>
        <w:t>第</w:t>
      </w:r>
      <w:r>
        <w:rPr>
          <w:rFonts w:hint="eastAsia" w:ascii="宋体" w:hAnsi="宋体" w:eastAsia="宋体" w:cs="宋体"/>
          <w:b/>
          <w:bCs/>
          <w:snapToGrid w:val="0"/>
          <w:color w:val="auto"/>
          <w:sz w:val="21"/>
          <w:szCs w:val="21"/>
          <w:highlight w:val="none"/>
          <w:lang w:val="en-US" w:eastAsia="zh-CN"/>
        </w:rPr>
        <w:t>九</w:t>
      </w:r>
      <w:r>
        <w:rPr>
          <w:rFonts w:hint="eastAsia" w:ascii="宋体" w:hAnsi="宋体" w:eastAsia="宋体" w:cs="宋体"/>
          <w:b/>
          <w:bCs/>
          <w:snapToGrid w:val="0"/>
          <w:color w:val="auto"/>
          <w:sz w:val="21"/>
          <w:szCs w:val="21"/>
          <w:highlight w:val="none"/>
        </w:rPr>
        <w:t>条：</w:t>
      </w:r>
      <w:r>
        <w:rPr>
          <w:rFonts w:hint="eastAsia" w:ascii="宋体" w:hAnsi="宋体" w:eastAsia="宋体" w:cs="宋体"/>
          <w:b/>
          <w:color w:val="auto"/>
          <w:sz w:val="21"/>
          <w:szCs w:val="21"/>
          <w:highlight w:val="none"/>
        </w:rPr>
        <w:t>违约责任</w:t>
      </w:r>
    </w:p>
    <w:p w14:paraId="3663FBF9">
      <w:pPr>
        <w:pStyle w:val="8"/>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1、甲方无正当理由拒收接受服务的，甲方向乙方支付合同款项百分之五作为违约金。</w:t>
      </w:r>
    </w:p>
    <w:p w14:paraId="015227B2">
      <w:pPr>
        <w:pStyle w:val="8"/>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甲方无故逾期验收和办理款项支付手续的，甲方应按逾期付款总额向乙方支付每日万分之五违约金。</w:t>
      </w:r>
    </w:p>
    <w:p w14:paraId="1DDF438E">
      <w:pPr>
        <w:pStyle w:val="9"/>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逾期提供服务的，乙方应按逾期天数向甲方支付每日万分之五违约金。逾期超过约定日期10个工作日的，甲方可解除本合同。乙方因逾期或因其他违约行为导致甲方解除合同的，乙方应向甲方支付合同款项百分之五的违约金，如造成甲方损失超过违约金的，超出部分由乙方继续承担赔偿责任。</w:t>
      </w:r>
    </w:p>
    <w:p w14:paraId="5890BFAF">
      <w:pPr>
        <w:pStyle w:val="9"/>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4、若发生纠纷，由违约方赔偿守约方因纠纷所支付的费用（包括但不限于律师费、差旅费、诉讼费、保全费、鉴定费、评估费等）。</w:t>
      </w:r>
    </w:p>
    <w:p w14:paraId="22AE5A16">
      <w:pPr>
        <w:pStyle w:val="9"/>
        <w:keepNext w:val="0"/>
        <w:keepLines w:val="0"/>
        <w:pageBreakBefore w:val="0"/>
        <w:kinsoku/>
        <w:wordWrap/>
        <w:overflowPunct/>
        <w:topLinePunct w:val="0"/>
        <w:autoSpaceDE/>
        <w:autoSpaceDN/>
        <w:bidi w:val="0"/>
        <w:snapToGrid w:val="0"/>
        <w:spacing w:line="360" w:lineRule="auto"/>
        <w:ind w:firstLine="422" w:firstLineChars="200"/>
        <w:jc w:val="left"/>
        <w:textAlignment w:val="baseline"/>
        <w:outlineLvl w:val="9"/>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第</w:t>
      </w:r>
      <w:r>
        <w:rPr>
          <w:rFonts w:hint="eastAsia" w:ascii="宋体" w:hAnsi="宋体" w:eastAsia="宋体" w:cs="宋体"/>
          <w:b/>
          <w:bCs/>
          <w:snapToGrid w:val="0"/>
          <w:color w:val="auto"/>
          <w:sz w:val="21"/>
          <w:szCs w:val="21"/>
          <w:highlight w:val="none"/>
          <w:lang w:val="en-US" w:eastAsia="zh-CN"/>
        </w:rPr>
        <w:t>十</w:t>
      </w:r>
      <w:r>
        <w:rPr>
          <w:rFonts w:hint="eastAsia" w:ascii="宋体" w:hAnsi="宋体" w:eastAsia="宋体" w:cs="宋体"/>
          <w:b/>
          <w:bCs/>
          <w:snapToGrid w:val="0"/>
          <w:color w:val="auto"/>
          <w:sz w:val="21"/>
          <w:szCs w:val="21"/>
          <w:highlight w:val="none"/>
        </w:rPr>
        <w:t>条：不可抗力事件处理</w:t>
      </w:r>
    </w:p>
    <w:p w14:paraId="2A2DF861">
      <w:pPr>
        <w:pStyle w:val="9"/>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1、在合同有效期内，任何一方因不可抗力事件导致不能履行合同，则合同履行期可延长，其延长期与不可抗力影响期相同。</w:t>
      </w:r>
    </w:p>
    <w:p w14:paraId="18F0F880">
      <w:pPr>
        <w:pStyle w:val="9"/>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2、不可抗力事件发生后，应立即通知对方，并寄送有关权威机构出具的证明。</w:t>
      </w:r>
    </w:p>
    <w:p w14:paraId="0F2BAA1B">
      <w:pPr>
        <w:pStyle w:val="9"/>
        <w:keepNext w:val="0"/>
        <w:keepLines w:val="0"/>
        <w:pageBreakBefore w:val="0"/>
        <w:kinsoku/>
        <w:wordWrap/>
        <w:overflowPunct/>
        <w:topLinePunct w:val="0"/>
        <w:autoSpaceDE/>
        <w:autoSpaceDN/>
        <w:bidi w:val="0"/>
        <w:snapToGrid w:val="0"/>
        <w:spacing w:line="360" w:lineRule="auto"/>
        <w:ind w:firstLine="420" w:firstLineChars="200"/>
        <w:jc w:val="lef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3、不可抗力事件延续120天以上，双方应通过友好协商，确定是否继续履行合同。</w:t>
      </w:r>
    </w:p>
    <w:p w14:paraId="651C2E88">
      <w:pPr>
        <w:pStyle w:val="9"/>
        <w:keepNext w:val="0"/>
        <w:keepLines w:val="0"/>
        <w:pageBreakBefore w:val="0"/>
        <w:kinsoku/>
        <w:wordWrap/>
        <w:overflowPunct/>
        <w:topLinePunct w:val="0"/>
        <w:autoSpaceDE/>
        <w:autoSpaceDN/>
        <w:bidi w:val="0"/>
        <w:snapToGrid w:val="0"/>
        <w:spacing w:line="360" w:lineRule="auto"/>
        <w:ind w:firstLine="420" w:firstLineChars="200"/>
        <w:jc w:val="lef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4、如合同履行时间内，因疫情原因需要延迟相关活动或解除合同的，由双方进行协商；合同解除后，双方根据乙方的实际履行支付情况及凭证（发票）进行结算。</w:t>
      </w:r>
    </w:p>
    <w:p w14:paraId="7F38D433">
      <w:pPr>
        <w:pStyle w:val="9"/>
        <w:keepNext w:val="0"/>
        <w:keepLines w:val="0"/>
        <w:pageBreakBefore w:val="0"/>
        <w:kinsoku/>
        <w:wordWrap/>
        <w:overflowPunct/>
        <w:topLinePunct w:val="0"/>
        <w:autoSpaceDE/>
        <w:autoSpaceDN/>
        <w:bidi w:val="0"/>
        <w:snapToGrid w:val="0"/>
        <w:spacing w:line="360" w:lineRule="auto"/>
        <w:ind w:firstLine="422" w:firstLineChars="200"/>
        <w:jc w:val="left"/>
        <w:textAlignment w:val="baseline"/>
        <w:outlineLvl w:val="9"/>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第十</w:t>
      </w:r>
      <w:r>
        <w:rPr>
          <w:rFonts w:hint="eastAsia" w:ascii="宋体" w:hAnsi="宋体" w:eastAsia="宋体" w:cs="宋体"/>
          <w:b/>
          <w:bCs/>
          <w:snapToGrid w:val="0"/>
          <w:color w:val="auto"/>
          <w:sz w:val="21"/>
          <w:szCs w:val="21"/>
          <w:highlight w:val="none"/>
          <w:lang w:val="en-US" w:eastAsia="zh-CN"/>
        </w:rPr>
        <w:t>一</w:t>
      </w:r>
      <w:r>
        <w:rPr>
          <w:rFonts w:hint="eastAsia" w:ascii="宋体" w:hAnsi="宋体" w:eastAsia="宋体" w:cs="宋体"/>
          <w:b/>
          <w:bCs/>
          <w:snapToGrid w:val="0"/>
          <w:color w:val="auto"/>
          <w:sz w:val="21"/>
          <w:szCs w:val="21"/>
          <w:highlight w:val="none"/>
        </w:rPr>
        <w:t>条：诉讼</w:t>
      </w:r>
    </w:p>
    <w:p w14:paraId="14DE4855">
      <w:pPr>
        <w:pStyle w:val="9"/>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val="en-US" w:eastAsia="zh-CN"/>
        </w:rPr>
        <w:t>1、</w:t>
      </w:r>
      <w:r>
        <w:rPr>
          <w:rFonts w:hint="eastAsia" w:ascii="宋体" w:hAnsi="宋体" w:eastAsia="宋体" w:cs="宋体"/>
          <w:snapToGrid w:val="0"/>
          <w:color w:val="auto"/>
          <w:sz w:val="21"/>
          <w:szCs w:val="21"/>
          <w:highlight w:val="none"/>
        </w:rPr>
        <w:t>双方在执行合同中所发生的一切争议，应通过协商解决。如协商不成，可向甲方所在地法院起诉。</w:t>
      </w:r>
    </w:p>
    <w:p w14:paraId="250421E3">
      <w:pPr>
        <w:pStyle w:val="9"/>
        <w:keepNext w:val="0"/>
        <w:keepLines w:val="0"/>
        <w:pageBreakBefore w:val="0"/>
        <w:kinsoku/>
        <w:wordWrap/>
        <w:overflowPunct/>
        <w:topLinePunct w:val="0"/>
        <w:autoSpaceDE/>
        <w:autoSpaceDN/>
        <w:bidi w:val="0"/>
        <w:snapToGrid w:val="0"/>
        <w:spacing w:line="360" w:lineRule="auto"/>
        <w:ind w:firstLine="422" w:firstLineChars="200"/>
        <w:jc w:val="left"/>
        <w:textAlignment w:val="baseline"/>
        <w:outlineLvl w:val="9"/>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第十</w:t>
      </w:r>
      <w:r>
        <w:rPr>
          <w:rFonts w:hint="eastAsia" w:ascii="宋体" w:hAnsi="宋体" w:eastAsia="宋体" w:cs="宋体"/>
          <w:b/>
          <w:bCs/>
          <w:snapToGrid w:val="0"/>
          <w:color w:val="auto"/>
          <w:sz w:val="21"/>
          <w:szCs w:val="21"/>
          <w:highlight w:val="none"/>
          <w:lang w:val="en-US" w:eastAsia="zh-CN"/>
        </w:rPr>
        <w:t>二</w:t>
      </w:r>
      <w:r>
        <w:rPr>
          <w:rFonts w:hint="eastAsia" w:ascii="宋体" w:hAnsi="宋体" w:eastAsia="宋体" w:cs="宋体"/>
          <w:b/>
          <w:bCs/>
          <w:snapToGrid w:val="0"/>
          <w:color w:val="auto"/>
          <w:sz w:val="21"/>
          <w:szCs w:val="21"/>
          <w:highlight w:val="none"/>
        </w:rPr>
        <w:t>条：合同生效及其它</w:t>
      </w:r>
    </w:p>
    <w:p w14:paraId="36C8DD51">
      <w:pPr>
        <w:pStyle w:val="9"/>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1、合同经双方法定代表人或授权代表签字并加盖单位公章后生效。</w:t>
      </w:r>
    </w:p>
    <w:p w14:paraId="3B136BC2">
      <w:pPr>
        <w:pStyle w:val="9"/>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2、合同执行中涉及采购资金和采购内容修改或补充的，须经财政部门审批，并签书面补充协议报政府采购监督管理部门备案，方可作为主合同不可分割的一部分。</w:t>
      </w:r>
    </w:p>
    <w:p w14:paraId="7D97D266">
      <w:pPr>
        <w:pStyle w:val="9"/>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3、本合同未尽事宜，遵照《</w:t>
      </w:r>
      <w:r>
        <w:rPr>
          <w:rFonts w:hint="eastAsia" w:ascii="宋体" w:hAnsi="宋体" w:eastAsia="宋体" w:cs="宋体"/>
          <w:snapToGrid w:val="0"/>
          <w:color w:val="auto"/>
          <w:sz w:val="21"/>
          <w:szCs w:val="21"/>
          <w:highlight w:val="none"/>
          <w:lang w:val="en-US" w:eastAsia="zh-CN"/>
        </w:rPr>
        <w:t>民法典</w:t>
      </w:r>
      <w:r>
        <w:rPr>
          <w:rFonts w:hint="eastAsia" w:ascii="宋体" w:hAnsi="宋体" w:eastAsia="宋体" w:cs="宋体"/>
          <w:snapToGrid w:val="0"/>
          <w:color w:val="auto"/>
          <w:sz w:val="21"/>
          <w:szCs w:val="21"/>
          <w:highlight w:val="none"/>
        </w:rPr>
        <w:t>》有关条文执行。</w:t>
      </w:r>
    </w:p>
    <w:p w14:paraId="3F11E769">
      <w:pPr>
        <w:keepNext w:val="0"/>
        <w:keepLines w:val="0"/>
        <w:pageBreakBefore w:val="0"/>
        <w:widowControl/>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spacing w:val="-6"/>
          <w:kern w:val="0"/>
          <w:sz w:val="21"/>
          <w:szCs w:val="21"/>
          <w:highlight w:val="none"/>
        </w:rPr>
        <w:t>、本合同壹式陆份，甲、乙双方、招标代理公司各执贰份。本项目未尽事宜以</w:t>
      </w:r>
      <w:r>
        <w:rPr>
          <w:rFonts w:hint="eastAsia" w:ascii="宋体" w:hAnsi="宋体" w:eastAsia="宋体" w:cs="宋体"/>
          <w:color w:val="auto"/>
          <w:spacing w:val="-6"/>
          <w:kern w:val="0"/>
          <w:sz w:val="21"/>
          <w:szCs w:val="21"/>
          <w:highlight w:val="none"/>
          <w:lang w:eastAsia="zh-CN"/>
        </w:rPr>
        <w:t>采购文件</w:t>
      </w:r>
      <w:r>
        <w:rPr>
          <w:rFonts w:hint="eastAsia" w:ascii="宋体" w:hAnsi="宋体" w:eastAsia="宋体" w:cs="宋体"/>
          <w:color w:val="auto"/>
          <w:spacing w:val="-6"/>
          <w:kern w:val="0"/>
          <w:sz w:val="21"/>
          <w:szCs w:val="21"/>
          <w:highlight w:val="none"/>
        </w:rPr>
        <w:t>、</w:t>
      </w:r>
      <w:r>
        <w:rPr>
          <w:rFonts w:hint="eastAsia" w:ascii="宋体" w:hAnsi="宋体" w:eastAsia="宋体" w:cs="宋体"/>
          <w:color w:val="auto"/>
          <w:spacing w:val="-6"/>
          <w:kern w:val="0"/>
          <w:sz w:val="21"/>
          <w:szCs w:val="21"/>
          <w:highlight w:val="none"/>
          <w:lang w:val="en-US" w:eastAsia="zh-CN"/>
        </w:rPr>
        <w:t>磋商响应</w:t>
      </w:r>
      <w:r>
        <w:rPr>
          <w:rFonts w:hint="eastAsia" w:ascii="宋体" w:hAnsi="宋体" w:eastAsia="宋体" w:cs="宋体"/>
          <w:color w:val="auto"/>
          <w:spacing w:val="-6"/>
          <w:kern w:val="0"/>
          <w:sz w:val="21"/>
          <w:szCs w:val="21"/>
          <w:highlight w:val="none"/>
        </w:rPr>
        <w:t>文件及澄清文件等为准。</w:t>
      </w:r>
    </w:p>
    <w:p w14:paraId="445687F5">
      <w:pPr>
        <w:keepNext w:val="0"/>
        <w:keepLines w:val="0"/>
        <w:pageBreakBefore w:val="0"/>
        <w:widowControl/>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spacing w:val="-6"/>
          <w:kern w:val="0"/>
          <w:sz w:val="21"/>
          <w:szCs w:val="21"/>
          <w:highlight w:val="none"/>
        </w:rPr>
        <w:t>、与本合同有关标书及记录同本合同具有同等法律效果。</w:t>
      </w:r>
    </w:p>
    <w:p w14:paraId="696301EA">
      <w:pPr>
        <w:keepNext w:val="0"/>
        <w:keepLines w:val="0"/>
        <w:pageBreakBefore w:val="0"/>
        <w:widowControl/>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kern w:val="0"/>
          <w:sz w:val="21"/>
          <w:szCs w:val="21"/>
          <w:highlight w:val="none"/>
        </w:rPr>
      </w:pPr>
    </w:p>
    <w:p w14:paraId="708B03CE">
      <w:pPr>
        <w:keepNext w:val="0"/>
        <w:keepLines w:val="0"/>
        <w:pageBreakBefore w:val="0"/>
        <w:widowControl/>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kern w:val="0"/>
          <w:sz w:val="21"/>
          <w:szCs w:val="21"/>
          <w:highlight w:val="none"/>
        </w:rPr>
      </w:pPr>
    </w:p>
    <w:p w14:paraId="46C818E5">
      <w:pPr>
        <w:keepNext w:val="0"/>
        <w:keepLines w:val="0"/>
        <w:pageBreakBefore w:val="0"/>
        <w:widowControl/>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甲方（公章）：                             乙方（公章）：          </w:t>
      </w:r>
    </w:p>
    <w:p w14:paraId="6F4B9475">
      <w:pPr>
        <w:keepNext w:val="0"/>
        <w:keepLines w:val="0"/>
        <w:pageBreakBefore w:val="0"/>
        <w:widowControl/>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kern w:val="0"/>
          <w:sz w:val="21"/>
          <w:szCs w:val="21"/>
          <w:highlight w:val="none"/>
        </w:rPr>
      </w:pPr>
    </w:p>
    <w:p w14:paraId="1F295D1B">
      <w:pPr>
        <w:keepNext w:val="0"/>
        <w:keepLines w:val="0"/>
        <w:pageBreakBefore w:val="0"/>
        <w:widowControl/>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法定代表人或授权委托代理人签字</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eastAsia="zh-CN"/>
        </w:rPr>
        <w:t>法定代表人或授权委托代理人签字</w:t>
      </w:r>
      <w:r>
        <w:rPr>
          <w:rFonts w:hint="eastAsia" w:ascii="宋体" w:hAnsi="宋体" w:eastAsia="宋体" w:cs="宋体"/>
          <w:color w:val="auto"/>
          <w:kern w:val="0"/>
          <w:sz w:val="21"/>
          <w:szCs w:val="21"/>
          <w:highlight w:val="none"/>
        </w:rPr>
        <w:t xml:space="preserve">：         </w:t>
      </w:r>
    </w:p>
    <w:p w14:paraId="3E6EE778">
      <w:pPr>
        <w:keepNext w:val="0"/>
        <w:keepLines w:val="0"/>
        <w:pageBreakBefore w:val="0"/>
        <w:widowControl/>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kern w:val="0"/>
          <w:sz w:val="21"/>
          <w:szCs w:val="21"/>
          <w:highlight w:val="none"/>
        </w:rPr>
      </w:pPr>
    </w:p>
    <w:p w14:paraId="4B832764">
      <w:pPr>
        <w:keepNext w:val="0"/>
        <w:keepLines w:val="0"/>
        <w:pageBreakBefore w:val="0"/>
        <w:widowControl/>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                                联系电话：</w:t>
      </w:r>
    </w:p>
    <w:p w14:paraId="3839AC07">
      <w:pPr>
        <w:keepNext w:val="0"/>
        <w:keepLines w:val="0"/>
        <w:pageBreakBefore w:val="0"/>
        <w:widowControl/>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kern w:val="0"/>
          <w:sz w:val="21"/>
          <w:szCs w:val="21"/>
          <w:highlight w:val="none"/>
        </w:rPr>
      </w:pPr>
    </w:p>
    <w:p w14:paraId="0EA6B2CF">
      <w:pPr>
        <w:keepNext w:val="0"/>
        <w:keepLines w:val="0"/>
        <w:pageBreakBefore w:val="0"/>
        <w:widowControl/>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开户银行：                                开户银行：    </w:t>
      </w:r>
    </w:p>
    <w:p w14:paraId="067FC40E">
      <w:pPr>
        <w:keepNext w:val="0"/>
        <w:keepLines w:val="0"/>
        <w:pageBreakBefore w:val="0"/>
        <w:widowControl/>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kern w:val="0"/>
          <w:sz w:val="21"/>
          <w:szCs w:val="21"/>
          <w:highlight w:val="none"/>
        </w:rPr>
      </w:pPr>
    </w:p>
    <w:p w14:paraId="0C2187F6">
      <w:pPr>
        <w:keepNext w:val="0"/>
        <w:keepLines w:val="0"/>
        <w:pageBreakBefore w:val="0"/>
        <w:widowControl/>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    号：                                账    号：</w:t>
      </w:r>
    </w:p>
    <w:p w14:paraId="779D2308">
      <w:pPr>
        <w:keepNext w:val="0"/>
        <w:keepLines w:val="0"/>
        <w:pageBreakBefore w:val="0"/>
        <w:kinsoku/>
        <w:wordWrap/>
        <w:overflowPunct/>
        <w:topLinePunct w:val="0"/>
        <w:autoSpaceDE/>
        <w:autoSpaceDN/>
        <w:bidi w:val="0"/>
        <w:spacing w:line="360" w:lineRule="auto"/>
        <w:ind w:firstLine="420" w:firstLineChars="200"/>
        <w:jc w:val="left"/>
        <w:textAlignment w:val="baseline"/>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合同</w:t>
      </w:r>
      <w:r>
        <w:rPr>
          <w:rFonts w:hint="eastAsia" w:ascii="宋体" w:hAnsi="宋体" w:eastAsia="宋体" w:cs="宋体"/>
          <w:snapToGrid w:val="0"/>
          <w:color w:val="auto"/>
          <w:sz w:val="21"/>
          <w:szCs w:val="21"/>
          <w:highlight w:val="none"/>
          <w:lang w:val="en-US" w:eastAsia="zh-CN"/>
        </w:rPr>
        <w:t>见</w:t>
      </w:r>
      <w:r>
        <w:rPr>
          <w:rFonts w:hint="eastAsia" w:ascii="宋体" w:hAnsi="宋体" w:eastAsia="宋体" w:cs="宋体"/>
          <w:snapToGrid w:val="0"/>
          <w:color w:val="auto"/>
          <w:sz w:val="21"/>
          <w:szCs w:val="21"/>
          <w:highlight w:val="none"/>
        </w:rPr>
        <w:t>证方：</w:t>
      </w:r>
    </w:p>
    <w:p w14:paraId="6C34F338">
      <w:pPr>
        <w:keepNext w:val="0"/>
        <w:keepLines w:val="0"/>
        <w:pageBreakBefore w:val="0"/>
        <w:kinsoku/>
        <w:wordWrap/>
        <w:overflowPunct/>
        <w:topLinePunct w:val="0"/>
        <w:autoSpaceDE/>
        <w:autoSpaceDN/>
        <w:bidi w:val="0"/>
        <w:spacing w:line="360" w:lineRule="auto"/>
        <w:ind w:firstLine="420" w:firstLineChars="200"/>
        <w:jc w:val="left"/>
        <w:textAlignment w:val="baseline"/>
        <w:outlineLvl w:val="9"/>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 xml:space="preserve">                                         </w:t>
      </w:r>
      <w:r>
        <w:rPr>
          <w:rFonts w:hint="eastAsia" w:ascii="宋体" w:hAnsi="宋体" w:eastAsia="宋体" w:cs="宋体"/>
          <w:color w:val="auto"/>
          <w:kern w:val="0"/>
          <w:sz w:val="21"/>
          <w:szCs w:val="21"/>
          <w:highlight w:val="none"/>
        </w:rPr>
        <w:t>签订日期：       年     月     日</w:t>
      </w:r>
    </w:p>
    <w:p w14:paraId="156B9960">
      <w:pPr>
        <w:keepNext w:val="0"/>
        <w:keepLines w:val="0"/>
        <w:pageBreakBefore w:val="0"/>
        <w:kinsoku/>
        <w:wordWrap/>
        <w:overflowPunct/>
        <w:topLinePunct w:val="0"/>
        <w:autoSpaceDE/>
        <w:autoSpaceDN/>
        <w:bidi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0D7DA2B4">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第六章 </w:t>
      </w:r>
      <w:r>
        <w:rPr>
          <w:rFonts w:hint="eastAsia" w:ascii="宋体" w:hAnsi="宋体" w:eastAsia="宋体" w:cs="宋体"/>
          <w:b/>
          <w:color w:val="auto"/>
          <w:sz w:val="36"/>
          <w:szCs w:val="36"/>
          <w:highlight w:val="none"/>
          <w:lang w:eastAsia="zh-CN"/>
        </w:rPr>
        <w:t>响应文件格式附件</w:t>
      </w:r>
    </w:p>
    <w:p w14:paraId="4E587D63">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25472599">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3ADF3A38">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7BCECDF0">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78518051">
      <w:pPr>
        <w:pStyle w:val="18"/>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53C9823A">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1949A6D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4BCBFFE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54B4686E">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21D4A3EF">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7D15AD46">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2A8155F0">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16D102AA">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1B8008E9">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3043E712">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3882DAF5">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6"/>
          <w:szCs w:val="36"/>
          <w:highlight w:val="none"/>
        </w:rPr>
        <w:t>资格证明文件目录</w:t>
      </w:r>
    </w:p>
    <w:p w14:paraId="455A1A4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1、磋商声明书（附件2）</w:t>
      </w:r>
    </w:p>
    <w:p w14:paraId="7493F08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2、授权委托书（附件3）</w:t>
      </w:r>
    </w:p>
    <w:p w14:paraId="0B07425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3、法人或者其他组织的营业执照等证明文件，法定代表人和授权代表的身份证明</w:t>
      </w:r>
    </w:p>
    <w:p w14:paraId="76480450">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lang w:val="en-US" w:eastAsia="zh-CN"/>
        </w:rPr>
        <w:t>须提供中小企业声明函等政府优惠政策适用证明材料（附件</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lang w:val="en-US" w:eastAsia="zh-CN"/>
        </w:rPr>
        <w:t>）</w:t>
      </w:r>
    </w:p>
    <w:p w14:paraId="6542396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5、供应商认为需要说明的其他材料</w:t>
      </w:r>
    </w:p>
    <w:p w14:paraId="652F306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B7E0BB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8BF87E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13F87F4">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A1C6EF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0E67AD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48D806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823A0A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EC9C7B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FDC9664">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DA3585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D1EA69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F98342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3CA277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93F4629">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876EB37">
      <w:pPr>
        <w:pStyle w:val="7"/>
        <w:rPr>
          <w:rFonts w:hint="eastAsia" w:ascii="宋体" w:hAnsi="宋体" w:eastAsia="宋体" w:cs="宋体"/>
          <w:b/>
          <w:color w:val="auto"/>
          <w:sz w:val="28"/>
          <w:highlight w:val="none"/>
        </w:rPr>
      </w:pPr>
    </w:p>
    <w:p w14:paraId="558C9223">
      <w:pPr>
        <w:rPr>
          <w:rFonts w:hint="eastAsia" w:ascii="宋体" w:hAnsi="宋体" w:eastAsia="宋体" w:cs="宋体"/>
          <w:color w:val="auto"/>
          <w:highlight w:val="none"/>
        </w:rPr>
      </w:pPr>
    </w:p>
    <w:p w14:paraId="59DF5FD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409C892B">
      <w:pPr>
        <w:keepNext w:val="0"/>
        <w:keepLines w:val="0"/>
        <w:pageBreakBefore w:val="0"/>
        <w:kinsoku/>
        <w:overflowPunct/>
        <w:topLinePunct w:val="0"/>
        <w:bidi w:val="0"/>
        <w:snapToGrid w:val="0"/>
        <w:spacing w:before="156" w:beforeLines="50" w:after="50" w:line="360" w:lineRule="auto"/>
        <w:ind w:firstLine="643" w:firstLineChars="200"/>
        <w:jc w:val="center"/>
        <w:outlineLvl w:val="9"/>
        <w:rPr>
          <w:rStyle w:val="26"/>
          <w:rFonts w:hint="eastAsia" w:ascii="宋体" w:hAnsi="宋体" w:eastAsia="宋体" w:cs="宋体"/>
          <w:b/>
          <w:color w:val="auto"/>
          <w:sz w:val="32"/>
          <w:szCs w:val="32"/>
          <w:highlight w:val="none"/>
          <w:u w:val="none"/>
        </w:rPr>
      </w:pPr>
      <w:r>
        <w:rPr>
          <w:rStyle w:val="26"/>
          <w:rFonts w:hint="eastAsia" w:ascii="宋体" w:hAnsi="宋体" w:eastAsia="宋体" w:cs="宋体"/>
          <w:b/>
          <w:color w:val="auto"/>
          <w:sz w:val="32"/>
          <w:szCs w:val="32"/>
          <w:highlight w:val="none"/>
          <w:u w:val="none"/>
        </w:rPr>
        <w:t>磋商声明书</w:t>
      </w:r>
    </w:p>
    <w:p w14:paraId="53931C3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台州市路桥区农业农村和水利局</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sz w:val="21"/>
          <w:szCs w:val="21"/>
          <w:highlight w:val="none"/>
          <w:u w:val="single"/>
        </w:rPr>
        <w:t>：</w:t>
      </w:r>
    </w:p>
    <w:p w14:paraId="5D7BC2D8">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）系中华人民共和国合法企业，经营地址</w:t>
      </w:r>
      <w:r>
        <w:rPr>
          <w:rFonts w:hint="eastAsia" w:ascii="宋体" w:hAnsi="宋体" w:eastAsia="宋体" w:cs="宋体"/>
          <w:color w:val="auto"/>
          <w:kern w:val="0"/>
          <w:sz w:val="21"/>
          <w:szCs w:val="21"/>
          <w:highlight w:val="none"/>
        </w:rPr>
        <w:t>。</w:t>
      </w:r>
    </w:p>
    <w:p w14:paraId="74029C1F">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rPr>
        <w:t xml:space="preserve"> 姓名 </w:t>
      </w: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 xml:space="preserve"> 供应商名称 </w:t>
      </w:r>
      <w:r>
        <w:rPr>
          <w:rFonts w:hint="eastAsia" w:ascii="宋体" w:hAnsi="宋体" w:eastAsia="宋体" w:cs="宋体"/>
          <w:color w:val="auto"/>
          <w:kern w:val="0"/>
          <w:sz w:val="21"/>
          <w:szCs w:val="21"/>
          <w:highlight w:val="none"/>
        </w:rPr>
        <w:t>）的法定代表人，我公司自愿参加贵方组织的</w:t>
      </w:r>
      <w:r>
        <w:rPr>
          <w:rFonts w:hint="eastAsia" w:ascii="宋体" w:hAnsi="宋体" w:cs="宋体"/>
          <w:color w:val="auto"/>
          <w:kern w:val="0"/>
          <w:sz w:val="21"/>
          <w:szCs w:val="21"/>
          <w:highlight w:val="none"/>
          <w:u w:val="single"/>
          <w:lang w:eastAsia="zh-CN"/>
        </w:rPr>
        <w:t>病死动物无害化处理项目</w:t>
      </w:r>
      <w:r>
        <w:rPr>
          <w:rFonts w:hint="eastAsia" w:ascii="宋体" w:hAnsi="宋体" w:eastAsia="宋体" w:cs="宋体"/>
          <w:color w:val="auto"/>
          <w:kern w:val="0"/>
          <w:sz w:val="21"/>
          <w:szCs w:val="21"/>
          <w:highlight w:val="none"/>
        </w:rPr>
        <w:t>（编号为</w:t>
      </w:r>
      <w:r>
        <w:rPr>
          <w:rFonts w:hint="eastAsia" w:ascii="宋体" w:hAnsi="宋体" w:cs="宋体"/>
          <w:color w:val="auto"/>
          <w:kern w:val="0"/>
          <w:sz w:val="21"/>
          <w:szCs w:val="21"/>
          <w:highlight w:val="none"/>
          <w:lang w:eastAsia="zh-CN"/>
        </w:rPr>
        <w:t>tzya2024-lq92</w:t>
      </w:r>
      <w:r>
        <w:rPr>
          <w:rFonts w:hint="eastAsia" w:ascii="宋体" w:hAnsi="宋体" w:eastAsia="宋体" w:cs="宋体"/>
          <w:color w:val="auto"/>
          <w:kern w:val="0"/>
          <w:sz w:val="21"/>
          <w:szCs w:val="21"/>
          <w:highlight w:val="none"/>
        </w:rPr>
        <w:t>）的磋商，为此，我公司就本次磋商有关事项郑重声明如下：</w:t>
      </w:r>
    </w:p>
    <w:p w14:paraId="65A0BA90">
      <w:pPr>
        <w:keepNext w:val="0"/>
        <w:keepLines w:val="0"/>
        <w:pageBreakBefore w:val="0"/>
        <w:numPr>
          <w:ilvl w:val="0"/>
          <w:numId w:val="0"/>
        </w:numPr>
        <w:kinsoku/>
        <w:overflowPunct/>
        <w:topLinePunct w:val="0"/>
        <w:bidi w:val="0"/>
        <w:snapToGrid w:val="0"/>
        <w:spacing w:before="156" w:beforeLines="50" w:after="50" w:line="360" w:lineRule="auto"/>
        <w:ind w:firstLine="420" w:firstLineChars="200"/>
        <w:outlineLvl w:val="9"/>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我公司声明截止磋商时间近三年以来：在</w:t>
      </w:r>
      <w:r>
        <w:rPr>
          <w:rFonts w:hint="eastAsia" w:ascii="宋体" w:hAnsi="宋体" w:eastAsia="宋体" w:cs="宋体"/>
          <w:color w:val="auto"/>
          <w:sz w:val="21"/>
          <w:szCs w:val="21"/>
          <w:highlight w:val="none"/>
          <w:lang w:eastAsia="zh-CN"/>
        </w:rPr>
        <w:t>参加</w:t>
      </w:r>
      <w:r>
        <w:rPr>
          <w:rFonts w:hint="eastAsia" w:ascii="宋体" w:hAnsi="宋体" w:eastAsia="宋体" w:cs="宋体"/>
          <w:color w:val="auto"/>
          <w:sz w:val="21"/>
          <w:szCs w:val="21"/>
          <w:highlight w:val="none"/>
        </w:rPr>
        <w:t>政府采购</w:t>
      </w:r>
      <w:r>
        <w:rPr>
          <w:rFonts w:hint="eastAsia" w:ascii="宋体" w:hAnsi="宋体" w:eastAsia="宋体" w:cs="宋体"/>
          <w:color w:val="auto"/>
          <w:sz w:val="21"/>
          <w:szCs w:val="21"/>
          <w:highlight w:val="none"/>
          <w:lang w:eastAsia="zh-CN"/>
        </w:rPr>
        <w:t>活动过程中</w:t>
      </w:r>
      <w:r>
        <w:rPr>
          <w:rFonts w:hint="eastAsia" w:ascii="宋体" w:hAnsi="宋体" w:eastAsia="宋体" w:cs="宋体"/>
          <w:color w:val="auto"/>
          <w:sz w:val="21"/>
          <w:szCs w:val="21"/>
          <w:highlight w:val="none"/>
        </w:rPr>
        <w:t>无任何不良行为记录；无重大违法记录（重大违法记录是指供应商因违法经营受到刑事处罚或者责令停产停业、吊销许可证或者执照、较大数额罚款等行政处罚）。</w:t>
      </w:r>
    </w:p>
    <w:p w14:paraId="7AFAD0B4">
      <w:pPr>
        <w:keepNext w:val="0"/>
        <w:keepLines w:val="0"/>
        <w:pageBreakBefore w:val="0"/>
        <w:numPr>
          <w:ilvl w:val="0"/>
          <w:numId w:val="0"/>
        </w:numPr>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5B972205">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1BAA385F">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kern w:val="0"/>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rPr>
        <w:t>保证，</w:t>
      </w:r>
      <w:r>
        <w:rPr>
          <w:rFonts w:hint="eastAsia" w:ascii="宋体" w:hAnsi="宋体" w:eastAsia="宋体" w:cs="宋体"/>
          <w:color w:val="auto"/>
          <w:kern w:val="0"/>
          <w:sz w:val="21"/>
          <w:szCs w:val="21"/>
          <w:highlight w:val="none"/>
          <w:lang w:val="af-ZA"/>
        </w:rPr>
        <w:t>采购人在中华人民共和国境内使用</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磋商</w:t>
      </w:r>
      <w:r>
        <w:rPr>
          <w:rFonts w:hint="eastAsia" w:ascii="宋体" w:hAnsi="宋体" w:eastAsia="宋体" w:cs="宋体"/>
          <w:color w:val="auto"/>
          <w:kern w:val="0"/>
          <w:sz w:val="21"/>
          <w:szCs w:val="21"/>
          <w:highlight w:val="none"/>
          <w:lang w:val="af-ZA" w:eastAsia="zh-CN"/>
        </w:rPr>
        <w:t>响应的</w:t>
      </w:r>
      <w:r>
        <w:rPr>
          <w:rFonts w:hint="eastAsia" w:ascii="宋体" w:hAnsi="宋体" w:eastAsia="宋体" w:cs="宋体"/>
          <w:color w:val="auto"/>
          <w:kern w:val="0"/>
          <w:sz w:val="21"/>
          <w:szCs w:val="21"/>
          <w:highlight w:val="none"/>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2A868123">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af-ZA"/>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严格履行政府采购合同，</w:t>
      </w:r>
      <w:r>
        <w:rPr>
          <w:rFonts w:hint="eastAsia" w:ascii="宋体" w:hAnsi="宋体" w:eastAsia="宋体" w:cs="宋体"/>
          <w:color w:val="auto"/>
          <w:kern w:val="0"/>
          <w:szCs w:val="21"/>
          <w:highlight w:val="none"/>
          <w:lang w:val="af-ZA"/>
        </w:rPr>
        <w:t>除在投标文件中明确拒绝之外，均接受</w:t>
      </w:r>
      <w:r>
        <w:rPr>
          <w:rFonts w:hint="eastAsia" w:ascii="宋体" w:hAnsi="宋体" w:cs="宋体"/>
          <w:color w:val="auto"/>
          <w:kern w:val="0"/>
          <w:szCs w:val="21"/>
          <w:highlight w:val="none"/>
          <w:lang w:val="af-ZA" w:eastAsia="zh-CN"/>
        </w:rPr>
        <w:t>采购文件</w:t>
      </w:r>
      <w:r>
        <w:rPr>
          <w:rFonts w:hint="eastAsia" w:ascii="宋体" w:hAnsi="宋体" w:eastAsia="宋体" w:cs="宋体"/>
          <w:color w:val="auto"/>
          <w:kern w:val="0"/>
          <w:szCs w:val="21"/>
          <w:highlight w:val="none"/>
          <w:lang w:val="af-ZA"/>
        </w:rPr>
        <w:t>中的全部条件，</w:t>
      </w:r>
      <w:r>
        <w:rPr>
          <w:rFonts w:hint="eastAsia" w:ascii="宋体" w:hAnsi="宋体" w:eastAsia="宋体" w:cs="宋体"/>
          <w:color w:val="auto"/>
          <w:kern w:val="0"/>
          <w:sz w:val="21"/>
          <w:szCs w:val="21"/>
          <w:highlight w:val="none"/>
          <w:lang w:val="af-ZA"/>
        </w:rPr>
        <w:t>不降低合同约定的产品质量和服务，不擅自变更、中止、终止合同，或拒绝履行合同义务；</w:t>
      </w:r>
    </w:p>
    <w:p w14:paraId="72D3A8CD">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610D9F29">
      <w:pPr>
        <w:keepNext w:val="0"/>
        <w:keepLines w:val="0"/>
        <w:pageBreakBefore w:val="0"/>
        <w:kinsoku/>
        <w:overflowPunct/>
        <w:topLinePunct w:val="0"/>
        <w:bidi w:val="0"/>
        <w:adjustRightInd w:val="0"/>
        <w:snapToGrid w:val="0"/>
        <w:spacing w:line="360" w:lineRule="auto"/>
        <w:ind w:firstLine="480"/>
        <w:outlineLvl w:val="9"/>
        <w:rPr>
          <w:rFonts w:hint="eastAsia" w:ascii="宋体" w:hAnsi="宋体" w:eastAsia="宋体" w:cs="宋体"/>
          <w:color w:val="auto"/>
          <w:kern w:val="0"/>
          <w:sz w:val="21"/>
          <w:szCs w:val="21"/>
          <w:highlight w:val="none"/>
        </w:rPr>
      </w:pPr>
    </w:p>
    <w:p w14:paraId="67B39123">
      <w:pPr>
        <w:keepNext w:val="0"/>
        <w:keepLines w:val="0"/>
        <w:pageBreakBefore w:val="0"/>
        <w:kinsoku/>
        <w:overflowPunct/>
        <w:topLinePunct w:val="0"/>
        <w:bidi w:val="0"/>
        <w:adjustRightInd w:val="0"/>
        <w:snapToGrid w:val="0"/>
        <w:spacing w:line="360" w:lineRule="auto"/>
        <w:ind w:firstLine="4095" w:firstLineChars="1950"/>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供应商名称(公章)：</w:t>
      </w:r>
    </w:p>
    <w:p w14:paraId="20626BE3">
      <w:pPr>
        <w:keepNext w:val="0"/>
        <w:keepLines w:val="0"/>
        <w:pageBreakBefore w:val="0"/>
        <w:kinsoku/>
        <w:overflowPunct/>
        <w:topLinePunct w:val="0"/>
        <w:bidi w:val="0"/>
        <w:adjustRightInd w:val="0"/>
        <w:snapToGrid w:val="0"/>
        <w:spacing w:line="360" w:lineRule="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法定代表人或授权委托</w:t>
      </w:r>
      <w:r>
        <w:rPr>
          <w:rFonts w:hint="eastAsia" w:ascii="宋体" w:hAnsi="宋体" w:eastAsia="宋体" w:cs="宋体"/>
          <w:color w:val="auto"/>
          <w:kern w:val="0"/>
          <w:sz w:val="21"/>
          <w:szCs w:val="21"/>
          <w:highlight w:val="none"/>
          <w:lang w:val="en-US" w:eastAsia="zh-CN"/>
        </w:rPr>
        <w:t>代理</w:t>
      </w:r>
      <w:r>
        <w:rPr>
          <w:rFonts w:hint="eastAsia" w:ascii="宋体" w:hAnsi="宋体" w:eastAsia="宋体" w:cs="宋体"/>
          <w:color w:val="auto"/>
          <w:kern w:val="0"/>
          <w:sz w:val="21"/>
          <w:szCs w:val="21"/>
          <w:highlight w:val="none"/>
          <w:lang w:val="zh-CN"/>
        </w:rPr>
        <w:t>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0"/>
          <w:sz w:val="21"/>
          <w:szCs w:val="21"/>
          <w:highlight w:val="none"/>
          <w:lang w:val="zh-CN"/>
        </w:rPr>
        <w:t>：</w:t>
      </w:r>
    </w:p>
    <w:p w14:paraId="47933B70">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日期：年  月   日</w:t>
      </w:r>
    </w:p>
    <w:p w14:paraId="670BD6CE">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28"/>
          <w:highlight w:val="none"/>
        </w:rPr>
      </w:pPr>
    </w:p>
    <w:p w14:paraId="004E4F78">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52DF5B6E">
      <w:pPr>
        <w:keepNext w:val="0"/>
        <w:keepLines w:val="0"/>
        <w:pageBreakBefore w:val="0"/>
        <w:kinsoku/>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0B6ED4EF">
      <w:pPr>
        <w:pStyle w:val="9"/>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hAnsi="宋体" w:cs="宋体"/>
          <w:b w:val="0"/>
          <w:bCs/>
          <w:color w:val="auto"/>
          <w:sz w:val="21"/>
          <w:szCs w:val="21"/>
          <w:highlight w:val="none"/>
          <w:u w:val="single"/>
          <w:lang w:eastAsia="zh-CN"/>
        </w:rPr>
        <w:t>台州市路桥区农业农村和水利局</w:t>
      </w:r>
      <w:r>
        <w:rPr>
          <w:rFonts w:hint="eastAsia" w:ascii="宋体" w:hAnsi="宋体" w:eastAsia="宋体" w:cs="宋体"/>
          <w:b w:val="0"/>
          <w:bCs/>
          <w:color w:val="auto"/>
          <w:sz w:val="21"/>
          <w:szCs w:val="21"/>
          <w:highlight w:val="none"/>
          <w:u w:val="single"/>
        </w:rPr>
        <w:t>、台州永安工程咨询有限公司：</w:t>
      </w:r>
    </w:p>
    <w:p w14:paraId="57237C55">
      <w:pPr>
        <w:pStyle w:val="9"/>
        <w:keepNext w:val="0"/>
        <w:keepLines w:val="0"/>
        <w:pageBreakBefore w:val="0"/>
        <w:kinsoku/>
        <w:overflowPunct/>
        <w:topLinePunct w:val="0"/>
        <w:bidi w:val="0"/>
        <w:spacing w:line="360" w:lineRule="auto"/>
        <w:ind w:left="240" w:hanging="210" w:hanging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（供应商全称）  </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（法定代表人或营业执照中单位负责人姓名） </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授权</w:t>
      </w:r>
      <w:r>
        <w:rPr>
          <w:rFonts w:hint="eastAsia" w:ascii="宋体" w:hAnsi="宋体" w:eastAsia="宋体" w:cs="宋体"/>
          <w:color w:val="auto"/>
          <w:sz w:val="21"/>
          <w:szCs w:val="21"/>
          <w:highlight w:val="none"/>
          <w:u w:val="single"/>
        </w:rPr>
        <w:t xml:space="preserve">代表姓名）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sz w:val="21"/>
          <w:szCs w:val="21"/>
          <w:highlight w:val="none"/>
          <w:u w:val="single"/>
          <w:lang w:eastAsia="zh-CN"/>
        </w:rPr>
        <w:t>病死动物无害化处理项目</w:t>
      </w:r>
      <w:r>
        <w:rPr>
          <w:rFonts w:hint="eastAsia" w:ascii="宋体" w:hAnsi="宋体" w:eastAsia="宋体" w:cs="宋体"/>
          <w:color w:val="auto"/>
          <w:sz w:val="21"/>
          <w:szCs w:val="21"/>
          <w:highlight w:val="none"/>
          <w:u w:val="single"/>
        </w:rPr>
        <w:t>（编号为</w:t>
      </w:r>
      <w:r>
        <w:rPr>
          <w:rFonts w:hint="eastAsia" w:hAnsi="宋体" w:cs="宋体"/>
          <w:color w:val="auto"/>
          <w:sz w:val="21"/>
          <w:szCs w:val="21"/>
          <w:highlight w:val="none"/>
          <w:u w:val="single"/>
          <w:lang w:eastAsia="zh-CN"/>
        </w:rPr>
        <w:t>tzya2024-lq92</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的采购活动，并代表我方全权办理针对上述项目的磋商、签约等具体事务和签署相关文件。我方对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事项负全部责任。</w:t>
      </w:r>
    </w:p>
    <w:p w14:paraId="1F41D244">
      <w:pPr>
        <w:pStyle w:val="9"/>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5A008435">
      <w:pPr>
        <w:pStyle w:val="9"/>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503BBC39">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1A36D18D">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或盖章：</w:t>
      </w:r>
    </w:p>
    <w:p w14:paraId="2C462B6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供应商全称（公章）：                              </w:t>
      </w:r>
    </w:p>
    <w:p w14:paraId="21EF356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18D1E682">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7FF3F709">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w:t>
      </w:r>
    </w:p>
    <w:tbl>
      <w:tblPr>
        <w:tblStyle w:val="21"/>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7C80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1339275F">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7BDEE298">
            <w:pPr>
              <w:keepNext w:val="0"/>
              <w:keepLines w:val="0"/>
              <w:pageBreakBefore w:val="0"/>
              <w:kinsoku/>
              <w:overflowPunct/>
              <w:topLinePunct w:val="0"/>
              <w:bidi w:val="0"/>
              <w:spacing w:line="360" w:lineRule="auto"/>
              <w:ind w:firstLine="316" w:firstLineChars="15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法定代表身份证复印件粘帖处</w:t>
            </w:r>
          </w:p>
        </w:tc>
      </w:tr>
    </w:tbl>
    <w:p w14:paraId="1472010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法定代表人姓名：                                 </w:t>
      </w:r>
    </w:p>
    <w:p w14:paraId="0937F94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29BE844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01B8772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604A5B4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0DF51459">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tbl>
      <w:tblPr>
        <w:tblStyle w:val="21"/>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806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53E5E6DA">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1BABFA70">
            <w:pPr>
              <w:keepNext w:val="0"/>
              <w:keepLines w:val="0"/>
              <w:pageBreakBefore w:val="0"/>
              <w:kinsoku/>
              <w:overflowPunct/>
              <w:topLinePunct w:val="0"/>
              <w:bidi w:val="0"/>
              <w:spacing w:line="360" w:lineRule="auto"/>
              <w:ind w:firstLine="316" w:firstLineChars="15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授权委托代理人</w:t>
            </w:r>
            <w:r>
              <w:rPr>
                <w:rFonts w:hint="eastAsia" w:ascii="宋体" w:hAnsi="宋体" w:eastAsia="宋体" w:cs="宋体"/>
                <w:b/>
                <w:color w:val="auto"/>
                <w:sz w:val="21"/>
                <w:szCs w:val="21"/>
                <w:highlight w:val="none"/>
              </w:rPr>
              <w:t>身份证复印件粘帖处</w:t>
            </w:r>
          </w:p>
        </w:tc>
      </w:tr>
    </w:tbl>
    <w:p w14:paraId="4AB497B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 xml:space="preserve">姓名：       </w:t>
      </w:r>
    </w:p>
    <w:p w14:paraId="64A3C4C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职务：                           </w:t>
      </w:r>
    </w:p>
    <w:p w14:paraId="0A9A739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178B2EEA">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53078DF2">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2984219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11D010FA">
      <w:pPr>
        <w:keepNext w:val="0"/>
        <w:keepLines w:val="0"/>
        <w:pageBreakBefore w:val="0"/>
        <w:kinsoku/>
        <w:overflowPunct/>
        <w:topLinePunct w:val="0"/>
        <w:bidi w:val="0"/>
        <w:spacing w:line="400" w:lineRule="exact"/>
        <w:outlineLvl w:val="9"/>
        <w:rPr>
          <w:rFonts w:hint="eastAsia" w:ascii="宋体" w:hAnsi="宋体" w:eastAsia="宋体" w:cs="宋体"/>
          <w:bCs/>
          <w:color w:val="auto"/>
          <w:sz w:val="30"/>
          <w:szCs w:val="30"/>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4</w:t>
      </w:r>
    </w:p>
    <w:p w14:paraId="6A6356A0">
      <w:pPr>
        <w:keepNext w:val="0"/>
        <w:keepLines w:val="0"/>
        <w:pageBreakBefore w:val="0"/>
        <w:kinsoku/>
        <w:overflowPunct/>
        <w:topLinePunct w:val="0"/>
        <w:bidi w:val="0"/>
        <w:spacing w:line="400" w:lineRule="exact"/>
        <w:jc w:val="center"/>
        <w:outlineLvl w:val="9"/>
        <w:rPr>
          <w:rFonts w:hint="eastAsia" w:ascii="宋体" w:hAnsi="宋体" w:eastAsia="宋体" w:cs="宋体"/>
          <w:b/>
          <w:bCs/>
          <w:snapToGrid w:val="0"/>
          <w:color w:val="auto"/>
          <w:sz w:val="28"/>
          <w:szCs w:val="28"/>
          <w:highlight w:val="none"/>
          <w:lang w:eastAsia="zh-CN"/>
        </w:rPr>
      </w:pPr>
      <w:r>
        <w:rPr>
          <w:rFonts w:hint="eastAsia" w:ascii="宋体" w:hAnsi="宋体" w:eastAsia="宋体" w:cs="宋体"/>
          <w:b/>
          <w:bCs/>
          <w:snapToGrid w:val="0"/>
          <w:color w:val="auto"/>
          <w:sz w:val="28"/>
          <w:szCs w:val="28"/>
          <w:highlight w:val="none"/>
        </w:rPr>
        <w:t>中小企业声明函</w:t>
      </w:r>
    </w:p>
    <w:p w14:paraId="3B3E0A17">
      <w:pPr>
        <w:pStyle w:val="7"/>
        <w:keepNext w:val="0"/>
        <w:keepLines w:val="0"/>
        <w:pageBreakBefore w:val="0"/>
        <w:kinsoku/>
        <w:overflowPunct/>
        <w:topLinePunct w:val="0"/>
        <w:bidi w:val="0"/>
        <w:spacing w:before="5"/>
        <w:outlineLvl w:val="9"/>
        <w:rPr>
          <w:rFonts w:hint="eastAsia" w:ascii="宋体" w:hAnsi="宋体" w:eastAsia="宋体" w:cs="宋体"/>
          <w:b/>
          <w:color w:val="auto"/>
          <w:sz w:val="18"/>
          <w:szCs w:val="18"/>
          <w:highlight w:val="none"/>
        </w:rPr>
      </w:pPr>
    </w:p>
    <w:p w14:paraId="007E0C0E">
      <w:pPr>
        <w:pStyle w:val="7"/>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398D8B79">
      <w:pPr>
        <w:pStyle w:val="7"/>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7AC8001F">
      <w:pPr>
        <w:pStyle w:val="7"/>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34E715C1">
      <w:pPr>
        <w:pStyle w:val="7"/>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61947893">
      <w:pPr>
        <w:pStyle w:val="7"/>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2ADC37E9">
      <w:pPr>
        <w:pStyle w:val="7"/>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0E6EA86B">
      <w:pPr>
        <w:pStyle w:val="7"/>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47E46E16">
      <w:pPr>
        <w:pStyle w:val="7"/>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316F49F4">
      <w:pPr>
        <w:pStyle w:val="7"/>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496A1DDB">
      <w:pPr>
        <w:pStyle w:val="7"/>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43E7708F">
      <w:pPr>
        <w:pStyle w:val="9"/>
        <w:keepNext w:val="0"/>
        <w:keepLines w:val="0"/>
        <w:pageBreakBefore w:val="0"/>
        <w:kinsoku/>
        <w:overflowPunct/>
        <w:topLinePunct w:val="0"/>
        <w:bidi w:val="0"/>
        <w:spacing w:line="360" w:lineRule="auto"/>
        <w:outlineLvl w:val="9"/>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0C9F06C9">
      <w:pPr>
        <w:pStyle w:val="50"/>
        <w:keepNext w:val="0"/>
        <w:keepLines w:val="0"/>
        <w:pageBreakBefore w:val="0"/>
        <w:numPr>
          <w:ilvl w:val="0"/>
          <w:numId w:val="0"/>
        </w:numPr>
        <w:kinsoku/>
        <w:overflowPunct/>
        <w:topLinePunct w:val="0"/>
        <w:bidi w:val="0"/>
        <w:spacing w:line="360" w:lineRule="auto"/>
        <w:ind w:left="403" w:leftChars="0"/>
        <w:jc w:val="both"/>
        <w:outlineLvl w:val="9"/>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63E4C5A6">
      <w:pPr>
        <w:pStyle w:val="9"/>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70DA6EAC">
      <w:pPr>
        <w:pStyle w:val="9"/>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36452525">
      <w:pPr>
        <w:pStyle w:val="9"/>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7D66CF7E">
      <w:pPr>
        <w:pStyle w:val="9"/>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2610408C">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E026BFC">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1A0C0170">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p>
    <w:p w14:paraId="14536C04">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磋商供应商名称（盖章）：</w:t>
      </w:r>
    </w:p>
    <w:p w14:paraId="16874565">
      <w:pPr>
        <w:keepNext w:val="0"/>
        <w:keepLines w:val="0"/>
        <w:pageBreakBefore w:val="0"/>
        <w:tabs>
          <w:tab w:val="left" w:pos="4860"/>
        </w:tabs>
        <w:kinsoku/>
        <w:overflowPunct/>
        <w:topLinePunct w:val="0"/>
        <w:bidi w:val="0"/>
        <w:spacing w:line="360" w:lineRule="auto"/>
        <w:ind w:right="1560" w:firstLine="420" w:firstLineChars="20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2"/>
          <w:sz w:val="21"/>
          <w:szCs w:val="21"/>
          <w:highlight w:val="none"/>
          <w:lang w:val="en-US" w:eastAsia="zh-CN" w:bidi="ar-SA"/>
        </w:rPr>
        <w:t>：</w:t>
      </w:r>
    </w:p>
    <w:p w14:paraId="48245849">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p>
    <w:p w14:paraId="6C847B8C">
      <w:pPr>
        <w:pStyle w:val="50"/>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6A8FEB7">
      <w:pPr>
        <w:pStyle w:val="50"/>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0CD8A26">
      <w:pPr>
        <w:pStyle w:val="50"/>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11B4C52">
      <w:pPr>
        <w:pStyle w:val="50"/>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071E906D">
      <w:pPr>
        <w:pStyle w:val="50"/>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73110C16">
      <w:pPr>
        <w:pStyle w:val="50"/>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70F34EA5">
      <w:pPr>
        <w:pStyle w:val="50"/>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1976FE83">
      <w:pPr>
        <w:pStyle w:val="50"/>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26EE8D3">
      <w:pPr>
        <w:pStyle w:val="50"/>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7230ED1">
      <w:pPr>
        <w:pStyle w:val="50"/>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44C72E2">
      <w:pPr>
        <w:pStyle w:val="19"/>
        <w:ind w:left="0" w:leftChars="0" w:firstLine="0" w:firstLineChars="0"/>
        <w:rPr>
          <w:rFonts w:hint="eastAsia" w:ascii="宋体" w:hAnsi="宋体" w:eastAsia="宋体" w:cs="宋体"/>
          <w:color w:val="auto"/>
          <w:highlight w:val="none"/>
        </w:rPr>
      </w:pPr>
    </w:p>
    <w:p w14:paraId="0AB44B57">
      <w:pPr>
        <w:pStyle w:val="55"/>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pgNumType w:fmt="decimal"/>
          <w:cols w:space="425" w:num="1"/>
          <w:docGrid w:type="lines" w:linePitch="312" w:charSpace="0"/>
        </w:sectPr>
      </w:pPr>
    </w:p>
    <w:p w14:paraId="70A42995">
      <w:pPr>
        <w:pStyle w:val="55"/>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0B227492">
      <w:pPr>
        <w:pStyle w:val="55"/>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台州永安工程咨询有限公司</w:t>
      </w:r>
      <w:r>
        <w:rPr>
          <w:rFonts w:hint="eastAsia" w:ascii="宋体" w:hAnsi="宋体" w:eastAsia="宋体" w:cs="宋体"/>
          <w:color w:val="auto"/>
          <w:kern w:val="0"/>
          <w:sz w:val="21"/>
          <w:szCs w:val="21"/>
          <w:highlight w:val="none"/>
        </w:rPr>
        <w:t>：</w:t>
      </w:r>
    </w:p>
    <w:p w14:paraId="04C24B53">
      <w:pPr>
        <w:pStyle w:val="55"/>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病死动物无害化处理项目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tzya2024-lq92</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1EADFB83">
      <w:pPr>
        <w:pStyle w:val="52"/>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4115BCC">
      <w:pPr>
        <w:pStyle w:val="52"/>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638DD55F">
      <w:pPr>
        <w:pStyle w:val="52"/>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5BFBE8D6">
      <w:pPr>
        <w:pStyle w:val="52"/>
        <w:widowControl/>
        <w:snapToGrid w:val="0"/>
        <w:spacing w:line="360" w:lineRule="auto"/>
        <w:ind w:firstLine="222"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A83EDD8">
      <w:pPr>
        <w:pStyle w:val="55"/>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385AE69A">
      <w:pPr>
        <w:pStyle w:val="55"/>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1366829D">
      <w:pPr>
        <w:pStyle w:val="55"/>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37BAE488">
      <w:pPr>
        <w:pStyle w:val="55"/>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73457F8D">
      <w:pPr>
        <w:pStyle w:val="55"/>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7CED371F">
      <w:pPr>
        <w:pStyle w:val="5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41D12725">
      <w:pPr>
        <w:pStyle w:val="5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375FCF97">
      <w:pPr>
        <w:pStyle w:val="5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49A2E90B">
      <w:pPr>
        <w:pStyle w:val="5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7DE220AB">
      <w:pPr>
        <w:pStyle w:val="52"/>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13B5794F">
      <w:pPr>
        <w:pStyle w:val="52"/>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6B2E4396">
      <w:pPr>
        <w:pStyle w:val="52"/>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w:t>
      </w:r>
      <w:r>
        <w:rPr>
          <w:rFonts w:hint="eastAsia"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规定接受投标担保的处理。如已中标，自动放弃中标资格；给招标人造成损失的，依法承担赔偿责任。</w:t>
      </w:r>
    </w:p>
    <w:p w14:paraId="5F123500">
      <w:pPr>
        <w:pStyle w:val="55"/>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1A0F52C9">
      <w:pPr>
        <w:pStyle w:val="55"/>
        <w:widowControl w:val="0"/>
        <w:snapToGrid w:val="0"/>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393B3CF2">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D52A2F3">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E052E27">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00C7B4C">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B38F127">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cs="宋体"/>
          <w:b/>
          <w:color w:val="auto"/>
          <w:kern w:val="0"/>
          <w:sz w:val="28"/>
          <w:szCs w:val="28"/>
          <w:highlight w:val="none"/>
          <w:lang w:val="en-US" w:eastAsia="zh-CN"/>
        </w:rPr>
        <w:t>5</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5BA43F7F">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1BAF21BC">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43E9AC3">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6E101AA">
      <w:pPr>
        <w:pStyle w:val="18"/>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6529D49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201E6BF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5CD4626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4B3052E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0EEEC1E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15018E0B">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3CF386D4">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（商务与技术文件</w:t>
      </w:r>
      <w:r>
        <w:rPr>
          <w:rFonts w:hint="eastAsia" w:ascii="宋体" w:hAnsi="宋体" w:eastAsia="宋体" w:cs="宋体"/>
          <w:b/>
          <w:color w:val="auto"/>
          <w:spacing w:val="40"/>
          <w:sz w:val="28"/>
          <w:szCs w:val="28"/>
          <w:highlight w:val="none"/>
        </w:rPr>
        <w:t>）</w:t>
      </w:r>
    </w:p>
    <w:p w14:paraId="19C3FA0E">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A0C5F9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58287A8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6CDA2846">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114EF928">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07EEA6B3">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43984417">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zh-CN" w:eastAsia="zh-CN"/>
        </w:rPr>
        <w:t>第</w:t>
      </w:r>
      <w:r>
        <w:rPr>
          <w:rFonts w:hint="eastAsia" w:ascii="宋体" w:hAnsi="宋体" w:eastAsia="宋体" w:cs="宋体"/>
          <w:b/>
          <w:bCs w:val="0"/>
          <w:color w:val="auto"/>
          <w:sz w:val="24"/>
          <w:highlight w:val="none"/>
          <w:lang w:val="en-US" w:eastAsia="zh-CN"/>
        </w:rPr>
        <w:t>一</w:t>
      </w:r>
      <w:r>
        <w:rPr>
          <w:rFonts w:hint="eastAsia" w:ascii="宋体" w:hAnsi="宋体" w:eastAsia="宋体" w:cs="宋体"/>
          <w:b/>
          <w:bCs w:val="0"/>
          <w:color w:val="auto"/>
          <w:sz w:val="24"/>
          <w:highlight w:val="none"/>
          <w:lang w:val="zh-CN" w:eastAsia="zh-CN"/>
        </w:rPr>
        <w:t>部分：</w:t>
      </w:r>
      <w:r>
        <w:rPr>
          <w:rFonts w:hint="eastAsia" w:ascii="宋体" w:hAnsi="宋体" w:eastAsia="宋体" w:cs="宋体"/>
          <w:b/>
          <w:bCs w:val="0"/>
          <w:color w:val="auto"/>
          <w:sz w:val="24"/>
          <w:highlight w:val="none"/>
          <w:lang w:val="en-US" w:eastAsia="zh-CN"/>
        </w:rPr>
        <w:t>评标索引</w:t>
      </w:r>
    </w:p>
    <w:p w14:paraId="6CFEE82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评标索引：自评表（附件</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w:t>
      </w:r>
    </w:p>
    <w:p w14:paraId="15190438">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第二部分 ：</w:t>
      </w:r>
      <w:r>
        <w:rPr>
          <w:rFonts w:hint="eastAsia" w:ascii="宋体" w:hAnsi="宋体" w:eastAsia="宋体" w:cs="宋体"/>
          <w:b/>
          <w:bCs w:val="0"/>
          <w:color w:val="auto"/>
          <w:sz w:val="24"/>
          <w:highlight w:val="none"/>
          <w:lang w:val="zh-CN" w:eastAsia="zh-CN"/>
        </w:rPr>
        <w:t>商务与技术</w:t>
      </w:r>
      <w:r>
        <w:rPr>
          <w:rFonts w:hint="eastAsia" w:ascii="宋体" w:hAnsi="宋体" w:eastAsia="宋体" w:cs="宋体"/>
          <w:b/>
          <w:bCs w:val="0"/>
          <w:color w:val="auto"/>
          <w:sz w:val="24"/>
          <w:highlight w:val="none"/>
          <w:lang w:val="en-US" w:eastAsia="zh-CN"/>
        </w:rPr>
        <w:t>部分</w:t>
      </w:r>
    </w:p>
    <w:p w14:paraId="361DAFFC">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1、供应商基本情况表（附件</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lang w:val="en-US" w:eastAsia="zh-CN"/>
        </w:rPr>
        <w:t>）</w:t>
      </w:r>
    </w:p>
    <w:p w14:paraId="38EDC4A9">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2、项目组织实施方案； </w:t>
      </w:r>
    </w:p>
    <w:p w14:paraId="133C948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3、项目实施人员一览表（附件</w:t>
      </w: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lang w:val="en-US" w:eastAsia="zh-CN"/>
        </w:rPr>
        <w:t>）；</w:t>
      </w:r>
    </w:p>
    <w:p w14:paraId="0A3BA40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4、项目负责人资格情况表(附件</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lang w:val="en-US" w:eastAsia="zh-CN"/>
        </w:rPr>
        <w:t>)；</w:t>
      </w:r>
    </w:p>
    <w:p w14:paraId="1661260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5、商务及技术响应表（附件</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lang w:val="en-US" w:eastAsia="zh-CN"/>
        </w:rPr>
        <w:t>）</w:t>
      </w:r>
    </w:p>
    <w:p w14:paraId="7919CFE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6、企业证书一览表（附件1</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lang w:val="en-US" w:eastAsia="zh-CN"/>
        </w:rPr>
        <w:t>）；</w:t>
      </w:r>
    </w:p>
    <w:p w14:paraId="6EFE649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7、类似项目实施情况一览表（附件1</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en-US" w:eastAsia="zh-CN"/>
        </w:rPr>
        <w:t>）</w:t>
      </w:r>
    </w:p>
    <w:p w14:paraId="4D21FD0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8、售后服务措施及承诺（可视情选用附件1</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val="en-US" w:eastAsia="zh-CN"/>
        </w:rPr>
        <w:t>）；</w:t>
      </w:r>
    </w:p>
    <w:p w14:paraId="76844306">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A37B250">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9555D36">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ABEFA0A">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B37BD8B">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A327263">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CC50B52">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972FA8F">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569F3B3F">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0CED548B">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0F478EE4">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5C123DE0">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17D28406">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6</w:t>
      </w:r>
    </w:p>
    <w:p w14:paraId="7263F698">
      <w:pPr>
        <w:keepNext w:val="0"/>
        <w:keepLines w:val="0"/>
        <w:pageBreakBefore w:val="0"/>
        <w:kinsoku/>
        <w:overflowPunct/>
        <w:topLinePunct w:val="0"/>
        <w:bidi w:val="0"/>
        <w:spacing w:line="300" w:lineRule="exact"/>
        <w:ind w:firstLine="422" w:firstLineChars="200"/>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评标索引：自评表</w:t>
      </w:r>
    </w:p>
    <w:tbl>
      <w:tblPr>
        <w:tblStyle w:val="21"/>
        <w:tblW w:w="10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168"/>
        <w:gridCol w:w="5522"/>
        <w:gridCol w:w="803"/>
        <w:gridCol w:w="803"/>
        <w:gridCol w:w="803"/>
      </w:tblGrid>
      <w:tr w14:paraId="7C36C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3" w:type="dxa"/>
            <w:gridSpan w:val="2"/>
            <w:noWrap w:val="0"/>
            <w:vAlign w:val="center"/>
          </w:tcPr>
          <w:p w14:paraId="2AAC803C">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评标因素</w:t>
            </w:r>
          </w:p>
        </w:tc>
        <w:tc>
          <w:tcPr>
            <w:tcW w:w="5522" w:type="dxa"/>
            <w:noWrap w:val="0"/>
            <w:vAlign w:val="center"/>
          </w:tcPr>
          <w:p w14:paraId="22154350">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评分标准</w:t>
            </w:r>
          </w:p>
        </w:tc>
        <w:tc>
          <w:tcPr>
            <w:tcW w:w="803" w:type="dxa"/>
            <w:noWrap w:val="0"/>
            <w:vAlign w:val="center"/>
          </w:tcPr>
          <w:p w14:paraId="244FB8FB">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分值</w:t>
            </w:r>
          </w:p>
        </w:tc>
        <w:tc>
          <w:tcPr>
            <w:tcW w:w="803" w:type="dxa"/>
            <w:noWrap w:val="0"/>
            <w:vAlign w:val="center"/>
          </w:tcPr>
          <w:p w14:paraId="4B713970">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对应页码</w:t>
            </w:r>
          </w:p>
        </w:tc>
        <w:tc>
          <w:tcPr>
            <w:tcW w:w="803" w:type="dxa"/>
            <w:noWrap w:val="0"/>
            <w:vAlign w:val="center"/>
          </w:tcPr>
          <w:p w14:paraId="52DD3556">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自评分</w:t>
            </w:r>
          </w:p>
        </w:tc>
      </w:tr>
      <w:tr w14:paraId="58F6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265" w:type="dxa"/>
            <w:vMerge w:val="restart"/>
            <w:noWrap w:val="0"/>
            <w:vAlign w:val="center"/>
          </w:tcPr>
          <w:p w14:paraId="3564F753">
            <w:pPr>
              <w:pStyle w:val="9"/>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商务分</w:t>
            </w:r>
          </w:p>
          <w:p w14:paraId="0101BF28">
            <w:pPr>
              <w:pStyle w:val="9"/>
              <w:adjustRightInd w:val="0"/>
              <w:snapToGrid w:val="0"/>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（15分）</w:t>
            </w:r>
          </w:p>
        </w:tc>
        <w:tc>
          <w:tcPr>
            <w:tcW w:w="1168" w:type="dxa"/>
            <w:noWrap w:val="0"/>
            <w:vAlign w:val="center"/>
          </w:tcPr>
          <w:p w14:paraId="693150CB">
            <w:pPr>
              <w:pStyle w:val="9"/>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企业认证</w:t>
            </w:r>
          </w:p>
        </w:tc>
        <w:tc>
          <w:tcPr>
            <w:tcW w:w="5522" w:type="dxa"/>
            <w:noWrap w:val="0"/>
            <w:vAlign w:val="center"/>
          </w:tcPr>
          <w:p w14:paraId="6B3EF052">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投标人具备有效期内的质量管理体系认证证书、环境管理体系认证证书、职业健康安全管理体系认证证书，每具备一项认证证书得1分，最高得3分。</w:t>
            </w:r>
          </w:p>
          <w:p w14:paraId="7BBAB86F">
            <w:pPr>
              <w:pStyle w:val="9"/>
              <w:adjustRightInd w:val="0"/>
              <w:snapToGrid w:val="0"/>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提供相关证书扫描件加盖投标人公章编入投标文件中，未提供的不得分）</w:t>
            </w:r>
          </w:p>
        </w:tc>
        <w:tc>
          <w:tcPr>
            <w:tcW w:w="803" w:type="dxa"/>
            <w:noWrap w:val="0"/>
            <w:vAlign w:val="center"/>
          </w:tcPr>
          <w:p w14:paraId="2D0D1ADE">
            <w:pPr>
              <w:pStyle w:val="9"/>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803" w:type="dxa"/>
            <w:noWrap w:val="0"/>
            <w:vAlign w:val="center"/>
          </w:tcPr>
          <w:p w14:paraId="0F88E4F1">
            <w:pPr>
              <w:pStyle w:val="9"/>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p>
        </w:tc>
        <w:tc>
          <w:tcPr>
            <w:tcW w:w="803" w:type="dxa"/>
            <w:noWrap w:val="0"/>
            <w:vAlign w:val="center"/>
          </w:tcPr>
          <w:p w14:paraId="5F9A6CC9">
            <w:pPr>
              <w:pStyle w:val="9"/>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p>
        </w:tc>
      </w:tr>
      <w:tr w14:paraId="0220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265" w:type="dxa"/>
            <w:vMerge w:val="continue"/>
            <w:noWrap w:val="0"/>
            <w:vAlign w:val="center"/>
          </w:tcPr>
          <w:p w14:paraId="67E20D7A">
            <w:pPr>
              <w:pStyle w:val="9"/>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p>
        </w:tc>
        <w:tc>
          <w:tcPr>
            <w:tcW w:w="1168" w:type="dxa"/>
            <w:noWrap w:val="0"/>
            <w:vAlign w:val="center"/>
          </w:tcPr>
          <w:p w14:paraId="54778FC6">
            <w:pPr>
              <w:pStyle w:val="9"/>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承接经验</w:t>
            </w:r>
          </w:p>
        </w:tc>
        <w:tc>
          <w:tcPr>
            <w:tcW w:w="5522" w:type="dxa"/>
            <w:noWrap w:val="0"/>
            <w:vAlign w:val="center"/>
          </w:tcPr>
          <w:p w14:paraId="53D09906">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自2018年1月1日以来</w:t>
            </w:r>
            <w:r>
              <w:rPr>
                <w:rFonts w:hint="eastAsia" w:ascii="宋体" w:hAnsi="宋体" w:eastAsia="宋体" w:cs="宋体"/>
                <w:b w:val="0"/>
                <w:bCs w:val="0"/>
                <w:color w:val="auto"/>
                <w:kern w:val="0"/>
                <w:sz w:val="21"/>
                <w:szCs w:val="21"/>
                <w:highlight w:val="none"/>
                <w:u w:val="none"/>
                <w:lang w:val="zh-CN"/>
              </w:rPr>
              <w:t>（以合同签订时间为准），</w:t>
            </w:r>
            <w:r>
              <w:rPr>
                <w:rFonts w:hint="eastAsia" w:ascii="宋体" w:hAnsi="宋体" w:eastAsia="宋体" w:cs="宋体"/>
                <w:b w:val="0"/>
                <w:bCs w:val="0"/>
                <w:color w:val="auto"/>
                <w:kern w:val="0"/>
                <w:sz w:val="21"/>
                <w:szCs w:val="21"/>
                <w:highlight w:val="none"/>
                <w:u w:val="none"/>
                <w:lang w:val="en-US" w:eastAsia="zh-CN"/>
              </w:rPr>
              <w:t>承接过类似项目的。每提供1个合同得1分，最高得2分。</w:t>
            </w:r>
          </w:p>
          <w:p w14:paraId="3583C2D1">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提供有效的合同扫描件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803" w:type="dxa"/>
            <w:noWrap w:val="0"/>
            <w:vAlign w:val="center"/>
          </w:tcPr>
          <w:p w14:paraId="7EBD4809">
            <w:pPr>
              <w:pStyle w:val="9"/>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803" w:type="dxa"/>
            <w:noWrap w:val="0"/>
            <w:vAlign w:val="center"/>
          </w:tcPr>
          <w:p w14:paraId="0F040C0C">
            <w:pPr>
              <w:pStyle w:val="9"/>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803" w:type="dxa"/>
            <w:noWrap w:val="0"/>
            <w:vAlign w:val="center"/>
          </w:tcPr>
          <w:p w14:paraId="40DC0AE4">
            <w:pPr>
              <w:pStyle w:val="9"/>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r>
      <w:tr w14:paraId="4F4FC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265" w:type="dxa"/>
            <w:vMerge w:val="continue"/>
            <w:noWrap w:val="0"/>
            <w:vAlign w:val="center"/>
          </w:tcPr>
          <w:p w14:paraId="13D98197">
            <w:pPr>
              <w:pStyle w:val="9"/>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p>
        </w:tc>
        <w:tc>
          <w:tcPr>
            <w:tcW w:w="1168" w:type="dxa"/>
            <w:noWrap w:val="0"/>
            <w:vAlign w:val="center"/>
          </w:tcPr>
          <w:p w14:paraId="22372891">
            <w:pPr>
              <w:pStyle w:val="9"/>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服务团队</w:t>
            </w:r>
          </w:p>
        </w:tc>
        <w:tc>
          <w:tcPr>
            <w:tcW w:w="5522" w:type="dxa"/>
            <w:noWrap w:val="0"/>
            <w:vAlign w:val="center"/>
          </w:tcPr>
          <w:p w14:paraId="5C2B36CE">
            <w:pPr>
              <w:pStyle w:val="9"/>
              <w:adjustRightInd w:val="0"/>
              <w:snapToGrid w:val="0"/>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投标人拟派的服务团队人员(除项目负责人外)中，具有动物疫病防治员、兽医师、动物检疫员、电工证、锅炉证等证书的，以上证书每具备一项得2分，最高得10分。</w:t>
            </w:r>
          </w:p>
          <w:p w14:paraId="0260E2B3">
            <w:pPr>
              <w:pStyle w:val="9"/>
              <w:adjustRightInd w:val="0"/>
              <w:snapToGrid w:val="0"/>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有效的职称证书、资格</w:t>
            </w:r>
            <w:r>
              <w:rPr>
                <w:rFonts w:hint="eastAsia" w:ascii="宋体" w:hAnsi="宋体" w:eastAsia="宋体" w:cs="宋体"/>
                <w:b/>
                <w:bCs/>
                <w:color w:val="auto"/>
                <w:sz w:val="21"/>
                <w:szCs w:val="21"/>
                <w:highlight w:val="none"/>
              </w:rPr>
              <w:t>证书扫描件及投标截止时间前的社保缴费证明</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未提供或提供不全的</w:t>
            </w:r>
            <w:r>
              <w:rPr>
                <w:rFonts w:hint="eastAsia" w:ascii="宋体" w:hAnsi="宋体" w:eastAsia="宋体" w:cs="宋体"/>
                <w:b/>
                <w:bCs/>
                <w:color w:val="auto"/>
                <w:sz w:val="21"/>
                <w:szCs w:val="21"/>
                <w:highlight w:val="none"/>
              </w:rPr>
              <w:t>不得分）</w:t>
            </w:r>
          </w:p>
        </w:tc>
        <w:tc>
          <w:tcPr>
            <w:tcW w:w="803" w:type="dxa"/>
            <w:noWrap w:val="0"/>
            <w:vAlign w:val="center"/>
          </w:tcPr>
          <w:p w14:paraId="0F4A1201">
            <w:pPr>
              <w:pStyle w:val="9"/>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p>
        </w:tc>
        <w:tc>
          <w:tcPr>
            <w:tcW w:w="803" w:type="dxa"/>
            <w:noWrap w:val="0"/>
            <w:vAlign w:val="center"/>
          </w:tcPr>
          <w:p w14:paraId="2BD9DC60">
            <w:pPr>
              <w:pStyle w:val="9"/>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p>
        </w:tc>
        <w:tc>
          <w:tcPr>
            <w:tcW w:w="803" w:type="dxa"/>
            <w:noWrap w:val="0"/>
            <w:vAlign w:val="center"/>
          </w:tcPr>
          <w:p w14:paraId="458CC569">
            <w:pPr>
              <w:pStyle w:val="9"/>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p>
        </w:tc>
      </w:tr>
      <w:tr w14:paraId="74456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65" w:type="dxa"/>
            <w:vMerge w:val="restart"/>
            <w:noWrap w:val="0"/>
            <w:vAlign w:val="center"/>
          </w:tcPr>
          <w:p w14:paraId="582DA117">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技术分</w:t>
            </w:r>
          </w:p>
          <w:p w14:paraId="2A3726E3">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（65分）</w:t>
            </w:r>
          </w:p>
        </w:tc>
        <w:tc>
          <w:tcPr>
            <w:tcW w:w="1168" w:type="dxa"/>
            <w:shd w:val="clear" w:color="auto" w:fill="auto"/>
            <w:noWrap w:val="0"/>
            <w:vAlign w:val="center"/>
          </w:tcPr>
          <w:p w14:paraId="761F45A6">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w:t>
            </w:r>
          </w:p>
        </w:tc>
        <w:tc>
          <w:tcPr>
            <w:tcW w:w="5522" w:type="dxa"/>
            <w:shd w:val="clear" w:color="auto" w:fill="auto"/>
            <w:noWrap w:val="0"/>
            <w:vAlign w:val="center"/>
          </w:tcPr>
          <w:p w14:paraId="02300C87">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根据投标人提供的实施方案、处理厂产出物处理方案的科学性、合理性、运输距离等进行打分。</w:t>
            </w:r>
          </w:p>
          <w:p w14:paraId="3359B466">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方案完整到位，内容丰富，措施得力的得7.0-10.0分；</w:t>
            </w:r>
          </w:p>
          <w:p w14:paraId="1674EFEC">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方案较完整，能较好满足招标内容的得4.0-6.9分；</w:t>
            </w:r>
          </w:p>
          <w:p w14:paraId="14AF37A7">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方案片面，仅基本满足采购人需求的得0.1-3.9分；</w:t>
            </w:r>
          </w:p>
          <w:p w14:paraId="2A2CDA88">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803" w:type="dxa"/>
            <w:shd w:val="clear" w:color="auto" w:fill="auto"/>
            <w:noWrap w:val="0"/>
            <w:vAlign w:val="center"/>
          </w:tcPr>
          <w:p w14:paraId="4B155913">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p>
        </w:tc>
        <w:tc>
          <w:tcPr>
            <w:tcW w:w="803" w:type="dxa"/>
            <w:shd w:val="clear" w:color="auto" w:fill="auto"/>
            <w:noWrap w:val="0"/>
            <w:vAlign w:val="center"/>
          </w:tcPr>
          <w:p w14:paraId="46CA4D76">
            <w:pPr>
              <w:spacing w:line="240" w:lineRule="auto"/>
              <w:jc w:val="center"/>
              <w:rPr>
                <w:rFonts w:hint="eastAsia" w:ascii="宋体" w:hAnsi="宋体" w:eastAsia="宋体" w:cs="宋体"/>
                <w:color w:val="auto"/>
                <w:kern w:val="2"/>
                <w:sz w:val="21"/>
                <w:szCs w:val="21"/>
                <w:highlight w:val="none"/>
                <w:lang w:val="en-US" w:eastAsia="zh-CN" w:bidi="ar-SA"/>
              </w:rPr>
            </w:pPr>
          </w:p>
        </w:tc>
        <w:tc>
          <w:tcPr>
            <w:tcW w:w="803" w:type="dxa"/>
            <w:shd w:val="clear" w:color="auto" w:fill="auto"/>
            <w:noWrap w:val="0"/>
            <w:vAlign w:val="center"/>
          </w:tcPr>
          <w:p w14:paraId="66CE69E6">
            <w:pPr>
              <w:spacing w:line="240" w:lineRule="auto"/>
              <w:jc w:val="center"/>
              <w:rPr>
                <w:rFonts w:hint="eastAsia" w:ascii="宋体" w:hAnsi="宋体" w:eastAsia="宋体" w:cs="宋体"/>
                <w:color w:val="auto"/>
                <w:kern w:val="2"/>
                <w:sz w:val="21"/>
                <w:szCs w:val="21"/>
                <w:highlight w:val="none"/>
                <w:lang w:val="en-US" w:eastAsia="zh-CN" w:bidi="ar-SA"/>
              </w:rPr>
            </w:pPr>
          </w:p>
        </w:tc>
      </w:tr>
      <w:tr w14:paraId="1B84C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65" w:type="dxa"/>
            <w:vMerge w:val="continue"/>
            <w:noWrap w:val="0"/>
            <w:vAlign w:val="center"/>
          </w:tcPr>
          <w:p w14:paraId="2FFC7664">
            <w:pPr>
              <w:spacing w:line="240" w:lineRule="auto"/>
              <w:jc w:val="center"/>
              <w:rPr>
                <w:rFonts w:hint="eastAsia" w:ascii="宋体" w:hAnsi="宋体" w:eastAsia="宋体" w:cs="宋体"/>
                <w:color w:val="auto"/>
                <w:kern w:val="2"/>
                <w:sz w:val="21"/>
                <w:szCs w:val="21"/>
                <w:highlight w:val="none"/>
                <w:lang w:val="en-US" w:eastAsia="zh-CN" w:bidi="ar-SA"/>
              </w:rPr>
            </w:pPr>
          </w:p>
        </w:tc>
        <w:tc>
          <w:tcPr>
            <w:tcW w:w="1168" w:type="dxa"/>
            <w:shd w:val="clear" w:color="auto" w:fill="auto"/>
            <w:noWrap w:val="0"/>
            <w:vAlign w:val="center"/>
          </w:tcPr>
          <w:p w14:paraId="239BD051">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运营方案</w:t>
            </w:r>
          </w:p>
        </w:tc>
        <w:tc>
          <w:tcPr>
            <w:tcW w:w="5522" w:type="dxa"/>
            <w:shd w:val="clear" w:color="auto" w:fill="auto"/>
            <w:noWrap w:val="0"/>
            <w:vAlign w:val="center"/>
          </w:tcPr>
          <w:p w14:paraId="7405D7F0">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根据投标人提供的运营机构设置、运营管理方案、卫生方案等进行打分。</w:t>
            </w:r>
          </w:p>
          <w:p w14:paraId="1FCA2085">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方案全面科学、合理可行的得4.0-6.0分；</w:t>
            </w:r>
          </w:p>
          <w:p w14:paraId="65C9AE3A">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方案较完整，能较好满足招标内容的得2.0-3.9分；</w:t>
            </w:r>
          </w:p>
          <w:p w14:paraId="402D8B7D">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方案片面，仅基本满足采购人需求的得0.1-1.9分；</w:t>
            </w:r>
          </w:p>
          <w:p w14:paraId="6707F346">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803" w:type="dxa"/>
            <w:shd w:val="clear" w:color="auto" w:fill="auto"/>
            <w:noWrap w:val="0"/>
            <w:vAlign w:val="center"/>
          </w:tcPr>
          <w:p w14:paraId="7F2CB053">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803" w:type="dxa"/>
            <w:shd w:val="clear" w:color="auto" w:fill="auto"/>
            <w:noWrap w:val="0"/>
            <w:vAlign w:val="center"/>
          </w:tcPr>
          <w:p w14:paraId="55225224">
            <w:pPr>
              <w:spacing w:line="240" w:lineRule="auto"/>
              <w:jc w:val="center"/>
              <w:rPr>
                <w:rFonts w:hint="eastAsia" w:ascii="宋体" w:hAnsi="宋体" w:eastAsia="宋体" w:cs="宋体"/>
                <w:color w:val="auto"/>
                <w:kern w:val="2"/>
                <w:sz w:val="21"/>
                <w:szCs w:val="21"/>
                <w:highlight w:val="none"/>
                <w:lang w:val="en-US" w:eastAsia="zh-CN" w:bidi="ar-SA"/>
              </w:rPr>
            </w:pPr>
          </w:p>
        </w:tc>
        <w:tc>
          <w:tcPr>
            <w:tcW w:w="803" w:type="dxa"/>
            <w:shd w:val="clear" w:color="auto" w:fill="auto"/>
            <w:noWrap w:val="0"/>
            <w:vAlign w:val="center"/>
          </w:tcPr>
          <w:p w14:paraId="4E19F616">
            <w:pPr>
              <w:spacing w:line="240" w:lineRule="auto"/>
              <w:jc w:val="center"/>
              <w:rPr>
                <w:rFonts w:hint="eastAsia" w:ascii="宋体" w:hAnsi="宋体" w:eastAsia="宋体" w:cs="宋体"/>
                <w:color w:val="auto"/>
                <w:kern w:val="2"/>
                <w:sz w:val="21"/>
                <w:szCs w:val="21"/>
                <w:highlight w:val="none"/>
                <w:lang w:val="en-US" w:eastAsia="zh-CN" w:bidi="ar-SA"/>
              </w:rPr>
            </w:pPr>
          </w:p>
        </w:tc>
      </w:tr>
      <w:tr w14:paraId="32444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65" w:type="dxa"/>
            <w:vMerge w:val="continue"/>
            <w:noWrap w:val="0"/>
            <w:vAlign w:val="center"/>
          </w:tcPr>
          <w:p w14:paraId="3DC58246">
            <w:pPr>
              <w:spacing w:line="240" w:lineRule="auto"/>
              <w:jc w:val="center"/>
              <w:rPr>
                <w:rFonts w:hint="eastAsia" w:ascii="宋体" w:hAnsi="宋体" w:eastAsia="宋体" w:cs="宋体"/>
                <w:color w:val="auto"/>
                <w:kern w:val="2"/>
                <w:sz w:val="21"/>
                <w:szCs w:val="21"/>
                <w:highlight w:val="none"/>
                <w:lang w:val="en-US" w:eastAsia="zh-CN" w:bidi="ar-SA"/>
              </w:rPr>
            </w:pPr>
          </w:p>
        </w:tc>
        <w:tc>
          <w:tcPr>
            <w:tcW w:w="1168" w:type="dxa"/>
            <w:shd w:val="clear" w:color="auto" w:fill="auto"/>
            <w:noWrap w:val="0"/>
            <w:vAlign w:val="center"/>
          </w:tcPr>
          <w:p w14:paraId="2AD43E14">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收运方案</w:t>
            </w:r>
          </w:p>
        </w:tc>
        <w:tc>
          <w:tcPr>
            <w:tcW w:w="5522" w:type="dxa"/>
            <w:shd w:val="clear" w:color="auto" w:fill="auto"/>
            <w:noWrap w:val="0"/>
            <w:vAlign w:val="center"/>
          </w:tcPr>
          <w:p w14:paraId="1A3320EF">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根据投标人提供的收运方案，包括但不限于收运车辆选型配置、收运模式、及时收运措施等进行打分。</w:t>
            </w:r>
          </w:p>
          <w:p w14:paraId="5A4AC421">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方案全面科学、合理可行的得4.0-6.0分；</w:t>
            </w:r>
          </w:p>
          <w:p w14:paraId="1874B77C">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方案较完整，能较好满足招标内容的得2.0-3.9分；</w:t>
            </w:r>
          </w:p>
          <w:p w14:paraId="755F1412">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方案片面，仅基本满足采购人需求的得0.1-1.9分；</w:t>
            </w:r>
          </w:p>
          <w:p w14:paraId="6F0EDF54">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803" w:type="dxa"/>
            <w:shd w:val="clear" w:color="auto" w:fill="auto"/>
            <w:noWrap w:val="0"/>
            <w:vAlign w:val="center"/>
          </w:tcPr>
          <w:p w14:paraId="450A74D1">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803" w:type="dxa"/>
            <w:shd w:val="clear" w:color="auto" w:fill="auto"/>
            <w:noWrap w:val="0"/>
            <w:vAlign w:val="center"/>
          </w:tcPr>
          <w:p w14:paraId="0D1766C6">
            <w:pPr>
              <w:spacing w:line="240" w:lineRule="auto"/>
              <w:jc w:val="center"/>
              <w:rPr>
                <w:rFonts w:hint="eastAsia" w:ascii="宋体" w:hAnsi="宋体" w:eastAsia="宋体" w:cs="宋体"/>
                <w:color w:val="auto"/>
                <w:kern w:val="2"/>
                <w:sz w:val="21"/>
                <w:szCs w:val="21"/>
                <w:highlight w:val="none"/>
                <w:lang w:val="en-US" w:eastAsia="zh-CN" w:bidi="ar-SA"/>
              </w:rPr>
            </w:pPr>
          </w:p>
        </w:tc>
        <w:tc>
          <w:tcPr>
            <w:tcW w:w="803" w:type="dxa"/>
            <w:shd w:val="clear" w:color="auto" w:fill="auto"/>
            <w:noWrap w:val="0"/>
            <w:vAlign w:val="center"/>
          </w:tcPr>
          <w:p w14:paraId="5E772999">
            <w:pPr>
              <w:spacing w:line="240" w:lineRule="auto"/>
              <w:jc w:val="center"/>
              <w:rPr>
                <w:rFonts w:hint="eastAsia" w:ascii="宋体" w:hAnsi="宋体" w:eastAsia="宋体" w:cs="宋体"/>
                <w:color w:val="auto"/>
                <w:kern w:val="2"/>
                <w:sz w:val="21"/>
                <w:szCs w:val="21"/>
                <w:highlight w:val="none"/>
                <w:lang w:val="en-US" w:eastAsia="zh-CN" w:bidi="ar-SA"/>
              </w:rPr>
            </w:pPr>
          </w:p>
        </w:tc>
      </w:tr>
      <w:tr w14:paraId="0F1C8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65" w:type="dxa"/>
            <w:vMerge w:val="continue"/>
            <w:noWrap w:val="0"/>
            <w:vAlign w:val="center"/>
          </w:tcPr>
          <w:p w14:paraId="29F9762B">
            <w:pPr>
              <w:spacing w:line="240" w:lineRule="auto"/>
              <w:jc w:val="center"/>
              <w:rPr>
                <w:rFonts w:hint="eastAsia" w:ascii="宋体" w:hAnsi="宋体" w:eastAsia="宋体" w:cs="宋体"/>
                <w:color w:val="auto"/>
                <w:kern w:val="2"/>
                <w:sz w:val="21"/>
                <w:szCs w:val="21"/>
                <w:highlight w:val="none"/>
                <w:lang w:val="en-US" w:eastAsia="zh-CN" w:bidi="ar-SA"/>
              </w:rPr>
            </w:pPr>
          </w:p>
        </w:tc>
        <w:tc>
          <w:tcPr>
            <w:tcW w:w="1168" w:type="dxa"/>
            <w:noWrap w:val="0"/>
            <w:vAlign w:val="center"/>
          </w:tcPr>
          <w:p w14:paraId="78840F06">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防疫安全管理方案</w:t>
            </w:r>
          </w:p>
        </w:tc>
        <w:tc>
          <w:tcPr>
            <w:tcW w:w="5522" w:type="dxa"/>
            <w:noWrap w:val="0"/>
            <w:vAlign w:val="center"/>
          </w:tcPr>
          <w:p w14:paraId="0EC4052B">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根据投标人提供的生产场区防疫安全管理方案等进行打分。 </w:t>
            </w:r>
          </w:p>
          <w:p w14:paraId="2E2466B8">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方案完善，针对性、操作性强，合理有效的得6.0-8.0分；</w:t>
            </w:r>
          </w:p>
          <w:p w14:paraId="4633743B">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方案较完整，能较好满足招标内容的得3.0-5.9分；</w:t>
            </w:r>
          </w:p>
          <w:p w14:paraId="14DA24C8">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方案片面，仅基本满足采购人需求的得0.1-2.9分；</w:t>
            </w:r>
          </w:p>
          <w:p w14:paraId="608C0926">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803" w:type="dxa"/>
            <w:noWrap w:val="0"/>
            <w:vAlign w:val="center"/>
          </w:tcPr>
          <w:p w14:paraId="5E734D0C">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c>
          <w:tcPr>
            <w:tcW w:w="803" w:type="dxa"/>
            <w:noWrap w:val="0"/>
            <w:vAlign w:val="center"/>
          </w:tcPr>
          <w:p w14:paraId="7A24EAB5">
            <w:pPr>
              <w:spacing w:line="240" w:lineRule="auto"/>
              <w:jc w:val="center"/>
              <w:rPr>
                <w:rFonts w:hint="eastAsia" w:ascii="宋体" w:hAnsi="宋体" w:eastAsia="宋体" w:cs="宋体"/>
                <w:color w:val="auto"/>
                <w:kern w:val="2"/>
                <w:sz w:val="21"/>
                <w:szCs w:val="21"/>
                <w:highlight w:val="none"/>
                <w:lang w:val="en-US" w:eastAsia="zh-CN" w:bidi="ar-SA"/>
              </w:rPr>
            </w:pPr>
          </w:p>
        </w:tc>
        <w:tc>
          <w:tcPr>
            <w:tcW w:w="803" w:type="dxa"/>
            <w:noWrap w:val="0"/>
            <w:vAlign w:val="center"/>
          </w:tcPr>
          <w:p w14:paraId="32A417A9">
            <w:pPr>
              <w:spacing w:line="240" w:lineRule="auto"/>
              <w:jc w:val="center"/>
              <w:rPr>
                <w:rFonts w:hint="eastAsia" w:ascii="宋体" w:hAnsi="宋体" w:eastAsia="宋体" w:cs="宋体"/>
                <w:color w:val="auto"/>
                <w:kern w:val="2"/>
                <w:sz w:val="21"/>
                <w:szCs w:val="21"/>
                <w:highlight w:val="none"/>
                <w:lang w:val="en-US" w:eastAsia="zh-CN" w:bidi="ar-SA"/>
              </w:rPr>
            </w:pPr>
          </w:p>
        </w:tc>
      </w:tr>
      <w:tr w14:paraId="17C2A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5" w:type="dxa"/>
            <w:vMerge w:val="continue"/>
            <w:noWrap w:val="0"/>
            <w:vAlign w:val="center"/>
          </w:tcPr>
          <w:p w14:paraId="51486B34">
            <w:pPr>
              <w:spacing w:line="240" w:lineRule="auto"/>
              <w:jc w:val="center"/>
              <w:rPr>
                <w:rFonts w:hint="eastAsia" w:ascii="宋体" w:hAnsi="宋体" w:eastAsia="宋体" w:cs="宋体"/>
                <w:color w:val="auto"/>
                <w:kern w:val="2"/>
                <w:sz w:val="21"/>
                <w:szCs w:val="21"/>
                <w:highlight w:val="none"/>
                <w:lang w:val="en-US" w:eastAsia="zh-CN" w:bidi="ar-SA"/>
              </w:rPr>
            </w:pPr>
          </w:p>
        </w:tc>
        <w:tc>
          <w:tcPr>
            <w:tcW w:w="1168" w:type="dxa"/>
            <w:noWrap w:val="0"/>
            <w:vAlign w:val="center"/>
          </w:tcPr>
          <w:p w14:paraId="0ABAE893">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设备检修维护方案</w:t>
            </w:r>
          </w:p>
        </w:tc>
        <w:tc>
          <w:tcPr>
            <w:tcW w:w="5522" w:type="dxa"/>
            <w:noWrap w:val="0"/>
            <w:vAlign w:val="center"/>
          </w:tcPr>
          <w:p w14:paraId="136AED70">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根据投标人制定的设备检修方案、设备维护管理方案、日常点检方案、定期检查方案等进行打分。</w:t>
            </w:r>
          </w:p>
          <w:p w14:paraId="55CDAE6F">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方案全面科学、合理可行的得6.0-8.0分；</w:t>
            </w:r>
          </w:p>
          <w:p w14:paraId="3B029080">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方案较完整，能较好满足招标内容的得3.0-5.9分；</w:t>
            </w:r>
          </w:p>
          <w:p w14:paraId="1E10DD1C">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方案片面，仅基本满足采购人需求的得0.1-2.9分；</w:t>
            </w:r>
          </w:p>
          <w:p w14:paraId="733099DF">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803" w:type="dxa"/>
            <w:noWrap w:val="0"/>
            <w:vAlign w:val="center"/>
          </w:tcPr>
          <w:p w14:paraId="29ED3666">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c>
          <w:tcPr>
            <w:tcW w:w="803" w:type="dxa"/>
            <w:noWrap w:val="0"/>
            <w:vAlign w:val="center"/>
          </w:tcPr>
          <w:p w14:paraId="36C16EAA">
            <w:pPr>
              <w:spacing w:line="240" w:lineRule="auto"/>
              <w:jc w:val="center"/>
              <w:rPr>
                <w:rFonts w:hint="eastAsia" w:ascii="宋体" w:hAnsi="宋体" w:eastAsia="宋体" w:cs="宋体"/>
                <w:color w:val="auto"/>
                <w:kern w:val="2"/>
                <w:sz w:val="21"/>
                <w:szCs w:val="21"/>
                <w:highlight w:val="none"/>
                <w:lang w:val="en-US" w:eastAsia="zh-CN" w:bidi="ar-SA"/>
              </w:rPr>
            </w:pPr>
          </w:p>
        </w:tc>
        <w:tc>
          <w:tcPr>
            <w:tcW w:w="803" w:type="dxa"/>
            <w:noWrap w:val="0"/>
            <w:vAlign w:val="center"/>
          </w:tcPr>
          <w:p w14:paraId="20BFBDDE">
            <w:pPr>
              <w:spacing w:line="240" w:lineRule="auto"/>
              <w:jc w:val="center"/>
              <w:rPr>
                <w:rFonts w:hint="eastAsia" w:ascii="宋体" w:hAnsi="宋体" w:eastAsia="宋体" w:cs="宋体"/>
                <w:color w:val="auto"/>
                <w:kern w:val="2"/>
                <w:sz w:val="21"/>
                <w:szCs w:val="21"/>
                <w:highlight w:val="none"/>
                <w:lang w:val="en-US" w:eastAsia="zh-CN" w:bidi="ar-SA"/>
              </w:rPr>
            </w:pPr>
          </w:p>
        </w:tc>
      </w:tr>
      <w:tr w14:paraId="08124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65" w:type="dxa"/>
            <w:vMerge w:val="continue"/>
            <w:noWrap w:val="0"/>
            <w:vAlign w:val="center"/>
          </w:tcPr>
          <w:p w14:paraId="02FEA0FA">
            <w:pPr>
              <w:spacing w:line="240" w:lineRule="auto"/>
              <w:jc w:val="center"/>
              <w:rPr>
                <w:rFonts w:hint="eastAsia" w:ascii="宋体" w:hAnsi="宋体" w:eastAsia="宋体" w:cs="宋体"/>
                <w:color w:val="auto"/>
                <w:kern w:val="2"/>
                <w:sz w:val="21"/>
                <w:szCs w:val="21"/>
                <w:highlight w:val="none"/>
                <w:lang w:val="en-US" w:eastAsia="zh-CN" w:bidi="ar-SA"/>
              </w:rPr>
            </w:pPr>
          </w:p>
        </w:tc>
        <w:tc>
          <w:tcPr>
            <w:tcW w:w="1168" w:type="dxa"/>
            <w:noWrap w:val="0"/>
            <w:vAlign w:val="center"/>
          </w:tcPr>
          <w:p w14:paraId="13955EB3">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紧急方案措施</w:t>
            </w:r>
          </w:p>
        </w:tc>
        <w:tc>
          <w:tcPr>
            <w:tcW w:w="5522" w:type="dxa"/>
            <w:noWrap w:val="0"/>
            <w:vAlign w:val="center"/>
          </w:tcPr>
          <w:p w14:paraId="1F38B060">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根据投标人提供的应急预案，从大面积大量病害动物、传播性强的病害动物应急处理方案、处理厂设备故障应急处理方案等进行打分。 </w:t>
            </w:r>
          </w:p>
          <w:p w14:paraId="63EA8949">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提供的应急预案全面，提出的各项措施科学合理的得6.0-8.0分；</w:t>
            </w:r>
          </w:p>
          <w:p w14:paraId="145828E0">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提供的应急预案较完整，提出的各项措施较完善、合理的得3.0-5.9分；</w:t>
            </w:r>
          </w:p>
          <w:p w14:paraId="4092A4C0">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提供的应急预案片面，提出的各项措施较不合理的得0.1-2.9分；</w:t>
            </w:r>
          </w:p>
          <w:p w14:paraId="51E52555">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803" w:type="dxa"/>
            <w:noWrap w:val="0"/>
            <w:vAlign w:val="center"/>
          </w:tcPr>
          <w:p w14:paraId="30E099B9">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c>
          <w:tcPr>
            <w:tcW w:w="803" w:type="dxa"/>
            <w:noWrap w:val="0"/>
            <w:vAlign w:val="center"/>
          </w:tcPr>
          <w:p w14:paraId="25E1F6FE">
            <w:pPr>
              <w:spacing w:line="240" w:lineRule="auto"/>
              <w:jc w:val="center"/>
              <w:rPr>
                <w:rFonts w:hint="eastAsia" w:ascii="宋体" w:hAnsi="宋体" w:eastAsia="宋体" w:cs="宋体"/>
                <w:color w:val="auto"/>
                <w:kern w:val="2"/>
                <w:sz w:val="21"/>
                <w:szCs w:val="21"/>
                <w:highlight w:val="none"/>
                <w:lang w:val="en-US" w:eastAsia="zh-CN" w:bidi="ar-SA"/>
              </w:rPr>
            </w:pPr>
          </w:p>
        </w:tc>
        <w:tc>
          <w:tcPr>
            <w:tcW w:w="803" w:type="dxa"/>
            <w:noWrap w:val="0"/>
            <w:vAlign w:val="center"/>
          </w:tcPr>
          <w:p w14:paraId="58BDFE81">
            <w:pPr>
              <w:spacing w:line="240" w:lineRule="auto"/>
              <w:jc w:val="center"/>
              <w:rPr>
                <w:rFonts w:hint="eastAsia" w:ascii="宋体" w:hAnsi="宋体" w:eastAsia="宋体" w:cs="宋体"/>
                <w:color w:val="auto"/>
                <w:kern w:val="2"/>
                <w:sz w:val="21"/>
                <w:szCs w:val="21"/>
                <w:highlight w:val="none"/>
                <w:lang w:val="en-US" w:eastAsia="zh-CN" w:bidi="ar-SA"/>
              </w:rPr>
            </w:pPr>
          </w:p>
        </w:tc>
      </w:tr>
      <w:tr w14:paraId="6C1F2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65" w:type="dxa"/>
            <w:vMerge w:val="continue"/>
            <w:noWrap w:val="0"/>
            <w:vAlign w:val="center"/>
          </w:tcPr>
          <w:p w14:paraId="606B47F7">
            <w:pPr>
              <w:spacing w:line="240" w:lineRule="auto"/>
              <w:jc w:val="center"/>
              <w:rPr>
                <w:rFonts w:hint="eastAsia" w:ascii="宋体" w:hAnsi="宋体" w:eastAsia="宋体" w:cs="宋体"/>
                <w:color w:val="auto"/>
                <w:kern w:val="2"/>
                <w:sz w:val="21"/>
                <w:szCs w:val="21"/>
                <w:highlight w:val="none"/>
                <w:lang w:val="en-US" w:eastAsia="zh-CN" w:bidi="ar-SA"/>
              </w:rPr>
            </w:pPr>
          </w:p>
        </w:tc>
        <w:tc>
          <w:tcPr>
            <w:tcW w:w="1168" w:type="dxa"/>
            <w:noWrap w:val="0"/>
            <w:vAlign w:val="center"/>
          </w:tcPr>
          <w:p w14:paraId="198F142A">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环境保护方案</w:t>
            </w:r>
          </w:p>
        </w:tc>
        <w:tc>
          <w:tcPr>
            <w:tcW w:w="5522" w:type="dxa"/>
            <w:noWrap w:val="0"/>
            <w:vAlign w:val="center"/>
          </w:tcPr>
          <w:p w14:paraId="4C69A584">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根据投标人提供的废气、废水处理方案等进行打分。</w:t>
            </w:r>
          </w:p>
          <w:p w14:paraId="4E657DB1">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提出的各项处理措施科学合理的得6.0-8.0分；</w:t>
            </w:r>
          </w:p>
          <w:p w14:paraId="61A86FAC">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提出的各项处理措施较完善、合理的得3.0-5.9分；</w:t>
            </w:r>
          </w:p>
          <w:p w14:paraId="1D06A289">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提出的各项处理措施较不合理的得0.1-2.9分；</w:t>
            </w:r>
          </w:p>
          <w:p w14:paraId="2872D5F2">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803" w:type="dxa"/>
            <w:noWrap w:val="0"/>
            <w:vAlign w:val="center"/>
          </w:tcPr>
          <w:p w14:paraId="21FEDE87">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c>
          <w:tcPr>
            <w:tcW w:w="803" w:type="dxa"/>
            <w:noWrap w:val="0"/>
            <w:vAlign w:val="center"/>
          </w:tcPr>
          <w:p w14:paraId="70E0C868">
            <w:pPr>
              <w:spacing w:line="240" w:lineRule="auto"/>
              <w:jc w:val="center"/>
              <w:rPr>
                <w:rFonts w:hint="eastAsia" w:ascii="宋体" w:hAnsi="宋体" w:eastAsia="宋体" w:cs="宋体"/>
                <w:color w:val="auto"/>
                <w:kern w:val="2"/>
                <w:sz w:val="21"/>
                <w:szCs w:val="21"/>
                <w:highlight w:val="none"/>
                <w:lang w:val="en-US" w:eastAsia="zh-CN" w:bidi="ar-SA"/>
              </w:rPr>
            </w:pPr>
          </w:p>
        </w:tc>
        <w:tc>
          <w:tcPr>
            <w:tcW w:w="803" w:type="dxa"/>
            <w:noWrap w:val="0"/>
            <w:vAlign w:val="center"/>
          </w:tcPr>
          <w:p w14:paraId="55C1960A">
            <w:pPr>
              <w:spacing w:line="240" w:lineRule="auto"/>
              <w:jc w:val="center"/>
              <w:rPr>
                <w:rFonts w:hint="eastAsia" w:ascii="宋体" w:hAnsi="宋体" w:eastAsia="宋体" w:cs="宋体"/>
                <w:color w:val="auto"/>
                <w:kern w:val="2"/>
                <w:sz w:val="21"/>
                <w:szCs w:val="21"/>
                <w:highlight w:val="none"/>
                <w:lang w:val="en-US" w:eastAsia="zh-CN" w:bidi="ar-SA"/>
              </w:rPr>
            </w:pPr>
          </w:p>
        </w:tc>
      </w:tr>
      <w:tr w14:paraId="76850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65" w:type="dxa"/>
            <w:vMerge w:val="continue"/>
            <w:noWrap w:val="0"/>
            <w:vAlign w:val="center"/>
          </w:tcPr>
          <w:p w14:paraId="1013E10D">
            <w:pPr>
              <w:spacing w:line="240" w:lineRule="auto"/>
              <w:jc w:val="center"/>
              <w:rPr>
                <w:rFonts w:hint="eastAsia" w:ascii="宋体" w:hAnsi="宋体" w:eastAsia="宋体" w:cs="宋体"/>
                <w:color w:val="auto"/>
                <w:kern w:val="2"/>
                <w:sz w:val="21"/>
                <w:szCs w:val="21"/>
                <w:highlight w:val="none"/>
                <w:lang w:val="en-US" w:eastAsia="zh-CN" w:bidi="ar-SA"/>
              </w:rPr>
            </w:pPr>
          </w:p>
        </w:tc>
        <w:tc>
          <w:tcPr>
            <w:tcW w:w="1168" w:type="dxa"/>
            <w:shd w:val="clear" w:color="auto" w:fill="auto"/>
            <w:noWrap w:val="0"/>
            <w:vAlign w:val="center"/>
          </w:tcPr>
          <w:p w14:paraId="1DDFC3FE">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环保、再利用方案</w:t>
            </w:r>
          </w:p>
        </w:tc>
        <w:tc>
          <w:tcPr>
            <w:tcW w:w="5522" w:type="dxa"/>
            <w:shd w:val="clear" w:color="auto" w:fill="auto"/>
            <w:noWrap w:val="0"/>
            <w:vAlign w:val="center"/>
          </w:tcPr>
          <w:p w14:paraId="619932EC">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根据投标人提供的处理后产出物的资源化利用方案进行打分。</w:t>
            </w:r>
          </w:p>
          <w:p w14:paraId="7793432F">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方案全面科学、合理可行的得4.0-5.0分；</w:t>
            </w:r>
          </w:p>
          <w:p w14:paraId="0B9E26E9">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方案较完整，能较好满足招标内容的得2.0-3.9分；</w:t>
            </w:r>
          </w:p>
          <w:p w14:paraId="14D22161">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方案片面，仅基本满足采购人需求的得0.1-1.9分；</w:t>
            </w:r>
          </w:p>
          <w:p w14:paraId="392DBFE1">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未提及此项不得分。</w:t>
            </w:r>
          </w:p>
        </w:tc>
        <w:tc>
          <w:tcPr>
            <w:tcW w:w="803" w:type="dxa"/>
            <w:shd w:val="clear" w:color="auto" w:fill="auto"/>
            <w:noWrap w:val="0"/>
            <w:vAlign w:val="center"/>
          </w:tcPr>
          <w:p w14:paraId="10E1BD42">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803" w:type="dxa"/>
            <w:shd w:val="clear" w:color="auto" w:fill="auto"/>
            <w:noWrap w:val="0"/>
            <w:vAlign w:val="center"/>
          </w:tcPr>
          <w:p w14:paraId="770C0670">
            <w:pPr>
              <w:spacing w:line="240" w:lineRule="auto"/>
              <w:jc w:val="center"/>
              <w:rPr>
                <w:rFonts w:hint="eastAsia" w:ascii="宋体" w:hAnsi="宋体" w:eastAsia="宋体" w:cs="宋体"/>
                <w:color w:val="auto"/>
                <w:kern w:val="2"/>
                <w:sz w:val="21"/>
                <w:szCs w:val="21"/>
                <w:highlight w:val="none"/>
                <w:lang w:val="en-US" w:eastAsia="zh-CN" w:bidi="ar-SA"/>
              </w:rPr>
            </w:pPr>
          </w:p>
        </w:tc>
        <w:tc>
          <w:tcPr>
            <w:tcW w:w="803" w:type="dxa"/>
            <w:shd w:val="clear" w:color="auto" w:fill="auto"/>
            <w:noWrap w:val="0"/>
            <w:vAlign w:val="center"/>
          </w:tcPr>
          <w:p w14:paraId="41B1369C">
            <w:pPr>
              <w:spacing w:line="240" w:lineRule="auto"/>
              <w:jc w:val="center"/>
              <w:rPr>
                <w:rFonts w:hint="eastAsia" w:ascii="宋体" w:hAnsi="宋体" w:eastAsia="宋体" w:cs="宋体"/>
                <w:color w:val="auto"/>
                <w:kern w:val="2"/>
                <w:sz w:val="21"/>
                <w:szCs w:val="21"/>
                <w:highlight w:val="none"/>
                <w:lang w:val="en-US" w:eastAsia="zh-CN" w:bidi="ar-SA"/>
              </w:rPr>
            </w:pPr>
          </w:p>
        </w:tc>
      </w:tr>
      <w:tr w14:paraId="0DD9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265" w:type="dxa"/>
            <w:vMerge w:val="continue"/>
            <w:noWrap w:val="0"/>
            <w:vAlign w:val="center"/>
          </w:tcPr>
          <w:p w14:paraId="0944291F">
            <w:pPr>
              <w:spacing w:line="240" w:lineRule="auto"/>
              <w:jc w:val="center"/>
              <w:rPr>
                <w:rFonts w:hint="eastAsia" w:ascii="宋体" w:hAnsi="宋体" w:eastAsia="宋体" w:cs="宋体"/>
                <w:color w:val="auto"/>
                <w:kern w:val="2"/>
                <w:sz w:val="21"/>
                <w:szCs w:val="21"/>
                <w:highlight w:val="none"/>
                <w:lang w:val="en-US" w:eastAsia="zh-CN" w:bidi="ar-SA"/>
              </w:rPr>
            </w:pPr>
          </w:p>
        </w:tc>
        <w:tc>
          <w:tcPr>
            <w:tcW w:w="1168" w:type="dxa"/>
            <w:noWrap w:val="0"/>
            <w:vAlign w:val="center"/>
          </w:tcPr>
          <w:p w14:paraId="0ECE5E32">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监控管理方案</w:t>
            </w:r>
          </w:p>
        </w:tc>
        <w:tc>
          <w:tcPr>
            <w:tcW w:w="5522" w:type="dxa"/>
            <w:noWrap w:val="0"/>
            <w:vAlign w:val="center"/>
          </w:tcPr>
          <w:p w14:paraId="71255A28">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根据投标人提供的病死动物处理监控管理方案进行打分。</w:t>
            </w:r>
          </w:p>
          <w:p w14:paraId="1336481C">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方案全面科学、合理可行的得4.0-6.0分；</w:t>
            </w:r>
          </w:p>
          <w:p w14:paraId="7399B021">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方案较完整，能较好满足招标内容的得2.0-3.9分；</w:t>
            </w:r>
          </w:p>
          <w:p w14:paraId="50C62BA2">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方案片面，仅基本满足采购人需求的得0.1-1.9分；</w:t>
            </w:r>
          </w:p>
          <w:p w14:paraId="290A38A2">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803" w:type="dxa"/>
            <w:noWrap w:val="0"/>
            <w:vAlign w:val="center"/>
          </w:tcPr>
          <w:p w14:paraId="22AD581F">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803" w:type="dxa"/>
            <w:noWrap w:val="0"/>
            <w:vAlign w:val="center"/>
          </w:tcPr>
          <w:p w14:paraId="3B9E0B1C">
            <w:pPr>
              <w:spacing w:line="240" w:lineRule="auto"/>
              <w:jc w:val="center"/>
              <w:rPr>
                <w:rFonts w:hint="eastAsia" w:ascii="宋体" w:hAnsi="宋体" w:eastAsia="宋体" w:cs="宋体"/>
                <w:color w:val="auto"/>
                <w:kern w:val="2"/>
                <w:sz w:val="21"/>
                <w:szCs w:val="21"/>
                <w:highlight w:val="none"/>
                <w:lang w:val="en-US" w:eastAsia="zh-CN" w:bidi="ar-SA"/>
              </w:rPr>
            </w:pPr>
          </w:p>
        </w:tc>
        <w:tc>
          <w:tcPr>
            <w:tcW w:w="803" w:type="dxa"/>
            <w:noWrap w:val="0"/>
            <w:vAlign w:val="center"/>
          </w:tcPr>
          <w:p w14:paraId="42B47F48">
            <w:pPr>
              <w:spacing w:line="240" w:lineRule="auto"/>
              <w:jc w:val="center"/>
              <w:rPr>
                <w:rFonts w:hint="eastAsia" w:ascii="宋体" w:hAnsi="宋体" w:eastAsia="宋体" w:cs="宋体"/>
                <w:color w:val="auto"/>
                <w:kern w:val="2"/>
                <w:sz w:val="21"/>
                <w:szCs w:val="21"/>
                <w:highlight w:val="none"/>
                <w:lang w:val="en-US" w:eastAsia="zh-CN" w:bidi="ar-SA"/>
              </w:rPr>
            </w:pPr>
          </w:p>
        </w:tc>
      </w:tr>
    </w:tbl>
    <w:p w14:paraId="0996FB04">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0BF6908">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7</w:t>
      </w:r>
      <w:r>
        <w:rPr>
          <w:rFonts w:hint="eastAsia" w:ascii="宋体" w:hAnsi="宋体" w:eastAsia="宋体" w:cs="宋体"/>
          <w:b/>
          <w:color w:val="auto"/>
          <w:sz w:val="28"/>
          <w:highlight w:val="none"/>
        </w:rPr>
        <w:t xml:space="preserve">       </w:t>
      </w:r>
    </w:p>
    <w:p w14:paraId="6EE53ADA">
      <w:pPr>
        <w:pStyle w:val="40"/>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kern w:val="2"/>
          <w:sz w:val="32"/>
          <w:szCs w:val="32"/>
          <w:highlight w:val="none"/>
          <w:lang w:val="en-US" w:eastAsia="zh-CN" w:bidi="ar-SA"/>
        </w:rPr>
        <w:t>供应商基本情况表</w:t>
      </w:r>
    </w:p>
    <w:tbl>
      <w:tblPr>
        <w:tblStyle w:val="21"/>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69"/>
        <w:gridCol w:w="709"/>
        <w:gridCol w:w="286"/>
        <w:gridCol w:w="935"/>
        <w:gridCol w:w="112"/>
        <w:gridCol w:w="1093"/>
        <w:gridCol w:w="325"/>
        <w:gridCol w:w="1276"/>
        <w:gridCol w:w="400"/>
        <w:gridCol w:w="1218"/>
        <w:gridCol w:w="933"/>
      </w:tblGrid>
      <w:tr w14:paraId="1B26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7" w:type="dxa"/>
            <w:noWrap w:val="0"/>
            <w:vAlign w:val="top"/>
          </w:tcPr>
          <w:p w14:paraId="4FD01416">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804" w:type="dxa"/>
            <w:gridSpan w:val="6"/>
            <w:noWrap w:val="0"/>
            <w:vAlign w:val="top"/>
          </w:tcPr>
          <w:p w14:paraId="556974EA">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001" w:type="dxa"/>
            <w:gridSpan w:val="3"/>
            <w:noWrap w:val="0"/>
            <w:vAlign w:val="top"/>
          </w:tcPr>
          <w:p w14:paraId="1C14AFC8">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lang w:eastAsia="zh-CN"/>
              </w:rPr>
              <w:t>法定代表人</w:t>
            </w:r>
            <w:r>
              <w:rPr>
                <w:rFonts w:hint="eastAsia" w:ascii="宋体" w:hAnsi="宋体" w:eastAsia="宋体" w:cs="宋体"/>
                <w:bCs/>
                <w:color w:val="auto"/>
                <w:spacing w:val="16"/>
                <w:sz w:val="21"/>
                <w:szCs w:val="21"/>
                <w:highlight w:val="none"/>
              </w:rPr>
              <w:t>代表</w:t>
            </w:r>
          </w:p>
        </w:tc>
        <w:tc>
          <w:tcPr>
            <w:tcW w:w="2151" w:type="dxa"/>
            <w:gridSpan w:val="2"/>
            <w:noWrap w:val="0"/>
            <w:vAlign w:val="top"/>
          </w:tcPr>
          <w:p w14:paraId="1E64C76C">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5177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7" w:type="dxa"/>
            <w:noWrap w:val="0"/>
            <w:vAlign w:val="top"/>
          </w:tcPr>
          <w:p w14:paraId="6BA66526">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804" w:type="dxa"/>
            <w:gridSpan w:val="6"/>
            <w:tcBorders>
              <w:bottom w:val="single" w:color="auto" w:sz="4" w:space="0"/>
            </w:tcBorders>
            <w:noWrap w:val="0"/>
            <w:vAlign w:val="top"/>
          </w:tcPr>
          <w:p w14:paraId="34FA619C">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1E0486C6">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noWrap w:val="0"/>
            <w:vAlign w:val="top"/>
          </w:tcPr>
          <w:p w14:paraId="13530C05">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092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7" w:type="dxa"/>
            <w:tcBorders>
              <w:bottom w:val="single" w:color="auto" w:sz="4" w:space="0"/>
            </w:tcBorders>
            <w:noWrap w:val="0"/>
            <w:vAlign w:val="top"/>
          </w:tcPr>
          <w:p w14:paraId="2CEB975D">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69" w:type="dxa"/>
            <w:tcBorders>
              <w:bottom w:val="single" w:color="auto" w:sz="4" w:space="0"/>
            </w:tcBorders>
            <w:noWrap w:val="0"/>
            <w:vAlign w:val="top"/>
          </w:tcPr>
          <w:p w14:paraId="434ACE09">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395B81C0">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140" w:type="dxa"/>
            <w:gridSpan w:val="3"/>
            <w:tcBorders>
              <w:bottom w:val="single" w:color="auto" w:sz="4" w:space="0"/>
            </w:tcBorders>
            <w:noWrap w:val="0"/>
            <w:vAlign w:val="top"/>
          </w:tcPr>
          <w:p w14:paraId="04962417">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1E320E71">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31C6C6DD">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noWrap w:val="0"/>
            <w:vAlign w:val="top"/>
          </w:tcPr>
          <w:p w14:paraId="73C0C6A2">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r>
      <w:tr w14:paraId="5488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Merge w:val="restart"/>
            <w:noWrap w:val="0"/>
            <w:vAlign w:val="top"/>
          </w:tcPr>
          <w:p w14:paraId="0064FC87">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69" w:type="dxa"/>
            <w:vMerge w:val="restart"/>
            <w:tcBorders>
              <w:top w:val="nil"/>
            </w:tcBorders>
            <w:noWrap w:val="0"/>
            <w:vAlign w:val="top"/>
          </w:tcPr>
          <w:p w14:paraId="558FDF5B">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top w:val="nil"/>
              <w:bottom w:val="single" w:color="auto" w:sz="4" w:space="0"/>
            </w:tcBorders>
            <w:noWrap w:val="0"/>
            <w:vAlign w:val="top"/>
          </w:tcPr>
          <w:p w14:paraId="11856F0E">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140" w:type="dxa"/>
            <w:gridSpan w:val="3"/>
            <w:tcBorders>
              <w:top w:val="nil"/>
              <w:bottom w:val="single" w:color="auto" w:sz="4" w:space="0"/>
            </w:tcBorders>
            <w:noWrap w:val="0"/>
            <w:vAlign w:val="top"/>
          </w:tcPr>
          <w:p w14:paraId="1AF78735">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37F8B5E1">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restart"/>
            <w:noWrap w:val="0"/>
            <w:vAlign w:val="top"/>
          </w:tcPr>
          <w:p w14:paraId="25693C62">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noWrap w:val="0"/>
            <w:vAlign w:val="top"/>
          </w:tcPr>
          <w:p w14:paraId="0265BFB2">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6DC6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7" w:type="dxa"/>
            <w:vMerge w:val="continue"/>
            <w:tcBorders>
              <w:bottom w:val="single" w:color="auto" w:sz="4" w:space="0"/>
            </w:tcBorders>
            <w:noWrap w:val="0"/>
            <w:vAlign w:val="top"/>
          </w:tcPr>
          <w:p w14:paraId="411AF875">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vMerge w:val="continue"/>
            <w:tcBorders>
              <w:bottom w:val="single" w:color="auto" w:sz="4" w:space="0"/>
            </w:tcBorders>
            <w:noWrap w:val="0"/>
            <w:vAlign w:val="top"/>
          </w:tcPr>
          <w:p w14:paraId="40A69DC9">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7A549B72">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140" w:type="dxa"/>
            <w:gridSpan w:val="3"/>
            <w:tcBorders>
              <w:bottom w:val="single" w:color="auto" w:sz="4" w:space="0"/>
            </w:tcBorders>
            <w:noWrap w:val="0"/>
            <w:vAlign w:val="top"/>
          </w:tcPr>
          <w:p w14:paraId="0229018B">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continue"/>
            <w:tcBorders>
              <w:bottom w:val="single" w:color="auto" w:sz="4" w:space="0"/>
            </w:tcBorders>
            <w:noWrap w:val="0"/>
            <w:vAlign w:val="top"/>
          </w:tcPr>
          <w:p w14:paraId="13732629">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151" w:type="dxa"/>
            <w:gridSpan w:val="2"/>
            <w:vMerge w:val="continue"/>
            <w:tcBorders>
              <w:bottom w:val="single" w:color="auto" w:sz="4" w:space="0"/>
            </w:tcBorders>
            <w:noWrap w:val="0"/>
            <w:vAlign w:val="top"/>
          </w:tcPr>
          <w:p w14:paraId="25A7012B">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58DB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7" w:type="dxa"/>
            <w:vMerge w:val="restart"/>
            <w:tcBorders>
              <w:top w:val="single" w:color="auto" w:sz="4" w:space="0"/>
            </w:tcBorders>
            <w:noWrap w:val="0"/>
            <w:vAlign w:val="top"/>
          </w:tcPr>
          <w:p w14:paraId="0CC0E485">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05F5D446">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604EC903">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3FABFA86">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64AAA17A">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69" w:type="dxa"/>
            <w:tcBorders>
              <w:top w:val="single" w:color="auto" w:sz="4" w:space="0"/>
            </w:tcBorders>
            <w:noWrap w:val="0"/>
            <w:vAlign w:val="top"/>
          </w:tcPr>
          <w:p w14:paraId="04B00B9B">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95" w:type="dxa"/>
            <w:gridSpan w:val="2"/>
            <w:tcBorders>
              <w:top w:val="single" w:color="auto" w:sz="4" w:space="0"/>
            </w:tcBorders>
            <w:noWrap w:val="0"/>
            <w:vAlign w:val="top"/>
          </w:tcPr>
          <w:p w14:paraId="456A52F4">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35" w:type="dxa"/>
            <w:tcBorders>
              <w:top w:val="single" w:color="auto" w:sz="4" w:space="0"/>
            </w:tcBorders>
            <w:noWrap w:val="0"/>
            <w:vAlign w:val="top"/>
          </w:tcPr>
          <w:p w14:paraId="3ACEC8FC">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single" w:color="auto" w:sz="4" w:space="0"/>
            </w:tcBorders>
            <w:noWrap w:val="0"/>
            <w:vAlign w:val="top"/>
          </w:tcPr>
          <w:p w14:paraId="6EAF18A9">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02FA0729">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0EEEB0A1">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Borders>
              <w:top w:val="single" w:color="auto" w:sz="4" w:space="0"/>
            </w:tcBorders>
            <w:noWrap w:val="0"/>
            <w:vAlign w:val="top"/>
          </w:tcPr>
          <w:p w14:paraId="7FCABA69">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Borders>
              <w:top w:val="single" w:color="auto" w:sz="4" w:space="0"/>
            </w:tcBorders>
            <w:noWrap w:val="0"/>
            <w:vAlign w:val="top"/>
          </w:tcPr>
          <w:p w14:paraId="61881275">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41AD5E71">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097E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7" w:type="dxa"/>
            <w:vMerge w:val="continue"/>
            <w:noWrap w:val="0"/>
            <w:vAlign w:val="top"/>
          </w:tcPr>
          <w:p w14:paraId="2B389D64">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4D2920C9">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95" w:type="dxa"/>
            <w:gridSpan w:val="2"/>
            <w:noWrap w:val="0"/>
            <w:vAlign w:val="top"/>
          </w:tcPr>
          <w:p w14:paraId="2F04BFE7">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935" w:type="dxa"/>
            <w:noWrap w:val="0"/>
            <w:vAlign w:val="top"/>
          </w:tcPr>
          <w:p w14:paraId="4C69181E">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noWrap w:val="0"/>
            <w:vAlign w:val="top"/>
          </w:tcPr>
          <w:p w14:paraId="4B4014A2">
            <w:pPr>
              <w:pStyle w:val="40"/>
              <w:keepNext w:val="0"/>
              <w:keepLines w:val="0"/>
              <w:pageBreakBefore w:val="0"/>
              <w:shd w:val="clear" w:color="auto" w:fill="FFFFFF"/>
              <w:kinsoku/>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平方米 </w:t>
            </w:r>
          </w:p>
          <w:p w14:paraId="05382DEB">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noWrap w:val="0"/>
            <w:vAlign w:val="top"/>
          </w:tcPr>
          <w:p w14:paraId="20D0334E">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noWrap w:val="0"/>
            <w:vAlign w:val="top"/>
          </w:tcPr>
          <w:p w14:paraId="76C6203B">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r>
      <w:tr w14:paraId="2C7F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7" w:type="dxa"/>
            <w:vMerge w:val="continue"/>
            <w:noWrap w:val="0"/>
            <w:vAlign w:val="top"/>
          </w:tcPr>
          <w:p w14:paraId="25F842AF">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4AEC4E97">
            <w:pPr>
              <w:pStyle w:val="40"/>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95" w:type="dxa"/>
            <w:gridSpan w:val="2"/>
            <w:noWrap w:val="0"/>
            <w:vAlign w:val="top"/>
          </w:tcPr>
          <w:p w14:paraId="1D57FEBD">
            <w:pPr>
              <w:pStyle w:val="40"/>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p>
        </w:tc>
        <w:tc>
          <w:tcPr>
            <w:tcW w:w="935" w:type="dxa"/>
            <w:noWrap w:val="0"/>
            <w:vAlign w:val="top"/>
          </w:tcPr>
          <w:p w14:paraId="29162F37">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noWrap w:val="0"/>
            <w:vAlign w:val="top"/>
          </w:tcPr>
          <w:p w14:paraId="40B1E4CD">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kern w:val="0"/>
                <w:sz w:val="21"/>
                <w:szCs w:val="21"/>
                <w:highlight w:val="none"/>
              </w:rPr>
            </w:pPr>
          </w:p>
          <w:p w14:paraId="448031CA">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218" w:type="dxa"/>
            <w:noWrap w:val="0"/>
            <w:vAlign w:val="top"/>
          </w:tcPr>
          <w:p w14:paraId="42F0A7DB">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noWrap w:val="0"/>
            <w:vAlign w:val="top"/>
          </w:tcPr>
          <w:p w14:paraId="3C6C4AFC">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16F8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7" w:type="dxa"/>
            <w:vMerge w:val="continue"/>
            <w:noWrap w:val="0"/>
            <w:vAlign w:val="top"/>
          </w:tcPr>
          <w:p w14:paraId="01E8A703">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170A5CE9">
            <w:pPr>
              <w:pStyle w:val="40"/>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287" w:type="dxa"/>
            <w:gridSpan w:val="10"/>
            <w:noWrap w:val="0"/>
            <w:vAlign w:val="top"/>
          </w:tcPr>
          <w:p w14:paraId="1D95BC02">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11DB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7" w:type="dxa"/>
            <w:vMerge w:val="continue"/>
            <w:noWrap w:val="0"/>
            <w:vAlign w:val="top"/>
          </w:tcPr>
          <w:p w14:paraId="2B78BFF6">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7956" w:type="dxa"/>
            <w:gridSpan w:val="11"/>
            <w:noWrap w:val="0"/>
            <w:vAlign w:val="top"/>
          </w:tcPr>
          <w:p w14:paraId="7907743F">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3CF1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7" w:type="dxa"/>
            <w:vMerge w:val="restart"/>
            <w:noWrap w:val="0"/>
            <w:vAlign w:val="top"/>
          </w:tcPr>
          <w:p w14:paraId="0715AFD5">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0F0AAB54">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378" w:type="dxa"/>
            <w:gridSpan w:val="2"/>
            <w:vMerge w:val="restart"/>
            <w:noWrap w:val="0"/>
            <w:vAlign w:val="top"/>
          </w:tcPr>
          <w:p w14:paraId="2FD1F81D">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1333" w:type="dxa"/>
            <w:gridSpan w:val="3"/>
            <w:noWrap w:val="0"/>
            <w:vAlign w:val="top"/>
          </w:tcPr>
          <w:p w14:paraId="15FDE9C8">
            <w:pPr>
              <w:pStyle w:val="40"/>
              <w:keepNext w:val="0"/>
              <w:keepLines w:val="0"/>
              <w:pageBreakBefore w:val="0"/>
              <w:shd w:val="clear" w:color="auto" w:fill="FFFFFF"/>
              <w:kinsoku/>
              <w:overflowPunct/>
              <w:topLinePunct w:val="0"/>
              <w:bidi w:val="0"/>
              <w:spacing w:line="360" w:lineRule="auto"/>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noWrap w:val="0"/>
            <w:vAlign w:val="top"/>
          </w:tcPr>
          <w:p w14:paraId="398A48D4">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noWrap w:val="0"/>
            <w:vAlign w:val="top"/>
          </w:tcPr>
          <w:p w14:paraId="243E3708">
            <w:pPr>
              <w:pStyle w:val="40"/>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noWrap w:val="0"/>
            <w:vAlign w:val="top"/>
          </w:tcPr>
          <w:p w14:paraId="5D387C43">
            <w:pPr>
              <w:pStyle w:val="40"/>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noWrap w:val="0"/>
            <w:vAlign w:val="top"/>
          </w:tcPr>
          <w:p w14:paraId="79D64F0D">
            <w:pPr>
              <w:pStyle w:val="40"/>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01AB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noWrap w:val="0"/>
            <w:vAlign w:val="top"/>
          </w:tcPr>
          <w:p w14:paraId="333C463C">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378" w:type="dxa"/>
            <w:gridSpan w:val="2"/>
            <w:vMerge w:val="continue"/>
            <w:noWrap w:val="0"/>
            <w:vAlign w:val="top"/>
          </w:tcPr>
          <w:p w14:paraId="0A54616B">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33" w:type="dxa"/>
            <w:gridSpan w:val="3"/>
            <w:noWrap w:val="0"/>
            <w:vAlign w:val="top"/>
          </w:tcPr>
          <w:p w14:paraId="4F860265">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418" w:type="dxa"/>
            <w:gridSpan w:val="2"/>
            <w:noWrap w:val="0"/>
            <w:vAlign w:val="top"/>
          </w:tcPr>
          <w:p w14:paraId="09183583">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276" w:type="dxa"/>
            <w:noWrap w:val="0"/>
            <w:vAlign w:val="top"/>
          </w:tcPr>
          <w:p w14:paraId="68F7151F">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551" w:type="dxa"/>
            <w:gridSpan w:val="3"/>
            <w:noWrap w:val="0"/>
            <w:vAlign w:val="top"/>
          </w:tcPr>
          <w:p w14:paraId="3991643A">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675F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7" w:type="dxa"/>
            <w:vMerge w:val="continue"/>
            <w:noWrap w:val="0"/>
            <w:vAlign w:val="top"/>
          </w:tcPr>
          <w:p w14:paraId="17DA2C4C">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c>
          <w:tcPr>
            <w:tcW w:w="1378" w:type="dxa"/>
            <w:gridSpan w:val="2"/>
            <w:noWrap w:val="0"/>
            <w:vAlign w:val="top"/>
          </w:tcPr>
          <w:p w14:paraId="4A5FD4D4">
            <w:pPr>
              <w:pStyle w:val="40"/>
              <w:keepNext w:val="0"/>
              <w:keepLines w:val="0"/>
              <w:pageBreakBefore w:val="0"/>
              <w:shd w:val="clear" w:color="auto" w:fill="FFFFFF"/>
              <w:kinsoku/>
              <w:overflowPunct/>
              <w:topLinePunct w:val="0"/>
              <w:bidi w:val="0"/>
              <w:spacing w:before="0" w:beforeAutospacing="0" w:after="0" w:afterAutospacing="0" w:line="360" w:lineRule="auto"/>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578" w:type="dxa"/>
            <w:gridSpan w:val="9"/>
            <w:noWrap w:val="0"/>
            <w:vAlign w:val="top"/>
          </w:tcPr>
          <w:p w14:paraId="58117981">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84F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7" w:type="dxa"/>
            <w:vMerge w:val="continue"/>
            <w:noWrap w:val="0"/>
            <w:vAlign w:val="top"/>
          </w:tcPr>
          <w:p w14:paraId="07D753E7">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p>
        </w:tc>
        <w:tc>
          <w:tcPr>
            <w:tcW w:w="1378" w:type="dxa"/>
            <w:gridSpan w:val="2"/>
            <w:noWrap w:val="0"/>
            <w:vAlign w:val="top"/>
          </w:tcPr>
          <w:p w14:paraId="5151CCA2">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578" w:type="dxa"/>
            <w:gridSpan w:val="9"/>
            <w:noWrap w:val="0"/>
            <w:vAlign w:val="top"/>
          </w:tcPr>
          <w:p w14:paraId="2C411556">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bl>
    <w:p w14:paraId="4191A6C7">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p>
    <w:p w14:paraId="2F21423A">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0891FD0">
      <w:pPr>
        <w:pStyle w:val="40"/>
        <w:keepNext w:val="0"/>
        <w:keepLines w:val="0"/>
        <w:pageBreakBefore w:val="0"/>
        <w:shd w:val="clear" w:color="auto" w:fill="FFFFFF"/>
        <w:kinsoku/>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姓名栏必须将所有股东都统计在内，若非股份公司此行（第三行）无需填写；</w:t>
      </w:r>
    </w:p>
    <w:p w14:paraId="6D500AC1">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3C607268">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C74FD97">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7A865AA8">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5BD5A2F6">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7CFC0686">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279B3EA">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4941246C">
      <w:pPr>
        <w:pStyle w:val="40"/>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2F25D9CD">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642CDB00">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0719A187">
      <w:pPr>
        <w:pStyle w:val="7"/>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338EFFF7">
      <w:pPr>
        <w:pStyle w:val="19"/>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51927AE8">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18BED87">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8</w:t>
      </w:r>
    </w:p>
    <w:p w14:paraId="63024B3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09BC1B37">
      <w:pPr>
        <w:keepNext w:val="0"/>
        <w:keepLines w:val="0"/>
        <w:pageBreakBefore w:val="0"/>
        <w:kinsoku/>
        <w:overflowPunct/>
        <w:topLinePunct w:val="0"/>
        <w:bidi w:val="0"/>
        <w:snapToGrid w:val="0"/>
        <w:spacing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1"/>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664"/>
        <w:gridCol w:w="921"/>
        <w:gridCol w:w="922"/>
        <w:gridCol w:w="1543"/>
        <w:gridCol w:w="1264"/>
        <w:gridCol w:w="1382"/>
        <w:gridCol w:w="1554"/>
      </w:tblGrid>
      <w:tr w14:paraId="2A76E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vAlign w:val="center"/>
          </w:tcPr>
          <w:p w14:paraId="0084DACE">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664" w:type="dxa"/>
            <w:tcBorders>
              <w:top w:val="single" w:color="auto" w:sz="4" w:space="0"/>
              <w:left w:val="single" w:color="auto" w:sz="4" w:space="0"/>
              <w:bottom w:val="single" w:color="auto" w:sz="4" w:space="0"/>
              <w:right w:val="single" w:color="auto" w:sz="4" w:space="0"/>
            </w:tcBorders>
            <w:vAlign w:val="center"/>
          </w:tcPr>
          <w:p w14:paraId="1853352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921" w:type="dxa"/>
            <w:tcBorders>
              <w:top w:val="single" w:color="auto" w:sz="4" w:space="0"/>
              <w:left w:val="single" w:color="auto" w:sz="4" w:space="0"/>
              <w:bottom w:val="single" w:color="auto" w:sz="4" w:space="0"/>
              <w:right w:val="single" w:color="auto" w:sz="4" w:space="0"/>
            </w:tcBorders>
            <w:vAlign w:val="center"/>
          </w:tcPr>
          <w:p w14:paraId="701F03D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922" w:type="dxa"/>
            <w:tcBorders>
              <w:top w:val="single" w:color="auto" w:sz="4" w:space="0"/>
              <w:left w:val="single" w:color="auto" w:sz="4" w:space="0"/>
              <w:bottom w:val="single" w:color="auto" w:sz="4" w:space="0"/>
              <w:right w:val="single" w:color="auto" w:sz="4" w:space="0"/>
            </w:tcBorders>
            <w:vAlign w:val="center"/>
          </w:tcPr>
          <w:p w14:paraId="00BBAB5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43" w:type="dxa"/>
            <w:tcBorders>
              <w:top w:val="single" w:color="auto" w:sz="4" w:space="0"/>
              <w:left w:val="single" w:color="auto" w:sz="4" w:space="0"/>
              <w:bottom w:val="single" w:color="auto" w:sz="4" w:space="0"/>
              <w:right w:val="single" w:color="auto" w:sz="4" w:space="0"/>
            </w:tcBorders>
            <w:vAlign w:val="center"/>
          </w:tcPr>
          <w:p w14:paraId="63348EF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64" w:type="dxa"/>
            <w:tcBorders>
              <w:top w:val="single" w:color="auto" w:sz="4" w:space="0"/>
              <w:left w:val="single" w:color="auto" w:sz="4" w:space="0"/>
              <w:bottom w:val="single" w:color="auto" w:sz="4" w:space="0"/>
              <w:right w:val="single" w:color="auto" w:sz="4" w:space="0"/>
            </w:tcBorders>
            <w:vAlign w:val="center"/>
          </w:tcPr>
          <w:p w14:paraId="66455E6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382" w:type="dxa"/>
            <w:tcBorders>
              <w:top w:val="single" w:color="auto" w:sz="4" w:space="0"/>
              <w:left w:val="single" w:color="auto" w:sz="4" w:space="0"/>
              <w:bottom w:val="single" w:color="auto" w:sz="4" w:space="0"/>
              <w:right w:val="single" w:color="auto" w:sz="4" w:space="0"/>
            </w:tcBorders>
            <w:vAlign w:val="center"/>
          </w:tcPr>
          <w:p w14:paraId="471687CF">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54" w:type="dxa"/>
            <w:tcBorders>
              <w:top w:val="single" w:color="auto" w:sz="4" w:space="0"/>
              <w:left w:val="single" w:color="auto" w:sz="4" w:space="0"/>
              <w:bottom w:val="single" w:color="auto" w:sz="4" w:space="0"/>
            </w:tcBorders>
            <w:vAlign w:val="center"/>
          </w:tcPr>
          <w:p w14:paraId="125417CC">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2AA04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398411C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79A0993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46C8639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053EB2B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292545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7E7034A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0C72F91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1CC6CA4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380FE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7BE691A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72197A5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2D35C82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49879F4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2C9BDF8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7260E2D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780BDA5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4256E41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143BE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7866DD2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2C6D8F8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37B189F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66AF4895">
            <w:pPr>
              <w:pStyle w:val="10"/>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114F3E1">
            <w:pPr>
              <w:pStyle w:val="10"/>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BEB4DD4">
            <w:pPr>
              <w:pStyle w:val="10"/>
              <w:keepNext w:val="0"/>
              <w:keepLines w:val="0"/>
              <w:pageBreakBefore w:val="0"/>
              <w:kinsoku/>
              <w:overflowPunct/>
              <w:topLinePunct w:val="0"/>
              <w:bidi w:val="0"/>
              <w:spacing w:line="360" w:lineRule="auto"/>
              <w:ind w:left="5250"/>
              <w:outlineLvl w:val="9"/>
              <w:rPr>
                <w:rFonts w:hint="eastAsia" w:ascii="宋体" w:hAnsi="宋体" w:eastAsia="宋体" w:cs="宋体"/>
                <w:color w:val="auto"/>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58022D8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554" w:type="dxa"/>
            <w:tcBorders>
              <w:top w:val="single" w:color="auto" w:sz="4" w:space="0"/>
              <w:left w:val="single" w:color="auto" w:sz="4" w:space="0"/>
              <w:bottom w:val="single" w:color="auto" w:sz="4" w:space="0"/>
            </w:tcBorders>
          </w:tcPr>
          <w:p w14:paraId="131E5AD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09A6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BFAFDC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4F103BC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5F05286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133426D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0CD1C5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40BA0A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42EFC91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6A74282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2F4DE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AD6F95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3D6157D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85D44C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486B53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5734AA9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2FC57C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482FDC1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2060570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5A254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4BCB95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6785407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42C3798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61B2213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5555286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019294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01F3610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361BFEB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57B5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5F4741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73695BC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6084FB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08918B8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A2E6CD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1E02557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3493F92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5C8A364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77686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646DA24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3E1E0B4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15D475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4CDAC6D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A9B04E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49BF2B2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78DEC3F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076F52E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bl>
    <w:p w14:paraId="123A7EC3">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59A4CF2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61D7AFE2">
      <w:pPr>
        <w:pStyle w:val="41"/>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0B284D92">
      <w:pPr>
        <w:pStyle w:val="41"/>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w:t>
      </w:r>
    </w:p>
    <w:p w14:paraId="789EACE4">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C030509">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481D02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F62272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7AE170FA">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8561DF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84E002B">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4B01927F">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C9BC6AD">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9</w:t>
      </w:r>
    </w:p>
    <w:p w14:paraId="515A0061">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09EC159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采购项目：采购编号：</w:t>
      </w:r>
    </w:p>
    <w:tbl>
      <w:tblPr>
        <w:tblStyle w:val="21"/>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7155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3C12958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姓名</w:t>
            </w:r>
          </w:p>
        </w:tc>
        <w:tc>
          <w:tcPr>
            <w:tcW w:w="2967" w:type="dxa"/>
            <w:tcBorders>
              <w:top w:val="single" w:color="auto" w:sz="12" w:space="0"/>
            </w:tcBorders>
            <w:vAlign w:val="center"/>
          </w:tcPr>
          <w:p w14:paraId="610AA37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tcBorders>
              <w:top w:val="single" w:color="auto" w:sz="12" w:space="0"/>
              <w:right w:val="single" w:color="auto" w:sz="12" w:space="0"/>
            </w:tcBorders>
            <w:vAlign w:val="center"/>
          </w:tcPr>
          <w:p w14:paraId="0929246E">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近年来主要工作业绩</w:t>
            </w:r>
          </w:p>
        </w:tc>
      </w:tr>
      <w:tr w14:paraId="2709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left w:val="single" w:color="auto" w:sz="12" w:space="0"/>
            </w:tcBorders>
            <w:vAlign w:val="center"/>
          </w:tcPr>
          <w:p w14:paraId="4BC8430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性别</w:t>
            </w:r>
          </w:p>
        </w:tc>
        <w:tc>
          <w:tcPr>
            <w:tcW w:w="2967" w:type="dxa"/>
            <w:vAlign w:val="center"/>
          </w:tcPr>
          <w:p w14:paraId="0568FEE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restart"/>
            <w:tcBorders>
              <w:right w:val="single" w:color="auto" w:sz="12" w:space="0"/>
            </w:tcBorders>
            <w:vAlign w:val="center"/>
          </w:tcPr>
          <w:p w14:paraId="1B43B417">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注：业绩证明应提供旁证材料</w:t>
            </w:r>
          </w:p>
          <w:p w14:paraId="45E0270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（供货合同或中标通知书）。</w:t>
            </w:r>
          </w:p>
        </w:tc>
      </w:tr>
      <w:tr w14:paraId="7F6A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2FEA2F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年龄</w:t>
            </w:r>
          </w:p>
        </w:tc>
        <w:tc>
          <w:tcPr>
            <w:tcW w:w="2967" w:type="dxa"/>
            <w:vAlign w:val="center"/>
          </w:tcPr>
          <w:p w14:paraId="11104FD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4C5015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7CC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CE98E4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职称</w:t>
            </w:r>
          </w:p>
        </w:tc>
        <w:tc>
          <w:tcPr>
            <w:tcW w:w="2967" w:type="dxa"/>
            <w:vAlign w:val="center"/>
          </w:tcPr>
          <w:p w14:paraId="360A464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6748001">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0508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A8096C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毕业时间</w:t>
            </w:r>
          </w:p>
        </w:tc>
        <w:tc>
          <w:tcPr>
            <w:tcW w:w="2967" w:type="dxa"/>
            <w:vAlign w:val="center"/>
          </w:tcPr>
          <w:p w14:paraId="2875329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55869F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7311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536A9D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学校专业</w:t>
            </w:r>
          </w:p>
        </w:tc>
        <w:tc>
          <w:tcPr>
            <w:tcW w:w="2967" w:type="dxa"/>
            <w:vAlign w:val="center"/>
          </w:tcPr>
          <w:p w14:paraId="7A396D1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13807F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52CA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E3EC41E">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联系电话</w:t>
            </w:r>
          </w:p>
        </w:tc>
        <w:tc>
          <w:tcPr>
            <w:tcW w:w="2967" w:type="dxa"/>
            <w:vAlign w:val="center"/>
          </w:tcPr>
          <w:p w14:paraId="31B1BEE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7355AB19">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636B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C38C13B">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最近一年工作状况</w:t>
            </w:r>
          </w:p>
        </w:tc>
        <w:tc>
          <w:tcPr>
            <w:tcW w:w="2967" w:type="dxa"/>
            <w:vAlign w:val="center"/>
          </w:tcPr>
          <w:p w14:paraId="2B657CE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0519B91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799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2555EAA8">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27DAD3C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bl>
    <w:p w14:paraId="11AFEBFD">
      <w:pPr>
        <w:spacing w:line="360" w:lineRule="auto"/>
        <w:ind w:left="420"/>
        <w:rPr>
          <w:rFonts w:hint="eastAsia" w:ascii="宋体" w:hAnsi="宋体" w:eastAsia="宋体" w:cs="宋体"/>
          <w:color w:val="auto"/>
          <w:sz w:val="21"/>
          <w:szCs w:val="21"/>
          <w:highlight w:val="none"/>
        </w:rPr>
      </w:pPr>
    </w:p>
    <w:p w14:paraId="13D61B76">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2EB4EBB5">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B4F94D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90DB87B">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C1FB86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A233714">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7CBF9D58">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7B7DD32A">
      <w:pPr>
        <w:keepNext w:val="0"/>
        <w:keepLines w:val="0"/>
        <w:pageBreakBefore w:val="0"/>
        <w:kinsoku/>
        <w:overflowPunct/>
        <w:topLinePunct w:val="0"/>
        <w:bidi w:val="0"/>
        <w:spacing w:line="360" w:lineRule="auto"/>
        <w:outlineLvl w:val="9"/>
        <w:rPr>
          <w:rFonts w:hint="default" w:ascii="宋体" w:hAnsi="宋体" w:eastAsia="宋体" w:cs="宋体"/>
          <w:b/>
          <w:color w:val="auto"/>
          <w:sz w:val="28"/>
          <w:highlight w:val="none"/>
          <w:lang w:val="en-US"/>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10</w:t>
      </w:r>
    </w:p>
    <w:p w14:paraId="722C4645">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商务及技术响应表</w:t>
      </w:r>
    </w:p>
    <w:p w14:paraId="3F15ECCC">
      <w:pPr>
        <w:pStyle w:val="9"/>
        <w:keepNext w:val="0"/>
        <w:keepLines w:val="0"/>
        <w:pageBreakBefore w:val="0"/>
        <w:kinsoku/>
        <w:overflowPunct/>
        <w:topLinePunct w:val="0"/>
        <w:bidi w:val="0"/>
        <w:adjustRightInd w:val="0"/>
        <w:snapToGrid w:val="0"/>
        <w:spacing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项目名称及编号：</w:t>
      </w:r>
    </w:p>
    <w:tbl>
      <w:tblPr>
        <w:tblStyle w:val="21"/>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14:paraId="7B3EB7DD">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01063C63">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C709F55">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CDDD43E">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974C75C">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CC3AB1F">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偏离情况</w:t>
            </w:r>
          </w:p>
        </w:tc>
      </w:tr>
      <w:tr w14:paraId="7CE4085B">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14:paraId="4B70F7BC">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F967466">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olor w:val="auto"/>
                <w:sz w:val="21"/>
                <w:szCs w:val="21"/>
                <w:highlight w:val="none"/>
                <w:lang w:val="en-US" w:eastAsia="zh-CN"/>
              </w:rPr>
              <w:t>服务期限</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086F2B00">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179759C">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EAADAB7">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A20D441">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681B8C16">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2166312">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olor w:val="auto"/>
                <w:sz w:val="21"/>
                <w:szCs w:val="21"/>
                <w:highlight w:val="none"/>
              </w:rPr>
              <w:t>付款方式</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4DACDC5E">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16F12B1">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46DCFA0">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F545FE4">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58F646B4">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6ADFD6B">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olor w:val="auto"/>
                <w:sz w:val="21"/>
                <w:szCs w:val="21"/>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70E2E418">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0A0795F">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AA0E691">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4B9593E7">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14:paraId="0FFD915E">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34AEFEA">
            <w:pPr>
              <w:spacing w:line="360" w:lineRule="auto"/>
              <w:jc w:val="center"/>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6195D8A">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A73F8D2">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0AAF178">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8226334">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1F8A386B">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06FCBE6">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名称</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892852B">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BCE0E58">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5601A4C">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r>
      <w:tr w14:paraId="172BC9BE">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14:paraId="5853A9FB">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59B4EAF">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5868FB8">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3DCAA39">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A7F1D09">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065D146B">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5726B831">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CDF4534">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BE32F6A">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048CFA1">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1B3295B">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4661F96">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D75D10E">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CDE002A">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27CCAA0">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4BD0F21">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9D1B81D">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9E15910">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2801DB9">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C52C208">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FCA1740">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F4E73DB">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AB9A93C">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088AB95">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E99D647">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CCB1140">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903CB36">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5D8FD56">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394E558">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36C5D83">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4FF7170">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17874EF">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4158C53">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47628BB">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6815D78">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682889B5">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B3FEEDD">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12C0381">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D8D4A07">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370747E">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4078997">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bl>
    <w:p w14:paraId="1750BB32">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7027484B">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0B5D2C7C">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C64D7ED">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31A3CD04">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218ED6D7">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57811CB9">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733516D0">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4ADE34FD">
      <w:pPr>
        <w:pStyle w:val="40"/>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77C0A68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577B35FF">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951F16F">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1</w:t>
      </w:r>
    </w:p>
    <w:p w14:paraId="5DB003C7">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5AF1CE75">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8"/>
          <w:szCs w:val="28"/>
          <w:highlight w:val="none"/>
        </w:rPr>
      </w:pPr>
    </w:p>
    <w:tbl>
      <w:tblPr>
        <w:tblStyle w:val="2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3FFBC6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7B44E07E">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single" w:color="auto" w:sz="4" w:space="0"/>
              <w:bottom w:val="single" w:color="auto" w:sz="4" w:space="0"/>
            </w:tcBorders>
            <w:noWrap w:val="0"/>
            <w:vAlign w:val="top"/>
          </w:tcPr>
          <w:p w14:paraId="5D8019E5">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single" w:color="auto" w:sz="4" w:space="0"/>
              <w:bottom w:val="single" w:color="auto" w:sz="4" w:space="0"/>
            </w:tcBorders>
            <w:noWrap w:val="0"/>
            <w:vAlign w:val="top"/>
          </w:tcPr>
          <w:p w14:paraId="2FDCFC99">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single" w:color="auto" w:sz="4" w:space="0"/>
              <w:bottom w:val="single" w:color="auto" w:sz="4" w:space="0"/>
              <w:right w:val="single" w:color="auto" w:sz="4" w:space="0"/>
            </w:tcBorders>
            <w:noWrap w:val="0"/>
            <w:vAlign w:val="top"/>
          </w:tcPr>
          <w:p w14:paraId="78567EF1">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1C342C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0C4116F1">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top w:val="single" w:color="auto" w:sz="4" w:space="0"/>
            </w:tcBorders>
            <w:noWrap w:val="0"/>
            <w:vAlign w:val="top"/>
          </w:tcPr>
          <w:p w14:paraId="765BE6D8">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top w:val="single" w:color="auto" w:sz="4" w:space="0"/>
            </w:tcBorders>
            <w:noWrap w:val="0"/>
            <w:vAlign w:val="top"/>
          </w:tcPr>
          <w:p w14:paraId="1BDF9A97">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top w:val="single" w:color="auto" w:sz="4" w:space="0"/>
              <w:right w:val="single" w:color="auto" w:sz="4" w:space="0"/>
            </w:tcBorders>
            <w:noWrap w:val="0"/>
            <w:vAlign w:val="top"/>
          </w:tcPr>
          <w:p w14:paraId="2FF765E1">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380655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7032FC6">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2B73F9B6">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635D015B">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DCD9FFC">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4A651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4DA0A35">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0BD8F767">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680403F6">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15B4609F">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E6D7C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BC47F6C">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06E7778F">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763379F7">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DED3C9B">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3A26B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1AC38099">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110E0125">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B51111A">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57016F77">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6024D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7BB729CB">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3811670C">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F44D978">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2F8A6D0">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BD897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52D299D2">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bottom w:val="single" w:color="auto" w:sz="4" w:space="0"/>
            </w:tcBorders>
            <w:noWrap w:val="0"/>
            <w:vAlign w:val="top"/>
          </w:tcPr>
          <w:p w14:paraId="1D4AA2A2">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bottom w:val="single" w:color="auto" w:sz="4" w:space="0"/>
            </w:tcBorders>
            <w:noWrap w:val="0"/>
            <w:vAlign w:val="top"/>
          </w:tcPr>
          <w:p w14:paraId="349B431F">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bottom w:val="single" w:color="auto" w:sz="4" w:space="0"/>
              <w:right w:val="single" w:color="auto" w:sz="4" w:space="0"/>
            </w:tcBorders>
            <w:noWrap w:val="0"/>
            <w:vAlign w:val="top"/>
          </w:tcPr>
          <w:p w14:paraId="2C067B1B">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455C207B">
      <w:pPr>
        <w:pStyle w:val="44"/>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p>
    <w:p w14:paraId="1E6A2E6E">
      <w:pPr>
        <w:pStyle w:val="44"/>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764816C6">
      <w:pPr>
        <w:pStyle w:val="44"/>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填写磋商供应商获得资质、认证或企业信誉证书。</w:t>
      </w:r>
    </w:p>
    <w:p w14:paraId="17F49418">
      <w:pPr>
        <w:pStyle w:val="44"/>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417F0DEA">
      <w:pPr>
        <w:pStyle w:val="44"/>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p>
    <w:p w14:paraId="556DA541">
      <w:pPr>
        <w:pStyle w:val="44"/>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48AB2B07">
      <w:pPr>
        <w:pStyle w:val="44"/>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3B255BEA">
      <w:pPr>
        <w:pStyle w:val="44"/>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6608CDC9">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2423DB1">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519BAD5A">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69D0377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4E5681F1">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A230CA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30D1A35F">
      <w:pPr>
        <w:pStyle w:val="40"/>
        <w:keepNext w:val="0"/>
        <w:keepLines w:val="0"/>
        <w:pageBreakBefore w:val="0"/>
        <w:shd w:val="clear" w:color="auto" w:fill="FFFFFF"/>
        <w:kinsoku/>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7F5047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9579EC6">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62F026FB">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74CE91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2</w:t>
      </w:r>
    </w:p>
    <w:p w14:paraId="242D8167">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类似项目实施情况一览表</w:t>
      </w:r>
    </w:p>
    <w:p w14:paraId="055A5417">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8"/>
          <w:szCs w:val="28"/>
          <w:highlight w:val="none"/>
        </w:rPr>
      </w:pPr>
    </w:p>
    <w:tbl>
      <w:tblPr>
        <w:tblStyle w:val="21"/>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0ABE7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center"/>
          </w:tcPr>
          <w:p w14:paraId="37DC04F5">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09" w:type="dxa"/>
            <w:tcBorders>
              <w:top w:val="single" w:color="auto" w:sz="6" w:space="0"/>
              <w:left w:val="single" w:color="auto" w:sz="6" w:space="0"/>
              <w:bottom w:val="single" w:color="auto" w:sz="6" w:space="0"/>
              <w:right w:val="single" w:color="auto" w:sz="6" w:space="0"/>
            </w:tcBorders>
            <w:noWrap w:val="0"/>
            <w:vAlign w:val="center"/>
          </w:tcPr>
          <w:p w14:paraId="5811FFE9">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307" w:type="dxa"/>
            <w:tcBorders>
              <w:top w:val="single" w:color="auto" w:sz="6" w:space="0"/>
              <w:left w:val="single" w:color="auto" w:sz="6" w:space="0"/>
              <w:bottom w:val="single" w:color="auto" w:sz="6" w:space="0"/>
              <w:right w:val="single" w:color="auto" w:sz="6" w:space="0"/>
            </w:tcBorders>
            <w:noWrap w:val="0"/>
            <w:vAlign w:val="center"/>
          </w:tcPr>
          <w:p w14:paraId="1A4CC301">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0AC18A1A">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C1876A">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51" w:type="dxa"/>
            <w:tcBorders>
              <w:top w:val="single" w:color="auto" w:sz="6" w:space="0"/>
              <w:left w:val="single" w:color="auto" w:sz="6" w:space="0"/>
              <w:bottom w:val="single" w:color="auto" w:sz="6" w:space="0"/>
              <w:right w:val="single" w:color="auto" w:sz="6" w:space="0"/>
            </w:tcBorders>
            <w:noWrap w:val="0"/>
            <w:vAlign w:val="center"/>
          </w:tcPr>
          <w:p w14:paraId="063F521F">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1990" w:type="dxa"/>
            <w:tcBorders>
              <w:top w:val="single" w:color="auto" w:sz="6" w:space="0"/>
              <w:left w:val="single" w:color="auto" w:sz="6" w:space="0"/>
              <w:bottom w:val="single" w:color="auto" w:sz="6" w:space="0"/>
              <w:right w:val="single" w:color="auto" w:sz="6" w:space="0"/>
            </w:tcBorders>
            <w:noWrap w:val="0"/>
            <w:vAlign w:val="center"/>
          </w:tcPr>
          <w:p w14:paraId="1E0B7097">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78E34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3EA77B4">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6E0AA8DE">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0C6FFE2">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50C7FEF1">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0146E58">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4CDC2C4D">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6B9BB8EB">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45DDB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6622A6DC">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18140CAC">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B40963D">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BDD4FEA">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60DA638">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E8820FA">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D48E6A9">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79DD7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24E037E7">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64C847BD">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194B6C0">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F785AB1">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D91DA8E">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6E8515C2">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608EA2C">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4D46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75A9F70">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712CEB23">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1479F32">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5192CCA">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CABE6C8">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0E979E2">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8C33846">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64367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5D6F5007">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1B11F7E2">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634E66A4">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7BE26DA9">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994AC7C">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09B485D">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C5A0BE7">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72A7D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07854CF4">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670EEDF1">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616DDEA">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3B48C7B3">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71D609A">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DF0C657">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2A05533">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1262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72B62C39">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7A9323F7">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4C928C9">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C66F7AD">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29D0C10">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A7F9F82">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7080D852">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bl>
    <w:p w14:paraId="1C8855F4">
      <w:pPr>
        <w:keepNext w:val="0"/>
        <w:keepLines w:val="0"/>
        <w:pageBreakBefore w:val="0"/>
        <w:kinsoku/>
        <w:overflowPunct/>
        <w:topLinePunct w:val="0"/>
        <w:autoSpaceDE w:val="0"/>
        <w:autoSpaceDN w:val="0"/>
        <w:bidi w:val="0"/>
        <w:adjustRightInd w:val="0"/>
        <w:spacing w:before="156" w:beforeLines="5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695008A0">
      <w:pPr>
        <w:keepNext w:val="0"/>
        <w:keepLines w:val="0"/>
        <w:pageBreakBefore w:val="0"/>
        <w:kinsoku/>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业绩证明应提供证明材料（合同复印件可只提供首页、含金额页、盖章页并加盖磋商供应商公章）；</w:t>
      </w:r>
    </w:p>
    <w:p w14:paraId="6FEA4781">
      <w:pPr>
        <w:keepNext w:val="0"/>
        <w:keepLines w:val="0"/>
        <w:pageBreakBefore w:val="0"/>
        <w:kinsoku/>
        <w:overflowPunct/>
        <w:topLinePunct w:val="0"/>
        <w:bidi w:val="0"/>
        <w:spacing w:line="360" w:lineRule="auto"/>
        <w:ind w:firstLine="424" w:firstLineChars="202"/>
        <w:jc w:val="left"/>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磋商供应商可按此表格式复制。</w:t>
      </w:r>
    </w:p>
    <w:p w14:paraId="34B28689">
      <w:pPr>
        <w:keepNext w:val="0"/>
        <w:keepLines w:val="0"/>
        <w:pageBreakBefore w:val="0"/>
        <w:kinsoku/>
        <w:overflowPunct/>
        <w:topLinePunct w:val="0"/>
        <w:bidi w:val="0"/>
        <w:spacing w:line="360" w:lineRule="auto"/>
        <w:outlineLvl w:val="9"/>
        <w:rPr>
          <w:rFonts w:hint="eastAsia" w:ascii="宋体" w:hAnsi="宋体" w:eastAsia="宋体" w:cs="宋体"/>
          <w:color w:val="auto"/>
          <w:sz w:val="22"/>
          <w:szCs w:val="22"/>
          <w:highlight w:val="none"/>
        </w:rPr>
      </w:pPr>
    </w:p>
    <w:p w14:paraId="3F9966BD">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AB15AFD">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425D29E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DD52A5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237D454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C503FC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13771D4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2F0F3FD1">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p>
    <w:p w14:paraId="15796A71">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15DE41A">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3</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rPr>
        <w:tab/>
      </w:r>
    </w:p>
    <w:p w14:paraId="6D194FC1">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40878FF8">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1"/>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40E82D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vAlign w:val="center"/>
          </w:tcPr>
          <w:p w14:paraId="1A252377">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noWrap w:val="0"/>
            <w:vAlign w:val="center"/>
          </w:tcPr>
          <w:p w14:paraId="17135467">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noWrap w:val="0"/>
            <w:vAlign w:val="center"/>
          </w:tcPr>
          <w:p w14:paraId="76EFFF4F">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磋商供应商承诺</w:t>
            </w:r>
          </w:p>
        </w:tc>
        <w:tc>
          <w:tcPr>
            <w:tcW w:w="1373" w:type="dxa"/>
            <w:noWrap w:val="0"/>
            <w:vAlign w:val="center"/>
          </w:tcPr>
          <w:p w14:paraId="62DA9426">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13996A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noWrap w:val="0"/>
            <w:vAlign w:val="center"/>
          </w:tcPr>
          <w:p w14:paraId="6518F391">
            <w:pPr>
              <w:pStyle w:val="45"/>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noWrap w:val="0"/>
            <w:vAlign w:val="center"/>
          </w:tcPr>
          <w:p w14:paraId="70FF8E75">
            <w:pPr>
              <w:pStyle w:val="45"/>
              <w:widowControl/>
              <w:spacing w:line="360" w:lineRule="auto"/>
              <w:jc w:val="left"/>
              <w:rPr>
                <w:rFonts w:hint="eastAsia" w:ascii="宋体" w:hAnsi="宋体" w:eastAsia="宋体" w:cs="宋体"/>
                <w:bCs/>
                <w:color w:val="auto"/>
                <w:sz w:val="21"/>
                <w:szCs w:val="21"/>
                <w:highlight w:val="none"/>
              </w:rPr>
            </w:pPr>
            <w:r>
              <w:rPr>
                <w:rFonts w:hint="eastAsia" w:ascii="宋体" w:hAnsi="宋体" w:cs="Arial"/>
                <w:bCs/>
                <w:color w:val="auto"/>
                <w:sz w:val="21"/>
                <w:szCs w:val="21"/>
                <w:highlight w:val="none"/>
                <w:lang w:val="en-US" w:eastAsia="zh-CN"/>
              </w:rPr>
              <w:t>服务期</w:t>
            </w:r>
            <w:r>
              <w:rPr>
                <w:rFonts w:hint="eastAsia" w:ascii="宋体" w:hAnsi="宋体" w:cs="Arial"/>
                <w:bCs/>
                <w:color w:val="auto"/>
                <w:sz w:val="21"/>
                <w:szCs w:val="21"/>
                <w:highlight w:val="none"/>
              </w:rPr>
              <w:t>内售后服务情况(</w:t>
            </w:r>
            <w:r>
              <w:rPr>
                <w:rFonts w:ascii="宋体" w:hAnsi="宋体" w:cs="Arial"/>
                <w:bCs/>
                <w:color w:val="auto"/>
                <w:sz w:val="21"/>
                <w:szCs w:val="21"/>
                <w:highlight w:val="none"/>
              </w:rPr>
              <w:t>服务</w:t>
            </w:r>
            <w:r>
              <w:rPr>
                <w:rFonts w:hint="eastAsia" w:ascii="宋体" w:hAnsi="宋体" w:cs="Arial"/>
                <w:bCs/>
                <w:color w:val="auto"/>
                <w:sz w:val="21"/>
                <w:szCs w:val="21"/>
                <w:highlight w:val="none"/>
              </w:rPr>
              <w:t>方式、服务网点</w:t>
            </w:r>
            <w:r>
              <w:rPr>
                <w:rFonts w:ascii="宋体" w:hAnsi="宋体" w:cs="Arial"/>
                <w:bCs/>
                <w:color w:val="auto"/>
                <w:sz w:val="21"/>
                <w:szCs w:val="21"/>
                <w:highlight w:val="none"/>
              </w:rPr>
              <w:t>、售后服务的内容和措施</w:t>
            </w:r>
            <w:r>
              <w:rPr>
                <w:rFonts w:hint="eastAsia" w:ascii="宋体" w:hAnsi="宋体" w:cs="Arial"/>
                <w:bCs/>
                <w:color w:val="auto"/>
                <w:sz w:val="21"/>
                <w:szCs w:val="21"/>
                <w:highlight w:val="none"/>
              </w:rPr>
              <w:t>等等，可用附页和宣传材料)</w:t>
            </w:r>
          </w:p>
        </w:tc>
        <w:tc>
          <w:tcPr>
            <w:tcW w:w="4061" w:type="dxa"/>
            <w:noWrap w:val="0"/>
            <w:vAlign w:val="top"/>
          </w:tcPr>
          <w:p w14:paraId="7AA49D39">
            <w:pPr>
              <w:pStyle w:val="45"/>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noWrap w:val="0"/>
            <w:vAlign w:val="top"/>
          </w:tcPr>
          <w:p w14:paraId="0368E6DC">
            <w:pPr>
              <w:pStyle w:val="45"/>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07B63B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67" w:hRule="exact"/>
          <w:jc w:val="center"/>
        </w:trPr>
        <w:tc>
          <w:tcPr>
            <w:tcW w:w="739" w:type="dxa"/>
            <w:noWrap w:val="0"/>
            <w:vAlign w:val="center"/>
          </w:tcPr>
          <w:p w14:paraId="16469838">
            <w:pPr>
              <w:pStyle w:val="45"/>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noWrap w:val="0"/>
            <w:vAlign w:val="center"/>
          </w:tcPr>
          <w:p w14:paraId="27E2FFD5">
            <w:pPr>
              <w:pStyle w:val="45"/>
              <w:spacing w:line="360" w:lineRule="auto"/>
              <w:rPr>
                <w:rFonts w:hint="eastAsia" w:ascii="宋体" w:hAnsi="宋体" w:eastAsia="宋体" w:cs="宋体"/>
                <w:bCs/>
                <w:color w:val="auto"/>
                <w:sz w:val="21"/>
                <w:szCs w:val="21"/>
                <w:highlight w:val="none"/>
              </w:rPr>
            </w:pPr>
            <w:r>
              <w:rPr>
                <w:rFonts w:hint="eastAsia" w:ascii="宋体" w:hAnsi="宋体" w:cs="Arial"/>
                <w:bCs/>
                <w:color w:val="auto"/>
                <w:sz w:val="21"/>
                <w:szCs w:val="21"/>
                <w:highlight w:val="none"/>
                <w:lang w:val="en-US" w:eastAsia="zh-CN"/>
              </w:rPr>
              <w:t>服务期满</w:t>
            </w:r>
            <w:r>
              <w:rPr>
                <w:rFonts w:hint="eastAsia" w:ascii="宋体" w:hAnsi="宋体" w:cs="Arial"/>
                <w:bCs/>
                <w:color w:val="auto"/>
                <w:sz w:val="21"/>
                <w:szCs w:val="21"/>
                <w:highlight w:val="none"/>
              </w:rPr>
              <w:t>后售后服务</w:t>
            </w:r>
          </w:p>
        </w:tc>
        <w:tc>
          <w:tcPr>
            <w:tcW w:w="4061" w:type="dxa"/>
            <w:noWrap w:val="0"/>
            <w:vAlign w:val="top"/>
          </w:tcPr>
          <w:p w14:paraId="2E1B0833">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EBDF6FB">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49E5A08D">
            <w:pPr>
              <w:pStyle w:val="45"/>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noWrap w:val="0"/>
            <w:vAlign w:val="top"/>
          </w:tcPr>
          <w:p w14:paraId="77147851">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DCA5D99">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F8C7056">
            <w:pPr>
              <w:pStyle w:val="45"/>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004CC7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14:paraId="759616A7">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3</w:t>
            </w:r>
          </w:p>
        </w:tc>
        <w:tc>
          <w:tcPr>
            <w:tcW w:w="2355" w:type="dxa"/>
            <w:noWrap w:val="0"/>
            <w:vAlign w:val="center"/>
          </w:tcPr>
          <w:p w14:paraId="6A0369C4">
            <w:pPr>
              <w:pStyle w:val="45"/>
              <w:widowControl/>
              <w:spacing w:line="360" w:lineRule="auto"/>
              <w:jc w:val="left"/>
              <w:rPr>
                <w:rFonts w:hint="eastAsia" w:ascii="宋体" w:hAnsi="宋体" w:eastAsia="宋体" w:cs="宋体"/>
                <w:bCs/>
                <w:color w:val="auto"/>
                <w:sz w:val="21"/>
                <w:szCs w:val="21"/>
                <w:highlight w:val="none"/>
              </w:rPr>
            </w:pPr>
            <w:r>
              <w:rPr>
                <w:rFonts w:hint="eastAsia" w:ascii="宋体" w:hAnsi="宋体" w:cs="Arial"/>
                <w:bCs/>
                <w:color w:val="auto"/>
                <w:sz w:val="21"/>
                <w:szCs w:val="21"/>
                <w:highlight w:val="none"/>
              </w:rPr>
              <w:t>培训方案（可用附页）</w:t>
            </w:r>
          </w:p>
        </w:tc>
        <w:tc>
          <w:tcPr>
            <w:tcW w:w="4061" w:type="dxa"/>
            <w:noWrap w:val="0"/>
            <w:vAlign w:val="top"/>
          </w:tcPr>
          <w:p w14:paraId="789443C5">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0D868D89">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c>
          <w:tcPr>
            <w:tcW w:w="1373" w:type="dxa"/>
            <w:noWrap w:val="0"/>
            <w:vAlign w:val="top"/>
          </w:tcPr>
          <w:p w14:paraId="536C6478">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5BCD262D">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324D70EA">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r>
      <w:tr w14:paraId="11DC9E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14:paraId="6DF50D39">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noWrap w:val="0"/>
            <w:vAlign w:val="center"/>
          </w:tcPr>
          <w:p w14:paraId="1013BE38">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noWrap w:val="0"/>
            <w:vAlign w:val="top"/>
          </w:tcPr>
          <w:p w14:paraId="4EBF3E78">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c>
          <w:tcPr>
            <w:tcW w:w="1373" w:type="dxa"/>
            <w:noWrap w:val="0"/>
            <w:vAlign w:val="top"/>
          </w:tcPr>
          <w:p w14:paraId="7E2C53D3">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r>
    </w:tbl>
    <w:p w14:paraId="227EC1BB">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151F7C0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1C0ADF2C">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795844F">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2CB1F2A">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D5889B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0386EAA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2907A3E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8F20CF4">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544C0FD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p>
    <w:p w14:paraId="1C2886D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5A5B6C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213B4C54">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4216086">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w:t>
      </w:r>
      <w:r>
        <w:rPr>
          <w:rFonts w:hint="eastAsia" w:ascii="宋体" w:hAnsi="宋体" w:cs="宋体"/>
          <w:b/>
          <w:color w:val="auto"/>
          <w:kern w:val="0"/>
          <w:sz w:val="28"/>
          <w:szCs w:val="28"/>
          <w:highlight w:val="none"/>
          <w:lang w:val="en-US" w:eastAsia="zh-CN"/>
        </w:rPr>
        <w:t>4</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1390AFD">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58F09275">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5766223A">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D02EB2C">
      <w:pPr>
        <w:pStyle w:val="18"/>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1124CDB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7EB68B8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1DE9D38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33EEAD3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6772074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7D903F0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0F65E9F7">
      <w:pPr>
        <w:spacing w:after="100" w:afterAutospacing="1" w:line="360" w:lineRule="auto"/>
        <w:ind w:right="-108"/>
        <w:jc w:val="center"/>
        <w:rPr>
          <w:rFonts w:hint="eastAsia" w:ascii="宋体" w:hAnsi="宋体" w:eastAsia="宋体" w:cs="宋体"/>
          <w:b/>
          <w:color w:val="auto"/>
          <w:spacing w:val="40"/>
          <w:sz w:val="28"/>
          <w:szCs w:val="28"/>
          <w:highlight w:val="none"/>
          <w:lang w:val="zh-CN"/>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lang w:val="en-US" w:eastAsia="zh-CN"/>
        </w:rPr>
        <w:t>报价</w:t>
      </w:r>
      <w:r>
        <w:rPr>
          <w:rFonts w:hint="eastAsia" w:ascii="宋体" w:hAnsi="宋体" w:eastAsia="宋体" w:cs="宋体"/>
          <w:b/>
          <w:color w:val="auto"/>
          <w:spacing w:val="40"/>
          <w:sz w:val="28"/>
          <w:szCs w:val="28"/>
          <w:highlight w:val="none"/>
          <w:lang w:val="zh-CN"/>
        </w:rPr>
        <w:t>文件）</w:t>
      </w:r>
    </w:p>
    <w:p w14:paraId="67DF69A3">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D4884D6">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733768EB">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5B22F50C">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530BC4A5">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7926E3EF">
      <w:pPr>
        <w:keepNext w:val="0"/>
        <w:keepLines w:val="0"/>
        <w:pageBreakBefore w:val="0"/>
        <w:widowControl w:val="0"/>
        <w:kinsoku/>
        <w:wordWrap/>
        <w:overflowPunct/>
        <w:topLinePunct w:val="0"/>
        <w:autoSpaceDE/>
        <w:autoSpaceDN/>
        <w:bidi w:val="0"/>
        <w:adjustRightInd/>
        <w:snapToGrid w:val="0"/>
        <w:spacing w:line="360" w:lineRule="auto"/>
        <w:ind w:firstLine="723" w:firstLineChars="200"/>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594F495A">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1、开标</w:t>
      </w:r>
      <w:r>
        <w:rPr>
          <w:rFonts w:hint="eastAsia" w:ascii="宋体" w:hAnsi="宋体" w:eastAsia="宋体" w:cs="宋体"/>
          <w:color w:val="auto"/>
          <w:sz w:val="21"/>
          <w:szCs w:val="21"/>
          <w:highlight w:val="none"/>
        </w:rPr>
        <w:t>一览表（附件1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14:paraId="447B6DF9">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针对报价投标人认为其他需要说明的；</w:t>
      </w:r>
    </w:p>
    <w:p w14:paraId="2645BEA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49522CE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5</w:t>
      </w:r>
      <w:r>
        <w:rPr>
          <w:rFonts w:hint="eastAsia" w:ascii="宋体" w:hAnsi="宋体" w:eastAsia="宋体" w:cs="宋体"/>
          <w:b/>
          <w:color w:val="auto"/>
          <w:sz w:val="30"/>
          <w:szCs w:val="30"/>
          <w:highlight w:val="none"/>
        </w:rPr>
        <w:t xml:space="preserve">                                     </w:t>
      </w:r>
    </w:p>
    <w:p w14:paraId="22ECDFFB">
      <w:pPr>
        <w:keepNext w:val="0"/>
        <w:keepLines w:val="0"/>
        <w:pageBreakBefore w:val="0"/>
        <w:kinsoku/>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开标</w:t>
      </w:r>
      <w:r>
        <w:rPr>
          <w:rFonts w:hint="eastAsia" w:ascii="宋体" w:hAnsi="宋体" w:eastAsia="宋体" w:cs="宋体"/>
          <w:b/>
          <w:color w:val="auto"/>
          <w:sz w:val="32"/>
          <w:szCs w:val="32"/>
          <w:highlight w:val="none"/>
        </w:rPr>
        <w:t>一览表</w:t>
      </w:r>
      <w:r>
        <w:rPr>
          <w:rFonts w:hint="eastAsia" w:ascii="宋体" w:hAnsi="宋体" w:eastAsia="宋体" w:cs="宋体"/>
          <w:b/>
          <w:color w:val="auto"/>
          <w:sz w:val="32"/>
          <w:szCs w:val="32"/>
          <w:highlight w:val="none"/>
        </w:rPr>
        <w:t xml:space="preserve"> </w:t>
      </w:r>
    </w:p>
    <w:p w14:paraId="660C82CD">
      <w:pPr>
        <w:pStyle w:val="9"/>
        <w:keepNext w:val="0"/>
        <w:keepLines w:val="0"/>
        <w:pageBreakBefore w:val="0"/>
        <w:kinsoku/>
        <w:overflowPunct/>
        <w:topLinePunct w:val="0"/>
        <w:bidi w:val="0"/>
        <w:spacing w:line="320" w:lineRule="exact"/>
        <w:outlineLvl w:val="9"/>
        <w:rPr>
          <w:rFonts w:hint="eastAsia" w:ascii="宋体" w:hAnsi="宋体" w:eastAsia="宋体" w:cs="宋体"/>
          <w:b/>
          <w:color w:val="auto"/>
          <w:sz w:val="24"/>
          <w:highlight w:val="none"/>
        </w:rPr>
      </w:pPr>
    </w:p>
    <w:p w14:paraId="087D7B98">
      <w:pPr>
        <w:pStyle w:val="9"/>
        <w:keepNext w:val="0"/>
        <w:keepLines w:val="0"/>
        <w:pageBreakBefore w:val="0"/>
        <w:kinsoku/>
        <w:overflowPunct/>
        <w:topLinePunct w:val="0"/>
        <w:bidi w:val="0"/>
        <w:spacing w:line="320" w:lineRule="exact"/>
        <w:outlineLvl w:val="9"/>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项目编号：</w:t>
      </w:r>
      <w:r>
        <w:rPr>
          <w:rFonts w:hint="eastAsia" w:ascii="宋体" w:hAnsi="宋体" w:eastAsia="宋体" w:cs="宋体"/>
          <w:b/>
          <w:color w:val="auto"/>
          <w:sz w:val="21"/>
          <w:szCs w:val="21"/>
          <w:highlight w:val="none"/>
          <w:u w:val="single"/>
        </w:rPr>
        <w:t xml:space="preserve">               </w:t>
      </w:r>
    </w:p>
    <w:p w14:paraId="64F78853">
      <w:pPr>
        <w:pStyle w:val="49"/>
        <w:keepNext w:val="0"/>
        <w:keepLines w:val="0"/>
        <w:pageBreakBefore w:val="0"/>
        <w:kinsoku/>
        <w:overflowPunct/>
        <w:topLinePunct w:val="0"/>
        <w:bidi w:val="0"/>
        <w:spacing w:line="360" w:lineRule="auto"/>
        <w:ind w:right="48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 xml:space="preserve">                    [货币单位：人民币元]</w:t>
      </w:r>
    </w:p>
    <w:tbl>
      <w:tblPr>
        <w:tblStyle w:val="21"/>
        <w:tblW w:w="91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844"/>
        <w:gridCol w:w="1423"/>
        <w:gridCol w:w="4892"/>
      </w:tblGrid>
      <w:tr w14:paraId="4B771F1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681" w:hRule="atLeast"/>
          <w:jc w:val="center"/>
        </w:trPr>
        <w:tc>
          <w:tcPr>
            <w:tcW w:w="2844" w:type="dxa"/>
            <w:tcBorders>
              <w:top w:val="single" w:color="auto" w:sz="4" w:space="0"/>
              <w:left w:val="single" w:color="auto" w:sz="12" w:space="0"/>
              <w:bottom w:val="single" w:color="auto" w:sz="4" w:space="0"/>
              <w:right w:val="single" w:color="auto" w:sz="4" w:space="0"/>
            </w:tcBorders>
            <w:noWrap w:val="0"/>
            <w:vAlign w:val="center"/>
          </w:tcPr>
          <w:p w14:paraId="5E1C2660">
            <w:pPr>
              <w:autoSpaceDE w:val="0"/>
              <w:autoSpaceDN w:val="0"/>
              <w:spacing w:line="450" w:lineRule="exact"/>
              <w:jc w:val="center"/>
              <w:textAlignment w:val="bottom"/>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rPr>
              <w:t>数量</w:t>
            </w:r>
          </w:p>
        </w:tc>
        <w:tc>
          <w:tcPr>
            <w:tcW w:w="6315" w:type="dxa"/>
            <w:gridSpan w:val="2"/>
            <w:tcBorders>
              <w:top w:val="single" w:color="auto" w:sz="4" w:space="0"/>
              <w:left w:val="single" w:color="auto" w:sz="4" w:space="0"/>
              <w:bottom w:val="single" w:color="auto" w:sz="4" w:space="0"/>
              <w:right w:val="single" w:color="auto" w:sz="12" w:space="0"/>
            </w:tcBorders>
            <w:noWrap w:val="0"/>
            <w:vAlign w:val="center"/>
          </w:tcPr>
          <w:p w14:paraId="7C62C047">
            <w:pPr>
              <w:autoSpaceDE w:val="0"/>
              <w:autoSpaceDN w:val="0"/>
              <w:spacing w:line="450" w:lineRule="exact"/>
              <w:jc w:val="center"/>
              <w:textAlignment w:val="bottom"/>
              <w:rPr>
                <w:rFonts w:ascii="宋体" w:hAnsi="宋体"/>
                <w:b/>
                <w:bCs/>
                <w:color w:val="auto"/>
                <w:sz w:val="21"/>
                <w:szCs w:val="21"/>
                <w:highlight w:val="none"/>
              </w:rPr>
            </w:pPr>
            <w:r>
              <w:rPr>
                <w:rFonts w:hint="eastAsia" w:ascii="宋体" w:hAnsi="宋体"/>
                <w:b/>
                <w:bCs/>
                <w:color w:val="auto"/>
                <w:sz w:val="21"/>
                <w:szCs w:val="21"/>
                <w:highlight w:val="none"/>
                <w:lang w:val="en-US" w:eastAsia="zh-CN"/>
              </w:rPr>
              <w:t>183</w:t>
            </w:r>
            <w:r>
              <w:rPr>
                <w:rFonts w:hint="eastAsia" w:ascii="宋体" w:hAnsi="宋体"/>
                <w:b/>
                <w:bCs/>
                <w:color w:val="auto"/>
                <w:sz w:val="21"/>
                <w:szCs w:val="21"/>
                <w:highlight w:val="none"/>
              </w:rPr>
              <w:t>吨（暂定）</w:t>
            </w:r>
          </w:p>
        </w:tc>
      </w:tr>
      <w:tr w14:paraId="5931FAD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681" w:hRule="atLeast"/>
          <w:jc w:val="center"/>
        </w:trPr>
        <w:tc>
          <w:tcPr>
            <w:tcW w:w="2844" w:type="dxa"/>
            <w:tcBorders>
              <w:top w:val="single" w:color="auto" w:sz="4" w:space="0"/>
              <w:left w:val="single" w:color="auto" w:sz="12" w:space="0"/>
              <w:bottom w:val="single" w:color="auto" w:sz="4" w:space="0"/>
              <w:right w:val="single" w:color="auto" w:sz="4" w:space="0"/>
            </w:tcBorders>
            <w:noWrap w:val="0"/>
            <w:vAlign w:val="center"/>
          </w:tcPr>
          <w:p w14:paraId="046C7AAB">
            <w:pPr>
              <w:autoSpaceDE w:val="0"/>
              <w:autoSpaceDN w:val="0"/>
              <w:spacing w:line="450" w:lineRule="exact"/>
              <w:jc w:val="center"/>
              <w:textAlignment w:val="bottom"/>
              <w:rPr>
                <w:rFonts w:hint="eastAsia" w:ascii="宋体" w:hAnsi="宋体"/>
                <w:b/>
                <w:bCs/>
                <w:color w:val="auto"/>
                <w:sz w:val="21"/>
                <w:szCs w:val="21"/>
                <w:highlight w:val="none"/>
              </w:rPr>
            </w:pPr>
            <w:r>
              <w:rPr>
                <w:rFonts w:hint="eastAsia" w:ascii="宋体" w:hAnsi="宋体"/>
                <w:b/>
                <w:bCs/>
                <w:color w:val="auto"/>
                <w:sz w:val="21"/>
                <w:szCs w:val="21"/>
                <w:highlight w:val="none"/>
              </w:rPr>
              <w:t>最高限</w:t>
            </w:r>
            <w:r>
              <w:rPr>
                <w:rFonts w:hint="eastAsia" w:ascii="宋体" w:hAnsi="宋体"/>
                <w:b/>
                <w:bCs/>
                <w:color w:val="auto"/>
                <w:sz w:val="21"/>
                <w:szCs w:val="21"/>
                <w:highlight w:val="none"/>
                <w:lang w:eastAsia="zh-CN"/>
              </w:rPr>
              <w:t>单</w:t>
            </w:r>
            <w:r>
              <w:rPr>
                <w:rFonts w:hint="eastAsia" w:ascii="宋体" w:hAnsi="宋体"/>
                <w:b/>
                <w:bCs/>
                <w:color w:val="auto"/>
                <w:sz w:val="21"/>
                <w:szCs w:val="21"/>
                <w:highlight w:val="none"/>
              </w:rPr>
              <w:t>价</w:t>
            </w:r>
          </w:p>
        </w:tc>
        <w:tc>
          <w:tcPr>
            <w:tcW w:w="6315" w:type="dxa"/>
            <w:gridSpan w:val="2"/>
            <w:tcBorders>
              <w:top w:val="single" w:color="auto" w:sz="4" w:space="0"/>
              <w:left w:val="single" w:color="auto" w:sz="4" w:space="0"/>
              <w:bottom w:val="single" w:color="auto" w:sz="4" w:space="0"/>
              <w:right w:val="single" w:color="auto" w:sz="12" w:space="0"/>
            </w:tcBorders>
            <w:noWrap w:val="0"/>
            <w:vAlign w:val="center"/>
          </w:tcPr>
          <w:p w14:paraId="1F74B1EB">
            <w:pPr>
              <w:autoSpaceDE w:val="0"/>
              <w:autoSpaceDN w:val="0"/>
              <w:spacing w:line="450" w:lineRule="exact"/>
              <w:jc w:val="center"/>
              <w:textAlignment w:val="bottom"/>
              <w:rPr>
                <w:rFonts w:hint="eastAsia" w:ascii="宋体" w:hAnsi="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r>
              <w:rPr>
                <w:rFonts w:hint="eastAsia" w:ascii="宋体" w:hAnsi="宋体" w:cs="宋体"/>
                <w:b/>
                <w:bCs/>
                <w:color w:val="auto"/>
                <w:sz w:val="21"/>
                <w:szCs w:val="21"/>
                <w:highlight w:val="none"/>
                <w:lang w:val="en-US" w:eastAsia="zh-CN"/>
              </w:rPr>
              <w:t>350</w:t>
            </w:r>
            <w:r>
              <w:rPr>
                <w:rFonts w:hint="eastAsia" w:ascii="宋体" w:hAnsi="宋体" w:eastAsia="宋体" w:cs="宋体"/>
                <w:b/>
                <w:bCs/>
                <w:color w:val="auto"/>
                <w:sz w:val="21"/>
                <w:szCs w:val="21"/>
                <w:highlight w:val="none"/>
                <w:lang w:val="en-US" w:eastAsia="zh-CN"/>
              </w:rPr>
              <w:t>元</w:t>
            </w:r>
            <w:r>
              <w:rPr>
                <w:rFonts w:hint="eastAsia" w:ascii="宋体" w:hAnsi="宋体" w:eastAsia="宋体" w:cs="宋体"/>
                <w:b/>
                <w:bCs/>
                <w:color w:val="auto"/>
                <w:sz w:val="21"/>
                <w:szCs w:val="21"/>
                <w:highlight w:val="none"/>
              </w:rPr>
              <w:t>/吨</w:t>
            </w:r>
          </w:p>
        </w:tc>
      </w:tr>
      <w:tr w14:paraId="063EDB1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760" w:hRule="atLeast"/>
          <w:jc w:val="center"/>
        </w:trPr>
        <w:tc>
          <w:tcPr>
            <w:tcW w:w="2844" w:type="dxa"/>
            <w:vMerge w:val="restart"/>
            <w:tcBorders>
              <w:top w:val="single" w:color="auto" w:sz="4" w:space="0"/>
              <w:left w:val="single" w:color="auto" w:sz="12" w:space="0"/>
              <w:bottom w:val="single" w:color="auto" w:sz="4" w:space="0"/>
              <w:right w:val="single" w:color="auto" w:sz="4" w:space="0"/>
            </w:tcBorders>
            <w:noWrap w:val="0"/>
            <w:vAlign w:val="center"/>
          </w:tcPr>
          <w:p w14:paraId="32D37096">
            <w:pPr>
              <w:autoSpaceDE w:val="0"/>
              <w:autoSpaceDN w:val="0"/>
              <w:spacing w:line="450" w:lineRule="exact"/>
              <w:jc w:val="center"/>
              <w:textAlignment w:val="bottom"/>
              <w:rPr>
                <w:rFonts w:hint="default"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投标单价（</w:t>
            </w:r>
            <w:r>
              <w:rPr>
                <w:rFonts w:hint="eastAsia" w:ascii="宋体" w:hAnsi="宋体" w:eastAsia="宋体" w:cs="宋体"/>
                <w:b/>
                <w:bCs/>
                <w:color w:val="auto"/>
                <w:sz w:val="21"/>
                <w:szCs w:val="21"/>
                <w:highlight w:val="none"/>
                <w:lang w:val="en-US" w:eastAsia="zh-CN"/>
              </w:rPr>
              <w:t>元</w:t>
            </w:r>
            <w:r>
              <w:rPr>
                <w:rFonts w:hint="eastAsia" w:ascii="宋体" w:hAnsi="宋体" w:eastAsia="宋体" w:cs="宋体"/>
                <w:b/>
                <w:bCs/>
                <w:color w:val="auto"/>
                <w:sz w:val="21"/>
                <w:szCs w:val="21"/>
                <w:highlight w:val="none"/>
              </w:rPr>
              <w:t>/吨</w:t>
            </w:r>
            <w:r>
              <w:rPr>
                <w:rFonts w:hint="eastAsia" w:ascii="宋体" w:hAnsi="宋体"/>
                <w:b/>
                <w:bCs/>
                <w:color w:val="auto"/>
                <w:sz w:val="21"/>
                <w:szCs w:val="21"/>
                <w:highlight w:val="none"/>
                <w:lang w:val="en-US" w:eastAsia="zh-CN"/>
              </w:rPr>
              <w:t>）</w:t>
            </w:r>
          </w:p>
        </w:tc>
        <w:tc>
          <w:tcPr>
            <w:tcW w:w="1423" w:type="dxa"/>
            <w:tcBorders>
              <w:top w:val="single" w:color="auto" w:sz="4" w:space="0"/>
              <w:left w:val="single" w:color="auto" w:sz="4" w:space="0"/>
              <w:bottom w:val="single" w:color="auto" w:sz="4" w:space="0"/>
              <w:right w:val="single" w:color="auto" w:sz="4" w:space="0"/>
            </w:tcBorders>
            <w:noWrap w:val="0"/>
            <w:vAlign w:val="center"/>
          </w:tcPr>
          <w:p w14:paraId="2E079D98">
            <w:pPr>
              <w:autoSpaceDE w:val="0"/>
              <w:autoSpaceDN w:val="0"/>
              <w:spacing w:line="450" w:lineRule="exact"/>
              <w:jc w:val="center"/>
              <w:textAlignment w:val="bottom"/>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大写</w:t>
            </w:r>
          </w:p>
        </w:tc>
        <w:tc>
          <w:tcPr>
            <w:tcW w:w="4892" w:type="dxa"/>
            <w:tcBorders>
              <w:top w:val="single" w:color="auto" w:sz="4" w:space="0"/>
              <w:left w:val="single" w:color="auto" w:sz="4" w:space="0"/>
              <w:bottom w:val="single" w:color="auto" w:sz="4" w:space="0"/>
              <w:right w:val="single" w:color="auto" w:sz="12" w:space="0"/>
            </w:tcBorders>
            <w:noWrap w:val="0"/>
            <w:vAlign w:val="center"/>
          </w:tcPr>
          <w:p w14:paraId="29A1DE3B">
            <w:pPr>
              <w:snapToGrid w:val="0"/>
              <w:spacing w:line="36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元/吨</w:t>
            </w:r>
          </w:p>
        </w:tc>
      </w:tr>
      <w:tr w14:paraId="3EFA3A8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932" w:hRule="atLeast"/>
          <w:jc w:val="center"/>
        </w:trPr>
        <w:tc>
          <w:tcPr>
            <w:tcW w:w="2844" w:type="dxa"/>
            <w:vMerge w:val="continue"/>
            <w:tcBorders>
              <w:top w:val="single" w:color="auto" w:sz="4" w:space="0"/>
              <w:left w:val="single" w:color="auto" w:sz="12" w:space="0"/>
              <w:bottom w:val="single" w:color="auto" w:sz="4" w:space="0"/>
              <w:right w:val="single" w:color="auto" w:sz="4" w:space="0"/>
            </w:tcBorders>
            <w:noWrap w:val="0"/>
            <w:vAlign w:val="center"/>
          </w:tcPr>
          <w:p w14:paraId="26F0CE2A">
            <w:pPr>
              <w:jc w:val="center"/>
              <w:rPr>
                <w:rFonts w:hint="eastAsia" w:ascii="宋体" w:hAnsi="宋体"/>
                <w:color w:val="auto"/>
                <w:sz w:val="21"/>
                <w:szCs w:val="21"/>
                <w:highlight w:val="none"/>
                <w:lang w:val="en-US" w:eastAsia="zh-CN"/>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6408B7A5">
            <w:pPr>
              <w:autoSpaceDE w:val="0"/>
              <w:autoSpaceDN w:val="0"/>
              <w:spacing w:line="450" w:lineRule="exact"/>
              <w:jc w:val="center"/>
              <w:textAlignment w:val="bottom"/>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小写</w:t>
            </w:r>
          </w:p>
        </w:tc>
        <w:tc>
          <w:tcPr>
            <w:tcW w:w="4892" w:type="dxa"/>
            <w:tcBorders>
              <w:top w:val="single" w:color="auto" w:sz="4" w:space="0"/>
              <w:left w:val="single" w:color="auto" w:sz="4" w:space="0"/>
              <w:bottom w:val="single" w:color="auto" w:sz="4" w:space="0"/>
              <w:right w:val="single" w:color="auto" w:sz="12" w:space="0"/>
            </w:tcBorders>
            <w:noWrap w:val="0"/>
            <w:vAlign w:val="center"/>
          </w:tcPr>
          <w:p w14:paraId="10907EDB">
            <w:pPr>
              <w:snapToGrid w:val="0"/>
              <w:spacing w:line="36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元/吨</w:t>
            </w:r>
          </w:p>
        </w:tc>
      </w:tr>
      <w:tr w14:paraId="30F270A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932" w:hRule="atLeast"/>
          <w:jc w:val="center"/>
        </w:trPr>
        <w:tc>
          <w:tcPr>
            <w:tcW w:w="2844" w:type="dxa"/>
            <w:vMerge w:val="restart"/>
            <w:tcBorders>
              <w:top w:val="single" w:color="auto" w:sz="4" w:space="0"/>
              <w:left w:val="single" w:color="auto" w:sz="12" w:space="0"/>
              <w:right w:val="single" w:color="auto" w:sz="4" w:space="0"/>
            </w:tcBorders>
            <w:noWrap w:val="0"/>
            <w:vAlign w:val="center"/>
          </w:tcPr>
          <w:p w14:paraId="3D2D319E">
            <w:pPr>
              <w:autoSpaceDE w:val="0"/>
              <w:autoSpaceDN w:val="0"/>
              <w:spacing w:line="450" w:lineRule="exact"/>
              <w:jc w:val="center"/>
              <w:textAlignment w:val="bottom"/>
              <w:rPr>
                <w:rFonts w:hint="eastAsia" w:ascii="宋体" w:hAnsi="宋体"/>
                <w:color w:val="auto"/>
                <w:sz w:val="21"/>
                <w:szCs w:val="21"/>
                <w:highlight w:val="none"/>
                <w:lang w:val="en-US" w:eastAsia="zh-CN"/>
              </w:rPr>
            </w:pPr>
            <w:r>
              <w:rPr>
                <w:rFonts w:hint="eastAsia" w:ascii="宋体" w:hAnsi="宋体"/>
                <w:b/>
                <w:bCs/>
                <w:color w:val="auto"/>
                <w:sz w:val="21"/>
                <w:szCs w:val="21"/>
                <w:highlight w:val="none"/>
                <w:lang w:val="en-US" w:eastAsia="zh-CN"/>
              </w:rPr>
              <w:t>投标总</w:t>
            </w:r>
            <w:r>
              <w:rPr>
                <w:rFonts w:hint="eastAsia" w:ascii="宋体" w:hAnsi="宋体"/>
                <w:b/>
                <w:bCs/>
                <w:color w:val="auto"/>
                <w:sz w:val="21"/>
                <w:szCs w:val="21"/>
                <w:highlight w:val="none"/>
              </w:rPr>
              <w:t>报价(元)</w:t>
            </w:r>
          </w:p>
        </w:tc>
        <w:tc>
          <w:tcPr>
            <w:tcW w:w="1423" w:type="dxa"/>
            <w:tcBorders>
              <w:top w:val="single" w:color="auto" w:sz="4" w:space="0"/>
              <w:left w:val="single" w:color="auto" w:sz="4" w:space="0"/>
              <w:bottom w:val="single" w:color="auto" w:sz="4" w:space="0"/>
              <w:right w:val="single" w:color="auto" w:sz="4" w:space="0"/>
            </w:tcBorders>
            <w:noWrap w:val="0"/>
            <w:vAlign w:val="center"/>
          </w:tcPr>
          <w:p w14:paraId="74FD544B">
            <w:pPr>
              <w:autoSpaceDE w:val="0"/>
              <w:autoSpaceDN w:val="0"/>
              <w:spacing w:line="450" w:lineRule="exact"/>
              <w:jc w:val="center"/>
              <w:textAlignment w:val="bottom"/>
              <w:rPr>
                <w:rFonts w:hint="eastAsia" w:ascii="宋体" w:hAnsi="宋体"/>
                <w:color w:val="auto"/>
                <w:sz w:val="21"/>
                <w:szCs w:val="21"/>
                <w:highlight w:val="none"/>
                <w:lang w:val="en-US" w:eastAsia="zh-CN"/>
              </w:rPr>
            </w:pPr>
            <w:r>
              <w:rPr>
                <w:rFonts w:hint="eastAsia" w:ascii="宋体" w:hAnsi="宋体"/>
                <w:color w:val="auto"/>
                <w:sz w:val="21"/>
                <w:szCs w:val="21"/>
                <w:highlight w:val="none"/>
              </w:rPr>
              <w:t>大写</w:t>
            </w:r>
          </w:p>
        </w:tc>
        <w:tc>
          <w:tcPr>
            <w:tcW w:w="4892" w:type="dxa"/>
            <w:tcBorders>
              <w:top w:val="single" w:color="auto" w:sz="4" w:space="0"/>
              <w:left w:val="single" w:color="auto" w:sz="4" w:space="0"/>
              <w:bottom w:val="single" w:color="auto" w:sz="4" w:space="0"/>
              <w:right w:val="single" w:color="auto" w:sz="12" w:space="0"/>
            </w:tcBorders>
            <w:noWrap w:val="0"/>
            <w:vAlign w:val="center"/>
          </w:tcPr>
          <w:p w14:paraId="73DC9246">
            <w:pPr>
              <w:snapToGrid w:val="0"/>
              <w:spacing w:line="360" w:lineRule="auto"/>
              <w:ind w:firstLine="210" w:firstLineChars="100"/>
              <w:rPr>
                <w:rFonts w:hint="eastAsia" w:ascii="宋体" w:hAnsi="宋体"/>
                <w:color w:val="auto"/>
                <w:sz w:val="21"/>
                <w:szCs w:val="21"/>
                <w:highlight w:val="none"/>
                <w:u w:val="single"/>
              </w:rPr>
            </w:pP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w:t>
            </w:r>
          </w:p>
        </w:tc>
      </w:tr>
      <w:tr w14:paraId="6C35119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960" w:hRule="atLeast"/>
          <w:jc w:val="center"/>
        </w:trPr>
        <w:tc>
          <w:tcPr>
            <w:tcW w:w="2844" w:type="dxa"/>
            <w:vMerge w:val="continue"/>
            <w:tcBorders>
              <w:left w:val="single" w:color="auto" w:sz="12" w:space="0"/>
              <w:bottom w:val="single" w:color="auto" w:sz="4" w:space="0"/>
              <w:right w:val="single" w:color="auto" w:sz="4" w:space="0"/>
            </w:tcBorders>
            <w:noWrap w:val="0"/>
            <w:vAlign w:val="center"/>
          </w:tcPr>
          <w:p w14:paraId="0FE97C99">
            <w:pPr>
              <w:autoSpaceDE w:val="0"/>
              <w:autoSpaceDN w:val="0"/>
              <w:spacing w:line="450" w:lineRule="exact"/>
              <w:jc w:val="center"/>
              <w:textAlignment w:val="bottom"/>
              <w:rPr>
                <w:rFonts w:hint="eastAsia" w:ascii="宋体" w:hAnsi="宋体"/>
                <w:color w:val="auto"/>
                <w:sz w:val="21"/>
                <w:szCs w:val="21"/>
                <w:highlight w:val="none"/>
                <w:lang w:val="en-US" w:eastAsia="zh-CN"/>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5E8299A4">
            <w:pPr>
              <w:autoSpaceDE w:val="0"/>
              <w:autoSpaceDN w:val="0"/>
              <w:spacing w:line="450" w:lineRule="exact"/>
              <w:jc w:val="center"/>
              <w:textAlignment w:val="bottom"/>
              <w:rPr>
                <w:rFonts w:hint="eastAsia" w:ascii="宋体" w:hAnsi="宋体"/>
                <w:color w:val="auto"/>
                <w:sz w:val="21"/>
                <w:szCs w:val="21"/>
                <w:highlight w:val="none"/>
                <w:lang w:val="en-US" w:eastAsia="zh-CN"/>
              </w:rPr>
            </w:pPr>
            <w:r>
              <w:rPr>
                <w:rFonts w:hint="eastAsia" w:ascii="宋体" w:hAnsi="宋体"/>
                <w:color w:val="auto"/>
                <w:sz w:val="21"/>
                <w:szCs w:val="21"/>
                <w:highlight w:val="none"/>
              </w:rPr>
              <w:t>小写</w:t>
            </w:r>
          </w:p>
        </w:tc>
        <w:tc>
          <w:tcPr>
            <w:tcW w:w="4892" w:type="dxa"/>
            <w:tcBorders>
              <w:top w:val="single" w:color="auto" w:sz="4" w:space="0"/>
              <w:left w:val="single" w:color="auto" w:sz="4" w:space="0"/>
              <w:bottom w:val="single" w:color="auto" w:sz="4" w:space="0"/>
              <w:right w:val="single" w:color="auto" w:sz="12" w:space="0"/>
            </w:tcBorders>
            <w:noWrap w:val="0"/>
            <w:vAlign w:val="center"/>
          </w:tcPr>
          <w:p w14:paraId="2E920A13">
            <w:pPr>
              <w:snapToGrid w:val="0"/>
              <w:spacing w:line="360" w:lineRule="auto"/>
              <w:ind w:firstLine="210" w:firstLineChars="100"/>
              <w:rPr>
                <w:rFonts w:hint="eastAsia" w:ascii="宋体" w:hAnsi="宋体"/>
                <w:color w:val="auto"/>
                <w:sz w:val="21"/>
                <w:szCs w:val="21"/>
                <w:highlight w:val="none"/>
                <w:u w:val="single"/>
              </w:rPr>
            </w:pP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w:t>
            </w:r>
          </w:p>
        </w:tc>
      </w:tr>
    </w:tbl>
    <w:p w14:paraId="46E1ED71">
      <w:pPr>
        <w:keepNext w:val="0"/>
        <w:keepLines w:val="0"/>
        <w:pageBreakBefore w:val="0"/>
        <w:kinsoku/>
        <w:overflowPunct/>
        <w:topLinePunct w:val="0"/>
        <w:bidi w:val="0"/>
        <w:spacing w:line="360" w:lineRule="auto"/>
        <w:ind w:left="480"/>
        <w:outlineLvl w:val="9"/>
        <w:rPr>
          <w:rFonts w:hint="eastAsia" w:ascii="宋体" w:hAnsi="宋体" w:eastAsia="宋体" w:cs="宋体"/>
          <w:b/>
          <w:color w:val="auto"/>
          <w:sz w:val="21"/>
          <w:szCs w:val="21"/>
          <w:highlight w:val="none"/>
        </w:rPr>
      </w:pPr>
    </w:p>
    <w:p w14:paraId="757E0FE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填报要求：</w:t>
      </w:r>
    </w:p>
    <w:p w14:paraId="575E1670">
      <w:pPr>
        <w:keepNext w:val="0"/>
        <w:keepLines w:val="0"/>
        <w:pageBreakBefore w:val="0"/>
        <w:kinsoku/>
        <w:wordWrap/>
        <w:topLinePunct w:val="0"/>
        <w:bidi w:val="0"/>
        <w:spacing w:line="360" w:lineRule="auto"/>
        <w:ind w:firstLine="422" w:firstLineChars="200"/>
        <w:outlineLvl w:val="9"/>
        <w:rPr>
          <w:rFonts w:hint="eastAsia" w:ascii="宋体" w:hAnsi="宋体"/>
          <w:b/>
          <w:bCs/>
          <w:color w:val="auto"/>
          <w:kern w:val="0"/>
          <w:szCs w:val="21"/>
          <w:highlight w:val="none"/>
          <w:lang w:eastAsia="zh-CN"/>
        </w:rPr>
      </w:pPr>
      <w:r>
        <w:rPr>
          <w:rFonts w:hint="eastAsia" w:ascii="宋体" w:hAnsi="宋体"/>
          <w:b/>
          <w:bCs/>
          <w:color w:val="auto"/>
          <w:kern w:val="0"/>
          <w:szCs w:val="21"/>
          <w:highlight w:val="none"/>
        </w:rPr>
        <w:t>1</w:t>
      </w:r>
      <w:r>
        <w:rPr>
          <w:rFonts w:hint="eastAsia" w:ascii="宋体" w:hAnsi="宋体"/>
          <w:b/>
          <w:bCs/>
          <w:color w:val="auto"/>
          <w:kern w:val="0"/>
          <w:szCs w:val="21"/>
          <w:highlight w:val="none"/>
          <w:lang w:eastAsia="zh-CN"/>
        </w:rPr>
        <w:t>、</w:t>
      </w:r>
      <w:r>
        <w:rPr>
          <w:rFonts w:hint="eastAsia" w:ascii="宋体" w:hAnsi="宋体" w:cs="宋体"/>
          <w:b/>
          <w:bCs/>
          <w:color w:val="auto"/>
          <w:sz w:val="21"/>
          <w:szCs w:val="21"/>
          <w:highlight w:val="none"/>
          <w:lang w:val="en-US" w:eastAsia="zh-CN"/>
        </w:rPr>
        <w:t>具体</w:t>
      </w:r>
      <w:r>
        <w:rPr>
          <w:rFonts w:hint="eastAsia" w:ascii="宋体" w:hAnsi="宋体" w:eastAsia="宋体" w:cs="宋体"/>
          <w:b/>
          <w:bCs/>
          <w:color w:val="auto"/>
          <w:sz w:val="21"/>
          <w:szCs w:val="21"/>
          <w:highlight w:val="none"/>
          <w:lang w:val="en-US" w:eastAsia="zh-CN"/>
        </w:rPr>
        <w:t>按实结算，</w:t>
      </w:r>
      <w:r>
        <w:rPr>
          <w:rFonts w:hint="eastAsia" w:ascii="宋体" w:hAnsi="宋体" w:cs="宋体"/>
          <w:b/>
          <w:bCs/>
          <w:color w:val="auto"/>
          <w:sz w:val="21"/>
          <w:szCs w:val="21"/>
          <w:highlight w:val="none"/>
          <w:lang w:val="en-US" w:eastAsia="zh-CN"/>
        </w:rPr>
        <w:t>结算价</w:t>
      </w:r>
      <w:r>
        <w:rPr>
          <w:rFonts w:hint="eastAsia" w:ascii="宋体" w:hAnsi="宋体" w:eastAsia="宋体" w:cs="宋体"/>
          <w:b/>
          <w:bCs/>
          <w:color w:val="auto"/>
          <w:sz w:val="21"/>
          <w:szCs w:val="21"/>
          <w:highlight w:val="none"/>
          <w:lang w:val="en-US" w:eastAsia="zh-CN"/>
        </w:rPr>
        <w:t>=中标单价*实际死亡动物及动物产品处理结算量。</w:t>
      </w:r>
    </w:p>
    <w:p w14:paraId="6A89C862">
      <w:pPr>
        <w:keepNext w:val="0"/>
        <w:keepLines w:val="0"/>
        <w:pageBreakBefore w:val="0"/>
        <w:kinsoku/>
        <w:wordWrap/>
        <w:topLinePunct w:val="0"/>
        <w:bidi w:val="0"/>
        <w:spacing w:line="360" w:lineRule="auto"/>
        <w:ind w:firstLine="420" w:firstLineChars="200"/>
        <w:outlineLvl w:val="9"/>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投标</w:t>
      </w:r>
      <w:r>
        <w:rPr>
          <w:rFonts w:hint="eastAsia" w:asciiTheme="minorEastAsia" w:hAnsiTheme="minorEastAsia" w:eastAsiaTheme="minorEastAsia" w:cstheme="minorEastAsia"/>
          <w:color w:val="auto"/>
          <w:szCs w:val="21"/>
          <w:highlight w:val="none"/>
          <w:lang w:val="en-US" w:eastAsia="zh-CN"/>
        </w:rPr>
        <w:t>总</w:t>
      </w:r>
      <w:r>
        <w:rPr>
          <w:rFonts w:hint="eastAsia" w:asciiTheme="minorEastAsia" w:hAnsiTheme="minorEastAsia" w:eastAsiaTheme="minorEastAsia" w:cstheme="minorEastAsia"/>
          <w:color w:val="auto"/>
          <w:szCs w:val="21"/>
          <w:highlight w:val="none"/>
        </w:rPr>
        <w:t>报价为完成本项目的所有费用，包含所有人员的人工费、交通费、住宿费、伙食费、办公设施费、管理费、利润、税金等一切费用，全部费用已包含在投标</w:t>
      </w:r>
      <w:r>
        <w:rPr>
          <w:rFonts w:hint="eastAsia" w:asciiTheme="minorEastAsia" w:hAnsiTheme="minorEastAsia" w:eastAsiaTheme="minorEastAsia" w:cstheme="minorEastAsia"/>
          <w:color w:val="auto"/>
          <w:szCs w:val="21"/>
          <w:highlight w:val="none"/>
          <w:lang w:val="en-US" w:eastAsia="zh-CN"/>
        </w:rPr>
        <w:t>总</w:t>
      </w:r>
      <w:r>
        <w:rPr>
          <w:rFonts w:hint="eastAsia" w:asciiTheme="minorEastAsia" w:hAnsiTheme="minorEastAsia" w:eastAsiaTheme="minorEastAsia" w:cstheme="minorEastAsia"/>
          <w:color w:val="auto"/>
          <w:szCs w:val="21"/>
          <w:highlight w:val="none"/>
        </w:rPr>
        <w:t>报价中</w:t>
      </w:r>
      <w:r>
        <w:rPr>
          <w:rFonts w:hint="eastAsia" w:asciiTheme="minorEastAsia" w:hAnsiTheme="minorEastAsia" w:eastAsiaTheme="minorEastAsia" w:cstheme="minorEastAsia"/>
          <w:color w:val="auto"/>
          <w:sz w:val="21"/>
          <w:szCs w:val="21"/>
          <w:highlight w:val="none"/>
          <w:lang w:val="en-US" w:eastAsia="zh-CN"/>
        </w:rPr>
        <w:t>。</w:t>
      </w:r>
    </w:p>
    <w:p w14:paraId="62AD0699">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b/>
          <w:i/>
          <w:color w:val="auto"/>
          <w:sz w:val="21"/>
          <w:szCs w:val="21"/>
          <w:highlight w:val="none"/>
          <w:u w:val="single"/>
        </w:rPr>
      </w:pP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报价一经涂改，应在涂改处加盖单位公章，或者由法定代表人或</w:t>
      </w:r>
      <w:r>
        <w:rPr>
          <w:rFonts w:hint="eastAsia" w:ascii="宋体" w:hAnsi="宋体" w:eastAsia="宋体" w:cs="宋体"/>
          <w:color w:val="auto"/>
          <w:kern w:val="0"/>
          <w:sz w:val="21"/>
          <w:szCs w:val="21"/>
          <w:highlight w:val="none"/>
          <w:lang w:eastAsia="zh-CN"/>
        </w:rPr>
        <w:t>授权委托代理人签字</w:t>
      </w:r>
      <w:r>
        <w:rPr>
          <w:rFonts w:hint="eastAsia" w:ascii="宋体" w:hAnsi="宋体" w:eastAsia="宋体" w:cs="宋体"/>
          <w:color w:val="auto"/>
          <w:kern w:val="0"/>
          <w:sz w:val="21"/>
          <w:szCs w:val="21"/>
          <w:highlight w:val="none"/>
        </w:rPr>
        <w:t>或盖章，否则作无效标处理。</w:t>
      </w:r>
    </w:p>
    <w:p w14:paraId="5F7398E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786EB012">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39920806">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83FE66B">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7A12CC84">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4B405E0">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20B17461">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59E7FB3">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43646A6A">
      <w:pPr>
        <w:keepNext w:val="0"/>
        <w:keepLines w:val="0"/>
        <w:pageBreakBefore w:val="0"/>
        <w:kinsoku/>
        <w:overflowPunct/>
        <w:topLinePunct w:val="0"/>
        <w:bidi w:val="0"/>
        <w:spacing w:line="320" w:lineRule="exact"/>
        <w:ind w:firstLine="435"/>
        <w:outlineLvl w:val="9"/>
        <w:rPr>
          <w:rFonts w:hint="default" w:ascii="宋体" w:hAnsi="宋体" w:eastAsia="宋体" w:cs="宋体"/>
          <w:b/>
          <w:color w:val="auto"/>
          <w:sz w:val="28"/>
          <w:highlight w:val="none"/>
          <w:lang w:val="en-US" w:eastAsia="zh-CN"/>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p>
    <w:bookmarkEnd w:id="3"/>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auto"/>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EC0B8">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851723">
                          <w:pPr>
                            <w:pStyle w:val="12"/>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35851723">
                    <w:pPr>
                      <w:pStyle w:val="12"/>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99762">
    <w:pPr>
      <w:pStyle w:val="1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A02583">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DA02583">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30D2C">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F396E">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3FF396E">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35316">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013E7">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1AB3C">
    <w:pPr>
      <w:rPr>
        <w:i w:val="0"/>
        <w:iCs/>
      </w:rPr>
    </w:pPr>
    <w:r>
      <w:rPr>
        <w:rFonts w:hint="eastAsia"/>
        <w:b/>
        <w:i w:val="0"/>
        <w:iCs/>
        <w:color w:val="000000"/>
        <w:kern w:val="0"/>
        <w:sz w:val="18"/>
        <w:u w:val="single"/>
      </w:rPr>
      <w:t>政府采购</w:t>
    </w:r>
    <w:r>
      <w:rPr>
        <w:rFonts w:hint="eastAsia"/>
        <w:b/>
        <w:i w:val="0"/>
        <w:iCs/>
        <w:color w:val="000000"/>
        <w:kern w:val="0"/>
        <w:sz w:val="18"/>
        <w:u w:val="single"/>
        <w:lang w:val="en-US" w:eastAsia="zh-CN"/>
      </w:rPr>
      <w:t>竞争性磋商</w:t>
    </w:r>
    <w:r>
      <w:rPr>
        <w:rFonts w:hint="eastAsia"/>
        <w:b/>
        <w:i w:val="0"/>
        <w:iCs/>
        <w:color w:val="000000"/>
        <w:kern w:val="0"/>
        <w:sz w:val="18"/>
        <w:u w:val="single"/>
        <w:lang w:eastAsia="zh-CN"/>
      </w:rPr>
      <w:t>文件</w:t>
    </w:r>
    <w:r>
      <w:rPr>
        <w:b/>
        <w:i w:val="0"/>
        <w:iCs/>
        <w:color w:val="000000"/>
        <w:kern w:val="0"/>
        <w:sz w:val="18"/>
        <w:u w:val="single"/>
      </w:rPr>
      <w:t>--</w:t>
    </w:r>
    <w:r>
      <w:rPr>
        <w:rFonts w:hint="eastAsia"/>
        <w:b/>
        <w:i w:val="0"/>
        <w:iCs/>
        <w:color w:val="000000"/>
        <w:kern w:val="0"/>
        <w:sz w:val="18"/>
        <w:u w:val="single"/>
        <w:lang w:val="en-US" w:eastAsia="zh-CN"/>
      </w:rPr>
      <w:t>病死动物无害化处理项目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C5749">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AA4EC">
    <w:pPr>
      <w:pStyle w:val="13"/>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0C59D">
    <w:pPr>
      <w:pStyle w:val="13"/>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76F6C4"/>
    <w:multiLevelType w:val="singleLevel"/>
    <w:tmpl w:val="4576F6C4"/>
    <w:lvl w:ilvl="0" w:tentative="0">
      <w:start w:val="1"/>
      <w:numFmt w:val="chineseCounting"/>
      <w:suff w:val="nothing"/>
      <w:lvlText w:val="%1、"/>
      <w:lvlJc w:val="left"/>
      <w:rPr>
        <w:rFonts w:hint="eastAsia"/>
      </w:rPr>
    </w:lvl>
  </w:abstractNum>
  <w:abstractNum w:abstractNumId="1">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2">
    <w:nsid w:val="770A450F"/>
    <w:multiLevelType w:val="singleLevel"/>
    <w:tmpl w:val="770A450F"/>
    <w:lvl w:ilvl="0" w:tentative="0">
      <w:start w:val="2"/>
      <w:numFmt w:val="chineseCounting"/>
      <w:suff w:val="space"/>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YjIxNWNhZWZjM2JhMjIwYzYzOGE4MjY2ZTQ1NTYifQ=="/>
  </w:docVars>
  <w:rsids>
    <w:rsidRoot w:val="00BE3149"/>
    <w:rsid w:val="0008396C"/>
    <w:rsid w:val="003C6577"/>
    <w:rsid w:val="00532108"/>
    <w:rsid w:val="006C42F4"/>
    <w:rsid w:val="009B7365"/>
    <w:rsid w:val="009C6908"/>
    <w:rsid w:val="009E7B9B"/>
    <w:rsid w:val="00B95117"/>
    <w:rsid w:val="00BE3149"/>
    <w:rsid w:val="00D27694"/>
    <w:rsid w:val="00E04ED8"/>
    <w:rsid w:val="00FF74E6"/>
    <w:rsid w:val="017A6A7C"/>
    <w:rsid w:val="017C4E3A"/>
    <w:rsid w:val="01D70B06"/>
    <w:rsid w:val="02380D19"/>
    <w:rsid w:val="024017F0"/>
    <w:rsid w:val="02F97313"/>
    <w:rsid w:val="03320476"/>
    <w:rsid w:val="036C1E9F"/>
    <w:rsid w:val="03883137"/>
    <w:rsid w:val="03F84D6E"/>
    <w:rsid w:val="041861BA"/>
    <w:rsid w:val="043F7FC4"/>
    <w:rsid w:val="04466BB8"/>
    <w:rsid w:val="04E65DCF"/>
    <w:rsid w:val="052341BD"/>
    <w:rsid w:val="05283431"/>
    <w:rsid w:val="053C3F02"/>
    <w:rsid w:val="056E3453"/>
    <w:rsid w:val="05D83480"/>
    <w:rsid w:val="0601391E"/>
    <w:rsid w:val="067363FE"/>
    <w:rsid w:val="073967B1"/>
    <w:rsid w:val="07685A63"/>
    <w:rsid w:val="076A5AA3"/>
    <w:rsid w:val="07D22E0A"/>
    <w:rsid w:val="0836339B"/>
    <w:rsid w:val="08390248"/>
    <w:rsid w:val="08995B03"/>
    <w:rsid w:val="08AC4158"/>
    <w:rsid w:val="09001A02"/>
    <w:rsid w:val="09492528"/>
    <w:rsid w:val="09846D45"/>
    <w:rsid w:val="099F2E34"/>
    <w:rsid w:val="09CF47C3"/>
    <w:rsid w:val="09E03F7D"/>
    <w:rsid w:val="09F33DD0"/>
    <w:rsid w:val="0A071FFD"/>
    <w:rsid w:val="0A2C1FBC"/>
    <w:rsid w:val="0AF64F0D"/>
    <w:rsid w:val="0B8001A4"/>
    <w:rsid w:val="0C030754"/>
    <w:rsid w:val="0C181AC6"/>
    <w:rsid w:val="0CCA1272"/>
    <w:rsid w:val="0CD8063C"/>
    <w:rsid w:val="0CFA4EFD"/>
    <w:rsid w:val="0D1F4CD0"/>
    <w:rsid w:val="0D305579"/>
    <w:rsid w:val="0D88328D"/>
    <w:rsid w:val="0DD91C25"/>
    <w:rsid w:val="0E0F138C"/>
    <w:rsid w:val="0EC6046D"/>
    <w:rsid w:val="0ED2632B"/>
    <w:rsid w:val="0F122F26"/>
    <w:rsid w:val="0F7E6199"/>
    <w:rsid w:val="0FBE7878"/>
    <w:rsid w:val="0FE74D1C"/>
    <w:rsid w:val="0FF94B3D"/>
    <w:rsid w:val="100C6301"/>
    <w:rsid w:val="10452B67"/>
    <w:rsid w:val="109F080C"/>
    <w:rsid w:val="118B5473"/>
    <w:rsid w:val="11E77423"/>
    <w:rsid w:val="121665CB"/>
    <w:rsid w:val="121F1572"/>
    <w:rsid w:val="12704EB7"/>
    <w:rsid w:val="12E52961"/>
    <w:rsid w:val="12EC03CE"/>
    <w:rsid w:val="12FA02EB"/>
    <w:rsid w:val="13BF45A5"/>
    <w:rsid w:val="14127A7E"/>
    <w:rsid w:val="149451F4"/>
    <w:rsid w:val="15115B44"/>
    <w:rsid w:val="153636E4"/>
    <w:rsid w:val="153703F4"/>
    <w:rsid w:val="159E68EB"/>
    <w:rsid w:val="165C24F7"/>
    <w:rsid w:val="168339D9"/>
    <w:rsid w:val="16CC3CB9"/>
    <w:rsid w:val="16D70F66"/>
    <w:rsid w:val="17047DD8"/>
    <w:rsid w:val="171D6CDD"/>
    <w:rsid w:val="17461D47"/>
    <w:rsid w:val="17B10D95"/>
    <w:rsid w:val="17B23AF1"/>
    <w:rsid w:val="17D14D06"/>
    <w:rsid w:val="17D2330C"/>
    <w:rsid w:val="191533D1"/>
    <w:rsid w:val="192A2781"/>
    <w:rsid w:val="1937455F"/>
    <w:rsid w:val="19474367"/>
    <w:rsid w:val="1A165B5E"/>
    <w:rsid w:val="1AA22976"/>
    <w:rsid w:val="1B1120A4"/>
    <w:rsid w:val="1B697EA8"/>
    <w:rsid w:val="1BC0155F"/>
    <w:rsid w:val="1CBF0303"/>
    <w:rsid w:val="1CC61F19"/>
    <w:rsid w:val="1CD001DE"/>
    <w:rsid w:val="1D465475"/>
    <w:rsid w:val="1DFB572F"/>
    <w:rsid w:val="1E1F7201"/>
    <w:rsid w:val="1EF1268E"/>
    <w:rsid w:val="1EF43673"/>
    <w:rsid w:val="1F162724"/>
    <w:rsid w:val="1F4F69F4"/>
    <w:rsid w:val="1F845AC6"/>
    <w:rsid w:val="2012057A"/>
    <w:rsid w:val="201C7B31"/>
    <w:rsid w:val="203F2146"/>
    <w:rsid w:val="20AA0083"/>
    <w:rsid w:val="20ED3C16"/>
    <w:rsid w:val="21492AD8"/>
    <w:rsid w:val="217E3C1D"/>
    <w:rsid w:val="223A2AB8"/>
    <w:rsid w:val="224700DF"/>
    <w:rsid w:val="234C750E"/>
    <w:rsid w:val="239A1BA6"/>
    <w:rsid w:val="23E40A13"/>
    <w:rsid w:val="23FA686C"/>
    <w:rsid w:val="246062EC"/>
    <w:rsid w:val="24AA5BCC"/>
    <w:rsid w:val="24C70583"/>
    <w:rsid w:val="255B67E8"/>
    <w:rsid w:val="25D20519"/>
    <w:rsid w:val="25D774E6"/>
    <w:rsid w:val="26B8513F"/>
    <w:rsid w:val="277E06D7"/>
    <w:rsid w:val="27AC425F"/>
    <w:rsid w:val="28032FE3"/>
    <w:rsid w:val="285D5E3E"/>
    <w:rsid w:val="28AF41A0"/>
    <w:rsid w:val="28D80E9E"/>
    <w:rsid w:val="29320DF3"/>
    <w:rsid w:val="29571568"/>
    <w:rsid w:val="29E20D6F"/>
    <w:rsid w:val="29E63530"/>
    <w:rsid w:val="2A8138F9"/>
    <w:rsid w:val="2ABA427C"/>
    <w:rsid w:val="2AFA5254"/>
    <w:rsid w:val="2B2C7B14"/>
    <w:rsid w:val="2B792697"/>
    <w:rsid w:val="2C654A37"/>
    <w:rsid w:val="2CD94E8D"/>
    <w:rsid w:val="2D384E8E"/>
    <w:rsid w:val="2E96604C"/>
    <w:rsid w:val="2EA209AC"/>
    <w:rsid w:val="2EA23D0C"/>
    <w:rsid w:val="2EB30204"/>
    <w:rsid w:val="2EBE2906"/>
    <w:rsid w:val="2EEF2FD0"/>
    <w:rsid w:val="2F607C49"/>
    <w:rsid w:val="2F7B1BB4"/>
    <w:rsid w:val="2FAF0F3B"/>
    <w:rsid w:val="2FCC2EC1"/>
    <w:rsid w:val="2FD75A57"/>
    <w:rsid w:val="30150257"/>
    <w:rsid w:val="305A68F0"/>
    <w:rsid w:val="309703E8"/>
    <w:rsid w:val="30A9101A"/>
    <w:rsid w:val="30CF5D28"/>
    <w:rsid w:val="30EA52B7"/>
    <w:rsid w:val="30F24A05"/>
    <w:rsid w:val="31233BA5"/>
    <w:rsid w:val="3126017B"/>
    <w:rsid w:val="31813005"/>
    <w:rsid w:val="31B43A06"/>
    <w:rsid w:val="323740AF"/>
    <w:rsid w:val="328B6879"/>
    <w:rsid w:val="333330BE"/>
    <w:rsid w:val="33F7221B"/>
    <w:rsid w:val="345D6FC2"/>
    <w:rsid w:val="34772ADD"/>
    <w:rsid w:val="351836BE"/>
    <w:rsid w:val="35590177"/>
    <w:rsid w:val="35B65126"/>
    <w:rsid w:val="362A1767"/>
    <w:rsid w:val="368B0847"/>
    <w:rsid w:val="36D706BD"/>
    <w:rsid w:val="36DB71B3"/>
    <w:rsid w:val="36DF4838"/>
    <w:rsid w:val="38357FC3"/>
    <w:rsid w:val="38C435DA"/>
    <w:rsid w:val="38C612A4"/>
    <w:rsid w:val="397114CB"/>
    <w:rsid w:val="399F745E"/>
    <w:rsid w:val="3A286983"/>
    <w:rsid w:val="3A316D41"/>
    <w:rsid w:val="3A791AB3"/>
    <w:rsid w:val="3A7A6F1E"/>
    <w:rsid w:val="3AE12ADB"/>
    <w:rsid w:val="3B35363C"/>
    <w:rsid w:val="3B7E607B"/>
    <w:rsid w:val="3BD804EA"/>
    <w:rsid w:val="3C016C71"/>
    <w:rsid w:val="3C1B181E"/>
    <w:rsid w:val="3C203FE1"/>
    <w:rsid w:val="3D326006"/>
    <w:rsid w:val="3D843DB4"/>
    <w:rsid w:val="3DB3569D"/>
    <w:rsid w:val="3E2B5399"/>
    <w:rsid w:val="3E4D7BD4"/>
    <w:rsid w:val="3E4E6F02"/>
    <w:rsid w:val="3E5D59EE"/>
    <w:rsid w:val="3E9D4299"/>
    <w:rsid w:val="3EA305F2"/>
    <w:rsid w:val="3EDC080D"/>
    <w:rsid w:val="3F0B192B"/>
    <w:rsid w:val="3F3349E1"/>
    <w:rsid w:val="3F95513E"/>
    <w:rsid w:val="3FA61844"/>
    <w:rsid w:val="40FE6422"/>
    <w:rsid w:val="416F0E3A"/>
    <w:rsid w:val="41B04BB9"/>
    <w:rsid w:val="42394175"/>
    <w:rsid w:val="423E1A86"/>
    <w:rsid w:val="42910824"/>
    <w:rsid w:val="42962B21"/>
    <w:rsid w:val="43C81F3E"/>
    <w:rsid w:val="4412111F"/>
    <w:rsid w:val="4420460F"/>
    <w:rsid w:val="45185FC7"/>
    <w:rsid w:val="466D7A8A"/>
    <w:rsid w:val="466E4440"/>
    <w:rsid w:val="470216C0"/>
    <w:rsid w:val="470D5A07"/>
    <w:rsid w:val="47C11F07"/>
    <w:rsid w:val="47E83667"/>
    <w:rsid w:val="4A007A95"/>
    <w:rsid w:val="4A56355D"/>
    <w:rsid w:val="4A6A77A1"/>
    <w:rsid w:val="4A802F02"/>
    <w:rsid w:val="4B137686"/>
    <w:rsid w:val="4B4D6D1A"/>
    <w:rsid w:val="4C392F39"/>
    <w:rsid w:val="4CF72E0A"/>
    <w:rsid w:val="4CFC26F0"/>
    <w:rsid w:val="4D096C71"/>
    <w:rsid w:val="4D190A3D"/>
    <w:rsid w:val="4D996193"/>
    <w:rsid w:val="4D9B5E2B"/>
    <w:rsid w:val="4DA62A71"/>
    <w:rsid w:val="4DDB0115"/>
    <w:rsid w:val="4E2813A3"/>
    <w:rsid w:val="4E3623E0"/>
    <w:rsid w:val="4E590CD0"/>
    <w:rsid w:val="4E874BF9"/>
    <w:rsid w:val="4F4966DE"/>
    <w:rsid w:val="4F703A02"/>
    <w:rsid w:val="4FB2172F"/>
    <w:rsid w:val="4FF81F3E"/>
    <w:rsid w:val="500F5F58"/>
    <w:rsid w:val="50972888"/>
    <w:rsid w:val="50AD4BC1"/>
    <w:rsid w:val="513371C0"/>
    <w:rsid w:val="518E7928"/>
    <w:rsid w:val="524B29D2"/>
    <w:rsid w:val="527354B0"/>
    <w:rsid w:val="52A56262"/>
    <w:rsid w:val="53240DE2"/>
    <w:rsid w:val="536015B5"/>
    <w:rsid w:val="536B714E"/>
    <w:rsid w:val="53D43282"/>
    <w:rsid w:val="53EB5322"/>
    <w:rsid w:val="54CF56D2"/>
    <w:rsid w:val="551410ED"/>
    <w:rsid w:val="554479B3"/>
    <w:rsid w:val="557309A7"/>
    <w:rsid w:val="55B12017"/>
    <w:rsid w:val="55FC25AC"/>
    <w:rsid w:val="5622038C"/>
    <w:rsid w:val="56E04EE6"/>
    <w:rsid w:val="578F4550"/>
    <w:rsid w:val="57977A16"/>
    <w:rsid w:val="58032CCB"/>
    <w:rsid w:val="580F411A"/>
    <w:rsid w:val="582232DD"/>
    <w:rsid w:val="58A27480"/>
    <w:rsid w:val="5A5A375F"/>
    <w:rsid w:val="5A8457CD"/>
    <w:rsid w:val="5ACE03B2"/>
    <w:rsid w:val="5AFA0CD5"/>
    <w:rsid w:val="5AFD7104"/>
    <w:rsid w:val="5BBC3082"/>
    <w:rsid w:val="5BF04E33"/>
    <w:rsid w:val="5C8A42C3"/>
    <w:rsid w:val="5D0631CD"/>
    <w:rsid w:val="5E2814C4"/>
    <w:rsid w:val="5E2C75D3"/>
    <w:rsid w:val="5E5C1146"/>
    <w:rsid w:val="5E9C5841"/>
    <w:rsid w:val="5ECC6D02"/>
    <w:rsid w:val="5F0D2C6F"/>
    <w:rsid w:val="5FB6167A"/>
    <w:rsid w:val="607D6651"/>
    <w:rsid w:val="60BD1FFE"/>
    <w:rsid w:val="61170B58"/>
    <w:rsid w:val="611A0EA3"/>
    <w:rsid w:val="61E17D65"/>
    <w:rsid w:val="61E70C8F"/>
    <w:rsid w:val="62233ED9"/>
    <w:rsid w:val="627C6782"/>
    <w:rsid w:val="62B62B73"/>
    <w:rsid w:val="62EA0127"/>
    <w:rsid w:val="63012C54"/>
    <w:rsid w:val="63E112D8"/>
    <w:rsid w:val="66417DDC"/>
    <w:rsid w:val="66950943"/>
    <w:rsid w:val="66FC41BD"/>
    <w:rsid w:val="672E1E7F"/>
    <w:rsid w:val="67401C19"/>
    <w:rsid w:val="682B261F"/>
    <w:rsid w:val="68877B1A"/>
    <w:rsid w:val="6960198A"/>
    <w:rsid w:val="69F16334"/>
    <w:rsid w:val="6A035AFF"/>
    <w:rsid w:val="6A0C7949"/>
    <w:rsid w:val="6A914A15"/>
    <w:rsid w:val="6AAB5773"/>
    <w:rsid w:val="6AD81AFC"/>
    <w:rsid w:val="6B0242A5"/>
    <w:rsid w:val="6C360A8B"/>
    <w:rsid w:val="6C670989"/>
    <w:rsid w:val="6C830331"/>
    <w:rsid w:val="6CB57DDF"/>
    <w:rsid w:val="6D82064E"/>
    <w:rsid w:val="6D946B00"/>
    <w:rsid w:val="6DA018A4"/>
    <w:rsid w:val="6DBF1822"/>
    <w:rsid w:val="6E1D39B2"/>
    <w:rsid w:val="6F156B47"/>
    <w:rsid w:val="6F4126A8"/>
    <w:rsid w:val="6F52577A"/>
    <w:rsid w:val="6F5C678A"/>
    <w:rsid w:val="6F7C731F"/>
    <w:rsid w:val="6F833530"/>
    <w:rsid w:val="6F8E2B60"/>
    <w:rsid w:val="6F95389D"/>
    <w:rsid w:val="701C6432"/>
    <w:rsid w:val="7195640E"/>
    <w:rsid w:val="71BB1561"/>
    <w:rsid w:val="7253624D"/>
    <w:rsid w:val="72671307"/>
    <w:rsid w:val="72C548FE"/>
    <w:rsid w:val="72C94904"/>
    <w:rsid w:val="72CD7AEB"/>
    <w:rsid w:val="72CE7DF1"/>
    <w:rsid w:val="738C49D4"/>
    <w:rsid w:val="744E387C"/>
    <w:rsid w:val="7469576C"/>
    <w:rsid w:val="748266FC"/>
    <w:rsid w:val="74B23165"/>
    <w:rsid w:val="75145452"/>
    <w:rsid w:val="75BB0C3B"/>
    <w:rsid w:val="75F40A2B"/>
    <w:rsid w:val="767D593D"/>
    <w:rsid w:val="76A136BE"/>
    <w:rsid w:val="76D04887"/>
    <w:rsid w:val="76D43F8B"/>
    <w:rsid w:val="770A7D21"/>
    <w:rsid w:val="772265F9"/>
    <w:rsid w:val="774A751F"/>
    <w:rsid w:val="77B0242F"/>
    <w:rsid w:val="781A71E7"/>
    <w:rsid w:val="78BC2207"/>
    <w:rsid w:val="78C31106"/>
    <w:rsid w:val="78E41C51"/>
    <w:rsid w:val="78FA1692"/>
    <w:rsid w:val="792D6B6B"/>
    <w:rsid w:val="7935503F"/>
    <w:rsid w:val="79737C17"/>
    <w:rsid w:val="797572B9"/>
    <w:rsid w:val="7A0B68C7"/>
    <w:rsid w:val="7A232871"/>
    <w:rsid w:val="7A2E539A"/>
    <w:rsid w:val="7A392143"/>
    <w:rsid w:val="7A447B8D"/>
    <w:rsid w:val="7A893FB8"/>
    <w:rsid w:val="7A940E65"/>
    <w:rsid w:val="7AE07CFD"/>
    <w:rsid w:val="7B0E0BB9"/>
    <w:rsid w:val="7B376CA9"/>
    <w:rsid w:val="7B6715B3"/>
    <w:rsid w:val="7B7503BA"/>
    <w:rsid w:val="7C3E24DF"/>
    <w:rsid w:val="7C7D1BE7"/>
    <w:rsid w:val="7D8F6DE4"/>
    <w:rsid w:val="7DAA5FB8"/>
    <w:rsid w:val="7DFB0316"/>
    <w:rsid w:val="7E4E7602"/>
    <w:rsid w:val="7E723EF0"/>
    <w:rsid w:val="7EA831A1"/>
    <w:rsid w:val="7ECE10A0"/>
    <w:rsid w:val="7F1D5AFB"/>
    <w:rsid w:val="7F54786E"/>
    <w:rsid w:val="7FD46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toc 2"/>
    <w:basedOn w:val="1"/>
    <w:next w:val="1"/>
    <w:autoRedefine/>
    <w:qFormat/>
    <w:uiPriority w:val="0"/>
    <w:pPr>
      <w:tabs>
        <w:tab w:val="right" w:leader="dot" w:pos="10070"/>
      </w:tabs>
      <w:spacing w:line="480" w:lineRule="auto"/>
      <w:ind w:leftChars="200"/>
    </w:pPr>
  </w:style>
  <w:style w:type="paragraph" w:styleId="7">
    <w:name w:val="Body Text"/>
    <w:basedOn w:val="1"/>
    <w:link w:val="33"/>
    <w:autoRedefine/>
    <w:semiHidden/>
    <w:unhideWhenUsed/>
    <w:qFormat/>
    <w:uiPriority w:val="99"/>
    <w:pPr>
      <w:spacing w:after="120"/>
    </w:pPr>
  </w:style>
  <w:style w:type="paragraph" w:styleId="8">
    <w:name w:val="Body Text Indent"/>
    <w:basedOn w:val="1"/>
    <w:next w:val="1"/>
    <w:link w:val="34"/>
    <w:autoRedefine/>
    <w:qFormat/>
    <w:uiPriority w:val="99"/>
    <w:pPr>
      <w:spacing w:after="120"/>
      <w:ind w:left="420" w:leftChars="200"/>
    </w:pPr>
  </w:style>
  <w:style w:type="paragraph" w:styleId="9">
    <w:name w:val="Plain Text"/>
    <w:basedOn w:val="1"/>
    <w:next w:val="10"/>
    <w:autoRedefine/>
    <w:qFormat/>
    <w:uiPriority w:val="0"/>
    <w:rPr>
      <w:rFonts w:ascii="宋体" w:hAnsi="Courier New" w:cstheme="minorBidi"/>
    </w:rPr>
  </w:style>
  <w:style w:type="paragraph" w:styleId="10">
    <w:name w:val="Date"/>
    <w:basedOn w:val="1"/>
    <w:next w:val="1"/>
    <w:autoRedefine/>
    <w:qFormat/>
    <w:uiPriority w:val="99"/>
    <w:pPr>
      <w:ind w:left="2500" w:leftChars="2500"/>
    </w:pPr>
    <w:rPr>
      <w:rFonts w:ascii="Calibri" w:hAnsi="Calibri" w:eastAsia="楷体_GB2312"/>
      <w:sz w:val="32"/>
      <w:szCs w:val="22"/>
    </w:rPr>
  </w:style>
  <w:style w:type="paragraph" w:styleId="11">
    <w:name w:val="Balloon Text"/>
    <w:basedOn w:val="1"/>
    <w:link w:val="35"/>
    <w:autoRedefine/>
    <w:semiHidden/>
    <w:unhideWhenUsed/>
    <w:qFormat/>
    <w:uiPriority w:val="99"/>
    <w:rPr>
      <w:sz w:val="18"/>
      <w:szCs w:val="18"/>
    </w:rPr>
  </w:style>
  <w:style w:type="paragraph" w:styleId="12">
    <w:name w:val="footer"/>
    <w:basedOn w:val="1"/>
    <w:link w:val="32"/>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31"/>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toc 1"/>
    <w:basedOn w:val="1"/>
    <w:next w:val="1"/>
    <w:autoRedefine/>
    <w:qFormat/>
    <w:uiPriority w:val="39"/>
    <w:pPr>
      <w:widowControl/>
      <w:tabs>
        <w:tab w:val="right" w:leader="dot" w:pos="9060"/>
      </w:tabs>
      <w:spacing w:before="120" w:after="120"/>
      <w:jc w:val="left"/>
    </w:pPr>
    <w:rPr>
      <w:b/>
      <w:bCs/>
      <w:caps/>
      <w:kern w:val="0"/>
      <w:sz w:val="24"/>
      <w:szCs w:val="24"/>
      <w:lang w:eastAsia="en-US" w:bidi="en-US"/>
    </w:rPr>
  </w:style>
  <w:style w:type="paragraph" w:styleId="15">
    <w:name w:val="footnote text"/>
    <w:basedOn w:val="1"/>
    <w:autoRedefine/>
    <w:qFormat/>
    <w:uiPriority w:val="0"/>
    <w:pPr>
      <w:snapToGrid w:val="0"/>
      <w:jc w:val="left"/>
    </w:pPr>
    <w:rPr>
      <w:rFonts w:eastAsia="仿宋_GB2312"/>
      <w:sz w:val="18"/>
      <w:szCs w:val="20"/>
    </w:rPr>
  </w:style>
  <w:style w:type="paragraph" w:styleId="1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8">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19">
    <w:name w:val="Body Text First Indent"/>
    <w:basedOn w:val="7"/>
    <w:next w:val="1"/>
    <w:autoRedefine/>
    <w:qFormat/>
    <w:uiPriority w:val="0"/>
    <w:pPr>
      <w:ind w:firstLine="420" w:firstLineChars="100"/>
    </w:pPr>
  </w:style>
  <w:style w:type="paragraph" w:styleId="20">
    <w:name w:val="Body Text First Indent 2"/>
    <w:basedOn w:val="8"/>
    <w:autoRedefine/>
    <w:qFormat/>
    <w:uiPriority w:val="0"/>
    <w:pPr>
      <w:ind w:firstLine="420"/>
    </w:p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autoRedefine/>
    <w:qFormat/>
    <w:uiPriority w:val="0"/>
    <w:rPr>
      <w:rFonts w:ascii="Tahoma" w:hAnsi="Tahoma" w:cs="Tahoma"/>
      <w:b/>
      <w:sz w:val="24"/>
    </w:rPr>
  </w:style>
  <w:style w:type="character" w:styleId="25">
    <w:name w:val="page number"/>
    <w:basedOn w:val="23"/>
    <w:autoRedefine/>
    <w:qFormat/>
    <w:uiPriority w:val="0"/>
  </w:style>
  <w:style w:type="character" w:styleId="26">
    <w:name w:val="Hyperlink"/>
    <w:basedOn w:val="23"/>
    <w:autoRedefine/>
    <w:unhideWhenUsed/>
    <w:qFormat/>
    <w:uiPriority w:val="0"/>
    <w:rPr>
      <w:color w:val="0000FF"/>
      <w:u w:val="single"/>
    </w:rPr>
  </w:style>
  <w:style w:type="character" w:styleId="27">
    <w:name w:val="footnote reference"/>
    <w:autoRedefine/>
    <w:qFormat/>
    <w:uiPriority w:val="0"/>
    <w:rPr>
      <w:vertAlign w:val="superscript"/>
    </w:rPr>
  </w:style>
  <w:style w:type="paragraph" w:customStyle="1" w:styleId="28">
    <w:name w:val="[Normal]"/>
    <w:autoRedefine/>
    <w:qFormat/>
    <w:uiPriority w:val="0"/>
    <w:rPr>
      <w:rFonts w:ascii="宋体" w:hAnsi="宋体" w:eastAsia="宋体" w:cs="Times New Roman"/>
      <w:sz w:val="24"/>
      <w:szCs w:val="22"/>
      <w:lang w:val="zh-CN" w:eastAsia="zh-CN" w:bidi="ar-SA"/>
    </w:rPr>
  </w:style>
  <w:style w:type="paragraph" w:customStyle="1" w:styleId="29">
    <w:name w:val="正文首行缩进1"/>
    <w:basedOn w:val="7"/>
    <w:autoRedefine/>
    <w:qFormat/>
    <w:uiPriority w:val="0"/>
    <w:pPr>
      <w:ind w:firstLine="420" w:firstLineChars="100"/>
    </w:pPr>
  </w:style>
  <w:style w:type="paragraph" w:customStyle="1" w:styleId="30">
    <w:name w:val="正文（首行缩进2字符）"/>
    <w:basedOn w:val="1"/>
    <w:autoRedefine/>
    <w:qFormat/>
    <w:uiPriority w:val="0"/>
    <w:pPr>
      <w:ind w:firstLine="480" w:firstLineChars="200"/>
    </w:pPr>
    <w:rPr>
      <w:sz w:val="24"/>
      <w:szCs w:val="20"/>
    </w:rPr>
  </w:style>
  <w:style w:type="character" w:customStyle="1" w:styleId="31">
    <w:name w:val="页眉 Char"/>
    <w:basedOn w:val="23"/>
    <w:link w:val="13"/>
    <w:autoRedefine/>
    <w:semiHidden/>
    <w:qFormat/>
    <w:uiPriority w:val="99"/>
    <w:rPr>
      <w:sz w:val="18"/>
      <w:szCs w:val="18"/>
    </w:rPr>
  </w:style>
  <w:style w:type="character" w:customStyle="1" w:styleId="32">
    <w:name w:val="页脚 Char"/>
    <w:basedOn w:val="23"/>
    <w:link w:val="12"/>
    <w:autoRedefine/>
    <w:semiHidden/>
    <w:qFormat/>
    <w:uiPriority w:val="99"/>
    <w:rPr>
      <w:sz w:val="18"/>
      <w:szCs w:val="18"/>
    </w:rPr>
  </w:style>
  <w:style w:type="character" w:customStyle="1" w:styleId="33">
    <w:name w:val="正文文本 Char"/>
    <w:basedOn w:val="23"/>
    <w:link w:val="7"/>
    <w:autoRedefine/>
    <w:semiHidden/>
    <w:qFormat/>
    <w:uiPriority w:val="99"/>
    <w:rPr>
      <w:rFonts w:ascii="Times New Roman" w:hAnsi="Times New Roman" w:eastAsia="宋体" w:cs="Times New Roman"/>
      <w:szCs w:val="24"/>
    </w:rPr>
  </w:style>
  <w:style w:type="character" w:customStyle="1" w:styleId="34">
    <w:name w:val="正文文本缩进 Char"/>
    <w:basedOn w:val="23"/>
    <w:link w:val="8"/>
    <w:autoRedefine/>
    <w:qFormat/>
    <w:uiPriority w:val="99"/>
    <w:rPr>
      <w:rFonts w:ascii="Times New Roman" w:hAnsi="Times New Roman" w:eastAsia="宋体" w:cs="Times New Roman"/>
      <w:szCs w:val="24"/>
    </w:rPr>
  </w:style>
  <w:style w:type="character" w:customStyle="1" w:styleId="35">
    <w:name w:val="批注框文本 Char"/>
    <w:basedOn w:val="23"/>
    <w:link w:val="11"/>
    <w:autoRedefine/>
    <w:semiHidden/>
    <w:qFormat/>
    <w:uiPriority w:val="99"/>
    <w:rPr>
      <w:rFonts w:ascii="Times New Roman" w:hAnsi="Times New Roman" w:eastAsia="宋体" w:cs="Times New Roman"/>
      <w:sz w:val="18"/>
      <w:szCs w:val="18"/>
    </w:rPr>
  </w:style>
  <w:style w:type="character" w:customStyle="1" w:styleId="36">
    <w:name w:val="无"/>
    <w:autoRedefine/>
    <w:qFormat/>
    <w:uiPriority w:val="99"/>
  </w:style>
  <w:style w:type="paragraph" w:customStyle="1" w:styleId="37">
    <w:name w:val="表格文字"/>
    <w:basedOn w:val="1"/>
    <w:next w:val="7"/>
    <w:autoRedefine/>
    <w:qFormat/>
    <w:uiPriority w:val="99"/>
    <w:pPr>
      <w:adjustRightInd w:val="0"/>
      <w:spacing w:line="420" w:lineRule="atLeast"/>
      <w:jc w:val="left"/>
      <w:textAlignment w:val="baseline"/>
    </w:pPr>
    <w:rPr>
      <w:kern w:val="0"/>
    </w:rPr>
  </w:style>
  <w:style w:type="paragraph" w:customStyle="1" w:styleId="38">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1">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4"/>
    <w:autoRedefine/>
    <w:qFormat/>
    <w:uiPriority w:val="99"/>
    <w:rPr>
      <w:rFonts w:ascii="Times New Roman" w:hAnsi="Times New Roman" w:eastAsia="宋体" w:cs="Times New Roman"/>
      <w:sz w:val="21"/>
      <w:szCs w:val="22"/>
      <w:lang w:val="en-US" w:eastAsia="zh-CN" w:bidi="ar-SA"/>
    </w:rPr>
  </w:style>
  <w:style w:type="paragraph" w:customStyle="1" w:styleId="43">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纯文本_3"/>
    <w:basedOn w:val="45"/>
    <w:autoRedefine/>
    <w:qFormat/>
    <w:uiPriority w:val="99"/>
    <w:pPr>
      <w:widowControl/>
      <w:jc w:val="left"/>
    </w:pPr>
    <w:rPr>
      <w:rFonts w:ascii="宋体" w:hAnsi="Courier New"/>
      <w:szCs w:val="21"/>
    </w:rPr>
  </w:style>
  <w:style w:type="paragraph" w:customStyle="1" w:styleId="47">
    <w:name w:val="纯文本_0_1"/>
    <w:basedOn w:val="1"/>
    <w:autoRedefine/>
    <w:qFormat/>
    <w:uiPriority w:val="99"/>
    <w:pPr>
      <w:widowControl/>
      <w:jc w:val="left"/>
    </w:pPr>
    <w:rPr>
      <w:rFonts w:ascii="宋体" w:hAnsi="Courier New"/>
      <w:szCs w:val="21"/>
    </w:rPr>
  </w:style>
  <w:style w:type="paragraph" w:customStyle="1" w:styleId="48">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2">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3">
    <w:name w:val="p0"/>
    <w:basedOn w:val="1"/>
    <w:autoRedefine/>
    <w:qFormat/>
    <w:uiPriority w:val="0"/>
    <w:pPr>
      <w:widowControl/>
    </w:pPr>
    <w:rPr>
      <w:rFonts w:ascii="Calibri" w:hAnsi="Calibri" w:cs="宋体"/>
      <w:kern w:val="0"/>
      <w:szCs w:val="21"/>
    </w:rPr>
  </w:style>
  <w:style w:type="paragraph" w:styleId="54">
    <w:name w:val="List Paragraph"/>
    <w:basedOn w:val="1"/>
    <w:autoRedefine/>
    <w:qFormat/>
    <w:uiPriority w:val="0"/>
    <w:pPr>
      <w:ind w:firstLine="420" w:firstLineChars="200"/>
    </w:pPr>
    <w:rPr>
      <w:szCs w:val="24"/>
    </w:rPr>
  </w:style>
  <w:style w:type="paragraph" w:customStyle="1" w:styleId="55">
    <w:name w:val="纯文本1"/>
    <w:basedOn w:val="52"/>
    <w:autoRedefine/>
    <w:qFormat/>
    <w:uiPriority w:val="0"/>
    <w:pPr>
      <w:widowControl/>
      <w:jc w:val="left"/>
    </w:pPr>
    <w:rPr>
      <w:rFonts w:ascii="宋体" w:hAnsi="Courier New"/>
      <w:szCs w:val="20"/>
    </w:rPr>
  </w:style>
  <w:style w:type="character" w:customStyle="1" w:styleId="56">
    <w:name w:val="NormalCharacter"/>
    <w:autoRedefine/>
    <w:semiHidden/>
    <w:qFormat/>
    <w:uiPriority w:val="0"/>
  </w:style>
  <w:style w:type="paragraph" w:customStyle="1" w:styleId="57">
    <w:name w:val="正文2"/>
    <w:basedOn w:val="1"/>
    <w:autoRedefine/>
    <w:qFormat/>
    <w:uiPriority w:val="0"/>
    <w:pPr>
      <w:spacing w:before="156" w:line="360" w:lineRule="auto"/>
      <w:ind w:firstLine="510" w:firstLineChars="200"/>
    </w:pPr>
    <w:rPr>
      <w:sz w:val="24"/>
      <w:szCs w:val="20"/>
    </w:rPr>
  </w:style>
  <w:style w:type="paragraph" w:customStyle="1" w:styleId="58">
    <w:name w:val="Body text|1"/>
    <w:basedOn w:val="1"/>
    <w:qFormat/>
    <w:uiPriority w:val="0"/>
    <w:pPr>
      <w:widowControl w:val="0"/>
      <w:shd w:val="clear" w:color="auto" w:fill="auto"/>
      <w:spacing w:line="403" w:lineRule="auto"/>
      <w:ind w:firstLine="20"/>
    </w:pPr>
    <w:rPr>
      <w:rFonts w:ascii="MingLiU" w:hAnsi="MingLiU" w:eastAsia="MingLiU" w:cs="MingLiU"/>
      <w:sz w:val="20"/>
      <w:szCs w:val="20"/>
      <w:u w:val="none"/>
      <w:shd w:val="clear" w:color="auto" w:fill="FFFFFF"/>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28117</Words>
  <Characters>30002</Characters>
  <Lines>1</Lines>
  <Paragraphs>1</Paragraphs>
  <TotalTime>16</TotalTime>
  <ScaleCrop>false</ScaleCrop>
  <LinksUpToDate>false</LinksUpToDate>
  <CharactersWithSpaces>32372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崽崽</cp:lastModifiedBy>
  <dcterms:modified xsi:type="dcterms:W3CDTF">2024-10-22T03:41:45Z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3C3FEF69A18B44E08E1F4EA22A09BD6E_13</vt:lpwstr>
  </property>
  <property fmtid="{D5CDD505-2E9C-101B-9397-08002B2CF9AE}" pid="4" name="commondata">
    <vt:lpwstr>eyJoZGlkIjoiNmNiNWQzMTIyZDkyNWQ5MzYxMmQ5MTE1ZmU3YjE0M2QifQ==</vt:lpwstr>
  </property>
</Properties>
</file>