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0593F02">
      <w:pPr>
        <w:rPr>
          <w:rFonts w:hint="eastAsia" w:ascii="宋体" w:hAnsi="宋体" w:eastAsia="宋体" w:cs="宋体"/>
          <w:color w:val="auto"/>
          <w:highlight w:val="none"/>
        </w:rPr>
      </w:pPr>
    </w:p>
    <w:p w14:paraId="5914441F">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8" cstate="print"/>
                    <a:stretch>
                      <a:fillRect/>
                    </a:stretch>
                  </pic:blipFill>
                  <pic:spPr>
                    <a:xfrm>
                      <a:off x="0" y="0"/>
                      <a:ext cx="5488940" cy="2279015"/>
                    </a:xfrm>
                    <a:prstGeom prst="rect">
                      <a:avLst/>
                    </a:prstGeom>
                  </pic:spPr>
                </pic:pic>
              </a:graphicData>
            </a:graphic>
          </wp:anchor>
        </w:drawing>
      </w:r>
    </w:p>
    <w:p w14:paraId="69DDE911">
      <w:pPr>
        <w:pStyle w:val="2"/>
        <w:jc w:val="center"/>
        <w:rPr>
          <w:rFonts w:hint="eastAsia" w:ascii="宋体" w:hAnsi="宋体" w:eastAsia="宋体" w:cs="宋体"/>
          <w:color w:val="auto"/>
          <w:highlight w:val="none"/>
        </w:rPr>
      </w:pPr>
    </w:p>
    <w:p w14:paraId="68BBD509">
      <w:pPr>
        <w:pStyle w:val="2"/>
        <w:jc w:val="center"/>
        <w:rPr>
          <w:rFonts w:hint="eastAsia" w:ascii="宋体" w:hAnsi="宋体" w:eastAsia="宋体" w:cs="宋体"/>
          <w:color w:val="auto"/>
          <w:highlight w:val="none"/>
        </w:rPr>
      </w:pPr>
    </w:p>
    <w:p w14:paraId="2282F6D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298D9F3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p>
    <w:p w14:paraId="67F74D3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6BD2137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政府采购招标文件</w:t>
      </w:r>
    </w:p>
    <w:p w14:paraId="6DA8CC05">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7BD4DAFB">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tzya2024-lq103</w:t>
      </w:r>
      <w:r>
        <w:rPr>
          <w:rFonts w:hint="eastAsia" w:ascii="宋体" w:hAnsi="宋体" w:eastAsia="宋体" w:cs="宋体"/>
          <w:color w:val="auto"/>
          <w:kern w:val="0"/>
          <w:sz w:val="28"/>
          <w:szCs w:val="28"/>
          <w:highlight w:val="none"/>
          <w:u w:val="single"/>
          <w:lang w:val="en-US" w:eastAsia="zh-CN"/>
        </w:rPr>
        <w:t xml:space="preserve"> </w:t>
      </w:r>
    </w:p>
    <w:p w14:paraId="5E66ADEA">
      <w:pPr>
        <w:pStyle w:val="2"/>
        <w:jc w:val="center"/>
        <w:rPr>
          <w:rFonts w:hint="eastAsia" w:ascii="宋体" w:hAnsi="宋体" w:eastAsia="宋体" w:cs="宋体"/>
          <w:color w:val="auto"/>
          <w:highlight w:val="none"/>
        </w:rPr>
      </w:pPr>
    </w:p>
    <w:p w14:paraId="7BDBAFF3">
      <w:pPr>
        <w:pStyle w:val="2"/>
        <w:jc w:val="both"/>
        <w:rPr>
          <w:rFonts w:hint="eastAsia" w:ascii="宋体" w:hAnsi="宋体" w:eastAsia="宋体" w:cs="宋体"/>
          <w:color w:val="auto"/>
          <w:highlight w:val="none"/>
        </w:rPr>
      </w:pPr>
    </w:p>
    <w:p w14:paraId="2A19EF38">
      <w:pPr>
        <w:pStyle w:val="2"/>
        <w:jc w:val="center"/>
        <w:rPr>
          <w:rFonts w:hint="eastAsia" w:ascii="宋体" w:hAnsi="宋体" w:eastAsia="宋体" w:cs="宋体"/>
          <w:color w:val="auto"/>
          <w:highlight w:val="none"/>
        </w:rPr>
      </w:pPr>
    </w:p>
    <w:p w14:paraId="5E8CCF7B">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路桥区两个空气自动站（路桥中学站、金清气站）运维服务项目</w:t>
      </w:r>
    </w:p>
    <w:p w14:paraId="49F7993C">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台州市生态环境局路桥分局</w:t>
      </w:r>
    </w:p>
    <w:p w14:paraId="50A0712E">
      <w:pPr>
        <w:pStyle w:val="2"/>
        <w:rPr>
          <w:rFonts w:hint="eastAsia" w:ascii="宋体" w:hAnsi="宋体" w:eastAsia="宋体" w:cs="宋体"/>
          <w:color w:val="auto"/>
          <w:highlight w:val="none"/>
        </w:rPr>
      </w:pPr>
    </w:p>
    <w:p w14:paraId="3DB07839">
      <w:pPr>
        <w:pStyle w:val="2"/>
        <w:rPr>
          <w:rFonts w:hint="eastAsia" w:ascii="宋体" w:hAnsi="宋体" w:eastAsia="宋体" w:cs="宋体"/>
          <w:color w:val="auto"/>
          <w:highlight w:val="none"/>
        </w:rPr>
      </w:pPr>
    </w:p>
    <w:p w14:paraId="1CFE532B">
      <w:pPr>
        <w:pStyle w:val="2"/>
        <w:rPr>
          <w:rFonts w:hint="eastAsia" w:ascii="宋体" w:hAnsi="宋体" w:eastAsia="宋体" w:cs="宋体"/>
          <w:color w:val="auto"/>
          <w:highlight w:val="none"/>
        </w:rPr>
      </w:pPr>
    </w:p>
    <w:p w14:paraId="323725A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57432171">
      <w:pPr>
        <w:pStyle w:val="2"/>
        <w:rPr>
          <w:rFonts w:hint="eastAsia" w:ascii="宋体" w:hAnsi="宋体" w:eastAsia="宋体" w:cs="宋体"/>
          <w:color w:val="auto"/>
          <w:highlight w:val="none"/>
        </w:rPr>
      </w:pPr>
    </w:p>
    <w:p w14:paraId="2D24640F">
      <w:pPr>
        <w:pStyle w:val="2"/>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二○二四年十二月</w:t>
      </w:r>
    </w:p>
    <w:p w14:paraId="185725BE">
      <w:pPr>
        <w:pStyle w:val="2"/>
        <w:jc w:val="center"/>
        <w:rPr>
          <w:rFonts w:hint="eastAsia" w:ascii="宋体" w:hAnsi="宋体" w:eastAsia="宋体" w:cs="宋体"/>
          <w:color w:val="auto"/>
          <w:kern w:val="0"/>
          <w:szCs w:val="21"/>
          <w:highlight w:val="none"/>
        </w:rPr>
      </w:pPr>
    </w:p>
    <w:p w14:paraId="5C064B3B">
      <w:pPr>
        <w:pStyle w:val="2"/>
        <w:jc w:val="both"/>
        <w:rPr>
          <w:rFonts w:hint="eastAsia" w:ascii="宋体" w:hAnsi="宋体" w:eastAsia="宋体" w:cs="宋体"/>
          <w:color w:val="auto"/>
          <w:highlight w:val="none"/>
        </w:rPr>
      </w:pPr>
    </w:p>
    <w:p w14:paraId="3FD9830A">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9BA601E">
      <w:pPr>
        <w:spacing w:line="360" w:lineRule="auto"/>
        <w:rPr>
          <w:rFonts w:hint="eastAsia" w:ascii="宋体" w:hAnsi="宋体" w:eastAsia="宋体" w:cs="宋体"/>
          <w:color w:val="auto"/>
          <w:sz w:val="28"/>
          <w:szCs w:val="28"/>
          <w:highlight w:val="none"/>
        </w:rPr>
      </w:pPr>
    </w:p>
    <w:p w14:paraId="44252053">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2D85F5AF">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0541CA8A">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65D26672">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7DC4B778">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7E290165">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7062AE96">
      <w:pPr>
        <w:pStyle w:val="2"/>
        <w:jc w:val="center"/>
        <w:rPr>
          <w:rFonts w:hint="eastAsia" w:ascii="宋体" w:hAnsi="宋体" w:eastAsia="宋体" w:cs="宋体"/>
          <w:color w:val="auto"/>
          <w:highlight w:val="none"/>
        </w:rPr>
      </w:pPr>
    </w:p>
    <w:p w14:paraId="042E56A3">
      <w:pPr>
        <w:pStyle w:val="2"/>
        <w:jc w:val="center"/>
        <w:rPr>
          <w:rFonts w:hint="eastAsia" w:ascii="宋体" w:hAnsi="宋体" w:eastAsia="宋体" w:cs="宋体"/>
          <w:color w:val="auto"/>
          <w:highlight w:val="none"/>
        </w:rPr>
      </w:pPr>
    </w:p>
    <w:p w14:paraId="2C8288CA">
      <w:pPr>
        <w:pStyle w:val="2"/>
        <w:jc w:val="center"/>
        <w:rPr>
          <w:rFonts w:hint="eastAsia" w:ascii="宋体" w:hAnsi="宋体" w:eastAsia="宋体" w:cs="宋体"/>
          <w:color w:val="auto"/>
          <w:highlight w:val="none"/>
        </w:rPr>
      </w:pPr>
    </w:p>
    <w:p w14:paraId="65800D02">
      <w:pPr>
        <w:pStyle w:val="2"/>
        <w:jc w:val="center"/>
        <w:rPr>
          <w:rFonts w:hint="eastAsia" w:ascii="宋体" w:hAnsi="宋体" w:eastAsia="宋体" w:cs="宋体"/>
          <w:color w:val="auto"/>
          <w:highlight w:val="none"/>
        </w:rPr>
      </w:pPr>
    </w:p>
    <w:p w14:paraId="692109DE">
      <w:pPr>
        <w:pStyle w:val="2"/>
        <w:jc w:val="center"/>
        <w:rPr>
          <w:rFonts w:hint="eastAsia" w:ascii="宋体" w:hAnsi="宋体" w:eastAsia="宋体" w:cs="宋体"/>
          <w:color w:val="auto"/>
          <w:highlight w:val="none"/>
        </w:rPr>
      </w:pPr>
    </w:p>
    <w:p w14:paraId="3ACEE434">
      <w:pPr>
        <w:pStyle w:val="2"/>
        <w:jc w:val="center"/>
        <w:rPr>
          <w:rFonts w:hint="eastAsia" w:ascii="宋体" w:hAnsi="宋体" w:eastAsia="宋体" w:cs="宋体"/>
          <w:color w:val="auto"/>
          <w:highlight w:val="none"/>
        </w:rPr>
      </w:pPr>
    </w:p>
    <w:p w14:paraId="61A06842">
      <w:pPr>
        <w:pStyle w:val="2"/>
        <w:jc w:val="center"/>
        <w:rPr>
          <w:rFonts w:hint="eastAsia" w:ascii="宋体" w:hAnsi="宋体" w:eastAsia="宋体" w:cs="宋体"/>
          <w:color w:val="auto"/>
          <w:highlight w:val="none"/>
        </w:rPr>
      </w:pPr>
    </w:p>
    <w:p w14:paraId="4D3B55B3">
      <w:pPr>
        <w:pStyle w:val="2"/>
        <w:jc w:val="center"/>
        <w:rPr>
          <w:rFonts w:hint="eastAsia" w:ascii="宋体" w:hAnsi="宋体" w:eastAsia="宋体" w:cs="宋体"/>
          <w:color w:val="auto"/>
          <w:highlight w:val="none"/>
        </w:rPr>
      </w:pPr>
    </w:p>
    <w:p w14:paraId="1B7890E4">
      <w:pPr>
        <w:pStyle w:val="2"/>
        <w:jc w:val="center"/>
        <w:rPr>
          <w:rFonts w:hint="eastAsia" w:ascii="宋体" w:hAnsi="宋体" w:eastAsia="宋体" w:cs="宋体"/>
          <w:color w:val="auto"/>
          <w:highlight w:val="none"/>
        </w:rPr>
      </w:pPr>
    </w:p>
    <w:p w14:paraId="1127D630">
      <w:pPr>
        <w:pStyle w:val="2"/>
        <w:jc w:val="center"/>
        <w:rPr>
          <w:rFonts w:hint="eastAsia" w:ascii="宋体" w:hAnsi="宋体" w:eastAsia="宋体" w:cs="宋体"/>
          <w:color w:val="auto"/>
          <w:highlight w:val="none"/>
        </w:rPr>
      </w:pPr>
    </w:p>
    <w:p w14:paraId="5F880009">
      <w:pPr>
        <w:pStyle w:val="2"/>
        <w:jc w:val="center"/>
        <w:rPr>
          <w:rFonts w:hint="eastAsia" w:ascii="宋体" w:hAnsi="宋体" w:eastAsia="宋体" w:cs="宋体"/>
          <w:color w:val="auto"/>
          <w:highlight w:val="none"/>
        </w:rPr>
      </w:pPr>
    </w:p>
    <w:p w14:paraId="1A643C10">
      <w:pPr>
        <w:pStyle w:val="2"/>
        <w:jc w:val="center"/>
        <w:rPr>
          <w:rFonts w:hint="eastAsia" w:ascii="宋体" w:hAnsi="宋体" w:eastAsia="宋体" w:cs="宋体"/>
          <w:color w:val="auto"/>
          <w:highlight w:val="none"/>
        </w:rPr>
      </w:pPr>
    </w:p>
    <w:p w14:paraId="72E7C426">
      <w:pPr>
        <w:pStyle w:val="2"/>
        <w:jc w:val="center"/>
        <w:rPr>
          <w:rFonts w:hint="eastAsia" w:ascii="宋体" w:hAnsi="宋体" w:eastAsia="宋体" w:cs="宋体"/>
          <w:color w:val="auto"/>
          <w:highlight w:val="none"/>
        </w:rPr>
      </w:pPr>
    </w:p>
    <w:p w14:paraId="304BE940">
      <w:pPr>
        <w:pStyle w:val="2"/>
        <w:jc w:val="center"/>
        <w:rPr>
          <w:rFonts w:hint="eastAsia" w:ascii="宋体" w:hAnsi="宋体" w:eastAsia="宋体" w:cs="宋体"/>
          <w:color w:val="auto"/>
          <w:highlight w:val="none"/>
        </w:rPr>
      </w:pPr>
    </w:p>
    <w:p w14:paraId="1D8907FB">
      <w:pPr>
        <w:pStyle w:val="2"/>
        <w:jc w:val="center"/>
        <w:rPr>
          <w:rFonts w:hint="eastAsia" w:ascii="宋体" w:hAnsi="宋体" w:eastAsia="宋体" w:cs="宋体"/>
          <w:color w:val="auto"/>
          <w:highlight w:val="none"/>
        </w:rPr>
      </w:pPr>
    </w:p>
    <w:p w14:paraId="44AFD141">
      <w:pPr>
        <w:pStyle w:val="2"/>
        <w:jc w:val="center"/>
        <w:rPr>
          <w:rFonts w:hint="eastAsia" w:ascii="宋体" w:hAnsi="宋体" w:eastAsia="宋体" w:cs="宋体"/>
          <w:color w:val="auto"/>
          <w:highlight w:val="none"/>
        </w:rPr>
      </w:pPr>
    </w:p>
    <w:p w14:paraId="573C318E">
      <w:pPr>
        <w:pStyle w:val="2"/>
        <w:jc w:val="center"/>
        <w:rPr>
          <w:rFonts w:hint="eastAsia" w:ascii="宋体" w:hAnsi="宋体" w:eastAsia="宋体" w:cs="宋体"/>
          <w:color w:val="auto"/>
          <w:highlight w:val="none"/>
        </w:rPr>
      </w:pPr>
    </w:p>
    <w:p w14:paraId="79E54CA4">
      <w:pPr>
        <w:pStyle w:val="2"/>
        <w:jc w:val="both"/>
        <w:rPr>
          <w:rFonts w:hint="eastAsia" w:ascii="宋体" w:hAnsi="宋体" w:eastAsia="宋体" w:cs="宋体"/>
          <w:color w:val="auto"/>
          <w:highlight w:val="none"/>
        </w:rPr>
      </w:pPr>
    </w:p>
    <w:p w14:paraId="3034D508">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71E954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 w:val="21"/>
          <w:szCs w:val="21"/>
          <w:highlight w:val="none"/>
          <w:lang w:eastAsia="zh-CN"/>
        </w:rPr>
        <w:t>台州市生态环境局路桥分局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路桥区两个空气自动站（路桥中学站、金清气站）运维服务项目</w:t>
      </w:r>
      <w:r>
        <w:rPr>
          <w:rFonts w:hint="eastAsia" w:ascii="宋体" w:hAnsi="宋体" w:eastAsia="宋体" w:cs="宋体"/>
          <w:color w:val="auto"/>
          <w:sz w:val="21"/>
          <w:szCs w:val="21"/>
          <w:highlight w:val="none"/>
        </w:rPr>
        <w:t>进行公开招标采购，欢迎合格供应商前来投标。</w:t>
      </w:r>
    </w:p>
    <w:p w14:paraId="2C1B58D6">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tzya2024-lq103</w:t>
      </w:r>
    </w:p>
    <w:p w14:paraId="1DB32B9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1"/>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629"/>
        <w:gridCol w:w="957"/>
        <w:gridCol w:w="757"/>
        <w:gridCol w:w="729"/>
        <w:gridCol w:w="1857"/>
        <w:gridCol w:w="2420"/>
      </w:tblGrid>
      <w:tr w14:paraId="541A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75" w:type="dxa"/>
            <w:vAlign w:val="center"/>
          </w:tcPr>
          <w:p w14:paraId="37ECE77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序号</w:t>
            </w:r>
          </w:p>
        </w:tc>
        <w:tc>
          <w:tcPr>
            <w:tcW w:w="1629" w:type="dxa"/>
            <w:vAlign w:val="center"/>
          </w:tcPr>
          <w:p w14:paraId="04C856B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957" w:type="dxa"/>
            <w:vAlign w:val="center"/>
          </w:tcPr>
          <w:p w14:paraId="2F44540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57" w:type="dxa"/>
            <w:vAlign w:val="center"/>
          </w:tcPr>
          <w:p w14:paraId="3BE0BF03">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29" w:type="dxa"/>
            <w:vAlign w:val="center"/>
          </w:tcPr>
          <w:p w14:paraId="1089703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857" w:type="dxa"/>
            <w:vAlign w:val="center"/>
          </w:tcPr>
          <w:p w14:paraId="642E9E6F">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29466E6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2420" w:type="dxa"/>
            <w:vAlign w:val="center"/>
          </w:tcPr>
          <w:p w14:paraId="33F30E5E">
            <w:pPr>
              <w:tabs>
                <w:tab w:val="left" w:pos="8280"/>
              </w:tabs>
              <w:autoSpaceDE w:val="0"/>
              <w:autoSpaceDN w:val="0"/>
              <w:adjustRightInd w:val="0"/>
              <w:ind w:right="25" w:rightChars="0"/>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tc>
      </w:tr>
      <w:tr w14:paraId="5DF2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75" w:type="dxa"/>
            <w:vAlign w:val="center"/>
          </w:tcPr>
          <w:p w14:paraId="49FCB3C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1629" w:type="dxa"/>
            <w:vAlign w:val="center"/>
          </w:tcPr>
          <w:p w14:paraId="3909E1C9">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路桥区两个空气自动站（路桥中学站、金清气站）运维服务项目</w:t>
            </w:r>
          </w:p>
        </w:tc>
        <w:tc>
          <w:tcPr>
            <w:tcW w:w="957" w:type="dxa"/>
            <w:vAlign w:val="center"/>
          </w:tcPr>
          <w:p w14:paraId="005B5E0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757" w:type="dxa"/>
            <w:vAlign w:val="center"/>
          </w:tcPr>
          <w:p w14:paraId="78CEE38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29" w:type="dxa"/>
            <w:vAlign w:val="center"/>
          </w:tcPr>
          <w:p w14:paraId="69EA810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857" w:type="dxa"/>
            <w:vAlign w:val="center"/>
          </w:tcPr>
          <w:p w14:paraId="032FCA6C">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86.9（三年）</w:t>
            </w:r>
          </w:p>
        </w:tc>
        <w:tc>
          <w:tcPr>
            <w:tcW w:w="2420" w:type="dxa"/>
            <w:vAlign w:val="center"/>
          </w:tcPr>
          <w:p w14:paraId="2F8DA0F8">
            <w:pPr>
              <w:tabs>
                <w:tab w:val="left" w:pos="8280"/>
              </w:tabs>
              <w:autoSpaceDE w:val="0"/>
              <w:autoSpaceDN w:val="0"/>
              <w:adjustRightInd w:val="0"/>
              <w:ind w:right="25" w:rightChars="0"/>
              <w:jc w:val="both"/>
              <w:rPr>
                <w:rFonts w:hint="eastAsia" w:ascii="宋体" w:hAnsi="宋体" w:eastAsia="宋体" w:cs="宋体"/>
                <w:color w:val="auto"/>
                <w:sz w:val="21"/>
                <w:szCs w:val="21"/>
                <w:highlight w:val="none"/>
              </w:rPr>
            </w:pPr>
            <w:r>
              <w:rPr>
                <w:rFonts w:hint="eastAsia" w:ascii="宋体" w:hAnsi="宋体" w:eastAsia="宋体" w:cs="宋体"/>
                <w:bCs/>
                <w:color w:val="auto"/>
                <w:highlight w:val="none"/>
                <w:u w:val="single"/>
              </w:rPr>
              <w:t xml:space="preserve">3 </w:t>
            </w:r>
            <w:r>
              <w:rPr>
                <w:rFonts w:hint="eastAsia" w:ascii="宋体" w:hAnsi="宋体" w:eastAsia="宋体" w:cs="宋体"/>
                <w:bCs/>
                <w:color w:val="auto"/>
                <w:highlight w:val="none"/>
              </w:rPr>
              <w:t>年</w:t>
            </w:r>
            <w:r>
              <w:rPr>
                <w:rFonts w:hint="eastAsia" w:ascii="宋体" w:hAnsi="宋体" w:eastAsia="宋体" w:cs="宋体"/>
                <w:bCs/>
                <w:color w:val="auto"/>
                <w:highlight w:val="none"/>
                <w:lang w:eastAsia="zh-CN"/>
              </w:rPr>
              <w:t>，</w:t>
            </w:r>
            <w:r>
              <w:rPr>
                <w:rFonts w:hint="eastAsia" w:ascii="宋体" w:hAnsi="宋体" w:eastAsia="宋体" w:cs="宋体"/>
                <w:color w:val="auto"/>
                <w:sz w:val="21"/>
                <w:szCs w:val="21"/>
                <w:highlight w:val="none"/>
                <w:lang w:val="en-US" w:eastAsia="zh-CN"/>
              </w:rPr>
              <w:t>第二年或第三年财政预算金额未达到原合同金额或者第二年或第三年财政预算未通过的，第二年或第三年合同的约定自动失效。</w:t>
            </w:r>
          </w:p>
        </w:tc>
      </w:tr>
    </w:tbl>
    <w:p w14:paraId="1F77FB85">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1C911F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74BA780C">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E647A7F">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AE3EFE6">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16F8B24A">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01C7DDB9">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6946053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CD4D4F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4"/>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24F4D1F8">
      <w:pPr>
        <w:keepNext w:val="0"/>
        <w:keepLines w:val="0"/>
        <w:pageBreakBefore w:val="0"/>
        <w:kinsoku/>
        <w:topLinePunct w:val="0"/>
        <w:bidi w:val="0"/>
        <w:spacing w:beforeAutospacing="0" w:afterAutospacing="0" w:line="360" w:lineRule="auto"/>
        <w:ind w:firstLine="422" w:firstLineChars="200"/>
        <w:rPr>
          <w:rStyle w:val="24"/>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4"/>
          <w:rFonts w:hint="eastAsia" w:ascii="宋体" w:hAnsi="宋体" w:eastAsia="宋体" w:cs="宋体"/>
          <w:i w:val="0"/>
          <w:caps w:val="0"/>
          <w:color w:val="auto"/>
          <w:spacing w:val="0"/>
          <w:sz w:val="21"/>
          <w:szCs w:val="21"/>
          <w:highlight w:val="none"/>
        </w:rPr>
        <w:t>方式：潜在供应商登陆</w:t>
      </w:r>
      <w:r>
        <w:rPr>
          <w:rStyle w:val="24"/>
          <w:rFonts w:hint="eastAsia" w:ascii="宋体" w:hAnsi="宋体" w:eastAsia="宋体" w:cs="宋体"/>
          <w:i w:val="0"/>
          <w:caps w:val="0"/>
          <w:color w:val="auto"/>
          <w:spacing w:val="0"/>
          <w:sz w:val="21"/>
          <w:szCs w:val="21"/>
          <w:highlight w:val="none"/>
          <w:lang w:val="en-US" w:eastAsia="zh-CN"/>
        </w:rPr>
        <w:t>政府采购</w:t>
      </w:r>
      <w:r>
        <w:rPr>
          <w:rStyle w:val="24"/>
          <w:rFonts w:hint="eastAsia" w:ascii="宋体" w:hAnsi="宋体" w:eastAsia="宋体" w:cs="宋体"/>
          <w:i w:val="0"/>
          <w:caps w:val="0"/>
          <w:color w:val="auto"/>
          <w:spacing w:val="0"/>
          <w:sz w:val="21"/>
          <w:szCs w:val="21"/>
          <w:highlight w:val="none"/>
        </w:rPr>
        <w:t>云平台，在线申请获取招标文件</w:t>
      </w:r>
      <w:r>
        <w:rPr>
          <w:rStyle w:val="24"/>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4"/>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4"/>
          <w:rFonts w:hint="eastAsia" w:ascii="宋体" w:hAnsi="宋体" w:eastAsia="宋体" w:cs="宋体"/>
          <w:b w:val="0"/>
          <w:bCs/>
          <w:i w:val="0"/>
          <w:caps w:val="0"/>
          <w:color w:val="auto"/>
          <w:spacing w:val="0"/>
          <w:sz w:val="21"/>
          <w:szCs w:val="21"/>
          <w:highlight w:val="none"/>
        </w:rPr>
        <w:t>）；</w:t>
      </w:r>
    </w:p>
    <w:p w14:paraId="49BCB773">
      <w:pPr>
        <w:spacing w:line="360" w:lineRule="auto"/>
        <w:ind w:firstLine="422" w:firstLineChars="200"/>
        <w:rPr>
          <w:rFonts w:hint="eastAsia" w:ascii="宋体" w:hAnsi="宋体" w:eastAsia="宋体" w:cs="宋体"/>
          <w:color w:val="auto"/>
          <w:sz w:val="21"/>
          <w:szCs w:val="21"/>
          <w:highlight w:val="none"/>
          <w:lang w:eastAsia="zh-CN"/>
        </w:rPr>
      </w:pPr>
      <w:r>
        <w:rPr>
          <w:rStyle w:val="24"/>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43F7EEB">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4"/>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66A55F3A">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4"/>
          <w:rFonts w:hint="eastAsia" w:ascii="宋体" w:hAnsi="宋体" w:eastAsia="宋体" w:cs="宋体"/>
          <w:b w:val="0"/>
          <w:bCs w:val="0"/>
          <w:i w:val="0"/>
          <w:caps w:val="0"/>
          <w:color w:val="auto"/>
          <w:spacing w:val="0"/>
          <w:sz w:val="21"/>
          <w:szCs w:val="21"/>
          <w:highlight w:val="none"/>
          <w:lang w:val="en-US" w:eastAsia="zh-CN"/>
        </w:rPr>
        <w:t>5</w:t>
      </w:r>
      <w:r>
        <w:rPr>
          <w:rStyle w:val="24"/>
          <w:rFonts w:hint="eastAsia" w:ascii="宋体" w:hAnsi="宋体" w:eastAsia="宋体" w:cs="宋体"/>
          <w:b w:val="0"/>
          <w:bCs w:val="0"/>
          <w:i w:val="0"/>
          <w:caps w:val="0"/>
          <w:color w:val="auto"/>
          <w:spacing w:val="0"/>
          <w:sz w:val="21"/>
          <w:szCs w:val="21"/>
          <w:highlight w:val="none"/>
        </w:rPr>
        <w:t>、供应商获取招标文件时须提交的文件资料：无；</w:t>
      </w:r>
    </w:p>
    <w:p w14:paraId="5D759297">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lang w:val="en-US" w:eastAsia="zh-CN"/>
        </w:rPr>
        <w:t>6</w:t>
      </w:r>
      <w:r>
        <w:rPr>
          <w:rStyle w:val="24"/>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E7ED7A4">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4"/>
          <w:rFonts w:hint="eastAsia" w:ascii="宋体" w:hAnsi="宋体" w:eastAsia="宋体" w:cs="宋体"/>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rPr>
        <w:t>注：请供应商按上述要求获取招标文件，如未在“</w:t>
      </w:r>
      <w:r>
        <w:rPr>
          <w:rStyle w:val="24"/>
          <w:rFonts w:hint="eastAsia" w:ascii="宋体" w:hAnsi="宋体" w:eastAsia="宋体" w:cs="宋体"/>
          <w:i w:val="0"/>
          <w:caps w:val="0"/>
          <w:color w:val="auto"/>
          <w:spacing w:val="0"/>
          <w:sz w:val="21"/>
          <w:szCs w:val="21"/>
          <w:highlight w:val="none"/>
          <w:lang w:val="en-US" w:eastAsia="zh-CN"/>
        </w:rPr>
        <w:t>政府采购云平台</w:t>
      </w:r>
      <w:r>
        <w:rPr>
          <w:rStyle w:val="24"/>
          <w:rFonts w:hint="eastAsia" w:ascii="宋体" w:hAnsi="宋体" w:eastAsia="宋体" w:cs="宋体"/>
          <w:i w:val="0"/>
          <w:caps w:val="0"/>
          <w:color w:val="auto"/>
          <w:spacing w:val="0"/>
          <w:sz w:val="21"/>
          <w:szCs w:val="21"/>
          <w:highlight w:val="none"/>
        </w:rPr>
        <w:t>”系统内完成相关流程，引起的投标无效责任自负。</w:t>
      </w:r>
    </w:p>
    <w:p w14:paraId="3B10982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650502B4">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4451DA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20AB15C7">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2024年12月30日14:00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2EAA459">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2024年12月30日14:00</w:t>
      </w:r>
      <w:r>
        <w:rPr>
          <w:rFonts w:hint="eastAsia" w:ascii="宋体" w:hAnsi="宋体" w:eastAsia="宋体" w:cs="宋体"/>
          <w:color w:val="auto"/>
          <w:sz w:val="21"/>
          <w:szCs w:val="21"/>
          <w:highlight w:val="none"/>
          <w:lang w:eastAsia="zh-CN"/>
        </w:rPr>
        <w:t>整，地点：通过“政府采购云平台（www.zcygov.cn）”实行在线投标响应</w:t>
      </w:r>
    </w:p>
    <w:p w14:paraId="1D0C1772">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2024年12月30日</w:t>
      </w:r>
      <w:r>
        <w:rPr>
          <w:rFonts w:hint="eastAsia" w:ascii="宋体" w:hAnsi="宋体" w:cs="宋体"/>
          <w:color w:val="auto"/>
          <w:sz w:val="21"/>
          <w:szCs w:val="21"/>
          <w:highlight w:val="none"/>
          <w:lang w:val="en-US" w:eastAsia="zh-CN"/>
        </w:rPr>
        <w:t>14:30</w:t>
      </w:r>
      <w:r>
        <w:rPr>
          <w:rFonts w:hint="eastAsia" w:ascii="宋体" w:hAnsi="宋体" w:eastAsia="宋体" w:cs="宋体"/>
          <w:color w:val="auto"/>
          <w:sz w:val="21"/>
          <w:szCs w:val="21"/>
          <w:highlight w:val="none"/>
          <w:lang w:eastAsia="zh-CN"/>
        </w:rPr>
        <w:t>整</w:t>
      </w:r>
    </w:p>
    <w:p w14:paraId="7E73A92F">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30EC1A76">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6733C1DE">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3021C4A">
      <w:pPr>
        <w:pStyle w:val="51"/>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2E9DDC6">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70513DE">
      <w:pPr>
        <w:pStyle w:val="10"/>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4BD16020">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55CDB36B">
      <w:pPr>
        <w:pStyle w:val="10"/>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5079F3C1">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D38858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46EA089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362878C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086FA61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A4F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E7938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46317FF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226EE648">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0E07E84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166D9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C797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A9822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6893BDA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0D4DCA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55069109">
      <w:pPr>
        <w:pStyle w:val="2"/>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71CDBE00">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4358CD9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F0D3F3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303B284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2AE25CA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1E2BBE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8C4D4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6ADE80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7C95D79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7DC00F0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14A4BB2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台州市生态环境局路桥分局</w:t>
      </w:r>
    </w:p>
    <w:p w14:paraId="57C7776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询问联系人：</w:t>
      </w:r>
      <w:r>
        <w:rPr>
          <w:rFonts w:hint="eastAsia" w:ascii="宋体" w:hAnsi="宋体" w:eastAsia="宋体" w:cs="宋体"/>
          <w:color w:val="auto"/>
          <w:sz w:val="21"/>
          <w:szCs w:val="21"/>
          <w:highlight w:val="none"/>
          <w:lang w:val="en-US" w:eastAsia="zh-CN"/>
        </w:rPr>
        <w:t>戴女士</w:t>
      </w:r>
      <w:r>
        <w:rPr>
          <w:rFonts w:hint="eastAsia" w:ascii="宋体" w:hAnsi="宋体" w:eastAsia="宋体" w:cs="宋体"/>
          <w:color w:val="auto"/>
          <w:sz w:val="21"/>
          <w:szCs w:val="21"/>
          <w:highlight w:val="none"/>
          <w:lang w:eastAsia="zh-CN"/>
        </w:rPr>
        <w:t xml:space="preserve">     询问联系电话：0576-82424907</w:t>
      </w:r>
    </w:p>
    <w:p w14:paraId="5BED374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质疑联系人：</w:t>
      </w:r>
      <w:r>
        <w:rPr>
          <w:rFonts w:hint="eastAsia" w:ascii="宋体" w:hAnsi="宋体" w:eastAsia="宋体" w:cs="宋体"/>
          <w:color w:val="auto"/>
          <w:sz w:val="21"/>
          <w:szCs w:val="21"/>
          <w:highlight w:val="none"/>
          <w:lang w:val="en-US" w:eastAsia="zh-CN"/>
        </w:rPr>
        <w:t>杨先生</w:t>
      </w:r>
      <w:r>
        <w:rPr>
          <w:rFonts w:hint="eastAsia" w:ascii="宋体" w:hAnsi="宋体" w:eastAsia="宋体" w:cs="宋体"/>
          <w:color w:val="auto"/>
          <w:sz w:val="21"/>
          <w:szCs w:val="21"/>
          <w:highlight w:val="none"/>
          <w:lang w:eastAsia="zh-CN"/>
        </w:rPr>
        <w:t xml:space="preserve">     质疑联系电话：0576-</w:t>
      </w:r>
      <w:r>
        <w:rPr>
          <w:rFonts w:hint="eastAsia" w:ascii="宋体" w:hAnsi="宋体" w:eastAsia="宋体" w:cs="宋体"/>
          <w:color w:val="auto"/>
          <w:sz w:val="21"/>
          <w:szCs w:val="21"/>
          <w:highlight w:val="none"/>
          <w:lang w:val="en-US" w:eastAsia="zh-CN"/>
        </w:rPr>
        <w:t>82409160</w:t>
      </w:r>
    </w:p>
    <w:p w14:paraId="4266DB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路桥区</w:t>
      </w:r>
      <w:r>
        <w:rPr>
          <w:rFonts w:hint="eastAsia" w:ascii="宋体" w:hAnsi="宋体" w:eastAsia="宋体" w:cs="宋体"/>
          <w:color w:val="auto"/>
          <w:sz w:val="21"/>
          <w:szCs w:val="21"/>
          <w:highlight w:val="none"/>
        </w:rPr>
        <w:t>月河北街1号洋张大楼</w:t>
      </w:r>
    </w:p>
    <w:p w14:paraId="6D0578E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05251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7DB3AB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联系人：王先生</w:t>
      </w:r>
    </w:p>
    <w:p w14:paraId="16AA3D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4DA2E9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64522158">
      <w:pPr>
        <w:pStyle w:val="3"/>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407ED176">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2"/>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B2F75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AD5100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898C6A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BAAF9E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03F582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F092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610CE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1817EB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5A024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00E599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4DA82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43D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9E669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31FA56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8FC4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08A7C2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8D6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46590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4E537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AFF2E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4DBB75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51D85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2FB3A3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FB5BB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B42CC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688EDB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C547E3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8285E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9BBC1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5674D9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12A60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7F8E3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AE946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708B9B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44A316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0EFAC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300F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3805B3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0AD98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5EE4F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7AD6F1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D1AC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54E855D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6C099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79259B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4517CEA1">
      <w:pPr>
        <w:jc w:val="both"/>
        <w:rPr>
          <w:rFonts w:hint="eastAsia" w:ascii="宋体" w:hAnsi="宋体" w:eastAsia="宋体" w:cs="宋体"/>
          <w:b/>
          <w:bCs/>
          <w:color w:val="auto"/>
          <w:sz w:val="21"/>
          <w:szCs w:val="21"/>
          <w:highlight w:val="none"/>
        </w:rPr>
      </w:pPr>
    </w:p>
    <w:p w14:paraId="117A2B48">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2"/>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C6AB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6BEA188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D1FF3D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98D636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5CE184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371FC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F6FEF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409B0E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BED92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013F95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A0A1B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3B822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0DC111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4294A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A4A0C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819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91070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DEC24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4ADBD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6D6D1C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3A9CDB10">
      <w:pPr>
        <w:pStyle w:val="28"/>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6C1A62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1"/>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1672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2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8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73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DF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59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70DF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F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DC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6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7F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2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56BF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2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E7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E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F2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B0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480A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B2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0A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11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A9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57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3976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AA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EA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8B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A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0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6DF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1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9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3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8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40AF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C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98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6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11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B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167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5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66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F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F7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90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2F8D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06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67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CF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8C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4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64FD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85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A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3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A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2790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6D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04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4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0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A6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5357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DC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64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1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4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A1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4E4D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7E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AE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E6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73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08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2373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D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0F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D7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44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15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64CB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A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C3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D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E3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D0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4FD2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C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C2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A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78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72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741301AD">
      <w:pPr>
        <w:spacing w:line="360" w:lineRule="auto"/>
        <w:rPr>
          <w:rFonts w:hint="eastAsia" w:ascii="宋体" w:hAnsi="宋体" w:eastAsia="宋体" w:cs="宋体"/>
          <w:color w:val="auto"/>
          <w:szCs w:val="21"/>
          <w:highlight w:val="none"/>
        </w:rPr>
      </w:pPr>
    </w:p>
    <w:p w14:paraId="2BB86916">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6"/>
          <w:rFonts w:hint="eastAsia" w:ascii="宋体" w:hAnsi="宋体" w:eastAsia="宋体" w:cs="宋体"/>
          <w:color w:val="auto"/>
          <w:szCs w:val="21"/>
          <w:highlight w:val="none"/>
        </w:rPr>
        <w:t>http://zfcg.czt.zj.gov.cn</w:t>
      </w:r>
      <w:r>
        <w:rPr>
          <w:rStyle w:val="26"/>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1E0785BD">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03B04344">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834897E">
      <w:pPr>
        <w:pStyle w:val="2"/>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二○二四年十二月</w:t>
      </w:r>
    </w:p>
    <w:p w14:paraId="3AE2B220">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4B5FD73A">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1"/>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69"/>
        <w:gridCol w:w="7100"/>
      </w:tblGrid>
      <w:tr w14:paraId="08AA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30" w:type="dxa"/>
            <w:vAlign w:val="center"/>
          </w:tcPr>
          <w:p w14:paraId="11A70BA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69" w:type="dxa"/>
            <w:vAlign w:val="center"/>
          </w:tcPr>
          <w:p w14:paraId="0FBA3409">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100" w:type="dxa"/>
            <w:vAlign w:val="center"/>
          </w:tcPr>
          <w:p w14:paraId="1EF9E431">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209A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30" w:type="dxa"/>
            <w:vAlign w:val="center"/>
          </w:tcPr>
          <w:p w14:paraId="73ED8BC4">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369" w:type="dxa"/>
            <w:vAlign w:val="center"/>
          </w:tcPr>
          <w:p w14:paraId="5C13FE7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100" w:type="dxa"/>
            <w:vAlign w:val="center"/>
          </w:tcPr>
          <w:p w14:paraId="64B042C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088C8C4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11B7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30" w:type="dxa"/>
            <w:vAlign w:val="center"/>
          </w:tcPr>
          <w:p w14:paraId="35026C3C">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369" w:type="dxa"/>
            <w:vAlign w:val="center"/>
          </w:tcPr>
          <w:p w14:paraId="695872B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100" w:type="dxa"/>
            <w:vAlign w:val="center"/>
          </w:tcPr>
          <w:p w14:paraId="6C3621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6CDA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30" w:type="dxa"/>
            <w:vAlign w:val="center"/>
          </w:tcPr>
          <w:p w14:paraId="44F12EBF">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369" w:type="dxa"/>
            <w:vAlign w:val="center"/>
          </w:tcPr>
          <w:p w14:paraId="48681A4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100" w:type="dxa"/>
            <w:vAlign w:val="center"/>
          </w:tcPr>
          <w:p w14:paraId="630340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B00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730" w:type="dxa"/>
            <w:vAlign w:val="center"/>
          </w:tcPr>
          <w:p w14:paraId="5B11C751">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369" w:type="dxa"/>
            <w:vAlign w:val="center"/>
          </w:tcPr>
          <w:p w14:paraId="057BD33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100" w:type="dxa"/>
            <w:vAlign w:val="center"/>
          </w:tcPr>
          <w:p w14:paraId="36CA76F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096CE4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38D5B1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50324F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B8C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30" w:type="dxa"/>
            <w:vAlign w:val="center"/>
          </w:tcPr>
          <w:p w14:paraId="4C1A34A5">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369" w:type="dxa"/>
            <w:vAlign w:val="center"/>
          </w:tcPr>
          <w:p w14:paraId="1757934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100" w:type="dxa"/>
            <w:vAlign w:val="center"/>
          </w:tcPr>
          <w:p w14:paraId="79B9DF5D">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56A9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30" w:type="dxa"/>
            <w:vAlign w:val="center"/>
          </w:tcPr>
          <w:p w14:paraId="0C55074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369" w:type="dxa"/>
            <w:vAlign w:val="center"/>
          </w:tcPr>
          <w:p w14:paraId="63057E79">
            <w:pPr>
              <w:pStyle w:val="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100" w:type="dxa"/>
            <w:vAlign w:val="center"/>
          </w:tcPr>
          <w:p w14:paraId="71D47B6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2024年12月30日14:00</w:t>
            </w:r>
            <w:r>
              <w:rPr>
                <w:rFonts w:hint="eastAsia" w:ascii="宋体" w:hAnsi="宋体" w:eastAsia="宋体" w:cs="宋体"/>
                <w:b/>
                <w:bCs/>
                <w:color w:val="auto"/>
                <w:kern w:val="2"/>
                <w:sz w:val="21"/>
                <w:szCs w:val="21"/>
                <w:highlight w:val="none"/>
                <w:u w:val="single"/>
                <w:lang w:val="en-US" w:eastAsia="zh-CN" w:bidi="ar-SA"/>
              </w:rPr>
              <w:t>整</w:t>
            </w:r>
          </w:p>
          <w:p w14:paraId="06D57CD6">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2926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730" w:type="dxa"/>
            <w:vAlign w:val="center"/>
          </w:tcPr>
          <w:p w14:paraId="13BF8A5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69" w:type="dxa"/>
            <w:vAlign w:val="center"/>
          </w:tcPr>
          <w:p w14:paraId="5CC056C3">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100" w:type="dxa"/>
            <w:vAlign w:val="center"/>
          </w:tcPr>
          <w:p w14:paraId="5F3973CF">
            <w:pPr>
              <w:pStyle w:val="51"/>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38AADCAB">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2024年12月30日14:00</w:t>
            </w:r>
            <w:r>
              <w:rPr>
                <w:rFonts w:hint="eastAsia" w:ascii="宋体" w:hAnsi="宋体" w:eastAsia="宋体" w:cs="宋体"/>
                <w:b/>
                <w:bCs/>
                <w:color w:val="auto"/>
                <w:kern w:val="2"/>
                <w:sz w:val="21"/>
                <w:szCs w:val="21"/>
                <w:highlight w:val="none"/>
                <w:u w:val="single"/>
                <w:lang w:val="en-US" w:eastAsia="zh-CN" w:bidi="ar-SA"/>
              </w:rPr>
              <w:t>整</w:t>
            </w:r>
          </w:p>
        </w:tc>
      </w:tr>
      <w:tr w14:paraId="14E5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30" w:type="dxa"/>
            <w:vAlign w:val="center"/>
          </w:tcPr>
          <w:p w14:paraId="0BFD4F2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369" w:type="dxa"/>
            <w:vAlign w:val="center"/>
          </w:tcPr>
          <w:p w14:paraId="4212E6A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100" w:type="dxa"/>
            <w:vAlign w:val="center"/>
          </w:tcPr>
          <w:p w14:paraId="094FC67E">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38262EC7">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049F63C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7EA6D4C2">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46F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0" w:type="dxa"/>
            <w:vAlign w:val="center"/>
          </w:tcPr>
          <w:p w14:paraId="1A7ED5F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369" w:type="dxa"/>
            <w:vAlign w:val="center"/>
          </w:tcPr>
          <w:p w14:paraId="1937D24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100" w:type="dxa"/>
            <w:vAlign w:val="center"/>
          </w:tcPr>
          <w:p w14:paraId="0D3C1B77">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2024年12月30日14:00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14:30</w:t>
            </w:r>
            <w:r>
              <w:rPr>
                <w:rFonts w:hint="eastAsia" w:ascii="宋体" w:hAnsi="宋体" w:eastAsia="宋体" w:cs="宋体"/>
                <w:color w:val="auto"/>
                <w:sz w:val="21"/>
                <w:szCs w:val="21"/>
                <w:highlight w:val="none"/>
              </w:rPr>
              <w:t>（北京时间）</w:t>
            </w:r>
          </w:p>
          <w:p w14:paraId="15AA9BFC">
            <w:pPr>
              <w:pStyle w:val="5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5754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0" w:type="dxa"/>
            <w:vAlign w:val="center"/>
          </w:tcPr>
          <w:p w14:paraId="0877F35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369" w:type="dxa"/>
            <w:vAlign w:val="center"/>
          </w:tcPr>
          <w:p w14:paraId="2A93D0C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100" w:type="dxa"/>
            <w:vAlign w:val="center"/>
          </w:tcPr>
          <w:p w14:paraId="43DDB0F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6F1E04C7">
            <w:pPr>
              <w:pStyle w:val="5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2、节能环保：符合国家相关法律法规；3、样品：无要求；4、现场演示：无要求</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5、本项目无需提供履约保证金</w:t>
            </w:r>
            <w:r>
              <w:rPr>
                <w:rFonts w:hint="eastAsia" w:ascii="宋体" w:hAnsi="宋体" w:eastAsia="宋体" w:cs="宋体"/>
                <w:color w:val="auto"/>
                <w:sz w:val="21"/>
                <w:szCs w:val="21"/>
                <w:highlight w:val="none"/>
              </w:rPr>
              <w:t>。</w:t>
            </w:r>
          </w:p>
        </w:tc>
      </w:tr>
      <w:tr w14:paraId="14D8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30" w:type="dxa"/>
            <w:vAlign w:val="center"/>
          </w:tcPr>
          <w:p w14:paraId="6610868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369" w:type="dxa"/>
            <w:vAlign w:val="center"/>
          </w:tcPr>
          <w:p w14:paraId="5563350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100" w:type="dxa"/>
            <w:vAlign w:val="center"/>
          </w:tcPr>
          <w:p w14:paraId="5906D9B8">
            <w:pPr>
              <w:pStyle w:val="50"/>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FC414EC">
            <w:pPr>
              <w:pStyle w:val="50"/>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4F4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30" w:type="dxa"/>
            <w:vAlign w:val="center"/>
          </w:tcPr>
          <w:p w14:paraId="0C81270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369" w:type="dxa"/>
            <w:vAlign w:val="center"/>
          </w:tcPr>
          <w:p w14:paraId="4FF86BE6">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100" w:type="dxa"/>
            <w:vAlign w:val="center"/>
          </w:tcPr>
          <w:p w14:paraId="2913A6F2">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4F0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30" w:type="dxa"/>
            <w:vAlign w:val="center"/>
          </w:tcPr>
          <w:p w14:paraId="78A33A2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1369" w:type="dxa"/>
            <w:vAlign w:val="center"/>
          </w:tcPr>
          <w:p w14:paraId="18E8C1D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100" w:type="dxa"/>
            <w:vAlign w:val="center"/>
          </w:tcPr>
          <w:p w14:paraId="5A2775D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台州永安工程咨询有限公司和采购人</w:t>
            </w:r>
          </w:p>
        </w:tc>
      </w:tr>
    </w:tbl>
    <w:p w14:paraId="6B0370FA">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AF421B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754182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5FD715F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121EB4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75D6E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3C58AD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4FBE6E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7B182B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7F61AA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4F5D527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7AE5BA25">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62E0BA3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2E34BD6F">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14896C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3D0738C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3100A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ABC0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19D88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307EEA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6303AD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007055A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05618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10653E14">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544F5D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6A155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36D955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51C8A5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249597B">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10CA36B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503C8B77">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76813C8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65D789C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B9791C8">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48A08AAA">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5334A8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3EBB155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75F15D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00BD67C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3A2DFAB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23DEB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33F09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734A04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投标人认为需要说明的其他材料；</w:t>
      </w:r>
    </w:p>
    <w:p w14:paraId="56C7070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078A3C8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1D3D41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543AFE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9DC5B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8FAD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42B484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B2837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4F1AF0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843C0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057554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15707B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6DDCC248">
      <w:pPr>
        <w:spacing w:line="41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7CFA0657">
      <w:pPr>
        <w:spacing w:line="41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3B9464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70B7A6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（1）报价文件由开标一览表、报价明细表，以及投标人认为其他需要说明的内容组成。</w:t>
      </w:r>
    </w:p>
    <w:p w14:paraId="3DAC9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47CA51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所有的设备费、附加费（运输、保险、包装、安装调试、服务、维护费、水电费、网络费）、管理费、利润、税金、合同包含的所有风险责任等各项费用及不可预见费等所需的全部费用，全部费用已包含在投标报价中。</w:t>
      </w:r>
    </w:p>
    <w:p w14:paraId="230DB1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（4）相关报价单需打印或用不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2F4906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07EF2C8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71CFED7C">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3094F4C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979AC1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2CAFEABF">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1CD1544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签字或盖章。投标文件因字迹潦草或表达不清所引起的后果由投标人负责。</w:t>
      </w:r>
    </w:p>
    <w:p w14:paraId="0D943B48">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4E8665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4003A9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73F995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74209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551BF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3F8BE34F">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0D2DBBC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4FEB7AD6">
      <w:pPr>
        <w:pStyle w:val="5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5930BC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4FD936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5444E5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2E59324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805267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2CF78A0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w:t>
      </w:r>
      <w:r>
        <w:rPr>
          <w:rFonts w:hint="eastAsia" w:ascii="宋体" w:hAnsi="宋体" w:eastAsia="宋体" w:cs="宋体"/>
          <w:color w:val="auto"/>
          <w:szCs w:val="21"/>
          <w:highlight w:val="none"/>
        </w:rPr>
        <w:t>递交备份投标文件的，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szCs w:val="21"/>
          <w:highlight w:val="none"/>
          <w:lang w:val="en-US" w:eastAsia="zh-CN"/>
        </w:rPr>
        <w:t>建议</w:t>
      </w:r>
      <w:r>
        <w:rPr>
          <w:rFonts w:hint="eastAsia" w:ascii="宋体" w:hAnsi="宋体" w:eastAsia="宋体" w:cs="宋体"/>
          <w:color w:val="auto"/>
          <w:szCs w:val="21"/>
          <w:highlight w:val="none"/>
        </w:rPr>
        <w:t>顺丰邮寄</w:t>
      </w:r>
      <w:r>
        <w:rPr>
          <w:rFonts w:hint="eastAsia" w:ascii="宋体" w:hAnsi="宋体" w:eastAsia="宋体" w:cs="宋体"/>
          <w:color w:val="auto"/>
          <w:szCs w:val="21"/>
          <w:highlight w:val="none"/>
          <w:lang w:val="en-US" w:eastAsia="zh-CN"/>
        </w:rPr>
        <w:t>或直接送达</w:t>
      </w:r>
      <w:r>
        <w:rPr>
          <w:rFonts w:hint="eastAsia" w:ascii="宋体" w:hAnsi="宋体" w:eastAsia="宋体" w:cs="宋体"/>
          <w:color w:val="auto"/>
          <w:szCs w:val="21"/>
          <w:highlight w:val="none"/>
        </w:rPr>
        <w:t>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15388B1C">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7DDF961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602A582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4A27DA5F">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30E0265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5DD43D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3F1F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1A9E8880">
      <w:pPr>
        <w:pStyle w:val="57"/>
        <w:ind w:left="0" w:leftChars="0" w:firstLine="48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2CEB651">
      <w:pPr>
        <w:pStyle w:val="57"/>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5D94AD8B">
      <w:pPr>
        <w:pStyle w:val="57"/>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040F0C26">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787ECF4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7591C28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6506FF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3、中标人的投标文件自开标之日起至合同履行完毕均应保持有效。</w:t>
      </w:r>
    </w:p>
    <w:p w14:paraId="3911C7BA">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四、开标</w:t>
      </w:r>
    </w:p>
    <w:p w14:paraId="5F3A4A88">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0157C531">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采购组织机构按照采购文件规定的时间通过电子交易平台组织开标、开启投标文件，所有供应商均应当准时在线参加。</w:t>
      </w:r>
    </w:p>
    <w:p w14:paraId="23821C62">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开标时，电子交易平台自动提取所有投标文件，提示采购组织机构和供应商按采购文件规定的方式和时间在线解密。</w:t>
      </w:r>
      <w:r>
        <w:rPr>
          <w:rFonts w:hint="eastAsia" w:ascii="宋体" w:hAnsi="宋体" w:eastAsia="宋体" w:cs="宋体"/>
          <w:b/>
          <w:bCs/>
          <w:color w:val="auto"/>
          <w:kern w:val="2"/>
          <w:sz w:val="21"/>
          <w:szCs w:val="21"/>
          <w:highlight w:val="none"/>
          <w:lang w:val="en-US" w:eastAsia="zh-CN" w:bidi="ar-SA"/>
        </w:rPr>
        <w:t>给予供应商在线解密的时间为截止投标后30分钟。</w:t>
      </w:r>
    </w:p>
    <w:p w14:paraId="6AA75EF8">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14:paraId="14CC262E">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采购组织机构在“招标公告”规定的时间和地点公开开标，投标人的法定代表人或其授权代表无需现场参加开标会并签到。</w:t>
      </w:r>
      <w:r>
        <w:rPr>
          <w:rFonts w:hint="eastAsia" w:ascii="宋体" w:hAnsi="宋体" w:eastAsia="宋体" w:cs="宋体"/>
          <w:color w:val="auto"/>
          <w:sz w:val="21"/>
          <w:szCs w:val="21"/>
          <w:highlight w:val="none"/>
        </w:rPr>
        <w:t>评标委员会成员不得参加开标活动。（本次招标采用先评审商务资格和技术服务方案，后公开并评审商务报价的办法实施）。</w:t>
      </w:r>
    </w:p>
    <w:p w14:paraId="728E12B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10BE49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14:paraId="01BD8F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14:paraId="1F0213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14:paraId="4AD005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6A553B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5、采购组织机构点击【开启标书信息】，进入资格审查及符合性审查环节。</w:t>
      </w:r>
    </w:p>
    <w:p w14:paraId="3804C5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、完成综合比较与评价后，开启报价响应文件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采购代理机构成功开启报价响应文件后，方可查看各供应商报价情况。</w:t>
      </w:r>
    </w:p>
    <w:p w14:paraId="46F9CA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、报价文件评审；</w:t>
      </w:r>
    </w:p>
    <w:p w14:paraId="56EE4F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、在完成评标后，宣布评标结果，开标会议结束。</w:t>
      </w:r>
    </w:p>
    <w:p w14:paraId="1F9B6119">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14:paraId="6D4FD0A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2A68EE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2E76875F">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726C663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05AC0D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75E3CAF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579D26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72C127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9A340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4B5D5D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189752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065F478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7C533B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B68C5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31BFE8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2631205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07721F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0F8C951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7EF061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签字，并不得超出投标文件的范围或者改变投标文件的实质性内容。</w:t>
      </w:r>
    </w:p>
    <w:p w14:paraId="103B175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7EEBAD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E6B54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30433C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45F42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7E0F67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86009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3C14DC6E">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772068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F0E9B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2CC64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646B38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9E2CE0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2DEBE48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734C818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5BF772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BFD1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报价超过招标文件中规定的预算价/最高限(单)价。</w:t>
      </w:r>
      <w:r>
        <w:rPr>
          <w:rFonts w:hint="eastAsia" w:ascii="宋体" w:hAnsi="宋体" w:eastAsia="宋体" w:cs="宋体"/>
          <w:color w:val="auto"/>
          <w:sz w:val="21"/>
          <w:szCs w:val="21"/>
          <w:highlight w:val="none"/>
        </w:rPr>
        <w:t xml:space="preserve"> </w:t>
      </w:r>
    </w:p>
    <w:p w14:paraId="23F1AE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14BFCF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3671BD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603D5F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44AAB6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0C59E2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7FB688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7F0165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6A5E79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58D874FC">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77B30D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8EB64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65470A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47BB5A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5265F74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0F5EBE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2FF16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E434955">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1984EF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D612E38">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2D0669B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EABC1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182FA7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00A8D893">
      <w:pPr>
        <w:pStyle w:val="18"/>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E634E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4DF4FAD1">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201B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3D19D0F4">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80ADBEA">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386B1A9D">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756BBF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1EC8648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0A83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9CA8C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140431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E09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F07C7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F426F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05CF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4A4DE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134CF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69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0DCDC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134C7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421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FB03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16F82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87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EEDD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EC92E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AD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E09C9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7F2A0D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267B646">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1419E5D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064C5B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13374A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01E32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43B9C8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E60A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5BE2851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0E18A8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00FC92CD">
      <w:pPr>
        <w:spacing w:line="360" w:lineRule="auto"/>
        <w:ind w:firstLine="4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2BDECFA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0A7DEC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0AA2F7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7508A35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55E971BC">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2CF5569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78D3FCF0">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13622816">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zh-CN"/>
        </w:rPr>
        <w:t>0%×100 。</w:t>
      </w:r>
    </w:p>
    <w:p w14:paraId="5EE2637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581E8C4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5C1242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4FDA8B07">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1DEF03CA">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2F84810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14:paraId="4977A660">
      <w:pPr>
        <w:spacing w:line="360" w:lineRule="auto"/>
        <w:jc w:val="center"/>
        <w:rPr>
          <w:rFonts w:hint="eastAsia"/>
          <w:color w:val="auto"/>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p>
    <w:tbl>
      <w:tblPr>
        <w:tblStyle w:val="2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03"/>
        <w:gridCol w:w="6423"/>
        <w:gridCol w:w="606"/>
      </w:tblGrid>
      <w:tr w14:paraId="0872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009" w:type="dxa"/>
            <w:gridSpan w:val="2"/>
            <w:vAlign w:val="center"/>
          </w:tcPr>
          <w:p w14:paraId="385E6F5A">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评分项目</w:t>
            </w:r>
          </w:p>
        </w:tc>
        <w:tc>
          <w:tcPr>
            <w:tcW w:w="6423" w:type="dxa"/>
            <w:vAlign w:val="center"/>
          </w:tcPr>
          <w:p w14:paraId="20F2105E">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评分</w:t>
            </w:r>
            <w:r>
              <w:rPr>
                <w:rFonts w:hint="eastAsia" w:ascii="宋体" w:hAnsi="宋体" w:eastAsia="宋体" w:cs="宋体"/>
                <w:b/>
                <w:bCs/>
                <w:color w:val="auto"/>
                <w:sz w:val="21"/>
                <w:szCs w:val="21"/>
                <w:highlight w:val="none"/>
                <w:lang w:val="en-US" w:eastAsia="zh-CN"/>
              </w:rPr>
              <w:t>内容</w:t>
            </w:r>
          </w:p>
        </w:tc>
        <w:tc>
          <w:tcPr>
            <w:tcW w:w="606" w:type="dxa"/>
            <w:vAlign w:val="center"/>
          </w:tcPr>
          <w:p w14:paraId="1DFD04A1">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3505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restart"/>
            <w:vAlign w:val="center"/>
          </w:tcPr>
          <w:p w14:paraId="75DEC713">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5D313DD7">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103" w:type="dxa"/>
            <w:shd w:val="clear" w:color="auto" w:fill="auto"/>
            <w:vAlign w:val="center"/>
          </w:tcPr>
          <w:p w14:paraId="2017CFB1">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企业能力</w:t>
            </w:r>
          </w:p>
        </w:tc>
        <w:tc>
          <w:tcPr>
            <w:tcW w:w="6423" w:type="dxa"/>
            <w:shd w:val="clear" w:color="auto" w:fill="auto"/>
            <w:vAlign w:val="top"/>
          </w:tcPr>
          <w:p w14:paraId="6EE0CB82">
            <w:pPr>
              <w:pStyle w:val="7"/>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投标人具有有效期内的</w:t>
            </w:r>
            <w:r>
              <w:rPr>
                <w:rFonts w:hint="eastAsia" w:ascii="宋体" w:hAnsi="宋体" w:eastAsia="宋体" w:cs="宋体"/>
                <w:color w:val="auto"/>
                <w:kern w:val="2"/>
                <w:sz w:val="21"/>
                <w:szCs w:val="21"/>
                <w:highlight w:val="none"/>
                <w:lang w:val="en-US" w:eastAsia="zh-CN"/>
              </w:rPr>
              <w:t>质量管理体系认证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rPr>
              <w:t>环境管理体系认证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rPr>
              <w:t>职业健康安全管理体系认证</w:t>
            </w:r>
            <w:r>
              <w:rPr>
                <w:rFonts w:hint="eastAsia" w:ascii="宋体" w:hAnsi="宋体" w:eastAsia="宋体" w:cs="宋体"/>
                <w:color w:val="auto"/>
                <w:sz w:val="21"/>
                <w:szCs w:val="21"/>
                <w:highlight w:val="none"/>
                <w:lang w:val="en-US" w:eastAsia="zh-CN"/>
              </w:rPr>
              <w:t>的，每具备1个得1分，本项最高得3分。</w:t>
            </w:r>
          </w:p>
          <w:p w14:paraId="6068BD92">
            <w:pPr>
              <w:keepNext w:val="0"/>
              <w:keepLines w:val="0"/>
              <w:pageBreakBefore w:val="0"/>
              <w:kinsoku/>
              <w:wordWrap/>
              <w:overflowPunct/>
              <w:topLinePunct w:val="0"/>
              <w:autoSpaceDE w:val="0"/>
              <w:autoSpaceDN w:val="0"/>
              <w:bidi w:val="0"/>
              <w:adjustRightInd w:val="0"/>
              <w:spacing w:line="240" w:lineRule="auto"/>
              <w:ind w:left="0" w:leftChars="0"/>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bCs/>
                <w:color w:val="auto"/>
                <w:sz w:val="21"/>
                <w:szCs w:val="21"/>
                <w:highlight w:val="none"/>
              </w:rPr>
              <w:t>（须提供</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证书扫描件及中国国家认证认可监督管理委员会官网公示信息的截图</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并加盖投标人公章编入投标文件中，未提供的不得分）</w:t>
            </w:r>
          </w:p>
        </w:tc>
        <w:tc>
          <w:tcPr>
            <w:tcW w:w="606" w:type="dxa"/>
            <w:shd w:val="clear" w:color="auto" w:fill="auto"/>
            <w:vAlign w:val="center"/>
          </w:tcPr>
          <w:p w14:paraId="78031E76">
            <w:pPr>
              <w:keepNext w:val="0"/>
              <w:keepLines w:val="0"/>
              <w:pageBreakBefore w:val="0"/>
              <w:kinsoku/>
              <w:wordWrap/>
              <w:overflowPunct/>
              <w:topLinePunct w:val="0"/>
              <w:autoSpaceDE w:val="0"/>
              <w:autoSpaceDN w:val="0"/>
              <w:bidi w:val="0"/>
              <w:adjustRightInd w:val="0"/>
              <w:spacing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3</w:t>
            </w:r>
          </w:p>
        </w:tc>
      </w:tr>
      <w:tr w14:paraId="3D45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6624C137">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color w:val="auto"/>
                <w:sz w:val="21"/>
                <w:szCs w:val="21"/>
                <w:highlight w:val="none"/>
                <w:lang w:eastAsia="zh-CN"/>
              </w:rPr>
            </w:pPr>
          </w:p>
        </w:tc>
        <w:tc>
          <w:tcPr>
            <w:tcW w:w="1103" w:type="dxa"/>
            <w:shd w:val="clear" w:color="auto" w:fill="auto"/>
            <w:vAlign w:val="center"/>
          </w:tcPr>
          <w:p w14:paraId="5DD5D7C6">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承接经验</w:t>
            </w:r>
          </w:p>
        </w:tc>
        <w:tc>
          <w:tcPr>
            <w:tcW w:w="6423" w:type="dxa"/>
            <w:shd w:val="clear" w:color="auto" w:fill="auto"/>
            <w:vAlign w:val="center"/>
          </w:tcPr>
          <w:p w14:paraId="7D263589">
            <w:pPr>
              <w:keepNext w:val="0"/>
              <w:keepLines w:val="0"/>
              <w:pageBreakBefore w:val="0"/>
              <w:kinsoku/>
              <w:wordWrap/>
              <w:overflowPunct/>
              <w:topLinePunct w:val="0"/>
              <w:autoSpaceDE w:val="0"/>
              <w:autoSpaceDN w:val="0"/>
              <w:bidi w:val="0"/>
              <w:adjustRightInd w:val="0"/>
              <w:spacing w:line="240" w:lineRule="auto"/>
              <w:ind w:left="0"/>
              <w:jc w:val="left"/>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color w:val="auto"/>
                <w:kern w:val="2"/>
                <w:sz w:val="21"/>
                <w:szCs w:val="21"/>
                <w:highlight w:val="none"/>
                <w:lang w:val="en-US" w:eastAsia="zh-CN"/>
              </w:rPr>
              <w:t>投标人提供自2021年1月1日以来(以合同签订时间为准)，承接的环境空气自动站（合同中须包含PM10、PM2.5、NO2、SO2、CO、O3分析仪器）运维的同类案例，每提供一个合同业绩得</w:t>
            </w:r>
            <w:r>
              <w:rPr>
                <w:rFonts w:hint="eastAsia" w:ascii="宋体" w:hAnsi="宋体" w:cs="宋体"/>
                <w:color w:val="auto"/>
                <w:kern w:val="2"/>
                <w:sz w:val="21"/>
                <w:szCs w:val="21"/>
                <w:highlight w:val="none"/>
                <w:lang w:val="en-US" w:eastAsia="zh-CN"/>
              </w:rPr>
              <w:t>0.25</w:t>
            </w:r>
            <w:r>
              <w:rPr>
                <w:rFonts w:hint="eastAsia" w:ascii="宋体" w:hAnsi="宋体" w:eastAsia="宋体" w:cs="宋体"/>
                <w:color w:val="auto"/>
                <w:kern w:val="2"/>
                <w:sz w:val="21"/>
                <w:szCs w:val="21"/>
                <w:highlight w:val="none"/>
                <w:lang w:val="en-US" w:eastAsia="zh-CN"/>
              </w:rPr>
              <w:t>分，最高得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w:t>
            </w:r>
          </w:p>
          <w:p w14:paraId="232D1696">
            <w:pPr>
              <w:keepNext w:val="0"/>
              <w:keepLines w:val="0"/>
              <w:pageBreakBefore w:val="0"/>
              <w:kinsoku/>
              <w:wordWrap/>
              <w:overflowPunct/>
              <w:topLinePunct w:val="0"/>
              <w:autoSpaceDE w:val="0"/>
              <w:autoSpaceDN w:val="0"/>
              <w:bidi w:val="0"/>
              <w:adjustRightInd w:val="0"/>
              <w:spacing w:line="240" w:lineRule="auto"/>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val="zh-CN" w:eastAsia="zh-CN"/>
              </w:rPr>
              <w:t>提供</w:t>
            </w:r>
            <w:r>
              <w:rPr>
                <w:rFonts w:hint="eastAsia" w:ascii="宋体" w:hAnsi="宋体" w:eastAsia="宋体" w:cs="宋体"/>
                <w:b/>
                <w:bCs/>
                <w:color w:val="auto"/>
                <w:sz w:val="21"/>
                <w:szCs w:val="21"/>
                <w:highlight w:val="none"/>
                <w:lang w:val="en-US" w:eastAsia="zh-CN"/>
              </w:rPr>
              <w:t>合同扫描件并</w:t>
            </w:r>
            <w:r>
              <w:rPr>
                <w:rFonts w:hint="eastAsia" w:ascii="宋体" w:hAnsi="宋体" w:eastAsia="宋体" w:cs="宋体"/>
                <w:b/>
                <w:bCs/>
                <w:color w:val="auto"/>
                <w:sz w:val="21"/>
                <w:szCs w:val="21"/>
                <w:highlight w:val="none"/>
                <w:lang w:val="zh-CN" w:eastAsia="zh-CN"/>
              </w:rPr>
              <w:t>加盖投标人公章</w:t>
            </w:r>
            <w:r>
              <w:rPr>
                <w:rFonts w:hint="eastAsia" w:ascii="宋体" w:hAnsi="宋体" w:eastAsia="宋体" w:cs="宋体"/>
                <w:b/>
                <w:bCs/>
                <w:color w:val="auto"/>
                <w:sz w:val="21"/>
                <w:szCs w:val="21"/>
                <w:highlight w:val="none"/>
                <w:lang w:val="en-US" w:eastAsia="zh-CN"/>
              </w:rPr>
              <w:t>编入投标文件中</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未</w:t>
            </w:r>
            <w:r>
              <w:rPr>
                <w:rFonts w:hint="eastAsia" w:ascii="宋体" w:hAnsi="宋体" w:eastAsia="宋体" w:cs="宋体"/>
                <w:b/>
                <w:bCs/>
                <w:color w:val="auto"/>
                <w:sz w:val="21"/>
                <w:szCs w:val="21"/>
                <w:highlight w:val="none"/>
                <w:lang w:val="zh-CN" w:eastAsia="zh-CN"/>
              </w:rPr>
              <w:t>提供的不得分）</w:t>
            </w:r>
          </w:p>
        </w:tc>
        <w:tc>
          <w:tcPr>
            <w:tcW w:w="606" w:type="dxa"/>
            <w:shd w:val="clear" w:color="auto" w:fill="auto"/>
            <w:vAlign w:val="center"/>
          </w:tcPr>
          <w:p w14:paraId="03805819">
            <w:pPr>
              <w:keepNext w:val="0"/>
              <w:keepLines w:val="0"/>
              <w:pageBreakBefore w:val="0"/>
              <w:kinsoku/>
              <w:wordWrap/>
              <w:overflowPunct/>
              <w:topLinePunct w:val="0"/>
              <w:bidi w:val="0"/>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r w14:paraId="690C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1C7AEACB">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color w:val="auto"/>
                <w:sz w:val="21"/>
                <w:szCs w:val="21"/>
                <w:highlight w:val="none"/>
                <w:lang w:eastAsia="zh-CN"/>
              </w:rPr>
            </w:pPr>
          </w:p>
        </w:tc>
        <w:tc>
          <w:tcPr>
            <w:tcW w:w="1103" w:type="dxa"/>
            <w:vMerge w:val="restart"/>
            <w:shd w:val="clear" w:color="auto" w:fill="auto"/>
            <w:vAlign w:val="center"/>
          </w:tcPr>
          <w:p w14:paraId="4F53FA07">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拟投入本项目人员情况</w:t>
            </w:r>
          </w:p>
        </w:tc>
        <w:tc>
          <w:tcPr>
            <w:tcW w:w="6423" w:type="dxa"/>
            <w:shd w:val="clear" w:color="auto" w:fill="auto"/>
            <w:vAlign w:val="center"/>
          </w:tcPr>
          <w:p w14:paraId="6B4439DD">
            <w:pPr>
              <w:pStyle w:val="7"/>
              <w:keepNext w:val="0"/>
              <w:keepLines w:val="0"/>
              <w:pageBreakBefore w:val="0"/>
              <w:kinsoku/>
              <w:wordWrap/>
              <w:overflowPunct/>
              <w:topLinePunct w:val="0"/>
              <w:bidi w:val="0"/>
              <w:spacing w:line="240" w:lineRule="auto"/>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项目负责人具备环境类中级及以上专业技术职称证书的得3分</w:t>
            </w:r>
            <w:r>
              <w:rPr>
                <w:rFonts w:hint="eastAsia" w:ascii="宋体" w:hAnsi="宋体" w:cs="宋体"/>
                <w:color w:val="auto"/>
                <w:kern w:val="2"/>
                <w:sz w:val="21"/>
                <w:szCs w:val="21"/>
                <w:highlight w:val="none"/>
                <w:lang w:val="en-US" w:eastAsia="zh-CN"/>
              </w:rPr>
              <w:t>。</w:t>
            </w:r>
          </w:p>
          <w:p w14:paraId="605752A6">
            <w:pPr>
              <w:pStyle w:val="7"/>
              <w:keepNext w:val="0"/>
              <w:keepLines w:val="0"/>
              <w:pageBreakBefore w:val="0"/>
              <w:kinsoku/>
              <w:wordWrap/>
              <w:overflowPunct/>
              <w:topLinePunct w:val="0"/>
              <w:bidi w:val="0"/>
              <w:spacing w:line="240" w:lineRule="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证书扫描件及投标截止时间前</w:t>
            </w:r>
            <w:r>
              <w:rPr>
                <w:rFonts w:hint="eastAsia" w:ascii="宋体" w:hAnsi="宋体" w:cs="宋体"/>
                <w:b/>
                <w:bCs/>
                <w:color w:val="auto"/>
                <w:sz w:val="21"/>
                <w:szCs w:val="21"/>
                <w:highlight w:val="none"/>
                <w:lang w:val="en-US" w:eastAsia="zh-CN"/>
              </w:rPr>
              <w:t>半年内连续3</w:t>
            </w:r>
            <w:r>
              <w:rPr>
                <w:rFonts w:hint="eastAsia" w:ascii="宋体" w:hAnsi="宋体" w:eastAsia="宋体" w:cs="宋体"/>
                <w:b/>
                <w:bCs/>
                <w:color w:val="auto"/>
                <w:sz w:val="21"/>
                <w:szCs w:val="21"/>
                <w:highlight w:val="none"/>
                <w:lang w:val="en-US" w:eastAsia="zh-CN"/>
              </w:rPr>
              <w:t>个月</w:t>
            </w:r>
            <w:r>
              <w:rPr>
                <w:rFonts w:hint="eastAsia" w:ascii="宋体" w:hAnsi="宋体" w:eastAsia="宋体" w:cs="宋体"/>
                <w:b/>
                <w:bCs/>
                <w:color w:val="auto"/>
                <w:sz w:val="21"/>
                <w:szCs w:val="21"/>
                <w:highlight w:val="none"/>
              </w:rPr>
              <w:t>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06" w:type="dxa"/>
            <w:shd w:val="clear" w:color="auto" w:fill="auto"/>
            <w:vAlign w:val="center"/>
          </w:tcPr>
          <w:p w14:paraId="6E26AEE3">
            <w:pPr>
              <w:keepNext w:val="0"/>
              <w:keepLines w:val="0"/>
              <w:pageBreakBefore w:val="0"/>
              <w:kinsoku/>
              <w:wordWrap/>
              <w:overflowPunct/>
              <w:topLinePunct w:val="0"/>
              <w:bidi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6831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29E82B0C">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color w:val="auto"/>
                <w:sz w:val="21"/>
                <w:szCs w:val="21"/>
                <w:highlight w:val="none"/>
                <w:lang w:eastAsia="zh-CN"/>
              </w:rPr>
            </w:pPr>
          </w:p>
        </w:tc>
        <w:tc>
          <w:tcPr>
            <w:tcW w:w="1103" w:type="dxa"/>
            <w:vMerge w:val="continue"/>
            <w:shd w:val="clear" w:color="auto" w:fill="auto"/>
            <w:vAlign w:val="center"/>
          </w:tcPr>
          <w:p w14:paraId="12C96D7D">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423" w:type="dxa"/>
            <w:shd w:val="clear" w:color="auto" w:fill="auto"/>
            <w:vAlign w:val="center"/>
          </w:tcPr>
          <w:p w14:paraId="5319ABEB">
            <w:pPr>
              <w:pStyle w:val="7"/>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项目组人员（不包含项目负责人）：</w:t>
            </w:r>
          </w:p>
          <w:p w14:paraId="7535AAF2">
            <w:pPr>
              <w:pStyle w:val="7"/>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（1）具有中国环境监测总站颁发的环境空气质量自动站运维技术与质控要求培训合格证</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每有一人得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lang w:val="en-US" w:eastAsia="zh-CN"/>
              </w:rPr>
              <w:t>分，最高得</w:t>
            </w:r>
            <w:r>
              <w:rPr>
                <w:rFonts w:hint="eastAsia" w:ascii="宋体" w:hAnsi="宋体" w:cs="宋体"/>
                <w:color w:val="auto"/>
                <w:kern w:val="2"/>
                <w:sz w:val="21"/>
                <w:szCs w:val="21"/>
                <w:highlight w:val="none"/>
                <w:lang w:val="en-US" w:eastAsia="zh-CN"/>
              </w:rPr>
              <w:t>4.5</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w:t>
            </w:r>
          </w:p>
          <w:p w14:paraId="16EAD7DE">
            <w:pPr>
              <w:pStyle w:val="7"/>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（2）具有</w:t>
            </w:r>
            <w:r>
              <w:rPr>
                <w:rFonts w:hint="eastAsia" w:ascii="宋体" w:hAnsi="宋体" w:eastAsia="宋体" w:cs="宋体"/>
                <w:color w:val="auto"/>
                <w:kern w:val="2"/>
                <w:sz w:val="21"/>
                <w:szCs w:val="21"/>
                <w:highlight w:val="none"/>
                <w:lang w:val="en-US" w:eastAsia="zh-CN"/>
              </w:rPr>
              <w:t>省级及以上环境监测主管部门颁发的大气自动监测站或超级站运维培训合格证</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每有一人得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lang w:val="en-US" w:eastAsia="zh-CN"/>
              </w:rPr>
              <w:t>分，最高得</w:t>
            </w:r>
            <w:r>
              <w:rPr>
                <w:rFonts w:hint="eastAsia" w:ascii="宋体" w:hAnsi="宋体" w:cs="宋体"/>
                <w:color w:val="auto"/>
                <w:kern w:val="2"/>
                <w:sz w:val="21"/>
                <w:szCs w:val="21"/>
                <w:highlight w:val="none"/>
                <w:lang w:val="en-US" w:eastAsia="zh-CN"/>
              </w:rPr>
              <w:t>4.5</w:t>
            </w:r>
            <w:r>
              <w:rPr>
                <w:rFonts w:hint="eastAsia" w:ascii="宋体" w:hAnsi="宋体" w:eastAsia="宋体" w:cs="宋体"/>
                <w:color w:val="auto"/>
                <w:kern w:val="2"/>
                <w:sz w:val="21"/>
                <w:szCs w:val="21"/>
                <w:highlight w:val="none"/>
                <w:lang w:val="en-US" w:eastAsia="zh-CN"/>
              </w:rPr>
              <w:t>分；</w:t>
            </w:r>
          </w:p>
          <w:p w14:paraId="28E17768">
            <w:pPr>
              <w:pStyle w:val="7"/>
              <w:keepNext w:val="0"/>
              <w:keepLines w:val="0"/>
              <w:pageBreakBefore w:val="0"/>
              <w:kinsoku/>
              <w:wordWrap/>
              <w:overflowPunct/>
              <w:topLinePunct w:val="0"/>
              <w:bidi w:val="0"/>
              <w:spacing w:line="240" w:lineRule="auto"/>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）具有二级</w:t>
            </w:r>
            <w:r>
              <w:rPr>
                <w:rFonts w:hint="eastAsia" w:ascii="宋体" w:hAnsi="宋体" w:cs="宋体"/>
                <w:color w:val="auto"/>
                <w:kern w:val="2"/>
                <w:sz w:val="21"/>
                <w:szCs w:val="21"/>
                <w:highlight w:val="none"/>
                <w:lang w:val="en-US" w:eastAsia="zh-CN"/>
              </w:rPr>
              <w:t>及以上</w:t>
            </w:r>
            <w:r>
              <w:rPr>
                <w:rFonts w:hint="eastAsia" w:ascii="宋体" w:hAnsi="宋体" w:eastAsia="宋体" w:cs="宋体"/>
                <w:color w:val="auto"/>
                <w:kern w:val="2"/>
                <w:sz w:val="21"/>
                <w:szCs w:val="21"/>
                <w:highlight w:val="none"/>
                <w:lang w:val="en-US" w:eastAsia="zh-CN"/>
              </w:rPr>
              <w:t>注册计量师职业证的，每有一人得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分，最高得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w:t>
            </w:r>
          </w:p>
          <w:p w14:paraId="2C8F6AB9">
            <w:pPr>
              <w:pStyle w:val="7"/>
              <w:keepNext w:val="0"/>
              <w:keepLines w:val="0"/>
              <w:pageBreakBefore w:val="0"/>
              <w:kinsoku/>
              <w:wordWrap/>
              <w:overflowPunct/>
              <w:topLinePunct w:val="0"/>
              <w:bidi w:val="0"/>
              <w:spacing w:line="240" w:lineRule="auto"/>
              <w:rPr>
                <w:rFonts w:hint="eastAsia" w:ascii="宋体" w:hAnsi="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同一人员不重复计分。</w:t>
            </w:r>
          </w:p>
          <w:p w14:paraId="7C320507">
            <w:pPr>
              <w:pStyle w:val="7"/>
              <w:keepNext w:val="0"/>
              <w:keepLines w:val="0"/>
              <w:pageBreakBefore w:val="0"/>
              <w:kinsoku/>
              <w:wordWrap/>
              <w:overflowPunct/>
              <w:topLinePunct w:val="0"/>
              <w:bidi w:val="0"/>
              <w:spacing w:line="240" w:lineRule="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证书</w:t>
            </w:r>
            <w:r>
              <w:rPr>
                <w:rFonts w:hint="eastAsia" w:ascii="宋体" w:hAnsi="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扫描件及投标截止时间前</w:t>
            </w:r>
            <w:r>
              <w:rPr>
                <w:rFonts w:hint="eastAsia" w:ascii="宋体" w:hAnsi="宋体" w:cs="宋体"/>
                <w:b/>
                <w:bCs/>
                <w:color w:val="auto"/>
                <w:sz w:val="21"/>
                <w:szCs w:val="21"/>
                <w:highlight w:val="none"/>
                <w:lang w:val="en-US" w:eastAsia="zh-CN"/>
              </w:rPr>
              <w:t>半年内连续3</w:t>
            </w:r>
            <w:r>
              <w:rPr>
                <w:rFonts w:hint="eastAsia" w:ascii="宋体" w:hAnsi="宋体" w:eastAsia="宋体" w:cs="宋体"/>
                <w:b/>
                <w:bCs/>
                <w:color w:val="auto"/>
                <w:sz w:val="21"/>
                <w:szCs w:val="21"/>
                <w:highlight w:val="none"/>
                <w:lang w:val="en-US" w:eastAsia="zh-CN"/>
              </w:rPr>
              <w:t>个月</w:t>
            </w:r>
            <w:r>
              <w:rPr>
                <w:rFonts w:hint="eastAsia" w:ascii="宋体" w:hAnsi="宋体" w:eastAsia="宋体" w:cs="宋体"/>
                <w:b/>
                <w:bCs/>
                <w:color w:val="auto"/>
                <w:sz w:val="21"/>
                <w:szCs w:val="21"/>
                <w:highlight w:val="none"/>
              </w:rPr>
              <w:t>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以上证书将</w:t>
            </w:r>
            <w:r>
              <w:rPr>
                <w:rFonts w:hint="eastAsia" w:ascii="宋体" w:hAnsi="宋体" w:eastAsia="宋体" w:cs="宋体"/>
                <w:b/>
                <w:bCs/>
                <w:color w:val="auto"/>
                <w:kern w:val="2"/>
                <w:sz w:val="21"/>
                <w:szCs w:val="21"/>
                <w:highlight w:val="none"/>
                <w:lang w:val="en-US" w:eastAsia="zh-CN"/>
              </w:rPr>
              <w:t>作为运维考核依据。</w:t>
            </w:r>
            <w:r>
              <w:rPr>
                <w:rFonts w:hint="eastAsia" w:ascii="宋体" w:hAnsi="宋体" w:eastAsia="宋体" w:cs="宋体"/>
                <w:b/>
                <w:bCs/>
                <w:color w:val="auto"/>
                <w:sz w:val="21"/>
                <w:szCs w:val="21"/>
                <w:highlight w:val="none"/>
              </w:rPr>
              <w:t>）</w:t>
            </w:r>
          </w:p>
        </w:tc>
        <w:tc>
          <w:tcPr>
            <w:tcW w:w="606" w:type="dxa"/>
            <w:shd w:val="clear" w:color="auto" w:fill="auto"/>
            <w:vAlign w:val="center"/>
          </w:tcPr>
          <w:p w14:paraId="4AA958FC">
            <w:pPr>
              <w:keepNext w:val="0"/>
              <w:keepLines w:val="0"/>
              <w:pageBreakBefore w:val="0"/>
              <w:kinsoku/>
              <w:wordWrap/>
              <w:overflowPunct/>
              <w:topLinePunct w:val="0"/>
              <w:bidi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r>
      <w:tr w14:paraId="044B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06" w:type="dxa"/>
            <w:vMerge w:val="continue"/>
            <w:vAlign w:val="center"/>
          </w:tcPr>
          <w:p w14:paraId="38B961EE">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color w:val="auto"/>
                <w:sz w:val="21"/>
                <w:szCs w:val="21"/>
                <w:highlight w:val="none"/>
                <w:lang w:eastAsia="zh-CN"/>
              </w:rPr>
            </w:pPr>
          </w:p>
        </w:tc>
        <w:tc>
          <w:tcPr>
            <w:tcW w:w="1103" w:type="dxa"/>
            <w:vMerge w:val="restart"/>
            <w:shd w:val="clear" w:color="auto" w:fill="auto"/>
            <w:vAlign w:val="center"/>
          </w:tcPr>
          <w:p w14:paraId="10A9704B">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拟投入本项设备及耗材情况</w:t>
            </w:r>
          </w:p>
        </w:tc>
        <w:tc>
          <w:tcPr>
            <w:tcW w:w="6423" w:type="dxa"/>
            <w:shd w:val="clear" w:color="auto" w:fill="auto"/>
            <w:vAlign w:val="center"/>
          </w:tcPr>
          <w:p w14:paraId="27DA41A3">
            <w:pPr>
              <w:pStyle w:val="7"/>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投标人承诺中标后提供本项目站点的同品牌备机（同品牌备机是指6个指标：①PM10；②PM2.5；③NO2；④SO2；⑤CO；⑥O3分析仪器），对照采购内容及要求进行认定。</w:t>
            </w:r>
          </w:p>
          <w:p w14:paraId="784F6029">
            <w:pPr>
              <w:pStyle w:val="7"/>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1个指标提供1个同品牌备机的得1分，最高得6分。</w:t>
            </w:r>
          </w:p>
        </w:tc>
        <w:tc>
          <w:tcPr>
            <w:tcW w:w="606" w:type="dxa"/>
            <w:shd w:val="clear" w:color="auto" w:fill="auto"/>
            <w:vAlign w:val="center"/>
          </w:tcPr>
          <w:p w14:paraId="0F8182E6">
            <w:pPr>
              <w:pStyle w:val="7"/>
              <w:keepNext w:val="0"/>
              <w:keepLines w:val="0"/>
              <w:pageBreakBefore w:val="0"/>
              <w:kinsoku/>
              <w:wordWrap/>
              <w:overflowPunct/>
              <w:topLinePunct w:val="0"/>
              <w:bidi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6</w:t>
            </w:r>
          </w:p>
        </w:tc>
      </w:tr>
      <w:tr w14:paraId="2C53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vMerge w:val="restart"/>
            <w:vAlign w:val="center"/>
          </w:tcPr>
          <w:p w14:paraId="74F4EC12">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103" w:type="dxa"/>
            <w:vMerge w:val="restart"/>
            <w:vAlign w:val="center"/>
          </w:tcPr>
          <w:p w14:paraId="64A02CF9">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技术方案</w:t>
            </w:r>
          </w:p>
        </w:tc>
        <w:tc>
          <w:tcPr>
            <w:tcW w:w="6423" w:type="dxa"/>
            <w:vAlign w:val="center"/>
          </w:tcPr>
          <w:p w14:paraId="7BB5A12C">
            <w:pPr>
              <w:pStyle w:val="7"/>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根据</w:t>
            </w:r>
            <w:r>
              <w:rPr>
                <w:rFonts w:hint="eastAsia" w:ascii="宋体" w:hAnsi="宋体" w:cs="宋体"/>
                <w:color w:val="auto"/>
                <w:kern w:val="2"/>
                <w:sz w:val="21"/>
                <w:szCs w:val="21"/>
                <w:highlight w:val="none"/>
                <w:lang w:val="en-US" w:eastAsia="zh-CN"/>
              </w:rPr>
              <w:t>投标人针对本项目</w:t>
            </w:r>
            <w:r>
              <w:rPr>
                <w:rFonts w:hint="eastAsia" w:ascii="宋体" w:hAnsi="宋体" w:eastAsia="宋体" w:cs="宋体"/>
                <w:strike w:val="0"/>
                <w:dstrike w:val="0"/>
                <w:color w:val="auto"/>
                <w:kern w:val="2"/>
                <w:sz w:val="21"/>
                <w:szCs w:val="21"/>
                <w:highlight w:val="none"/>
                <w:lang w:val="en-US" w:eastAsia="zh-CN"/>
              </w:rPr>
              <w:t>情况</w:t>
            </w:r>
            <w:r>
              <w:rPr>
                <w:rFonts w:hint="eastAsia" w:ascii="宋体" w:hAnsi="宋体" w:eastAsia="宋体" w:cs="宋体"/>
                <w:color w:val="auto"/>
                <w:kern w:val="2"/>
                <w:sz w:val="21"/>
                <w:szCs w:val="21"/>
                <w:highlight w:val="none"/>
                <w:lang w:val="en-US" w:eastAsia="zh-CN"/>
              </w:rPr>
              <w:t>提出</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lang w:val="en-US" w:eastAsia="zh-CN"/>
              </w:rPr>
              <w:t>自动监控系统运维实施方案</w:t>
            </w:r>
            <w:r>
              <w:rPr>
                <w:rFonts w:hint="eastAsia" w:ascii="宋体" w:hAnsi="宋体" w:cs="宋体"/>
                <w:color w:val="auto"/>
                <w:kern w:val="2"/>
                <w:sz w:val="21"/>
                <w:szCs w:val="21"/>
                <w:highlight w:val="none"/>
                <w:lang w:val="en-US" w:eastAsia="zh-CN"/>
              </w:rPr>
              <w:t>进行打分。</w:t>
            </w:r>
          </w:p>
          <w:p w14:paraId="369EF767">
            <w:pPr>
              <w:pStyle w:val="7"/>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实施方案内容合理、完整，具有针对性、可操作性，满足本项目采购需求的得</w:t>
            </w:r>
            <w:r>
              <w:rPr>
                <w:rFonts w:hint="eastAsia" w:ascii="宋体" w:hAnsi="宋体" w:cs="宋体"/>
                <w:color w:val="auto"/>
                <w:kern w:val="2"/>
                <w:sz w:val="21"/>
                <w:szCs w:val="21"/>
                <w:highlight w:val="none"/>
                <w:lang w:val="en-US" w:eastAsia="zh-CN"/>
              </w:rPr>
              <w:t>5.0-10.0</w:t>
            </w:r>
            <w:r>
              <w:rPr>
                <w:rFonts w:hint="eastAsia" w:ascii="宋体" w:hAnsi="宋体" w:eastAsia="宋体" w:cs="宋体"/>
                <w:color w:val="auto"/>
                <w:kern w:val="2"/>
                <w:sz w:val="21"/>
                <w:szCs w:val="21"/>
                <w:highlight w:val="none"/>
                <w:lang w:val="en-US" w:eastAsia="zh-CN"/>
              </w:rPr>
              <w:t>分；</w:t>
            </w:r>
          </w:p>
          <w:p w14:paraId="6F540158">
            <w:pPr>
              <w:pStyle w:val="7"/>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实施方案内容描述简单、内容欠完善，基本满足本项目采购需求</w:t>
            </w:r>
            <w:r>
              <w:rPr>
                <w:rFonts w:hint="eastAsia" w:ascii="宋体" w:hAnsi="宋体" w:cs="宋体"/>
                <w:color w:val="auto"/>
                <w:kern w:val="2"/>
                <w:sz w:val="21"/>
                <w:szCs w:val="21"/>
                <w:highlight w:val="none"/>
                <w:lang w:val="en-US" w:eastAsia="zh-CN"/>
              </w:rPr>
              <w:t>的得2.0-4</w:t>
            </w:r>
            <w:r>
              <w:rPr>
                <w:rFonts w:hint="eastAsia" w:ascii="宋体" w:hAnsi="宋体" w:eastAsia="宋体" w:cs="宋体"/>
                <w:color w:val="auto"/>
                <w:kern w:val="2"/>
                <w:sz w:val="21"/>
                <w:szCs w:val="21"/>
                <w:highlight w:val="none"/>
                <w:lang w:val="en-US" w:eastAsia="zh-CN"/>
              </w:rPr>
              <w:t>.9分；</w:t>
            </w:r>
          </w:p>
          <w:p w14:paraId="58E8155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实施方案内容描述简单模糊、内容有缺陷、不具备可行性</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.9分</w:t>
            </w:r>
            <w:r>
              <w:rPr>
                <w:rFonts w:hint="eastAsia" w:ascii="宋体" w:hAnsi="宋体" w:eastAsia="宋体" w:cs="宋体"/>
                <w:b w:val="0"/>
                <w:color w:val="auto"/>
                <w:kern w:val="2"/>
                <w:sz w:val="21"/>
                <w:szCs w:val="21"/>
                <w:highlight w:val="none"/>
                <w:lang w:val="en-US" w:eastAsia="zh-CN" w:bidi="ar-SA"/>
              </w:rPr>
              <w:t>；</w:t>
            </w:r>
          </w:p>
          <w:p w14:paraId="0774D0A6">
            <w:pPr>
              <w:pStyle w:val="7"/>
              <w:rPr>
                <w:rFonts w:hint="eastAsia" w:ascii="宋体" w:hAnsi="宋体" w:eastAsia="宋体" w:cs="宋体"/>
                <w:color w:val="auto"/>
                <w:kern w:val="0"/>
                <w:sz w:val="21"/>
                <w:szCs w:val="21"/>
                <w:highlight w:val="none"/>
                <w:lang w:eastAsia="zh-CN"/>
              </w:rPr>
            </w:pPr>
            <w:r>
              <w:rPr>
                <w:rFonts w:hint="eastAsia" w:ascii="宋体" w:hAnsi="宋体" w:eastAsia="宋体" w:cs="宋体"/>
                <w:b w:val="0"/>
                <w:color w:val="auto"/>
                <w:kern w:val="2"/>
                <w:sz w:val="21"/>
                <w:szCs w:val="21"/>
                <w:highlight w:val="none"/>
                <w:lang w:val="en-US" w:eastAsia="zh-CN" w:bidi="ar-SA"/>
              </w:rPr>
              <w:t>未提及此项不得</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kern w:val="2"/>
                <w:sz w:val="21"/>
                <w:szCs w:val="21"/>
                <w:highlight w:val="none"/>
                <w:lang w:val="en-US" w:eastAsia="zh-CN"/>
              </w:rPr>
              <w:t>。</w:t>
            </w:r>
          </w:p>
        </w:tc>
        <w:tc>
          <w:tcPr>
            <w:tcW w:w="606" w:type="dxa"/>
            <w:vAlign w:val="center"/>
          </w:tcPr>
          <w:p w14:paraId="70569788">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10</w:t>
            </w:r>
          </w:p>
        </w:tc>
      </w:tr>
      <w:tr w14:paraId="5177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vMerge w:val="continue"/>
            <w:vAlign w:val="center"/>
          </w:tcPr>
          <w:p w14:paraId="0945096D">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p>
        </w:tc>
        <w:tc>
          <w:tcPr>
            <w:tcW w:w="1103" w:type="dxa"/>
            <w:vMerge w:val="continue"/>
            <w:vAlign w:val="center"/>
          </w:tcPr>
          <w:p w14:paraId="1F23F3F8">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p>
        </w:tc>
        <w:tc>
          <w:tcPr>
            <w:tcW w:w="6423" w:type="dxa"/>
            <w:vAlign w:val="center"/>
          </w:tcPr>
          <w:p w14:paraId="3860F991">
            <w:pPr>
              <w:pStyle w:val="7"/>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根据投标人提供的针对运维项目内部管理及质控措施制度（包含但不限于制度是否有效针对仪器设备操作规程、质控措施、校验复核、岗位职责、人员分工、培训计划、安全管理、档案管理等特点编制）等方案</w:t>
            </w:r>
            <w:r>
              <w:rPr>
                <w:rFonts w:hint="eastAsia" w:ascii="宋体" w:hAnsi="宋体" w:cs="宋体"/>
                <w:color w:val="auto"/>
                <w:kern w:val="2"/>
                <w:sz w:val="21"/>
                <w:szCs w:val="21"/>
                <w:highlight w:val="none"/>
                <w:lang w:val="en-US" w:eastAsia="zh-CN"/>
              </w:rPr>
              <w:t>进行打分。</w:t>
            </w:r>
          </w:p>
          <w:p w14:paraId="3611E55C">
            <w:pPr>
              <w:pStyle w:val="7"/>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各项管理制度完善、可行性高、针对性强，能充分满足项目需求</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kern w:val="2"/>
                <w:sz w:val="21"/>
                <w:szCs w:val="21"/>
                <w:highlight w:val="none"/>
                <w:lang w:val="en-US" w:eastAsia="zh-CN"/>
              </w:rPr>
              <w:t>5</w:t>
            </w:r>
            <w:r>
              <w:rPr>
                <w:rFonts w:hint="eastAsia" w:ascii="宋体"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lang w:val="en-US" w:eastAsia="zh-CN"/>
              </w:rPr>
              <w:t>-10</w:t>
            </w:r>
            <w:r>
              <w:rPr>
                <w:rFonts w:hint="eastAsia" w:ascii="宋体"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lang w:val="en-US" w:eastAsia="zh-CN"/>
              </w:rPr>
              <w:t>分；</w:t>
            </w:r>
          </w:p>
          <w:p w14:paraId="4BBEDD78">
            <w:pPr>
              <w:pStyle w:val="7"/>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各项管理制度较完善，可行性教高、针对性教强，基本满足项目实施</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lang w:val="en-US" w:eastAsia="zh-CN"/>
              </w:rPr>
              <w:t xml:space="preserve">-4.9分； </w:t>
            </w:r>
          </w:p>
          <w:p w14:paraId="77D2DD3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各项管理制度内容简略欠缺</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-1.9分</w:t>
            </w:r>
            <w:r>
              <w:rPr>
                <w:rFonts w:hint="eastAsia" w:ascii="宋体" w:hAnsi="宋体" w:eastAsia="宋体" w:cs="宋体"/>
                <w:b w:val="0"/>
                <w:color w:val="auto"/>
                <w:kern w:val="2"/>
                <w:sz w:val="21"/>
                <w:szCs w:val="21"/>
                <w:highlight w:val="none"/>
                <w:lang w:val="en-US" w:eastAsia="zh-CN" w:bidi="ar-SA"/>
              </w:rPr>
              <w:t>；</w:t>
            </w:r>
          </w:p>
          <w:p w14:paraId="50DAA0F5">
            <w:pPr>
              <w:pStyle w:val="7"/>
              <w:rPr>
                <w:rFonts w:hint="eastAsia" w:ascii="宋体" w:hAnsi="宋体" w:eastAsia="宋体" w:cs="宋体"/>
                <w:color w:val="auto"/>
                <w:kern w:val="0"/>
                <w:sz w:val="21"/>
                <w:szCs w:val="21"/>
                <w:highlight w:val="none"/>
                <w:lang w:eastAsia="zh-CN"/>
              </w:rPr>
            </w:pPr>
            <w:r>
              <w:rPr>
                <w:rFonts w:hint="eastAsia" w:ascii="宋体" w:hAnsi="宋体" w:eastAsia="宋体" w:cs="宋体"/>
                <w:b w:val="0"/>
                <w:color w:val="auto"/>
                <w:kern w:val="2"/>
                <w:sz w:val="21"/>
                <w:szCs w:val="21"/>
                <w:highlight w:val="none"/>
                <w:lang w:val="en-US" w:eastAsia="zh-CN" w:bidi="ar-SA"/>
              </w:rPr>
              <w:t>未提及此项不得</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kern w:val="2"/>
                <w:sz w:val="21"/>
                <w:szCs w:val="21"/>
                <w:highlight w:val="none"/>
                <w:lang w:val="en-US" w:eastAsia="zh-CN"/>
              </w:rPr>
              <w:t>。</w:t>
            </w:r>
          </w:p>
        </w:tc>
        <w:tc>
          <w:tcPr>
            <w:tcW w:w="606" w:type="dxa"/>
            <w:vAlign w:val="center"/>
          </w:tcPr>
          <w:p w14:paraId="16347C0D">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10</w:t>
            </w:r>
          </w:p>
        </w:tc>
      </w:tr>
      <w:tr w14:paraId="5FF6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vMerge w:val="continue"/>
            <w:vAlign w:val="center"/>
          </w:tcPr>
          <w:p w14:paraId="3BF454F7">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p>
        </w:tc>
        <w:tc>
          <w:tcPr>
            <w:tcW w:w="1103" w:type="dxa"/>
            <w:vMerge w:val="continue"/>
            <w:vAlign w:val="center"/>
          </w:tcPr>
          <w:p w14:paraId="7BC5A2EB">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p>
        </w:tc>
        <w:tc>
          <w:tcPr>
            <w:tcW w:w="6423" w:type="dxa"/>
            <w:vAlign w:val="center"/>
          </w:tcPr>
          <w:p w14:paraId="3057868D">
            <w:pPr>
              <w:pStyle w:val="7"/>
              <w:jc w:val="left"/>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投标人对系统运维正常运行的保证措施及承诺内容，措施及承诺是否适用于本项目，是否切实有效等</w:t>
            </w:r>
            <w:r>
              <w:rPr>
                <w:rFonts w:hint="eastAsia" w:ascii="宋体" w:hAnsi="宋体" w:cs="宋体"/>
                <w:color w:val="auto"/>
                <w:kern w:val="2"/>
                <w:sz w:val="21"/>
                <w:szCs w:val="21"/>
                <w:highlight w:val="none"/>
                <w:lang w:val="en-US" w:eastAsia="zh-CN"/>
              </w:rPr>
              <w:t>进行打分。</w:t>
            </w:r>
          </w:p>
          <w:p w14:paraId="5842DEF8">
            <w:pPr>
              <w:pStyle w:val="7"/>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方案内容完整详实，可以保障项目顺利实施</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spacing w:val="-4"/>
                <w:szCs w:val="21"/>
                <w:highlight w:val="none"/>
                <w:lang w:val="en-US" w:eastAsia="zh-CN"/>
              </w:rPr>
              <w:t>4.0-</w:t>
            </w:r>
            <w:r>
              <w:rPr>
                <w:rFonts w:hint="eastAsia" w:ascii="宋体" w:hAnsi="宋体" w:cs="宋体"/>
                <w:color w:val="auto"/>
                <w:spacing w:val="-4"/>
                <w:szCs w:val="21"/>
                <w:highlight w:val="none"/>
                <w:lang w:val="en-US" w:eastAsia="zh-CN"/>
              </w:rPr>
              <w:t>7</w:t>
            </w:r>
            <w:r>
              <w:rPr>
                <w:rFonts w:hint="eastAsia" w:ascii="宋体" w:hAnsi="宋体" w:eastAsia="宋体" w:cs="宋体"/>
                <w:color w:val="auto"/>
                <w:spacing w:val="-4"/>
                <w:szCs w:val="21"/>
                <w:highlight w:val="none"/>
                <w:lang w:val="en-US" w:eastAsia="zh-CN"/>
              </w:rPr>
              <w:t>.0分；</w:t>
            </w:r>
          </w:p>
          <w:p w14:paraId="2E743FF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方案合理，相关</w:t>
            </w:r>
            <w:r>
              <w:rPr>
                <w:rFonts w:hint="eastAsia" w:ascii="宋体" w:hAnsi="宋体" w:eastAsia="宋体" w:cs="宋体"/>
                <w:color w:val="auto"/>
                <w:kern w:val="2"/>
                <w:sz w:val="21"/>
                <w:szCs w:val="21"/>
                <w:highlight w:val="none"/>
                <w:lang w:val="en-US" w:eastAsia="zh-CN"/>
              </w:rPr>
              <w:t>保证措施及承诺内容</w:t>
            </w:r>
            <w:r>
              <w:rPr>
                <w:rFonts w:hint="eastAsia" w:ascii="宋体" w:hAnsi="宋体" w:cs="宋体"/>
                <w:color w:val="auto"/>
                <w:kern w:val="2"/>
                <w:sz w:val="21"/>
                <w:szCs w:val="21"/>
                <w:highlight w:val="none"/>
                <w:lang w:val="en-US" w:eastAsia="zh-CN"/>
              </w:rPr>
              <w:t>基本符合本项目要求的</w:t>
            </w:r>
            <w:r>
              <w:rPr>
                <w:rFonts w:hint="eastAsia" w:ascii="宋体" w:hAnsi="宋体" w:eastAsia="宋体" w:cs="宋体"/>
                <w:color w:val="auto"/>
                <w:spacing w:val="-4"/>
                <w:szCs w:val="21"/>
                <w:highlight w:val="none"/>
                <w:lang w:val="en-US" w:eastAsia="zh-CN"/>
              </w:rPr>
              <w:t>得2.0-3.9分</w:t>
            </w:r>
            <w:r>
              <w:rPr>
                <w:rFonts w:hint="eastAsia" w:ascii="宋体" w:hAnsi="宋体" w:cs="宋体"/>
                <w:color w:val="auto"/>
                <w:spacing w:val="-4"/>
                <w:szCs w:val="21"/>
                <w:highlight w:val="none"/>
                <w:lang w:val="en-US" w:eastAsia="zh-CN"/>
              </w:rPr>
              <w:t>；</w:t>
            </w:r>
          </w:p>
          <w:p w14:paraId="122B8B0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方案存在明显缺陷或者缺项的，在满足本项目需求上存在明显不足的</w:t>
            </w:r>
            <w:r>
              <w:rPr>
                <w:rFonts w:hint="eastAsia" w:ascii="宋体" w:hAnsi="宋体" w:cs="宋体"/>
                <w:color w:val="auto"/>
                <w:kern w:val="2"/>
                <w:sz w:val="21"/>
                <w:szCs w:val="21"/>
                <w:highlight w:val="none"/>
                <w:lang w:val="en-US" w:eastAsia="zh-CN"/>
              </w:rPr>
              <w:t>得</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.9分</w:t>
            </w:r>
            <w:r>
              <w:rPr>
                <w:rFonts w:hint="eastAsia" w:ascii="宋体" w:hAnsi="宋体" w:eastAsia="宋体" w:cs="宋体"/>
                <w:b w:val="0"/>
                <w:color w:val="auto"/>
                <w:kern w:val="2"/>
                <w:sz w:val="21"/>
                <w:szCs w:val="21"/>
                <w:highlight w:val="none"/>
                <w:lang w:val="en-US" w:eastAsia="zh-CN" w:bidi="ar-SA"/>
              </w:rPr>
              <w:t>；</w:t>
            </w:r>
          </w:p>
          <w:p w14:paraId="28195712">
            <w:pPr>
              <w:pStyle w:val="7"/>
              <w:jc w:val="left"/>
              <w:rPr>
                <w:rFonts w:hint="eastAsia" w:ascii="宋体" w:hAnsi="宋体" w:eastAsia="宋体" w:cs="宋体"/>
                <w:color w:val="auto"/>
                <w:kern w:val="0"/>
                <w:sz w:val="21"/>
                <w:szCs w:val="21"/>
                <w:highlight w:val="none"/>
                <w:lang w:eastAsia="zh-CN"/>
              </w:rPr>
            </w:pPr>
            <w:r>
              <w:rPr>
                <w:rFonts w:hint="eastAsia" w:ascii="宋体" w:hAnsi="宋体" w:eastAsia="宋体" w:cs="宋体"/>
                <w:b w:val="0"/>
                <w:color w:val="auto"/>
                <w:kern w:val="2"/>
                <w:sz w:val="21"/>
                <w:szCs w:val="21"/>
                <w:highlight w:val="none"/>
                <w:lang w:val="en-US" w:eastAsia="zh-CN" w:bidi="ar-SA"/>
              </w:rPr>
              <w:t>未提及此项不得</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kern w:val="2"/>
                <w:sz w:val="21"/>
                <w:szCs w:val="21"/>
                <w:highlight w:val="none"/>
                <w:lang w:val="en-US" w:eastAsia="zh-CN"/>
              </w:rPr>
              <w:t>。</w:t>
            </w:r>
          </w:p>
        </w:tc>
        <w:tc>
          <w:tcPr>
            <w:tcW w:w="606" w:type="dxa"/>
            <w:vAlign w:val="center"/>
          </w:tcPr>
          <w:p w14:paraId="56486426">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w:t>
            </w:r>
          </w:p>
        </w:tc>
      </w:tr>
      <w:tr w14:paraId="76A8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62800A9A">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p>
        </w:tc>
        <w:tc>
          <w:tcPr>
            <w:tcW w:w="1103" w:type="dxa"/>
            <w:vMerge w:val="continue"/>
            <w:vAlign w:val="center"/>
          </w:tcPr>
          <w:p w14:paraId="6E78D262">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p>
        </w:tc>
        <w:tc>
          <w:tcPr>
            <w:tcW w:w="6423" w:type="dxa"/>
            <w:vAlign w:val="center"/>
          </w:tcPr>
          <w:p w14:paraId="2970EB86">
            <w:pPr>
              <w:pStyle w:val="7"/>
              <w:jc w:val="left"/>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对突发事件的应急处置措施及处置方案(提出解决问题的措施，明确维护方法、周期、内容及技术保障,包含本项目所含主要分析设备的日常维护和常见故障诊断方法），是否切实有效等</w:t>
            </w:r>
            <w:r>
              <w:rPr>
                <w:rFonts w:hint="eastAsia" w:ascii="宋体" w:hAnsi="宋体" w:cs="宋体"/>
                <w:color w:val="auto"/>
                <w:kern w:val="2"/>
                <w:sz w:val="21"/>
                <w:szCs w:val="21"/>
                <w:highlight w:val="none"/>
                <w:lang w:val="en-US" w:eastAsia="zh-CN"/>
              </w:rPr>
              <w:t>进行打分。</w:t>
            </w:r>
          </w:p>
          <w:p w14:paraId="18BF6B43">
            <w:pPr>
              <w:pStyle w:val="7"/>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方案针对本项目具有合理、全面性，针对性强，完全满足招标文件要求</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spacing w:val="-4"/>
                <w:szCs w:val="21"/>
                <w:highlight w:val="none"/>
                <w:lang w:val="en-US" w:eastAsia="zh-CN"/>
              </w:rPr>
              <w:t>4.0-6.0分；</w:t>
            </w:r>
          </w:p>
          <w:p w14:paraId="62F6A65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方案基本全面、合理，基本满足招标文件要求</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spacing w:val="-4"/>
                <w:szCs w:val="21"/>
                <w:highlight w:val="none"/>
                <w:lang w:val="en-US" w:eastAsia="zh-CN"/>
              </w:rPr>
              <w:t>得2.0-3.9分</w:t>
            </w:r>
            <w:r>
              <w:rPr>
                <w:rFonts w:hint="eastAsia" w:ascii="宋体" w:hAnsi="宋体" w:cs="宋体"/>
                <w:color w:val="auto"/>
                <w:spacing w:val="-4"/>
                <w:szCs w:val="21"/>
                <w:highlight w:val="none"/>
                <w:lang w:val="en-US" w:eastAsia="zh-CN"/>
              </w:rPr>
              <w:t>；</w:t>
            </w:r>
          </w:p>
          <w:p w14:paraId="191B961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方案简单片面，</w:t>
            </w:r>
            <w:r>
              <w:rPr>
                <w:rFonts w:hint="eastAsia" w:ascii="宋体" w:hAnsi="宋体" w:eastAsia="宋体" w:cs="宋体"/>
                <w:color w:val="auto"/>
                <w:kern w:val="2"/>
                <w:sz w:val="21"/>
                <w:szCs w:val="21"/>
                <w:highlight w:val="none"/>
                <w:lang w:val="en-US" w:eastAsia="zh-CN"/>
              </w:rPr>
              <w:t>针对性较弱</w:t>
            </w:r>
            <w:r>
              <w:rPr>
                <w:rFonts w:hint="eastAsia" w:ascii="宋体" w:hAnsi="宋体" w:cs="宋体"/>
                <w:color w:val="auto"/>
                <w:kern w:val="2"/>
                <w:sz w:val="21"/>
                <w:szCs w:val="21"/>
                <w:highlight w:val="none"/>
                <w:lang w:val="en-US" w:eastAsia="zh-CN"/>
              </w:rPr>
              <w:t>的得0.1-1.9</w:t>
            </w:r>
            <w:r>
              <w:rPr>
                <w:rFonts w:hint="eastAsia" w:ascii="宋体" w:hAnsi="宋体" w:eastAsia="宋体" w:cs="宋体"/>
                <w:color w:val="auto"/>
                <w:kern w:val="2"/>
                <w:sz w:val="21"/>
                <w:szCs w:val="21"/>
                <w:highlight w:val="none"/>
                <w:lang w:val="en-US" w:eastAsia="zh-CN"/>
              </w:rPr>
              <w:t>分</w:t>
            </w:r>
            <w:r>
              <w:rPr>
                <w:rFonts w:hint="eastAsia" w:ascii="宋体" w:hAnsi="宋体" w:eastAsia="宋体" w:cs="宋体"/>
                <w:b w:val="0"/>
                <w:color w:val="auto"/>
                <w:kern w:val="2"/>
                <w:sz w:val="21"/>
                <w:szCs w:val="21"/>
                <w:highlight w:val="none"/>
                <w:lang w:val="en-US" w:eastAsia="zh-CN" w:bidi="ar-SA"/>
              </w:rPr>
              <w:t>；</w:t>
            </w:r>
          </w:p>
          <w:p w14:paraId="1EDF97D9">
            <w:pPr>
              <w:pStyle w:val="7"/>
              <w:jc w:val="left"/>
              <w:rPr>
                <w:rFonts w:hint="eastAsia" w:ascii="宋体" w:hAnsi="宋体" w:eastAsia="宋体" w:cs="宋体"/>
                <w:color w:val="auto"/>
                <w:kern w:val="0"/>
                <w:sz w:val="21"/>
                <w:szCs w:val="21"/>
                <w:highlight w:val="none"/>
                <w:lang w:eastAsia="zh-CN"/>
              </w:rPr>
            </w:pPr>
            <w:r>
              <w:rPr>
                <w:rFonts w:hint="eastAsia" w:ascii="宋体" w:hAnsi="宋体" w:eastAsia="宋体" w:cs="宋体"/>
                <w:b w:val="0"/>
                <w:color w:val="auto"/>
                <w:kern w:val="2"/>
                <w:sz w:val="21"/>
                <w:szCs w:val="21"/>
                <w:highlight w:val="none"/>
                <w:lang w:val="en-US" w:eastAsia="zh-CN" w:bidi="ar-SA"/>
              </w:rPr>
              <w:t>未提及此项不得</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kern w:val="2"/>
                <w:sz w:val="21"/>
                <w:szCs w:val="21"/>
                <w:highlight w:val="none"/>
                <w:lang w:val="en-US" w:eastAsia="zh-CN"/>
              </w:rPr>
              <w:t>。</w:t>
            </w:r>
          </w:p>
        </w:tc>
        <w:tc>
          <w:tcPr>
            <w:tcW w:w="606" w:type="dxa"/>
            <w:vAlign w:val="center"/>
          </w:tcPr>
          <w:p w14:paraId="0240364A">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p>
        </w:tc>
      </w:tr>
      <w:tr w14:paraId="1352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2B764FEE">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p>
        </w:tc>
        <w:tc>
          <w:tcPr>
            <w:tcW w:w="1103" w:type="dxa"/>
            <w:vMerge w:val="continue"/>
            <w:vAlign w:val="center"/>
          </w:tcPr>
          <w:p w14:paraId="1BA15F19">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p>
        </w:tc>
        <w:tc>
          <w:tcPr>
            <w:tcW w:w="6423" w:type="dxa"/>
            <w:vAlign w:val="center"/>
          </w:tcPr>
          <w:p w14:paraId="16AA38A5">
            <w:pPr>
              <w:pStyle w:val="7"/>
              <w:jc w:val="left"/>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5、根据</w:t>
            </w:r>
            <w:r>
              <w:rPr>
                <w:rFonts w:hint="eastAsia" w:ascii="宋体" w:hAnsi="宋体" w:eastAsia="宋体" w:cs="宋体"/>
                <w:color w:val="auto"/>
                <w:kern w:val="2"/>
                <w:sz w:val="21"/>
                <w:szCs w:val="21"/>
                <w:highlight w:val="none"/>
                <w:lang w:val="en-US" w:eastAsia="zh-CN"/>
              </w:rPr>
              <w:t>投标人</w:t>
            </w:r>
            <w:r>
              <w:rPr>
                <w:rFonts w:hint="eastAsia" w:ascii="宋体" w:hAnsi="宋体" w:cs="宋体"/>
                <w:color w:val="auto"/>
                <w:kern w:val="2"/>
                <w:sz w:val="21"/>
                <w:szCs w:val="21"/>
                <w:highlight w:val="none"/>
                <w:lang w:val="en-US" w:eastAsia="zh-CN"/>
              </w:rPr>
              <w:t>针对</w:t>
            </w:r>
            <w:r>
              <w:rPr>
                <w:rFonts w:hint="eastAsia" w:ascii="宋体" w:hAnsi="宋体" w:eastAsia="宋体" w:cs="宋体"/>
                <w:color w:val="auto"/>
                <w:kern w:val="2"/>
                <w:sz w:val="21"/>
                <w:szCs w:val="21"/>
                <w:highlight w:val="none"/>
                <w:lang w:val="en-US" w:eastAsia="zh-CN"/>
              </w:rPr>
              <w:t>本项目</w:t>
            </w:r>
            <w:r>
              <w:rPr>
                <w:rFonts w:hint="eastAsia" w:ascii="宋体" w:hAnsi="宋体" w:cs="宋体"/>
                <w:color w:val="auto"/>
                <w:kern w:val="2"/>
                <w:sz w:val="21"/>
                <w:szCs w:val="21"/>
                <w:highlight w:val="none"/>
                <w:lang w:val="en-US" w:eastAsia="zh-CN"/>
              </w:rPr>
              <w:t>提出</w:t>
            </w:r>
            <w:r>
              <w:rPr>
                <w:rFonts w:hint="eastAsia" w:ascii="宋体" w:hAnsi="宋体" w:eastAsia="宋体" w:cs="宋体"/>
                <w:color w:val="auto"/>
                <w:kern w:val="2"/>
                <w:sz w:val="21"/>
                <w:szCs w:val="21"/>
                <w:highlight w:val="none"/>
                <w:lang w:val="en-US" w:eastAsia="zh-CN"/>
              </w:rPr>
              <w:t>的合理化意见、建议内容（建议是否有助于系统提高运维效率，保证运维质量）等</w:t>
            </w:r>
            <w:r>
              <w:rPr>
                <w:rFonts w:hint="eastAsia" w:ascii="宋体" w:hAnsi="宋体" w:cs="宋体"/>
                <w:color w:val="auto"/>
                <w:kern w:val="2"/>
                <w:sz w:val="21"/>
                <w:szCs w:val="21"/>
                <w:highlight w:val="none"/>
                <w:lang w:val="en-US" w:eastAsia="zh-CN"/>
              </w:rPr>
              <w:t>进行打分。</w:t>
            </w:r>
          </w:p>
          <w:p w14:paraId="4ADB33B1">
            <w:pPr>
              <w:pStyle w:val="7"/>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合理化意见合理、全面性，针对性强，完全有助于提高系统运维使用效率</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spacing w:val="-4"/>
                <w:szCs w:val="21"/>
                <w:highlight w:val="none"/>
                <w:lang w:val="en-US" w:eastAsia="zh-CN"/>
              </w:rPr>
              <w:t>4.0-6.0分；</w:t>
            </w:r>
          </w:p>
          <w:p w14:paraId="6919BF27">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合理化意见合理，</w:t>
            </w:r>
            <w:r>
              <w:rPr>
                <w:rFonts w:hint="eastAsia" w:ascii="宋体" w:hAnsi="宋体" w:cs="宋体"/>
                <w:color w:val="auto"/>
                <w:kern w:val="2"/>
                <w:sz w:val="21"/>
                <w:szCs w:val="21"/>
                <w:highlight w:val="none"/>
                <w:lang w:val="en-US" w:eastAsia="zh-CN"/>
              </w:rPr>
              <w:t>部分内容有欠缺的</w:t>
            </w:r>
            <w:r>
              <w:rPr>
                <w:rFonts w:hint="eastAsia" w:ascii="宋体" w:hAnsi="宋体" w:eastAsia="宋体" w:cs="宋体"/>
                <w:color w:val="auto"/>
                <w:spacing w:val="-4"/>
                <w:szCs w:val="21"/>
                <w:highlight w:val="none"/>
                <w:lang w:val="en-US" w:eastAsia="zh-CN"/>
              </w:rPr>
              <w:t>得2.0-3.9分</w:t>
            </w:r>
          </w:p>
          <w:p w14:paraId="1EAB2EA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合理化建议简单片面，</w:t>
            </w:r>
            <w:r>
              <w:rPr>
                <w:rFonts w:hint="eastAsia" w:ascii="宋体" w:hAnsi="宋体" w:eastAsia="宋体" w:cs="宋体"/>
                <w:color w:val="auto"/>
                <w:kern w:val="2"/>
                <w:sz w:val="21"/>
                <w:szCs w:val="21"/>
                <w:highlight w:val="none"/>
                <w:lang w:val="en-US" w:eastAsia="zh-CN"/>
              </w:rPr>
              <w:t>针对性较弱</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-1.9分</w:t>
            </w:r>
            <w:r>
              <w:rPr>
                <w:rFonts w:hint="eastAsia" w:ascii="宋体" w:hAnsi="宋体" w:eastAsia="宋体" w:cs="宋体"/>
                <w:b w:val="0"/>
                <w:color w:val="auto"/>
                <w:kern w:val="2"/>
                <w:sz w:val="21"/>
                <w:szCs w:val="21"/>
                <w:highlight w:val="none"/>
                <w:lang w:val="en-US" w:eastAsia="zh-CN" w:bidi="ar-SA"/>
              </w:rPr>
              <w:t>；</w:t>
            </w:r>
          </w:p>
          <w:p w14:paraId="4472505D">
            <w:pPr>
              <w:pStyle w:val="7"/>
              <w:jc w:val="left"/>
              <w:rPr>
                <w:rFonts w:hint="eastAsia" w:ascii="宋体" w:hAnsi="宋体" w:eastAsia="宋体" w:cs="宋体"/>
                <w:color w:val="auto"/>
                <w:kern w:val="0"/>
                <w:sz w:val="21"/>
                <w:szCs w:val="21"/>
                <w:highlight w:val="none"/>
                <w:lang w:eastAsia="zh-CN"/>
              </w:rPr>
            </w:pPr>
            <w:r>
              <w:rPr>
                <w:rFonts w:hint="eastAsia" w:ascii="宋体" w:hAnsi="宋体" w:eastAsia="宋体" w:cs="宋体"/>
                <w:b w:val="0"/>
                <w:color w:val="auto"/>
                <w:kern w:val="2"/>
                <w:sz w:val="21"/>
                <w:szCs w:val="21"/>
                <w:highlight w:val="none"/>
                <w:lang w:val="en-US" w:eastAsia="zh-CN" w:bidi="ar-SA"/>
              </w:rPr>
              <w:t>未提及此项不得</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kern w:val="2"/>
                <w:sz w:val="21"/>
                <w:szCs w:val="21"/>
                <w:highlight w:val="none"/>
                <w:lang w:val="en-US" w:eastAsia="zh-CN"/>
              </w:rPr>
              <w:t>。</w:t>
            </w:r>
          </w:p>
        </w:tc>
        <w:tc>
          <w:tcPr>
            <w:tcW w:w="606" w:type="dxa"/>
            <w:vAlign w:val="center"/>
          </w:tcPr>
          <w:p w14:paraId="1DF87773">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p>
        </w:tc>
      </w:tr>
      <w:tr w14:paraId="1351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672B8862">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p>
        </w:tc>
        <w:tc>
          <w:tcPr>
            <w:tcW w:w="1103" w:type="dxa"/>
            <w:vAlign w:val="center"/>
          </w:tcPr>
          <w:p w14:paraId="659D4ADE">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运维工作中重点、难点问题分析情况</w:t>
            </w:r>
          </w:p>
        </w:tc>
        <w:tc>
          <w:tcPr>
            <w:tcW w:w="6423" w:type="dxa"/>
            <w:vAlign w:val="center"/>
          </w:tcPr>
          <w:p w14:paraId="0A479407">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根据投标人针对本项目运维工作中重点、难点问题进行分析并提出的解决方案进行打分。</w:t>
            </w:r>
          </w:p>
          <w:p w14:paraId="7A9EF1F0">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pacing w:val="-4"/>
                <w:sz w:val="21"/>
                <w:szCs w:val="21"/>
                <w:highlight w:val="none"/>
                <w:lang w:val="en-US" w:eastAsia="zh-CN"/>
              </w:rPr>
              <w:t>详细全面，</w:t>
            </w:r>
            <w:r>
              <w:rPr>
                <w:rFonts w:hint="eastAsia" w:ascii="宋体" w:hAnsi="宋体" w:eastAsia="宋体" w:cs="宋体"/>
                <w:b w:val="0"/>
                <w:color w:val="auto"/>
                <w:sz w:val="21"/>
                <w:szCs w:val="21"/>
                <w:highlight w:val="none"/>
              </w:rPr>
              <w:t>有清晰</w:t>
            </w:r>
            <w:r>
              <w:rPr>
                <w:rFonts w:hint="eastAsia" w:ascii="宋体" w:hAnsi="宋体" w:eastAsia="宋体" w:cs="宋体"/>
                <w:b w:val="0"/>
                <w:color w:val="auto"/>
                <w:sz w:val="21"/>
                <w:szCs w:val="21"/>
                <w:highlight w:val="none"/>
                <w:lang w:val="en-US" w:eastAsia="zh-CN"/>
              </w:rPr>
              <w:t>详尽</w:t>
            </w:r>
            <w:r>
              <w:rPr>
                <w:rFonts w:hint="eastAsia" w:ascii="宋体" w:hAnsi="宋体" w:eastAsia="宋体" w:cs="宋体"/>
                <w:b w:val="0"/>
                <w:color w:val="auto"/>
                <w:sz w:val="21"/>
                <w:szCs w:val="21"/>
                <w:highlight w:val="none"/>
              </w:rPr>
              <w:t>处理</w:t>
            </w:r>
            <w:r>
              <w:rPr>
                <w:rFonts w:hint="eastAsia" w:ascii="宋体" w:hAnsi="宋体" w:eastAsia="宋体" w:cs="宋体"/>
                <w:b w:val="0"/>
                <w:color w:val="auto"/>
                <w:sz w:val="21"/>
                <w:szCs w:val="21"/>
                <w:highlight w:val="none"/>
                <w:lang w:val="en-US" w:eastAsia="zh-CN"/>
              </w:rPr>
              <w:t>方法</w:t>
            </w:r>
            <w:r>
              <w:rPr>
                <w:rFonts w:hint="eastAsia" w:ascii="宋体" w:hAnsi="宋体" w:eastAsia="宋体" w:cs="宋体"/>
                <w:color w:val="auto"/>
                <w:spacing w:val="-4"/>
                <w:sz w:val="21"/>
                <w:szCs w:val="21"/>
                <w:highlight w:val="none"/>
                <w:lang w:val="en-US" w:eastAsia="zh-CN"/>
              </w:rPr>
              <w:t>的得</w:t>
            </w:r>
            <w:r>
              <w:rPr>
                <w:rFonts w:hint="eastAsia" w:ascii="宋体" w:hAnsi="宋体" w:eastAsia="宋体" w:cs="宋体"/>
                <w:b w:val="0"/>
                <w:color w:val="auto"/>
                <w:kern w:val="2"/>
                <w:sz w:val="21"/>
                <w:szCs w:val="21"/>
                <w:highlight w:val="none"/>
                <w:lang w:val="en-US" w:eastAsia="zh-CN" w:bidi="ar-SA"/>
              </w:rPr>
              <w:t>5.0-8.0分</w:t>
            </w:r>
            <w:r>
              <w:rPr>
                <w:rFonts w:hint="eastAsia" w:ascii="宋体" w:hAnsi="宋体" w:eastAsia="宋体" w:cs="宋体"/>
                <w:color w:val="auto"/>
                <w:spacing w:val="-4"/>
                <w:sz w:val="21"/>
                <w:szCs w:val="21"/>
                <w:highlight w:val="none"/>
                <w:lang w:val="en-US" w:eastAsia="zh-CN"/>
              </w:rPr>
              <w:t>；</w:t>
            </w:r>
          </w:p>
          <w:p w14:paraId="60E9CD52">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分析内容较完善合理，</w:t>
            </w:r>
            <w:r>
              <w:rPr>
                <w:rFonts w:hint="eastAsia" w:ascii="宋体" w:hAnsi="宋体" w:eastAsia="宋体" w:cs="宋体"/>
                <w:b w:val="0"/>
                <w:color w:val="auto"/>
                <w:sz w:val="21"/>
                <w:szCs w:val="21"/>
                <w:highlight w:val="none"/>
              </w:rPr>
              <w:t>有处理</w:t>
            </w:r>
            <w:r>
              <w:rPr>
                <w:rFonts w:hint="eastAsia" w:ascii="宋体" w:hAnsi="宋体" w:eastAsia="宋体" w:cs="宋体"/>
                <w:b w:val="0"/>
                <w:color w:val="auto"/>
                <w:sz w:val="21"/>
                <w:szCs w:val="21"/>
                <w:highlight w:val="none"/>
                <w:lang w:val="en-US" w:eastAsia="zh-CN"/>
              </w:rPr>
              <w:t>方法</w:t>
            </w:r>
            <w:r>
              <w:rPr>
                <w:rFonts w:hint="eastAsia" w:ascii="宋体" w:hAnsi="宋体" w:eastAsia="宋体" w:cs="宋体"/>
                <w:b w:val="0"/>
                <w:color w:val="auto"/>
                <w:sz w:val="21"/>
                <w:szCs w:val="21"/>
                <w:highlight w:val="none"/>
              </w:rPr>
              <w:t>但</w:t>
            </w:r>
            <w:r>
              <w:rPr>
                <w:rFonts w:hint="eastAsia" w:ascii="宋体" w:hAnsi="宋体" w:eastAsia="宋体" w:cs="宋体"/>
                <w:b w:val="0"/>
                <w:color w:val="auto"/>
                <w:sz w:val="21"/>
                <w:szCs w:val="21"/>
                <w:highlight w:val="none"/>
                <w:lang w:val="en-US" w:eastAsia="zh-CN"/>
              </w:rPr>
              <w:t>阐述</w:t>
            </w:r>
            <w:r>
              <w:rPr>
                <w:rFonts w:hint="eastAsia" w:ascii="宋体" w:hAnsi="宋体" w:eastAsia="宋体" w:cs="宋体"/>
                <w:b w:val="0"/>
                <w:color w:val="auto"/>
                <w:sz w:val="21"/>
                <w:szCs w:val="21"/>
                <w:highlight w:val="none"/>
              </w:rPr>
              <w:t>不够详尽</w:t>
            </w:r>
            <w:r>
              <w:rPr>
                <w:rFonts w:hint="eastAsia" w:ascii="宋体" w:hAnsi="宋体" w:eastAsia="宋体" w:cs="宋体"/>
                <w:color w:val="auto"/>
                <w:spacing w:val="-4"/>
                <w:sz w:val="21"/>
                <w:szCs w:val="21"/>
                <w:highlight w:val="none"/>
                <w:lang w:val="en-US" w:eastAsia="zh-CN"/>
              </w:rPr>
              <w:t>的得2.0-4.9分；</w:t>
            </w:r>
          </w:p>
          <w:p w14:paraId="263F7FFE">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分析内容简单片面，措施缺乏合理性、可操作性的得0.1-1.9分；</w:t>
            </w:r>
          </w:p>
          <w:p w14:paraId="6B3787C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未提及此项不得分。</w:t>
            </w:r>
          </w:p>
        </w:tc>
        <w:tc>
          <w:tcPr>
            <w:tcW w:w="606" w:type="dxa"/>
            <w:vAlign w:val="center"/>
          </w:tcPr>
          <w:p w14:paraId="1C626AA0">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r>
      <w:tr w14:paraId="6395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278B162B">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p>
        </w:tc>
        <w:tc>
          <w:tcPr>
            <w:tcW w:w="1103" w:type="dxa"/>
            <w:vAlign w:val="center"/>
          </w:tcPr>
          <w:p w14:paraId="32A24BFB">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内部管理制度</w:t>
            </w:r>
          </w:p>
        </w:tc>
        <w:tc>
          <w:tcPr>
            <w:tcW w:w="6423" w:type="dxa"/>
            <w:vAlign w:val="center"/>
          </w:tcPr>
          <w:p w14:paraId="22AD4CD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u w:val="none"/>
                <w:lang w:val="en-US" w:eastAsia="zh-CN" w:bidi="ar-SA"/>
              </w:rPr>
              <w:t>根据投标人的内部管理制度（针对本项目情况科学、合理地采取管理）</w:t>
            </w:r>
            <w:r>
              <w:rPr>
                <w:rFonts w:hint="eastAsia" w:ascii="宋体" w:hAnsi="宋体" w:eastAsia="宋体" w:cs="宋体"/>
                <w:color w:val="auto"/>
                <w:sz w:val="21"/>
                <w:szCs w:val="21"/>
                <w:highlight w:val="none"/>
                <w:lang w:val="en-US" w:eastAsia="zh-CN"/>
              </w:rPr>
              <w:t>进行打分。</w:t>
            </w:r>
          </w:p>
          <w:p w14:paraId="7445459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u w:val="none"/>
                <w:lang w:val="en-US" w:eastAsia="zh-CN" w:bidi="ar-SA"/>
              </w:rPr>
              <w:t>内部管理制度</w:t>
            </w:r>
            <w:r>
              <w:rPr>
                <w:rFonts w:hint="eastAsia" w:ascii="宋体" w:hAnsi="宋体" w:eastAsia="宋体" w:cs="宋体"/>
                <w:color w:val="auto"/>
                <w:sz w:val="21"/>
                <w:szCs w:val="21"/>
                <w:highlight w:val="none"/>
                <w:lang w:val="en-US" w:eastAsia="zh-CN"/>
              </w:rPr>
              <w:t>阐述全面，</w:t>
            </w:r>
            <w:r>
              <w:rPr>
                <w:rFonts w:hint="eastAsia" w:ascii="宋体" w:hAnsi="宋体" w:eastAsia="宋体" w:cs="宋体"/>
                <w:b w:val="0"/>
                <w:bCs w:val="0"/>
                <w:color w:val="auto"/>
                <w:sz w:val="21"/>
                <w:szCs w:val="21"/>
                <w:highlight w:val="none"/>
                <w:lang w:val="en-US" w:eastAsia="zh-CN"/>
              </w:rPr>
              <w:t>合理可行且</w:t>
            </w:r>
            <w:r>
              <w:rPr>
                <w:rFonts w:hint="eastAsia" w:ascii="宋体" w:hAnsi="宋体" w:eastAsia="宋体" w:cs="宋体"/>
                <w:color w:val="auto"/>
                <w:sz w:val="21"/>
                <w:szCs w:val="21"/>
                <w:highlight w:val="none"/>
                <w:lang w:val="en-US" w:eastAsia="zh-CN"/>
              </w:rPr>
              <w:t>有针对性</w:t>
            </w:r>
            <w:r>
              <w:rPr>
                <w:rFonts w:hint="eastAsia" w:ascii="宋体" w:hAnsi="宋体" w:eastAsia="宋体" w:cs="宋体"/>
                <w:b w:val="0"/>
                <w:bCs w:val="0"/>
                <w:color w:val="auto"/>
                <w:sz w:val="21"/>
                <w:szCs w:val="21"/>
                <w:highlight w:val="none"/>
                <w:lang w:val="en-US" w:eastAsia="zh-CN"/>
              </w:rPr>
              <w:t>，能</w:t>
            </w:r>
            <w:r>
              <w:rPr>
                <w:rFonts w:hint="eastAsia" w:ascii="宋体" w:hAnsi="宋体" w:eastAsia="宋体" w:cs="宋体"/>
                <w:color w:val="auto"/>
                <w:sz w:val="21"/>
                <w:szCs w:val="21"/>
                <w:highlight w:val="none"/>
                <w:lang w:val="en-US" w:eastAsia="zh-CN"/>
              </w:rPr>
              <w:t>有效保障项目服务质量的得</w:t>
            </w:r>
            <w:r>
              <w:rPr>
                <w:rFonts w:hint="eastAsia" w:ascii="宋体" w:hAnsi="宋体" w:eastAsia="宋体" w:cs="宋体"/>
                <w:color w:val="auto"/>
                <w:spacing w:val="-4"/>
                <w:szCs w:val="21"/>
                <w:highlight w:val="none"/>
                <w:lang w:val="en-US" w:eastAsia="zh-CN"/>
              </w:rPr>
              <w:t>4.0-6.0分；</w:t>
            </w:r>
          </w:p>
          <w:p w14:paraId="73C45D07">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u w:val="none"/>
                <w:lang w:val="en-US" w:eastAsia="zh-CN" w:bidi="ar-SA"/>
              </w:rPr>
              <w:t>内部管理制度</w:t>
            </w:r>
            <w:r>
              <w:rPr>
                <w:rFonts w:hint="eastAsia" w:ascii="宋体" w:hAnsi="宋体" w:eastAsia="宋体" w:cs="宋体"/>
                <w:color w:val="auto"/>
                <w:sz w:val="21"/>
                <w:szCs w:val="21"/>
                <w:highlight w:val="none"/>
                <w:lang w:val="en-US" w:eastAsia="zh-CN"/>
              </w:rPr>
              <w:t>阐述简单，基本能保障项目服务的</w:t>
            </w:r>
            <w:r>
              <w:rPr>
                <w:rFonts w:hint="eastAsia" w:ascii="宋体" w:hAnsi="宋体" w:eastAsia="宋体" w:cs="宋体"/>
                <w:color w:val="auto"/>
                <w:spacing w:val="-4"/>
                <w:szCs w:val="21"/>
                <w:highlight w:val="none"/>
                <w:lang w:val="en-US" w:eastAsia="zh-CN"/>
              </w:rPr>
              <w:t>得2.0-3.9分；</w:t>
            </w:r>
          </w:p>
          <w:p w14:paraId="08606C5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内容阐述片面切不完整，无法有效保障服务质量的得0.1-1.9分；</w:t>
            </w:r>
          </w:p>
          <w:p w14:paraId="4476144C">
            <w:pPr>
              <w:keepNext w:val="0"/>
              <w:keepLines w:val="0"/>
              <w:pageBreakBefore w:val="0"/>
              <w:kinsoku/>
              <w:wordWrap/>
              <w:overflowPunct/>
              <w:topLinePunct w:val="0"/>
              <w:autoSpaceDE w:val="0"/>
              <w:autoSpaceDN w:val="0"/>
              <w:bidi w:val="0"/>
              <w:adjustRightInd w:val="0"/>
              <w:spacing w:line="240" w:lineRule="auto"/>
              <w:ind w:left="0" w:leftChars="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606" w:type="dxa"/>
            <w:vAlign w:val="center"/>
          </w:tcPr>
          <w:p w14:paraId="44CF53D8">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r>
      <w:tr w14:paraId="1349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6FECD48C">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p>
        </w:tc>
        <w:tc>
          <w:tcPr>
            <w:tcW w:w="1103" w:type="dxa"/>
            <w:vAlign w:val="center"/>
          </w:tcPr>
          <w:p w14:paraId="12324307">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资料</w:t>
            </w:r>
            <w:r>
              <w:rPr>
                <w:rFonts w:hint="eastAsia" w:ascii="宋体" w:hAnsi="宋体" w:eastAsia="宋体" w:cs="宋体"/>
                <w:color w:val="auto"/>
                <w:sz w:val="21"/>
                <w:szCs w:val="21"/>
                <w:highlight w:val="none"/>
                <w:lang w:val="en-US" w:eastAsia="zh-CN"/>
              </w:rPr>
              <w:t>管理制度</w:t>
            </w:r>
          </w:p>
        </w:tc>
        <w:tc>
          <w:tcPr>
            <w:tcW w:w="6423" w:type="dxa"/>
            <w:vAlign w:val="center"/>
          </w:tcPr>
          <w:p w14:paraId="4B5EACE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u w:val="none"/>
                <w:lang w:val="en-US" w:eastAsia="zh-CN" w:bidi="ar-SA"/>
              </w:rPr>
              <w:t>根据投标人</w:t>
            </w:r>
            <w:r>
              <w:rPr>
                <w:rFonts w:hint="eastAsia" w:ascii="宋体" w:hAnsi="宋体" w:cs="宋体"/>
                <w:b w:val="0"/>
                <w:bCs w:val="0"/>
                <w:color w:val="auto"/>
                <w:kern w:val="2"/>
                <w:sz w:val="21"/>
                <w:szCs w:val="21"/>
                <w:highlight w:val="none"/>
                <w:u w:val="none"/>
                <w:lang w:val="en-US" w:eastAsia="zh-CN" w:bidi="ar-SA"/>
              </w:rPr>
              <w:t>针对本项目制定的</w:t>
            </w:r>
            <w:r>
              <w:rPr>
                <w:rFonts w:hint="eastAsia" w:ascii="宋体" w:hAnsi="宋体" w:eastAsia="宋体" w:cs="宋体"/>
                <w:b w:val="0"/>
                <w:bCs w:val="0"/>
                <w:color w:val="auto"/>
                <w:kern w:val="2"/>
                <w:sz w:val="21"/>
                <w:szCs w:val="21"/>
                <w:highlight w:val="none"/>
                <w:u w:val="none"/>
                <w:lang w:val="en-US" w:eastAsia="zh-CN" w:bidi="ar-SA"/>
              </w:rPr>
              <w:t>的</w:t>
            </w:r>
            <w:r>
              <w:rPr>
                <w:rFonts w:hint="eastAsia" w:ascii="宋体" w:hAnsi="宋体" w:cs="宋体"/>
                <w:color w:val="auto"/>
                <w:sz w:val="21"/>
                <w:szCs w:val="21"/>
                <w:highlight w:val="none"/>
                <w:lang w:val="en-US" w:eastAsia="zh-CN"/>
              </w:rPr>
              <w:t>资料</w:t>
            </w:r>
            <w:r>
              <w:rPr>
                <w:rFonts w:hint="eastAsia" w:ascii="宋体" w:hAnsi="宋体" w:eastAsia="宋体" w:cs="宋体"/>
                <w:b w:val="0"/>
                <w:bCs w:val="0"/>
                <w:color w:val="auto"/>
                <w:kern w:val="2"/>
                <w:sz w:val="21"/>
                <w:szCs w:val="21"/>
                <w:highlight w:val="none"/>
                <w:u w:val="none"/>
                <w:lang w:val="en-US" w:eastAsia="zh-CN" w:bidi="ar-SA"/>
              </w:rPr>
              <w:t>管理制度</w:t>
            </w:r>
            <w:r>
              <w:rPr>
                <w:rFonts w:hint="eastAsia" w:ascii="宋体" w:hAnsi="宋体" w:eastAsia="宋体" w:cs="宋体"/>
                <w:color w:val="auto"/>
                <w:sz w:val="21"/>
                <w:szCs w:val="21"/>
                <w:highlight w:val="none"/>
                <w:lang w:val="en-US" w:eastAsia="zh-CN"/>
              </w:rPr>
              <w:t>进行打分。</w:t>
            </w:r>
          </w:p>
          <w:p w14:paraId="39629302">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详细阐述具体的</w:t>
            </w:r>
            <w:r>
              <w:rPr>
                <w:rFonts w:hint="eastAsia" w:ascii="宋体" w:hAnsi="宋体" w:cs="宋体"/>
                <w:color w:val="auto"/>
                <w:sz w:val="21"/>
                <w:szCs w:val="21"/>
                <w:highlight w:val="none"/>
                <w:lang w:val="en-US" w:eastAsia="zh-CN"/>
              </w:rPr>
              <w:t>资料</w:t>
            </w:r>
            <w:r>
              <w:rPr>
                <w:rFonts w:hint="eastAsia" w:ascii="宋体" w:hAnsi="宋体" w:eastAsia="宋体" w:cs="宋体"/>
                <w:b w:val="0"/>
                <w:bCs w:val="0"/>
                <w:color w:val="auto"/>
                <w:kern w:val="2"/>
                <w:sz w:val="21"/>
                <w:szCs w:val="21"/>
                <w:highlight w:val="none"/>
                <w:u w:val="none"/>
                <w:lang w:val="en-US" w:eastAsia="zh-CN" w:bidi="ar-SA"/>
              </w:rPr>
              <w:t>管理制度</w:t>
            </w:r>
            <w:r>
              <w:rPr>
                <w:rFonts w:hint="eastAsia" w:ascii="宋体" w:hAnsi="宋体" w:eastAsia="宋体" w:cs="宋体"/>
                <w:bCs/>
                <w:color w:val="auto"/>
                <w:sz w:val="21"/>
                <w:szCs w:val="21"/>
                <w:highlight w:val="none"/>
              </w:rPr>
              <w:t>，措施全面可行，能够确保资料不被泄露的得3.</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-5.0分；</w:t>
            </w:r>
          </w:p>
          <w:p w14:paraId="69BF421B">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资料</w:t>
            </w:r>
            <w:r>
              <w:rPr>
                <w:rFonts w:hint="eastAsia" w:ascii="宋体" w:hAnsi="宋体" w:eastAsia="宋体" w:cs="宋体"/>
                <w:b w:val="0"/>
                <w:bCs w:val="0"/>
                <w:color w:val="auto"/>
                <w:kern w:val="2"/>
                <w:sz w:val="21"/>
                <w:szCs w:val="21"/>
                <w:highlight w:val="none"/>
                <w:u w:val="none"/>
                <w:lang w:val="en-US" w:eastAsia="zh-CN" w:bidi="ar-SA"/>
              </w:rPr>
              <w:t>管理制度</w:t>
            </w:r>
            <w:r>
              <w:rPr>
                <w:rFonts w:hint="eastAsia" w:ascii="宋体" w:hAnsi="宋体" w:eastAsia="宋体" w:cs="宋体"/>
                <w:bCs/>
                <w:color w:val="auto"/>
                <w:sz w:val="21"/>
                <w:szCs w:val="21"/>
                <w:highlight w:val="none"/>
              </w:rPr>
              <w:t>简单，缺乏可行性，不能保障</w:t>
            </w:r>
            <w:r>
              <w:rPr>
                <w:rFonts w:hint="eastAsia" w:ascii="宋体" w:hAnsi="宋体" w:eastAsia="宋体" w:cs="宋体"/>
                <w:bCs/>
                <w:color w:val="auto"/>
                <w:sz w:val="21"/>
                <w:szCs w:val="21"/>
                <w:highlight w:val="none"/>
                <w:lang w:val="en-US" w:eastAsia="zh-CN"/>
              </w:rPr>
              <w:t>资料安全性</w:t>
            </w:r>
            <w:r>
              <w:rPr>
                <w:rFonts w:hint="eastAsia" w:ascii="宋体" w:hAnsi="宋体" w:eastAsia="宋体" w:cs="宋体"/>
                <w:bCs/>
                <w:color w:val="auto"/>
                <w:sz w:val="21"/>
                <w:szCs w:val="21"/>
                <w:highlight w:val="none"/>
              </w:rPr>
              <w:t>的得0.1-</w:t>
            </w:r>
            <w:r>
              <w:rPr>
                <w:rFonts w:hint="eastAsia" w:ascii="宋体" w:hAnsi="宋体" w:eastAsia="宋体" w:cs="宋体"/>
                <w:bCs/>
                <w:color w:val="auto"/>
                <w:sz w:val="21"/>
                <w:szCs w:val="21"/>
                <w:highlight w:val="none"/>
                <w:lang w:val="en-US" w:eastAsia="zh-CN"/>
              </w:rPr>
              <w:t>2.9</w:t>
            </w:r>
            <w:r>
              <w:rPr>
                <w:rFonts w:hint="eastAsia" w:ascii="宋体" w:hAnsi="宋体" w:eastAsia="宋体" w:cs="宋体"/>
                <w:bCs/>
                <w:color w:val="auto"/>
                <w:sz w:val="21"/>
                <w:szCs w:val="21"/>
                <w:highlight w:val="none"/>
              </w:rPr>
              <w:t>分；</w:t>
            </w:r>
          </w:p>
          <w:p w14:paraId="6D0FB215">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Cs/>
                <w:color w:val="auto"/>
                <w:sz w:val="21"/>
                <w:szCs w:val="21"/>
                <w:highlight w:val="none"/>
              </w:rPr>
              <w:t>未提及此项不得分。</w:t>
            </w:r>
          </w:p>
        </w:tc>
        <w:tc>
          <w:tcPr>
            <w:tcW w:w="606" w:type="dxa"/>
            <w:vAlign w:val="center"/>
          </w:tcPr>
          <w:p w14:paraId="29B32D1F">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3435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vMerge w:val="continue"/>
            <w:vAlign w:val="center"/>
          </w:tcPr>
          <w:p w14:paraId="4E0A7A9B">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p>
        </w:tc>
        <w:tc>
          <w:tcPr>
            <w:tcW w:w="1103" w:type="dxa"/>
            <w:vMerge w:val="restart"/>
            <w:vAlign w:val="center"/>
          </w:tcPr>
          <w:p w14:paraId="706179D4">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zh-CN" w:eastAsia="zh-CN" w:bidi="ar-SA"/>
              </w:rPr>
              <w:t>售后服务保障能力</w:t>
            </w:r>
          </w:p>
        </w:tc>
        <w:tc>
          <w:tcPr>
            <w:tcW w:w="6423" w:type="dxa"/>
            <w:vAlign w:val="center"/>
          </w:tcPr>
          <w:p w14:paraId="248C8726">
            <w:pPr>
              <w:pStyle w:val="7"/>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lang w:val="en-US" w:eastAsia="zh-CN"/>
              </w:rPr>
              <w:t>投标人提供的售后服务方案（包括但不限于服务便利性、解决问题流程等）</w:t>
            </w:r>
            <w:r>
              <w:rPr>
                <w:rFonts w:hint="eastAsia" w:ascii="宋体" w:hAnsi="宋体" w:cs="宋体"/>
                <w:color w:val="auto"/>
                <w:kern w:val="2"/>
                <w:sz w:val="21"/>
                <w:szCs w:val="21"/>
                <w:highlight w:val="none"/>
                <w:lang w:val="en-US" w:eastAsia="zh-CN"/>
              </w:rPr>
              <w:t>进行打分。</w:t>
            </w:r>
          </w:p>
          <w:p w14:paraId="35C0BCD8">
            <w:pPr>
              <w:pStyle w:val="7"/>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服务方案全面</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后续技术保障措施合理有效</w:t>
            </w:r>
            <w:r>
              <w:rPr>
                <w:rFonts w:hint="eastAsia" w:ascii="宋体" w:hAnsi="宋体" w:cs="宋体"/>
                <w:color w:val="auto"/>
                <w:kern w:val="2"/>
                <w:sz w:val="21"/>
                <w:szCs w:val="21"/>
                <w:highlight w:val="none"/>
                <w:lang w:val="en-US" w:eastAsia="zh-CN"/>
              </w:rPr>
              <w:t>的得4.0</w:t>
            </w:r>
            <w:r>
              <w:rPr>
                <w:rFonts w:hint="eastAsia" w:ascii="宋体" w:hAnsi="宋体" w:eastAsia="宋体" w:cs="宋体"/>
                <w:color w:val="auto"/>
                <w:kern w:val="2"/>
                <w:sz w:val="21"/>
                <w:szCs w:val="21"/>
                <w:highlight w:val="none"/>
                <w:lang w:val="en-US" w:eastAsia="zh-CN"/>
              </w:rPr>
              <w:t>-6</w:t>
            </w:r>
            <w:r>
              <w:rPr>
                <w:rFonts w:hint="eastAsia" w:ascii="宋体"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lang w:val="en-US" w:eastAsia="zh-CN"/>
              </w:rPr>
              <w:t>分；</w:t>
            </w:r>
          </w:p>
          <w:p w14:paraId="3EBCD73B">
            <w:pPr>
              <w:pStyle w:val="7"/>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服务方案阐述较详尽，后续技术保障措施有欠缺</w:t>
            </w:r>
            <w:r>
              <w:rPr>
                <w:rFonts w:hint="eastAsia" w:ascii="宋体" w:hAnsi="宋体" w:cs="宋体"/>
                <w:color w:val="auto"/>
                <w:kern w:val="2"/>
                <w:sz w:val="21"/>
                <w:szCs w:val="21"/>
                <w:highlight w:val="none"/>
                <w:lang w:val="en-US" w:eastAsia="zh-CN"/>
              </w:rPr>
              <w:t>的得2.0-3</w:t>
            </w:r>
            <w:r>
              <w:rPr>
                <w:rFonts w:hint="eastAsia" w:ascii="宋体" w:hAnsi="宋体" w:eastAsia="宋体" w:cs="宋体"/>
                <w:color w:val="auto"/>
                <w:kern w:val="2"/>
                <w:sz w:val="21"/>
                <w:szCs w:val="21"/>
                <w:highlight w:val="none"/>
                <w:lang w:val="en-US" w:eastAsia="zh-CN"/>
              </w:rPr>
              <w:t>.9分；</w:t>
            </w:r>
          </w:p>
          <w:p w14:paraId="6E2250C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服务方案阐述不足，后续的技术支持力量薄弱，保障措施简单或部分不满足</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.9分</w:t>
            </w:r>
            <w:r>
              <w:rPr>
                <w:rFonts w:hint="eastAsia" w:ascii="宋体" w:hAnsi="宋体" w:eastAsia="宋体" w:cs="宋体"/>
                <w:b w:val="0"/>
                <w:color w:val="auto"/>
                <w:kern w:val="2"/>
                <w:sz w:val="21"/>
                <w:szCs w:val="21"/>
                <w:highlight w:val="none"/>
                <w:lang w:val="en-US" w:eastAsia="zh-CN" w:bidi="ar-SA"/>
              </w:rPr>
              <w:t>；</w:t>
            </w:r>
          </w:p>
          <w:p w14:paraId="54B3E2C5">
            <w:pPr>
              <w:pStyle w:val="7"/>
              <w:rPr>
                <w:rFonts w:hint="eastAsia" w:ascii="宋体" w:hAnsi="宋体" w:eastAsia="宋体" w:cs="宋体"/>
                <w:color w:val="auto"/>
                <w:kern w:val="0"/>
                <w:sz w:val="21"/>
                <w:szCs w:val="21"/>
                <w:highlight w:val="none"/>
                <w:lang w:eastAsia="zh-CN"/>
              </w:rPr>
            </w:pPr>
            <w:r>
              <w:rPr>
                <w:rFonts w:hint="eastAsia" w:ascii="宋体" w:hAnsi="宋体" w:eastAsia="宋体" w:cs="宋体"/>
                <w:b w:val="0"/>
                <w:color w:val="auto"/>
                <w:kern w:val="2"/>
                <w:sz w:val="21"/>
                <w:szCs w:val="21"/>
                <w:highlight w:val="none"/>
                <w:lang w:val="en-US" w:eastAsia="zh-CN" w:bidi="ar-SA"/>
              </w:rPr>
              <w:t>未提及此项不得</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kern w:val="2"/>
                <w:sz w:val="21"/>
                <w:szCs w:val="21"/>
                <w:highlight w:val="none"/>
                <w:lang w:val="en-US" w:eastAsia="zh-CN"/>
              </w:rPr>
              <w:t>。</w:t>
            </w:r>
          </w:p>
        </w:tc>
        <w:tc>
          <w:tcPr>
            <w:tcW w:w="606" w:type="dxa"/>
            <w:vAlign w:val="center"/>
          </w:tcPr>
          <w:p w14:paraId="00E605A6">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p>
        </w:tc>
      </w:tr>
      <w:tr w14:paraId="7192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009" w:type="dxa"/>
            <w:gridSpan w:val="2"/>
            <w:vAlign w:val="center"/>
          </w:tcPr>
          <w:p w14:paraId="24663682">
            <w:pPr>
              <w:keepNext w:val="0"/>
              <w:keepLines w:val="0"/>
              <w:pageBreakBefore w:val="0"/>
              <w:kinsoku/>
              <w:wordWrap/>
              <w:overflowPunct/>
              <w:topLinePunct w:val="0"/>
              <w:bidi w:val="0"/>
              <w:spacing w:line="240" w:lineRule="auto"/>
              <w:ind w:left="0"/>
              <w:jc w:val="center"/>
              <w:textAlignment w:val="auto"/>
              <w:rPr>
                <w:rStyle w:val="55"/>
                <w:rFonts w:hint="eastAsia" w:ascii="宋体" w:hAnsi="宋体" w:eastAsia="宋体" w:cs="宋体"/>
                <w:color w:val="auto"/>
                <w:kern w:val="0"/>
                <w:sz w:val="21"/>
                <w:szCs w:val="21"/>
                <w:highlight w:val="none"/>
              </w:rPr>
            </w:pPr>
            <w:r>
              <w:rPr>
                <w:rStyle w:val="55"/>
                <w:rFonts w:hint="eastAsia" w:ascii="宋体" w:hAnsi="宋体" w:eastAsia="宋体" w:cs="宋体"/>
                <w:color w:val="auto"/>
                <w:kern w:val="0"/>
                <w:sz w:val="21"/>
                <w:szCs w:val="21"/>
                <w:highlight w:val="none"/>
              </w:rPr>
              <w:t>价格</w:t>
            </w:r>
          </w:p>
          <w:p w14:paraId="2F845AA8">
            <w:pPr>
              <w:keepNext w:val="0"/>
              <w:keepLines w:val="0"/>
              <w:pageBreakBefore w:val="0"/>
              <w:kinsoku/>
              <w:wordWrap/>
              <w:overflowPunct/>
              <w:topLinePunct w:val="0"/>
              <w:bidi w:val="0"/>
              <w:spacing w:line="240" w:lineRule="auto"/>
              <w:ind w:left="0"/>
              <w:jc w:val="center"/>
              <w:textAlignment w:val="auto"/>
              <w:rPr>
                <w:rFonts w:hint="eastAsia" w:ascii="宋体" w:hAnsi="宋体" w:eastAsia="宋体" w:cs="宋体"/>
                <w:color w:val="auto"/>
                <w:kern w:val="0"/>
                <w:sz w:val="21"/>
                <w:szCs w:val="21"/>
                <w:highlight w:val="none"/>
              </w:rPr>
            </w:pPr>
            <w:r>
              <w:rPr>
                <w:rStyle w:val="55"/>
                <w:rFonts w:hint="eastAsia" w:ascii="宋体" w:hAnsi="宋体" w:eastAsia="宋体" w:cs="宋体"/>
                <w:color w:val="auto"/>
                <w:kern w:val="0"/>
                <w:sz w:val="21"/>
                <w:szCs w:val="21"/>
                <w:highlight w:val="none"/>
              </w:rPr>
              <w:t>（</w:t>
            </w:r>
            <w:r>
              <w:rPr>
                <w:rStyle w:val="55"/>
                <w:rFonts w:hint="eastAsia" w:ascii="宋体" w:hAnsi="宋体" w:eastAsia="宋体" w:cs="宋体"/>
                <w:color w:val="auto"/>
                <w:kern w:val="0"/>
                <w:sz w:val="21"/>
                <w:szCs w:val="21"/>
                <w:highlight w:val="none"/>
                <w:lang w:val="en-US" w:eastAsia="zh-CN"/>
              </w:rPr>
              <w:t>10</w:t>
            </w:r>
            <w:r>
              <w:rPr>
                <w:rStyle w:val="55"/>
                <w:rFonts w:hint="eastAsia" w:ascii="宋体" w:hAnsi="宋体" w:eastAsia="宋体" w:cs="宋体"/>
                <w:color w:val="auto"/>
                <w:kern w:val="0"/>
                <w:sz w:val="21"/>
                <w:szCs w:val="21"/>
                <w:highlight w:val="none"/>
              </w:rPr>
              <w:t>分）</w:t>
            </w:r>
          </w:p>
        </w:tc>
        <w:tc>
          <w:tcPr>
            <w:tcW w:w="6423" w:type="dxa"/>
            <w:vAlign w:val="center"/>
          </w:tcPr>
          <w:p w14:paraId="622097E5">
            <w:pPr>
              <w:keepNext w:val="0"/>
              <w:keepLines w:val="0"/>
              <w:pageBreakBefore w:val="0"/>
              <w:kinsoku/>
              <w:wordWrap/>
              <w:overflowPunct/>
              <w:topLinePunct w:val="0"/>
              <w:bidi w:val="0"/>
              <w:spacing w:line="240" w:lineRule="auto"/>
              <w:ind w:left="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14:paraId="65BB8630">
            <w:pPr>
              <w:keepNext w:val="0"/>
              <w:keepLines w:val="0"/>
              <w:pageBreakBefore w:val="0"/>
              <w:kinsoku/>
              <w:wordWrap/>
              <w:overflowPunct/>
              <w:topLinePunct w:val="0"/>
              <w:bidi w:val="0"/>
              <w:spacing w:line="240" w:lineRule="auto"/>
              <w:ind w:left="0"/>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606" w:type="dxa"/>
            <w:vAlign w:val="center"/>
          </w:tcPr>
          <w:p w14:paraId="0913B278">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bl>
    <w:p w14:paraId="5FDA4A94">
      <w:pPr>
        <w:spacing w:line="360" w:lineRule="auto"/>
        <w:ind w:firstLine="420" w:firstLineChars="200"/>
        <w:rPr>
          <w:rFonts w:hint="eastAsia" w:ascii="宋体" w:hAnsi="宋体" w:eastAsia="宋体" w:cs="宋体"/>
          <w:color w:val="auto"/>
          <w:sz w:val="21"/>
          <w:szCs w:val="21"/>
          <w:highlight w:val="none"/>
          <w:lang w:val="zh-CN"/>
        </w:rPr>
      </w:pPr>
    </w:p>
    <w:p w14:paraId="7D68AE6C">
      <w:pPr>
        <w:spacing w:line="360" w:lineRule="auto"/>
        <w:ind w:firstLine="420" w:firstLineChars="200"/>
        <w:rPr>
          <w:rFonts w:hint="eastAsia" w:ascii="宋体" w:hAnsi="宋体" w:eastAsia="宋体" w:cs="宋体"/>
          <w:color w:val="auto"/>
          <w:sz w:val="21"/>
          <w:szCs w:val="21"/>
          <w:highlight w:val="none"/>
          <w:lang w:val="zh-CN"/>
        </w:rPr>
      </w:pPr>
    </w:p>
    <w:p w14:paraId="7AFBCCAA">
      <w:pPr>
        <w:pStyle w:val="2"/>
        <w:rPr>
          <w:rFonts w:hint="eastAsia" w:ascii="宋体" w:hAnsi="宋体" w:eastAsia="宋体" w:cs="宋体"/>
          <w:b/>
          <w:color w:val="auto"/>
          <w:sz w:val="36"/>
          <w:szCs w:val="36"/>
          <w:highlight w:val="none"/>
        </w:rPr>
      </w:pPr>
    </w:p>
    <w:p w14:paraId="6D5DE14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D434B63">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第四章 公开招标需求</w:t>
      </w:r>
    </w:p>
    <w:p w14:paraId="4393E84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sz w:val="21"/>
          <w:szCs w:val="21"/>
          <w:highlight w:val="none"/>
          <w:lang w:val="en-US" w:eastAsia="zh-CN"/>
        </w:rPr>
      </w:pPr>
      <w:bookmarkStart w:id="0" w:name="_Toc98821986"/>
      <w:r>
        <w:rPr>
          <w:rFonts w:hint="eastAsia" w:ascii="宋体" w:hAnsi="宋体" w:eastAsia="宋体" w:cs="宋体"/>
          <w:b/>
          <w:color w:val="auto"/>
          <w:sz w:val="21"/>
          <w:szCs w:val="21"/>
          <w:highlight w:val="none"/>
          <w:lang w:val="en-US" w:eastAsia="zh-CN"/>
        </w:rPr>
        <w:t>一、采购概况</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865"/>
        <w:gridCol w:w="1818"/>
        <w:gridCol w:w="990"/>
        <w:gridCol w:w="1617"/>
        <w:gridCol w:w="2021"/>
      </w:tblGrid>
      <w:tr w14:paraId="53F9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0" w:type="pct"/>
            <w:noWrap w:val="0"/>
            <w:vAlign w:val="center"/>
          </w:tcPr>
          <w:p w14:paraId="1FA41DD7">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038" w:type="pct"/>
            <w:noWrap w:val="0"/>
            <w:vAlign w:val="center"/>
          </w:tcPr>
          <w:p w14:paraId="0B64D644">
            <w:pPr>
              <w:tabs>
                <w:tab w:val="left" w:pos="8280"/>
              </w:tabs>
              <w:autoSpaceDE w:val="0"/>
              <w:autoSpaceDN w:val="0"/>
              <w:adjustRightInd w:val="0"/>
              <w:ind w:right="25" w:rightChars="0" w:firstLine="105" w:firstLineChars="50"/>
              <w:jc w:val="center"/>
              <w:rPr>
                <w:rFonts w:hint="eastAsia" w:ascii="宋体" w:hAnsi="宋体" w:cs="宋体"/>
                <w:b/>
                <w:bCs/>
                <w:color w:val="auto"/>
                <w:sz w:val="21"/>
                <w:szCs w:val="21"/>
                <w:highlight w:val="none"/>
                <w:lang w:val="en-US" w:eastAsia="zh-CN"/>
              </w:rPr>
            </w:pPr>
            <w:r>
              <w:rPr>
                <w:rFonts w:hint="eastAsia" w:ascii="宋体" w:hAnsi="宋体" w:eastAsia="宋体" w:cs="宋体"/>
                <w:b/>
                <w:color w:val="auto"/>
                <w:sz w:val="21"/>
                <w:szCs w:val="21"/>
                <w:highlight w:val="none"/>
              </w:rPr>
              <w:t>项目名称</w:t>
            </w:r>
          </w:p>
        </w:tc>
        <w:tc>
          <w:tcPr>
            <w:tcW w:w="1012" w:type="pct"/>
            <w:noWrap w:val="0"/>
            <w:vAlign w:val="center"/>
          </w:tcPr>
          <w:p w14:paraId="2B3DF2C4">
            <w:pPr>
              <w:tabs>
                <w:tab w:val="left" w:pos="8280"/>
              </w:tabs>
              <w:autoSpaceDE w:val="0"/>
              <w:autoSpaceDN w:val="0"/>
              <w:adjustRightInd w:val="0"/>
              <w:spacing w:line="240" w:lineRule="auto"/>
              <w:ind w:right="25"/>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运维内容</w:t>
            </w:r>
          </w:p>
        </w:tc>
        <w:tc>
          <w:tcPr>
            <w:tcW w:w="551" w:type="pct"/>
            <w:noWrap w:val="0"/>
            <w:vAlign w:val="center"/>
          </w:tcPr>
          <w:p w14:paraId="099B58C3">
            <w:pPr>
              <w:tabs>
                <w:tab w:val="left" w:pos="8280"/>
              </w:tabs>
              <w:autoSpaceDE w:val="0"/>
              <w:autoSpaceDN w:val="0"/>
              <w:adjustRightInd w:val="0"/>
              <w:spacing w:line="240" w:lineRule="auto"/>
              <w:ind w:right="25"/>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地点</w:t>
            </w:r>
          </w:p>
        </w:tc>
        <w:tc>
          <w:tcPr>
            <w:tcW w:w="900" w:type="pct"/>
            <w:noWrap w:val="0"/>
            <w:vAlign w:val="center"/>
          </w:tcPr>
          <w:p w14:paraId="3B88200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525F20A3">
            <w:pPr>
              <w:tabs>
                <w:tab w:val="left" w:pos="8280"/>
              </w:tabs>
              <w:autoSpaceDE w:val="0"/>
              <w:autoSpaceDN w:val="0"/>
              <w:adjustRightInd w:val="0"/>
              <w:ind w:right="25"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rPr>
              <w:t>（万元）</w:t>
            </w:r>
          </w:p>
        </w:tc>
        <w:tc>
          <w:tcPr>
            <w:tcW w:w="1125" w:type="pct"/>
            <w:shd w:val="clear" w:color="auto" w:fill="auto"/>
            <w:noWrap w:val="0"/>
            <w:vAlign w:val="center"/>
          </w:tcPr>
          <w:p w14:paraId="3ABE255F">
            <w:pPr>
              <w:tabs>
                <w:tab w:val="left" w:pos="8280"/>
              </w:tabs>
              <w:autoSpaceDE w:val="0"/>
              <w:autoSpaceDN w:val="0"/>
              <w:adjustRightInd w:val="0"/>
              <w:ind w:right="25"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服务期限</w:t>
            </w:r>
          </w:p>
        </w:tc>
      </w:tr>
      <w:tr w14:paraId="2DCA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70" w:type="pct"/>
            <w:noWrap w:val="0"/>
            <w:vAlign w:val="center"/>
          </w:tcPr>
          <w:p w14:paraId="7E1A625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38" w:type="pct"/>
            <w:vMerge w:val="restart"/>
            <w:noWrap w:val="0"/>
            <w:vAlign w:val="center"/>
          </w:tcPr>
          <w:p w14:paraId="6589BF7C">
            <w:pPr>
              <w:widowControl/>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路桥区两个空气自动站（路桥中学站、金清气站）运维服务项目</w:t>
            </w:r>
          </w:p>
        </w:tc>
        <w:tc>
          <w:tcPr>
            <w:tcW w:w="1012" w:type="pct"/>
            <w:noWrap w:val="0"/>
            <w:vAlign w:val="center"/>
          </w:tcPr>
          <w:p w14:paraId="2A62E1C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台州金清大气环境自动监测站运维服务</w:t>
            </w:r>
          </w:p>
        </w:tc>
        <w:tc>
          <w:tcPr>
            <w:tcW w:w="551" w:type="pct"/>
            <w:noWrap w:val="0"/>
            <w:vAlign w:val="center"/>
          </w:tcPr>
          <w:p w14:paraId="77949C86">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金清气站</w:t>
            </w:r>
          </w:p>
        </w:tc>
        <w:tc>
          <w:tcPr>
            <w:tcW w:w="900" w:type="pct"/>
            <w:vMerge w:val="restart"/>
            <w:noWrap w:val="0"/>
            <w:vAlign w:val="center"/>
          </w:tcPr>
          <w:p w14:paraId="2BF3654F">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86.9（三年）</w:t>
            </w:r>
          </w:p>
        </w:tc>
        <w:tc>
          <w:tcPr>
            <w:tcW w:w="1125" w:type="pct"/>
            <w:vMerge w:val="restart"/>
            <w:shd w:val="clear" w:color="auto" w:fill="auto"/>
            <w:noWrap w:val="0"/>
            <w:vAlign w:val="center"/>
          </w:tcPr>
          <w:p w14:paraId="0BA485B8">
            <w:pPr>
              <w:tabs>
                <w:tab w:val="left" w:pos="8280"/>
              </w:tabs>
              <w:autoSpaceDE w:val="0"/>
              <w:autoSpaceDN w:val="0"/>
              <w:adjustRightInd w:val="0"/>
              <w:ind w:right="25" w:rightChars="0"/>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Cs/>
                <w:color w:val="auto"/>
                <w:highlight w:val="none"/>
                <w:u w:val="single"/>
              </w:rPr>
              <w:t xml:space="preserve">3 </w:t>
            </w:r>
            <w:r>
              <w:rPr>
                <w:rFonts w:hint="eastAsia" w:ascii="宋体" w:hAnsi="宋体" w:eastAsia="宋体" w:cs="宋体"/>
                <w:bCs/>
                <w:color w:val="auto"/>
                <w:highlight w:val="none"/>
              </w:rPr>
              <w:t>年</w:t>
            </w:r>
            <w:r>
              <w:rPr>
                <w:rFonts w:hint="eastAsia" w:ascii="宋体" w:hAnsi="宋体" w:eastAsia="宋体" w:cs="宋体"/>
                <w:bCs/>
                <w:color w:val="auto"/>
                <w:highlight w:val="none"/>
                <w:lang w:eastAsia="zh-CN"/>
              </w:rPr>
              <w:t>，</w:t>
            </w:r>
            <w:r>
              <w:rPr>
                <w:rFonts w:hint="eastAsia" w:ascii="宋体" w:hAnsi="宋体" w:eastAsia="宋体" w:cs="宋体"/>
                <w:color w:val="auto"/>
                <w:sz w:val="21"/>
                <w:szCs w:val="21"/>
                <w:highlight w:val="none"/>
                <w:lang w:val="en-US" w:eastAsia="zh-CN"/>
              </w:rPr>
              <w:t>第二年或第三年财政预算金额未达到原合同金额或者第二年或第三年财政预算未通过的，第二年或第三年合同的约定自动失效。</w:t>
            </w:r>
          </w:p>
        </w:tc>
      </w:tr>
      <w:tr w14:paraId="7C19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70" w:type="pct"/>
            <w:noWrap w:val="0"/>
            <w:vAlign w:val="center"/>
          </w:tcPr>
          <w:p w14:paraId="2D8808D4">
            <w:pPr>
              <w:tabs>
                <w:tab w:val="left" w:pos="8280"/>
              </w:tabs>
              <w:autoSpaceDE w:val="0"/>
              <w:autoSpaceDN w:val="0"/>
              <w:adjustRightInd w:val="0"/>
              <w:spacing w:line="240" w:lineRule="auto"/>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038" w:type="pct"/>
            <w:vMerge w:val="continue"/>
            <w:noWrap w:val="0"/>
            <w:vAlign w:val="center"/>
          </w:tcPr>
          <w:p w14:paraId="256CC7C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1012" w:type="pct"/>
            <w:noWrap w:val="0"/>
            <w:vAlign w:val="center"/>
          </w:tcPr>
          <w:p w14:paraId="0DD978F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路桥中学空气自动监测站运维服务</w:t>
            </w:r>
          </w:p>
        </w:tc>
        <w:tc>
          <w:tcPr>
            <w:tcW w:w="551" w:type="pct"/>
            <w:shd w:val="clear" w:color="auto" w:fill="auto"/>
            <w:noWrap w:val="0"/>
            <w:vAlign w:val="center"/>
          </w:tcPr>
          <w:p w14:paraId="2BA6F3E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路桥中学站</w:t>
            </w:r>
          </w:p>
        </w:tc>
        <w:tc>
          <w:tcPr>
            <w:tcW w:w="900" w:type="pct"/>
            <w:vMerge w:val="continue"/>
            <w:shd w:val="clear" w:color="auto" w:fill="auto"/>
            <w:noWrap w:val="0"/>
            <w:vAlign w:val="center"/>
          </w:tcPr>
          <w:p w14:paraId="36B51CCB">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p>
        </w:tc>
        <w:tc>
          <w:tcPr>
            <w:tcW w:w="1125" w:type="pct"/>
            <w:vMerge w:val="continue"/>
            <w:shd w:val="clear" w:color="auto" w:fill="auto"/>
            <w:noWrap w:val="0"/>
            <w:vAlign w:val="center"/>
          </w:tcPr>
          <w:p w14:paraId="664504C6">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p>
        </w:tc>
      </w:tr>
    </w:tbl>
    <w:p w14:paraId="0DF9BD70">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color w:val="auto"/>
          <w:sz w:val="21"/>
          <w:szCs w:val="21"/>
          <w:highlight w:val="none"/>
          <w:lang w:val="en-US" w:eastAsia="zh-CN"/>
        </w:rPr>
      </w:pPr>
    </w:p>
    <w:p w14:paraId="6ED6623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二、采购内容及需求</w:t>
      </w:r>
    </w:p>
    <w:p w14:paraId="0898110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u w:val="single"/>
          <w:lang w:val="en-US" w:eastAsia="zh-CN"/>
        </w:rPr>
        <w:t>（一）金清气站：</w:t>
      </w:r>
    </w:p>
    <w:p w14:paraId="0EBFB0D4">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为保障站点的正常运行，采取第三方服务外包的方式对站点进行运维。运维工作包括查看数据是否异常、仪器是否报警、数据审核、数据重积分、更换耗材、常规保养、仪器校准、采样管清洁、故障排除、填写并及时上交运维记录表格、及时上报月报表等；全年所有耗材备件、标气标样、备机、网络费用等由中标单位包干，同时必须配合业主方考察、调研、考核等工作。具备气象五参数、二氧化硫、二氧化氮、一氧化碳、细颗粒物(PM2.5)等监测仪器。</w:t>
      </w:r>
    </w:p>
    <w:p w14:paraId="4EBB358D">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2" w:firstLineChars="200"/>
        <w:jc w:val="left"/>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站点仪器配置表详见</w:t>
      </w:r>
      <w:r>
        <w:rPr>
          <w:rFonts w:hint="eastAsia" w:hAnsi="宋体" w:cs="宋体"/>
          <w:b/>
          <w:bCs/>
          <w:color w:val="auto"/>
          <w:sz w:val="21"/>
          <w:szCs w:val="21"/>
          <w:highlight w:val="none"/>
          <w:lang w:val="en-US" w:eastAsia="zh-CN"/>
        </w:rPr>
        <w:t>下表</w:t>
      </w:r>
      <w:r>
        <w:rPr>
          <w:rFonts w:hint="eastAsia" w:ascii="宋体" w:hAnsi="宋体" w:eastAsia="宋体" w:cs="宋体"/>
          <w:b/>
          <w:bCs/>
          <w:color w:val="auto"/>
          <w:sz w:val="21"/>
          <w:szCs w:val="21"/>
          <w:highlight w:val="none"/>
          <w:lang w:val="en-US" w:eastAsia="zh-CN"/>
        </w:rPr>
        <w:t>：</w:t>
      </w:r>
    </w:p>
    <w:p w14:paraId="104E3BD3">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center"/>
        <w:textAlignment w:val="auto"/>
        <w:outlineLvl w:val="2"/>
        <w:rPr>
          <w:rFonts w:hint="eastAsia" w:ascii="宋体" w:hAnsi="宋体" w:eastAsia="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表1</w:t>
      </w:r>
      <w:r>
        <w:rPr>
          <w:rFonts w:hint="eastAsia" w:ascii="宋体" w:hAnsi="宋体" w:eastAsia="宋体" w:cs="宋体"/>
          <w:b/>
          <w:bCs/>
          <w:color w:val="auto"/>
          <w:sz w:val="21"/>
          <w:szCs w:val="21"/>
          <w:highlight w:val="none"/>
          <w:lang w:val="en-US" w:eastAsia="zh-CN"/>
        </w:rPr>
        <w:t>台州金清大气环境自动监测站</w:t>
      </w:r>
    </w:p>
    <w:tbl>
      <w:tblPr>
        <w:tblStyle w:val="21"/>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17"/>
        <w:gridCol w:w="3299"/>
        <w:gridCol w:w="783"/>
        <w:gridCol w:w="831"/>
        <w:gridCol w:w="1793"/>
      </w:tblGrid>
      <w:tr w14:paraId="4FD7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002C1F65">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00214EEE">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监测名称</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72434F7F">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仪器名称</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3CCFC8DF">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单位</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39CA84F">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198C0EF9">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产品品牌</w:t>
            </w:r>
          </w:p>
        </w:tc>
      </w:tr>
      <w:tr w14:paraId="2564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6FE6F7B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17" w:type="dxa"/>
            <w:vMerge w:val="restart"/>
            <w:tcBorders>
              <w:top w:val="single" w:color="auto" w:sz="4" w:space="0"/>
              <w:left w:val="single" w:color="auto" w:sz="4" w:space="0"/>
              <w:right w:val="single" w:color="auto" w:sz="4" w:space="0"/>
            </w:tcBorders>
            <w:noWrap w:val="0"/>
            <w:vAlign w:val="center"/>
          </w:tcPr>
          <w:p w14:paraId="0C08E54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常规因子</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6F4049B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PM2.5分析仪</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2CB9D09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0F2F945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64F61FA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赛默飞世尔</w:t>
            </w:r>
          </w:p>
        </w:tc>
      </w:tr>
      <w:tr w14:paraId="7A92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171D5EA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1717" w:type="dxa"/>
            <w:vMerge w:val="continue"/>
            <w:tcBorders>
              <w:left w:val="single" w:color="auto" w:sz="4" w:space="0"/>
              <w:right w:val="single" w:color="auto" w:sz="4" w:space="0"/>
            </w:tcBorders>
            <w:noWrap w:val="0"/>
            <w:vAlign w:val="center"/>
          </w:tcPr>
          <w:p w14:paraId="0983CC7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379B74B3">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PM</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分析仪</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4235FDF6">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4502AB7">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20E5186D">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赛默飞世尔</w:t>
            </w:r>
          </w:p>
        </w:tc>
      </w:tr>
      <w:tr w14:paraId="09A6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1870536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717" w:type="dxa"/>
            <w:vMerge w:val="continue"/>
            <w:tcBorders>
              <w:left w:val="single" w:color="auto" w:sz="4" w:space="0"/>
              <w:right w:val="single" w:color="auto" w:sz="4" w:space="0"/>
            </w:tcBorders>
            <w:noWrap w:val="0"/>
            <w:vAlign w:val="center"/>
          </w:tcPr>
          <w:p w14:paraId="1170E07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23255D0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NO2/NO/NOx分析仪</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3889425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6569366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64ABCED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赛默飞世尔</w:t>
            </w:r>
          </w:p>
        </w:tc>
      </w:tr>
      <w:tr w14:paraId="38D7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56CF2542">
            <w:pPr>
              <w:tabs>
                <w:tab w:val="left" w:pos="8280"/>
              </w:tabs>
              <w:autoSpaceDE w:val="0"/>
              <w:autoSpaceDN w:val="0"/>
              <w:adjustRightInd w:val="0"/>
              <w:spacing w:line="240" w:lineRule="auto"/>
              <w:ind w:right="2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717" w:type="dxa"/>
            <w:vMerge w:val="continue"/>
            <w:tcBorders>
              <w:left w:val="single" w:color="auto" w:sz="4" w:space="0"/>
              <w:right w:val="single" w:color="auto" w:sz="4" w:space="0"/>
            </w:tcBorders>
            <w:noWrap w:val="0"/>
            <w:vAlign w:val="center"/>
          </w:tcPr>
          <w:p w14:paraId="68B16E3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7DB1F4F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SO2分析仪</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0EB962B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CA8263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08BBF87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赛默飞世尔</w:t>
            </w:r>
          </w:p>
        </w:tc>
      </w:tr>
      <w:tr w14:paraId="3F77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00A3D00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717" w:type="dxa"/>
            <w:vMerge w:val="continue"/>
            <w:tcBorders>
              <w:left w:val="single" w:color="auto" w:sz="4" w:space="0"/>
              <w:right w:val="single" w:color="auto" w:sz="4" w:space="0"/>
            </w:tcBorders>
            <w:noWrap w:val="0"/>
            <w:vAlign w:val="center"/>
          </w:tcPr>
          <w:p w14:paraId="1DA99D3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5B5BF5C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CO分析仪</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38B4212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5A2D278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58E29CA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赛默飞世尔</w:t>
            </w:r>
          </w:p>
        </w:tc>
      </w:tr>
      <w:tr w14:paraId="214C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0012DCD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717" w:type="dxa"/>
            <w:vMerge w:val="continue"/>
            <w:tcBorders>
              <w:left w:val="single" w:color="auto" w:sz="4" w:space="0"/>
              <w:right w:val="single" w:color="auto" w:sz="4" w:space="0"/>
            </w:tcBorders>
            <w:noWrap w:val="0"/>
            <w:vAlign w:val="center"/>
          </w:tcPr>
          <w:p w14:paraId="6CFD697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3296EE1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O3分析仪</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48151BB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2BFD8A3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11127B0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赛默飞世尔</w:t>
            </w:r>
          </w:p>
        </w:tc>
      </w:tr>
      <w:tr w14:paraId="6696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1C4228F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717" w:type="dxa"/>
            <w:tcBorders>
              <w:left w:val="single" w:color="auto" w:sz="4" w:space="0"/>
              <w:bottom w:val="single" w:color="auto" w:sz="4" w:space="0"/>
              <w:right w:val="single" w:color="auto" w:sz="4" w:space="0"/>
            </w:tcBorders>
            <w:noWrap w:val="0"/>
            <w:vAlign w:val="center"/>
          </w:tcPr>
          <w:p w14:paraId="6D514531">
            <w:pPr>
              <w:tabs>
                <w:tab w:val="left" w:pos="8280"/>
              </w:tabs>
              <w:autoSpaceDE w:val="0"/>
              <w:autoSpaceDN w:val="0"/>
              <w:adjustRightInd w:val="0"/>
              <w:spacing w:line="240" w:lineRule="auto"/>
              <w:ind w:right="2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气象五参数</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2F834EA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气象五参数</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2A1CDE2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51E44DA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626D276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LUFFT</w:t>
            </w:r>
          </w:p>
        </w:tc>
      </w:tr>
      <w:tr w14:paraId="3F2B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9FB70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717" w:type="dxa"/>
            <w:tcBorders>
              <w:left w:val="single" w:color="auto" w:sz="4" w:space="0"/>
              <w:bottom w:val="single" w:color="auto" w:sz="4" w:space="0"/>
              <w:right w:val="single" w:color="auto" w:sz="4" w:space="0"/>
            </w:tcBorders>
            <w:noWrap w:val="0"/>
            <w:vAlign w:val="center"/>
          </w:tcPr>
          <w:p w14:paraId="5F8DF97C">
            <w:pPr>
              <w:tabs>
                <w:tab w:val="left" w:pos="8280"/>
              </w:tabs>
              <w:autoSpaceDE w:val="0"/>
              <w:autoSpaceDN w:val="0"/>
              <w:adjustRightInd w:val="0"/>
              <w:spacing w:line="240" w:lineRule="auto"/>
              <w:ind w:right="2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能见度</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51A4D2A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SWS-100</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589825F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14DAC52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50A28A4A">
            <w:pPr>
              <w:tabs>
                <w:tab w:val="left" w:pos="8280"/>
              </w:tabs>
              <w:autoSpaceDE w:val="0"/>
              <w:autoSpaceDN w:val="0"/>
              <w:adjustRightInd w:val="0"/>
              <w:spacing w:line="240" w:lineRule="auto"/>
              <w:ind w:right="2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SWS</w:t>
            </w:r>
          </w:p>
        </w:tc>
      </w:tr>
      <w:tr w14:paraId="2620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1C90F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717" w:type="dxa"/>
            <w:vMerge w:val="restart"/>
            <w:tcBorders>
              <w:top w:val="single" w:color="auto" w:sz="4" w:space="0"/>
              <w:left w:val="single" w:color="auto" w:sz="4" w:space="0"/>
              <w:right w:val="single" w:color="auto" w:sz="4" w:space="0"/>
            </w:tcBorders>
            <w:noWrap w:val="0"/>
            <w:vAlign w:val="center"/>
          </w:tcPr>
          <w:p w14:paraId="576A81D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质控系统</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53DC34B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动态校准仪</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6517236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650C52C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58E9ED6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赛默飞世尔</w:t>
            </w:r>
          </w:p>
        </w:tc>
      </w:tr>
      <w:tr w14:paraId="5B80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8EDE4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717" w:type="dxa"/>
            <w:vMerge w:val="continue"/>
            <w:tcBorders>
              <w:left w:val="single" w:color="auto" w:sz="4" w:space="0"/>
              <w:bottom w:val="single" w:color="auto" w:sz="4" w:space="0"/>
              <w:right w:val="single" w:color="auto" w:sz="4" w:space="0"/>
            </w:tcBorders>
            <w:noWrap w:val="0"/>
            <w:vAlign w:val="center"/>
          </w:tcPr>
          <w:p w14:paraId="4484BEE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2D07CEA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零气系统(CO/HC去除器)</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48B414A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0E65C23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06C1A8D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赛默飞世尔</w:t>
            </w:r>
          </w:p>
        </w:tc>
      </w:tr>
      <w:tr w14:paraId="15F7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332EAE">
            <w:pPr>
              <w:tabs>
                <w:tab w:val="left" w:pos="8280"/>
              </w:tabs>
              <w:autoSpaceDE w:val="0"/>
              <w:autoSpaceDN w:val="0"/>
              <w:adjustRightInd w:val="0"/>
              <w:spacing w:line="240" w:lineRule="auto"/>
              <w:ind w:right="2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1A94BC1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数据采集系统</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42ACD4B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数据采集和处理系统</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4D5939B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5C5A489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536F8F3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研华</w:t>
            </w:r>
          </w:p>
        </w:tc>
      </w:tr>
    </w:tbl>
    <w:p w14:paraId="7EFBA3F5">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p>
    <w:p w14:paraId="68AB110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1、采购内容</w:t>
      </w:r>
    </w:p>
    <w:p w14:paraId="59D7C25D">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本次采购为台州路桥大气环境自动监测站运维服务采购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具体内容包括</w:t>
      </w:r>
      <w:r>
        <w:rPr>
          <w:rFonts w:hint="eastAsia" w:ascii="宋体" w:hAnsi="宋体" w:eastAsia="宋体" w:cs="宋体"/>
          <w:color w:val="auto"/>
          <w:sz w:val="21"/>
          <w:szCs w:val="21"/>
          <w:highlight w:val="none"/>
          <w:lang w:eastAsia="zh-CN"/>
        </w:rPr>
        <w:t>：</w:t>
      </w:r>
    </w:p>
    <w:p w14:paraId="7DB3A98D">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sz w:val="21"/>
          <w:szCs w:val="21"/>
          <w:highlight w:val="none"/>
          <w:lang w:eastAsia="zh-CN"/>
        </w:rPr>
      </w:pPr>
      <w:r>
        <w:rPr>
          <w:rFonts w:hint="eastAsia"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sz w:val="21"/>
          <w:szCs w:val="21"/>
          <w:highlight w:val="none"/>
          <w:lang w:val="en-US" w:eastAsia="zh-CN"/>
        </w:rPr>
        <w:t>站点的</w:t>
      </w:r>
      <w:r>
        <w:rPr>
          <w:rFonts w:hint="eastAsia" w:ascii="宋体" w:hAnsi="宋体" w:eastAsia="宋体" w:cs="宋体"/>
          <w:b w:val="0"/>
          <w:bCs w:val="0"/>
          <w:color w:val="auto"/>
          <w:sz w:val="21"/>
          <w:szCs w:val="21"/>
          <w:highlight w:val="none"/>
        </w:rPr>
        <w:t>日常运维管理</w:t>
      </w:r>
      <w:r>
        <w:rPr>
          <w:rFonts w:hint="eastAsia" w:ascii="宋体" w:hAnsi="宋体" w:eastAsia="宋体" w:cs="宋体"/>
          <w:b w:val="0"/>
          <w:bCs w:val="0"/>
          <w:color w:val="auto"/>
          <w:sz w:val="21"/>
          <w:szCs w:val="21"/>
          <w:highlight w:val="none"/>
          <w:lang w:eastAsia="zh-CN"/>
        </w:rPr>
        <w:t>与运行维护及</w:t>
      </w:r>
      <w:r>
        <w:rPr>
          <w:rFonts w:hint="eastAsia" w:ascii="宋体" w:hAnsi="宋体" w:eastAsia="宋体" w:cs="宋体"/>
          <w:color w:val="auto"/>
          <w:sz w:val="21"/>
          <w:szCs w:val="21"/>
          <w:highlight w:val="none"/>
        </w:rPr>
        <w:t>质量控制管理</w:t>
      </w:r>
      <w:r>
        <w:rPr>
          <w:rFonts w:hint="eastAsia" w:ascii="宋体" w:hAnsi="宋体" w:eastAsia="宋体" w:cs="宋体"/>
          <w:color w:val="auto"/>
          <w:sz w:val="21"/>
          <w:szCs w:val="21"/>
          <w:highlight w:val="none"/>
          <w:lang w:eastAsia="zh-CN"/>
        </w:rPr>
        <w:t>；</w:t>
      </w:r>
    </w:p>
    <w:p w14:paraId="13EB00B1">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w:t>
      </w:r>
      <w:r>
        <w:rPr>
          <w:rFonts w:hint="eastAsia"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站点</w:t>
      </w:r>
      <w:r>
        <w:rPr>
          <w:rFonts w:hint="eastAsia" w:ascii="宋体" w:hAnsi="宋体" w:eastAsia="宋体" w:cs="宋体"/>
          <w:color w:val="auto"/>
          <w:sz w:val="21"/>
          <w:szCs w:val="21"/>
          <w:highlight w:val="none"/>
        </w:rPr>
        <w:t>相关仪器</w:t>
      </w:r>
      <w:r>
        <w:rPr>
          <w:rFonts w:hint="eastAsia" w:ascii="宋体" w:hAnsi="宋体" w:eastAsia="宋体" w:cs="宋体"/>
          <w:color w:val="auto"/>
          <w:sz w:val="21"/>
          <w:szCs w:val="21"/>
          <w:highlight w:val="none"/>
          <w:lang w:eastAsia="zh-CN"/>
        </w:rPr>
        <w:t>设备</w:t>
      </w:r>
      <w:r>
        <w:rPr>
          <w:rFonts w:hint="eastAsia" w:ascii="宋体" w:hAnsi="宋体" w:eastAsia="宋体" w:cs="宋体"/>
          <w:color w:val="auto"/>
          <w:sz w:val="21"/>
          <w:szCs w:val="21"/>
          <w:highlight w:val="none"/>
        </w:rPr>
        <w:t>、数采系统、集成设施</w:t>
      </w:r>
      <w:r>
        <w:rPr>
          <w:rFonts w:hint="eastAsia" w:ascii="宋体" w:hAnsi="宋体" w:eastAsia="宋体" w:cs="宋体"/>
          <w:color w:val="auto"/>
          <w:sz w:val="21"/>
          <w:szCs w:val="21"/>
          <w:highlight w:val="none"/>
          <w:lang w:eastAsia="zh-CN"/>
        </w:rPr>
        <w:t>、空调设施、</w:t>
      </w:r>
      <w:r>
        <w:rPr>
          <w:rFonts w:hint="eastAsia" w:ascii="宋体" w:hAnsi="宋体" w:eastAsia="宋体" w:cs="宋体"/>
          <w:color w:val="auto"/>
          <w:sz w:val="21"/>
          <w:szCs w:val="21"/>
          <w:highlight w:val="none"/>
        </w:rPr>
        <w:t>通讯的故障维修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配件更换、常规保养、仪器校准、采样管清洁</w:t>
      </w:r>
      <w:r>
        <w:rPr>
          <w:rFonts w:hint="eastAsia" w:ascii="宋体" w:hAnsi="宋体" w:eastAsia="宋体" w:cs="宋体"/>
          <w:color w:val="auto"/>
          <w:sz w:val="21"/>
          <w:szCs w:val="21"/>
          <w:highlight w:val="none"/>
          <w:lang w:eastAsia="zh-CN"/>
        </w:rPr>
        <w:t>等；</w:t>
      </w:r>
    </w:p>
    <w:p w14:paraId="193D0299">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w:t>
      </w:r>
      <w:r>
        <w:rPr>
          <w:rFonts w:hint="eastAsia"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lang w:eastAsia="zh-CN"/>
        </w:rPr>
        <w:t>站房标识、标牌的制作及更换，站房周围环境维护（包含门窗修补与屋顶修漏）及水电维修；</w:t>
      </w:r>
    </w:p>
    <w:p w14:paraId="51CE7B54">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w:t>
      </w:r>
      <w:r>
        <w:rPr>
          <w:rFonts w:hint="eastAsia"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数据审核、</w:t>
      </w:r>
      <w:r>
        <w:rPr>
          <w:rFonts w:hint="eastAsia" w:ascii="宋体" w:hAnsi="宋体" w:eastAsia="宋体" w:cs="宋体"/>
          <w:color w:val="auto"/>
          <w:sz w:val="21"/>
          <w:szCs w:val="21"/>
          <w:highlight w:val="none"/>
        </w:rPr>
        <w:t>数据分析汇总及报告</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站点的正常运行所需耗材、标准气体以及设备维修、维护所需配件、运维所需的流量计、维修工具、定期校准、水电费、网络通迅费、防雷检测等均由中标单位负责</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0E55E9A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2、运维需求：</w:t>
      </w:r>
    </w:p>
    <w:p w14:paraId="3865F5C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2.1 运维能力：</w:t>
      </w:r>
    </w:p>
    <w:p w14:paraId="056021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运行维护计划和耗材更换按照《</w:t>
      </w:r>
      <w:r>
        <w:rPr>
          <w:rFonts w:hint="eastAsia" w:ascii="宋体" w:hAnsi="宋体" w:eastAsia="宋体" w:cs="宋体"/>
          <w:color w:val="auto"/>
          <w:kern w:val="2"/>
          <w:sz w:val="21"/>
          <w:szCs w:val="21"/>
          <w:highlight w:val="none"/>
          <w:lang w:val="zh-CN" w:eastAsia="zh-CN" w:bidi="ar-SA"/>
        </w:rPr>
        <w:t>浙江省环境空气质量自动监测系统运行管理细则</w:t>
      </w:r>
      <w:r>
        <w:rPr>
          <w:rFonts w:hint="eastAsia" w:ascii="宋体" w:hAnsi="宋体" w:eastAsia="宋体" w:cs="宋体"/>
          <w:color w:val="auto"/>
          <w:kern w:val="2"/>
          <w:sz w:val="21"/>
          <w:szCs w:val="21"/>
          <w:highlight w:val="none"/>
          <w:lang w:val="en-US" w:eastAsia="zh-CN" w:bidi="ar-SA"/>
        </w:rPr>
        <w:t>》执行，有污染天气发生时，应针对其实际情况增加运维频次。为保证空气自动站的连续运行，投标方应具备包含关键仪器的空气站运维经验，具备完善的标气标样、备品备件供应渠道，并建立专用的空气自动站备品备件库，配备系统运行必须的耗材；配备空气自动站维护所需基本工具和检测仪器，溯源和校准设备应经法定计量部门检定或校准。</w:t>
      </w:r>
    </w:p>
    <w:p w14:paraId="0E03E96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所有运维工作需满足浙环函〔2020〕127号文件、GB3095-2012、HJ818-2018、HJ817-2018和HJ653-2021等相关文件的要求；如国家、省出台相关质控最新文件，依据最新文件要求。</w:t>
      </w:r>
    </w:p>
    <w:p w14:paraId="12EF8E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运维技术人员须在正式运维前熟练操作其标项内所包含的仪器，因运维不当造成仪器损坏由该中标单位承担相应责任并赔偿损失。合同期内运维技术人员的一切开支由中标单位负责（如食宿、差旅费等）。</w:t>
      </w:r>
    </w:p>
    <w:p w14:paraId="6AF6E6E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2.2 保密原则</w:t>
      </w:r>
    </w:p>
    <w:p w14:paraId="78A2693F">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运维技术人员在维护期间须遵守用户的相应管理制度，并与用户签订保密协议。如因违反管理规定或保密协议，用户有权追究</w:t>
      </w:r>
      <w:r>
        <w:rPr>
          <w:rFonts w:hint="eastAsia" w:ascii="宋体" w:hAnsi="宋体" w:eastAsia="宋体" w:cs="宋体"/>
          <w:color w:val="auto"/>
          <w:sz w:val="21"/>
          <w:szCs w:val="21"/>
          <w:highlight w:val="none"/>
          <w:lang w:eastAsia="zh-CN"/>
        </w:rPr>
        <w:t>中标单位</w:t>
      </w:r>
      <w:r>
        <w:rPr>
          <w:rFonts w:hint="eastAsia" w:ascii="宋体" w:hAnsi="宋体" w:eastAsia="宋体" w:cs="宋体"/>
          <w:color w:val="auto"/>
          <w:sz w:val="21"/>
          <w:szCs w:val="21"/>
          <w:highlight w:val="none"/>
        </w:rPr>
        <w:t>及该名运维技术人员的相应责任并赔偿相应损失。在委托管理期间，受托方应对系统状况和数据严格保密。未经委托方同意，受托方不得利用本项目的任意资料对外开展技术交流、业务联系、数据交换等。与环境质量自动监测站有关的资料及数据成果中涉及国家秘密的内容，均要求按照《国家保密法》及相关法律法规执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应承担监测数据的保密责任。</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应按照采购方的要求，报告和传输监测数据，不得以任何方式和渠道向外界传递、泄露和披露任何监测数据。</w:t>
      </w:r>
    </w:p>
    <w:p w14:paraId="50D70C0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zh-CN" w:eastAsia="zh-CN"/>
        </w:rPr>
      </w:pPr>
      <w:r>
        <w:rPr>
          <w:rFonts w:hint="eastAsia" w:ascii="宋体" w:hAnsi="宋体" w:eastAsia="宋体" w:cs="宋体"/>
          <w:b/>
          <w:color w:val="auto"/>
          <w:sz w:val="21"/>
          <w:szCs w:val="21"/>
          <w:highlight w:val="none"/>
          <w:lang w:val="en-US" w:eastAsia="zh-CN"/>
        </w:rPr>
        <w:t xml:space="preserve">2.3 </w:t>
      </w:r>
      <w:r>
        <w:rPr>
          <w:rFonts w:hint="eastAsia" w:ascii="宋体" w:hAnsi="宋体" w:eastAsia="宋体" w:cs="宋体"/>
          <w:b/>
          <w:color w:val="auto"/>
          <w:sz w:val="21"/>
          <w:szCs w:val="21"/>
          <w:highlight w:val="none"/>
          <w:lang w:val="zh-CN" w:eastAsia="zh-CN"/>
        </w:rPr>
        <w:t>预防人为干扰原则</w:t>
      </w:r>
    </w:p>
    <w:p w14:paraId="2C0E4565">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中标单位应严格遵守《浙江省环境空气质量自动监测系统运行管理细则》相关规定。中标单位及其运维技术人员应开展诚信运维自我声明，坚决杜绝弄虚作假情况的发生，保障站点运维真实，有效。</w:t>
      </w:r>
    </w:p>
    <w:p w14:paraId="3706A61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2.4 </w:t>
      </w:r>
      <w:r>
        <w:rPr>
          <w:rFonts w:hint="eastAsia" w:ascii="宋体" w:hAnsi="宋体" w:eastAsia="宋体" w:cs="宋体"/>
          <w:b/>
          <w:color w:val="auto"/>
          <w:sz w:val="21"/>
          <w:szCs w:val="21"/>
          <w:highlight w:val="none"/>
          <w:lang w:val="zh-CN" w:eastAsia="zh-CN"/>
        </w:rPr>
        <w:t>量值溯源要求</w:t>
      </w:r>
    </w:p>
    <w:p w14:paraId="0EE4DD1E">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（1）使用的标准物质须为国家</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级</w:t>
      </w:r>
      <w:r>
        <w:rPr>
          <w:rFonts w:hint="eastAsia" w:ascii="宋体" w:hAnsi="宋体" w:eastAsia="宋体" w:cs="宋体"/>
          <w:color w:val="auto"/>
          <w:kern w:val="0"/>
          <w:sz w:val="21"/>
          <w:szCs w:val="21"/>
          <w:highlight w:val="none"/>
          <w:lang w:val="en-US" w:eastAsia="zh-CN"/>
        </w:rPr>
        <w:t>及以上</w:t>
      </w:r>
      <w:r>
        <w:rPr>
          <w:rFonts w:hint="eastAsia" w:ascii="宋体" w:hAnsi="宋体" w:eastAsia="宋体" w:cs="宋体"/>
          <w:color w:val="auto"/>
          <w:kern w:val="0"/>
          <w:sz w:val="21"/>
          <w:szCs w:val="21"/>
          <w:highlight w:val="none"/>
        </w:rPr>
        <w:t>标准气体，且在有效期内。</w:t>
      </w:r>
    </w:p>
    <w:p w14:paraId="55169C55">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（2）所使用的仪表需进行计量部门的检定。</w:t>
      </w:r>
    </w:p>
    <w:p w14:paraId="6D3EC329">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（3）需自备经计量部门检定的流量计用于日常维护标定工作。</w:t>
      </w:r>
    </w:p>
    <w:p w14:paraId="57801575">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（4）需完成臭氧校准仪溯源与标准传递。</w:t>
      </w:r>
    </w:p>
    <w:p w14:paraId="1B3F34F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2.5 运行维护管理目标</w:t>
      </w:r>
    </w:p>
    <w:p w14:paraId="0DAF129A">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全面贯彻质量方针，提供及时、准确、有效的检测数据，不断提高空气自动监测站的运行质量，并达到以下指标：</w:t>
      </w:r>
    </w:p>
    <w:p w14:paraId="786D27E8">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常规仪器有效数据获取率≥9</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zh-CN"/>
        </w:rPr>
        <w:t>%</w:t>
      </w:r>
      <w:r>
        <w:rPr>
          <w:rFonts w:hint="eastAsia" w:ascii="宋体" w:hAnsi="宋体" w:eastAsia="宋体" w:cs="宋体"/>
          <w:bCs/>
          <w:color w:val="auto"/>
          <w:kern w:val="0"/>
          <w:sz w:val="21"/>
          <w:szCs w:val="21"/>
          <w:highlight w:val="none"/>
          <w:lang w:val="zh-CN" w:eastAsia="zh-CN"/>
        </w:rPr>
        <w:t>；有效数据获取率应</w:t>
      </w:r>
      <w:r>
        <w:rPr>
          <w:rFonts w:hint="eastAsia" w:ascii="宋体" w:hAnsi="宋体" w:eastAsia="宋体" w:cs="宋体"/>
          <w:bCs/>
          <w:color w:val="auto"/>
          <w:kern w:val="0"/>
          <w:sz w:val="21"/>
          <w:szCs w:val="21"/>
          <w:highlight w:val="none"/>
          <w:lang w:val="zh-CN"/>
        </w:rPr>
        <w:t>除去停电，性能测试及其他不可抗拒因素引起的故障；</w:t>
      </w:r>
    </w:p>
    <w:p w14:paraId="641C098C">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运维方需提供不限次数的故障性维修保养服务，并提供详细的应急保障技术服务方案，突发事件或紧急监测任务时设备故障，运维人员需在4小时内赶到现场对仪器故障进行诊断和排除，一般仪器故障，应在</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val="zh-CN"/>
        </w:rPr>
        <w:t>小时内解决，重大仪器故障应在</w:t>
      </w:r>
      <w:r>
        <w:rPr>
          <w:rFonts w:hint="eastAsia" w:ascii="宋体" w:hAnsi="宋体" w:eastAsia="宋体" w:cs="宋体"/>
          <w:bCs/>
          <w:color w:val="auto"/>
          <w:kern w:val="0"/>
          <w:sz w:val="21"/>
          <w:szCs w:val="21"/>
          <w:highlight w:val="none"/>
          <w:lang w:val="en-US" w:eastAsia="zh-CN"/>
        </w:rPr>
        <w:t>48小时</w:t>
      </w:r>
      <w:r>
        <w:rPr>
          <w:rFonts w:hint="eastAsia" w:ascii="宋体" w:hAnsi="宋体" w:eastAsia="宋体" w:cs="宋体"/>
          <w:bCs/>
          <w:color w:val="auto"/>
          <w:kern w:val="0"/>
          <w:sz w:val="21"/>
          <w:szCs w:val="21"/>
          <w:highlight w:val="none"/>
          <w:lang w:val="zh-CN"/>
        </w:rPr>
        <w:t>内解决（通信线路、电力线路故障除外，但应及时与相关部门联系积极解决），进口产品特殊备件无库存或其他特殊情况需书面报告。</w:t>
      </w:r>
    </w:p>
    <w:p w14:paraId="0EA18D5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2.6 日常运行维护记录</w:t>
      </w:r>
    </w:p>
    <w:p w14:paraId="14BFD294">
      <w:pPr>
        <w:pageBreakBefore w:val="0"/>
        <w:widowControl w:val="0"/>
        <w:kinsoku/>
        <w:wordWrap/>
        <w:overflowPunct/>
        <w:topLinePunct w:val="0"/>
        <w:autoSpaceDE/>
        <w:autoSpaceDN/>
        <w:bidi w:val="0"/>
        <w:spacing w:line="360" w:lineRule="auto"/>
        <w:ind w:left="0" w:leftChars="0" w:right="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应建立空气自动站维护档案</w:t>
      </w:r>
      <w:r>
        <w:rPr>
          <w:rFonts w:hint="eastAsia" w:ascii="宋体" w:hAnsi="宋体" w:eastAsia="宋体" w:cs="宋体"/>
          <w:color w:val="auto"/>
          <w:sz w:val="21"/>
          <w:szCs w:val="21"/>
          <w:highlight w:val="none"/>
          <w:lang w:eastAsia="zh-CN"/>
        </w:rPr>
        <w:t>（样式自拟）</w:t>
      </w:r>
      <w:r>
        <w:rPr>
          <w:rFonts w:hint="eastAsia" w:ascii="宋体" w:hAnsi="宋体" w:eastAsia="宋体" w:cs="宋体"/>
          <w:color w:val="auto"/>
          <w:sz w:val="21"/>
          <w:szCs w:val="21"/>
          <w:highlight w:val="none"/>
        </w:rPr>
        <w:t>，按照业主方的要求填写仪器运维表格，将空气自动站的运行过程和运行事件进行详细记录，做好空气站运行管理记录和存档。每次到站房运维后须为每台仪器填写运维表格，包括仪器原始设置、报警、维修、更换、保养、仪器校准、标气使用、标液配置、采样管清洁等运行维护内容。</w:t>
      </w:r>
    </w:p>
    <w:p w14:paraId="46BF2B7D">
      <w:pPr>
        <w:pageBreakBefore w:val="0"/>
        <w:widowControl w:val="0"/>
        <w:kinsoku/>
        <w:wordWrap/>
        <w:overflowPunct/>
        <w:topLinePunct w:val="0"/>
        <w:autoSpaceDE/>
        <w:autoSpaceDN/>
        <w:bidi w:val="0"/>
        <w:spacing w:line="360" w:lineRule="auto"/>
        <w:ind w:left="0" w:leftChars="0" w:right="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日常运营中使用运行管理相关记录表至少应包括以下表格：</w:t>
      </w:r>
    </w:p>
    <w:p w14:paraId="48D107F0">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（1）空气自动监测站运行维护记录表；</w:t>
      </w:r>
    </w:p>
    <w:p w14:paraId="40CC288D">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（2）空气自动监测系统仪器设备维修记录表；</w:t>
      </w:r>
    </w:p>
    <w:p w14:paraId="11594B4C">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（3）空气自动监测系统备品备件管理记录表；</w:t>
      </w:r>
    </w:p>
    <w:p w14:paraId="5E104E15">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（4）空气自动监测站主要消耗材料使用登记表；</w:t>
      </w:r>
    </w:p>
    <w:p w14:paraId="31A9169B">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（5）多点线性校准表格；</w:t>
      </w:r>
    </w:p>
    <w:p w14:paraId="3D08514B">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（6）空气自动监测站室内外环境记录；</w:t>
      </w:r>
    </w:p>
    <w:p w14:paraId="3CCD6E33">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（7）标准物质使用记录；</w:t>
      </w:r>
    </w:p>
    <w:p w14:paraId="5467683F">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（8）空气自动监测系统仪器资料保管清单。</w:t>
      </w:r>
    </w:p>
    <w:p w14:paraId="1CE5A51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2.7  仪器故障处理</w:t>
      </w:r>
    </w:p>
    <w:p w14:paraId="7333C554">
      <w:pPr>
        <w:pageBreakBefore w:val="0"/>
        <w:widowControl w:val="0"/>
        <w:kinsoku/>
        <w:wordWrap/>
        <w:overflowPunct/>
        <w:topLinePunct w:val="0"/>
        <w:autoSpaceDE/>
        <w:autoSpaceDN/>
        <w:bidi w:val="0"/>
        <w:spacing w:line="360" w:lineRule="auto"/>
        <w:ind w:left="0" w:leftChars="0" w:right="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当项目运维清单中设备发生故障时，须向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中标单位</w:t>
      </w:r>
      <w:r>
        <w:rPr>
          <w:rFonts w:hint="eastAsia" w:ascii="宋体" w:hAnsi="宋体" w:eastAsia="宋体" w:cs="宋体"/>
          <w:color w:val="auto"/>
          <w:sz w:val="21"/>
          <w:szCs w:val="21"/>
          <w:highlight w:val="none"/>
        </w:rPr>
        <w:t>须承担所有维修费用，故障须尽快解决，故障超过7天须说明原因并提供维修证明，维修时间最迟不得超过1个月，如在一个月内无法修复的设备，须提供相当性能、功能的整机或备件。</w:t>
      </w:r>
    </w:p>
    <w:p w14:paraId="1DE6A6F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2.8  运维耗材及配件管理</w:t>
      </w:r>
    </w:p>
    <w:p w14:paraId="6DB9A92B">
      <w:pPr>
        <w:pageBreakBefore w:val="0"/>
        <w:widowControl w:val="0"/>
        <w:kinsoku/>
        <w:wordWrap/>
        <w:overflowPunct/>
        <w:topLinePunct w:val="0"/>
        <w:autoSpaceDE/>
        <w:autoSpaceDN/>
        <w:bidi w:val="0"/>
        <w:spacing w:line="360" w:lineRule="auto"/>
        <w:ind w:left="0" w:leftChars="0" w:right="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运维过程中的耗材、备品备件需采用原厂件，如确实采购不到原厂件的，需向业主方报备并采购具有相同技术指标的耗材或配件。每次更换下来的耗材、配件须保存好，标注更换日期，经业主方认可后方可处理。</w:t>
      </w:r>
      <w:r>
        <w:rPr>
          <w:rFonts w:hint="eastAsia" w:ascii="宋体" w:hAnsi="宋体" w:eastAsia="宋体" w:cs="宋体"/>
          <w:color w:val="auto"/>
          <w:sz w:val="21"/>
          <w:szCs w:val="21"/>
          <w:highlight w:val="none"/>
          <w:lang w:val="en-US" w:eastAsia="zh-CN"/>
        </w:rPr>
        <w:t>期间所产生的水电费由中标单位自行承担。</w:t>
      </w:r>
      <w:r>
        <w:rPr>
          <w:rFonts w:hint="eastAsia" w:ascii="宋体" w:hAnsi="宋体" w:eastAsia="宋体" w:cs="宋体"/>
          <w:color w:val="auto"/>
          <w:sz w:val="21"/>
          <w:szCs w:val="21"/>
          <w:highlight w:val="none"/>
        </w:rPr>
        <w:t>每季度提交一次运维报告，年度运维完成后提交总报告。</w:t>
      </w:r>
    </w:p>
    <w:p w14:paraId="1C3D3C7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  响应时间要求</w:t>
      </w:r>
    </w:p>
    <w:p w14:paraId="2A34612E">
      <w:pPr>
        <w:pageBreakBefore w:val="0"/>
        <w:widowControl w:val="0"/>
        <w:numPr>
          <w:ilvl w:val="0"/>
          <w:numId w:val="2"/>
        </w:numPr>
        <w:kinsoku/>
        <w:wordWrap/>
        <w:overflowPunct/>
        <w:topLinePunct w:val="0"/>
        <w:autoSpaceDE/>
        <w:autoSpaceDN/>
        <w:bidi w:val="0"/>
        <w:spacing w:line="360" w:lineRule="auto"/>
        <w:ind w:left="0" w:leftChars="0" w:right="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当维保设备发生故障，产生异常数据或者无数据产生时，工作日须在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小时内响应，</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小时内到达现场检修，节假日须在4小时内响应，6小时内到达现场检修。对于普通故障，修复时间不超过24小时。如24小时内无法排除故障，应及时报告</w:t>
      </w:r>
      <w:r>
        <w:rPr>
          <w:rFonts w:hint="eastAsia" w:ascii="宋体" w:hAnsi="宋体" w:cs="宋体"/>
          <w:color w:val="auto"/>
          <w:sz w:val="21"/>
          <w:szCs w:val="21"/>
          <w:highlight w:val="none"/>
          <w:lang w:val="en-US" w:eastAsia="zh-CN"/>
        </w:rPr>
        <w:t>路桥</w:t>
      </w:r>
      <w:r>
        <w:rPr>
          <w:rFonts w:hint="eastAsia" w:ascii="宋体" w:hAnsi="宋体" w:eastAsia="宋体" w:cs="宋体"/>
          <w:color w:val="auto"/>
          <w:sz w:val="21"/>
          <w:szCs w:val="21"/>
          <w:highlight w:val="none"/>
          <w:lang w:eastAsia="zh-CN"/>
        </w:rPr>
        <w:t>分局</w:t>
      </w:r>
      <w:r>
        <w:rPr>
          <w:rFonts w:hint="eastAsia" w:ascii="宋体" w:hAnsi="宋体" w:eastAsia="宋体" w:cs="宋体"/>
          <w:color w:val="auto"/>
          <w:sz w:val="21"/>
          <w:szCs w:val="21"/>
          <w:highlight w:val="none"/>
        </w:rPr>
        <w:t>，共同协商后解决。重大保障及特殊应急状况下，服从业主的调度安排。</w:t>
      </w:r>
    </w:p>
    <w:p w14:paraId="6A74357C">
      <w:pPr>
        <w:pageBreakBefore w:val="0"/>
        <w:widowControl w:val="0"/>
        <w:numPr>
          <w:ilvl w:val="0"/>
          <w:numId w:val="2"/>
        </w:numPr>
        <w:kinsoku/>
        <w:wordWrap/>
        <w:overflowPunct/>
        <w:topLinePunct w:val="0"/>
        <w:autoSpaceDE/>
        <w:autoSpaceDN/>
        <w:bidi w:val="0"/>
        <w:spacing w:line="360" w:lineRule="auto"/>
        <w:ind w:left="0" w:leftChars="0" w:right="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对检测数据异常值进行分析，查明原因并及时向业主汇报，如属于系统或仪器故障，应在24小时内处理并上报业主；如为突发事件，应立即通知采购方，并配合采购方进行应急监测工作的开展；故障须尽快解决，最迟不得超过1个月，费用由</w:t>
      </w:r>
      <w:r>
        <w:rPr>
          <w:rFonts w:hint="eastAsia" w:ascii="宋体" w:hAnsi="宋体" w:eastAsia="宋体" w:cs="宋体"/>
          <w:color w:val="auto"/>
          <w:sz w:val="21"/>
          <w:szCs w:val="21"/>
          <w:highlight w:val="none"/>
          <w:lang w:eastAsia="zh-CN"/>
        </w:rPr>
        <w:t>中标单位</w:t>
      </w:r>
      <w:r>
        <w:rPr>
          <w:rFonts w:hint="eastAsia" w:ascii="宋体" w:hAnsi="宋体" w:eastAsia="宋体" w:cs="宋体"/>
          <w:color w:val="auto"/>
          <w:sz w:val="21"/>
          <w:szCs w:val="21"/>
          <w:highlight w:val="none"/>
        </w:rPr>
        <w:t>承担；如在规定时间内无法修复的设备，须提供相当性能、功能整机备件。</w:t>
      </w:r>
    </w:p>
    <w:p w14:paraId="245472A8">
      <w:pPr>
        <w:pageBreakBefore w:val="0"/>
        <w:widowControl w:val="0"/>
        <w:numPr>
          <w:ilvl w:val="0"/>
          <w:numId w:val="2"/>
        </w:numPr>
        <w:kinsoku/>
        <w:wordWrap/>
        <w:overflowPunct/>
        <w:topLinePunct w:val="0"/>
        <w:autoSpaceDE/>
        <w:autoSpaceDN/>
        <w:bidi w:val="0"/>
        <w:spacing w:line="360" w:lineRule="auto"/>
        <w:ind w:left="0" w:leftChars="0" w:right="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规指标故障严重不能及时解决时，应关闭故障仪器的数据采集通道并告知业主，使用备用机替代工作，做好相应维修与运维记录，并协商处理方案。故障设备运回，并负责维修仪器，故障设备应尽快完成维修，维修完毕及时替换备机，备机使用时间不能超过一个月，如需延期使用应书面报告业主同意。</w:t>
      </w:r>
    </w:p>
    <w:p w14:paraId="3D87358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2.10  各类仪器运维内容</w:t>
      </w:r>
    </w:p>
    <w:p w14:paraId="48C183A4">
      <w:pPr>
        <w:pageBreakBefore w:val="0"/>
        <w:widowControl w:val="0"/>
        <w:kinsoku/>
        <w:wordWrap/>
        <w:overflowPunct/>
        <w:topLinePunct w:val="0"/>
        <w:autoSpaceDE/>
        <w:autoSpaceDN/>
        <w:bidi w:val="0"/>
        <w:spacing w:line="360" w:lineRule="auto"/>
        <w:ind w:left="0" w:leftChars="0" w:right="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各类仪器的运维内容，严格按照《浙江省环境空气质量自动监测系统运行管理细则》和《国家环境空气监测网环境空气挥发性有机物连续自动监测质量控制技术规定(试行)》执行。</w:t>
      </w:r>
    </w:p>
    <w:p w14:paraId="4DBE2771">
      <w:pPr>
        <w:keepNext/>
        <w:keepLines/>
        <w:pageBreakBefore w:val="0"/>
        <w:widowControl w:val="0"/>
        <w:numPr>
          <w:ilvl w:val="0"/>
          <w:numId w:val="0"/>
        </w:numPr>
        <w:kinsoku/>
        <w:wordWrap/>
        <w:overflowPunct/>
        <w:topLinePunct w:val="0"/>
        <w:autoSpaceDE/>
        <w:autoSpaceDN/>
        <w:bidi w:val="0"/>
        <w:spacing w:line="360" w:lineRule="auto"/>
        <w:ind w:leftChars="200" w:right="0" w:rightChars="0"/>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zh-CN"/>
        </w:rPr>
        <w:t>（</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lang w:val="zh-CN"/>
        </w:rPr>
        <w:t>）</w:t>
      </w:r>
      <w:r>
        <w:rPr>
          <w:rFonts w:hint="eastAsia" w:ascii="宋体" w:hAnsi="宋体" w:eastAsia="宋体" w:cs="宋体"/>
          <w:b/>
          <w:bCs/>
          <w:color w:val="auto"/>
          <w:sz w:val="21"/>
          <w:szCs w:val="21"/>
          <w:highlight w:val="none"/>
          <w:lang w:val="zh-CN"/>
        </w:rPr>
        <w:t>SO</w:t>
      </w:r>
      <w:r>
        <w:rPr>
          <w:rFonts w:hint="eastAsia" w:ascii="宋体" w:hAnsi="宋体" w:eastAsia="宋体" w:cs="宋体"/>
          <w:b/>
          <w:bCs/>
          <w:color w:val="auto"/>
          <w:sz w:val="21"/>
          <w:szCs w:val="21"/>
          <w:highlight w:val="none"/>
          <w:vertAlign w:val="subscript"/>
          <w:lang w:val="zh-CN"/>
        </w:rPr>
        <w:t>2</w:t>
      </w:r>
      <w:r>
        <w:rPr>
          <w:rFonts w:hint="eastAsia" w:ascii="宋体" w:hAnsi="宋体" w:eastAsia="宋体" w:cs="宋体"/>
          <w:b/>
          <w:bCs/>
          <w:color w:val="auto"/>
          <w:sz w:val="21"/>
          <w:szCs w:val="21"/>
          <w:highlight w:val="none"/>
          <w:lang w:val="zh-CN"/>
        </w:rPr>
        <w:t>自动分析仪（TE43I）</w:t>
      </w:r>
    </w:p>
    <w:p w14:paraId="2F662FEB">
      <w:pPr>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rPr>
        <w:t>每日：查看仪器运行是否正常，是否存在报警</w:t>
      </w:r>
    </w:p>
    <w:p w14:paraId="51FCF72D">
      <w:pPr>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2）</w:t>
      </w:r>
      <w:r>
        <w:rPr>
          <w:rFonts w:hint="eastAsia" w:ascii="宋体" w:hAnsi="宋体" w:eastAsia="宋体" w:cs="宋体"/>
          <w:color w:val="auto"/>
          <w:sz w:val="21"/>
          <w:szCs w:val="21"/>
          <w:highlight w:val="none"/>
        </w:rPr>
        <w:t>每周：a.零点检查；b. 跨度检查</w:t>
      </w:r>
    </w:p>
    <w:p w14:paraId="601B9F14">
      <w:pPr>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3）</w:t>
      </w:r>
      <w:r>
        <w:rPr>
          <w:rFonts w:hint="eastAsia" w:ascii="宋体" w:hAnsi="宋体" w:eastAsia="宋体" w:cs="宋体"/>
          <w:color w:val="auto"/>
          <w:sz w:val="21"/>
          <w:szCs w:val="21"/>
          <w:highlight w:val="none"/>
        </w:rPr>
        <w:t>两周：更换滤膜（污染严重时应增加频次）</w:t>
      </w:r>
    </w:p>
    <w:p w14:paraId="109AB039">
      <w:pPr>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rPr>
        <w:t>每月：流量检查</w:t>
      </w:r>
    </w:p>
    <w:p w14:paraId="63104032">
      <w:pPr>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5）</w:t>
      </w:r>
      <w:r>
        <w:rPr>
          <w:rFonts w:hint="eastAsia" w:ascii="宋体" w:hAnsi="宋体" w:eastAsia="宋体" w:cs="宋体"/>
          <w:color w:val="auto"/>
          <w:sz w:val="21"/>
          <w:szCs w:val="21"/>
          <w:highlight w:val="none"/>
        </w:rPr>
        <w:t>季度：精密度检查</w:t>
      </w:r>
    </w:p>
    <w:p w14:paraId="5266980A">
      <w:pPr>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6）</w:t>
      </w:r>
      <w:r>
        <w:rPr>
          <w:rFonts w:hint="eastAsia" w:ascii="宋体" w:hAnsi="宋体" w:eastAsia="宋体" w:cs="宋体"/>
          <w:color w:val="auto"/>
          <w:sz w:val="21"/>
          <w:szCs w:val="21"/>
          <w:highlight w:val="none"/>
        </w:rPr>
        <w:t>半年：5个点以上的多点校准</w:t>
      </w:r>
    </w:p>
    <w:p w14:paraId="3AA22C7B">
      <w:pPr>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rPr>
        <w:t>每年：a. 更换标气、泵膜；b. 按需更换易耗件（紫外灯，紫外灯座，毛细管，泵等）。</w:t>
      </w:r>
    </w:p>
    <w:p w14:paraId="30F11695">
      <w:pPr>
        <w:keepNext/>
        <w:keepLines/>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 xml:space="preserve">(2) </w:t>
      </w:r>
      <w:r>
        <w:rPr>
          <w:rFonts w:hint="eastAsia" w:ascii="宋体" w:hAnsi="宋体" w:eastAsia="宋体" w:cs="宋体"/>
          <w:b/>
          <w:bCs/>
          <w:color w:val="auto"/>
          <w:sz w:val="21"/>
          <w:szCs w:val="21"/>
          <w:highlight w:val="none"/>
          <w:lang w:val="zh-CN"/>
        </w:rPr>
        <w:t>NO</w:t>
      </w:r>
      <w:r>
        <w:rPr>
          <w:rFonts w:hint="eastAsia" w:ascii="宋体" w:hAnsi="宋体" w:eastAsia="宋体" w:cs="宋体"/>
          <w:b/>
          <w:bCs/>
          <w:color w:val="auto"/>
          <w:sz w:val="21"/>
          <w:szCs w:val="21"/>
          <w:highlight w:val="none"/>
          <w:vertAlign w:val="subscript"/>
          <w:lang w:val="zh-CN"/>
        </w:rPr>
        <w:t>x</w:t>
      </w:r>
      <w:r>
        <w:rPr>
          <w:rFonts w:hint="eastAsia" w:ascii="宋体" w:hAnsi="宋体" w:eastAsia="宋体" w:cs="宋体"/>
          <w:b/>
          <w:bCs/>
          <w:color w:val="auto"/>
          <w:sz w:val="21"/>
          <w:szCs w:val="21"/>
          <w:highlight w:val="none"/>
          <w:lang w:val="zh-CN"/>
        </w:rPr>
        <w:t>分析仪（TE42I）</w:t>
      </w:r>
    </w:p>
    <w:p w14:paraId="5A7F347B">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1）每日：查看仪器运行是否正常，是否存在报警</w:t>
      </w:r>
    </w:p>
    <w:p w14:paraId="79169497">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2）每周：a.零点检查；b. 跨度检查</w:t>
      </w:r>
    </w:p>
    <w:p w14:paraId="48D0DB0F">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3）两周：更换滤膜（污染严重时应增加频次）</w:t>
      </w:r>
    </w:p>
    <w:p w14:paraId="3E86E19D">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4）每月：流量检查</w:t>
      </w:r>
    </w:p>
    <w:p w14:paraId="489B7793">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5）季度：精密度检查</w:t>
      </w:r>
    </w:p>
    <w:p w14:paraId="25258EBA">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6）半年： a.5个点以上的多点校准；b. 检查钼炉转化率</w:t>
      </w:r>
    </w:p>
    <w:p w14:paraId="15974BBA">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7）每年：a. 更换标气、泵膜；b. 按需更换易耗件（4119毛细管、4127毛细管、O形圈、臭氧发生器、泵、冷堆）。</w:t>
      </w:r>
    </w:p>
    <w:p w14:paraId="5A571014">
      <w:pPr>
        <w:keepNext/>
        <w:keepLines/>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 xml:space="preserve">(3) </w:t>
      </w:r>
      <w:r>
        <w:rPr>
          <w:rFonts w:hint="eastAsia" w:ascii="宋体" w:hAnsi="宋体" w:eastAsia="宋体" w:cs="宋体"/>
          <w:b/>
          <w:bCs/>
          <w:color w:val="auto"/>
          <w:sz w:val="21"/>
          <w:szCs w:val="21"/>
          <w:highlight w:val="none"/>
          <w:lang w:val="zh-CN"/>
        </w:rPr>
        <w:t>CO分析仪（TE48I）</w:t>
      </w:r>
    </w:p>
    <w:p w14:paraId="5512A78A">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1）每日：查看仪器运行是否正常，是否存在报警</w:t>
      </w:r>
    </w:p>
    <w:p w14:paraId="692867AD">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2）每周：a.零点检查；b. 跨度检查</w:t>
      </w:r>
    </w:p>
    <w:p w14:paraId="45DABD1E">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3）两周：更换滤膜（污染严重时应增加频次）</w:t>
      </w:r>
    </w:p>
    <w:p w14:paraId="27707E2A">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4）每月：流量检查</w:t>
      </w:r>
    </w:p>
    <w:p w14:paraId="49BBD6C1">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5）季度：精密度检查</w:t>
      </w:r>
    </w:p>
    <w:p w14:paraId="10585C2B">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6）半年：5个点以上的多点校准</w:t>
      </w:r>
    </w:p>
    <w:p w14:paraId="02ADC965">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7）每年：a. 更换标气、泵模、红外源；b. 按需更换易耗件（毛细管、泵）</w:t>
      </w:r>
    </w:p>
    <w:p w14:paraId="2A416E94">
      <w:pPr>
        <w:keepNext/>
        <w:keepLines/>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 xml:space="preserve">(4) </w:t>
      </w:r>
      <w:r>
        <w:rPr>
          <w:rFonts w:hint="eastAsia" w:ascii="宋体" w:hAnsi="宋体" w:eastAsia="宋体" w:cs="宋体"/>
          <w:b/>
          <w:bCs/>
          <w:color w:val="auto"/>
          <w:sz w:val="21"/>
          <w:szCs w:val="21"/>
          <w:highlight w:val="none"/>
          <w:lang w:val="zh-CN"/>
        </w:rPr>
        <w:t>动态校准仪（TE146I）</w:t>
      </w:r>
    </w:p>
    <w:p w14:paraId="11A53FBD">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1）每月：a. 零气MFC质量流量单点检查；b. 标气MFC质量流量单点检查</w:t>
      </w:r>
    </w:p>
    <w:p w14:paraId="6E5FA705">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2）半年：a. 零气MFC质量流量多点校准；b. 标气MFC质量流量多点校准</w:t>
      </w:r>
    </w:p>
    <w:p w14:paraId="1A8F9F31">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）每年：a. 对内置的臭氧发生器进行标准溯源；b.按需更换易耗件</w:t>
      </w:r>
    </w:p>
    <w:p w14:paraId="331117C3">
      <w:pPr>
        <w:keepNext/>
        <w:keepLines/>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 xml:space="preserve">(5) </w:t>
      </w:r>
      <w:r>
        <w:rPr>
          <w:rFonts w:hint="eastAsia" w:ascii="宋体" w:hAnsi="宋体" w:eastAsia="宋体" w:cs="宋体"/>
          <w:b/>
          <w:bCs/>
          <w:color w:val="auto"/>
          <w:sz w:val="21"/>
          <w:szCs w:val="21"/>
          <w:highlight w:val="none"/>
          <w:lang w:val="zh-CN"/>
        </w:rPr>
        <w:t>零气发生器(TE 111)</w:t>
      </w:r>
    </w:p>
    <w:p w14:paraId="00A7E240">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1）半年：a. 更换活性炭；b. 更换分子筛</w:t>
      </w:r>
    </w:p>
    <w:p w14:paraId="7909261E">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2）每年：按需更换易耗件</w:t>
      </w:r>
    </w:p>
    <w:p w14:paraId="449F5F4C">
      <w:pPr>
        <w:keepNext/>
        <w:keepLines/>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(6) </w:t>
      </w:r>
      <w:r>
        <w:rPr>
          <w:rFonts w:hint="eastAsia" w:ascii="宋体" w:hAnsi="宋体" w:eastAsia="宋体" w:cs="宋体"/>
          <w:b/>
          <w:bCs/>
          <w:color w:val="auto"/>
          <w:sz w:val="21"/>
          <w:szCs w:val="21"/>
          <w:highlight w:val="none"/>
          <w:lang w:val="zh-CN"/>
        </w:rPr>
        <w:t>颗粒物自动分析仪（SHARP</w:t>
      </w:r>
      <w:r>
        <w:rPr>
          <w:rFonts w:hint="eastAsia" w:ascii="宋体" w:hAnsi="宋体" w:eastAsia="宋体" w:cs="宋体"/>
          <w:b/>
          <w:bCs/>
          <w:color w:val="auto"/>
          <w:sz w:val="21"/>
          <w:szCs w:val="21"/>
          <w:highlight w:val="none"/>
          <w:lang w:val="en-US" w:eastAsia="zh-CN"/>
        </w:rPr>
        <w:t>5030/</w:t>
      </w:r>
      <w:r>
        <w:rPr>
          <w:rFonts w:hint="eastAsia" w:ascii="宋体" w:hAnsi="宋体" w:eastAsia="宋体" w:cs="宋体"/>
          <w:b/>
          <w:bCs/>
          <w:color w:val="auto"/>
          <w:sz w:val="21"/>
          <w:szCs w:val="21"/>
          <w:highlight w:val="none"/>
          <w:lang w:val="zh-CN"/>
        </w:rPr>
        <w:t>5030</w:t>
      </w:r>
      <w:r>
        <w:rPr>
          <w:rFonts w:hint="eastAsia" w:ascii="宋体" w:hAnsi="宋体" w:eastAsia="宋体" w:cs="宋体"/>
          <w:b/>
          <w:bCs/>
          <w:color w:val="auto"/>
          <w:sz w:val="21"/>
          <w:szCs w:val="21"/>
          <w:highlight w:val="none"/>
          <w:lang w:val="en-US" w:eastAsia="zh-CN"/>
        </w:rPr>
        <w:t>i</w:t>
      </w:r>
      <w:r>
        <w:rPr>
          <w:rFonts w:hint="eastAsia" w:ascii="宋体" w:hAnsi="宋体" w:eastAsia="宋体" w:cs="宋体"/>
          <w:b/>
          <w:bCs/>
          <w:color w:val="auto"/>
          <w:sz w:val="21"/>
          <w:szCs w:val="21"/>
          <w:highlight w:val="none"/>
          <w:lang w:val="zh-CN"/>
        </w:rPr>
        <w:t>）</w:t>
      </w:r>
    </w:p>
    <w:p w14:paraId="46D8C340">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1）每日：查看平台数据</w:t>
      </w:r>
    </w:p>
    <w:p w14:paraId="09E9D14C">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2）每周：a. 查看仪器运行和联网状况；b. 检查纸带是否有破损或边缘不光滑的情况；c．查看仪器上历史报警信息，与工控机历史数据进行对应，去除无效数据</w:t>
      </w:r>
    </w:p>
    <w:p w14:paraId="228E2E52">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3）两周：a. 精度检查；b. 清洗更换切割头</w:t>
      </w:r>
    </w:p>
    <w:p w14:paraId="7F9FC856">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4）每月：a. 流量检查及校准；b. 清洗喷嘴</w:t>
      </w:r>
    </w:p>
    <w:p w14:paraId="2EE266DF">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5）半年：a. 更换纸带；b. 浊度校准；c. 标准膜校准；d．清洗反应室</w:t>
      </w:r>
    </w:p>
    <w:p w14:paraId="16609F05">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6）每年：a.温度与压力传感器校准；b.质量传感器校准；c. 更换泵刮板；d．更换泵过滤器；e．更换O型圈</w:t>
      </w:r>
      <w:r>
        <w:rPr>
          <w:rFonts w:hint="eastAsia" w:ascii="宋体" w:hAnsi="宋体" w:eastAsia="宋体" w:cs="宋体"/>
          <w:color w:val="auto"/>
          <w:sz w:val="21"/>
          <w:szCs w:val="21"/>
          <w:highlight w:val="none"/>
          <w:lang w:eastAsia="zh-CN"/>
        </w:rPr>
        <w:t>。</w:t>
      </w:r>
    </w:p>
    <w:p w14:paraId="7A05E2EF">
      <w:pPr>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 xml:space="preserve">(7) </w:t>
      </w:r>
      <w:r>
        <w:rPr>
          <w:rFonts w:hint="eastAsia" w:ascii="宋体" w:hAnsi="宋体" w:eastAsia="宋体" w:cs="宋体"/>
          <w:b/>
          <w:bCs/>
          <w:color w:val="auto"/>
          <w:sz w:val="21"/>
          <w:szCs w:val="21"/>
          <w:highlight w:val="none"/>
          <w:lang w:val="zh-CN" w:eastAsia="zh-CN"/>
        </w:rPr>
        <w:t>气象五参数（WS500-UMB）</w:t>
      </w:r>
    </w:p>
    <w:p w14:paraId="71495239">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1）每周：记录一次仪器各显示状态参数</w:t>
      </w:r>
    </w:p>
    <w:p w14:paraId="0D5FA1B4">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2）季度：a. 做一次线性检查b. 对仪器内部相关部件外部灰尘吹扫</w:t>
      </w:r>
    </w:p>
    <w:p w14:paraId="186C0B93">
      <w:pPr>
        <w:keepNext/>
        <w:keepLines/>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3）每年：对仪器压力传感器进行一次检查和校准</w:t>
      </w:r>
    </w:p>
    <w:p w14:paraId="1247D0AB">
      <w:pPr>
        <w:keepNext/>
        <w:keepLines/>
        <w:pageBreakBefore w:val="0"/>
        <w:widowControl w:val="0"/>
        <w:numPr>
          <w:ilvl w:val="0"/>
          <w:numId w:val="0"/>
        </w:numPr>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 xml:space="preserve">(8) </w:t>
      </w:r>
      <w:r>
        <w:rPr>
          <w:rFonts w:hint="eastAsia" w:ascii="宋体" w:hAnsi="宋体" w:eastAsia="宋体" w:cs="宋体"/>
          <w:b/>
          <w:bCs/>
          <w:color w:val="auto"/>
          <w:sz w:val="21"/>
          <w:szCs w:val="21"/>
          <w:highlight w:val="none"/>
          <w:lang w:val="zh-CN" w:eastAsia="zh-CN"/>
        </w:rPr>
        <w:t>系统集成</w:t>
      </w:r>
    </w:p>
    <w:p w14:paraId="5793BA65">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1）每周：a.空调现场清理；b.现场查看各部分运行是否正常</w:t>
      </w:r>
    </w:p>
    <w:p w14:paraId="1CC17E44">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2）每季度：工控机服务器数据备份</w:t>
      </w:r>
    </w:p>
    <w:p w14:paraId="571A9546">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半年：a.监测主机是否正常；b.网络端口是否正常；c.连接传感器端口是否正常；d.传感器是否正常；e.堡垒机是否正常；f.指示灯是否正常；g.软件运行数据检查；h.软件平台运行测试；i.空气站点的软件平台的控制联调；j.UPS蓄电池检测</w:t>
      </w:r>
    </w:p>
    <w:p w14:paraId="76C3302C">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4）每年：a.空调加氟氯昂；b.路由器/交换机升级；c.数据采集软件升级；d.电子围栏的摄像头、硬盘维护；e.消防设施、灭火器检查；f.站房防雷检测</w:t>
      </w:r>
    </w:p>
    <w:p w14:paraId="31B72438">
      <w:pPr>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各系统要求</w:t>
      </w:r>
    </w:p>
    <w:p w14:paraId="3F2CCF60">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1）采样系统：采样系统的运行维护对象主要是采样风机、采样总管、加热装置等，采样总管及采样风机每季度至少清洗一次。</w:t>
      </w:r>
    </w:p>
    <w:p w14:paraId="0B830261">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检测系统：利用每周定期巡检工作，对系统中各监测设备进行必要维护，如常规耗材备件更换、仪器校正等工作，保证仪器正常运行，分析数据准确。在投标文件中需对各监测设备的维护清单内容作出明确响应。</w:t>
      </w:r>
    </w:p>
    <w:p w14:paraId="4BA6CF6E">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3）通讯及控制系统：通讯及控制系统维护主要是对仪器控制系统和通讯系统进行检查维护，以免造成通讯中断，影响通信质量；数据库应能安全、可靠地保存数据。</w:t>
      </w:r>
    </w:p>
    <w:p w14:paraId="76A66C38">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4）辅助系统：对系统的其他单元进行必要的检查和维护，如：站房温湿度、防雷设备、消防设备、系统设备和仪器的供电情况、系统防火防盗设施等。</w:t>
      </w:r>
    </w:p>
    <w:p w14:paraId="56803CBD">
      <w:pPr>
        <w:keepNext/>
        <w:keepLines/>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lang w:val="zh-CN"/>
        </w:rPr>
        <w:t>5）站房系统：保持站房内部环境清洁，布置整齐，各仪器设备干净清洁，设备标示清楚；保持站房外20米以内的环境清洁；指派专人维护，设备固定牢固，门窗关闭良好，人走关门，非工作人员未经许可不得入内。</w:t>
      </w:r>
    </w:p>
    <w:p w14:paraId="2031F2D9">
      <w:pPr>
        <w:keepNext/>
        <w:keepLines/>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 xml:space="preserve">(13) </w:t>
      </w:r>
      <w:r>
        <w:rPr>
          <w:rFonts w:hint="eastAsia" w:ascii="宋体" w:hAnsi="宋体" w:eastAsia="宋体" w:cs="宋体"/>
          <w:b/>
          <w:bCs/>
          <w:color w:val="auto"/>
          <w:sz w:val="21"/>
          <w:szCs w:val="21"/>
          <w:highlight w:val="none"/>
          <w:lang w:val="zh-CN"/>
        </w:rPr>
        <w:t>站房修缮</w:t>
      </w:r>
    </w:p>
    <w:p w14:paraId="5E2DE828">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1）出现漏水或者其他安全隐患时应及时对站房进行修缮。</w:t>
      </w:r>
    </w:p>
    <w:p w14:paraId="6C3E9BEE">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2）标识标牌老旧破损或者相关内容发生变化时应根据相关标准要求对标识标牌进行更新。</w:t>
      </w:r>
    </w:p>
    <w:p w14:paraId="79AB7B4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3、项目运维人员组成及实施要求</w:t>
      </w:r>
    </w:p>
    <w:p w14:paraId="2CE4D868">
      <w:pPr>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.1 运维人员</w:t>
      </w:r>
    </w:p>
    <w:p w14:paraId="19FB7E71">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应为实施本项目配备</w:t>
      </w:r>
      <w:r>
        <w:rPr>
          <w:rFonts w:hint="eastAsia" w:ascii="宋体" w:hAnsi="宋体" w:eastAsia="宋体" w:cs="宋体"/>
          <w:color w:val="auto"/>
          <w:sz w:val="21"/>
          <w:szCs w:val="21"/>
          <w:highlight w:val="none"/>
          <w:lang w:val="en-US" w:eastAsia="zh-CN"/>
        </w:rPr>
        <w:t>1名项目负责人、</w:t>
      </w:r>
      <w:r>
        <w:rPr>
          <w:rFonts w:hint="eastAsia" w:ascii="宋体" w:hAnsi="宋体" w:eastAsia="宋体" w:cs="宋体"/>
          <w:color w:val="auto"/>
          <w:sz w:val="21"/>
          <w:szCs w:val="21"/>
          <w:highlight w:val="none"/>
          <w:lang w:val="zh-CN" w:eastAsia="zh-CN"/>
        </w:rPr>
        <w:t>不少于</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名经验丰富的空气自动监测站运维人员以及</w:t>
      </w:r>
      <w:r>
        <w:rPr>
          <w:rFonts w:hint="eastAsia" w:ascii="宋体" w:hAnsi="宋体" w:eastAsia="宋体" w:cs="宋体"/>
          <w:color w:val="auto"/>
          <w:sz w:val="21"/>
          <w:szCs w:val="21"/>
          <w:highlight w:val="none"/>
          <w:lang w:val="en-US" w:eastAsia="zh-CN"/>
        </w:rPr>
        <w:t>1名数据审核人员</w:t>
      </w:r>
      <w:r>
        <w:rPr>
          <w:rFonts w:hint="eastAsia" w:ascii="宋体" w:hAnsi="宋体" w:eastAsia="宋体" w:cs="宋体"/>
          <w:color w:val="auto"/>
          <w:sz w:val="21"/>
          <w:szCs w:val="21"/>
          <w:highlight w:val="none"/>
          <w:lang w:val="zh-CN" w:eastAsia="zh-CN"/>
        </w:rPr>
        <w:t>。运维人员且须拥有国家或省级环境监测部门颁发的大气自动监测运维上岗证</w:t>
      </w:r>
      <w:r>
        <w:rPr>
          <w:rFonts w:hint="eastAsia" w:ascii="宋体" w:hAnsi="宋体" w:cs="宋体"/>
          <w:color w:val="auto"/>
          <w:sz w:val="21"/>
          <w:szCs w:val="21"/>
          <w:highlight w:val="none"/>
          <w:lang w:val="zh-CN" w:eastAsia="zh-CN"/>
        </w:rPr>
        <w:t>（含空气站常规六因子等监测仪器上岗证）</w:t>
      </w:r>
      <w:r>
        <w:rPr>
          <w:rFonts w:hint="eastAsia" w:ascii="宋体" w:hAnsi="宋体" w:eastAsia="宋体" w:cs="宋体"/>
          <w:color w:val="auto"/>
          <w:sz w:val="21"/>
          <w:szCs w:val="21"/>
          <w:highlight w:val="none"/>
          <w:lang w:val="zh-CN" w:eastAsia="zh-CN"/>
        </w:rPr>
        <w:t>。运维人员能正确、熟练地掌握有关仪器设备的原理，具有按相应技术规范操作、使用、调试、维修和更换等技能。</w:t>
      </w:r>
      <w:r>
        <w:rPr>
          <w:rFonts w:hint="eastAsia" w:ascii="宋体" w:hAnsi="宋体" w:eastAsia="宋体" w:cs="宋体"/>
          <w:color w:val="auto"/>
          <w:sz w:val="21"/>
          <w:szCs w:val="21"/>
          <w:highlight w:val="none"/>
          <w:lang w:val="en-US" w:eastAsia="zh-CN"/>
        </w:rPr>
        <w:t>数据审核人员，</w:t>
      </w:r>
      <w:r>
        <w:rPr>
          <w:rFonts w:hint="eastAsia" w:ascii="宋体" w:hAnsi="宋体" w:eastAsia="宋体" w:cs="宋体"/>
          <w:color w:val="auto"/>
          <w:sz w:val="21"/>
          <w:szCs w:val="21"/>
          <w:highlight w:val="none"/>
          <w:lang w:val="zh-CN" w:eastAsia="zh-CN"/>
        </w:rPr>
        <w:t>负责每日监测数据的初审，审核人员具备重积分、源解析、环境空气数据专报分析经验。</w:t>
      </w:r>
    </w:p>
    <w:p w14:paraId="7DB271BA">
      <w:pPr>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.2 运维车辆</w:t>
      </w:r>
    </w:p>
    <w:p w14:paraId="075E4B92">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应为实施本项目至少专门配置</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辆专用运维车，紧急情况时额外调用其他车辆。</w:t>
      </w:r>
    </w:p>
    <w:p w14:paraId="78E702D4">
      <w:pPr>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3.3 装备要求：</w:t>
      </w:r>
    </w:p>
    <w:p w14:paraId="26C94B59">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应承诺在中标后配备专业技术人员，配备专用工具，包括便携式电脑、万用表、远程数据查询系统、各种硬件接口线、接口调试软件及常用零部件等自动站维护所需基本工具和检测仪器。</w:t>
      </w:r>
    </w:p>
    <w:p w14:paraId="43AD5E78">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为保证空气自动站的连续运行，中标单位应建立专用的相关仪器所需的常规耗材备件，负责发送和管理空气自动站的备品备件，并指定专人进行管理。</w:t>
      </w:r>
    </w:p>
    <w:p w14:paraId="304503F2">
      <w:pPr>
        <w:keepNext/>
        <w:keepLines/>
        <w:pageBreakBefore w:val="0"/>
        <w:widowControl w:val="0"/>
        <w:numPr>
          <w:ilvl w:val="0"/>
          <w:numId w:val="0"/>
        </w:numPr>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3.4 其他要求</w:t>
      </w:r>
    </w:p>
    <w:p w14:paraId="09B97141">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）数据审核：每日需按要求完成平台数据的初审工作，常规因子需在每日</w:t>
      </w:r>
      <w:r>
        <w:rPr>
          <w:rFonts w:hint="eastAsia" w:ascii="宋体" w:hAnsi="宋体" w:eastAsia="宋体" w:cs="宋体"/>
          <w:color w:val="auto"/>
          <w:sz w:val="21"/>
          <w:szCs w:val="21"/>
          <w:highlight w:val="none"/>
          <w:lang w:val="en-US" w:eastAsia="zh-CN"/>
        </w:rPr>
        <w:t>9：00之前完成上一天的数据审核。 报告提供：每月8号前提供上一个月的监测数据分析月报，</w:t>
      </w:r>
      <w:r>
        <w:rPr>
          <w:rFonts w:hint="eastAsia" w:ascii="宋体" w:hAnsi="宋体" w:eastAsia="宋体" w:cs="宋体"/>
          <w:color w:val="auto"/>
          <w:sz w:val="21"/>
          <w:szCs w:val="21"/>
          <w:highlight w:val="none"/>
          <w:lang w:val="zh-CN" w:eastAsia="zh-CN"/>
        </w:rPr>
        <w:t>在运维周期结束后一个月内出具定期运维报告（年度报告）及监测数据分析报告，运维报告需含运维工作总结，巡检维护明细，问题处理明细，耗材和配件更换明细，校准明细等内容。同时还需根据业主需求不定期提供分析报告，书面报告作为运行维护考核依据之一。</w:t>
      </w:r>
    </w:p>
    <w:p w14:paraId="0F2D7B29">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）遇特殊情况可能引起一天及以上数据缺失的，如停电、仪器故障、更换重要部件等，或其他特殊情况，应及时向采购人说明并报送纸质文件备案。</w:t>
      </w:r>
    </w:p>
    <w:p w14:paraId="30F7C526">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）项目运行维护过程中应严格做好安全防范措施，如项目运维技术人员在实施中造成人员伤亡事故或实施现场防范措施设置不明造成人员伤害事故，一切责任均由中标</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lang w:val="zh-CN" w:eastAsia="zh-CN"/>
        </w:rPr>
        <w:t>负责。</w:t>
      </w:r>
    </w:p>
    <w:p w14:paraId="75ABE10E">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）在规定时间内不能解决故障或者故障严重的，业主有权寻求第三方协助，由此产生费用由中标单位承担。</w:t>
      </w:r>
    </w:p>
    <w:p w14:paraId="538ACCE1">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）投标人应</w:t>
      </w:r>
      <w:r>
        <w:rPr>
          <w:rFonts w:hint="eastAsia" w:ascii="宋体" w:hAnsi="宋体" w:eastAsia="宋体" w:cs="宋体"/>
          <w:color w:val="auto"/>
          <w:sz w:val="21"/>
          <w:szCs w:val="21"/>
          <w:highlight w:val="none"/>
          <w:lang w:val="en-US" w:eastAsia="zh-CN"/>
        </w:rPr>
        <w:t>列明每个自动监测站及主要仪器运行、管理期间的费用明细及年度运维费用</w:t>
      </w:r>
      <w:r>
        <w:rPr>
          <w:rFonts w:hint="eastAsia" w:ascii="宋体" w:hAnsi="宋体" w:eastAsia="宋体" w:cs="宋体"/>
          <w:color w:val="auto"/>
          <w:sz w:val="21"/>
          <w:szCs w:val="21"/>
          <w:highlight w:val="none"/>
          <w:lang w:val="zh-CN" w:eastAsia="zh-CN"/>
        </w:rPr>
        <w:t>。</w:t>
      </w:r>
    </w:p>
    <w:p w14:paraId="51FA61EF">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）在运维及管理期间，在合同约束范围内中标人拥有管理自主权；不能以任何形式外包合同规定的运行维护任务。</w:t>
      </w:r>
    </w:p>
    <w:p w14:paraId="4361735D">
      <w:pPr>
        <w:keepNext/>
        <w:keepLines/>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b/>
          <w:bCs/>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委托运行维护及管理的全部资产（包括全部产权和建筑物、设备、软件、配套设施、自动站和配套监控系统产生的各类数据信息及相关文档资料），中标人不得以任何方式对各类财产进行出售、抵押或转移；在委托运营及管理期间，中标人有责任保证上述全部资产的完整、安全并处于良好状态。</w:t>
      </w:r>
    </w:p>
    <w:p w14:paraId="1BFBCFE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zh-CN" w:eastAsia="zh-CN"/>
        </w:rPr>
      </w:pPr>
      <w:r>
        <w:rPr>
          <w:rFonts w:hint="eastAsia" w:ascii="宋体" w:hAnsi="宋体" w:eastAsia="宋体" w:cs="宋体"/>
          <w:b/>
          <w:color w:val="auto"/>
          <w:sz w:val="21"/>
          <w:szCs w:val="21"/>
          <w:highlight w:val="none"/>
          <w:lang w:val="en-US" w:eastAsia="zh-CN"/>
        </w:rPr>
        <w:t>4、</w:t>
      </w:r>
      <w:r>
        <w:rPr>
          <w:rFonts w:hint="eastAsia" w:ascii="宋体" w:hAnsi="宋体" w:cs="宋体"/>
          <w:b/>
          <w:color w:val="auto"/>
          <w:sz w:val="21"/>
          <w:szCs w:val="21"/>
          <w:highlight w:val="none"/>
          <w:lang w:val="en-US" w:eastAsia="zh-CN"/>
        </w:rPr>
        <w:t>运维</w:t>
      </w:r>
      <w:r>
        <w:rPr>
          <w:rFonts w:hint="eastAsia" w:ascii="宋体" w:hAnsi="宋体" w:eastAsia="宋体" w:cs="宋体"/>
          <w:b/>
          <w:color w:val="auto"/>
          <w:sz w:val="21"/>
          <w:szCs w:val="21"/>
          <w:highlight w:val="none"/>
          <w:lang w:val="en-US" w:eastAsia="zh-CN"/>
        </w:rPr>
        <w:t>考核</w:t>
      </w:r>
    </w:p>
    <w:p w14:paraId="00C4A154">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按照《</w:t>
      </w:r>
      <w:r>
        <w:rPr>
          <w:rFonts w:hint="eastAsia" w:hAnsi="宋体" w:cs="宋体"/>
          <w:color w:val="auto"/>
          <w:kern w:val="0"/>
          <w:sz w:val="21"/>
          <w:szCs w:val="21"/>
          <w:highlight w:val="none"/>
          <w:lang w:val="en-US" w:eastAsia="zh-CN" w:bidi="ar"/>
        </w:rPr>
        <w:t>浙江省环境空气质量自动监测系统运行管理实施细则（试行）</w:t>
      </w:r>
      <w:r>
        <w:rPr>
          <w:rFonts w:hint="eastAsia" w:ascii="宋体" w:hAnsi="宋体" w:eastAsia="宋体" w:cs="宋体"/>
          <w:color w:val="auto"/>
          <w:kern w:val="0"/>
          <w:sz w:val="21"/>
          <w:szCs w:val="21"/>
          <w:highlight w:val="none"/>
          <w:lang w:val="en-US" w:eastAsia="zh-CN" w:bidi="ar"/>
        </w:rPr>
        <w:t>》中运维考核表的内容每季度对每站点进行一次考核，根据站点的考核情况支付运维费用。</w:t>
      </w:r>
    </w:p>
    <w:p w14:paraId="0568202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（1）考核结果80分（含）-100分，支付该站点当季度全部运维费；</w:t>
      </w:r>
    </w:p>
    <w:p w14:paraId="572792AB">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75分（含）-80（不含）分，扣除该站点当季度运维费30%；</w:t>
      </w:r>
    </w:p>
    <w:p w14:paraId="59D45F7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60分（含）-75（不含）分以下，扣除该站点当季度运维费50%；</w:t>
      </w:r>
    </w:p>
    <w:p w14:paraId="79CD5EC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60（不含）分以下，扣除该站点当季度全部运维费。</w:t>
      </w:r>
    </w:p>
    <w:p w14:paraId="64B09BC4">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（2）运维期间发现有人为干扰干预、篡改、伪造监测数据行为的，终止合同。</w:t>
      </w:r>
    </w:p>
    <w:p w14:paraId="56FFCC38">
      <w:pPr>
        <w:pStyle w:val="10"/>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浙江省环境自动监测系统运行管理考核综合评议表</w:t>
      </w:r>
    </w:p>
    <w:p w14:paraId="6CBBA0F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考核站位：                               时间：</w:t>
      </w:r>
    </w:p>
    <w:tbl>
      <w:tblPr>
        <w:tblStyle w:val="21"/>
        <w:tblW w:w="912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75"/>
        <w:gridCol w:w="2505"/>
        <w:gridCol w:w="743"/>
        <w:gridCol w:w="808"/>
        <w:gridCol w:w="3394"/>
      </w:tblGrid>
      <w:tr w14:paraId="1C6DAE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1675" w:type="dxa"/>
            <w:tcBorders>
              <w:top w:val="single" w:color="auto" w:sz="6" w:space="0"/>
              <w:left w:val="single" w:color="auto" w:sz="6" w:space="0"/>
              <w:bottom w:val="single" w:color="auto" w:sz="6" w:space="0"/>
              <w:right w:val="single" w:color="auto" w:sz="6" w:space="0"/>
            </w:tcBorders>
            <w:vAlign w:val="center"/>
          </w:tcPr>
          <w:p w14:paraId="5ACBBBEB">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考核内容</w:t>
            </w:r>
          </w:p>
        </w:tc>
        <w:tc>
          <w:tcPr>
            <w:tcW w:w="2505" w:type="dxa"/>
            <w:tcBorders>
              <w:top w:val="single" w:color="auto" w:sz="6" w:space="0"/>
              <w:left w:val="single" w:color="auto" w:sz="6" w:space="0"/>
              <w:bottom w:val="single" w:color="auto" w:sz="6" w:space="0"/>
              <w:right w:val="single" w:color="auto" w:sz="6" w:space="0"/>
            </w:tcBorders>
            <w:vAlign w:val="center"/>
          </w:tcPr>
          <w:p w14:paraId="5B26F5B5">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评分标准</w:t>
            </w:r>
          </w:p>
        </w:tc>
        <w:tc>
          <w:tcPr>
            <w:tcW w:w="743" w:type="dxa"/>
            <w:tcBorders>
              <w:top w:val="single" w:color="auto" w:sz="6" w:space="0"/>
              <w:left w:val="single" w:color="auto" w:sz="6" w:space="0"/>
              <w:bottom w:val="single" w:color="auto" w:sz="6" w:space="0"/>
              <w:right w:val="single" w:color="auto" w:sz="6" w:space="0"/>
            </w:tcBorders>
            <w:vAlign w:val="center"/>
          </w:tcPr>
          <w:p w14:paraId="69E5E003">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分值</w:t>
            </w:r>
          </w:p>
        </w:tc>
        <w:tc>
          <w:tcPr>
            <w:tcW w:w="808" w:type="dxa"/>
            <w:tcBorders>
              <w:top w:val="single" w:color="auto" w:sz="6" w:space="0"/>
              <w:left w:val="single" w:color="auto" w:sz="6" w:space="0"/>
              <w:bottom w:val="single" w:color="auto" w:sz="6" w:space="0"/>
              <w:right w:val="single" w:color="auto" w:sz="6" w:space="0"/>
            </w:tcBorders>
            <w:vAlign w:val="center"/>
          </w:tcPr>
          <w:p w14:paraId="0046D3CA">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得分</w:t>
            </w:r>
          </w:p>
        </w:tc>
        <w:tc>
          <w:tcPr>
            <w:tcW w:w="3394" w:type="dxa"/>
            <w:tcBorders>
              <w:top w:val="single" w:color="auto" w:sz="6" w:space="0"/>
              <w:left w:val="single" w:color="auto" w:sz="6" w:space="0"/>
              <w:bottom w:val="single" w:color="auto" w:sz="6" w:space="0"/>
              <w:right w:val="single" w:color="auto" w:sz="6" w:space="0"/>
            </w:tcBorders>
            <w:vAlign w:val="center"/>
          </w:tcPr>
          <w:p w14:paraId="6CDAA41E">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详细说明</w:t>
            </w:r>
          </w:p>
        </w:tc>
      </w:tr>
      <w:tr w14:paraId="2A92A8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1CCF537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站房选址</w:t>
            </w:r>
          </w:p>
        </w:tc>
        <w:tc>
          <w:tcPr>
            <w:tcW w:w="2505" w:type="dxa"/>
            <w:tcBorders>
              <w:top w:val="single" w:color="auto" w:sz="6" w:space="0"/>
              <w:left w:val="single" w:color="auto" w:sz="6" w:space="0"/>
              <w:bottom w:val="single" w:color="auto" w:sz="6" w:space="0"/>
              <w:right w:val="single" w:color="auto" w:sz="6" w:space="0"/>
            </w:tcBorders>
            <w:vAlign w:val="center"/>
          </w:tcPr>
          <w:p w14:paraId="4FFF9EE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点位是否与国家和省厅批复的经纬度相同，有无变动</w:t>
            </w:r>
          </w:p>
        </w:tc>
        <w:tc>
          <w:tcPr>
            <w:tcW w:w="743" w:type="dxa"/>
            <w:tcBorders>
              <w:top w:val="single" w:color="auto" w:sz="6" w:space="0"/>
              <w:left w:val="single" w:color="auto" w:sz="6" w:space="0"/>
              <w:bottom w:val="single" w:color="auto" w:sz="6" w:space="0"/>
              <w:right w:val="single" w:color="auto" w:sz="6" w:space="0"/>
            </w:tcBorders>
            <w:vAlign w:val="center"/>
          </w:tcPr>
          <w:p w14:paraId="407155A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08" w:type="dxa"/>
            <w:tcBorders>
              <w:top w:val="single" w:color="auto" w:sz="6" w:space="0"/>
              <w:left w:val="single" w:color="auto" w:sz="6" w:space="0"/>
              <w:bottom w:val="single" w:color="auto" w:sz="6" w:space="0"/>
              <w:right w:val="single" w:color="auto" w:sz="6" w:space="0"/>
            </w:tcBorders>
            <w:vAlign w:val="center"/>
          </w:tcPr>
          <w:p w14:paraId="77B8426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7D4D9FB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实测与批复经纬度误差在100米内</w:t>
            </w:r>
          </w:p>
        </w:tc>
      </w:tr>
      <w:tr w14:paraId="0ABF4E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3B7E353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运行环境</w:t>
            </w:r>
          </w:p>
        </w:tc>
        <w:tc>
          <w:tcPr>
            <w:tcW w:w="2505" w:type="dxa"/>
            <w:tcBorders>
              <w:top w:val="single" w:color="auto" w:sz="6" w:space="0"/>
              <w:left w:val="single" w:color="auto" w:sz="6" w:space="0"/>
              <w:bottom w:val="single" w:color="auto" w:sz="6" w:space="0"/>
              <w:right w:val="single" w:color="auto" w:sz="6" w:space="0"/>
            </w:tcBorders>
            <w:vAlign w:val="center"/>
          </w:tcPr>
          <w:p w14:paraId="4027CA6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室内整洁、干燥（RH85%以下），空调运行正常（15~35℃），保障仪器适合工作环境。</w:t>
            </w:r>
          </w:p>
        </w:tc>
        <w:tc>
          <w:tcPr>
            <w:tcW w:w="743" w:type="dxa"/>
            <w:tcBorders>
              <w:top w:val="single" w:color="auto" w:sz="6" w:space="0"/>
              <w:left w:val="single" w:color="auto" w:sz="6" w:space="0"/>
              <w:bottom w:val="single" w:color="auto" w:sz="6" w:space="0"/>
              <w:right w:val="single" w:color="auto" w:sz="6" w:space="0"/>
            </w:tcBorders>
            <w:vAlign w:val="center"/>
          </w:tcPr>
          <w:p w14:paraId="4D62D63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08" w:type="dxa"/>
            <w:tcBorders>
              <w:top w:val="single" w:color="auto" w:sz="6" w:space="0"/>
              <w:left w:val="single" w:color="auto" w:sz="6" w:space="0"/>
              <w:bottom w:val="single" w:color="auto" w:sz="6" w:space="0"/>
              <w:right w:val="single" w:color="auto" w:sz="6" w:space="0"/>
            </w:tcBorders>
            <w:vAlign w:val="center"/>
          </w:tcPr>
          <w:p w14:paraId="2659B46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79F06F9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室内整洁，干燥和温度分别打分</w:t>
            </w:r>
          </w:p>
        </w:tc>
      </w:tr>
      <w:tr w14:paraId="5CD967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42AE469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安全保障</w:t>
            </w:r>
          </w:p>
        </w:tc>
        <w:tc>
          <w:tcPr>
            <w:tcW w:w="2505" w:type="dxa"/>
            <w:tcBorders>
              <w:top w:val="single" w:color="auto" w:sz="6" w:space="0"/>
              <w:left w:val="single" w:color="auto" w:sz="6" w:space="0"/>
              <w:bottom w:val="single" w:color="auto" w:sz="6" w:space="0"/>
              <w:right w:val="single" w:color="auto" w:sz="6" w:space="0"/>
            </w:tcBorders>
            <w:vAlign w:val="center"/>
          </w:tcPr>
          <w:p w14:paraId="42CFEFD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防护措施到位，防水、防雷和供电满足规范要求；保障相关人员和资产安全。</w:t>
            </w:r>
          </w:p>
        </w:tc>
        <w:tc>
          <w:tcPr>
            <w:tcW w:w="743" w:type="dxa"/>
            <w:tcBorders>
              <w:top w:val="single" w:color="auto" w:sz="6" w:space="0"/>
              <w:left w:val="single" w:color="auto" w:sz="6" w:space="0"/>
              <w:bottom w:val="single" w:color="auto" w:sz="6" w:space="0"/>
              <w:right w:val="single" w:color="auto" w:sz="6" w:space="0"/>
            </w:tcBorders>
            <w:vAlign w:val="center"/>
          </w:tcPr>
          <w:p w14:paraId="5D4BC46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08" w:type="dxa"/>
            <w:tcBorders>
              <w:top w:val="single" w:color="auto" w:sz="6" w:space="0"/>
              <w:left w:val="single" w:color="auto" w:sz="6" w:space="0"/>
              <w:bottom w:val="single" w:color="auto" w:sz="6" w:space="0"/>
              <w:right w:val="single" w:color="auto" w:sz="6" w:space="0"/>
            </w:tcBorders>
            <w:vAlign w:val="center"/>
          </w:tcPr>
          <w:p w14:paraId="15FD9FD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6B9BD13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防水、防雷和UPS供电保障分别打分</w:t>
            </w:r>
          </w:p>
        </w:tc>
      </w:tr>
      <w:tr w14:paraId="72CB38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3A6716B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监测项目</w:t>
            </w:r>
          </w:p>
        </w:tc>
        <w:tc>
          <w:tcPr>
            <w:tcW w:w="2505" w:type="dxa"/>
            <w:tcBorders>
              <w:top w:val="single" w:color="auto" w:sz="6" w:space="0"/>
              <w:left w:val="single" w:color="auto" w:sz="6" w:space="0"/>
              <w:bottom w:val="single" w:color="auto" w:sz="6" w:space="0"/>
              <w:right w:val="single" w:color="auto" w:sz="6" w:space="0"/>
            </w:tcBorders>
            <w:vAlign w:val="center"/>
          </w:tcPr>
          <w:p w14:paraId="0230A2F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常规六项监测是否齐全，仪器分析方法是否符合规范要求，PM2.5监测仪是否有补偿系统（振荡天平FDMS）或动态加热系统（β射线法DHS）</w:t>
            </w:r>
          </w:p>
        </w:tc>
        <w:tc>
          <w:tcPr>
            <w:tcW w:w="743" w:type="dxa"/>
            <w:tcBorders>
              <w:top w:val="single" w:color="auto" w:sz="6" w:space="0"/>
              <w:left w:val="single" w:color="auto" w:sz="6" w:space="0"/>
              <w:bottom w:val="single" w:color="auto" w:sz="6" w:space="0"/>
              <w:right w:val="single" w:color="auto" w:sz="6" w:space="0"/>
            </w:tcBorders>
            <w:vAlign w:val="center"/>
          </w:tcPr>
          <w:p w14:paraId="2BEE6C8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31DC485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456220A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缺少一项或任一分析方法不符合规范扣分；PM2.5无补偿系统扣分</w:t>
            </w:r>
          </w:p>
        </w:tc>
      </w:tr>
      <w:tr w14:paraId="2EF044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4046A45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采样系统的规范性</w:t>
            </w:r>
          </w:p>
        </w:tc>
        <w:tc>
          <w:tcPr>
            <w:tcW w:w="2505" w:type="dxa"/>
            <w:tcBorders>
              <w:top w:val="single" w:color="auto" w:sz="6" w:space="0"/>
              <w:left w:val="single" w:color="auto" w:sz="6" w:space="0"/>
              <w:bottom w:val="single" w:color="auto" w:sz="6" w:space="0"/>
              <w:right w:val="single" w:color="auto" w:sz="6" w:space="0"/>
            </w:tcBorders>
            <w:vAlign w:val="center"/>
          </w:tcPr>
          <w:p w14:paraId="5A639FE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采样口设置是否符合规范：3-25m高，270°水平面捕集空间（靠近建筑物则为180°），50m范围内无明显污染源；</w:t>
            </w:r>
          </w:p>
          <w:p w14:paraId="7EE531E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采样总管和支管的设置是否符合规范</w:t>
            </w:r>
          </w:p>
        </w:tc>
        <w:tc>
          <w:tcPr>
            <w:tcW w:w="743" w:type="dxa"/>
            <w:tcBorders>
              <w:top w:val="single" w:color="auto" w:sz="6" w:space="0"/>
              <w:left w:val="single" w:color="auto" w:sz="6" w:space="0"/>
              <w:bottom w:val="single" w:color="auto" w:sz="6" w:space="0"/>
              <w:right w:val="single" w:color="auto" w:sz="6" w:space="0"/>
            </w:tcBorders>
            <w:vAlign w:val="center"/>
          </w:tcPr>
          <w:p w14:paraId="2966D39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3E64B2B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4DD3A3E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采样高度过高过低扣分；采样水平空间情况不符合扣分</w:t>
            </w:r>
          </w:p>
          <w:p w14:paraId="7DB07BD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周边有明显污染源扣分；采样管路不符合规范扣分</w:t>
            </w:r>
          </w:p>
        </w:tc>
      </w:tr>
      <w:tr w14:paraId="53D53D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08D2B19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日常监测</w:t>
            </w:r>
          </w:p>
        </w:tc>
        <w:tc>
          <w:tcPr>
            <w:tcW w:w="2505" w:type="dxa"/>
            <w:tcBorders>
              <w:top w:val="single" w:color="auto" w:sz="6" w:space="0"/>
              <w:left w:val="single" w:color="auto" w:sz="6" w:space="0"/>
              <w:bottom w:val="single" w:color="auto" w:sz="6" w:space="0"/>
              <w:right w:val="single" w:color="auto" w:sz="6" w:space="0"/>
            </w:tcBorders>
            <w:vAlign w:val="center"/>
          </w:tcPr>
          <w:p w14:paraId="5269283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有效数据上传率平台统计</w:t>
            </w:r>
          </w:p>
        </w:tc>
        <w:tc>
          <w:tcPr>
            <w:tcW w:w="743" w:type="dxa"/>
            <w:tcBorders>
              <w:top w:val="single" w:color="auto" w:sz="6" w:space="0"/>
              <w:left w:val="single" w:color="auto" w:sz="6" w:space="0"/>
              <w:bottom w:val="single" w:color="auto" w:sz="6" w:space="0"/>
              <w:right w:val="single" w:color="auto" w:sz="6" w:space="0"/>
            </w:tcBorders>
            <w:vAlign w:val="center"/>
          </w:tcPr>
          <w:p w14:paraId="0F4312F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6782948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1B8F07A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在93%（含）以上，满分；75%(含)以上，合格；75%以下的，不合格，0分。75%-93%区间得分为：（x-74）×10/19</w:t>
            </w:r>
          </w:p>
        </w:tc>
      </w:tr>
      <w:tr w14:paraId="6ED8C8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7C071F7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数据处理和上报</w:t>
            </w:r>
          </w:p>
        </w:tc>
        <w:tc>
          <w:tcPr>
            <w:tcW w:w="2505" w:type="dxa"/>
            <w:tcBorders>
              <w:top w:val="single" w:color="auto" w:sz="6" w:space="0"/>
              <w:left w:val="single" w:color="auto" w:sz="6" w:space="0"/>
              <w:bottom w:val="single" w:color="auto" w:sz="6" w:space="0"/>
              <w:right w:val="single" w:color="auto" w:sz="6" w:space="0"/>
            </w:tcBorders>
            <w:vAlign w:val="center"/>
          </w:tcPr>
          <w:p w14:paraId="0BC3571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按要求做好日常监测数据的汇总处理，对每次的异常数据能及时监测到并处理上报。酌情打分。</w:t>
            </w:r>
          </w:p>
        </w:tc>
        <w:tc>
          <w:tcPr>
            <w:tcW w:w="743" w:type="dxa"/>
            <w:tcBorders>
              <w:top w:val="single" w:color="auto" w:sz="6" w:space="0"/>
              <w:left w:val="single" w:color="auto" w:sz="6" w:space="0"/>
              <w:bottom w:val="single" w:color="auto" w:sz="6" w:space="0"/>
              <w:right w:val="single" w:color="auto" w:sz="6" w:space="0"/>
            </w:tcBorders>
            <w:vAlign w:val="center"/>
          </w:tcPr>
          <w:p w14:paraId="0E59C31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71F9779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37E460E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r>
      <w:tr w14:paraId="77EDFA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38A7946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持证上岗</w:t>
            </w:r>
          </w:p>
        </w:tc>
        <w:tc>
          <w:tcPr>
            <w:tcW w:w="2505" w:type="dxa"/>
            <w:tcBorders>
              <w:top w:val="single" w:color="auto" w:sz="6" w:space="0"/>
              <w:left w:val="single" w:color="auto" w:sz="6" w:space="0"/>
              <w:bottom w:val="single" w:color="auto" w:sz="6" w:space="0"/>
              <w:right w:val="single" w:color="auto" w:sz="6" w:space="0"/>
            </w:tcBorders>
            <w:vAlign w:val="center"/>
          </w:tcPr>
          <w:p w14:paraId="1001A23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站点管理人员每三年参加一次全省空气自动站技术培训，合格持有上岗证。酌情打分。</w:t>
            </w:r>
          </w:p>
        </w:tc>
        <w:tc>
          <w:tcPr>
            <w:tcW w:w="743" w:type="dxa"/>
            <w:tcBorders>
              <w:top w:val="single" w:color="auto" w:sz="6" w:space="0"/>
              <w:left w:val="single" w:color="auto" w:sz="6" w:space="0"/>
              <w:bottom w:val="single" w:color="auto" w:sz="6" w:space="0"/>
              <w:right w:val="single" w:color="auto" w:sz="6" w:space="0"/>
            </w:tcBorders>
            <w:vAlign w:val="center"/>
          </w:tcPr>
          <w:p w14:paraId="7F4BECE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0962E07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2E2D472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r>
      <w:tr w14:paraId="1E4565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064CA89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档案记录和管理</w:t>
            </w:r>
          </w:p>
        </w:tc>
        <w:tc>
          <w:tcPr>
            <w:tcW w:w="2505" w:type="dxa"/>
            <w:tcBorders>
              <w:top w:val="single" w:color="auto" w:sz="6" w:space="0"/>
              <w:left w:val="single" w:color="auto" w:sz="6" w:space="0"/>
              <w:bottom w:val="single" w:color="auto" w:sz="6" w:space="0"/>
              <w:right w:val="single" w:color="auto" w:sz="6" w:space="0"/>
            </w:tcBorders>
            <w:vAlign w:val="center"/>
          </w:tcPr>
          <w:p w14:paraId="53A8F98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巡检记录、校准设备每年计量认证、仪器校准、标气使用、管路清洁维护、突发情况等信息记录在档。酌情打分。</w:t>
            </w:r>
          </w:p>
        </w:tc>
        <w:tc>
          <w:tcPr>
            <w:tcW w:w="743" w:type="dxa"/>
            <w:tcBorders>
              <w:top w:val="single" w:color="auto" w:sz="6" w:space="0"/>
              <w:left w:val="single" w:color="auto" w:sz="6" w:space="0"/>
              <w:bottom w:val="single" w:color="auto" w:sz="6" w:space="0"/>
              <w:right w:val="single" w:color="auto" w:sz="6" w:space="0"/>
            </w:tcBorders>
            <w:vAlign w:val="center"/>
          </w:tcPr>
          <w:p w14:paraId="650388B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3CE2310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31B3FE2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缺少任一记录扣分</w:t>
            </w:r>
          </w:p>
        </w:tc>
      </w:tr>
      <w:tr w14:paraId="307D0E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56B6FE0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巡检和考核配合</w:t>
            </w:r>
          </w:p>
        </w:tc>
        <w:tc>
          <w:tcPr>
            <w:tcW w:w="2505" w:type="dxa"/>
            <w:tcBorders>
              <w:top w:val="single" w:color="auto" w:sz="6" w:space="0"/>
              <w:left w:val="single" w:color="auto" w:sz="6" w:space="0"/>
              <w:bottom w:val="single" w:color="auto" w:sz="6" w:space="0"/>
              <w:right w:val="single" w:color="auto" w:sz="6" w:space="0"/>
            </w:tcBorders>
            <w:vAlign w:val="center"/>
          </w:tcPr>
          <w:p w14:paraId="6756121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要求接到通知后一个半小时内达到检测点位配合巡检工作情况</w:t>
            </w:r>
          </w:p>
        </w:tc>
        <w:tc>
          <w:tcPr>
            <w:tcW w:w="743" w:type="dxa"/>
            <w:tcBorders>
              <w:top w:val="single" w:color="auto" w:sz="6" w:space="0"/>
              <w:left w:val="single" w:color="auto" w:sz="6" w:space="0"/>
              <w:bottom w:val="single" w:color="auto" w:sz="6" w:space="0"/>
              <w:right w:val="single" w:color="auto" w:sz="6" w:space="0"/>
            </w:tcBorders>
            <w:vAlign w:val="center"/>
          </w:tcPr>
          <w:p w14:paraId="1A7A026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08" w:type="dxa"/>
            <w:tcBorders>
              <w:top w:val="single" w:color="auto" w:sz="6" w:space="0"/>
              <w:left w:val="single" w:color="auto" w:sz="6" w:space="0"/>
              <w:bottom w:val="single" w:color="auto" w:sz="6" w:space="0"/>
              <w:right w:val="single" w:color="auto" w:sz="6" w:space="0"/>
            </w:tcBorders>
            <w:vAlign w:val="center"/>
          </w:tcPr>
          <w:p w14:paraId="5D2B8AE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72FA753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配合积极满分；配合一般的2分；很不配合的：0分，规定时间未到：考核总分0分。</w:t>
            </w:r>
          </w:p>
        </w:tc>
      </w:tr>
      <w:tr w14:paraId="25B95D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6B28B80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采样状况</w:t>
            </w:r>
          </w:p>
        </w:tc>
        <w:tc>
          <w:tcPr>
            <w:tcW w:w="2505" w:type="dxa"/>
            <w:tcBorders>
              <w:top w:val="single" w:color="auto" w:sz="6" w:space="0"/>
              <w:left w:val="single" w:color="auto" w:sz="6" w:space="0"/>
              <w:bottom w:val="single" w:color="auto" w:sz="6" w:space="0"/>
              <w:right w:val="single" w:color="auto" w:sz="6" w:space="0"/>
            </w:tcBorders>
            <w:vAlign w:val="center"/>
          </w:tcPr>
          <w:p w14:paraId="3605139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采样口有无异物，采样管路是否干净通畅；</w:t>
            </w:r>
          </w:p>
          <w:p w14:paraId="0D1EA82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采样总管和PM10采样管有无加热（40℃），有无避免空调直吹</w:t>
            </w:r>
          </w:p>
        </w:tc>
        <w:tc>
          <w:tcPr>
            <w:tcW w:w="743" w:type="dxa"/>
            <w:tcBorders>
              <w:top w:val="single" w:color="auto" w:sz="6" w:space="0"/>
              <w:left w:val="single" w:color="auto" w:sz="6" w:space="0"/>
              <w:bottom w:val="single" w:color="auto" w:sz="6" w:space="0"/>
              <w:right w:val="single" w:color="auto" w:sz="6" w:space="0"/>
            </w:tcBorders>
            <w:vAlign w:val="center"/>
          </w:tcPr>
          <w:p w14:paraId="0EC8762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08" w:type="dxa"/>
            <w:tcBorders>
              <w:top w:val="single" w:color="auto" w:sz="6" w:space="0"/>
              <w:left w:val="single" w:color="auto" w:sz="6" w:space="0"/>
              <w:bottom w:val="single" w:color="auto" w:sz="6" w:space="0"/>
              <w:right w:val="single" w:color="auto" w:sz="6" w:space="0"/>
            </w:tcBorders>
            <w:vAlign w:val="center"/>
          </w:tcPr>
          <w:p w14:paraId="70FD92B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0A74F2E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一旦发现人为干扰正常采样的，考核总分为0分，并全省通报批评。</w:t>
            </w:r>
          </w:p>
          <w:p w14:paraId="71EAA0D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采样口与管路不干净扣分</w:t>
            </w:r>
          </w:p>
          <w:p w14:paraId="0CEA66F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未加热扣分</w:t>
            </w:r>
          </w:p>
          <w:p w14:paraId="06859F5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空调直吹扣分</w:t>
            </w:r>
          </w:p>
        </w:tc>
      </w:tr>
      <w:tr w14:paraId="4ED6BF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06E088D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数采仪状况</w:t>
            </w:r>
          </w:p>
        </w:tc>
        <w:tc>
          <w:tcPr>
            <w:tcW w:w="2505" w:type="dxa"/>
            <w:tcBorders>
              <w:top w:val="single" w:color="auto" w:sz="6" w:space="0"/>
              <w:left w:val="single" w:color="auto" w:sz="6" w:space="0"/>
              <w:bottom w:val="single" w:color="auto" w:sz="6" w:space="0"/>
              <w:right w:val="single" w:color="auto" w:sz="6" w:space="0"/>
            </w:tcBorders>
            <w:vAlign w:val="center"/>
          </w:tcPr>
          <w:p w14:paraId="551D92A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数采仪工作正常，工控机显示数据与仪器数据一致。</w:t>
            </w:r>
          </w:p>
        </w:tc>
        <w:tc>
          <w:tcPr>
            <w:tcW w:w="743" w:type="dxa"/>
            <w:tcBorders>
              <w:top w:val="single" w:color="auto" w:sz="6" w:space="0"/>
              <w:left w:val="single" w:color="auto" w:sz="6" w:space="0"/>
              <w:bottom w:val="single" w:color="auto" w:sz="6" w:space="0"/>
              <w:right w:val="single" w:color="auto" w:sz="6" w:space="0"/>
            </w:tcBorders>
            <w:vAlign w:val="center"/>
          </w:tcPr>
          <w:p w14:paraId="79EC38F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6D43EEB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217BD83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仪器显示与数据平台不一致扣分</w:t>
            </w:r>
          </w:p>
        </w:tc>
      </w:tr>
      <w:tr w14:paraId="283334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45DC7D7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仪器状况</w:t>
            </w:r>
          </w:p>
        </w:tc>
        <w:tc>
          <w:tcPr>
            <w:tcW w:w="2505" w:type="dxa"/>
            <w:tcBorders>
              <w:top w:val="single" w:color="auto" w:sz="6" w:space="0"/>
              <w:left w:val="single" w:color="auto" w:sz="6" w:space="0"/>
              <w:bottom w:val="single" w:color="auto" w:sz="6" w:space="0"/>
              <w:right w:val="single" w:color="auto" w:sz="6" w:space="0"/>
            </w:tcBorders>
            <w:vAlign w:val="center"/>
          </w:tcPr>
          <w:p w14:paraId="588AE2A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仪器运行正常，无报警；出现报警及时上报并进行维修处理。</w:t>
            </w:r>
          </w:p>
        </w:tc>
        <w:tc>
          <w:tcPr>
            <w:tcW w:w="743" w:type="dxa"/>
            <w:tcBorders>
              <w:top w:val="single" w:color="auto" w:sz="6" w:space="0"/>
              <w:left w:val="single" w:color="auto" w:sz="6" w:space="0"/>
              <w:bottom w:val="single" w:color="auto" w:sz="6" w:space="0"/>
              <w:right w:val="single" w:color="auto" w:sz="6" w:space="0"/>
            </w:tcBorders>
            <w:vAlign w:val="center"/>
          </w:tcPr>
          <w:p w14:paraId="30F6B10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08" w:type="dxa"/>
            <w:tcBorders>
              <w:top w:val="single" w:color="auto" w:sz="6" w:space="0"/>
              <w:left w:val="single" w:color="auto" w:sz="6" w:space="0"/>
              <w:bottom w:val="single" w:color="auto" w:sz="6" w:space="0"/>
              <w:right w:val="single" w:color="auto" w:sz="6" w:space="0"/>
            </w:tcBorders>
            <w:vAlign w:val="center"/>
          </w:tcPr>
          <w:p w14:paraId="17672C5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71DC14A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发现仪器报警未及时处理扣分</w:t>
            </w:r>
          </w:p>
        </w:tc>
      </w:tr>
      <w:tr w14:paraId="02361D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10272FE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流量准确性</w:t>
            </w:r>
          </w:p>
        </w:tc>
        <w:tc>
          <w:tcPr>
            <w:tcW w:w="2505" w:type="dxa"/>
            <w:tcBorders>
              <w:top w:val="single" w:color="auto" w:sz="6" w:space="0"/>
              <w:left w:val="single" w:color="auto" w:sz="6" w:space="0"/>
              <w:bottom w:val="single" w:color="auto" w:sz="6" w:space="0"/>
              <w:right w:val="single" w:color="auto" w:sz="6" w:space="0"/>
            </w:tcBorders>
            <w:vAlign w:val="center"/>
          </w:tcPr>
          <w:p w14:paraId="13AF3B1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动态校准仪的零气MFC流量、标气MFC流量与标准流量计误差是否在2%以内；</w:t>
            </w:r>
          </w:p>
          <w:p w14:paraId="0AA3D2B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SO2、NOx、CO、O3采样流量误差是否在10%以内；</w:t>
            </w:r>
          </w:p>
          <w:p w14:paraId="7174379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颗粒物采样流量误差是否在5%以内；</w:t>
            </w:r>
          </w:p>
        </w:tc>
        <w:tc>
          <w:tcPr>
            <w:tcW w:w="743" w:type="dxa"/>
            <w:tcBorders>
              <w:top w:val="single" w:color="auto" w:sz="6" w:space="0"/>
              <w:left w:val="single" w:color="auto" w:sz="6" w:space="0"/>
              <w:bottom w:val="single" w:color="auto" w:sz="6" w:space="0"/>
              <w:right w:val="single" w:color="auto" w:sz="6" w:space="0"/>
            </w:tcBorders>
            <w:vAlign w:val="center"/>
          </w:tcPr>
          <w:p w14:paraId="7610FC0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08" w:type="dxa"/>
            <w:tcBorders>
              <w:top w:val="single" w:color="auto" w:sz="6" w:space="0"/>
              <w:left w:val="single" w:color="auto" w:sz="6" w:space="0"/>
              <w:bottom w:val="single" w:color="auto" w:sz="6" w:space="0"/>
              <w:right w:val="single" w:color="auto" w:sz="6" w:space="0"/>
            </w:tcBorders>
            <w:vAlign w:val="center"/>
          </w:tcPr>
          <w:p w14:paraId="1300169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154ECAB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校准仪零气流量   ml，流量计流量   ml，误差   %</w:t>
            </w:r>
          </w:p>
          <w:p w14:paraId="37DFF72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校准仪标气（任选）流量   ml，流量计流量   ml，误差   %</w:t>
            </w:r>
          </w:p>
          <w:p w14:paraId="36C7166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气体监测仪器流量检测方式同校准仪</w:t>
            </w:r>
          </w:p>
          <w:p w14:paraId="5624078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任一不在误差要求范围内即扣分</w:t>
            </w:r>
          </w:p>
        </w:tc>
      </w:tr>
      <w:tr w14:paraId="2987A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1CEB2EA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气体测量准确性</w:t>
            </w:r>
          </w:p>
        </w:tc>
        <w:tc>
          <w:tcPr>
            <w:tcW w:w="2505" w:type="dxa"/>
            <w:tcBorders>
              <w:top w:val="single" w:color="auto" w:sz="6" w:space="0"/>
              <w:left w:val="single" w:color="auto" w:sz="6" w:space="0"/>
              <w:bottom w:val="single" w:color="auto" w:sz="6" w:space="0"/>
              <w:right w:val="single" w:color="auto" w:sz="6" w:space="0"/>
            </w:tcBorders>
            <w:vAlign w:val="center"/>
          </w:tcPr>
          <w:p w14:paraId="42034A4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SO2、CO、NO仪器T90响应时间是否在5分钟内；</w:t>
            </w:r>
          </w:p>
          <w:p w14:paraId="2C59EC7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浓度误差是否在10%以内</w:t>
            </w:r>
          </w:p>
        </w:tc>
        <w:tc>
          <w:tcPr>
            <w:tcW w:w="743" w:type="dxa"/>
            <w:tcBorders>
              <w:top w:val="single" w:color="auto" w:sz="6" w:space="0"/>
              <w:left w:val="single" w:color="auto" w:sz="6" w:space="0"/>
              <w:bottom w:val="single" w:color="auto" w:sz="6" w:space="0"/>
              <w:right w:val="single" w:color="auto" w:sz="6" w:space="0"/>
            </w:tcBorders>
            <w:vAlign w:val="center"/>
          </w:tcPr>
          <w:p w14:paraId="6FCDE73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08" w:type="dxa"/>
            <w:tcBorders>
              <w:top w:val="single" w:color="auto" w:sz="6" w:space="0"/>
              <w:left w:val="single" w:color="auto" w:sz="6" w:space="0"/>
              <w:bottom w:val="single" w:color="auto" w:sz="6" w:space="0"/>
              <w:right w:val="single" w:color="auto" w:sz="6" w:space="0"/>
            </w:tcBorders>
            <w:vAlign w:val="center"/>
          </w:tcPr>
          <w:p w14:paraId="3D768B6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0EB6EF6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SO2标气稀释输出浓度   ppb，SO2仪器显示浓度   ppb，误差   %</w:t>
            </w:r>
          </w:p>
          <w:p w14:paraId="55D3099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达到设定浓度90%的时间   min</w:t>
            </w:r>
          </w:p>
          <w:p w14:paraId="4F89757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任一不在浓度误差要求范围内扣分</w:t>
            </w:r>
          </w:p>
          <w:p w14:paraId="1595D6F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任一T90大于5分钟内扣分</w:t>
            </w:r>
          </w:p>
        </w:tc>
      </w:tr>
      <w:tr w14:paraId="26704E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4D9469D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系统保障</w:t>
            </w:r>
          </w:p>
        </w:tc>
        <w:tc>
          <w:tcPr>
            <w:tcW w:w="2505" w:type="dxa"/>
            <w:tcBorders>
              <w:top w:val="single" w:color="auto" w:sz="6" w:space="0"/>
              <w:left w:val="single" w:color="auto" w:sz="6" w:space="0"/>
              <w:bottom w:val="single" w:color="auto" w:sz="6" w:space="0"/>
              <w:right w:val="single" w:color="auto" w:sz="6" w:space="0"/>
            </w:tcBorders>
            <w:vAlign w:val="center"/>
          </w:tcPr>
          <w:p w14:paraId="57A1C53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是否有备机且备机符合规范要求</w:t>
            </w:r>
          </w:p>
          <w:p w14:paraId="4E83E0E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是否有质控实验室和系统支持实验室</w:t>
            </w:r>
          </w:p>
        </w:tc>
        <w:tc>
          <w:tcPr>
            <w:tcW w:w="743" w:type="dxa"/>
            <w:tcBorders>
              <w:top w:val="single" w:color="auto" w:sz="6" w:space="0"/>
              <w:left w:val="single" w:color="auto" w:sz="6" w:space="0"/>
              <w:bottom w:val="single" w:color="auto" w:sz="6" w:space="0"/>
              <w:right w:val="single" w:color="auto" w:sz="6" w:space="0"/>
            </w:tcBorders>
            <w:vAlign w:val="center"/>
          </w:tcPr>
          <w:p w14:paraId="09001E5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5E70F2B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13A8787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无备机、备机不全或备机不符合规范扣分</w:t>
            </w:r>
          </w:p>
          <w:p w14:paraId="461D20B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无质控实验室或未达到要求扣分</w:t>
            </w:r>
          </w:p>
          <w:p w14:paraId="68B4CF8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无系统支持实验室或未达到要求扣分</w:t>
            </w:r>
          </w:p>
        </w:tc>
      </w:tr>
    </w:tbl>
    <w:p w14:paraId="7661EC20">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p>
    <w:p w14:paraId="64289471">
      <w:pPr>
        <w:keepNext w:val="0"/>
        <w:keepLines w:val="0"/>
        <w:pageBreakBefore w:val="0"/>
        <w:widowControl w:val="0"/>
        <w:kinsoku/>
        <w:wordWrap/>
        <w:overflowPunct/>
        <w:topLinePunct w:val="0"/>
        <w:autoSpaceDE/>
        <w:autoSpaceDN/>
        <w:bidi w:val="0"/>
        <w:snapToGrid/>
        <w:spacing w:line="360" w:lineRule="auto"/>
        <w:ind w:right="0"/>
        <w:jc w:val="left"/>
        <w:textAlignment w:val="auto"/>
        <w:outlineLvl w:val="9"/>
        <w:rPr>
          <w:rFonts w:hint="eastAsia" w:ascii="宋体" w:hAnsi="宋体" w:eastAsia="宋体" w:cs="宋体"/>
          <w:color w:val="auto"/>
          <w:sz w:val="21"/>
          <w:szCs w:val="21"/>
          <w:highlight w:val="none"/>
          <w:lang w:val="en-US" w:eastAsia="zh-CN"/>
        </w:rPr>
      </w:pPr>
    </w:p>
    <w:p w14:paraId="51162BF3">
      <w:pPr>
        <w:pStyle w:val="16"/>
        <w:rPr>
          <w:rFonts w:hint="eastAsia"/>
          <w:color w:val="auto"/>
          <w:highlight w:val="none"/>
        </w:rPr>
      </w:pPr>
    </w:p>
    <w:p w14:paraId="42CD41C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u w:val="single"/>
          <w:lang w:val="en-US" w:eastAsia="zh-CN"/>
        </w:rPr>
        <w:t>（二）路桥中学站：</w:t>
      </w:r>
    </w:p>
    <w:p w14:paraId="629D4625">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为保障站点的正常运行，现对路桥中学空气自动监测站进行委托第三方公司进行日常维护。</w:t>
      </w:r>
    </w:p>
    <w:p w14:paraId="3FA5A6B5">
      <w:pPr>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站点仪器清单如下：</w:t>
      </w:r>
    </w:p>
    <w:p w14:paraId="38F5D0B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表</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lang w:val="en-US" w:eastAsia="zh-CN"/>
        </w:rPr>
        <w:t xml:space="preserve"> </w:t>
      </w:r>
      <w:r>
        <w:rPr>
          <w:rFonts w:hint="eastAsia" w:ascii="宋体" w:hAnsi="宋体" w:cs="宋体"/>
          <w:b/>
          <w:color w:val="auto"/>
          <w:sz w:val="21"/>
          <w:szCs w:val="21"/>
          <w:highlight w:val="none"/>
          <w:lang w:val="en-US" w:eastAsia="zh-CN"/>
        </w:rPr>
        <w:t>路桥中学</w:t>
      </w:r>
      <w:r>
        <w:rPr>
          <w:rFonts w:hint="eastAsia" w:ascii="宋体" w:hAnsi="宋体" w:eastAsia="宋体" w:cs="宋体"/>
          <w:b/>
          <w:color w:val="auto"/>
          <w:sz w:val="21"/>
          <w:szCs w:val="21"/>
          <w:highlight w:val="none"/>
          <w:lang w:val="en-US" w:eastAsia="zh-CN"/>
        </w:rPr>
        <w:t>空气自动监测站</w:t>
      </w:r>
      <w:r>
        <w:rPr>
          <w:rFonts w:hint="eastAsia" w:ascii="宋体" w:hAnsi="宋体" w:cs="宋体"/>
          <w:b/>
          <w:color w:val="auto"/>
          <w:sz w:val="21"/>
          <w:szCs w:val="21"/>
          <w:highlight w:val="none"/>
          <w:lang w:val="en-US" w:eastAsia="zh-CN"/>
        </w:rPr>
        <w:t>主要</w:t>
      </w:r>
      <w:r>
        <w:rPr>
          <w:rFonts w:hint="eastAsia" w:ascii="宋体" w:hAnsi="宋体" w:eastAsia="宋体" w:cs="宋体"/>
          <w:b/>
          <w:color w:val="auto"/>
          <w:sz w:val="21"/>
          <w:szCs w:val="21"/>
          <w:highlight w:val="none"/>
        </w:rPr>
        <w:t>仪器配置情况一览表</w:t>
      </w:r>
    </w:p>
    <w:tbl>
      <w:tblPr>
        <w:tblStyle w:val="21"/>
        <w:tblW w:w="7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907"/>
        <w:gridCol w:w="1111"/>
        <w:gridCol w:w="1201"/>
        <w:gridCol w:w="1335"/>
        <w:gridCol w:w="1242"/>
      </w:tblGrid>
      <w:tr w14:paraId="6E25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7" w:type="dxa"/>
            <w:noWrap w:val="0"/>
            <w:vAlign w:val="center"/>
          </w:tcPr>
          <w:p w14:paraId="10CD80AE">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907" w:type="dxa"/>
            <w:noWrap w:val="0"/>
            <w:vAlign w:val="center"/>
          </w:tcPr>
          <w:p w14:paraId="2545F81F">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参数</w:t>
            </w:r>
          </w:p>
        </w:tc>
        <w:tc>
          <w:tcPr>
            <w:tcW w:w="1111" w:type="dxa"/>
            <w:noWrap w:val="0"/>
            <w:vAlign w:val="center"/>
          </w:tcPr>
          <w:p w14:paraId="742C0C11">
            <w:pPr>
              <w:tabs>
                <w:tab w:val="left" w:pos="8280"/>
              </w:tabs>
              <w:autoSpaceDE w:val="0"/>
              <w:autoSpaceDN w:val="0"/>
              <w:adjustRightInd w:val="0"/>
              <w:spacing w:line="240" w:lineRule="auto"/>
              <w:ind w:right="25"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单位</w:t>
            </w:r>
          </w:p>
        </w:tc>
        <w:tc>
          <w:tcPr>
            <w:tcW w:w="1201" w:type="dxa"/>
            <w:noWrap w:val="0"/>
            <w:vAlign w:val="center"/>
          </w:tcPr>
          <w:p w14:paraId="779152BC">
            <w:pPr>
              <w:tabs>
                <w:tab w:val="left" w:pos="8280"/>
              </w:tabs>
              <w:autoSpaceDE w:val="0"/>
              <w:autoSpaceDN w:val="0"/>
              <w:adjustRightInd w:val="0"/>
              <w:spacing w:line="240" w:lineRule="auto"/>
              <w:ind w:right="25"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w:t>
            </w:r>
          </w:p>
        </w:tc>
        <w:tc>
          <w:tcPr>
            <w:tcW w:w="1335" w:type="dxa"/>
            <w:noWrap w:val="0"/>
            <w:vAlign w:val="center"/>
          </w:tcPr>
          <w:p w14:paraId="3A0EBC1A">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仪器型号</w:t>
            </w:r>
          </w:p>
        </w:tc>
        <w:tc>
          <w:tcPr>
            <w:tcW w:w="1242" w:type="dxa"/>
            <w:noWrap w:val="0"/>
            <w:vAlign w:val="center"/>
          </w:tcPr>
          <w:p w14:paraId="75C6764A">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仪器品牌</w:t>
            </w:r>
          </w:p>
        </w:tc>
      </w:tr>
      <w:tr w14:paraId="5F31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7" w:type="dxa"/>
            <w:noWrap w:val="0"/>
            <w:vAlign w:val="center"/>
          </w:tcPr>
          <w:p w14:paraId="090CBB1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07" w:type="dxa"/>
            <w:noWrap w:val="0"/>
            <w:vAlign w:val="center"/>
          </w:tcPr>
          <w:p w14:paraId="034FE10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PM2.5自动监测仪</w:t>
            </w:r>
          </w:p>
        </w:tc>
        <w:tc>
          <w:tcPr>
            <w:tcW w:w="1111" w:type="dxa"/>
            <w:noWrap w:val="0"/>
            <w:vAlign w:val="center"/>
          </w:tcPr>
          <w:p w14:paraId="2BF7AC47">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1201" w:type="dxa"/>
            <w:noWrap w:val="0"/>
            <w:vAlign w:val="center"/>
          </w:tcPr>
          <w:p w14:paraId="2CA4B089">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5" w:type="dxa"/>
            <w:noWrap w:val="0"/>
            <w:vAlign w:val="center"/>
          </w:tcPr>
          <w:p w14:paraId="2C7559A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5030I</w:t>
            </w:r>
          </w:p>
        </w:tc>
        <w:tc>
          <w:tcPr>
            <w:tcW w:w="1242" w:type="dxa"/>
            <w:noWrap w:val="0"/>
            <w:vAlign w:val="center"/>
          </w:tcPr>
          <w:p w14:paraId="08B38EF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w:t>
            </w:r>
          </w:p>
        </w:tc>
      </w:tr>
      <w:tr w14:paraId="1431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7" w:type="dxa"/>
            <w:noWrap w:val="0"/>
            <w:vAlign w:val="center"/>
          </w:tcPr>
          <w:p w14:paraId="7C9A974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907" w:type="dxa"/>
            <w:noWrap w:val="0"/>
            <w:vAlign w:val="center"/>
          </w:tcPr>
          <w:p w14:paraId="74669BF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PM10自动监测仪</w:t>
            </w:r>
          </w:p>
        </w:tc>
        <w:tc>
          <w:tcPr>
            <w:tcW w:w="1111" w:type="dxa"/>
            <w:noWrap w:val="0"/>
            <w:vAlign w:val="center"/>
          </w:tcPr>
          <w:p w14:paraId="3A39FC0E">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1201" w:type="dxa"/>
            <w:noWrap w:val="0"/>
            <w:vAlign w:val="center"/>
          </w:tcPr>
          <w:p w14:paraId="31132D39">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5" w:type="dxa"/>
            <w:noWrap w:val="0"/>
            <w:vAlign w:val="center"/>
          </w:tcPr>
          <w:p w14:paraId="418D327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5030I</w:t>
            </w:r>
          </w:p>
        </w:tc>
        <w:tc>
          <w:tcPr>
            <w:tcW w:w="1242" w:type="dxa"/>
            <w:noWrap w:val="0"/>
            <w:vAlign w:val="center"/>
          </w:tcPr>
          <w:p w14:paraId="4EA8C44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w:t>
            </w:r>
          </w:p>
        </w:tc>
      </w:tr>
      <w:tr w14:paraId="0AD3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7" w:type="dxa"/>
            <w:noWrap w:val="0"/>
            <w:vAlign w:val="center"/>
          </w:tcPr>
          <w:p w14:paraId="5418BA9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07" w:type="dxa"/>
            <w:noWrap w:val="0"/>
            <w:vAlign w:val="center"/>
          </w:tcPr>
          <w:p w14:paraId="422CF91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S02分析仪</w:t>
            </w:r>
          </w:p>
        </w:tc>
        <w:tc>
          <w:tcPr>
            <w:tcW w:w="1111" w:type="dxa"/>
            <w:noWrap w:val="0"/>
            <w:vAlign w:val="center"/>
          </w:tcPr>
          <w:p w14:paraId="7128C469">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1201" w:type="dxa"/>
            <w:noWrap w:val="0"/>
            <w:vAlign w:val="center"/>
          </w:tcPr>
          <w:p w14:paraId="7C8D9626">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5" w:type="dxa"/>
            <w:noWrap w:val="0"/>
            <w:vAlign w:val="center"/>
          </w:tcPr>
          <w:p w14:paraId="2DEFFDB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43I</w:t>
            </w:r>
          </w:p>
        </w:tc>
        <w:tc>
          <w:tcPr>
            <w:tcW w:w="1242" w:type="dxa"/>
            <w:noWrap w:val="0"/>
            <w:vAlign w:val="center"/>
          </w:tcPr>
          <w:p w14:paraId="4477EA4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w:t>
            </w:r>
          </w:p>
        </w:tc>
      </w:tr>
      <w:tr w14:paraId="5A16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7" w:type="dxa"/>
            <w:noWrap w:val="0"/>
            <w:vAlign w:val="center"/>
          </w:tcPr>
          <w:p w14:paraId="631A11F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907" w:type="dxa"/>
            <w:noWrap w:val="0"/>
            <w:vAlign w:val="center"/>
          </w:tcPr>
          <w:p w14:paraId="35A6631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NOX自动监测仪</w:t>
            </w:r>
          </w:p>
        </w:tc>
        <w:tc>
          <w:tcPr>
            <w:tcW w:w="1111" w:type="dxa"/>
            <w:noWrap w:val="0"/>
            <w:vAlign w:val="center"/>
          </w:tcPr>
          <w:p w14:paraId="1E432530">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1201" w:type="dxa"/>
            <w:noWrap w:val="0"/>
            <w:vAlign w:val="center"/>
          </w:tcPr>
          <w:p w14:paraId="2D4CEA1D">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5" w:type="dxa"/>
            <w:noWrap w:val="0"/>
            <w:vAlign w:val="center"/>
          </w:tcPr>
          <w:p w14:paraId="70B6091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42I</w:t>
            </w:r>
          </w:p>
        </w:tc>
        <w:tc>
          <w:tcPr>
            <w:tcW w:w="1242" w:type="dxa"/>
            <w:noWrap w:val="0"/>
            <w:vAlign w:val="center"/>
          </w:tcPr>
          <w:p w14:paraId="5D45204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w:t>
            </w:r>
          </w:p>
        </w:tc>
      </w:tr>
      <w:tr w14:paraId="7BF8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7" w:type="dxa"/>
            <w:noWrap w:val="0"/>
            <w:vAlign w:val="center"/>
          </w:tcPr>
          <w:p w14:paraId="3C09B5F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907" w:type="dxa"/>
            <w:noWrap w:val="0"/>
            <w:vAlign w:val="center"/>
          </w:tcPr>
          <w:p w14:paraId="4201AB6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CO自动监测仪</w:t>
            </w:r>
          </w:p>
        </w:tc>
        <w:tc>
          <w:tcPr>
            <w:tcW w:w="1111" w:type="dxa"/>
            <w:noWrap w:val="0"/>
            <w:vAlign w:val="center"/>
          </w:tcPr>
          <w:p w14:paraId="34FA8EBA">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1201" w:type="dxa"/>
            <w:noWrap w:val="0"/>
            <w:vAlign w:val="center"/>
          </w:tcPr>
          <w:p w14:paraId="6EFEC9FB">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5" w:type="dxa"/>
            <w:noWrap w:val="0"/>
            <w:vAlign w:val="center"/>
          </w:tcPr>
          <w:p w14:paraId="4B7992A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48I</w:t>
            </w:r>
          </w:p>
        </w:tc>
        <w:tc>
          <w:tcPr>
            <w:tcW w:w="1242" w:type="dxa"/>
            <w:noWrap w:val="0"/>
            <w:vAlign w:val="center"/>
          </w:tcPr>
          <w:p w14:paraId="536BFE9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w:t>
            </w:r>
          </w:p>
        </w:tc>
      </w:tr>
      <w:tr w14:paraId="0C79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7" w:type="dxa"/>
            <w:noWrap w:val="0"/>
            <w:vAlign w:val="center"/>
          </w:tcPr>
          <w:p w14:paraId="529B0F0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907" w:type="dxa"/>
            <w:noWrap w:val="0"/>
            <w:vAlign w:val="center"/>
          </w:tcPr>
          <w:p w14:paraId="284B85F1">
            <w:pPr>
              <w:tabs>
                <w:tab w:val="left" w:pos="8280"/>
              </w:tabs>
              <w:autoSpaceDE w:val="0"/>
              <w:autoSpaceDN w:val="0"/>
              <w:adjustRightInd w:val="0"/>
              <w:spacing w:line="240" w:lineRule="auto"/>
              <w:ind w:right="2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O3自动监测仪</w:t>
            </w:r>
          </w:p>
        </w:tc>
        <w:tc>
          <w:tcPr>
            <w:tcW w:w="1111" w:type="dxa"/>
            <w:noWrap w:val="0"/>
            <w:vAlign w:val="center"/>
          </w:tcPr>
          <w:p w14:paraId="3468781E">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1201" w:type="dxa"/>
            <w:noWrap w:val="0"/>
            <w:vAlign w:val="center"/>
          </w:tcPr>
          <w:p w14:paraId="49A599AD">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5" w:type="dxa"/>
            <w:noWrap w:val="0"/>
            <w:vAlign w:val="center"/>
          </w:tcPr>
          <w:p w14:paraId="18C7725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49I</w:t>
            </w:r>
          </w:p>
        </w:tc>
        <w:tc>
          <w:tcPr>
            <w:tcW w:w="1242" w:type="dxa"/>
            <w:noWrap w:val="0"/>
            <w:vAlign w:val="center"/>
          </w:tcPr>
          <w:p w14:paraId="6A42353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w:t>
            </w:r>
          </w:p>
        </w:tc>
      </w:tr>
      <w:tr w14:paraId="5E24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7" w:type="dxa"/>
            <w:noWrap w:val="0"/>
            <w:vAlign w:val="center"/>
          </w:tcPr>
          <w:p w14:paraId="5E5801E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07" w:type="dxa"/>
            <w:noWrap w:val="0"/>
            <w:vAlign w:val="center"/>
          </w:tcPr>
          <w:p w14:paraId="5C022B6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动态校准仪</w:t>
            </w:r>
          </w:p>
        </w:tc>
        <w:tc>
          <w:tcPr>
            <w:tcW w:w="1111" w:type="dxa"/>
            <w:noWrap w:val="0"/>
            <w:vAlign w:val="center"/>
          </w:tcPr>
          <w:p w14:paraId="5A46B080">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1201" w:type="dxa"/>
            <w:noWrap w:val="0"/>
            <w:vAlign w:val="center"/>
          </w:tcPr>
          <w:p w14:paraId="6E151CDC">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5" w:type="dxa"/>
            <w:noWrap w:val="0"/>
            <w:vAlign w:val="center"/>
          </w:tcPr>
          <w:p w14:paraId="217728E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146I</w:t>
            </w:r>
          </w:p>
        </w:tc>
        <w:tc>
          <w:tcPr>
            <w:tcW w:w="1242" w:type="dxa"/>
            <w:noWrap w:val="0"/>
            <w:vAlign w:val="center"/>
          </w:tcPr>
          <w:p w14:paraId="2D08F92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w:t>
            </w:r>
          </w:p>
        </w:tc>
      </w:tr>
      <w:tr w14:paraId="5810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07" w:type="dxa"/>
            <w:noWrap w:val="0"/>
            <w:vAlign w:val="center"/>
          </w:tcPr>
          <w:p w14:paraId="51ADEF1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07" w:type="dxa"/>
            <w:noWrap w:val="0"/>
            <w:vAlign w:val="center"/>
          </w:tcPr>
          <w:p w14:paraId="66264B0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零气发生器</w:t>
            </w:r>
          </w:p>
        </w:tc>
        <w:tc>
          <w:tcPr>
            <w:tcW w:w="1111" w:type="dxa"/>
            <w:noWrap w:val="0"/>
            <w:vAlign w:val="center"/>
          </w:tcPr>
          <w:p w14:paraId="6F7C8B87">
            <w:pPr>
              <w:tabs>
                <w:tab w:val="left" w:pos="8280"/>
              </w:tabs>
              <w:autoSpaceDE w:val="0"/>
              <w:autoSpaceDN w:val="0"/>
              <w:adjustRightInd w:val="0"/>
              <w:spacing w:line="240" w:lineRule="auto"/>
              <w:ind w:right="25" w:rightChars="0"/>
              <w:jc w:val="center"/>
              <w:rPr>
                <w:color w:val="auto"/>
                <w:highlight w:val="none"/>
              </w:rPr>
            </w:pPr>
            <w:r>
              <w:rPr>
                <w:rFonts w:hint="eastAsia" w:ascii="宋体" w:hAnsi="宋体" w:eastAsia="宋体" w:cs="宋体"/>
                <w:color w:val="auto"/>
                <w:sz w:val="21"/>
                <w:szCs w:val="21"/>
                <w:highlight w:val="none"/>
                <w:lang w:val="en-US" w:eastAsia="zh-CN"/>
              </w:rPr>
              <w:t>套</w:t>
            </w:r>
          </w:p>
        </w:tc>
        <w:tc>
          <w:tcPr>
            <w:tcW w:w="1201" w:type="dxa"/>
            <w:noWrap w:val="0"/>
            <w:vAlign w:val="center"/>
          </w:tcPr>
          <w:p w14:paraId="65F6C19F">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5" w:type="dxa"/>
            <w:noWrap w:val="0"/>
            <w:vAlign w:val="center"/>
          </w:tcPr>
          <w:p w14:paraId="576D4B3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w:t>
            </w:r>
          </w:p>
        </w:tc>
        <w:tc>
          <w:tcPr>
            <w:tcW w:w="1242" w:type="dxa"/>
            <w:noWrap w:val="0"/>
            <w:vAlign w:val="center"/>
          </w:tcPr>
          <w:p w14:paraId="7A05968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w:t>
            </w:r>
          </w:p>
        </w:tc>
      </w:tr>
    </w:tbl>
    <w:p w14:paraId="7319AFFD">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kern w:val="0"/>
          <w:sz w:val="21"/>
          <w:szCs w:val="21"/>
          <w:highlight w:val="none"/>
          <w:lang w:val="en-US" w:eastAsia="zh-CN" w:bidi="ar"/>
        </w:rPr>
      </w:pPr>
    </w:p>
    <w:p w14:paraId="51A31DF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1、总体要求</w:t>
      </w:r>
    </w:p>
    <w:p w14:paraId="7D393D5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1.1对投标人的服务要求：</w:t>
      </w:r>
    </w:p>
    <w:p w14:paraId="349234F8">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1.1.1、投标人中标后必须为本项目在台州市设立固定服务网点或办事机构，并要求聘用足够的运行维护专业技术人员，专业技术人员队伍应保持相对稳定。</w:t>
      </w:r>
    </w:p>
    <w:p w14:paraId="4599156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1.1.2、 按《环境空气质量监测规范》、《国家环境空气质量监测城市自动监测站运行管理暂行规定》（总站气字[2013]41号）、《环境空气颗粒物（PM10和PM2.5）连续自动监测系统安装和验收技术规范》(HJ655-2013)、《环境空气气态污染物（SO2、NO2、O3、CO）连续自动监测系统安装验收技术规范》(HJ193-2013)、《环境空气颗粒物（PM10和PM2.5）连续自动监测系统技术要求及检测方法》（HJ653-2013）、《环境空气气态污染物（SO2、NO2、O3、CO）连续自动监测系统技术要求及检测方法》（HJ654-2013）、《浙江省环境空气质量自动监测系统运行管理实施细则》、《国家环境空气监测网环境空气挥发性有机物连续自动监测质量控制技术规定（试行）（总站气函〔2019〕0785号）》、《环境空气挥发性有机物气相色谱连续监测系统技术要求及检测方法（HJ 1010-2018）》等要求进行运行维护及管理等要求进行运行维护及管理。</w:t>
      </w:r>
    </w:p>
    <w:p w14:paraId="79E580CD">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1.1.3、在环境空气自动监测系统运维及管理期间，在合同约束范围内中标人拥有管理自主权；不能以任何形式外包合同规定的运行维护任务。</w:t>
      </w:r>
    </w:p>
    <w:p w14:paraId="07EF748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1.1.4、在环境空气自动监测系统运维及管理期间，中标人应严格按照采购人制订的操作规范和规章制度，对所管理的系统及仪器设备进行规范操作和精心维护及必要维修，保证系统及仪器设备的正常运行，达到采购人提出的系统及仪器设备考核指标要求。</w:t>
      </w:r>
    </w:p>
    <w:p w14:paraId="1955336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1.1.5、委托运行维护及管理的全部资产（包括全部产权和建筑物、设备、软件、配套设施、自动站和配套监控系统产生的各类数据信息及相关文档资料）属采购人所有。未经采购人同意，中标人不得以任何方式对各类财产进行出售、抵押或转移；在委托运营及管理期间，中标人有责任保证上述全部资产的完整、安全并处于良好状态。</w:t>
      </w:r>
    </w:p>
    <w:p w14:paraId="1A2CA0E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1.2对投标人装备的要求：</w:t>
      </w:r>
    </w:p>
    <w:p w14:paraId="62890E7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1.2.1、 投标人应在台州市配备专业技术人员，配备专用工具，包括便携式电脑、万用表、远程数据查询系统、各种硬件接口线、接口调试软件及常用零部件等。</w:t>
      </w:r>
    </w:p>
    <w:p w14:paraId="76E73987">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1.2.2、投标人应至少为本项目配置1名专业技术人员，其人员了解掌握本项目所含气站的所有仪器的运行状况，运维技术人员熟悉掌握本项目所含主要分析仪器的日常维护和常见故障诊断方法，运维技术人员具有国家或省级空气自动监测系统运维培训合格证书。同时至少配备1辆运维车辆。</w:t>
      </w:r>
    </w:p>
    <w:p w14:paraId="6C84394B">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1.2.3、 数据保密:在委托管理期间，受托方应对系统状况和数据严格保密。未经委托方同意，受托方不得利用本项目的所有资料对外开展技术交流、业务联系、数据交换等。</w:t>
      </w:r>
    </w:p>
    <w:p w14:paraId="213C5E6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2、工作目标</w:t>
      </w:r>
    </w:p>
    <w:p w14:paraId="690D7952">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2.1、有效监测天数：SO2、NO2、PM10、PM2.5、O3、CO的单个子参数月有效监测天数必须≥27天（2月份≥25天）。</w:t>
      </w:r>
    </w:p>
    <w:p w14:paraId="6FB13B1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2.2、有效数据捕获率：SO2、NO2、PM10、PM2.5、O3、CO的单台有效数据捕获率应达到90%以上。</w:t>
      </w:r>
    </w:p>
    <w:p w14:paraId="2185D21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注释：数据有效率=（获取数据量-不含校准数据-无效数据）/(理论样本数据量-不含校准数据-不可抗拒数据量)*100% </w:t>
      </w:r>
    </w:p>
    <w:p w14:paraId="54580CA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注：不可抗拒数据定义为停电、搬迁站以及其他不可抗拒力因素等导致的数据缺失；无效数据定义为仪器故障、测量偏差超过规范要求等。</w:t>
      </w:r>
    </w:p>
    <w:p w14:paraId="2AF5769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3、交接方式</w:t>
      </w:r>
    </w:p>
    <w:p w14:paraId="4D05CC5B">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3.1、在合同生效前中标人应与采购人共同对环境空气质量自动监测系统的系统运行情况，仪器运行情况，数据采集情况进行实际考察，并且做好备案。</w:t>
      </w:r>
    </w:p>
    <w:p w14:paraId="53ACAFA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3.2、合同终止前，中标人须按照上述要求向采购人或其指定的其他运维服务商进行逆向交接。</w:t>
      </w:r>
    </w:p>
    <w:p w14:paraId="225ED83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4、运维服务要求</w:t>
      </w:r>
    </w:p>
    <w:p w14:paraId="739C888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本次运维外包内容主要包括环境管理、站房巡检管理、系统运行管理、质量控制等。具体要求如下：</w:t>
      </w:r>
    </w:p>
    <w:p w14:paraId="76680CF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4.1点位环境管理</w:t>
      </w:r>
    </w:p>
    <w:p w14:paraId="4FA94C5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4.1.1、观察点位周边环境的变化，并进行记录；</w:t>
      </w:r>
    </w:p>
    <w:p w14:paraId="736C3952">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4.1.2、查看站点外围的道路、供电、通讯、给排水设施等，并进行记录；</w:t>
      </w:r>
    </w:p>
    <w:p w14:paraId="76144DE2">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4.1.3、如果发现影响站点代表性和监测正常运行的环境变化，应及时进行处理，并报告中心站；</w:t>
      </w:r>
    </w:p>
    <w:p w14:paraId="7E81C69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4.1.4、当周围树木生长超过监测规范规定的控制高度限值时，对采样有影响的树枝进行剪除；</w:t>
      </w:r>
    </w:p>
    <w:p w14:paraId="4A12EE1B">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4.1.5、排查周围安全隐患，并进行记录；</w:t>
      </w:r>
    </w:p>
    <w:p w14:paraId="0B7053E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4.2站房巡检管理</w:t>
      </w:r>
    </w:p>
    <w:p w14:paraId="73F05068">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4.2.1、查看站房的基础设施，包括避雷系统、消防、供电、通讯、给排水设施等。</w:t>
      </w:r>
    </w:p>
    <w:p w14:paraId="01D65A5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4.2.2、检查站房外部状况，包括建筑物、站房防漏防渗、气象杆和天线设施。</w:t>
      </w:r>
    </w:p>
    <w:p w14:paraId="4598ED37">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4.2.3、注意站房内部异常气味和噪音，并排查。</w:t>
      </w:r>
    </w:p>
    <w:p w14:paraId="4F629B3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4.2.4、检查站房内部设施，包括消防、照明、强弱电和接地、通讯网络、应急设施等。</w:t>
      </w:r>
    </w:p>
    <w:p w14:paraId="2FE4F094">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4.2.5、检查室内空调是否正常工作并记录室内的温湿度。检查空调的出风口，防止出风直接吹在电磁阀和采样管上。冬夏季节检查站房室内外温差。若温差较大引起采样装置出现冷凝水，及时调整站房温度降低温差，或对采样总管采取适当的控制措施，防止冷凝现象。</w:t>
      </w:r>
    </w:p>
    <w:p w14:paraId="7E86586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4.2.6、站房空调发生故障时应及时修复，如不能修复时需及时报给采购人并配合采购人进行更换。</w:t>
      </w:r>
    </w:p>
    <w:p w14:paraId="46A8CAB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4.2.7、检查站房排风装置工作是否正常。</w:t>
      </w:r>
    </w:p>
    <w:p w14:paraId="1071D468">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4.2.8、保持站房内部卫生整洁。</w:t>
      </w:r>
    </w:p>
    <w:p w14:paraId="0552D56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4.2.9、记录巡检情况，如果发现影响自动站安全和正常运行的情况，应及时进行处理并修复，同时报告采购人。</w:t>
      </w:r>
    </w:p>
    <w:p w14:paraId="7DF5007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4.3系统运行管理</w:t>
      </w:r>
    </w:p>
    <w:p w14:paraId="754EECBE">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4.3.1、运维技术人员在工作日每日查看仪器运行状况、工作参数、数据采集和传输情况是否正常（网络查看），并做好记录，若发现问题，及时查明原因并按应急管理中的时限要求处理。</w:t>
      </w:r>
    </w:p>
    <w:p w14:paraId="1678053B">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4.3.2、每周对自动站至少巡检1次，检查系统气路，监测仪器、数据采集存储和传输系统、校准系统和其它辅助设备等运行是否正常，做好记录，若发现问题，及时查明原因并按应急管理中的时限要求处理。</w:t>
      </w:r>
    </w:p>
    <w:p w14:paraId="4DBAC6D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4.3.3、检查气体分析仪器采样过滤膜的污染情况，每周更换一次，保留滤膜并标记存储和记录以备可能研究。检查氮氧化物干燥剂使用情况，每周对变色部分干燥剂进行更换。</w:t>
      </w:r>
    </w:p>
    <w:p w14:paraId="4DFA4B86">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4.3.4、检查采样总管系统、支路管线结合部和排气管路，查看是否漏气或堵塞现象。</w:t>
      </w:r>
    </w:p>
    <w:p w14:paraId="2E52B92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4.3.5、每月一次清洗检查清洁采样总管和支管室内部分，采样总管与支管内不能有明显积尘，同时清洗遮雨罩。清洁完毕后需进行检漏检查。</w:t>
      </w:r>
    </w:p>
    <w:p w14:paraId="20F91D6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4.3.6、颗粒物监测仪器定期更换纸带，同时检查仪器的采样流量是否正常。</w:t>
      </w:r>
    </w:p>
    <w:p w14:paraId="0657753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4.3.7、颗粒物采样头至少每2个月清洗1次，滤网无明显积尘、滤水瓶无积水。</w:t>
      </w:r>
    </w:p>
    <w:p w14:paraId="4E345B98">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4.3.8、校准系统所需的氧化剂和活性碳每半年更换一次。</w:t>
      </w:r>
    </w:p>
    <w:p w14:paraId="703608ED">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4.3.9、检查标准气体钢瓶是否安全固定、阀门是否漏气、标准气体的有效期限和消耗情况等。</w:t>
      </w:r>
    </w:p>
    <w:p w14:paraId="540FE56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4.3.10、根据实际情况及时排空空气压缩机储气瓶中的积水。</w:t>
      </w:r>
    </w:p>
    <w:p w14:paraId="2F748626">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4.3.11、每季度拆洗PM10和PM2.5颗粒物监测仪颗粒监测仪采样管，安装后实施检漏。</w:t>
      </w:r>
    </w:p>
    <w:p w14:paraId="28A1B50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4.3.12、认真、及时做好各类运维记录，并技术报采购人。</w:t>
      </w:r>
    </w:p>
    <w:p w14:paraId="4B53AF7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4.4分析仪器维护要求</w:t>
      </w:r>
    </w:p>
    <w:p w14:paraId="70D9728B">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4.4.1、气体分析仪（点式仪器）：</w:t>
      </w:r>
    </w:p>
    <w:p w14:paraId="0A58E85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（1）每日：查看仪器运行是否正常，是否存在报警。</w:t>
      </w:r>
    </w:p>
    <w:p w14:paraId="093C3CC6">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（2）每周一次零点、标点检查或校准，并做好记录。</w:t>
      </w:r>
    </w:p>
    <w:p w14:paraId="7BF855A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（3）每季度一次精密度检查并做好记录。</w:t>
      </w:r>
    </w:p>
    <w:p w14:paraId="19B80DD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（4）每半年一次流量检查，使用可追溯标准流量计。</w:t>
      </w:r>
    </w:p>
    <w:p w14:paraId="14FDBD56">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（5）氮氧化物分析仪的钼炉转化率每年至少检查一次，清洁氮氧化物分析仪反应室及镜片每季度进行一次。</w:t>
      </w:r>
    </w:p>
    <w:p w14:paraId="3C2BF94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（6）在每年4月份之前完成所有子站O3的溯源与标准传递工作。</w:t>
      </w:r>
    </w:p>
    <w:p w14:paraId="28FC4F8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（7）每半年一次多点线性校准并做好记录。</w:t>
      </w:r>
    </w:p>
    <w:p w14:paraId="4D164DAB">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（8）仪器维修更换重要部件（如电光部件和光学部件等）后要进行多点线性校准。</w:t>
      </w:r>
    </w:p>
    <w:p w14:paraId="5EB2A876">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（9）每月清洗一次仪器散热风扇滤网，同时擦拭清洁仪器表面。</w:t>
      </w:r>
    </w:p>
    <w:p w14:paraId="6F830E1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（10）每半年一次仪器内置泵膜和外置采样泵片及阀门清洁与更换，轴承润滑。</w:t>
      </w:r>
    </w:p>
    <w:p w14:paraId="6667108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（11）每半年一次外置校准/采样切换电磁阀、仪器内置零跨电磁阀清洗保养。</w:t>
      </w:r>
    </w:p>
    <w:p w14:paraId="41DC06A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（12）对现有的点式仪器及颗粒物分析仪，维护周期，维护方式与在线测试仪器相同，同周期进行维护。</w:t>
      </w:r>
    </w:p>
    <w:p w14:paraId="4EC90B6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4.4.2、颗粒物分析仪（PM10/ PM2.5）：</w:t>
      </w:r>
    </w:p>
    <w:p w14:paraId="315FFB3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（1）每日：查看仪器运行是否正常，是否存在报警。及时更换工作滤带。</w:t>
      </w:r>
    </w:p>
    <w:p w14:paraId="1C03B453">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（2）每周：查看仪器运行和联网状况；检查纸带是否有破损或边缘不光滑的情况。</w:t>
      </w:r>
    </w:p>
    <w:p w14:paraId="46AEF686">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（3）两周：清洗切割头。</w:t>
      </w:r>
    </w:p>
    <w:p w14:paraId="7B1AA91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（4）每月：流量检查及校准；清洗喷嘴。</w:t>
      </w:r>
    </w:p>
    <w:p w14:paraId="222448F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（5）半年：浊度校准；清洗反应室。</w:t>
      </w:r>
    </w:p>
    <w:p w14:paraId="1C66772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（6）每年：温度与压力传感器校准；质量传感器校准；更换泵刮板；更换泵过滤器；更换O型圈。</w:t>
      </w:r>
    </w:p>
    <w:p w14:paraId="3C29D7E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光浊度计/β射线法每半年一次流量校准，每季度一次浊度计零点校准，每年一次标准膜质量校准，每年一次环境温度/压力校准并做好记录。每半年进行一次颗粒物监测仪采样系统拆洗保养和采样泵清洗保养。</w:t>
      </w:r>
    </w:p>
    <w:p w14:paraId="52839AD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4.4.3、校准设备：</w:t>
      </w:r>
    </w:p>
    <w:p w14:paraId="53122E7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（1）多元气体校准仪：每年进行一次标气和零气的质量流量计校准并做好记录。</w:t>
      </w:r>
    </w:p>
    <w:p w14:paraId="14070CF3">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（2）使用有效期内的国家一级标准气体或其它权威部门确定的标准气体并提供标物证书复印件（随气体钢瓶提供）。</w:t>
      </w:r>
    </w:p>
    <w:p w14:paraId="5CE521B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（3）校准使用的气压、温度计必须经过计量检定部门检定并处于有效期内。</w:t>
      </w:r>
    </w:p>
    <w:p w14:paraId="0911F58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4.4.4、气象五参数</w:t>
      </w:r>
    </w:p>
    <w:p w14:paraId="58A42886">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（1）气象五参数每半年做仪器检查比对校准。</w:t>
      </w:r>
    </w:p>
    <w:p w14:paraId="11F99CC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（2）每季度对气象五参数进行清洗保养。</w:t>
      </w:r>
    </w:p>
    <w:p w14:paraId="65246CD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4.5其他</w:t>
      </w:r>
    </w:p>
    <w:p w14:paraId="0777A0A8">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（1）配合采购人进行气站质量保证和质量控制工作。</w:t>
      </w:r>
    </w:p>
    <w:p w14:paraId="19452153">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（2）随时接受采购人的工作考核及质量考核。</w:t>
      </w:r>
    </w:p>
    <w:p w14:paraId="5D634213">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（3）运维过程中所需标气、耗材及配件的要求：</w:t>
      </w:r>
    </w:p>
    <w:p w14:paraId="3B52606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630" w:firstLineChars="3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①标气：常规仪器采用标样所提供的国家一级标气；</w:t>
      </w:r>
    </w:p>
    <w:p w14:paraId="6EFED12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630" w:firstLineChars="3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②耗材、配件：由仪器原厂商出产。</w:t>
      </w:r>
    </w:p>
    <w:p w14:paraId="47E18CE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4.6应急管理</w:t>
      </w:r>
    </w:p>
    <w:p w14:paraId="1C5F235B">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出现监测数据异常、仪器故障或通讯故障，正常工作日应在6小时内、节假日应在8小时内（9:00算起）到达站点处理故障并将信息反馈采购人；故障严重不能及时解决时，应关闭故障仪器的数据采集通道并告知采购人。如不能在24小时内排除故障，应更换备机，故障设备运回采购人指定地点，并负责维修仪器。</w:t>
      </w:r>
    </w:p>
    <w:p w14:paraId="1CDE65A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5、运维考核</w:t>
      </w:r>
    </w:p>
    <w:p w14:paraId="2AAA4D26">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按照《</w:t>
      </w:r>
      <w:r>
        <w:rPr>
          <w:rFonts w:hint="eastAsia" w:hAnsi="宋体" w:cs="宋体"/>
          <w:color w:val="auto"/>
          <w:kern w:val="0"/>
          <w:sz w:val="21"/>
          <w:szCs w:val="21"/>
          <w:highlight w:val="none"/>
          <w:lang w:val="en-US" w:eastAsia="zh-CN" w:bidi="ar"/>
        </w:rPr>
        <w:t>浙江省环境空气质量自动监测系统运行管理实施细则（试行）</w:t>
      </w:r>
      <w:r>
        <w:rPr>
          <w:rFonts w:hint="eastAsia" w:ascii="宋体" w:hAnsi="宋体" w:eastAsia="宋体" w:cs="宋体"/>
          <w:color w:val="auto"/>
          <w:kern w:val="0"/>
          <w:sz w:val="21"/>
          <w:szCs w:val="21"/>
          <w:highlight w:val="none"/>
          <w:lang w:val="en-US" w:eastAsia="zh-CN" w:bidi="ar"/>
        </w:rPr>
        <w:t>》中运维考核表的内容每季度对每站点进行一次考核，根据站点的考核情况支付运维费用。</w:t>
      </w:r>
    </w:p>
    <w:p w14:paraId="6776D5F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（1）考核结果80分（含）-100分，支付该站点当季度全部运维费；</w:t>
      </w:r>
    </w:p>
    <w:p w14:paraId="741B61A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75分（含）-80（不含）分，扣除该站点当季度运维费30%；</w:t>
      </w:r>
    </w:p>
    <w:p w14:paraId="6444BDB6">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60分（含）-75（不含）分以下，扣除该站点当季度运维费50%；</w:t>
      </w:r>
    </w:p>
    <w:p w14:paraId="5773C5A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60（不含）分以下，扣除该站点当季度全部运维费。</w:t>
      </w:r>
    </w:p>
    <w:p w14:paraId="3ABA035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（2）运维期间发现有人为干扰干预、篡改、伪造监测数据行为的，终止合同。</w:t>
      </w:r>
    </w:p>
    <w:p w14:paraId="7D5A9F2D">
      <w:pPr>
        <w:pStyle w:val="10"/>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浙江省环境自动监测系统运行管理考核综合评议表</w:t>
      </w:r>
    </w:p>
    <w:p w14:paraId="130AAAF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考核站位：                               时间：</w:t>
      </w:r>
    </w:p>
    <w:tbl>
      <w:tblPr>
        <w:tblStyle w:val="21"/>
        <w:tblW w:w="912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75"/>
        <w:gridCol w:w="2505"/>
        <w:gridCol w:w="743"/>
        <w:gridCol w:w="808"/>
        <w:gridCol w:w="3394"/>
      </w:tblGrid>
      <w:tr w14:paraId="06D3E6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1675" w:type="dxa"/>
            <w:tcBorders>
              <w:top w:val="single" w:color="auto" w:sz="6" w:space="0"/>
              <w:left w:val="single" w:color="auto" w:sz="6" w:space="0"/>
              <w:bottom w:val="single" w:color="auto" w:sz="6" w:space="0"/>
              <w:right w:val="single" w:color="auto" w:sz="6" w:space="0"/>
            </w:tcBorders>
            <w:vAlign w:val="center"/>
          </w:tcPr>
          <w:p w14:paraId="5A0D475C">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考核内容</w:t>
            </w:r>
          </w:p>
        </w:tc>
        <w:tc>
          <w:tcPr>
            <w:tcW w:w="2505" w:type="dxa"/>
            <w:tcBorders>
              <w:top w:val="single" w:color="auto" w:sz="6" w:space="0"/>
              <w:left w:val="single" w:color="auto" w:sz="6" w:space="0"/>
              <w:bottom w:val="single" w:color="auto" w:sz="6" w:space="0"/>
              <w:right w:val="single" w:color="auto" w:sz="6" w:space="0"/>
            </w:tcBorders>
            <w:vAlign w:val="center"/>
          </w:tcPr>
          <w:p w14:paraId="021235A3">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评分标准</w:t>
            </w:r>
          </w:p>
        </w:tc>
        <w:tc>
          <w:tcPr>
            <w:tcW w:w="743" w:type="dxa"/>
            <w:tcBorders>
              <w:top w:val="single" w:color="auto" w:sz="6" w:space="0"/>
              <w:left w:val="single" w:color="auto" w:sz="6" w:space="0"/>
              <w:bottom w:val="single" w:color="auto" w:sz="6" w:space="0"/>
              <w:right w:val="single" w:color="auto" w:sz="6" w:space="0"/>
            </w:tcBorders>
            <w:vAlign w:val="center"/>
          </w:tcPr>
          <w:p w14:paraId="5FF52FBD">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分值</w:t>
            </w:r>
          </w:p>
        </w:tc>
        <w:tc>
          <w:tcPr>
            <w:tcW w:w="808" w:type="dxa"/>
            <w:tcBorders>
              <w:top w:val="single" w:color="auto" w:sz="6" w:space="0"/>
              <w:left w:val="single" w:color="auto" w:sz="6" w:space="0"/>
              <w:bottom w:val="single" w:color="auto" w:sz="6" w:space="0"/>
              <w:right w:val="single" w:color="auto" w:sz="6" w:space="0"/>
            </w:tcBorders>
            <w:vAlign w:val="center"/>
          </w:tcPr>
          <w:p w14:paraId="32FDE704">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得分</w:t>
            </w:r>
          </w:p>
        </w:tc>
        <w:tc>
          <w:tcPr>
            <w:tcW w:w="3394" w:type="dxa"/>
            <w:tcBorders>
              <w:top w:val="single" w:color="auto" w:sz="6" w:space="0"/>
              <w:left w:val="single" w:color="auto" w:sz="6" w:space="0"/>
              <w:bottom w:val="single" w:color="auto" w:sz="6" w:space="0"/>
              <w:right w:val="single" w:color="auto" w:sz="6" w:space="0"/>
            </w:tcBorders>
            <w:vAlign w:val="center"/>
          </w:tcPr>
          <w:p w14:paraId="1A7801CF">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详细说明</w:t>
            </w:r>
          </w:p>
        </w:tc>
      </w:tr>
      <w:tr w14:paraId="3CEE9A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5183C26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站房选址</w:t>
            </w:r>
          </w:p>
        </w:tc>
        <w:tc>
          <w:tcPr>
            <w:tcW w:w="2505" w:type="dxa"/>
            <w:tcBorders>
              <w:top w:val="single" w:color="auto" w:sz="6" w:space="0"/>
              <w:left w:val="single" w:color="auto" w:sz="6" w:space="0"/>
              <w:bottom w:val="single" w:color="auto" w:sz="6" w:space="0"/>
              <w:right w:val="single" w:color="auto" w:sz="6" w:space="0"/>
            </w:tcBorders>
            <w:vAlign w:val="center"/>
          </w:tcPr>
          <w:p w14:paraId="339ABD9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点位是否与国家和省厅批复的经纬度相同，有无变动</w:t>
            </w:r>
          </w:p>
        </w:tc>
        <w:tc>
          <w:tcPr>
            <w:tcW w:w="743" w:type="dxa"/>
            <w:tcBorders>
              <w:top w:val="single" w:color="auto" w:sz="6" w:space="0"/>
              <w:left w:val="single" w:color="auto" w:sz="6" w:space="0"/>
              <w:bottom w:val="single" w:color="auto" w:sz="6" w:space="0"/>
              <w:right w:val="single" w:color="auto" w:sz="6" w:space="0"/>
            </w:tcBorders>
            <w:vAlign w:val="center"/>
          </w:tcPr>
          <w:p w14:paraId="130FAB8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08" w:type="dxa"/>
            <w:tcBorders>
              <w:top w:val="single" w:color="auto" w:sz="6" w:space="0"/>
              <w:left w:val="single" w:color="auto" w:sz="6" w:space="0"/>
              <w:bottom w:val="single" w:color="auto" w:sz="6" w:space="0"/>
              <w:right w:val="single" w:color="auto" w:sz="6" w:space="0"/>
            </w:tcBorders>
            <w:vAlign w:val="center"/>
          </w:tcPr>
          <w:p w14:paraId="4D6A484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0E481DB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实测与批复经纬度误差在100米内</w:t>
            </w:r>
          </w:p>
        </w:tc>
      </w:tr>
      <w:tr w14:paraId="29AE30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201DDA9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运行环境</w:t>
            </w:r>
          </w:p>
        </w:tc>
        <w:tc>
          <w:tcPr>
            <w:tcW w:w="2505" w:type="dxa"/>
            <w:tcBorders>
              <w:top w:val="single" w:color="auto" w:sz="6" w:space="0"/>
              <w:left w:val="single" w:color="auto" w:sz="6" w:space="0"/>
              <w:bottom w:val="single" w:color="auto" w:sz="6" w:space="0"/>
              <w:right w:val="single" w:color="auto" w:sz="6" w:space="0"/>
            </w:tcBorders>
            <w:vAlign w:val="center"/>
          </w:tcPr>
          <w:p w14:paraId="55A059F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室内整洁、干燥（RH85%以下），空调运行正常（15~35℃），保障仪器适合工作环境。</w:t>
            </w:r>
          </w:p>
        </w:tc>
        <w:tc>
          <w:tcPr>
            <w:tcW w:w="743" w:type="dxa"/>
            <w:tcBorders>
              <w:top w:val="single" w:color="auto" w:sz="6" w:space="0"/>
              <w:left w:val="single" w:color="auto" w:sz="6" w:space="0"/>
              <w:bottom w:val="single" w:color="auto" w:sz="6" w:space="0"/>
              <w:right w:val="single" w:color="auto" w:sz="6" w:space="0"/>
            </w:tcBorders>
            <w:vAlign w:val="center"/>
          </w:tcPr>
          <w:p w14:paraId="3863897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08" w:type="dxa"/>
            <w:tcBorders>
              <w:top w:val="single" w:color="auto" w:sz="6" w:space="0"/>
              <w:left w:val="single" w:color="auto" w:sz="6" w:space="0"/>
              <w:bottom w:val="single" w:color="auto" w:sz="6" w:space="0"/>
              <w:right w:val="single" w:color="auto" w:sz="6" w:space="0"/>
            </w:tcBorders>
            <w:vAlign w:val="center"/>
          </w:tcPr>
          <w:p w14:paraId="0C588E0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58288B3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室内整洁，干燥和温度分别打分</w:t>
            </w:r>
          </w:p>
        </w:tc>
      </w:tr>
      <w:tr w14:paraId="083B89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10DAC8C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安全保障</w:t>
            </w:r>
          </w:p>
        </w:tc>
        <w:tc>
          <w:tcPr>
            <w:tcW w:w="2505" w:type="dxa"/>
            <w:tcBorders>
              <w:top w:val="single" w:color="auto" w:sz="6" w:space="0"/>
              <w:left w:val="single" w:color="auto" w:sz="6" w:space="0"/>
              <w:bottom w:val="single" w:color="auto" w:sz="6" w:space="0"/>
              <w:right w:val="single" w:color="auto" w:sz="6" w:space="0"/>
            </w:tcBorders>
            <w:vAlign w:val="center"/>
          </w:tcPr>
          <w:p w14:paraId="0BFC6D4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防护措施到位，防水、防雷和供电满足规范要求；保障相关人员和资产安全。</w:t>
            </w:r>
          </w:p>
        </w:tc>
        <w:tc>
          <w:tcPr>
            <w:tcW w:w="743" w:type="dxa"/>
            <w:tcBorders>
              <w:top w:val="single" w:color="auto" w:sz="6" w:space="0"/>
              <w:left w:val="single" w:color="auto" w:sz="6" w:space="0"/>
              <w:bottom w:val="single" w:color="auto" w:sz="6" w:space="0"/>
              <w:right w:val="single" w:color="auto" w:sz="6" w:space="0"/>
            </w:tcBorders>
            <w:vAlign w:val="center"/>
          </w:tcPr>
          <w:p w14:paraId="5A201C9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08" w:type="dxa"/>
            <w:tcBorders>
              <w:top w:val="single" w:color="auto" w:sz="6" w:space="0"/>
              <w:left w:val="single" w:color="auto" w:sz="6" w:space="0"/>
              <w:bottom w:val="single" w:color="auto" w:sz="6" w:space="0"/>
              <w:right w:val="single" w:color="auto" w:sz="6" w:space="0"/>
            </w:tcBorders>
            <w:vAlign w:val="center"/>
          </w:tcPr>
          <w:p w14:paraId="0EC29A9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4D71477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防水、防雷和UPS供电保障分别打分</w:t>
            </w:r>
          </w:p>
        </w:tc>
      </w:tr>
      <w:tr w14:paraId="112770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4380061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监测项目</w:t>
            </w:r>
          </w:p>
        </w:tc>
        <w:tc>
          <w:tcPr>
            <w:tcW w:w="2505" w:type="dxa"/>
            <w:tcBorders>
              <w:top w:val="single" w:color="auto" w:sz="6" w:space="0"/>
              <w:left w:val="single" w:color="auto" w:sz="6" w:space="0"/>
              <w:bottom w:val="single" w:color="auto" w:sz="6" w:space="0"/>
              <w:right w:val="single" w:color="auto" w:sz="6" w:space="0"/>
            </w:tcBorders>
            <w:vAlign w:val="center"/>
          </w:tcPr>
          <w:p w14:paraId="72FD805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常规六项监测是否齐全，仪器分析方法是否符合规范要求，PM2.5监测仪是否有补偿系统（振荡天平FDMS）或动态加热系统（β射线法DHS）</w:t>
            </w:r>
          </w:p>
        </w:tc>
        <w:tc>
          <w:tcPr>
            <w:tcW w:w="743" w:type="dxa"/>
            <w:tcBorders>
              <w:top w:val="single" w:color="auto" w:sz="6" w:space="0"/>
              <w:left w:val="single" w:color="auto" w:sz="6" w:space="0"/>
              <w:bottom w:val="single" w:color="auto" w:sz="6" w:space="0"/>
              <w:right w:val="single" w:color="auto" w:sz="6" w:space="0"/>
            </w:tcBorders>
            <w:vAlign w:val="center"/>
          </w:tcPr>
          <w:p w14:paraId="57FD3D5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5CA013F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5A4A388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缺少一项或任一分析方法不符合规范扣分；PM2.5无补偿系统扣分</w:t>
            </w:r>
          </w:p>
        </w:tc>
      </w:tr>
      <w:tr w14:paraId="64CAD7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58F71E8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采样系统的规范性</w:t>
            </w:r>
          </w:p>
        </w:tc>
        <w:tc>
          <w:tcPr>
            <w:tcW w:w="2505" w:type="dxa"/>
            <w:tcBorders>
              <w:top w:val="single" w:color="auto" w:sz="6" w:space="0"/>
              <w:left w:val="single" w:color="auto" w:sz="6" w:space="0"/>
              <w:bottom w:val="single" w:color="auto" w:sz="6" w:space="0"/>
              <w:right w:val="single" w:color="auto" w:sz="6" w:space="0"/>
            </w:tcBorders>
            <w:vAlign w:val="center"/>
          </w:tcPr>
          <w:p w14:paraId="5864B61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采样口设置是否符合规范：3-25m高，270°水平面捕集空间（靠近建筑物则为180°），50m范围内无明显污染源；</w:t>
            </w:r>
          </w:p>
          <w:p w14:paraId="2B1B7FA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采样总管和支管的设置是否符合规范</w:t>
            </w:r>
          </w:p>
        </w:tc>
        <w:tc>
          <w:tcPr>
            <w:tcW w:w="743" w:type="dxa"/>
            <w:tcBorders>
              <w:top w:val="single" w:color="auto" w:sz="6" w:space="0"/>
              <w:left w:val="single" w:color="auto" w:sz="6" w:space="0"/>
              <w:bottom w:val="single" w:color="auto" w:sz="6" w:space="0"/>
              <w:right w:val="single" w:color="auto" w:sz="6" w:space="0"/>
            </w:tcBorders>
            <w:vAlign w:val="center"/>
          </w:tcPr>
          <w:p w14:paraId="38F6BE7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7E9D36A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1E98846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采样高度过高过低扣分；采样水平空间情况不符合扣分</w:t>
            </w:r>
          </w:p>
          <w:p w14:paraId="57A3BAF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周边有明显污染源扣分；采样管路不符合规范扣分</w:t>
            </w:r>
          </w:p>
        </w:tc>
      </w:tr>
      <w:tr w14:paraId="7B6DE0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5D3E014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日常监测</w:t>
            </w:r>
          </w:p>
        </w:tc>
        <w:tc>
          <w:tcPr>
            <w:tcW w:w="2505" w:type="dxa"/>
            <w:tcBorders>
              <w:top w:val="single" w:color="auto" w:sz="6" w:space="0"/>
              <w:left w:val="single" w:color="auto" w:sz="6" w:space="0"/>
              <w:bottom w:val="single" w:color="auto" w:sz="6" w:space="0"/>
              <w:right w:val="single" w:color="auto" w:sz="6" w:space="0"/>
            </w:tcBorders>
            <w:vAlign w:val="center"/>
          </w:tcPr>
          <w:p w14:paraId="0F09453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有效数据上传率平台统计</w:t>
            </w:r>
          </w:p>
        </w:tc>
        <w:tc>
          <w:tcPr>
            <w:tcW w:w="743" w:type="dxa"/>
            <w:tcBorders>
              <w:top w:val="single" w:color="auto" w:sz="6" w:space="0"/>
              <w:left w:val="single" w:color="auto" w:sz="6" w:space="0"/>
              <w:bottom w:val="single" w:color="auto" w:sz="6" w:space="0"/>
              <w:right w:val="single" w:color="auto" w:sz="6" w:space="0"/>
            </w:tcBorders>
            <w:vAlign w:val="center"/>
          </w:tcPr>
          <w:p w14:paraId="3033FA6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4C17E97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3C6884D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在93%（含）以上，满分；75%(含)以上，合格；75%以下的，不合格，0分。75%-93%区间得分为：（x-74）×10/19</w:t>
            </w:r>
          </w:p>
        </w:tc>
      </w:tr>
      <w:tr w14:paraId="16C6F8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3C340BD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数据处理和上报</w:t>
            </w:r>
          </w:p>
        </w:tc>
        <w:tc>
          <w:tcPr>
            <w:tcW w:w="2505" w:type="dxa"/>
            <w:tcBorders>
              <w:top w:val="single" w:color="auto" w:sz="6" w:space="0"/>
              <w:left w:val="single" w:color="auto" w:sz="6" w:space="0"/>
              <w:bottom w:val="single" w:color="auto" w:sz="6" w:space="0"/>
              <w:right w:val="single" w:color="auto" w:sz="6" w:space="0"/>
            </w:tcBorders>
            <w:vAlign w:val="center"/>
          </w:tcPr>
          <w:p w14:paraId="4EB5198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按要求做好日常监测数据的汇总处理，对每次的异常数据能及时监测到并处理上报。酌情打分。</w:t>
            </w:r>
          </w:p>
        </w:tc>
        <w:tc>
          <w:tcPr>
            <w:tcW w:w="743" w:type="dxa"/>
            <w:tcBorders>
              <w:top w:val="single" w:color="auto" w:sz="6" w:space="0"/>
              <w:left w:val="single" w:color="auto" w:sz="6" w:space="0"/>
              <w:bottom w:val="single" w:color="auto" w:sz="6" w:space="0"/>
              <w:right w:val="single" w:color="auto" w:sz="6" w:space="0"/>
            </w:tcBorders>
            <w:vAlign w:val="center"/>
          </w:tcPr>
          <w:p w14:paraId="36B9DB3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43F36B8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7286C51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r>
      <w:tr w14:paraId="409772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0524A67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持证上岗</w:t>
            </w:r>
          </w:p>
        </w:tc>
        <w:tc>
          <w:tcPr>
            <w:tcW w:w="2505" w:type="dxa"/>
            <w:tcBorders>
              <w:top w:val="single" w:color="auto" w:sz="6" w:space="0"/>
              <w:left w:val="single" w:color="auto" w:sz="6" w:space="0"/>
              <w:bottom w:val="single" w:color="auto" w:sz="6" w:space="0"/>
              <w:right w:val="single" w:color="auto" w:sz="6" w:space="0"/>
            </w:tcBorders>
            <w:vAlign w:val="center"/>
          </w:tcPr>
          <w:p w14:paraId="35FC985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站点管理人员每三年参加一次全省空气自动站技术培训，合格持有上岗证。酌情打分。</w:t>
            </w:r>
          </w:p>
        </w:tc>
        <w:tc>
          <w:tcPr>
            <w:tcW w:w="743" w:type="dxa"/>
            <w:tcBorders>
              <w:top w:val="single" w:color="auto" w:sz="6" w:space="0"/>
              <w:left w:val="single" w:color="auto" w:sz="6" w:space="0"/>
              <w:bottom w:val="single" w:color="auto" w:sz="6" w:space="0"/>
              <w:right w:val="single" w:color="auto" w:sz="6" w:space="0"/>
            </w:tcBorders>
            <w:vAlign w:val="center"/>
          </w:tcPr>
          <w:p w14:paraId="7C27D0B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0FBB611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5382135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r>
      <w:tr w14:paraId="15BCC5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55D5ECA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档案记录和管理</w:t>
            </w:r>
          </w:p>
        </w:tc>
        <w:tc>
          <w:tcPr>
            <w:tcW w:w="2505" w:type="dxa"/>
            <w:tcBorders>
              <w:top w:val="single" w:color="auto" w:sz="6" w:space="0"/>
              <w:left w:val="single" w:color="auto" w:sz="6" w:space="0"/>
              <w:bottom w:val="single" w:color="auto" w:sz="6" w:space="0"/>
              <w:right w:val="single" w:color="auto" w:sz="6" w:space="0"/>
            </w:tcBorders>
            <w:vAlign w:val="center"/>
          </w:tcPr>
          <w:p w14:paraId="35B9108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巡检记录、校准设备每年计量认证、仪器校准、标气使用、管路清洁维护、突发情况等信息记录在档。酌情打分。</w:t>
            </w:r>
          </w:p>
        </w:tc>
        <w:tc>
          <w:tcPr>
            <w:tcW w:w="743" w:type="dxa"/>
            <w:tcBorders>
              <w:top w:val="single" w:color="auto" w:sz="6" w:space="0"/>
              <w:left w:val="single" w:color="auto" w:sz="6" w:space="0"/>
              <w:bottom w:val="single" w:color="auto" w:sz="6" w:space="0"/>
              <w:right w:val="single" w:color="auto" w:sz="6" w:space="0"/>
            </w:tcBorders>
            <w:vAlign w:val="center"/>
          </w:tcPr>
          <w:p w14:paraId="3918B99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28E7C40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32D922C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缺少任一记录扣分</w:t>
            </w:r>
          </w:p>
        </w:tc>
      </w:tr>
      <w:tr w14:paraId="34D631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3982546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巡检和考核配合</w:t>
            </w:r>
          </w:p>
        </w:tc>
        <w:tc>
          <w:tcPr>
            <w:tcW w:w="2505" w:type="dxa"/>
            <w:tcBorders>
              <w:top w:val="single" w:color="auto" w:sz="6" w:space="0"/>
              <w:left w:val="single" w:color="auto" w:sz="6" w:space="0"/>
              <w:bottom w:val="single" w:color="auto" w:sz="6" w:space="0"/>
              <w:right w:val="single" w:color="auto" w:sz="6" w:space="0"/>
            </w:tcBorders>
            <w:vAlign w:val="center"/>
          </w:tcPr>
          <w:p w14:paraId="164E6D6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要求接到通知后一个半小时内达到检测点位配合巡检工作情况</w:t>
            </w:r>
          </w:p>
        </w:tc>
        <w:tc>
          <w:tcPr>
            <w:tcW w:w="743" w:type="dxa"/>
            <w:tcBorders>
              <w:top w:val="single" w:color="auto" w:sz="6" w:space="0"/>
              <w:left w:val="single" w:color="auto" w:sz="6" w:space="0"/>
              <w:bottom w:val="single" w:color="auto" w:sz="6" w:space="0"/>
              <w:right w:val="single" w:color="auto" w:sz="6" w:space="0"/>
            </w:tcBorders>
            <w:vAlign w:val="center"/>
          </w:tcPr>
          <w:p w14:paraId="4227611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08" w:type="dxa"/>
            <w:tcBorders>
              <w:top w:val="single" w:color="auto" w:sz="6" w:space="0"/>
              <w:left w:val="single" w:color="auto" w:sz="6" w:space="0"/>
              <w:bottom w:val="single" w:color="auto" w:sz="6" w:space="0"/>
              <w:right w:val="single" w:color="auto" w:sz="6" w:space="0"/>
            </w:tcBorders>
            <w:vAlign w:val="center"/>
          </w:tcPr>
          <w:p w14:paraId="04A0875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719DAD0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配合积极满分；配合一般的2分；很不配合的：0分，规定时间未到：考核总分0分。</w:t>
            </w:r>
          </w:p>
        </w:tc>
      </w:tr>
      <w:tr w14:paraId="2F791E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10ED305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采样状况</w:t>
            </w:r>
          </w:p>
        </w:tc>
        <w:tc>
          <w:tcPr>
            <w:tcW w:w="2505" w:type="dxa"/>
            <w:tcBorders>
              <w:top w:val="single" w:color="auto" w:sz="6" w:space="0"/>
              <w:left w:val="single" w:color="auto" w:sz="6" w:space="0"/>
              <w:bottom w:val="single" w:color="auto" w:sz="6" w:space="0"/>
              <w:right w:val="single" w:color="auto" w:sz="6" w:space="0"/>
            </w:tcBorders>
            <w:vAlign w:val="center"/>
          </w:tcPr>
          <w:p w14:paraId="7083E72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采样口有无异物，采样管路是否干净通畅；</w:t>
            </w:r>
          </w:p>
          <w:p w14:paraId="3833B8B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采样总管和PM10采样管有无加热（40℃），有无避免空调直吹</w:t>
            </w:r>
          </w:p>
        </w:tc>
        <w:tc>
          <w:tcPr>
            <w:tcW w:w="743" w:type="dxa"/>
            <w:tcBorders>
              <w:top w:val="single" w:color="auto" w:sz="6" w:space="0"/>
              <w:left w:val="single" w:color="auto" w:sz="6" w:space="0"/>
              <w:bottom w:val="single" w:color="auto" w:sz="6" w:space="0"/>
              <w:right w:val="single" w:color="auto" w:sz="6" w:space="0"/>
            </w:tcBorders>
            <w:vAlign w:val="center"/>
          </w:tcPr>
          <w:p w14:paraId="2469C92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08" w:type="dxa"/>
            <w:tcBorders>
              <w:top w:val="single" w:color="auto" w:sz="6" w:space="0"/>
              <w:left w:val="single" w:color="auto" w:sz="6" w:space="0"/>
              <w:bottom w:val="single" w:color="auto" w:sz="6" w:space="0"/>
              <w:right w:val="single" w:color="auto" w:sz="6" w:space="0"/>
            </w:tcBorders>
            <w:vAlign w:val="center"/>
          </w:tcPr>
          <w:p w14:paraId="27185C5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7604868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一旦发现人为干扰正常采样的，考核总分为0分，并全省通报批评。</w:t>
            </w:r>
          </w:p>
          <w:p w14:paraId="5E9B9CE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采样口与管路不干净扣分</w:t>
            </w:r>
          </w:p>
          <w:p w14:paraId="1E5E2E7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未加热扣分</w:t>
            </w:r>
          </w:p>
          <w:p w14:paraId="0DB4DDC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空调直吹扣分</w:t>
            </w:r>
          </w:p>
        </w:tc>
      </w:tr>
      <w:tr w14:paraId="50CCAE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0C2FDF0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数采仪状况</w:t>
            </w:r>
          </w:p>
        </w:tc>
        <w:tc>
          <w:tcPr>
            <w:tcW w:w="2505" w:type="dxa"/>
            <w:tcBorders>
              <w:top w:val="single" w:color="auto" w:sz="6" w:space="0"/>
              <w:left w:val="single" w:color="auto" w:sz="6" w:space="0"/>
              <w:bottom w:val="single" w:color="auto" w:sz="6" w:space="0"/>
              <w:right w:val="single" w:color="auto" w:sz="6" w:space="0"/>
            </w:tcBorders>
            <w:vAlign w:val="center"/>
          </w:tcPr>
          <w:p w14:paraId="1661117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数采仪工作正常，工控机显示数据与仪器数据一致。</w:t>
            </w:r>
          </w:p>
        </w:tc>
        <w:tc>
          <w:tcPr>
            <w:tcW w:w="743" w:type="dxa"/>
            <w:tcBorders>
              <w:top w:val="single" w:color="auto" w:sz="6" w:space="0"/>
              <w:left w:val="single" w:color="auto" w:sz="6" w:space="0"/>
              <w:bottom w:val="single" w:color="auto" w:sz="6" w:space="0"/>
              <w:right w:val="single" w:color="auto" w:sz="6" w:space="0"/>
            </w:tcBorders>
            <w:vAlign w:val="center"/>
          </w:tcPr>
          <w:p w14:paraId="3001525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408BE32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6ECA9DA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仪器显示与数据平台不一致扣分</w:t>
            </w:r>
          </w:p>
        </w:tc>
      </w:tr>
      <w:tr w14:paraId="512C52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4B15236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仪器状况</w:t>
            </w:r>
          </w:p>
        </w:tc>
        <w:tc>
          <w:tcPr>
            <w:tcW w:w="2505" w:type="dxa"/>
            <w:tcBorders>
              <w:top w:val="single" w:color="auto" w:sz="6" w:space="0"/>
              <w:left w:val="single" w:color="auto" w:sz="6" w:space="0"/>
              <w:bottom w:val="single" w:color="auto" w:sz="6" w:space="0"/>
              <w:right w:val="single" w:color="auto" w:sz="6" w:space="0"/>
            </w:tcBorders>
            <w:vAlign w:val="center"/>
          </w:tcPr>
          <w:p w14:paraId="6C77719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仪器运行正常，无报警；出现报警及时上报并进行维修处理。</w:t>
            </w:r>
          </w:p>
        </w:tc>
        <w:tc>
          <w:tcPr>
            <w:tcW w:w="743" w:type="dxa"/>
            <w:tcBorders>
              <w:top w:val="single" w:color="auto" w:sz="6" w:space="0"/>
              <w:left w:val="single" w:color="auto" w:sz="6" w:space="0"/>
              <w:bottom w:val="single" w:color="auto" w:sz="6" w:space="0"/>
              <w:right w:val="single" w:color="auto" w:sz="6" w:space="0"/>
            </w:tcBorders>
            <w:vAlign w:val="center"/>
          </w:tcPr>
          <w:p w14:paraId="303B1AC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08" w:type="dxa"/>
            <w:tcBorders>
              <w:top w:val="single" w:color="auto" w:sz="6" w:space="0"/>
              <w:left w:val="single" w:color="auto" w:sz="6" w:space="0"/>
              <w:bottom w:val="single" w:color="auto" w:sz="6" w:space="0"/>
              <w:right w:val="single" w:color="auto" w:sz="6" w:space="0"/>
            </w:tcBorders>
            <w:vAlign w:val="center"/>
          </w:tcPr>
          <w:p w14:paraId="3B5A4E7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4AC0D55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发现仪器报警未及时处理扣分</w:t>
            </w:r>
          </w:p>
        </w:tc>
      </w:tr>
      <w:tr w14:paraId="226111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1015722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流量准确性</w:t>
            </w:r>
          </w:p>
        </w:tc>
        <w:tc>
          <w:tcPr>
            <w:tcW w:w="2505" w:type="dxa"/>
            <w:tcBorders>
              <w:top w:val="single" w:color="auto" w:sz="6" w:space="0"/>
              <w:left w:val="single" w:color="auto" w:sz="6" w:space="0"/>
              <w:bottom w:val="single" w:color="auto" w:sz="6" w:space="0"/>
              <w:right w:val="single" w:color="auto" w:sz="6" w:space="0"/>
            </w:tcBorders>
            <w:vAlign w:val="center"/>
          </w:tcPr>
          <w:p w14:paraId="2CE7A7F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动态校准仪的零气MFC流量、标气MFC流量与标准流量计误差是否在2%以内；</w:t>
            </w:r>
          </w:p>
          <w:p w14:paraId="534BF94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SO2、NOx、CO、O3采样流量误差是否在10%以内；</w:t>
            </w:r>
          </w:p>
          <w:p w14:paraId="3212716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颗粒物采样流量误差是否在5%以内；</w:t>
            </w:r>
          </w:p>
        </w:tc>
        <w:tc>
          <w:tcPr>
            <w:tcW w:w="743" w:type="dxa"/>
            <w:tcBorders>
              <w:top w:val="single" w:color="auto" w:sz="6" w:space="0"/>
              <w:left w:val="single" w:color="auto" w:sz="6" w:space="0"/>
              <w:bottom w:val="single" w:color="auto" w:sz="6" w:space="0"/>
              <w:right w:val="single" w:color="auto" w:sz="6" w:space="0"/>
            </w:tcBorders>
            <w:vAlign w:val="center"/>
          </w:tcPr>
          <w:p w14:paraId="6C214E7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08" w:type="dxa"/>
            <w:tcBorders>
              <w:top w:val="single" w:color="auto" w:sz="6" w:space="0"/>
              <w:left w:val="single" w:color="auto" w:sz="6" w:space="0"/>
              <w:bottom w:val="single" w:color="auto" w:sz="6" w:space="0"/>
              <w:right w:val="single" w:color="auto" w:sz="6" w:space="0"/>
            </w:tcBorders>
            <w:vAlign w:val="center"/>
          </w:tcPr>
          <w:p w14:paraId="0A8304F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58AAEFB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校准仪零气流量   ml，流量计流量   ml，误差   %</w:t>
            </w:r>
          </w:p>
          <w:p w14:paraId="7C84794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校准仪标气（任选）流量   ml，流量计流量   ml，误差   %</w:t>
            </w:r>
          </w:p>
          <w:p w14:paraId="44E67E4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气体监测仪器流量检测方式同校准仪</w:t>
            </w:r>
          </w:p>
          <w:p w14:paraId="3E36BD1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任一不在误差要求范围内即扣分</w:t>
            </w:r>
          </w:p>
        </w:tc>
      </w:tr>
      <w:tr w14:paraId="47EAB2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145EFB7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气体测量准确性</w:t>
            </w:r>
          </w:p>
        </w:tc>
        <w:tc>
          <w:tcPr>
            <w:tcW w:w="2505" w:type="dxa"/>
            <w:tcBorders>
              <w:top w:val="single" w:color="auto" w:sz="6" w:space="0"/>
              <w:left w:val="single" w:color="auto" w:sz="6" w:space="0"/>
              <w:bottom w:val="single" w:color="auto" w:sz="6" w:space="0"/>
              <w:right w:val="single" w:color="auto" w:sz="6" w:space="0"/>
            </w:tcBorders>
            <w:vAlign w:val="center"/>
          </w:tcPr>
          <w:p w14:paraId="61E797B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SO2、CO、NO仪器T90响应时间是否在5分钟内；</w:t>
            </w:r>
          </w:p>
          <w:p w14:paraId="64E7EC2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浓度误差是否在10%以内</w:t>
            </w:r>
          </w:p>
        </w:tc>
        <w:tc>
          <w:tcPr>
            <w:tcW w:w="743" w:type="dxa"/>
            <w:tcBorders>
              <w:top w:val="single" w:color="auto" w:sz="6" w:space="0"/>
              <w:left w:val="single" w:color="auto" w:sz="6" w:space="0"/>
              <w:bottom w:val="single" w:color="auto" w:sz="6" w:space="0"/>
              <w:right w:val="single" w:color="auto" w:sz="6" w:space="0"/>
            </w:tcBorders>
            <w:vAlign w:val="center"/>
          </w:tcPr>
          <w:p w14:paraId="63536EA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08" w:type="dxa"/>
            <w:tcBorders>
              <w:top w:val="single" w:color="auto" w:sz="6" w:space="0"/>
              <w:left w:val="single" w:color="auto" w:sz="6" w:space="0"/>
              <w:bottom w:val="single" w:color="auto" w:sz="6" w:space="0"/>
              <w:right w:val="single" w:color="auto" w:sz="6" w:space="0"/>
            </w:tcBorders>
            <w:vAlign w:val="center"/>
          </w:tcPr>
          <w:p w14:paraId="533F3FD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41CAB89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SO2标气稀释输出浓度   ppb，SO2仪器显示浓度   ppb，误差   %</w:t>
            </w:r>
          </w:p>
          <w:p w14:paraId="76C9FC5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达到设定浓度90%的时间   min</w:t>
            </w:r>
          </w:p>
          <w:p w14:paraId="2492007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任一不在浓度误差要求范围内扣分</w:t>
            </w:r>
          </w:p>
          <w:p w14:paraId="6D40DC1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任一T90大于5分钟内扣分</w:t>
            </w:r>
          </w:p>
        </w:tc>
      </w:tr>
      <w:tr w14:paraId="3F0890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6748929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系统保障</w:t>
            </w:r>
          </w:p>
        </w:tc>
        <w:tc>
          <w:tcPr>
            <w:tcW w:w="2505" w:type="dxa"/>
            <w:tcBorders>
              <w:top w:val="single" w:color="auto" w:sz="6" w:space="0"/>
              <w:left w:val="single" w:color="auto" w:sz="6" w:space="0"/>
              <w:bottom w:val="single" w:color="auto" w:sz="6" w:space="0"/>
              <w:right w:val="single" w:color="auto" w:sz="6" w:space="0"/>
            </w:tcBorders>
            <w:vAlign w:val="center"/>
          </w:tcPr>
          <w:p w14:paraId="0BA57E1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是否有备机且备机符合规范要求</w:t>
            </w:r>
          </w:p>
          <w:p w14:paraId="3E9049A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是否有质控实验室和系统支持实验室</w:t>
            </w:r>
          </w:p>
        </w:tc>
        <w:tc>
          <w:tcPr>
            <w:tcW w:w="743" w:type="dxa"/>
            <w:tcBorders>
              <w:top w:val="single" w:color="auto" w:sz="6" w:space="0"/>
              <w:left w:val="single" w:color="auto" w:sz="6" w:space="0"/>
              <w:bottom w:val="single" w:color="auto" w:sz="6" w:space="0"/>
              <w:right w:val="single" w:color="auto" w:sz="6" w:space="0"/>
            </w:tcBorders>
            <w:vAlign w:val="center"/>
          </w:tcPr>
          <w:p w14:paraId="156F41F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6FC697E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02BF493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无备机、备机不全或备机不符合规范扣分</w:t>
            </w:r>
          </w:p>
          <w:p w14:paraId="0925516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无质控实验室或未达到要求扣分</w:t>
            </w:r>
          </w:p>
          <w:p w14:paraId="6A62D0F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无系统支持实验室或未达到要求扣分</w:t>
            </w:r>
          </w:p>
        </w:tc>
      </w:tr>
    </w:tbl>
    <w:p w14:paraId="7119DB37">
      <w:pPr>
        <w:keepNext w:val="0"/>
        <w:keepLines w:val="0"/>
        <w:pageBreakBefore w:val="0"/>
        <w:widowControl w:val="0"/>
        <w:kinsoku/>
        <w:wordWrap/>
        <w:overflowPunct/>
        <w:topLinePunct w:val="0"/>
        <w:autoSpaceDE/>
        <w:autoSpaceDN/>
        <w:bidi w:val="0"/>
        <w:snapToGrid/>
        <w:spacing w:line="360" w:lineRule="auto"/>
        <w:ind w:left="0" w:leftChars="0" w:right="0" w:firstLine="422" w:firstLineChars="200"/>
        <w:jc w:val="left"/>
        <w:textAlignment w:val="auto"/>
        <w:outlineLvl w:val="9"/>
        <w:rPr>
          <w:rFonts w:hint="eastAsia" w:ascii="宋体" w:hAnsi="宋体" w:eastAsia="宋体" w:cs="宋体"/>
          <w:b/>
          <w:color w:val="auto"/>
          <w:sz w:val="21"/>
          <w:szCs w:val="21"/>
          <w:highlight w:val="none"/>
          <w:lang w:val="en-US" w:eastAsia="zh-CN"/>
        </w:rPr>
      </w:pPr>
    </w:p>
    <w:p w14:paraId="78A3DDD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三、商务要求：</w:t>
      </w:r>
    </w:p>
    <w:p w14:paraId="123E4211">
      <w:pPr>
        <w:keepNext w:val="0"/>
        <w:keepLines w:val="0"/>
        <w:pageBreakBefore w:val="0"/>
        <w:widowControl w:val="0"/>
        <w:kinsoku/>
        <w:wordWrap/>
        <w:overflowPunct/>
        <w:topLinePunct w:val="0"/>
        <w:autoSpaceDE/>
        <w:autoSpaceDN/>
        <w:bidi w:val="0"/>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bidi="ar"/>
        </w:rPr>
        <w:t>1、付款</w:t>
      </w:r>
      <w:r>
        <w:rPr>
          <w:rFonts w:hint="eastAsia" w:ascii="宋体" w:hAnsi="宋体" w:eastAsia="宋体" w:cs="宋体"/>
          <w:b/>
          <w:bCs/>
          <w:color w:val="auto"/>
          <w:kern w:val="0"/>
          <w:sz w:val="21"/>
          <w:szCs w:val="21"/>
          <w:highlight w:val="none"/>
          <w:lang w:val="en-US" w:eastAsia="zh-CN" w:bidi="ar"/>
        </w:rPr>
        <w:t>方式</w:t>
      </w:r>
      <w:r>
        <w:rPr>
          <w:rFonts w:hint="eastAsia" w:ascii="宋体" w:hAnsi="宋体" w:eastAsia="宋体" w:cs="宋体"/>
          <w:b/>
          <w:bCs/>
          <w:color w:val="auto"/>
          <w:kern w:val="0"/>
          <w:sz w:val="21"/>
          <w:szCs w:val="21"/>
          <w:highlight w:val="none"/>
          <w:lang w:bidi="ar"/>
        </w:rPr>
        <w:t>：</w:t>
      </w:r>
    </w:p>
    <w:p w14:paraId="49B3994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（1）签订合同后，在合同生效以及具备实施条件后7个工作日内支付合同第一年计划金额的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0%作为预付款，运维满12个月后</w:t>
      </w: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考核</w:t>
      </w:r>
      <w:r>
        <w:rPr>
          <w:rFonts w:hint="eastAsia" w:ascii="宋体" w:hAnsi="宋体" w:cs="宋体"/>
          <w:color w:val="auto"/>
          <w:sz w:val="21"/>
          <w:szCs w:val="21"/>
          <w:highlight w:val="none"/>
          <w:lang w:val="en-US" w:eastAsia="zh-CN"/>
        </w:rPr>
        <w:t>结果</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当</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剩余款项</w:t>
      </w:r>
      <w:r>
        <w:rPr>
          <w:rFonts w:hint="eastAsia" w:ascii="宋体" w:hAnsi="宋体" w:eastAsia="宋体" w:cs="宋体"/>
          <w:color w:val="auto"/>
          <w:sz w:val="21"/>
          <w:szCs w:val="21"/>
          <w:highlight w:val="none"/>
          <w:lang w:val="en-US" w:eastAsia="zh-CN"/>
        </w:rPr>
        <w:t>。</w:t>
      </w:r>
    </w:p>
    <w:p w14:paraId="5B66200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（2）运维满12个月后支付合同第二年计划金额的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0%作为预付款，运维满24个月后</w:t>
      </w: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考核</w:t>
      </w:r>
      <w:r>
        <w:rPr>
          <w:rFonts w:hint="eastAsia" w:ascii="宋体" w:hAnsi="宋体" w:cs="宋体"/>
          <w:color w:val="auto"/>
          <w:sz w:val="21"/>
          <w:szCs w:val="21"/>
          <w:highlight w:val="none"/>
          <w:lang w:val="en-US" w:eastAsia="zh-CN"/>
        </w:rPr>
        <w:t>结果</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当</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剩余款项</w:t>
      </w:r>
      <w:r>
        <w:rPr>
          <w:rFonts w:hint="eastAsia" w:ascii="宋体" w:hAnsi="宋体" w:eastAsia="宋体" w:cs="宋体"/>
          <w:color w:val="auto"/>
          <w:sz w:val="21"/>
          <w:szCs w:val="21"/>
          <w:highlight w:val="none"/>
          <w:lang w:val="en-US" w:eastAsia="zh-CN"/>
        </w:rPr>
        <w:t>。</w:t>
      </w:r>
    </w:p>
    <w:p w14:paraId="015F3A5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（3）运维满24个月后支付合同第三年计划金额的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0%作为预付款，运维满36个月后</w:t>
      </w: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考核</w:t>
      </w:r>
      <w:r>
        <w:rPr>
          <w:rFonts w:hint="eastAsia" w:ascii="宋体" w:hAnsi="宋体" w:cs="宋体"/>
          <w:color w:val="auto"/>
          <w:sz w:val="21"/>
          <w:szCs w:val="21"/>
          <w:highlight w:val="none"/>
          <w:lang w:val="en-US" w:eastAsia="zh-CN"/>
        </w:rPr>
        <w:t>结果</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当</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剩余款项</w:t>
      </w:r>
      <w:r>
        <w:rPr>
          <w:rFonts w:hint="eastAsia" w:ascii="宋体" w:hAnsi="宋体" w:eastAsia="宋体" w:cs="宋体"/>
          <w:color w:val="auto"/>
          <w:sz w:val="21"/>
          <w:szCs w:val="21"/>
          <w:highlight w:val="none"/>
          <w:lang w:val="en-US" w:eastAsia="zh-CN"/>
        </w:rPr>
        <w:t>。</w:t>
      </w:r>
    </w:p>
    <w:p w14:paraId="284C369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如因考核不达标导致扣款的，相关费用在支付时进行扣除。</w:t>
      </w:r>
    </w:p>
    <w:p w14:paraId="6F43C0C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注：运维结束后经专家评审讨论通过后支付尾款（如遇特殊情况，双方协商解决）。</w:t>
      </w:r>
    </w:p>
    <w:p w14:paraId="5952397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en-US" w:eastAsia="zh-CN"/>
        </w:rPr>
      </w:pPr>
    </w:p>
    <w:p w14:paraId="19F6239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2、服务期：</w:t>
      </w:r>
    </w:p>
    <w:p w14:paraId="219206E3">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highlight w:val="none"/>
          <w:u w:val="single"/>
        </w:rPr>
        <w:t xml:space="preserve">3 </w:t>
      </w:r>
      <w:r>
        <w:rPr>
          <w:rFonts w:hint="eastAsia" w:ascii="宋体" w:hAnsi="宋体" w:eastAsia="宋体" w:cs="宋体"/>
          <w:bCs/>
          <w:color w:val="auto"/>
          <w:highlight w:val="none"/>
        </w:rPr>
        <w:t>年</w:t>
      </w:r>
      <w:r>
        <w:rPr>
          <w:rFonts w:hint="eastAsia" w:ascii="宋体" w:hAnsi="宋体" w:eastAsia="宋体" w:cs="宋体"/>
          <w:bCs/>
          <w:color w:val="auto"/>
          <w:highlight w:val="none"/>
          <w:lang w:eastAsia="zh-CN"/>
        </w:rPr>
        <w:t>，</w:t>
      </w:r>
      <w:r>
        <w:rPr>
          <w:rFonts w:hint="eastAsia" w:ascii="宋体" w:hAnsi="宋体" w:eastAsia="宋体" w:cs="宋体"/>
          <w:color w:val="auto"/>
          <w:sz w:val="21"/>
          <w:szCs w:val="21"/>
          <w:highlight w:val="none"/>
          <w:lang w:val="en-US" w:eastAsia="zh-CN"/>
        </w:rPr>
        <w:t>第二年或第三年财政预算金额未达到原合同金额或者第二年或第三年财政预算未通过的，第二年或第三年合同的约定自动失效。</w:t>
      </w:r>
    </w:p>
    <w:p w14:paraId="57BDC9B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金清气站运维期限：自合同签订之日起</w:t>
      </w:r>
      <w:r>
        <w:rPr>
          <w:rFonts w:hint="eastAsia" w:hAnsi="宋体" w:cs="宋体"/>
          <w:color w:val="auto"/>
          <w:sz w:val="21"/>
          <w:szCs w:val="21"/>
          <w:highlight w:val="none"/>
          <w:lang w:val="en-US" w:eastAsia="zh-CN"/>
        </w:rPr>
        <w:t>三年</w:t>
      </w:r>
      <w:r>
        <w:rPr>
          <w:rFonts w:hint="eastAsia" w:ascii="宋体" w:hAnsi="宋体" w:eastAsia="宋体" w:cs="宋体"/>
          <w:color w:val="auto"/>
          <w:sz w:val="21"/>
          <w:szCs w:val="21"/>
          <w:highlight w:val="none"/>
          <w:lang w:val="en-US" w:eastAsia="zh-CN"/>
        </w:rPr>
        <w:t>。</w:t>
      </w:r>
    </w:p>
    <w:p w14:paraId="772D918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路桥中学站运维期限：</w:t>
      </w:r>
      <w:r>
        <w:rPr>
          <w:rFonts w:hint="eastAsia" w:hAnsi="宋体" w:cs="宋体"/>
          <w:color w:val="auto"/>
          <w:sz w:val="21"/>
          <w:szCs w:val="21"/>
          <w:highlight w:val="none"/>
          <w:lang w:val="en-US" w:eastAsia="zh-CN"/>
        </w:rPr>
        <w:t>三年，自2024年10月1日起至2027年10月1日</w:t>
      </w:r>
      <w:r>
        <w:rPr>
          <w:rFonts w:hint="eastAsia" w:ascii="宋体" w:hAnsi="宋体" w:eastAsia="宋体" w:cs="宋体"/>
          <w:color w:val="auto"/>
          <w:kern w:val="0"/>
          <w:sz w:val="21"/>
          <w:szCs w:val="21"/>
          <w:highlight w:val="none"/>
          <w:lang w:val="en-US" w:eastAsia="zh-CN" w:bidi="ar"/>
        </w:rPr>
        <w:t>（2024年10月1日至交接之日起的运维费用由中标单位支付给空档期的运维单位）。</w:t>
      </w:r>
    </w:p>
    <w:p w14:paraId="71851120">
      <w:pPr>
        <w:keepNext w:val="0"/>
        <w:keepLines w:val="0"/>
        <w:pageBreakBefore w:val="0"/>
        <w:widowControl w:val="0"/>
        <w:kinsoku/>
        <w:wordWrap/>
        <w:overflowPunct/>
        <w:topLinePunct w:val="0"/>
        <w:autoSpaceDE/>
        <w:autoSpaceDN/>
        <w:bidi w:val="0"/>
        <w:snapToGrid/>
        <w:spacing w:line="360" w:lineRule="auto"/>
        <w:ind w:left="0" w:leftChars="0" w:right="0" w:firstLine="420" w:firstLineChars="20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3、配备常用备件，确保本项目的应急使用。</w:t>
      </w:r>
    </w:p>
    <w:p w14:paraId="1D2D7B4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p>
    <w:p w14:paraId="5F7B7EE9">
      <w:pPr>
        <w:adjustRightInd w:val="0"/>
        <w:snapToGrid w:val="0"/>
        <w:spacing w:line="360" w:lineRule="auto"/>
        <w:ind w:firstLine="422" w:firstLineChars="200"/>
        <w:rPr>
          <w:rFonts w:hint="eastAsia" w:ascii="宋体" w:hAnsi="宋体" w:eastAsia="宋体" w:cs="宋体"/>
          <w:b/>
          <w:color w:val="auto"/>
          <w:szCs w:val="21"/>
          <w:highlight w:val="none"/>
          <w:lang w:eastAsia="zh-CN"/>
        </w:rPr>
        <w:sectPr>
          <w:pgSz w:w="11906" w:h="16838"/>
          <w:pgMar w:top="1440" w:right="1440" w:bottom="1440" w:left="1701" w:header="851" w:footer="992" w:gutter="0"/>
          <w:pgNumType w:fmt="decimal"/>
          <w:cols w:space="720" w:num="1"/>
          <w:docGrid w:linePitch="312" w:charSpace="0"/>
        </w:sectPr>
      </w:pP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bookmarkEnd w:id="0"/>
      <w:r>
        <w:rPr>
          <w:rFonts w:hint="eastAsia" w:ascii="宋体" w:hAnsi="宋体" w:eastAsia="宋体" w:cs="宋体"/>
          <w:b/>
          <w:color w:val="auto"/>
          <w:szCs w:val="21"/>
          <w:highlight w:val="none"/>
          <w:lang w:eastAsia="zh-CN"/>
        </w:rPr>
        <w:t>。</w:t>
      </w:r>
    </w:p>
    <w:p w14:paraId="6B0F036F">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405059FC">
      <w:pPr>
        <w:pStyle w:val="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14:paraId="1B7EC63C">
      <w:pPr>
        <w:rPr>
          <w:rFonts w:hint="eastAsia" w:ascii="宋体" w:hAnsi="宋体" w:eastAsia="宋体" w:cs="宋体"/>
          <w:color w:val="auto"/>
          <w:highlight w:val="none"/>
        </w:rPr>
      </w:pPr>
    </w:p>
    <w:p w14:paraId="1766B84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台州市生态环境局路桥分局</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78CA2AF6">
      <w:pPr>
        <w:pStyle w:val="1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734921E8">
      <w:pPr>
        <w:pStyle w:val="1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7E5A3FE4">
      <w:pPr>
        <w:pStyle w:val="10"/>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1443CCD2">
      <w:pPr>
        <w:pStyle w:val="10"/>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路桥区两个空气自动站（路桥中学站、金清气站）运维服务项目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5DCF7359">
      <w:pPr>
        <w:pStyle w:val="10"/>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2CCA2742">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详见本项目招标文件</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部分《</w:t>
      </w:r>
      <w:r>
        <w:rPr>
          <w:rFonts w:hint="eastAsia" w:ascii="宋体" w:hAnsi="宋体" w:eastAsia="宋体" w:cs="宋体"/>
          <w:bCs/>
          <w:color w:val="auto"/>
          <w:sz w:val="21"/>
          <w:szCs w:val="21"/>
          <w:highlight w:val="none"/>
          <w:lang w:val="en-US" w:eastAsia="zh-CN"/>
        </w:rPr>
        <w:t>公开招标需求</w:t>
      </w:r>
      <w:r>
        <w:rPr>
          <w:rFonts w:hint="eastAsia" w:ascii="宋体" w:hAnsi="宋体" w:eastAsia="宋体" w:cs="宋体"/>
          <w:color w:val="auto"/>
          <w:sz w:val="21"/>
          <w:szCs w:val="21"/>
          <w:highlight w:val="none"/>
        </w:rPr>
        <w:t>》。</w:t>
      </w:r>
    </w:p>
    <w:p w14:paraId="727B543F">
      <w:pPr>
        <w:pStyle w:val="10"/>
        <w:keepNext w:val="0"/>
        <w:keepLines w:val="0"/>
        <w:pageBreakBefore w:val="0"/>
        <w:kinsoku/>
        <w:wordWrap/>
        <w:overflowPunct/>
        <w:topLinePunct w:val="0"/>
        <w:autoSpaceDE/>
        <w:autoSpaceDN/>
        <w:bidi w:val="0"/>
        <w:snapToGrid w:val="0"/>
        <w:spacing w:line="360" w:lineRule="auto"/>
        <w:ind w:lef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二、合同金额</w:t>
      </w:r>
    </w:p>
    <w:p w14:paraId="4569E374">
      <w:pPr>
        <w:pStyle w:val="10"/>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元）人民币。</w:t>
      </w:r>
    </w:p>
    <w:p w14:paraId="5813A32E">
      <w:pPr>
        <w:pStyle w:val="10"/>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三、技术资料</w:t>
      </w:r>
    </w:p>
    <w:p w14:paraId="434D730D">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乙方应按招标文件规定的时间向甲方提供有关技术资料。</w:t>
      </w:r>
    </w:p>
    <w:p w14:paraId="207617ED">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E7DB4E4">
      <w:pPr>
        <w:pStyle w:val="10"/>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四、知识产权</w:t>
      </w:r>
    </w:p>
    <w:p w14:paraId="357CAD8E">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295592A4">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7D114907">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6763DB76">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299C261F">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w:t>
      </w:r>
      <w:r>
        <w:rPr>
          <w:rFonts w:hint="eastAsia" w:hAnsi="宋体" w:cs="宋体"/>
          <w:b/>
          <w:color w:val="auto"/>
          <w:sz w:val="21"/>
          <w:szCs w:val="21"/>
          <w:highlight w:val="none"/>
          <w:lang w:val="en-US" w:eastAsia="zh-CN"/>
        </w:rPr>
        <w:t>项目概况</w:t>
      </w:r>
    </w:p>
    <w:p w14:paraId="3CBE230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u w:val="single"/>
          <w:lang w:val="en-US" w:eastAsia="zh-CN"/>
        </w:rPr>
        <w:t>（一）金清气站：</w:t>
      </w:r>
    </w:p>
    <w:p w14:paraId="7668A0A1">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为保障站点的正常运行，</w:t>
      </w:r>
      <w:r>
        <w:rPr>
          <w:rFonts w:hint="eastAsia" w:hAnsi="宋体" w:cs="宋体"/>
          <w:b w:val="0"/>
          <w:bCs w:val="0"/>
          <w:color w:val="auto"/>
          <w:sz w:val="21"/>
          <w:szCs w:val="21"/>
          <w:highlight w:val="none"/>
          <w:lang w:val="en-US" w:eastAsia="zh-CN"/>
        </w:rPr>
        <w:t>委托乙方</w:t>
      </w:r>
      <w:r>
        <w:rPr>
          <w:rFonts w:hint="eastAsia" w:ascii="宋体" w:hAnsi="宋体" w:eastAsia="宋体" w:cs="宋体"/>
          <w:b w:val="0"/>
          <w:bCs w:val="0"/>
          <w:color w:val="auto"/>
          <w:sz w:val="21"/>
          <w:szCs w:val="21"/>
          <w:highlight w:val="none"/>
          <w:lang w:val="en-US" w:eastAsia="zh-CN"/>
        </w:rPr>
        <w:t>对站点进行运维。运维工作包括查看数据是否异常、仪器是否报警、数据审核、数据重积分、更换耗材、常规保养、仪器校准、采样管清洁、故障排除、填写并及时上交运维记录表格、及时上报月报表等；全年所有耗材备件、标气标样、备机、网络费用等由</w:t>
      </w:r>
      <w:r>
        <w:rPr>
          <w:rFonts w:hint="eastAsia" w:hAnsi="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eastAsia="zh-CN"/>
        </w:rPr>
        <w:t>包干，同时必须配合</w:t>
      </w:r>
      <w:r>
        <w:rPr>
          <w:rFonts w:hint="eastAsia" w:hAnsi="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lang w:val="en-US" w:eastAsia="zh-CN"/>
        </w:rPr>
        <w:t>考察、调研、考核等工作。具备气象五参数、二氧化硫、二氧化氮、一氧化碳、细颗粒物(PM2.5)等监测仪器。</w:t>
      </w:r>
    </w:p>
    <w:p w14:paraId="33B6E7C5">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2" w:firstLineChars="200"/>
        <w:jc w:val="left"/>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站点仪器配置表详见</w:t>
      </w:r>
      <w:r>
        <w:rPr>
          <w:rFonts w:hint="eastAsia" w:hAnsi="宋体" w:cs="宋体"/>
          <w:b/>
          <w:bCs/>
          <w:color w:val="auto"/>
          <w:sz w:val="21"/>
          <w:szCs w:val="21"/>
          <w:highlight w:val="none"/>
          <w:lang w:val="en-US" w:eastAsia="zh-CN"/>
        </w:rPr>
        <w:t>下表</w:t>
      </w:r>
      <w:r>
        <w:rPr>
          <w:rFonts w:hint="eastAsia" w:ascii="宋体" w:hAnsi="宋体" w:eastAsia="宋体" w:cs="宋体"/>
          <w:b/>
          <w:bCs/>
          <w:color w:val="auto"/>
          <w:sz w:val="21"/>
          <w:szCs w:val="21"/>
          <w:highlight w:val="none"/>
          <w:lang w:val="en-US" w:eastAsia="zh-CN"/>
        </w:rPr>
        <w:t>：</w:t>
      </w:r>
    </w:p>
    <w:p w14:paraId="796BD464">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center"/>
        <w:textAlignment w:val="auto"/>
        <w:outlineLvl w:val="2"/>
        <w:rPr>
          <w:rFonts w:hint="eastAsia" w:ascii="宋体" w:hAnsi="宋体" w:eastAsia="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表1</w:t>
      </w:r>
      <w:r>
        <w:rPr>
          <w:rFonts w:hint="eastAsia" w:ascii="宋体" w:hAnsi="宋体" w:eastAsia="宋体" w:cs="宋体"/>
          <w:b/>
          <w:bCs/>
          <w:color w:val="auto"/>
          <w:sz w:val="21"/>
          <w:szCs w:val="21"/>
          <w:highlight w:val="none"/>
          <w:lang w:val="en-US" w:eastAsia="zh-CN"/>
        </w:rPr>
        <w:t>台州金清大气环境自动监测站</w:t>
      </w:r>
    </w:p>
    <w:tbl>
      <w:tblPr>
        <w:tblStyle w:val="21"/>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17"/>
        <w:gridCol w:w="3299"/>
        <w:gridCol w:w="783"/>
        <w:gridCol w:w="831"/>
        <w:gridCol w:w="1793"/>
      </w:tblGrid>
      <w:tr w14:paraId="3379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35897EAC">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3DD74056">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监测名称</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467F03DB">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仪器名称</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4C949BA3">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单位</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363F14E1">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2A63B43E">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产品品牌</w:t>
            </w:r>
          </w:p>
        </w:tc>
      </w:tr>
      <w:tr w14:paraId="2B24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009B00D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17" w:type="dxa"/>
            <w:vMerge w:val="restart"/>
            <w:tcBorders>
              <w:top w:val="single" w:color="auto" w:sz="4" w:space="0"/>
              <w:left w:val="single" w:color="auto" w:sz="4" w:space="0"/>
              <w:right w:val="single" w:color="auto" w:sz="4" w:space="0"/>
            </w:tcBorders>
            <w:noWrap w:val="0"/>
            <w:vAlign w:val="center"/>
          </w:tcPr>
          <w:p w14:paraId="05211DB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常规因子</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29EFDDD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PM2.5分析仪</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7D4762E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5B35CEF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3D21788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赛默飞世尔</w:t>
            </w:r>
          </w:p>
        </w:tc>
      </w:tr>
      <w:tr w14:paraId="7495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7FC041B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1717" w:type="dxa"/>
            <w:vMerge w:val="continue"/>
            <w:tcBorders>
              <w:left w:val="single" w:color="auto" w:sz="4" w:space="0"/>
              <w:right w:val="single" w:color="auto" w:sz="4" w:space="0"/>
            </w:tcBorders>
            <w:noWrap w:val="0"/>
            <w:vAlign w:val="center"/>
          </w:tcPr>
          <w:p w14:paraId="285B430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2E05A8F7">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PM</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分析仪</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2B1C76F9">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24F737D">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4D5C73AC">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赛默飞世尔</w:t>
            </w:r>
          </w:p>
        </w:tc>
      </w:tr>
      <w:tr w14:paraId="26A6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669241F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717" w:type="dxa"/>
            <w:vMerge w:val="continue"/>
            <w:tcBorders>
              <w:left w:val="single" w:color="auto" w:sz="4" w:space="0"/>
              <w:right w:val="single" w:color="auto" w:sz="4" w:space="0"/>
            </w:tcBorders>
            <w:noWrap w:val="0"/>
            <w:vAlign w:val="center"/>
          </w:tcPr>
          <w:p w14:paraId="331CE8A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678EF14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NO2/NO/NOx分析仪</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7C376B4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636D146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5DE9D3F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赛默飞世尔</w:t>
            </w:r>
          </w:p>
        </w:tc>
      </w:tr>
      <w:tr w14:paraId="1B77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28B1D6AF">
            <w:pPr>
              <w:tabs>
                <w:tab w:val="left" w:pos="8280"/>
              </w:tabs>
              <w:autoSpaceDE w:val="0"/>
              <w:autoSpaceDN w:val="0"/>
              <w:adjustRightInd w:val="0"/>
              <w:spacing w:line="240" w:lineRule="auto"/>
              <w:ind w:right="2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717" w:type="dxa"/>
            <w:vMerge w:val="continue"/>
            <w:tcBorders>
              <w:left w:val="single" w:color="auto" w:sz="4" w:space="0"/>
              <w:right w:val="single" w:color="auto" w:sz="4" w:space="0"/>
            </w:tcBorders>
            <w:noWrap w:val="0"/>
            <w:vAlign w:val="center"/>
          </w:tcPr>
          <w:p w14:paraId="0523B01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1AFCFCB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SO2分析仪</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1BEA27B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58E7FA1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3C153C2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赛默飞世尔</w:t>
            </w:r>
          </w:p>
        </w:tc>
      </w:tr>
      <w:tr w14:paraId="35B3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25A8177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717" w:type="dxa"/>
            <w:vMerge w:val="continue"/>
            <w:tcBorders>
              <w:left w:val="single" w:color="auto" w:sz="4" w:space="0"/>
              <w:right w:val="single" w:color="auto" w:sz="4" w:space="0"/>
            </w:tcBorders>
            <w:noWrap w:val="0"/>
            <w:vAlign w:val="center"/>
          </w:tcPr>
          <w:p w14:paraId="77696DE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0D79AB1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CO分析仪</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2845A65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2508A85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5258DDF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赛默飞世尔</w:t>
            </w:r>
          </w:p>
        </w:tc>
      </w:tr>
      <w:tr w14:paraId="3E2B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21587BF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717" w:type="dxa"/>
            <w:vMerge w:val="continue"/>
            <w:tcBorders>
              <w:left w:val="single" w:color="auto" w:sz="4" w:space="0"/>
              <w:right w:val="single" w:color="auto" w:sz="4" w:space="0"/>
            </w:tcBorders>
            <w:noWrap w:val="0"/>
            <w:vAlign w:val="center"/>
          </w:tcPr>
          <w:p w14:paraId="789867F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29882BC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O3分析仪</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4B4E894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6B52896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3CA77C5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赛默飞世尔</w:t>
            </w:r>
          </w:p>
        </w:tc>
      </w:tr>
      <w:tr w14:paraId="4710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5BF921E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717" w:type="dxa"/>
            <w:tcBorders>
              <w:left w:val="single" w:color="auto" w:sz="4" w:space="0"/>
              <w:bottom w:val="single" w:color="auto" w:sz="4" w:space="0"/>
              <w:right w:val="single" w:color="auto" w:sz="4" w:space="0"/>
            </w:tcBorders>
            <w:noWrap w:val="0"/>
            <w:vAlign w:val="center"/>
          </w:tcPr>
          <w:p w14:paraId="26657053">
            <w:pPr>
              <w:tabs>
                <w:tab w:val="left" w:pos="8280"/>
              </w:tabs>
              <w:autoSpaceDE w:val="0"/>
              <w:autoSpaceDN w:val="0"/>
              <w:adjustRightInd w:val="0"/>
              <w:spacing w:line="240" w:lineRule="auto"/>
              <w:ind w:right="2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气象五参数</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5D5986A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气象五参数</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07A38D0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70A10A9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3C271F5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LUFFT</w:t>
            </w:r>
          </w:p>
        </w:tc>
      </w:tr>
      <w:tr w14:paraId="2200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EC1B5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717" w:type="dxa"/>
            <w:tcBorders>
              <w:left w:val="single" w:color="auto" w:sz="4" w:space="0"/>
              <w:bottom w:val="single" w:color="auto" w:sz="4" w:space="0"/>
              <w:right w:val="single" w:color="auto" w:sz="4" w:space="0"/>
            </w:tcBorders>
            <w:noWrap w:val="0"/>
            <w:vAlign w:val="center"/>
          </w:tcPr>
          <w:p w14:paraId="5B4B29E0">
            <w:pPr>
              <w:tabs>
                <w:tab w:val="left" w:pos="8280"/>
              </w:tabs>
              <w:autoSpaceDE w:val="0"/>
              <w:autoSpaceDN w:val="0"/>
              <w:adjustRightInd w:val="0"/>
              <w:spacing w:line="240" w:lineRule="auto"/>
              <w:ind w:right="2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能见度</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6B20820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SWS-100</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66E9A41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C1FA11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1F17F7B1">
            <w:pPr>
              <w:tabs>
                <w:tab w:val="left" w:pos="8280"/>
              </w:tabs>
              <w:autoSpaceDE w:val="0"/>
              <w:autoSpaceDN w:val="0"/>
              <w:adjustRightInd w:val="0"/>
              <w:spacing w:line="240" w:lineRule="auto"/>
              <w:ind w:right="2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SWS</w:t>
            </w:r>
          </w:p>
        </w:tc>
      </w:tr>
      <w:tr w14:paraId="3599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25E65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717" w:type="dxa"/>
            <w:vMerge w:val="restart"/>
            <w:tcBorders>
              <w:top w:val="single" w:color="auto" w:sz="4" w:space="0"/>
              <w:left w:val="single" w:color="auto" w:sz="4" w:space="0"/>
              <w:right w:val="single" w:color="auto" w:sz="4" w:space="0"/>
            </w:tcBorders>
            <w:noWrap w:val="0"/>
            <w:vAlign w:val="center"/>
          </w:tcPr>
          <w:p w14:paraId="79430F9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质控系统</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7EB35D3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动态校准仪</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511AB9B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3D23BF4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3B4136D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赛默飞世尔</w:t>
            </w:r>
          </w:p>
        </w:tc>
      </w:tr>
      <w:tr w14:paraId="13B8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F4F1A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717" w:type="dxa"/>
            <w:vMerge w:val="continue"/>
            <w:tcBorders>
              <w:left w:val="single" w:color="auto" w:sz="4" w:space="0"/>
              <w:bottom w:val="single" w:color="auto" w:sz="4" w:space="0"/>
              <w:right w:val="single" w:color="auto" w:sz="4" w:space="0"/>
            </w:tcBorders>
            <w:noWrap w:val="0"/>
            <w:vAlign w:val="center"/>
          </w:tcPr>
          <w:p w14:paraId="2E8809D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60504A5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零气系统(CO/HC去除器)</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74369D1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0A8F651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4FA3754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赛默飞世尔</w:t>
            </w:r>
          </w:p>
        </w:tc>
      </w:tr>
      <w:tr w14:paraId="16B8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89BF7C">
            <w:pPr>
              <w:tabs>
                <w:tab w:val="left" w:pos="8280"/>
              </w:tabs>
              <w:autoSpaceDE w:val="0"/>
              <w:autoSpaceDN w:val="0"/>
              <w:adjustRightInd w:val="0"/>
              <w:spacing w:line="240" w:lineRule="auto"/>
              <w:ind w:right="2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71CB221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数据采集系统</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4F651B8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数据采集和处理系统</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4D14886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630C521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44481FC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研华</w:t>
            </w:r>
          </w:p>
        </w:tc>
      </w:tr>
    </w:tbl>
    <w:p w14:paraId="67CD4D85">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p>
    <w:p w14:paraId="281F3DA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u w:val="single"/>
          <w:lang w:val="en-US" w:eastAsia="zh-CN"/>
        </w:rPr>
        <w:t>（二）路桥中学站：</w:t>
      </w:r>
    </w:p>
    <w:p w14:paraId="5B84F1AD">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为保障站点的正常运行，现对路桥中学空气自动监测站委托</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进行日常维护。</w:t>
      </w:r>
    </w:p>
    <w:p w14:paraId="294C1118">
      <w:pPr>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站点仪器清单如下：</w:t>
      </w:r>
    </w:p>
    <w:p w14:paraId="60DA7F9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表</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lang w:val="en-US" w:eastAsia="zh-CN"/>
        </w:rPr>
        <w:t xml:space="preserve"> </w:t>
      </w:r>
      <w:r>
        <w:rPr>
          <w:rFonts w:hint="eastAsia" w:ascii="宋体" w:hAnsi="宋体" w:cs="宋体"/>
          <w:b/>
          <w:color w:val="auto"/>
          <w:sz w:val="21"/>
          <w:szCs w:val="21"/>
          <w:highlight w:val="none"/>
          <w:lang w:val="en-US" w:eastAsia="zh-CN"/>
        </w:rPr>
        <w:t>路桥中学</w:t>
      </w:r>
      <w:r>
        <w:rPr>
          <w:rFonts w:hint="eastAsia" w:ascii="宋体" w:hAnsi="宋体" w:eastAsia="宋体" w:cs="宋体"/>
          <w:b/>
          <w:color w:val="auto"/>
          <w:sz w:val="21"/>
          <w:szCs w:val="21"/>
          <w:highlight w:val="none"/>
          <w:lang w:val="en-US" w:eastAsia="zh-CN"/>
        </w:rPr>
        <w:t>空气自动监测站</w:t>
      </w:r>
      <w:r>
        <w:rPr>
          <w:rFonts w:hint="eastAsia" w:ascii="宋体" w:hAnsi="宋体" w:cs="宋体"/>
          <w:b/>
          <w:color w:val="auto"/>
          <w:sz w:val="21"/>
          <w:szCs w:val="21"/>
          <w:highlight w:val="none"/>
          <w:lang w:val="en-US" w:eastAsia="zh-CN"/>
        </w:rPr>
        <w:t>主要</w:t>
      </w:r>
      <w:r>
        <w:rPr>
          <w:rFonts w:hint="eastAsia" w:ascii="宋体" w:hAnsi="宋体" w:eastAsia="宋体" w:cs="宋体"/>
          <w:b/>
          <w:color w:val="auto"/>
          <w:sz w:val="21"/>
          <w:szCs w:val="21"/>
          <w:highlight w:val="none"/>
        </w:rPr>
        <w:t>仪器配置情况一览表</w:t>
      </w:r>
    </w:p>
    <w:tbl>
      <w:tblPr>
        <w:tblStyle w:val="21"/>
        <w:tblW w:w="7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907"/>
        <w:gridCol w:w="1111"/>
        <w:gridCol w:w="1201"/>
        <w:gridCol w:w="1335"/>
        <w:gridCol w:w="1242"/>
      </w:tblGrid>
      <w:tr w14:paraId="6C96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7" w:type="dxa"/>
            <w:noWrap w:val="0"/>
            <w:vAlign w:val="center"/>
          </w:tcPr>
          <w:p w14:paraId="04E293F3">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907" w:type="dxa"/>
            <w:noWrap w:val="0"/>
            <w:vAlign w:val="center"/>
          </w:tcPr>
          <w:p w14:paraId="4730CBFA">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参数</w:t>
            </w:r>
          </w:p>
        </w:tc>
        <w:tc>
          <w:tcPr>
            <w:tcW w:w="1111" w:type="dxa"/>
            <w:noWrap w:val="0"/>
            <w:vAlign w:val="center"/>
          </w:tcPr>
          <w:p w14:paraId="358EE4E0">
            <w:pPr>
              <w:tabs>
                <w:tab w:val="left" w:pos="8280"/>
              </w:tabs>
              <w:autoSpaceDE w:val="0"/>
              <w:autoSpaceDN w:val="0"/>
              <w:adjustRightInd w:val="0"/>
              <w:spacing w:line="240" w:lineRule="auto"/>
              <w:ind w:right="25"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单位</w:t>
            </w:r>
          </w:p>
        </w:tc>
        <w:tc>
          <w:tcPr>
            <w:tcW w:w="1201" w:type="dxa"/>
            <w:noWrap w:val="0"/>
            <w:vAlign w:val="center"/>
          </w:tcPr>
          <w:p w14:paraId="30DECA35">
            <w:pPr>
              <w:tabs>
                <w:tab w:val="left" w:pos="8280"/>
              </w:tabs>
              <w:autoSpaceDE w:val="0"/>
              <w:autoSpaceDN w:val="0"/>
              <w:adjustRightInd w:val="0"/>
              <w:spacing w:line="240" w:lineRule="auto"/>
              <w:ind w:right="25"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数量</w:t>
            </w:r>
          </w:p>
        </w:tc>
        <w:tc>
          <w:tcPr>
            <w:tcW w:w="1335" w:type="dxa"/>
            <w:noWrap w:val="0"/>
            <w:vAlign w:val="center"/>
          </w:tcPr>
          <w:p w14:paraId="22980457">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仪器型号</w:t>
            </w:r>
          </w:p>
        </w:tc>
        <w:tc>
          <w:tcPr>
            <w:tcW w:w="1242" w:type="dxa"/>
            <w:noWrap w:val="0"/>
            <w:vAlign w:val="center"/>
          </w:tcPr>
          <w:p w14:paraId="78BF143A">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仪器品牌</w:t>
            </w:r>
          </w:p>
        </w:tc>
      </w:tr>
      <w:tr w14:paraId="05B7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7" w:type="dxa"/>
            <w:noWrap w:val="0"/>
            <w:vAlign w:val="center"/>
          </w:tcPr>
          <w:p w14:paraId="388BBC3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07" w:type="dxa"/>
            <w:noWrap w:val="0"/>
            <w:vAlign w:val="center"/>
          </w:tcPr>
          <w:p w14:paraId="1D64A28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PM2.5自动监测仪</w:t>
            </w:r>
          </w:p>
        </w:tc>
        <w:tc>
          <w:tcPr>
            <w:tcW w:w="1111" w:type="dxa"/>
            <w:noWrap w:val="0"/>
            <w:vAlign w:val="center"/>
          </w:tcPr>
          <w:p w14:paraId="51061405">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1201" w:type="dxa"/>
            <w:noWrap w:val="0"/>
            <w:vAlign w:val="center"/>
          </w:tcPr>
          <w:p w14:paraId="53FAC023">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5" w:type="dxa"/>
            <w:noWrap w:val="0"/>
            <w:vAlign w:val="center"/>
          </w:tcPr>
          <w:p w14:paraId="4F38322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5030I</w:t>
            </w:r>
          </w:p>
        </w:tc>
        <w:tc>
          <w:tcPr>
            <w:tcW w:w="1242" w:type="dxa"/>
            <w:noWrap w:val="0"/>
            <w:vAlign w:val="center"/>
          </w:tcPr>
          <w:p w14:paraId="4EAFB0D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w:t>
            </w:r>
          </w:p>
        </w:tc>
      </w:tr>
      <w:tr w14:paraId="0DCA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7" w:type="dxa"/>
            <w:noWrap w:val="0"/>
            <w:vAlign w:val="center"/>
          </w:tcPr>
          <w:p w14:paraId="477E671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907" w:type="dxa"/>
            <w:noWrap w:val="0"/>
            <w:vAlign w:val="center"/>
          </w:tcPr>
          <w:p w14:paraId="53BC772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PM10自动监测仪</w:t>
            </w:r>
          </w:p>
        </w:tc>
        <w:tc>
          <w:tcPr>
            <w:tcW w:w="1111" w:type="dxa"/>
            <w:noWrap w:val="0"/>
            <w:vAlign w:val="center"/>
          </w:tcPr>
          <w:p w14:paraId="7CC39DDC">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1201" w:type="dxa"/>
            <w:noWrap w:val="0"/>
            <w:vAlign w:val="center"/>
          </w:tcPr>
          <w:p w14:paraId="4DD783C7">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5" w:type="dxa"/>
            <w:noWrap w:val="0"/>
            <w:vAlign w:val="center"/>
          </w:tcPr>
          <w:p w14:paraId="4803EF1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5030I</w:t>
            </w:r>
          </w:p>
        </w:tc>
        <w:tc>
          <w:tcPr>
            <w:tcW w:w="1242" w:type="dxa"/>
            <w:noWrap w:val="0"/>
            <w:vAlign w:val="center"/>
          </w:tcPr>
          <w:p w14:paraId="370B60B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w:t>
            </w:r>
          </w:p>
        </w:tc>
      </w:tr>
      <w:tr w14:paraId="7554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7" w:type="dxa"/>
            <w:noWrap w:val="0"/>
            <w:vAlign w:val="center"/>
          </w:tcPr>
          <w:p w14:paraId="61D25EA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07" w:type="dxa"/>
            <w:noWrap w:val="0"/>
            <w:vAlign w:val="center"/>
          </w:tcPr>
          <w:p w14:paraId="3B13E97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S02分析仪</w:t>
            </w:r>
          </w:p>
        </w:tc>
        <w:tc>
          <w:tcPr>
            <w:tcW w:w="1111" w:type="dxa"/>
            <w:noWrap w:val="0"/>
            <w:vAlign w:val="center"/>
          </w:tcPr>
          <w:p w14:paraId="7E288239">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1201" w:type="dxa"/>
            <w:noWrap w:val="0"/>
            <w:vAlign w:val="center"/>
          </w:tcPr>
          <w:p w14:paraId="0B876483">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5" w:type="dxa"/>
            <w:noWrap w:val="0"/>
            <w:vAlign w:val="center"/>
          </w:tcPr>
          <w:p w14:paraId="7A8B2CB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43I</w:t>
            </w:r>
          </w:p>
        </w:tc>
        <w:tc>
          <w:tcPr>
            <w:tcW w:w="1242" w:type="dxa"/>
            <w:noWrap w:val="0"/>
            <w:vAlign w:val="center"/>
          </w:tcPr>
          <w:p w14:paraId="2A366F5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w:t>
            </w:r>
          </w:p>
        </w:tc>
      </w:tr>
      <w:tr w14:paraId="017C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7" w:type="dxa"/>
            <w:noWrap w:val="0"/>
            <w:vAlign w:val="center"/>
          </w:tcPr>
          <w:p w14:paraId="6C91D54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907" w:type="dxa"/>
            <w:noWrap w:val="0"/>
            <w:vAlign w:val="center"/>
          </w:tcPr>
          <w:p w14:paraId="53827E2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NOX自动监测仪</w:t>
            </w:r>
          </w:p>
        </w:tc>
        <w:tc>
          <w:tcPr>
            <w:tcW w:w="1111" w:type="dxa"/>
            <w:noWrap w:val="0"/>
            <w:vAlign w:val="center"/>
          </w:tcPr>
          <w:p w14:paraId="116F861E">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1201" w:type="dxa"/>
            <w:noWrap w:val="0"/>
            <w:vAlign w:val="center"/>
          </w:tcPr>
          <w:p w14:paraId="4A0F6396">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5" w:type="dxa"/>
            <w:noWrap w:val="0"/>
            <w:vAlign w:val="center"/>
          </w:tcPr>
          <w:p w14:paraId="4FBE553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42I</w:t>
            </w:r>
          </w:p>
        </w:tc>
        <w:tc>
          <w:tcPr>
            <w:tcW w:w="1242" w:type="dxa"/>
            <w:noWrap w:val="0"/>
            <w:vAlign w:val="center"/>
          </w:tcPr>
          <w:p w14:paraId="2AB139E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w:t>
            </w:r>
          </w:p>
        </w:tc>
      </w:tr>
      <w:tr w14:paraId="630E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7" w:type="dxa"/>
            <w:noWrap w:val="0"/>
            <w:vAlign w:val="center"/>
          </w:tcPr>
          <w:p w14:paraId="2F057B6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907" w:type="dxa"/>
            <w:noWrap w:val="0"/>
            <w:vAlign w:val="center"/>
          </w:tcPr>
          <w:p w14:paraId="6DA9C8F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CO自动监测仪</w:t>
            </w:r>
          </w:p>
        </w:tc>
        <w:tc>
          <w:tcPr>
            <w:tcW w:w="1111" w:type="dxa"/>
            <w:noWrap w:val="0"/>
            <w:vAlign w:val="center"/>
          </w:tcPr>
          <w:p w14:paraId="6201B5C5">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1201" w:type="dxa"/>
            <w:noWrap w:val="0"/>
            <w:vAlign w:val="center"/>
          </w:tcPr>
          <w:p w14:paraId="1191A327">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5" w:type="dxa"/>
            <w:noWrap w:val="0"/>
            <w:vAlign w:val="center"/>
          </w:tcPr>
          <w:p w14:paraId="1E0FDD3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48I</w:t>
            </w:r>
          </w:p>
        </w:tc>
        <w:tc>
          <w:tcPr>
            <w:tcW w:w="1242" w:type="dxa"/>
            <w:noWrap w:val="0"/>
            <w:vAlign w:val="center"/>
          </w:tcPr>
          <w:p w14:paraId="1788CA3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w:t>
            </w:r>
          </w:p>
        </w:tc>
      </w:tr>
      <w:tr w14:paraId="1712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7" w:type="dxa"/>
            <w:noWrap w:val="0"/>
            <w:vAlign w:val="center"/>
          </w:tcPr>
          <w:p w14:paraId="26EDA72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907" w:type="dxa"/>
            <w:noWrap w:val="0"/>
            <w:vAlign w:val="center"/>
          </w:tcPr>
          <w:p w14:paraId="7FDE5FD3">
            <w:pPr>
              <w:tabs>
                <w:tab w:val="left" w:pos="8280"/>
              </w:tabs>
              <w:autoSpaceDE w:val="0"/>
              <w:autoSpaceDN w:val="0"/>
              <w:adjustRightInd w:val="0"/>
              <w:spacing w:line="240" w:lineRule="auto"/>
              <w:ind w:right="2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O3自动监测仪</w:t>
            </w:r>
          </w:p>
        </w:tc>
        <w:tc>
          <w:tcPr>
            <w:tcW w:w="1111" w:type="dxa"/>
            <w:noWrap w:val="0"/>
            <w:vAlign w:val="center"/>
          </w:tcPr>
          <w:p w14:paraId="70FFEB65">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1201" w:type="dxa"/>
            <w:noWrap w:val="0"/>
            <w:vAlign w:val="center"/>
          </w:tcPr>
          <w:p w14:paraId="48BBD77E">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5" w:type="dxa"/>
            <w:noWrap w:val="0"/>
            <w:vAlign w:val="center"/>
          </w:tcPr>
          <w:p w14:paraId="2943B5F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49I</w:t>
            </w:r>
          </w:p>
        </w:tc>
        <w:tc>
          <w:tcPr>
            <w:tcW w:w="1242" w:type="dxa"/>
            <w:noWrap w:val="0"/>
            <w:vAlign w:val="center"/>
          </w:tcPr>
          <w:p w14:paraId="39AC226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w:t>
            </w:r>
          </w:p>
        </w:tc>
      </w:tr>
      <w:tr w14:paraId="123C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7" w:type="dxa"/>
            <w:noWrap w:val="0"/>
            <w:vAlign w:val="center"/>
          </w:tcPr>
          <w:p w14:paraId="77F5B5F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07" w:type="dxa"/>
            <w:noWrap w:val="0"/>
            <w:vAlign w:val="center"/>
          </w:tcPr>
          <w:p w14:paraId="01FC149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动态校准仪</w:t>
            </w:r>
          </w:p>
        </w:tc>
        <w:tc>
          <w:tcPr>
            <w:tcW w:w="1111" w:type="dxa"/>
            <w:noWrap w:val="0"/>
            <w:vAlign w:val="center"/>
          </w:tcPr>
          <w:p w14:paraId="484C4E4E">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1201" w:type="dxa"/>
            <w:noWrap w:val="0"/>
            <w:vAlign w:val="center"/>
          </w:tcPr>
          <w:p w14:paraId="3F2EF830">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5" w:type="dxa"/>
            <w:noWrap w:val="0"/>
            <w:vAlign w:val="center"/>
          </w:tcPr>
          <w:p w14:paraId="08AE64B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146I</w:t>
            </w:r>
          </w:p>
        </w:tc>
        <w:tc>
          <w:tcPr>
            <w:tcW w:w="1242" w:type="dxa"/>
            <w:noWrap w:val="0"/>
            <w:vAlign w:val="center"/>
          </w:tcPr>
          <w:p w14:paraId="5AEFDFD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w:t>
            </w:r>
          </w:p>
        </w:tc>
      </w:tr>
      <w:tr w14:paraId="55F5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07" w:type="dxa"/>
            <w:noWrap w:val="0"/>
            <w:vAlign w:val="center"/>
          </w:tcPr>
          <w:p w14:paraId="596D9C5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07" w:type="dxa"/>
            <w:noWrap w:val="0"/>
            <w:vAlign w:val="center"/>
          </w:tcPr>
          <w:p w14:paraId="14FAC52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零气发生器</w:t>
            </w:r>
          </w:p>
        </w:tc>
        <w:tc>
          <w:tcPr>
            <w:tcW w:w="1111" w:type="dxa"/>
            <w:noWrap w:val="0"/>
            <w:vAlign w:val="center"/>
          </w:tcPr>
          <w:p w14:paraId="168A69AF">
            <w:pPr>
              <w:tabs>
                <w:tab w:val="left" w:pos="8280"/>
              </w:tabs>
              <w:autoSpaceDE w:val="0"/>
              <w:autoSpaceDN w:val="0"/>
              <w:adjustRightInd w:val="0"/>
              <w:spacing w:line="240" w:lineRule="auto"/>
              <w:ind w:right="25" w:rightChars="0"/>
              <w:jc w:val="center"/>
              <w:rPr>
                <w:color w:val="auto"/>
                <w:highlight w:val="none"/>
              </w:rPr>
            </w:pPr>
            <w:r>
              <w:rPr>
                <w:rFonts w:hint="eastAsia" w:ascii="宋体" w:hAnsi="宋体" w:eastAsia="宋体" w:cs="宋体"/>
                <w:color w:val="auto"/>
                <w:sz w:val="21"/>
                <w:szCs w:val="21"/>
                <w:highlight w:val="none"/>
                <w:lang w:val="en-US" w:eastAsia="zh-CN"/>
              </w:rPr>
              <w:t>套</w:t>
            </w:r>
          </w:p>
        </w:tc>
        <w:tc>
          <w:tcPr>
            <w:tcW w:w="1201" w:type="dxa"/>
            <w:noWrap w:val="0"/>
            <w:vAlign w:val="center"/>
          </w:tcPr>
          <w:p w14:paraId="49A219BA">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5" w:type="dxa"/>
            <w:noWrap w:val="0"/>
            <w:vAlign w:val="center"/>
          </w:tcPr>
          <w:p w14:paraId="07258DD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w:t>
            </w:r>
          </w:p>
        </w:tc>
        <w:tc>
          <w:tcPr>
            <w:tcW w:w="1242" w:type="dxa"/>
            <w:noWrap w:val="0"/>
            <w:vAlign w:val="center"/>
          </w:tcPr>
          <w:p w14:paraId="453B7B9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赛默飞</w:t>
            </w:r>
          </w:p>
        </w:tc>
      </w:tr>
    </w:tbl>
    <w:p w14:paraId="025F2A2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kern w:val="0"/>
          <w:sz w:val="21"/>
          <w:szCs w:val="21"/>
          <w:highlight w:val="none"/>
          <w:lang w:val="en-US" w:eastAsia="zh-CN" w:bidi="ar"/>
        </w:rPr>
      </w:pPr>
    </w:p>
    <w:p w14:paraId="5161E452">
      <w:pPr>
        <w:keepNext w:val="0"/>
        <w:keepLines w:val="0"/>
        <w:pageBreakBefore w:val="0"/>
        <w:kinsoku/>
        <w:wordWrap/>
        <w:overflowPunct/>
        <w:topLinePunct w:val="0"/>
        <w:autoSpaceDE/>
        <w:autoSpaceDN/>
        <w:bidi w:val="0"/>
        <w:snapToGrid w:val="0"/>
        <w:spacing w:line="360" w:lineRule="auto"/>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六、转包或分包</w:t>
      </w:r>
    </w:p>
    <w:p w14:paraId="1A40684C">
      <w:pPr>
        <w:keepNext w:val="0"/>
        <w:keepLines w:val="0"/>
        <w:pageBreakBefore w:val="0"/>
        <w:kinsoku/>
        <w:wordWrap/>
        <w:overflowPunct/>
        <w:topLinePunct w:val="0"/>
        <w:autoSpaceDE/>
        <w:autoSpaceDN/>
        <w:bidi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4510DE0F">
      <w:pPr>
        <w:keepNext w:val="0"/>
        <w:keepLines w:val="0"/>
        <w:pageBreakBefore w:val="0"/>
        <w:kinsoku/>
        <w:wordWrap/>
        <w:overflowPunct/>
        <w:topLinePunct w:val="0"/>
        <w:autoSpaceDE/>
        <w:autoSpaceDN/>
        <w:bidi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7900B399">
      <w:pPr>
        <w:keepNext w:val="0"/>
        <w:keepLines w:val="0"/>
        <w:pageBreakBefore w:val="0"/>
        <w:kinsoku/>
        <w:wordWrap/>
        <w:overflowPunct/>
        <w:topLinePunct w:val="0"/>
        <w:autoSpaceDE/>
        <w:autoSpaceDN/>
        <w:bidi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7F92453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lang w:val="en-US" w:eastAsia="zh-CN"/>
        </w:rPr>
        <w:t>、采购内容及需求</w:t>
      </w:r>
    </w:p>
    <w:p w14:paraId="11458AE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u w:val="single"/>
          <w:lang w:val="en-US" w:eastAsia="zh-CN"/>
        </w:rPr>
        <w:t>（一）金清气站：</w:t>
      </w:r>
    </w:p>
    <w:p w14:paraId="1F9071B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1、采购内容</w:t>
      </w:r>
    </w:p>
    <w:p w14:paraId="4B4E6CF7">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本次采购为台州路桥大气环境自动监测站运维服务采购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具体内容包括</w:t>
      </w:r>
      <w:r>
        <w:rPr>
          <w:rFonts w:hint="eastAsia" w:ascii="宋体" w:hAnsi="宋体" w:eastAsia="宋体" w:cs="宋体"/>
          <w:color w:val="auto"/>
          <w:sz w:val="21"/>
          <w:szCs w:val="21"/>
          <w:highlight w:val="none"/>
          <w:lang w:eastAsia="zh-CN"/>
        </w:rPr>
        <w:t>：</w:t>
      </w:r>
    </w:p>
    <w:p w14:paraId="188082FB">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（一）</w:t>
      </w:r>
      <w:r>
        <w:rPr>
          <w:rFonts w:hint="eastAsia" w:ascii="宋体" w:hAnsi="宋体" w:eastAsia="宋体" w:cs="宋体"/>
          <w:b w:val="0"/>
          <w:bCs w:val="0"/>
          <w:color w:val="auto"/>
          <w:sz w:val="21"/>
          <w:szCs w:val="21"/>
          <w:highlight w:val="none"/>
          <w:lang w:val="en-US" w:eastAsia="zh-CN"/>
        </w:rPr>
        <w:t>站点的</w:t>
      </w:r>
      <w:r>
        <w:rPr>
          <w:rFonts w:hint="eastAsia" w:ascii="宋体" w:hAnsi="宋体" w:eastAsia="宋体" w:cs="宋体"/>
          <w:b w:val="0"/>
          <w:bCs w:val="0"/>
          <w:color w:val="auto"/>
          <w:sz w:val="21"/>
          <w:szCs w:val="21"/>
          <w:highlight w:val="none"/>
        </w:rPr>
        <w:t>日常运维管理</w:t>
      </w:r>
      <w:r>
        <w:rPr>
          <w:rFonts w:hint="eastAsia" w:ascii="宋体" w:hAnsi="宋体" w:eastAsia="宋体" w:cs="宋体"/>
          <w:b w:val="0"/>
          <w:bCs w:val="0"/>
          <w:color w:val="auto"/>
          <w:sz w:val="21"/>
          <w:szCs w:val="21"/>
          <w:highlight w:val="none"/>
          <w:lang w:eastAsia="zh-CN"/>
        </w:rPr>
        <w:t>与运行维护及</w:t>
      </w:r>
      <w:r>
        <w:rPr>
          <w:rFonts w:hint="eastAsia" w:ascii="宋体" w:hAnsi="宋体" w:eastAsia="宋体" w:cs="宋体"/>
          <w:color w:val="auto"/>
          <w:sz w:val="21"/>
          <w:szCs w:val="21"/>
          <w:highlight w:val="none"/>
        </w:rPr>
        <w:t>质量控制管理</w:t>
      </w:r>
      <w:r>
        <w:rPr>
          <w:rFonts w:hint="eastAsia" w:ascii="宋体" w:hAnsi="宋体" w:eastAsia="宋体" w:cs="宋体"/>
          <w:color w:val="auto"/>
          <w:sz w:val="21"/>
          <w:szCs w:val="21"/>
          <w:highlight w:val="none"/>
          <w:lang w:eastAsia="zh-CN"/>
        </w:rPr>
        <w:t>；</w:t>
      </w:r>
    </w:p>
    <w:p w14:paraId="6A926C0C">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eastAsia="zh-CN"/>
        </w:rPr>
        <w:t>站点</w:t>
      </w:r>
      <w:r>
        <w:rPr>
          <w:rFonts w:hint="eastAsia" w:ascii="宋体" w:hAnsi="宋体" w:eastAsia="宋体" w:cs="宋体"/>
          <w:color w:val="auto"/>
          <w:sz w:val="21"/>
          <w:szCs w:val="21"/>
          <w:highlight w:val="none"/>
        </w:rPr>
        <w:t>相关仪器</w:t>
      </w:r>
      <w:r>
        <w:rPr>
          <w:rFonts w:hint="eastAsia" w:ascii="宋体" w:hAnsi="宋体" w:eastAsia="宋体" w:cs="宋体"/>
          <w:color w:val="auto"/>
          <w:sz w:val="21"/>
          <w:szCs w:val="21"/>
          <w:highlight w:val="none"/>
          <w:lang w:eastAsia="zh-CN"/>
        </w:rPr>
        <w:t>设备</w:t>
      </w:r>
      <w:r>
        <w:rPr>
          <w:rFonts w:hint="eastAsia" w:ascii="宋体" w:hAnsi="宋体" w:eastAsia="宋体" w:cs="宋体"/>
          <w:color w:val="auto"/>
          <w:sz w:val="21"/>
          <w:szCs w:val="21"/>
          <w:highlight w:val="none"/>
        </w:rPr>
        <w:t>、数采系统、集成设施</w:t>
      </w:r>
      <w:r>
        <w:rPr>
          <w:rFonts w:hint="eastAsia" w:ascii="宋体" w:hAnsi="宋体" w:eastAsia="宋体" w:cs="宋体"/>
          <w:color w:val="auto"/>
          <w:sz w:val="21"/>
          <w:szCs w:val="21"/>
          <w:highlight w:val="none"/>
          <w:lang w:eastAsia="zh-CN"/>
        </w:rPr>
        <w:t>、空调设施、</w:t>
      </w:r>
      <w:r>
        <w:rPr>
          <w:rFonts w:hint="eastAsia" w:ascii="宋体" w:hAnsi="宋体" w:eastAsia="宋体" w:cs="宋体"/>
          <w:color w:val="auto"/>
          <w:sz w:val="21"/>
          <w:szCs w:val="21"/>
          <w:highlight w:val="none"/>
        </w:rPr>
        <w:t>通讯的故障维修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配件更换、常规保养、仪器校准、采样管清洁</w:t>
      </w:r>
      <w:r>
        <w:rPr>
          <w:rFonts w:hint="eastAsia" w:ascii="宋体" w:hAnsi="宋体" w:eastAsia="宋体" w:cs="宋体"/>
          <w:color w:val="auto"/>
          <w:sz w:val="21"/>
          <w:szCs w:val="21"/>
          <w:highlight w:val="none"/>
          <w:lang w:eastAsia="zh-CN"/>
        </w:rPr>
        <w:t>等；</w:t>
      </w:r>
    </w:p>
    <w:p w14:paraId="407487E2">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（三）</w:t>
      </w:r>
      <w:r>
        <w:rPr>
          <w:rFonts w:hint="eastAsia" w:ascii="宋体" w:hAnsi="宋体" w:eastAsia="宋体" w:cs="宋体"/>
          <w:b w:val="0"/>
          <w:bCs w:val="0"/>
          <w:color w:val="auto"/>
          <w:sz w:val="21"/>
          <w:szCs w:val="21"/>
          <w:highlight w:val="none"/>
          <w:lang w:eastAsia="zh-CN"/>
        </w:rPr>
        <w:t>站房标识、标牌的制作及更换，站房周围环境维护（包含门窗修补与屋顶修漏）及水电维修；</w:t>
      </w:r>
    </w:p>
    <w:p w14:paraId="647E7AE4">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（四）</w:t>
      </w:r>
      <w:r>
        <w:rPr>
          <w:rFonts w:hint="eastAsia" w:ascii="宋体" w:hAnsi="宋体" w:eastAsia="宋体" w:cs="宋体"/>
          <w:color w:val="auto"/>
          <w:sz w:val="21"/>
          <w:szCs w:val="21"/>
          <w:highlight w:val="none"/>
          <w:lang w:eastAsia="zh-CN"/>
        </w:rPr>
        <w:t>数据审核、</w:t>
      </w:r>
      <w:r>
        <w:rPr>
          <w:rFonts w:hint="eastAsia" w:ascii="宋体" w:hAnsi="宋体" w:eastAsia="宋体" w:cs="宋体"/>
          <w:color w:val="auto"/>
          <w:sz w:val="21"/>
          <w:szCs w:val="21"/>
          <w:highlight w:val="none"/>
        </w:rPr>
        <w:t>数据分析汇总及报告</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站点的正常运行所需耗材、标准气体以及设备维修、维护所需配件、运维所需的流量计、维修工具、定期校准、水电费、网络通迅费、防雷检测等均由</w:t>
      </w:r>
      <w:r>
        <w:rPr>
          <w:rFonts w:hint="eastAsia" w:hAnsi="宋体" w:cs="宋体"/>
          <w:color w:val="auto"/>
          <w:kern w:val="2"/>
          <w:sz w:val="21"/>
          <w:szCs w:val="21"/>
          <w:highlight w:val="none"/>
          <w:lang w:val="en-US" w:eastAsia="zh-CN" w:bidi="ar-SA"/>
        </w:rPr>
        <w:t>乙方</w:t>
      </w:r>
      <w:r>
        <w:rPr>
          <w:rFonts w:hint="eastAsia" w:ascii="宋体" w:hAnsi="宋体" w:eastAsia="宋体" w:cs="宋体"/>
          <w:color w:val="auto"/>
          <w:kern w:val="2"/>
          <w:sz w:val="21"/>
          <w:szCs w:val="21"/>
          <w:highlight w:val="none"/>
          <w:lang w:val="en-US" w:eastAsia="zh-CN" w:bidi="ar-SA"/>
        </w:rPr>
        <w:t>负责</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63FF0DC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2、运维需求：</w:t>
      </w:r>
    </w:p>
    <w:p w14:paraId="3CF1A9F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2.1 运维能力：</w:t>
      </w:r>
    </w:p>
    <w:p w14:paraId="26575AE9">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运行维护计划和耗材更换按照《</w:t>
      </w:r>
      <w:r>
        <w:rPr>
          <w:rFonts w:hint="eastAsia" w:ascii="宋体" w:hAnsi="宋体" w:eastAsia="宋体" w:cs="宋体"/>
          <w:color w:val="auto"/>
          <w:kern w:val="2"/>
          <w:sz w:val="21"/>
          <w:szCs w:val="21"/>
          <w:highlight w:val="none"/>
          <w:lang w:val="zh-CN" w:eastAsia="zh-CN" w:bidi="ar-SA"/>
        </w:rPr>
        <w:t>浙江省环境空气质量自动监测系统运行管理细则</w:t>
      </w:r>
      <w:r>
        <w:rPr>
          <w:rFonts w:hint="eastAsia" w:ascii="宋体" w:hAnsi="宋体" w:eastAsia="宋体" w:cs="宋体"/>
          <w:color w:val="auto"/>
          <w:kern w:val="2"/>
          <w:sz w:val="21"/>
          <w:szCs w:val="21"/>
          <w:highlight w:val="none"/>
          <w:lang w:val="en-US" w:eastAsia="zh-CN" w:bidi="ar-SA"/>
        </w:rPr>
        <w:t>》执行，有污染天气发生时，应针对其实际情况增加运维频次。为保证空气自动站的连续运行，乙方应具备包含关键仪器的空气站运维经验，具备完善的标气标样、备品备件供应渠道，并建立专用的空气自动站备品备件库，配备系统运行必须的耗材；配备空气自动站维护所需基本工具和检测仪器，溯源和校准设备应经法定计量部门检定或校准。</w:t>
      </w:r>
    </w:p>
    <w:p w14:paraId="17183512">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所有运维工作需满足浙环函〔2020〕127号文件、GB3095-2012、HJ818-2018、HJ817-2018和HJ653-2021等相关文件的要求；如国家、省出台相关质控最新文件，依据最新文件要求。</w:t>
      </w:r>
    </w:p>
    <w:p w14:paraId="05908385">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运维技术人员须在正式运维前熟练操作其标项内所包含的仪器，因运维不当造成仪器损坏由该乙方承担相应责任并赔偿损失。合同期内运维技术人员的一切开支由乙方负责（如食宿、差旅费等）。</w:t>
      </w:r>
    </w:p>
    <w:p w14:paraId="1092B64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2.2 保密原则</w:t>
      </w:r>
    </w:p>
    <w:p w14:paraId="05A83EED">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运维技术人员在维护期间须遵守用户的相应管理制度，并与用户签订保密协议。如因违反管理规定或保密协议，</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有权追究</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及该名运维技术人员的相应责任并赔偿相应损失。在委托管理期间，</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应对系统状况和数据严格保密。未经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同意，</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不得利用本项目的任意资料对外开展技术交流、业务联系、数据交换等。与环境质量自动监测站有关的资料及数据成果中涉及国家秘密的内容，均要求按照《国家保密法》及相关法律法规执行。</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应承担监测数据的保密责任。</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应按照</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的要求，报告和传输监测数据，不得以任何方式和渠道向外界传递、泄露和披露任何监测数据。</w:t>
      </w:r>
    </w:p>
    <w:p w14:paraId="2459773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zh-CN" w:eastAsia="zh-CN"/>
        </w:rPr>
      </w:pPr>
      <w:r>
        <w:rPr>
          <w:rFonts w:hint="eastAsia" w:ascii="宋体" w:hAnsi="宋体" w:eastAsia="宋体" w:cs="宋体"/>
          <w:b/>
          <w:color w:val="auto"/>
          <w:sz w:val="21"/>
          <w:szCs w:val="21"/>
          <w:highlight w:val="none"/>
          <w:lang w:val="en-US" w:eastAsia="zh-CN"/>
        </w:rPr>
        <w:t xml:space="preserve">2.3 </w:t>
      </w:r>
      <w:r>
        <w:rPr>
          <w:rFonts w:hint="eastAsia" w:ascii="宋体" w:hAnsi="宋体" w:eastAsia="宋体" w:cs="宋体"/>
          <w:b/>
          <w:color w:val="auto"/>
          <w:sz w:val="21"/>
          <w:szCs w:val="21"/>
          <w:highlight w:val="none"/>
          <w:lang w:val="zh-CN" w:eastAsia="zh-CN"/>
        </w:rPr>
        <w:t>预防人为干扰原则</w:t>
      </w:r>
    </w:p>
    <w:p w14:paraId="0B60EEE6">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乙方</w:t>
      </w:r>
      <w:r>
        <w:rPr>
          <w:rFonts w:hint="eastAsia" w:ascii="宋体" w:hAnsi="宋体" w:eastAsia="宋体" w:cs="宋体"/>
          <w:color w:val="auto"/>
          <w:sz w:val="21"/>
          <w:szCs w:val="21"/>
          <w:highlight w:val="none"/>
          <w:lang w:val="zh-CN"/>
        </w:rPr>
        <w:t>应严格遵守《浙江省环境空气质量自动监测系统运行管理细则》相关规定。</w:t>
      </w:r>
      <w:r>
        <w:rPr>
          <w:rFonts w:hint="eastAsia" w:ascii="宋体" w:hAnsi="宋体" w:cs="宋体"/>
          <w:color w:val="auto"/>
          <w:sz w:val="21"/>
          <w:szCs w:val="21"/>
          <w:highlight w:val="none"/>
          <w:lang w:val="zh-CN"/>
        </w:rPr>
        <w:t>乙方</w:t>
      </w:r>
      <w:r>
        <w:rPr>
          <w:rFonts w:hint="eastAsia" w:ascii="宋体" w:hAnsi="宋体" w:eastAsia="宋体" w:cs="宋体"/>
          <w:color w:val="auto"/>
          <w:sz w:val="21"/>
          <w:szCs w:val="21"/>
          <w:highlight w:val="none"/>
          <w:lang w:val="zh-CN"/>
        </w:rPr>
        <w:t>及其运维技术人员应开展诚信运维自我声明，坚决杜绝弄虚作假情况的发生，保障站点运维真实，有效。</w:t>
      </w:r>
    </w:p>
    <w:p w14:paraId="0F6C0F8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2.4 </w:t>
      </w:r>
      <w:r>
        <w:rPr>
          <w:rFonts w:hint="eastAsia" w:ascii="宋体" w:hAnsi="宋体" w:eastAsia="宋体" w:cs="宋体"/>
          <w:b/>
          <w:color w:val="auto"/>
          <w:sz w:val="21"/>
          <w:szCs w:val="21"/>
          <w:highlight w:val="none"/>
          <w:lang w:val="zh-CN" w:eastAsia="zh-CN"/>
        </w:rPr>
        <w:t>量值溯源要求</w:t>
      </w:r>
    </w:p>
    <w:p w14:paraId="35702C1E">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（1）使用的标准物质须为国家</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级</w:t>
      </w:r>
      <w:r>
        <w:rPr>
          <w:rFonts w:hint="eastAsia" w:ascii="宋体" w:hAnsi="宋体" w:eastAsia="宋体" w:cs="宋体"/>
          <w:color w:val="auto"/>
          <w:kern w:val="0"/>
          <w:sz w:val="21"/>
          <w:szCs w:val="21"/>
          <w:highlight w:val="none"/>
          <w:lang w:val="en-US" w:eastAsia="zh-CN"/>
        </w:rPr>
        <w:t>及以上</w:t>
      </w:r>
      <w:r>
        <w:rPr>
          <w:rFonts w:hint="eastAsia" w:ascii="宋体" w:hAnsi="宋体" w:eastAsia="宋体" w:cs="宋体"/>
          <w:color w:val="auto"/>
          <w:kern w:val="0"/>
          <w:sz w:val="21"/>
          <w:szCs w:val="21"/>
          <w:highlight w:val="none"/>
        </w:rPr>
        <w:t>标准气体，且在有效期内。</w:t>
      </w:r>
    </w:p>
    <w:p w14:paraId="7391FC6D">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（2）所使用的仪表需进行计量部门的检定。</w:t>
      </w:r>
    </w:p>
    <w:p w14:paraId="03BE8142">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（3）需自备经计量部门检定的流量计用于日常维护标定工作。</w:t>
      </w:r>
    </w:p>
    <w:p w14:paraId="143A7E71">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（4）需完成臭氧校准仪溯源与标准传递。</w:t>
      </w:r>
    </w:p>
    <w:p w14:paraId="0A7FC92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2.5 运行维护管理目标</w:t>
      </w:r>
    </w:p>
    <w:p w14:paraId="4FF777CF">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全面贯彻质量方针，提供及时、准确、有效的检测数据，不断提高空气自动监测站的运行质量，并达到以下指标：</w:t>
      </w:r>
    </w:p>
    <w:p w14:paraId="5E239B2F">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常规仪器有效数据获取率≥9</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zh-CN"/>
        </w:rPr>
        <w:t>%</w:t>
      </w:r>
      <w:r>
        <w:rPr>
          <w:rFonts w:hint="eastAsia" w:ascii="宋体" w:hAnsi="宋体" w:eastAsia="宋体" w:cs="宋体"/>
          <w:bCs/>
          <w:color w:val="auto"/>
          <w:kern w:val="0"/>
          <w:sz w:val="21"/>
          <w:szCs w:val="21"/>
          <w:highlight w:val="none"/>
          <w:lang w:val="zh-CN" w:eastAsia="zh-CN"/>
        </w:rPr>
        <w:t>；有效数据获取率应</w:t>
      </w:r>
      <w:r>
        <w:rPr>
          <w:rFonts w:hint="eastAsia" w:ascii="宋体" w:hAnsi="宋体" w:eastAsia="宋体" w:cs="宋体"/>
          <w:bCs/>
          <w:color w:val="auto"/>
          <w:kern w:val="0"/>
          <w:sz w:val="21"/>
          <w:szCs w:val="21"/>
          <w:highlight w:val="none"/>
          <w:lang w:val="zh-CN"/>
        </w:rPr>
        <w:t>除去停电，性能测试及其他不可抗拒因素引起的故障；</w:t>
      </w:r>
    </w:p>
    <w:p w14:paraId="2D1AE398">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bCs/>
          <w:color w:val="auto"/>
          <w:kern w:val="0"/>
          <w:sz w:val="21"/>
          <w:szCs w:val="21"/>
          <w:highlight w:val="none"/>
          <w:lang w:val="zh-CN"/>
        </w:rPr>
      </w:pPr>
      <w:r>
        <w:rPr>
          <w:rFonts w:hint="eastAsia" w:ascii="宋体" w:hAnsi="宋体" w:cs="宋体"/>
          <w:bCs/>
          <w:color w:val="auto"/>
          <w:kern w:val="0"/>
          <w:sz w:val="21"/>
          <w:szCs w:val="21"/>
          <w:highlight w:val="none"/>
          <w:lang w:val="zh-CN"/>
        </w:rPr>
        <w:t>乙方</w:t>
      </w:r>
      <w:r>
        <w:rPr>
          <w:rFonts w:hint="eastAsia" w:ascii="宋体" w:hAnsi="宋体" w:eastAsia="宋体" w:cs="宋体"/>
          <w:bCs/>
          <w:color w:val="auto"/>
          <w:kern w:val="0"/>
          <w:sz w:val="21"/>
          <w:szCs w:val="21"/>
          <w:highlight w:val="none"/>
          <w:lang w:val="zh-CN"/>
        </w:rPr>
        <w:t>需提供不限次数的故障性维修保养服务，并提供详细的应急保障技术服务方案，突发事件或紧急监测任务时设备故障，运维人员需在4小时内赶到现场对仪器故障进行诊断和排除，一般仪器故障，应在</w:t>
      </w:r>
      <w:r>
        <w:rPr>
          <w:rFonts w:hint="eastAsia" w:ascii="宋体" w:hAnsi="宋体" w:eastAsia="宋体" w:cs="宋体"/>
          <w:bCs/>
          <w:color w:val="auto"/>
          <w:kern w:val="0"/>
          <w:sz w:val="21"/>
          <w:szCs w:val="21"/>
          <w:highlight w:val="none"/>
          <w:lang w:val="en-US" w:eastAsia="zh-CN"/>
        </w:rPr>
        <w:t>6</w:t>
      </w:r>
      <w:r>
        <w:rPr>
          <w:rFonts w:hint="eastAsia" w:ascii="宋体" w:hAnsi="宋体" w:cs="宋体"/>
          <w:bCs/>
          <w:color w:val="auto"/>
          <w:kern w:val="0"/>
          <w:sz w:val="21"/>
          <w:szCs w:val="21"/>
          <w:highlight w:val="none"/>
          <w:lang w:val="zh-CN"/>
        </w:rPr>
        <w:t>小时</w:t>
      </w:r>
      <w:r>
        <w:rPr>
          <w:rFonts w:hint="eastAsia" w:ascii="宋体" w:hAnsi="宋体" w:eastAsia="宋体" w:cs="宋体"/>
          <w:bCs/>
          <w:color w:val="auto"/>
          <w:kern w:val="0"/>
          <w:sz w:val="21"/>
          <w:szCs w:val="21"/>
          <w:highlight w:val="none"/>
          <w:lang w:val="zh-CN"/>
        </w:rPr>
        <w:t>内解决，重大仪器故障应在</w:t>
      </w:r>
      <w:r>
        <w:rPr>
          <w:rFonts w:hint="eastAsia" w:ascii="宋体" w:hAnsi="宋体" w:eastAsia="宋体" w:cs="宋体"/>
          <w:bCs/>
          <w:color w:val="auto"/>
          <w:kern w:val="0"/>
          <w:sz w:val="21"/>
          <w:szCs w:val="21"/>
          <w:highlight w:val="none"/>
          <w:lang w:val="en-US" w:eastAsia="zh-CN"/>
        </w:rPr>
        <w:t>48</w:t>
      </w:r>
      <w:r>
        <w:rPr>
          <w:rFonts w:hint="eastAsia" w:ascii="宋体" w:hAnsi="宋体" w:cs="宋体"/>
          <w:bCs/>
          <w:color w:val="auto"/>
          <w:kern w:val="0"/>
          <w:sz w:val="21"/>
          <w:szCs w:val="21"/>
          <w:highlight w:val="none"/>
          <w:lang w:val="en-US" w:eastAsia="zh-CN"/>
        </w:rPr>
        <w:t>小时</w:t>
      </w:r>
      <w:r>
        <w:rPr>
          <w:rFonts w:hint="eastAsia" w:ascii="宋体" w:hAnsi="宋体" w:eastAsia="宋体" w:cs="宋体"/>
          <w:bCs/>
          <w:color w:val="auto"/>
          <w:kern w:val="0"/>
          <w:sz w:val="21"/>
          <w:szCs w:val="21"/>
          <w:highlight w:val="none"/>
          <w:lang w:val="zh-CN"/>
        </w:rPr>
        <w:t>内解决（通信线路、电力线路故障除外，但应及时与相关部门联系积极解决），进口产品特殊备件无库存或其他特殊情况需书面报告。</w:t>
      </w:r>
    </w:p>
    <w:p w14:paraId="6847E2B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2.6 日常运行维护记录</w:t>
      </w:r>
    </w:p>
    <w:p w14:paraId="3507AC3B">
      <w:pPr>
        <w:pageBreakBefore w:val="0"/>
        <w:widowControl w:val="0"/>
        <w:kinsoku/>
        <w:wordWrap/>
        <w:overflowPunct/>
        <w:topLinePunct w:val="0"/>
        <w:autoSpaceDE/>
        <w:autoSpaceDN/>
        <w:bidi w:val="0"/>
        <w:spacing w:line="360" w:lineRule="auto"/>
        <w:ind w:left="0" w:leftChars="0" w:right="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应建立空气自动站维护档案</w:t>
      </w:r>
      <w:r>
        <w:rPr>
          <w:rFonts w:hint="eastAsia" w:ascii="宋体" w:hAnsi="宋体" w:eastAsia="宋体" w:cs="宋体"/>
          <w:color w:val="auto"/>
          <w:sz w:val="21"/>
          <w:szCs w:val="21"/>
          <w:highlight w:val="none"/>
          <w:lang w:eastAsia="zh-CN"/>
        </w:rPr>
        <w:t>（样式自拟）</w:t>
      </w:r>
      <w:r>
        <w:rPr>
          <w:rFonts w:hint="eastAsia" w:ascii="宋体" w:hAnsi="宋体" w:eastAsia="宋体" w:cs="宋体"/>
          <w:color w:val="auto"/>
          <w:sz w:val="21"/>
          <w:szCs w:val="21"/>
          <w:highlight w:val="none"/>
        </w:rPr>
        <w:t>，按照</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的要求填写仪器运维表格，将空气自动站的运行过程和运行事件进行详细记录，做好空气站运行管理记录和存档。每次到站房运维后须为每台仪器填写运维表格，包括仪器原始设置、报警、维修、更换、保养、仪器校准、标气使用、标液配置、采样管清洁等运行维护内容。</w:t>
      </w:r>
    </w:p>
    <w:p w14:paraId="15FFB452">
      <w:pPr>
        <w:pageBreakBefore w:val="0"/>
        <w:widowControl w:val="0"/>
        <w:kinsoku/>
        <w:wordWrap/>
        <w:overflowPunct/>
        <w:topLinePunct w:val="0"/>
        <w:autoSpaceDE/>
        <w:autoSpaceDN/>
        <w:bidi w:val="0"/>
        <w:spacing w:line="360" w:lineRule="auto"/>
        <w:ind w:left="0" w:leftChars="0" w:right="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日常运营中使用运行管理相关记录表至少应包括以下表格：</w:t>
      </w:r>
    </w:p>
    <w:p w14:paraId="6CE607B2">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（1）空气自动监测站运行维护记录表；</w:t>
      </w:r>
    </w:p>
    <w:p w14:paraId="170948DC">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（2）空气自动监测系统仪器设备维修记录表；</w:t>
      </w:r>
    </w:p>
    <w:p w14:paraId="09D4DB1D">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（3）空气自动监测系统备品备件管理记录表；</w:t>
      </w:r>
    </w:p>
    <w:p w14:paraId="1B8105B2">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（4）空气自动监测站主要消耗材料使用登记表；</w:t>
      </w:r>
    </w:p>
    <w:p w14:paraId="1AD4325E">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（5）多点线性校准表格；</w:t>
      </w:r>
    </w:p>
    <w:p w14:paraId="78B1151F">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（6）空气自动监测站室内外环境记录；</w:t>
      </w:r>
    </w:p>
    <w:p w14:paraId="29F3F8B7">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（7）标准物质使用记录；</w:t>
      </w:r>
    </w:p>
    <w:p w14:paraId="7D4B7A25">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（8）空气自动监测系统仪器资料保管清单。</w:t>
      </w:r>
    </w:p>
    <w:p w14:paraId="2C4B1B5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2.7  仪器故障处理</w:t>
      </w:r>
    </w:p>
    <w:p w14:paraId="70533038">
      <w:pPr>
        <w:pageBreakBefore w:val="0"/>
        <w:widowControl w:val="0"/>
        <w:kinsoku/>
        <w:wordWrap/>
        <w:overflowPunct/>
        <w:topLinePunct w:val="0"/>
        <w:autoSpaceDE/>
        <w:autoSpaceDN/>
        <w:bidi w:val="0"/>
        <w:spacing w:line="360" w:lineRule="auto"/>
        <w:ind w:left="0" w:leftChars="0" w:right="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当项目运维清单中设备发生故障时，须向</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报告，</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须承担所有维修费用，故障须尽快解决，故障超过7天须说明原因并提供维修证明，维修时间最迟不得超过1个月，如在一个月内无法修复的设备，须提供相当性能、功能的整机或备件。</w:t>
      </w:r>
    </w:p>
    <w:p w14:paraId="1AD63C5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2.8  运维耗材及配件管理</w:t>
      </w:r>
    </w:p>
    <w:p w14:paraId="025BA552">
      <w:pPr>
        <w:pageBreakBefore w:val="0"/>
        <w:widowControl w:val="0"/>
        <w:kinsoku/>
        <w:wordWrap/>
        <w:overflowPunct/>
        <w:topLinePunct w:val="0"/>
        <w:autoSpaceDE/>
        <w:autoSpaceDN/>
        <w:bidi w:val="0"/>
        <w:spacing w:line="360" w:lineRule="auto"/>
        <w:ind w:left="0" w:leftChars="0" w:right="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运维过程中的耗材、备品备件需采用原厂件，如确实采购不到原厂件的，需向</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报备并采购具有相同技术指标的耗材或配件。每次更换下来的耗材、配件须保存好，标注更换日期，经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认可后方可处理。</w:t>
      </w:r>
      <w:r>
        <w:rPr>
          <w:rFonts w:hint="eastAsia" w:ascii="宋体" w:hAnsi="宋体" w:eastAsia="宋体" w:cs="宋体"/>
          <w:color w:val="auto"/>
          <w:sz w:val="21"/>
          <w:szCs w:val="21"/>
          <w:highlight w:val="none"/>
          <w:lang w:val="en-US" w:eastAsia="zh-CN"/>
        </w:rPr>
        <w:t>期间所产生的水电费由</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自行承担。</w:t>
      </w:r>
      <w:r>
        <w:rPr>
          <w:rFonts w:hint="eastAsia" w:ascii="宋体" w:hAnsi="宋体" w:eastAsia="宋体" w:cs="宋体"/>
          <w:color w:val="auto"/>
          <w:sz w:val="21"/>
          <w:szCs w:val="21"/>
          <w:highlight w:val="none"/>
        </w:rPr>
        <w:t>每季度提交一次运维报告，年度运维完成后提交总报告。</w:t>
      </w:r>
    </w:p>
    <w:p w14:paraId="242BE3A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  响应时间要求</w:t>
      </w:r>
    </w:p>
    <w:p w14:paraId="2D51C2A5">
      <w:pPr>
        <w:pageBreakBefore w:val="0"/>
        <w:widowControl w:val="0"/>
        <w:numPr>
          <w:ilvl w:val="0"/>
          <w:numId w:val="2"/>
        </w:numPr>
        <w:kinsoku/>
        <w:wordWrap/>
        <w:overflowPunct/>
        <w:topLinePunct w:val="0"/>
        <w:autoSpaceDE/>
        <w:autoSpaceDN/>
        <w:bidi w:val="0"/>
        <w:spacing w:line="360" w:lineRule="auto"/>
        <w:ind w:left="0" w:leftChars="0" w:right="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当维保设备发生故障，产生异常数据或者无数据产生时，工作日须在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小时内响应，</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小时内到达现场检修，节假日须在4小时内响应，6小时内到达现场检修。对于普通故障，修复时间不超过24小时。如24小时内无法排除故障，应及时报告</w:t>
      </w:r>
      <w:r>
        <w:rPr>
          <w:rFonts w:hint="eastAsia" w:ascii="宋体" w:hAnsi="宋体" w:cs="宋体"/>
          <w:color w:val="auto"/>
          <w:sz w:val="21"/>
          <w:szCs w:val="21"/>
          <w:highlight w:val="none"/>
          <w:lang w:val="en-US" w:eastAsia="zh-CN"/>
        </w:rPr>
        <w:t>路桥</w:t>
      </w:r>
      <w:r>
        <w:rPr>
          <w:rFonts w:hint="eastAsia" w:ascii="宋体" w:hAnsi="宋体" w:eastAsia="宋体" w:cs="宋体"/>
          <w:color w:val="auto"/>
          <w:sz w:val="21"/>
          <w:szCs w:val="21"/>
          <w:highlight w:val="none"/>
          <w:lang w:eastAsia="zh-CN"/>
        </w:rPr>
        <w:t>分局</w:t>
      </w:r>
      <w:r>
        <w:rPr>
          <w:rFonts w:hint="eastAsia" w:ascii="宋体" w:hAnsi="宋体" w:eastAsia="宋体" w:cs="宋体"/>
          <w:color w:val="auto"/>
          <w:sz w:val="21"/>
          <w:szCs w:val="21"/>
          <w:highlight w:val="none"/>
        </w:rPr>
        <w:t>，共同协商后解决。重大保障及特殊应急状况下，服从</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的调度安排。</w:t>
      </w:r>
    </w:p>
    <w:p w14:paraId="6594F850">
      <w:pPr>
        <w:pageBreakBefore w:val="0"/>
        <w:widowControl w:val="0"/>
        <w:numPr>
          <w:ilvl w:val="0"/>
          <w:numId w:val="2"/>
        </w:numPr>
        <w:kinsoku/>
        <w:wordWrap/>
        <w:overflowPunct/>
        <w:topLinePunct w:val="0"/>
        <w:autoSpaceDE/>
        <w:autoSpaceDN/>
        <w:bidi w:val="0"/>
        <w:spacing w:line="360" w:lineRule="auto"/>
        <w:ind w:left="0" w:leftChars="0" w:right="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应对检测数据异常值进行分析，查明原因并及时向</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汇报，如属于系统或仪器故障，应在24小时内处理并上报</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；如为突发事件，应立即通知</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，并配合</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进行应急监测工作的开展；故障须尽快解决，最迟不得超过1个月，费用由</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承担；如在规定时间内无法修复的设备，须提供相当性能、功能整机备件。</w:t>
      </w:r>
    </w:p>
    <w:p w14:paraId="2378BDE3">
      <w:pPr>
        <w:pageBreakBefore w:val="0"/>
        <w:widowControl w:val="0"/>
        <w:numPr>
          <w:ilvl w:val="0"/>
          <w:numId w:val="2"/>
        </w:numPr>
        <w:kinsoku/>
        <w:wordWrap/>
        <w:overflowPunct/>
        <w:topLinePunct w:val="0"/>
        <w:autoSpaceDE/>
        <w:autoSpaceDN/>
        <w:bidi w:val="0"/>
        <w:spacing w:line="360" w:lineRule="auto"/>
        <w:ind w:left="0" w:leftChars="0" w:right="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常规指标故障严重不能及时解决时，应关闭故障仪器的数据采集通道并告知</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使用备用机替代工作，做好相应维修与运维记录，并协商处理方案。故障设备运回，并负责维修仪器，故障设备应尽快完成维修，维修完毕及时替换备机，备机使用时间不能超过一个月，如需延期使用应书面报告</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同意。</w:t>
      </w:r>
    </w:p>
    <w:p w14:paraId="68116A7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2.10  各类仪器运维内容</w:t>
      </w:r>
    </w:p>
    <w:p w14:paraId="67C43B6B">
      <w:pPr>
        <w:pageBreakBefore w:val="0"/>
        <w:widowControl w:val="0"/>
        <w:kinsoku/>
        <w:wordWrap/>
        <w:overflowPunct/>
        <w:topLinePunct w:val="0"/>
        <w:autoSpaceDE/>
        <w:autoSpaceDN/>
        <w:bidi w:val="0"/>
        <w:spacing w:line="360" w:lineRule="auto"/>
        <w:ind w:left="0" w:leftChars="0" w:right="0"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各类仪器的运维内容，严格按照《浙江省环境空气质量自动监测系统运行管理细则》和《国家环境空气监测网环境空气挥发性有机物连续自动监测质量控制技术规定(试行)》执行。</w:t>
      </w:r>
    </w:p>
    <w:p w14:paraId="707BC98C">
      <w:pPr>
        <w:keepNext/>
        <w:keepLines/>
        <w:pageBreakBefore w:val="0"/>
        <w:widowControl w:val="0"/>
        <w:numPr>
          <w:ilvl w:val="0"/>
          <w:numId w:val="0"/>
        </w:numPr>
        <w:kinsoku/>
        <w:wordWrap/>
        <w:overflowPunct/>
        <w:topLinePunct w:val="0"/>
        <w:autoSpaceDE/>
        <w:autoSpaceDN/>
        <w:bidi w:val="0"/>
        <w:spacing w:line="360" w:lineRule="auto"/>
        <w:ind w:leftChars="200" w:right="0" w:rightChars="0"/>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zh-CN"/>
        </w:rPr>
        <w:t>（</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lang w:val="zh-CN"/>
        </w:rPr>
        <w:t>）</w:t>
      </w:r>
      <w:r>
        <w:rPr>
          <w:rFonts w:hint="eastAsia" w:ascii="宋体" w:hAnsi="宋体" w:eastAsia="宋体" w:cs="宋体"/>
          <w:b/>
          <w:bCs/>
          <w:color w:val="auto"/>
          <w:sz w:val="21"/>
          <w:szCs w:val="21"/>
          <w:highlight w:val="none"/>
          <w:lang w:val="zh-CN"/>
        </w:rPr>
        <w:t>SO</w:t>
      </w:r>
      <w:r>
        <w:rPr>
          <w:rFonts w:hint="eastAsia" w:ascii="宋体" w:hAnsi="宋体" w:eastAsia="宋体" w:cs="宋体"/>
          <w:b/>
          <w:bCs/>
          <w:color w:val="auto"/>
          <w:sz w:val="21"/>
          <w:szCs w:val="21"/>
          <w:highlight w:val="none"/>
          <w:vertAlign w:val="subscript"/>
          <w:lang w:val="zh-CN"/>
        </w:rPr>
        <w:t>2</w:t>
      </w:r>
      <w:r>
        <w:rPr>
          <w:rFonts w:hint="eastAsia" w:ascii="宋体" w:hAnsi="宋体" w:eastAsia="宋体" w:cs="宋体"/>
          <w:b/>
          <w:bCs/>
          <w:color w:val="auto"/>
          <w:sz w:val="21"/>
          <w:szCs w:val="21"/>
          <w:highlight w:val="none"/>
          <w:lang w:val="zh-CN"/>
        </w:rPr>
        <w:t>自动分析仪（TE43I）</w:t>
      </w:r>
    </w:p>
    <w:p w14:paraId="50145083">
      <w:pPr>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rPr>
        <w:t>每日：查看仪器运行是否正常，是否存在报警</w:t>
      </w:r>
    </w:p>
    <w:p w14:paraId="425AB71C">
      <w:pPr>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2）</w:t>
      </w:r>
      <w:r>
        <w:rPr>
          <w:rFonts w:hint="eastAsia" w:ascii="宋体" w:hAnsi="宋体" w:eastAsia="宋体" w:cs="宋体"/>
          <w:color w:val="auto"/>
          <w:sz w:val="21"/>
          <w:szCs w:val="21"/>
          <w:highlight w:val="none"/>
        </w:rPr>
        <w:t>每周：a.零点检查；b. 跨度检查</w:t>
      </w:r>
    </w:p>
    <w:p w14:paraId="5FA97908">
      <w:pPr>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3）</w:t>
      </w:r>
      <w:r>
        <w:rPr>
          <w:rFonts w:hint="eastAsia" w:ascii="宋体" w:hAnsi="宋体" w:eastAsia="宋体" w:cs="宋体"/>
          <w:color w:val="auto"/>
          <w:sz w:val="21"/>
          <w:szCs w:val="21"/>
          <w:highlight w:val="none"/>
        </w:rPr>
        <w:t>两周：更换滤膜（污染严重时应增加频次）</w:t>
      </w:r>
    </w:p>
    <w:p w14:paraId="7F496BA9">
      <w:pPr>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rPr>
        <w:t>每月：流量检查</w:t>
      </w:r>
    </w:p>
    <w:p w14:paraId="17CC3A89">
      <w:pPr>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5）</w:t>
      </w:r>
      <w:r>
        <w:rPr>
          <w:rFonts w:hint="eastAsia" w:ascii="宋体" w:hAnsi="宋体" w:eastAsia="宋体" w:cs="宋体"/>
          <w:color w:val="auto"/>
          <w:sz w:val="21"/>
          <w:szCs w:val="21"/>
          <w:highlight w:val="none"/>
        </w:rPr>
        <w:t>季度：精密度检查</w:t>
      </w:r>
    </w:p>
    <w:p w14:paraId="79482AC3">
      <w:pPr>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6）</w:t>
      </w:r>
      <w:r>
        <w:rPr>
          <w:rFonts w:hint="eastAsia" w:ascii="宋体" w:hAnsi="宋体" w:eastAsia="宋体" w:cs="宋体"/>
          <w:color w:val="auto"/>
          <w:sz w:val="21"/>
          <w:szCs w:val="21"/>
          <w:highlight w:val="none"/>
        </w:rPr>
        <w:t>半年：5个点以上的多点校准</w:t>
      </w:r>
    </w:p>
    <w:p w14:paraId="03BA2C68">
      <w:pPr>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rPr>
        <w:t>每年：a. 更换标气、泵膜；b. 按需更换易耗件（紫外灯，紫外灯座，毛细管，泵等）。</w:t>
      </w:r>
    </w:p>
    <w:p w14:paraId="2FA33AD7">
      <w:pPr>
        <w:keepNext/>
        <w:keepLines/>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 xml:space="preserve">(2) </w:t>
      </w:r>
      <w:r>
        <w:rPr>
          <w:rFonts w:hint="eastAsia" w:ascii="宋体" w:hAnsi="宋体" w:eastAsia="宋体" w:cs="宋体"/>
          <w:b/>
          <w:bCs/>
          <w:color w:val="auto"/>
          <w:sz w:val="21"/>
          <w:szCs w:val="21"/>
          <w:highlight w:val="none"/>
          <w:lang w:val="zh-CN"/>
        </w:rPr>
        <w:t>NO</w:t>
      </w:r>
      <w:r>
        <w:rPr>
          <w:rFonts w:hint="eastAsia" w:ascii="宋体" w:hAnsi="宋体" w:eastAsia="宋体" w:cs="宋体"/>
          <w:b/>
          <w:bCs/>
          <w:color w:val="auto"/>
          <w:sz w:val="21"/>
          <w:szCs w:val="21"/>
          <w:highlight w:val="none"/>
          <w:vertAlign w:val="subscript"/>
          <w:lang w:val="zh-CN"/>
        </w:rPr>
        <w:t>x</w:t>
      </w:r>
      <w:r>
        <w:rPr>
          <w:rFonts w:hint="eastAsia" w:ascii="宋体" w:hAnsi="宋体" w:eastAsia="宋体" w:cs="宋体"/>
          <w:b/>
          <w:bCs/>
          <w:color w:val="auto"/>
          <w:sz w:val="21"/>
          <w:szCs w:val="21"/>
          <w:highlight w:val="none"/>
          <w:lang w:val="zh-CN"/>
        </w:rPr>
        <w:t>分析仪（TE42I）</w:t>
      </w:r>
    </w:p>
    <w:p w14:paraId="27B41A4D">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1）每日：查看仪器运行是否正常，是否存在报警</w:t>
      </w:r>
    </w:p>
    <w:p w14:paraId="56EC88C3">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2）每周：a.零点检查；b. 跨度检查</w:t>
      </w:r>
    </w:p>
    <w:p w14:paraId="6D411AEF">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3）两周：更换滤膜（污染严重时应增加频次）</w:t>
      </w:r>
    </w:p>
    <w:p w14:paraId="7468DD48">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4）每月：流量检查</w:t>
      </w:r>
    </w:p>
    <w:p w14:paraId="32E3817C">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5）季度：精密度检查</w:t>
      </w:r>
    </w:p>
    <w:p w14:paraId="7C7290AC">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6）半年： a.5个点以上的多点校准；b. 检查钼炉转化率</w:t>
      </w:r>
    </w:p>
    <w:p w14:paraId="30798A87">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7）每年：a. 更换标气、泵膜；b. 按需更换易耗件（4119毛细管、4127毛细管、O形圈、臭氧发生器、泵、冷堆）。</w:t>
      </w:r>
    </w:p>
    <w:p w14:paraId="4233DA73">
      <w:pPr>
        <w:keepNext/>
        <w:keepLines/>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 xml:space="preserve">(3) </w:t>
      </w:r>
      <w:r>
        <w:rPr>
          <w:rFonts w:hint="eastAsia" w:ascii="宋体" w:hAnsi="宋体" w:eastAsia="宋体" w:cs="宋体"/>
          <w:b/>
          <w:bCs/>
          <w:color w:val="auto"/>
          <w:sz w:val="21"/>
          <w:szCs w:val="21"/>
          <w:highlight w:val="none"/>
          <w:lang w:val="zh-CN"/>
        </w:rPr>
        <w:t>CO分析仪（TE48I）</w:t>
      </w:r>
    </w:p>
    <w:p w14:paraId="07FFF2A1">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1）每日：查看仪器运行是否正常，是否存在报警</w:t>
      </w:r>
    </w:p>
    <w:p w14:paraId="5944B998">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2）每周：a.零点检查；b. 跨度检查</w:t>
      </w:r>
    </w:p>
    <w:p w14:paraId="024404D4">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3）两周：更换滤膜（污染严重时应增加频次）</w:t>
      </w:r>
    </w:p>
    <w:p w14:paraId="368B5A51">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4）每月：流量检查</w:t>
      </w:r>
    </w:p>
    <w:p w14:paraId="20D32A8B">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5）季度：精密度检查</w:t>
      </w:r>
    </w:p>
    <w:p w14:paraId="4EAEE168">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6）半年：5个点以上的多点校准</w:t>
      </w:r>
    </w:p>
    <w:p w14:paraId="48317D82">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7）每年：a. 更换标气、泵模、红外源；b. 按需更换易耗件（毛细管、泵）</w:t>
      </w:r>
    </w:p>
    <w:p w14:paraId="5C3CF2B4">
      <w:pPr>
        <w:keepNext/>
        <w:keepLines/>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 xml:space="preserve">(4) </w:t>
      </w:r>
      <w:r>
        <w:rPr>
          <w:rFonts w:hint="eastAsia" w:ascii="宋体" w:hAnsi="宋体" w:eastAsia="宋体" w:cs="宋体"/>
          <w:b/>
          <w:bCs/>
          <w:color w:val="auto"/>
          <w:sz w:val="21"/>
          <w:szCs w:val="21"/>
          <w:highlight w:val="none"/>
          <w:lang w:val="zh-CN"/>
        </w:rPr>
        <w:t>动态校准仪（TE146I）</w:t>
      </w:r>
    </w:p>
    <w:p w14:paraId="78DD9F50">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1）每月：a. 零气MFC质量流量单点检查；b. 标气MFC质量流量单点检查</w:t>
      </w:r>
    </w:p>
    <w:p w14:paraId="345D3B13">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2）半年：a. 零气MFC质量流量多点校准；b. 标气MFC质量流量多点校准</w:t>
      </w:r>
    </w:p>
    <w:p w14:paraId="0E347B44">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）每年：a. 对内置的臭氧发生器进行标准溯源；b.按需更换易耗件</w:t>
      </w:r>
    </w:p>
    <w:p w14:paraId="26071A3C">
      <w:pPr>
        <w:keepNext/>
        <w:keepLines/>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 xml:space="preserve">(5) </w:t>
      </w:r>
      <w:r>
        <w:rPr>
          <w:rFonts w:hint="eastAsia" w:ascii="宋体" w:hAnsi="宋体" w:eastAsia="宋体" w:cs="宋体"/>
          <w:b/>
          <w:bCs/>
          <w:color w:val="auto"/>
          <w:sz w:val="21"/>
          <w:szCs w:val="21"/>
          <w:highlight w:val="none"/>
          <w:lang w:val="zh-CN"/>
        </w:rPr>
        <w:t>零气发生器(TE 111)</w:t>
      </w:r>
    </w:p>
    <w:p w14:paraId="7016C6D5">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1）半年：a. 更换活性炭；b. 更换分子筛</w:t>
      </w:r>
    </w:p>
    <w:p w14:paraId="7C3ED6EB">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2）每年：按需更换易耗件</w:t>
      </w:r>
    </w:p>
    <w:p w14:paraId="72F267C0">
      <w:pPr>
        <w:keepNext/>
        <w:keepLines/>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(6) </w:t>
      </w:r>
      <w:r>
        <w:rPr>
          <w:rFonts w:hint="eastAsia" w:ascii="宋体" w:hAnsi="宋体" w:eastAsia="宋体" w:cs="宋体"/>
          <w:b/>
          <w:bCs/>
          <w:color w:val="auto"/>
          <w:sz w:val="21"/>
          <w:szCs w:val="21"/>
          <w:highlight w:val="none"/>
          <w:lang w:val="zh-CN"/>
        </w:rPr>
        <w:t>颗粒物自动分析仪（SHARP</w:t>
      </w:r>
      <w:r>
        <w:rPr>
          <w:rFonts w:hint="eastAsia" w:ascii="宋体" w:hAnsi="宋体" w:eastAsia="宋体" w:cs="宋体"/>
          <w:b/>
          <w:bCs/>
          <w:color w:val="auto"/>
          <w:sz w:val="21"/>
          <w:szCs w:val="21"/>
          <w:highlight w:val="none"/>
          <w:lang w:val="en-US" w:eastAsia="zh-CN"/>
        </w:rPr>
        <w:t>5030/</w:t>
      </w:r>
      <w:r>
        <w:rPr>
          <w:rFonts w:hint="eastAsia" w:ascii="宋体" w:hAnsi="宋体" w:eastAsia="宋体" w:cs="宋体"/>
          <w:b/>
          <w:bCs/>
          <w:color w:val="auto"/>
          <w:sz w:val="21"/>
          <w:szCs w:val="21"/>
          <w:highlight w:val="none"/>
          <w:lang w:val="zh-CN"/>
        </w:rPr>
        <w:t>5030</w:t>
      </w:r>
      <w:r>
        <w:rPr>
          <w:rFonts w:hint="eastAsia" w:ascii="宋体" w:hAnsi="宋体" w:eastAsia="宋体" w:cs="宋体"/>
          <w:b/>
          <w:bCs/>
          <w:color w:val="auto"/>
          <w:sz w:val="21"/>
          <w:szCs w:val="21"/>
          <w:highlight w:val="none"/>
          <w:lang w:val="en-US" w:eastAsia="zh-CN"/>
        </w:rPr>
        <w:t>i</w:t>
      </w:r>
      <w:r>
        <w:rPr>
          <w:rFonts w:hint="eastAsia" w:ascii="宋体" w:hAnsi="宋体" w:eastAsia="宋体" w:cs="宋体"/>
          <w:b/>
          <w:bCs/>
          <w:color w:val="auto"/>
          <w:sz w:val="21"/>
          <w:szCs w:val="21"/>
          <w:highlight w:val="none"/>
          <w:lang w:val="zh-CN"/>
        </w:rPr>
        <w:t>）</w:t>
      </w:r>
    </w:p>
    <w:p w14:paraId="449F1E00">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1）每日：查看平台数据</w:t>
      </w:r>
    </w:p>
    <w:p w14:paraId="26842859">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2）每周：a. 查看仪器运行和联网状况；b. 检查纸带是否有破损或边缘不光滑的情况；c．查看仪器上历史报警信息，与工控机历史数据进行对应，去除无效数据</w:t>
      </w:r>
    </w:p>
    <w:p w14:paraId="266AC6DD">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3）两周：a. 精度检查；b. 清洗更换切割头</w:t>
      </w:r>
    </w:p>
    <w:p w14:paraId="41F561F3">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4）每月：a. 流量检查及校准；b. 清洗喷嘴</w:t>
      </w:r>
    </w:p>
    <w:p w14:paraId="73BB7B15">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5）半年：a. 更换纸带；b. 浊度校准；c. 标准膜校准；d．清洗反应室</w:t>
      </w:r>
    </w:p>
    <w:p w14:paraId="79B15821">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6）每年：a.温度与压力传感器校准；b.质量传感器校准；c. 更换泵刮板；d．更换泵过滤器；e．更换O型圈</w:t>
      </w:r>
      <w:r>
        <w:rPr>
          <w:rFonts w:hint="eastAsia" w:ascii="宋体" w:hAnsi="宋体" w:eastAsia="宋体" w:cs="宋体"/>
          <w:color w:val="auto"/>
          <w:sz w:val="21"/>
          <w:szCs w:val="21"/>
          <w:highlight w:val="none"/>
          <w:lang w:eastAsia="zh-CN"/>
        </w:rPr>
        <w:t>。</w:t>
      </w:r>
    </w:p>
    <w:p w14:paraId="1280C453">
      <w:pPr>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 xml:space="preserve">(7) </w:t>
      </w:r>
      <w:r>
        <w:rPr>
          <w:rFonts w:hint="eastAsia" w:ascii="宋体" w:hAnsi="宋体" w:eastAsia="宋体" w:cs="宋体"/>
          <w:b/>
          <w:bCs/>
          <w:color w:val="auto"/>
          <w:sz w:val="21"/>
          <w:szCs w:val="21"/>
          <w:highlight w:val="none"/>
          <w:lang w:val="zh-CN" w:eastAsia="zh-CN"/>
        </w:rPr>
        <w:t>气象五参数（WS500-UMB）</w:t>
      </w:r>
    </w:p>
    <w:p w14:paraId="03606662">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1）每周：记录一次仪器各显示状态参数</w:t>
      </w:r>
    </w:p>
    <w:p w14:paraId="792FD92A">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2）季度：a. 做一次线性检查b. 对仪器内部相关部件外部灰尘吹扫</w:t>
      </w:r>
    </w:p>
    <w:p w14:paraId="417AA128">
      <w:pPr>
        <w:keepNext/>
        <w:keepLines/>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3）每年：对仪器压力传感器进行一次检查和校准</w:t>
      </w:r>
    </w:p>
    <w:p w14:paraId="015B41CE">
      <w:pPr>
        <w:keepNext/>
        <w:keepLines/>
        <w:pageBreakBefore w:val="0"/>
        <w:widowControl w:val="0"/>
        <w:numPr>
          <w:ilvl w:val="0"/>
          <w:numId w:val="0"/>
        </w:numPr>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 xml:space="preserve">(8) </w:t>
      </w:r>
      <w:r>
        <w:rPr>
          <w:rFonts w:hint="eastAsia" w:ascii="宋体" w:hAnsi="宋体" w:eastAsia="宋体" w:cs="宋体"/>
          <w:b/>
          <w:bCs/>
          <w:color w:val="auto"/>
          <w:sz w:val="21"/>
          <w:szCs w:val="21"/>
          <w:highlight w:val="none"/>
          <w:lang w:val="zh-CN" w:eastAsia="zh-CN"/>
        </w:rPr>
        <w:t>系统集成</w:t>
      </w:r>
    </w:p>
    <w:p w14:paraId="16F5B753">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1）每周：a.空调现场清理；b.现场查看各部分运行是否正常</w:t>
      </w:r>
    </w:p>
    <w:p w14:paraId="62823D24">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2）每季度：工控机服务器数据备份</w:t>
      </w:r>
    </w:p>
    <w:p w14:paraId="0A472B11">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半年：a.监测主机是否正常；b.网络端口是否正常；c.连接传感器端口是否正常；d.传感器是否正常；e.堡垒机是否正常；f.指示灯是否正常；g.软件运行数据检查；h.软件平台运行测试；i.空气站点的软件平台的控制联调；j.UPS蓄电池检测</w:t>
      </w:r>
    </w:p>
    <w:p w14:paraId="42950E40">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4）每年：a.空调加氟氯昂；b.路由器/交换机升级；c.数据采集软件升级；d.电子围栏的摄像头、硬盘维护；e.消防设施、灭火器检查；f.站房防雷检测</w:t>
      </w:r>
    </w:p>
    <w:p w14:paraId="141079B3">
      <w:pPr>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各系统要求</w:t>
      </w:r>
    </w:p>
    <w:p w14:paraId="3673ECB5">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1）采样系统：采样系统的运行维护对象主要是采样风机、采样总管、加热装置等，采样总管及采样风机每季度至少清洗一次。</w:t>
      </w:r>
    </w:p>
    <w:p w14:paraId="613B6657">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检测系统：利用每周定期巡检工作，对系统中各监测设备进行必要维护，如常规耗材备件更换、仪器校正等工作，保证仪器正常运行，分析数据准确。在投标文件中需对各监测设备的维护清单内容作出明确响应。</w:t>
      </w:r>
    </w:p>
    <w:p w14:paraId="60B92876">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3）通讯及控制系统：通讯及控制系统维护主要是对仪器控制系统和通讯系统进行检查维护，以免造成通讯中断，影响通信质量；数据库应能安全、可靠地保存数据。</w:t>
      </w:r>
    </w:p>
    <w:p w14:paraId="74D329F3">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4）辅助系统：对系统的其他单元进行必要的检查和维护，如：站房温湿度、防雷设备、消防设备、系统设备和仪器的供电情况、系统防火防盗设施等。</w:t>
      </w:r>
    </w:p>
    <w:p w14:paraId="4DAB9610">
      <w:pPr>
        <w:keepNext/>
        <w:keepLines/>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lang w:val="zh-CN"/>
        </w:rPr>
        <w:t>5）站房系统：保持站房内部环境清洁，布置整齐，各仪器设备干净清洁，设备标示清楚；保持站房外20米以内的环境清洁；指派专人维护，设备固定牢固，门窗关闭良好，人走关门，非工作人员未经许可不得入内。</w:t>
      </w:r>
    </w:p>
    <w:p w14:paraId="47D708EB">
      <w:pPr>
        <w:keepNext/>
        <w:keepLines/>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 xml:space="preserve">(13) </w:t>
      </w:r>
      <w:r>
        <w:rPr>
          <w:rFonts w:hint="eastAsia" w:ascii="宋体" w:hAnsi="宋体" w:eastAsia="宋体" w:cs="宋体"/>
          <w:b/>
          <w:bCs/>
          <w:color w:val="auto"/>
          <w:sz w:val="21"/>
          <w:szCs w:val="21"/>
          <w:highlight w:val="none"/>
          <w:lang w:val="zh-CN"/>
        </w:rPr>
        <w:t>站房修缮</w:t>
      </w:r>
    </w:p>
    <w:p w14:paraId="5A8158C6">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1）出现漏水或者其他安全隐患时应及时对站房进行修缮。</w:t>
      </w:r>
    </w:p>
    <w:p w14:paraId="62BD0904">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2）标识标牌老旧破损或者相关内容发生变化时应根据相关标准要求对标识标牌进行更新。</w:t>
      </w:r>
    </w:p>
    <w:p w14:paraId="0A3C9DF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3、项目运维人员组成及实施要求</w:t>
      </w:r>
    </w:p>
    <w:p w14:paraId="73DF264C">
      <w:pPr>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.1 运维人员</w:t>
      </w:r>
    </w:p>
    <w:p w14:paraId="76ACC6EE">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应为实施本项目配备</w:t>
      </w:r>
      <w:r>
        <w:rPr>
          <w:rFonts w:hint="eastAsia" w:ascii="宋体" w:hAnsi="宋体" w:eastAsia="宋体" w:cs="宋体"/>
          <w:color w:val="auto"/>
          <w:sz w:val="21"/>
          <w:szCs w:val="21"/>
          <w:highlight w:val="none"/>
          <w:lang w:val="en-US" w:eastAsia="zh-CN"/>
        </w:rPr>
        <w:t>1名项目负责人、</w:t>
      </w:r>
      <w:r>
        <w:rPr>
          <w:rFonts w:hint="eastAsia" w:ascii="宋体" w:hAnsi="宋体" w:eastAsia="宋体" w:cs="宋体"/>
          <w:color w:val="auto"/>
          <w:sz w:val="21"/>
          <w:szCs w:val="21"/>
          <w:highlight w:val="none"/>
          <w:lang w:val="zh-CN" w:eastAsia="zh-CN"/>
        </w:rPr>
        <w:t>不少于</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名经验丰富的空气自动监测站运维人员以及</w:t>
      </w:r>
      <w:r>
        <w:rPr>
          <w:rFonts w:hint="eastAsia" w:ascii="宋体" w:hAnsi="宋体" w:eastAsia="宋体" w:cs="宋体"/>
          <w:color w:val="auto"/>
          <w:sz w:val="21"/>
          <w:szCs w:val="21"/>
          <w:highlight w:val="none"/>
          <w:lang w:val="en-US" w:eastAsia="zh-CN"/>
        </w:rPr>
        <w:t>1名数据审核人员</w:t>
      </w:r>
      <w:r>
        <w:rPr>
          <w:rFonts w:hint="eastAsia" w:ascii="宋体" w:hAnsi="宋体" w:eastAsia="宋体" w:cs="宋体"/>
          <w:color w:val="auto"/>
          <w:sz w:val="21"/>
          <w:szCs w:val="21"/>
          <w:highlight w:val="none"/>
          <w:lang w:val="zh-CN" w:eastAsia="zh-CN"/>
        </w:rPr>
        <w:t>。运维人员且须拥有国家或省级环境监测部门颁发的大气自动监测运维上岗证</w:t>
      </w:r>
      <w:r>
        <w:rPr>
          <w:rFonts w:hint="eastAsia" w:ascii="宋体" w:hAnsi="宋体" w:cs="宋体"/>
          <w:color w:val="auto"/>
          <w:sz w:val="21"/>
          <w:szCs w:val="21"/>
          <w:highlight w:val="none"/>
          <w:lang w:val="zh-CN" w:eastAsia="zh-CN"/>
        </w:rPr>
        <w:t>（含空气站常规六因子等监测仪器上岗证）</w:t>
      </w:r>
      <w:r>
        <w:rPr>
          <w:rFonts w:hint="eastAsia" w:ascii="宋体" w:hAnsi="宋体" w:eastAsia="宋体" w:cs="宋体"/>
          <w:color w:val="auto"/>
          <w:sz w:val="21"/>
          <w:szCs w:val="21"/>
          <w:highlight w:val="none"/>
          <w:lang w:val="zh-CN" w:eastAsia="zh-CN"/>
        </w:rPr>
        <w:t>。运维人员能正确、熟练地掌握有关仪器设备的原理，具有按相应技术规范操作、使用、调试、维修和更换等技能。</w:t>
      </w:r>
      <w:r>
        <w:rPr>
          <w:rFonts w:hint="eastAsia" w:ascii="宋体" w:hAnsi="宋体" w:eastAsia="宋体" w:cs="宋体"/>
          <w:color w:val="auto"/>
          <w:sz w:val="21"/>
          <w:szCs w:val="21"/>
          <w:highlight w:val="none"/>
          <w:lang w:val="en-US" w:eastAsia="zh-CN"/>
        </w:rPr>
        <w:t>数据审核人员，</w:t>
      </w:r>
      <w:r>
        <w:rPr>
          <w:rFonts w:hint="eastAsia" w:ascii="宋体" w:hAnsi="宋体" w:eastAsia="宋体" w:cs="宋体"/>
          <w:color w:val="auto"/>
          <w:sz w:val="21"/>
          <w:szCs w:val="21"/>
          <w:highlight w:val="none"/>
          <w:lang w:val="zh-CN" w:eastAsia="zh-CN"/>
        </w:rPr>
        <w:t>负责每日监测数据的初审，审核人员具备重积分、源解析、环境空气数据专报分析经验。</w:t>
      </w:r>
    </w:p>
    <w:p w14:paraId="2CA78257">
      <w:pPr>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.2 运维车辆</w:t>
      </w:r>
    </w:p>
    <w:p w14:paraId="5756B492">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应为实施本项目至少专门配置</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辆专用运维车，紧急情况时额外调用其他车辆。</w:t>
      </w:r>
    </w:p>
    <w:p w14:paraId="0D672928">
      <w:pPr>
        <w:pageBreakBefore w:val="0"/>
        <w:widowControl w:val="0"/>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3.3 装备要求：</w:t>
      </w:r>
    </w:p>
    <w:p w14:paraId="67D7BBE4">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配备专业技术人员，配备专用工具，包括便携式电脑、万用表、远程数据查询系统、各种硬件接口线、接口调试软件及常用零部件等自动站维护所需基本工具和检测仪器。</w:t>
      </w:r>
    </w:p>
    <w:p w14:paraId="4192D4B0">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为保证空气自动站的连续运行，</w:t>
      </w:r>
      <w:r>
        <w:rPr>
          <w:rFonts w:hint="eastAsia" w:ascii="宋体" w:hAnsi="宋体" w:cs="宋体"/>
          <w:color w:val="auto"/>
          <w:sz w:val="21"/>
          <w:szCs w:val="21"/>
          <w:highlight w:val="none"/>
          <w:lang w:val="zh-CN" w:eastAsia="zh-CN"/>
        </w:rPr>
        <w:t>乙方</w:t>
      </w:r>
      <w:r>
        <w:rPr>
          <w:rFonts w:hint="eastAsia" w:ascii="宋体" w:hAnsi="宋体" w:eastAsia="宋体" w:cs="宋体"/>
          <w:color w:val="auto"/>
          <w:sz w:val="21"/>
          <w:szCs w:val="21"/>
          <w:highlight w:val="none"/>
          <w:lang w:val="zh-CN" w:eastAsia="zh-CN"/>
        </w:rPr>
        <w:t>应建立专用的相关仪器所需的常规耗材备件，负责发送和管理空气自动站的备品备件，并指定专人进行管理。</w:t>
      </w:r>
    </w:p>
    <w:p w14:paraId="5054ACE0">
      <w:pPr>
        <w:keepNext/>
        <w:keepLines/>
        <w:pageBreakBefore w:val="0"/>
        <w:widowControl w:val="0"/>
        <w:numPr>
          <w:ilvl w:val="0"/>
          <w:numId w:val="0"/>
        </w:numPr>
        <w:kinsoku/>
        <w:wordWrap/>
        <w:overflowPunct/>
        <w:topLinePunct w:val="0"/>
        <w:autoSpaceDE/>
        <w:autoSpaceDN/>
        <w:bidi w:val="0"/>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3.4 其他要求</w:t>
      </w:r>
    </w:p>
    <w:p w14:paraId="7F787B4D">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）数据审核：每日需按要求完成平台数据的初审工作，常规因子需在每日</w:t>
      </w:r>
      <w:r>
        <w:rPr>
          <w:rFonts w:hint="eastAsia" w:ascii="宋体" w:hAnsi="宋体" w:eastAsia="宋体" w:cs="宋体"/>
          <w:color w:val="auto"/>
          <w:sz w:val="21"/>
          <w:szCs w:val="21"/>
          <w:highlight w:val="none"/>
          <w:lang w:val="en-US" w:eastAsia="zh-CN"/>
        </w:rPr>
        <w:t>9：00之前完成上一天的数据审核。 报告提供：每月8号前提供上一个月的监测数据分析月报，</w:t>
      </w:r>
      <w:r>
        <w:rPr>
          <w:rFonts w:hint="eastAsia" w:ascii="宋体" w:hAnsi="宋体" w:eastAsia="宋体" w:cs="宋体"/>
          <w:color w:val="auto"/>
          <w:sz w:val="21"/>
          <w:szCs w:val="21"/>
          <w:highlight w:val="none"/>
          <w:lang w:val="zh-CN" w:eastAsia="zh-CN"/>
        </w:rPr>
        <w:t>在运维周期结束后一个月内出具定期运维报告（年度报告）及监测数据分析报告，运维报告需含运维工作总结，巡检维护明细，问题处理明细，耗材和配件更换明细，校准明细等内容。同时还需根据</w:t>
      </w:r>
      <w:r>
        <w:rPr>
          <w:rFonts w:hint="eastAsia" w:ascii="宋体" w:hAnsi="宋体" w:cs="宋体"/>
          <w:color w:val="auto"/>
          <w:sz w:val="21"/>
          <w:szCs w:val="21"/>
          <w:highlight w:val="none"/>
          <w:lang w:val="zh-CN" w:eastAsia="zh-CN"/>
        </w:rPr>
        <w:t>甲方</w:t>
      </w:r>
      <w:r>
        <w:rPr>
          <w:rFonts w:hint="eastAsia" w:ascii="宋体" w:hAnsi="宋体" w:eastAsia="宋体" w:cs="宋体"/>
          <w:color w:val="auto"/>
          <w:sz w:val="21"/>
          <w:szCs w:val="21"/>
          <w:highlight w:val="none"/>
          <w:lang w:val="zh-CN" w:eastAsia="zh-CN"/>
        </w:rPr>
        <w:t>需求不定期提供分析报告，书面报告作为运行维护考核依据之一。</w:t>
      </w:r>
    </w:p>
    <w:p w14:paraId="3B3B15F6">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）遇特殊情况可能引起一天及以上数据缺失的，如停电、仪器故障、更换重要部件等，或其他特殊情况，应及时向</w:t>
      </w:r>
      <w:r>
        <w:rPr>
          <w:rFonts w:hint="eastAsia" w:ascii="宋体" w:hAnsi="宋体" w:cs="宋体"/>
          <w:color w:val="auto"/>
          <w:sz w:val="21"/>
          <w:szCs w:val="21"/>
          <w:highlight w:val="none"/>
          <w:lang w:val="zh-CN" w:eastAsia="zh-CN"/>
        </w:rPr>
        <w:t>甲方</w:t>
      </w:r>
      <w:r>
        <w:rPr>
          <w:rFonts w:hint="eastAsia" w:ascii="宋体" w:hAnsi="宋体" w:eastAsia="宋体" w:cs="宋体"/>
          <w:color w:val="auto"/>
          <w:sz w:val="21"/>
          <w:szCs w:val="21"/>
          <w:highlight w:val="none"/>
          <w:lang w:val="zh-CN" w:eastAsia="zh-CN"/>
        </w:rPr>
        <w:t>说明并报送纸质文件备案。</w:t>
      </w:r>
    </w:p>
    <w:p w14:paraId="7ED0FDC2">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）项目运行维护过程中应严格做好安全防范措施，如项目运维技术人员在实施中造成人员伤亡事故或实施现场防范措施设置不明造成人员伤害事故，一切责任均由</w:t>
      </w:r>
      <w:r>
        <w:rPr>
          <w:rFonts w:hint="eastAsia" w:ascii="宋体" w:hAnsi="宋体" w:cs="宋体"/>
          <w:color w:val="auto"/>
          <w:sz w:val="21"/>
          <w:szCs w:val="21"/>
          <w:highlight w:val="none"/>
          <w:lang w:val="zh-CN" w:eastAsia="zh-CN"/>
        </w:rPr>
        <w:t>乙方</w:t>
      </w:r>
      <w:r>
        <w:rPr>
          <w:rFonts w:hint="eastAsia" w:ascii="宋体" w:hAnsi="宋体" w:eastAsia="宋体" w:cs="宋体"/>
          <w:color w:val="auto"/>
          <w:sz w:val="21"/>
          <w:szCs w:val="21"/>
          <w:highlight w:val="none"/>
          <w:lang w:val="zh-CN" w:eastAsia="zh-CN"/>
        </w:rPr>
        <w:t>负责。</w:t>
      </w:r>
    </w:p>
    <w:p w14:paraId="609847F8">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）在规定时间内不能解决故障或者故障严重的，</w:t>
      </w:r>
      <w:r>
        <w:rPr>
          <w:rFonts w:hint="eastAsia" w:ascii="宋体" w:hAnsi="宋体" w:cs="宋体"/>
          <w:color w:val="auto"/>
          <w:sz w:val="21"/>
          <w:szCs w:val="21"/>
          <w:highlight w:val="none"/>
          <w:lang w:val="zh-CN" w:eastAsia="zh-CN"/>
        </w:rPr>
        <w:t>甲方</w:t>
      </w:r>
      <w:r>
        <w:rPr>
          <w:rFonts w:hint="eastAsia" w:ascii="宋体" w:hAnsi="宋体" w:eastAsia="宋体" w:cs="宋体"/>
          <w:color w:val="auto"/>
          <w:sz w:val="21"/>
          <w:szCs w:val="21"/>
          <w:highlight w:val="none"/>
          <w:lang w:val="zh-CN" w:eastAsia="zh-CN"/>
        </w:rPr>
        <w:t>有权寻求第三方协助，由此产生费用由</w:t>
      </w:r>
      <w:r>
        <w:rPr>
          <w:rFonts w:hint="eastAsia" w:ascii="宋体" w:hAnsi="宋体" w:cs="宋体"/>
          <w:color w:val="auto"/>
          <w:sz w:val="21"/>
          <w:szCs w:val="21"/>
          <w:highlight w:val="none"/>
          <w:lang w:val="zh-CN" w:eastAsia="zh-CN"/>
        </w:rPr>
        <w:t>乙方</w:t>
      </w:r>
      <w:r>
        <w:rPr>
          <w:rFonts w:hint="eastAsia" w:ascii="宋体" w:hAnsi="宋体" w:eastAsia="宋体" w:cs="宋体"/>
          <w:color w:val="auto"/>
          <w:sz w:val="21"/>
          <w:szCs w:val="21"/>
          <w:highlight w:val="none"/>
          <w:lang w:val="zh-CN" w:eastAsia="zh-CN"/>
        </w:rPr>
        <w:t>承担。</w:t>
      </w:r>
    </w:p>
    <w:p w14:paraId="0099553A">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）乙方应</w:t>
      </w:r>
      <w:r>
        <w:rPr>
          <w:rFonts w:hint="eastAsia" w:ascii="宋体" w:hAnsi="宋体" w:eastAsia="宋体" w:cs="宋体"/>
          <w:color w:val="auto"/>
          <w:sz w:val="21"/>
          <w:szCs w:val="21"/>
          <w:highlight w:val="none"/>
          <w:lang w:val="en-US" w:eastAsia="zh-CN"/>
        </w:rPr>
        <w:t>列明每个自动监测站及主要仪器运行、管理期间的费用明细及年度运维费用</w:t>
      </w:r>
      <w:r>
        <w:rPr>
          <w:rFonts w:hint="eastAsia" w:ascii="宋体" w:hAnsi="宋体" w:eastAsia="宋体" w:cs="宋体"/>
          <w:color w:val="auto"/>
          <w:sz w:val="21"/>
          <w:szCs w:val="21"/>
          <w:highlight w:val="none"/>
          <w:lang w:val="zh-CN" w:eastAsia="zh-CN"/>
        </w:rPr>
        <w:t>。</w:t>
      </w:r>
    </w:p>
    <w:p w14:paraId="6922B5BA">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）在运维及管理期间，在合同约束范围内乙方拥有管理自主权；不能以任何形式外包合同规定的运行维护任务。</w:t>
      </w:r>
    </w:p>
    <w:p w14:paraId="258D935A">
      <w:pPr>
        <w:keepNext/>
        <w:keepLines/>
        <w:pageBreakBefore w:val="0"/>
        <w:widowControl w:val="0"/>
        <w:numPr>
          <w:ilvl w:val="0"/>
          <w:numId w:val="0"/>
        </w:numPr>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b/>
          <w:bCs/>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）委托运行维护及管理的全部资产（包括全部产权和建筑物、设备、软件、配套设施、自动站和配套监控系统产生的各类数据信息及相关文档资料），</w:t>
      </w:r>
      <w:r>
        <w:rPr>
          <w:rFonts w:hint="eastAsia" w:ascii="宋体" w:hAnsi="宋体" w:cs="宋体"/>
          <w:color w:val="auto"/>
          <w:sz w:val="21"/>
          <w:szCs w:val="21"/>
          <w:highlight w:val="none"/>
          <w:lang w:val="zh-CN" w:eastAsia="zh-CN"/>
        </w:rPr>
        <w:t>乙方</w:t>
      </w:r>
      <w:r>
        <w:rPr>
          <w:rFonts w:hint="eastAsia" w:ascii="宋体" w:hAnsi="宋体" w:eastAsia="宋体" w:cs="宋体"/>
          <w:color w:val="auto"/>
          <w:sz w:val="21"/>
          <w:szCs w:val="21"/>
          <w:highlight w:val="none"/>
          <w:lang w:val="zh-CN" w:eastAsia="zh-CN"/>
        </w:rPr>
        <w:t>不得以任何方式对各类财产进行出售、抵押或转移；在委托运营及管理期间，</w:t>
      </w:r>
      <w:r>
        <w:rPr>
          <w:rFonts w:hint="eastAsia" w:ascii="宋体" w:hAnsi="宋体" w:cs="宋体"/>
          <w:color w:val="auto"/>
          <w:sz w:val="21"/>
          <w:szCs w:val="21"/>
          <w:highlight w:val="none"/>
          <w:lang w:val="zh-CN" w:eastAsia="zh-CN"/>
        </w:rPr>
        <w:t>乙方</w:t>
      </w:r>
      <w:r>
        <w:rPr>
          <w:rFonts w:hint="eastAsia" w:ascii="宋体" w:hAnsi="宋体" w:eastAsia="宋体" w:cs="宋体"/>
          <w:color w:val="auto"/>
          <w:sz w:val="21"/>
          <w:szCs w:val="21"/>
          <w:highlight w:val="none"/>
          <w:lang w:val="zh-CN" w:eastAsia="zh-CN"/>
        </w:rPr>
        <w:t>有责任保证上述全部资产的完整、安全并处于良好状态。</w:t>
      </w:r>
    </w:p>
    <w:p w14:paraId="3D4E43B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zh-CN" w:eastAsia="zh-CN"/>
        </w:rPr>
      </w:pPr>
      <w:r>
        <w:rPr>
          <w:rFonts w:hint="eastAsia" w:ascii="宋体" w:hAnsi="宋体" w:eastAsia="宋体" w:cs="宋体"/>
          <w:b/>
          <w:color w:val="auto"/>
          <w:sz w:val="21"/>
          <w:szCs w:val="21"/>
          <w:highlight w:val="none"/>
          <w:lang w:val="en-US" w:eastAsia="zh-CN"/>
        </w:rPr>
        <w:t>4、</w:t>
      </w:r>
      <w:r>
        <w:rPr>
          <w:rFonts w:hint="eastAsia" w:ascii="宋体" w:hAnsi="宋体" w:cs="宋体"/>
          <w:b/>
          <w:color w:val="auto"/>
          <w:sz w:val="21"/>
          <w:szCs w:val="21"/>
          <w:highlight w:val="none"/>
          <w:lang w:val="en-US" w:eastAsia="zh-CN"/>
        </w:rPr>
        <w:t>运维</w:t>
      </w:r>
      <w:r>
        <w:rPr>
          <w:rFonts w:hint="eastAsia" w:ascii="宋体" w:hAnsi="宋体" w:eastAsia="宋体" w:cs="宋体"/>
          <w:b/>
          <w:color w:val="auto"/>
          <w:sz w:val="21"/>
          <w:szCs w:val="21"/>
          <w:highlight w:val="none"/>
          <w:lang w:val="en-US" w:eastAsia="zh-CN"/>
        </w:rPr>
        <w:t>考核</w:t>
      </w:r>
    </w:p>
    <w:p w14:paraId="6927E7C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按照《</w:t>
      </w:r>
      <w:r>
        <w:rPr>
          <w:rFonts w:hint="eastAsia" w:hAnsi="宋体" w:cs="宋体"/>
          <w:color w:val="auto"/>
          <w:kern w:val="0"/>
          <w:sz w:val="21"/>
          <w:szCs w:val="21"/>
          <w:highlight w:val="none"/>
          <w:lang w:val="en-US" w:eastAsia="zh-CN" w:bidi="ar"/>
        </w:rPr>
        <w:t>浙江省环境空气质量自动监测系统运行管理实施细则（试行）</w:t>
      </w:r>
      <w:r>
        <w:rPr>
          <w:rFonts w:hint="eastAsia" w:ascii="宋体" w:hAnsi="宋体" w:eastAsia="宋体" w:cs="宋体"/>
          <w:color w:val="auto"/>
          <w:kern w:val="0"/>
          <w:sz w:val="21"/>
          <w:szCs w:val="21"/>
          <w:highlight w:val="none"/>
          <w:lang w:val="en-US" w:eastAsia="zh-CN" w:bidi="ar"/>
        </w:rPr>
        <w:t>》中运维考核表的内容每季度对每站点进行一次考核，根据站点的考核情况支付运维费用。</w:t>
      </w:r>
    </w:p>
    <w:p w14:paraId="687486B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（1）考核结果80分（含）-100分，支付该站点当季度全部运维费；</w:t>
      </w:r>
    </w:p>
    <w:p w14:paraId="484CCA3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75分（含）-80（不含）分，扣除该站点当季度运维费30%；</w:t>
      </w:r>
    </w:p>
    <w:p w14:paraId="01C1ADB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60分（含）-75（不含）分以下，扣除该站点当季度运维费50%；</w:t>
      </w:r>
    </w:p>
    <w:p w14:paraId="480532A7">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60（不含）分以下，扣除该站点当季度全部运维费。</w:t>
      </w:r>
    </w:p>
    <w:p w14:paraId="024103AE">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（2）运维期间发现有人为干扰干预、篡改、伪造监测数据行为的，终止合同。</w:t>
      </w:r>
    </w:p>
    <w:p w14:paraId="1FAB52ED">
      <w:pPr>
        <w:pStyle w:val="10"/>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浙江省环境自动监测系统运行管理考核综合评议表</w:t>
      </w:r>
    </w:p>
    <w:p w14:paraId="7BADE3C4">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考核站位：                               时间：</w:t>
      </w:r>
    </w:p>
    <w:tbl>
      <w:tblPr>
        <w:tblStyle w:val="21"/>
        <w:tblW w:w="912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75"/>
        <w:gridCol w:w="2505"/>
        <w:gridCol w:w="743"/>
        <w:gridCol w:w="808"/>
        <w:gridCol w:w="3394"/>
      </w:tblGrid>
      <w:tr w14:paraId="0D1EF5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1675" w:type="dxa"/>
            <w:tcBorders>
              <w:top w:val="single" w:color="auto" w:sz="6" w:space="0"/>
              <w:left w:val="single" w:color="auto" w:sz="6" w:space="0"/>
              <w:bottom w:val="single" w:color="auto" w:sz="6" w:space="0"/>
              <w:right w:val="single" w:color="auto" w:sz="6" w:space="0"/>
            </w:tcBorders>
            <w:vAlign w:val="center"/>
          </w:tcPr>
          <w:p w14:paraId="5EAF2B06">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考核内容</w:t>
            </w:r>
          </w:p>
        </w:tc>
        <w:tc>
          <w:tcPr>
            <w:tcW w:w="2505" w:type="dxa"/>
            <w:tcBorders>
              <w:top w:val="single" w:color="auto" w:sz="6" w:space="0"/>
              <w:left w:val="single" w:color="auto" w:sz="6" w:space="0"/>
              <w:bottom w:val="single" w:color="auto" w:sz="6" w:space="0"/>
              <w:right w:val="single" w:color="auto" w:sz="6" w:space="0"/>
            </w:tcBorders>
            <w:vAlign w:val="center"/>
          </w:tcPr>
          <w:p w14:paraId="254FBE9C">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评分标准</w:t>
            </w:r>
          </w:p>
        </w:tc>
        <w:tc>
          <w:tcPr>
            <w:tcW w:w="743" w:type="dxa"/>
            <w:tcBorders>
              <w:top w:val="single" w:color="auto" w:sz="6" w:space="0"/>
              <w:left w:val="single" w:color="auto" w:sz="6" w:space="0"/>
              <w:bottom w:val="single" w:color="auto" w:sz="6" w:space="0"/>
              <w:right w:val="single" w:color="auto" w:sz="6" w:space="0"/>
            </w:tcBorders>
            <w:vAlign w:val="center"/>
          </w:tcPr>
          <w:p w14:paraId="332130E6">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分值</w:t>
            </w:r>
          </w:p>
        </w:tc>
        <w:tc>
          <w:tcPr>
            <w:tcW w:w="808" w:type="dxa"/>
            <w:tcBorders>
              <w:top w:val="single" w:color="auto" w:sz="6" w:space="0"/>
              <w:left w:val="single" w:color="auto" w:sz="6" w:space="0"/>
              <w:bottom w:val="single" w:color="auto" w:sz="6" w:space="0"/>
              <w:right w:val="single" w:color="auto" w:sz="6" w:space="0"/>
            </w:tcBorders>
            <w:vAlign w:val="center"/>
          </w:tcPr>
          <w:p w14:paraId="7EF3A163">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得分</w:t>
            </w:r>
          </w:p>
        </w:tc>
        <w:tc>
          <w:tcPr>
            <w:tcW w:w="3394" w:type="dxa"/>
            <w:tcBorders>
              <w:top w:val="single" w:color="auto" w:sz="6" w:space="0"/>
              <w:left w:val="single" w:color="auto" w:sz="6" w:space="0"/>
              <w:bottom w:val="single" w:color="auto" w:sz="6" w:space="0"/>
              <w:right w:val="single" w:color="auto" w:sz="6" w:space="0"/>
            </w:tcBorders>
            <w:vAlign w:val="center"/>
          </w:tcPr>
          <w:p w14:paraId="7641274C">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详细说明</w:t>
            </w:r>
          </w:p>
        </w:tc>
      </w:tr>
      <w:tr w14:paraId="56DE8F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027D657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站房选址</w:t>
            </w:r>
          </w:p>
        </w:tc>
        <w:tc>
          <w:tcPr>
            <w:tcW w:w="2505" w:type="dxa"/>
            <w:tcBorders>
              <w:top w:val="single" w:color="auto" w:sz="6" w:space="0"/>
              <w:left w:val="single" w:color="auto" w:sz="6" w:space="0"/>
              <w:bottom w:val="single" w:color="auto" w:sz="6" w:space="0"/>
              <w:right w:val="single" w:color="auto" w:sz="6" w:space="0"/>
            </w:tcBorders>
            <w:vAlign w:val="center"/>
          </w:tcPr>
          <w:p w14:paraId="6080A22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点位是否与国家和省厅批复的经纬度相同，有无变动</w:t>
            </w:r>
          </w:p>
        </w:tc>
        <w:tc>
          <w:tcPr>
            <w:tcW w:w="743" w:type="dxa"/>
            <w:tcBorders>
              <w:top w:val="single" w:color="auto" w:sz="6" w:space="0"/>
              <w:left w:val="single" w:color="auto" w:sz="6" w:space="0"/>
              <w:bottom w:val="single" w:color="auto" w:sz="6" w:space="0"/>
              <w:right w:val="single" w:color="auto" w:sz="6" w:space="0"/>
            </w:tcBorders>
            <w:vAlign w:val="center"/>
          </w:tcPr>
          <w:p w14:paraId="78239A3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08" w:type="dxa"/>
            <w:tcBorders>
              <w:top w:val="single" w:color="auto" w:sz="6" w:space="0"/>
              <w:left w:val="single" w:color="auto" w:sz="6" w:space="0"/>
              <w:bottom w:val="single" w:color="auto" w:sz="6" w:space="0"/>
              <w:right w:val="single" w:color="auto" w:sz="6" w:space="0"/>
            </w:tcBorders>
            <w:vAlign w:val="center"/>
          </w:tcPr>
          <w:p w14:paraId="67A953E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59522BB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实测与批复经纬度误差在100米内</w:t>
            </w:r>
          </w:p>
        </w:tc>
      </w:tr>
      <w:tr w14:paraId="4DA6F3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0060D2A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运行环境</w:t>
            </w:r>
          </w:p>
        </w:tc>
        <w:tc>
          <w:tcPr>
            <w:tcW w:w="2505" w:type="dxa"/>
            <w:tcBorders>
              <w:top w:val="single" w:color="auto" w:sz="6" w:space="0"/>
              <w:left w:val="single" w:color="auto" w:sz="6" w:space="0"/>
              <w:bottom w:val="single" w:color="auto" w:sz="6" w:space="0"/>
              <w:right w:val="single" w:color="auto" w:sz="6" w:space="0"/>
            </w:tcBorders>
            <w:vAlign w:val="center"/>
          </w:tcPr>
          <w:p w14:paraId="6EA6E4D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室内整洁、干燥（RH85%以下），空调运行正常（15~35℃），保障仪器适合工作环境。</w:t>
            </w:r>
          </w:p>
        </w:tc>
        <w:tc>
          <w:tcPr>
            <w:tcW w:w="743" w:type="dxa"/>
            <w:tcBorders>
              <w:top w:val="single" w:color="auto" w:sz="6" w:space="0"/>
              <w:left w:val="single" w:color="auto" w:sz="6" w:space="0"/>
              <w:bottom w:val="single" w:color="auto" w:sz="6" w:space="0"/>
              <w:right w:val="single" w:color="auto" w:sz="6" w:space="0"/>
            </w:tcBorders>
            <w:vAlign w:val="center"/>
          </w:tcPr>
          <w:p w14:paraId="2ECDCC3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08" w:type="dxa"/>
            <w:tcBorders>
              <w:top w:val="single" w:color="auto" w:sz="6" w:space="0"/>
              <w:left w:val="single" w:color="auto" w:sz="6" w:space="0"/>
              <w:bottom w:val="single" w:color="auto" w:sz="6" w:space="0"/>
              <w:right w:val="single" w:color="auto" w:sz="6" w:space="0"/>
            </w:tcBorders>
            <w:vAlign w:val="center"/>
          </w:tcPr>
          <w:p w14:paraId="30F95A2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436C3E5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室内整洁，干燥和温度分别打分</w:t>
            </w:r>
          </w:p>
        </w:tc>
      </w:tr>
      <w:tr w14:paraId="77B43C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0E5A54B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安全保障</w:t>
            </w:r>
          </w:p>
        </w:tc>
        <w:tc>
          <w:tcPr>
            <w:tcW w:w="2505" w:type="dxa"/>
            <w:tcBorders>
              <w:top w:val="single" w:color="auto" w:sz="6" w:space="0"/>
              <w:left w:val="single" w:color="auto" w:sz="6" w:space="0"/>
              <w:bottom w:val="single" w:color="auto" w:sz="6" w:space="0"/>
              <w:right w:val="single" w:color="auto" w:sz="6" w:space="0"/>
            </w:tcBorders>
            <w:vAlign w:val="center"/>
          </w:tcPr>
          <w:p w14:paraId="6CC1D4A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防护措施到位，防水、防雷和供电满足规范要求；保障相关人员和资产安全。</w:t>
            </w:r>
          </w:p>
        </w:tc>
        <w:tc>
          <w:tcPr>
            <w:tcW w:w="743" w:type="dxa"/>
            <w:tcBorders>
              <w:top w:val="single" w:color="auto" w:sz="6" w:space="0"/>
              <w:left w:val="single" w:color="auto" w:sz="6" w:space="0"/>
              <w:bottom w:val="single" w:color="auto" w:sz="6" w:space="0"/>
              <w:right w:val="single" w:color="auto" w:sz="6" w:space="0"/>
            </w:tcBorders>
            <w:vAlign w:val="center"/>
          </w:tcPr>
          <w:p w14:paraId="4EB629D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08" w:type="dxa"/>
            <w:tcBorders>
              <w:top w:val="single" w:color="auto" w:sz="6" w:space="0"/>
              <w:left w:val="single" w:color="auto" w:sz="6" w:space="0"/>
              <w:bottom w:val="single" w:color="auto" w:sz="6" w:space="0"/>
              <w:right w:val="single" w:color="auto" w:sz="6" w:space="0"/>
            </w:tcBorders>
            <w:vAlign w:val="center"/>
          </w:tcPr>
          <w:p w14:paraId="3DFC098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40100B4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防水、防雷和UPS供电保障分别打分</w:t>
            </w:r>
          </w:p>
        </w:tc>
      </w:tr>
      <w:tr w14:paraId="3D745D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2FA3499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监测项目</w:t>
            </w:r>
          </w:p>
        </w:tc>
        <w:tc>
          <w:tcPr>
            <w:tcW w:w="2505" w:type="dxa"/>
            <w:tcBorders>
              <w:top w:val="single" w:color="auto" w:sz="6" w:space="0"/>
              <w:left w:val="single" w:color="auto" w:sz="6" w:space="0"/>
              <w:bottom w:val="single" w:color="auto" w:sz="6" w:space="0"/>
              <w:right w:val="single" w:color="auto" w:sz="6" w:space="0"/>
            </w:tcBorders>
            <w:vAlign w:val="center"/>
          </w:tcPr>
          <w:p w14:paraId="679A2AD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常规六项监测是否齐全，仪器分析方法是否符合规范要求，PM2.5监测仪是否有补偿系统（振荡天平FDMS）或动态加热系统（β射线法DHS）</w:t>
            </w:r>
          </w:p>
        </w:tc>
        <w:tc>
          <w:tcPr>
            <w:tcW w:w="743" w:type="dxa"/>
            <w:tcBorders>
              <w:top w:val="single" w:color="auto" w:sz="6" w:space="0"/>
              <w:left w:val="single" w:color="auto" w:sz="6" w:space="0"/>
              <w:bottom w:val="single" w:color="auto" w:sz="6" w:space="0"/>
              <w:right w:val="single" w:color="auto" w:sz="6" w:space="0"/>
            </w:tcBorders>
            <w:vAlign w:val="center"/>
          </w:tcPr>
          <w:p w14:paraId="6DF70AB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5579FFA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4C391B5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缺少一项或任一分析方法不符合规范扣分；PM2.5无补偿系统扣分</w:t>
            </w:r>
          </w:p>
        </w:tc>
      </w:tr>
      <w:tr w14:paraId="08CF46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2B1FEC0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采样系统的规范性</w:t>
            </w:r>
          </w:p>
        </w:tc>
        <w:tc>
          <w:tcPr>
            <w:tcW w:w="2505" w:type="dxa"/>
            <w:tcBorders>
              <w:top w:val="single" w:color="auto" w:sz="6" w:space="0"/>
              <w:left w:val="single" w:color="auto" w:sz="6" w:space="0"/>
              <w:bottom w:val="single" w:color="auto" w:sz="6" w:space="0"/>
              <w:right w:val="single" w:color="auto" w:sz="6" w:space="0"/>
            </w:tcBorders>
            <w:vAlign w:val="center"/>
          </w:tcPr>
          <w:p w14:paraId="3B03378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采样口设置是否符合规范：3-25m高，270°水平面捕集空间（靠近建筑物则为180°），50m范围内无明显污染源；</w:t>
            </w:r>
          </w:p>
          <w:p w14:paraId="30D1835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采样总管和支管的设置是否符合规范</w:t>
            </w:r>
          </w:p>
        </w:tc>
        <w:tc>
          <w:tcPr>
            <w:tcW w:w="743" w:type="dxa"/>
            <w:tcBorders>
              <w:top w:val="single" w:color="auto" w:sz="6" w:space="0"/>
              <w:left w:val="single" w:color="auto" w:sz="6" w:space="0"/>
              <w:bottom w:val="single" w:color="auto" w:sz="6" w:space="0"/>
              <w:right w:val="single" w:color="auto" w:sz="6" w:space="0"/>
            </w:tcBorders>
            <w:vAlign w:val="center"/>
          </w:tcPr>
          <w:p w14:paraId="32F752E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5521F08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5DAAE85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采样高度过高过低扣分；采样水平空间情况不符合扣分</w:t>
            </w:r>
          </w:p>
          <w:p w14:paraId="21CD594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周边有明显污染源扣分；采样管路不符合规范扣分</w:t>
            </w:r>
          </w:p>
        </w:tc>
      </w:tr>
      <w:tr w14:paraId="1BD8DF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48B2AD5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日常监测</w:t>
            </w:r>
          </w:p>
        </w:tc>
        <w:tc>
          <w:tcPr>
            <w:tcW w:w="2505" w:type="dxa"/>
            <w:tcBorders>
              <w:top w:val="single" w:color="auto" w:sz="6" w:space="0"/>
              <w:left w:val="single" w:color="auto" w:sz="6" w:space="0"/>
              <w:bottom w:val="single" w:color="auto" w:sz="6" w:space="0"/>
              <w:right w:val="single" w:color="auto" w:sz="6" w:space="0"/>
            </w:tcBorders>
            <w:vAlign w:val="center"/>
          </w:tcPr>
          <w:p w14:paraId="3A2B6BC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有效数据上传率平台统计</w:t>
            </w:r>
          </w:p>
        </w:tc>
        <w:tc>
          <w:tcPr>
            <w:tcW w:w="743" w:type="dxa"/>
            <w:tcBorders>
              <w:top w:val="single" w:color="auto" w:sz="6" w:space="0"/>
              <w:left w:val="single" w:color="auto" w:sz="6" w:space="0"/>
              <w:bottom w:val="single" w:color="auto" w:sz="6" w:space="0"/>
              <w:right w:val="single" w:color="auto" w:sz="6" w:space="0"/>
            </w:tcBorders>
            <w:vAlign w:val="center"/>
          </w:tcPr>
          <w:p w14:paraId="6705669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309D499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742C79A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在93%（含）以上，满分；75%(含)以上，合格；75%以下的，不合格，0分。75%-93%区间得分为：（x-74）×10/19</w:t>
            </w:r>
          </w:p>
        </w:tc>
      </w:tr>
      <w:tr w14:paraId="574E56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0AF7BFA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数据处理和上报</w:t>
            </w:r>
          </w:p>
        </w:tc>
        <w:tc>
          <w:tcPr>
            <w:tcW w:w="2505" w:type="dxa"/>
            <w:tcBorders>
              <w:top w:val="single" w:color="auto" w:sz="6" w:space="0"/>
              <w:left w:val="single" w:color="auto" w:sz="6" w:space="0"/>
              <w:bottom w:val="single" w:color="auto" w:sz="6" w:space="0"/>
              <w:right w:val="single" w:color="auto" w:sz="6" w:space="0"/>
            </w:tcBorders>
            <w:vAlign w:val="center"/>
          </w:tcPr>
          <w:p w14:paraId="4700456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按要求做好日常监测数据的汇总处理，对每次的异常数据能及时监测到并处理上报。酌情打分。</w:t>
            </w:r>
          </w:p>
        </w:tc>
        <w:tc>
          <w:tcPr>
            <w:tcW w:w="743" w:type="dxa"/>
            <w:tcBorders>
              <w:top w:val="single" w:color="auto" w:sz="6" w:space="0"/>
              <w:left w:val="single" w:color="auto" w:sz="6" w:space="0"/>
              <w:bottom w:val="single" w:color="auto" w:sz="6" w:space="0"/>
              <w:right w:val="single" w:color="auto" w:sz="6" w:space="0"/>
            </w:tcBorders>
            <w:vAlign w:val="center"/>
          </w:tcPr>
          <w:p w14:paraId="4FC4236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6D06634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51537C0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r>
      <w:tr w14:paraId="1F35A0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564F9F6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持证上岗</w:t>
            </w:r>
          </w:p>
        </w:tc>
        <w:tc>
          <w:tcPr>
            <w:tcW w:w="2505" w:type="dxa"/>
            <w:tcBorders>
              <w:top w:val="single" w:color="auto" w:sz="6" w:space="0"/>
              <w:left w:val="single" w:color="auto" w:sz="6" w:space="0"/>
              <w:bottom w:val="single" w:color="auto" w:sz="6" w:space="0"/>
              <w:right w:val="single" w:color="auto" w:sz="6" w:space="0"/>
            </w:tcBorders>
            <w:vAlign w:val="center"/>
          </w:tcPr>
          <w:p w14:paraId="49D8D26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站点管理人员每三年参加一次全省空气自动站技术培训，合格持有上岗证。酌情打分。</w:t>
            </w:r>
          </w:p>
        </w:tc>
        <w:tc>
          <w:tcPr>
            <w:tcW w:w="743" w:type="dxa"/>
            <w:tcBorders>
              <w:top w:val="single" w:color="auto" w:sz="6" w:space="0"/>
              <w:left w:val="single" w:color="auto" w:sz="6" w:space="0"/>
              <w:bottom w:val="single" w:color="auto" w:sz="6" w:space="0"/>
              <w:right w:val="single" w:color="auto" w:sz="6" w:space="0"/>
            </w:tcBorders>
            <w:vAlign w:val="center"/>
          </w:tcPr>
          <w:p w14:paraId="1C8ADB1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76D6DEE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129C135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r>
      <w:tr w14:paraId="2E26AE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19B8320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档案记录和管理</w:t>
            </w:r>
          </w:p>
        </w:tc>
        <w:tc>
          <w:tcPr>
            <w:tcW w:w="2505" w:type="dxa"/>
            <w:tcBorders>
              <w:top w:val="single" w:color="auto" w:sz="6" w:space="0"/>
              <w:left w:val="single" w:color="auto" w:sz="6" w:space="0"/>
              <w:bottom w:val="single" w:color="auto" w:sz="6" w:space="0"/>
              <w:right w:val="single" w:color="auto" w:sz="6" w:space="0"/>
            </w:tcBorders>
            <w:vAlign w:val="center"/>
          </w:tcPr>
          <w:p w14:paraId="5711CFE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巡检记录、校准设备每年计量认证、仪器校准、标气使用、管路清洁维护、突发情况等信息记录在档。酌情打分。</w:t>
            </w:r>
          </w:p>
        </w:tc>
        <w:tc>
          <w:tcPr>
            <w:tcW w:w="743" w:type="dxa"/>
            <w:tcBorders>
              <w:top w:val="single" w:color="auto" w:sz="6" w:space="0"/>
              <w:left w:val="single" w:color="auto" w:sz="6" w:space="0"/>
              <w:bottom w:val="single" w:color="auto" w:sz="6" w:space="0"/>
              <w:right w:val="single" w:color="auto" w:sz="6" w:space="0"/>
            </w:tcBorders>
            <w:vAlign w:val="center"/>
          </w:tcPr>
          <w:p w14:paraId="22DA425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1BF1A20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773FC6B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缺少任一记录扣分</w:t>
            </w:r>
          </w:p>
        </w:tc>
      </w:tr>
      <w:tr w14:paraId="03C4AA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2027B46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巡检和考核配合</w:t>
            </w:r>
          </w:p>
        </w:tc>
        <w:tc>
          <w:tcPr>
            <w:tcW w:w="2505" w:type="dxa"/>
            <w:tcBorders>
              <w:top w:val="single" w:color="auto" w:sz="6" w:space="0"/>
              <w:left w:val="single" w:color="auto" w:sz="6" w:space="0"/>
              <w:bottom w:val="single" w:color="auto" w:sz="6" w:space="0"/>
              <w:right w:val="single" w:color="auto" w:sz="6" w:space="0"/>
            </w:tcBorders>
            <w:vAlign w:val="center"/>
          </w:tcPr>
          <w:p w14:paraId="2A2D718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要求接到通知后一个半小时内达到检测点位配合巡检工作情况</w:t>
            </w:r>
          </w:p>
        </w:tc>
        <w:tc>
          <w:tcPr>
            <w:tcW w:w="743" w:type="dxa"/>
            <w:tcBorders>
              <w:top w:val="single" w:color="auto" w:sz="6" w:space="0"/>
              <w:left w:val="single" w:color="auto" w:sz="6" w:space="0"/>
              <w:bottom w:val="single" w:color="auto" w:sz="6" w:space="0"/>
              <w:right w:val="single" w:color="auto" w:sz="6" w:space="0"/>
            </w:tcBorders>
            <w:vAlign w:val="center"/>
          </w:tcPr>
          <w:p w14:paraId="3565CA3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08" w:type="dxa"/>
            <w:tcBorders>
              <w:top w:val="single" w:color="auto" w:sz="6" w:space="0"/>
              <w:left w:val="single" w:color="auto" w:sz="6" w:space="0"/>
              <w:bottom w:val="single" w:color="auto" w:sz="6" w:space="0"/>
              <w:right w:val="single" w:color="auto" w:sz="6" w:space="0"/>
            </w:tcBorders>
            <w:vAlign w:val="center"/>
          </w:tcPr>
          <w:p w14:paraId="5051A62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19F836A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配合积极满分；配合一般的2分；很不配合的：0分，规定时间未到：考核总分0分。</w:t>
            </w:r>
          </w:p>
        </w:tc>
      </w:tr>
      <w:tr w14:paraId="38AE6F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23CFCF1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采样状况</w:t>
            </w:r>
          </w:p>
        </w:tc>
        <w:tc>
          <w:tcPr>
            <w:tcW w:w="2505" w:type="dxa"/>
            <w:tcBorders>
              <w:top w:val="single" w:color="auto" w:sz="6" w:space="0"/>
              <w:left w:val="single" w:color="auto" w:sz="6" w:space="0"/>
              <w:bottom w:val="single" w:color="auto" w:sz="6" w:space="0"/>
              <w:right w:val="single" w:color="auto" w:sz="6" w:space="0"/>
            </w:tcBorders>
            <w:vAlign w:val="center"/>
          </w:tcPr>
          <w:p w14:paraId="1504420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采样口有无异物，采样管路是否干净通畅；</w:t>
            </w:r>
          </w:p>
          <w:p w14:paraId="763069C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采样总管和PM10采样管有无加热（40℃），有无避免空调直吹</w:t>
            </w:r>
          </w:p>
        </w:tc>
        <w:tc>
          <w:tcPr>
            <w:tcW w:w="743" w:type="dxa"/>
            <w:tcBorders>
              <w:top w:val="single" w:color="auto" w:sz="6" w:space="0"/>
              <w:left w:val="single" w:color="auto" w:sz="6" w:space="0"/>
              <w:bottom w:val="single" w:color="auto" w:sz="6" w:space="0"/>
              <w:right w:val="single" w:color="auto" w:sz="6" w:space="0"/>
            </w:tcBorders>
            <w:vAlign w:val="center"/>
          </w:tcPr>
          <w:p w14:paraId="5C3FAB8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08" w:type="dxa"/>
            <w:tcBorders>
              <w:top w:val="single" w:color="auto" w:sz="6" w:space="0"/>
              <w:left w:val="single" w:color="auto" w:sz="6" w:space="0"/>
              <w:bottom w:val="single" w:color="auto" w:sz="6" w:space="0"/>
              <w:right w:val="single" w:color="auto" w:sz="6" w:space="0"/>
            </w:tcBorders>
            <w:vAlign w:val="center"/>
          </w:tcPr>
          <w:p w14:paraId="720E374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04DB4FF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一旦发现人为干扰正常采样的，考核总分为0分，并全省通报批评。</w:t>
            </w:r>
          </w:p>
          <w:p w14:paraId="78D2731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采样口与管路不干净扣分</w:t>
            </w:r>
          </w:p>
          <w:p w14:paraId="2E107F8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未加热扣分</w:t>
            </w:r>
          </w:p>
          <w:p w14:paraId="00449F4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空调直吹扣分</w:t>
            </w:r>
          </w:p>
        </w:tc>
      </w:tr>
      <w:tr w14:paraId="652914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655319E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数采仪状况</w:t>
            </w:r>
          </w:p>
        </w:tc>
        <w:tc>
          <w:tcPr>
            <w:tcW w:w="2505" w:type="dxa"/>
            <w:tcBorders>
              <w:top w:val="single" w:color="auto" w:sz="6" w:space="0"/>
              <w:left w:val="single" w:color="auto" w:sz="6" w:space="0"/>
              <w:bottom w:val="single" w:color="auto" w:sz="6" w:space="0"/>
              <w:right w:val="single" w:color="auto" w:sz="6" w:space="0"/>
            </w:tcBorders>
            <w:vAlign w:val="center"/>
          </w:tcPr>
          <w:p w14:paraId="2470845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数采仪工作正常，工控机显示数据与仪器数据一致。</w:t>
            </w:r>
          </w:p>
        </w:tc>
        <w:tc>
          <w:tcPr>
            <w:tcW w:w="743" w:type="dxa"/>
            <w:tcBorders>
              <w:top w:val="single" w:color="auto" w:sz="6" w:space="0"/>
              <w:left w:val="single" w:color="auto" w:sz="6" w:space="0"/>
              <w:bottom w:val="single" w:color="auto" w:sz="6" w:space="0"/>
              <w:right w:val="single" w:color="auto" w:sz="6" w:space="0"/>
            </w:tcBorders>
            <w:vAlign w:val="center"/>
          </w:tcPr>
          <w:p w14:paraId="4C31CE5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2273D54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66C06F9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仪器显示与数据平台不一致扣分</w:t>
            </w:r>
          </w:p>
        </w:tc>
      </w:tr>
      <w:tr w14:paraId="243EEE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0BF295A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仪器状况</w:t>
            </w:r>
          </w:p>
        </w:tc>
        <w:tc>
          <w:tcPr>
            <w:tcW w:w="2505" w:type="dxa"/>
            <w:tcBorders>
              <w:top w:val="single" w:color="auto" w:sz="6" w:space="0"/>
              <w:left w:val="single" w:color="auto" w:sz="6" w:space="0"/>
              <w:bottom w:val="single" w:color="auto" w:sz="6" w:space="0"/>
              <w:right w:val="single" w:color="auto" w:sz="6" w:space="0"/>
            </w:tcBorders>
            <w:vAlign w:val="center"/>
          </w:tcPr>
          <w:p w14:paraId="00EC265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仪器运行正常，无报警；出现报警及时上报并进行维修处理。</w:t>
            </w:r>
          </w:p>
        </w:tc>
        <w:tc>
          <w:tcPr>
            <w:tcW w:w="743" w:type="dxa"/>
            <w:tcBorders>
              <w:top w:val="single" w:color="auto" w:sz="6" w:space="0"/>
              <w:left w:val="single" w:color="auto" w:sz="6" w:space="0"/>
              <w:bottom w:val="single" w:color="auto" w:sz="6" w:space="0"/>
              <w:right w:val="single" w:color="auto" w:sz="6" w:space="0"/>
            </w:tcBorders>
            <w:vAlign w:val="center"/>
          </w:tcPr>
          <w:p w14:paraId="640E22B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08" w:type="dxa"/>
            <w:tcBorders>
              <w:top w:val="single" w:color="auto" w:sz="6" w:space="0"/>
              <w:left w:val="single" w:color="auto" w:sz="6" w:space="0"/>
              <w:bottom w:val="single" w:color="auto" w:sz="6" w:space="0"/>
              <w:right w:val="single" w:color="auto" w:sz="6" w:space="0"/>
            </w:tcBorders>
            <w:vAlign w:val="center"/>
          </w:tcPr>
          <w:p w14:paraId="35AA74B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005BF8D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发现仪器报警未及时处理扣分</w:t>
            </w:r>
          </w:p>
        </w:tc>
      </w:tr>
      <w:tr w14:paraId="074A57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6FA475F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流量准确性</w:t>
            </w:r>
          </w:p>
        </w:tc>
        <w:tc>
          <w:tcPr>
            <w:tcW w:w="2505" w:type="dxa"/>
            <w:tcBorders>
              <w:top w:val="single" w:color="auto" w:sz="6" w:space="0"/>
              <w:left w:val="single" w:color="auto" w:sz="6" w:space="0"/>
              <w:bottom w:val="single" w:color="auto" w:sz="6" w:space="0"/>
              <w:right w:val="single" w:color="auto" w:sz="6" w:space="0"/>
            </w:tcBorders>
            <w:vAlign w:val="center"/>
          </w:tcPr>
          <w:p w14:paraId="5E882C5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动态校准仪的零气MFC流量、标气MFC流量与标准流量计误差是否在2%以内；</w:t>
            </w:r>
          </w:p>
          <w:p w14:paraId="3DC92C7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SO2、NOx、CO、O3采样流量误差是否在10%以内；</w:t>
            </w:r>
          </w:p>
          <w:p w14:paraId="06DF2AF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颗粒物采样流量误差是否在5%以内；</w:t>
            </w:r>
          </w:p>
        </w:tc>
        <w:tc>
          <w:tcPr>
            <w:tcW w:w="743" w:type="dxa"/>
            <w:tcBorders>
              <w:top w:val="single" w:color="auto" w:sz="6" w:space="0"/>
              <w:left w:val="single" w:color="auto" w:sz="6" w:space="0"/>
              <w:bottom w:val="single" w:color="auto" w:sz="6" w:space="0"/>
              <w:right w:val="single" w:color="auto" w:sz="6" w:space="0"/>
            </w:tcBorders>
            <w:vAlign w:val="center"/>
          </w:tcPr>
          <w:p w14:paraId="3ED1430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08" w:type="dxa"/>
            <w:tcBorders>
              <w:top w:val="single" w:color="auto" w:sz="6" w:space="0"/>
              <w:left w:val="single" w:color="auto" w:sz="6" w:space="0"/>
              <w:bottom w:val="single" w:color="auto" w:sz="6" w:space="0"/>
              <w:right w:val="single" w:color="auto" w:sz="6" w:space="0"/>
            </w:tcBorders>
            <w:vAlign w:val="center"/>
          </w:tcPr>
          <w:p w14:paraId="28E471B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627BC0D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校准仪零气流量   ml，流量计流量   ml，误差   %</w:t>
            </w:r>
          </w:p>
          <w:p w14:paraId="57F01FD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校准仪标气（任选）流量   ml，流量计流量   ml，误差   %</w:t>
            </w:r>
          </w:p>
          <w:p w14:paraId="2229862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气体监测仪器流量检测方式同校准仪</w:t>
            </w:r>
          </w:p>
          <w:p w14:paraId="4C373C7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任一不在误差要求范围内即扣分</w:t>
            </w:r>
          </w:p>
        </w:tc>
      </w:tr>
      <w:tr w14:paraId="042E1C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209E645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气体测量准确性</w:t>
            </w:r>
          </w:p>
        </w:tc>
        <w:tc>
          <w:tcPr>
            <w:tcW w:w="2505" w:type="dxa"/>
            <w:tcBorders>
              <w:top w:val="single" w:color="auto" w:sz="6" w:space="0"/>
              <w:left w:val="single" w:color="auto" w:sz="6" w:space="0"/>
              <w:bottom w:val="single" w:color="auto" w:sz="6" w:space="0"/>
              <w:right w:val="single" w:color="auto" w:sz="6" w:space="0"/>
            </w:tcBorders>
            <w:vAlign w:val="center"/>
          </w:tcPr>
          <w:p w14:paraId="710EC88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SO2、CO、NO仪器T90响应时间是否在5分钟内；</w:t>
            </w:r>
          </w:p>
          <w:p w14:paraId="2406157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浓度误差是否在10%以内</w:t>
            </w:r>
          </w:p>
        </w:tc>
        <w:tc>
          <w:tcPr>
            <w:tcW w:w="743" w:type="dxa"/>
            <w:tcBorders>
              <w:top w:val="single" w:color="auto" w:sz="6" w:space="0"/>
              <w:left w:val="single" w:color="auto" w:sz="6" w:space="0"/>
              <w:bottom w:val="single" w:color="auto" w:sz="6" w:space="0"/>
              <w:right w:val="single" w:color="auto" w:sz="6" w:space="0"/>
            </w:tcBorders>
            <w:vAlign w:val="center"/>
          </w:tcPr>
          <w:p w14:paraId="7E21BD2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08" w:type="dxa"/>
            <w:tcBorders>
              <w:top w:val="single" w:color="auto" w:sz="6" w:space="0"/>
              <w:left w:val="single" w:color="auto" w:sz="6" w:space="0"/>
              <w:bottom w:val="single" w:color="auto" w:sz="6" w:space="0"/>
              <w:right w:val="single" w:color="auto" w:sz="6" w:space="0"/>
            </w:tcBorders>
            <w:vAlign w:val="center"/>
          </w:tcPr>
          <w:p w14:paraId="7F0E823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30DD5C4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SO2标气稀释输出浓度   ppb，SO2仪器显示浓度   ppb，误差   %</w:t>
            </w:r>
          </w:p>
          <w:p w14:paraId="0A5A8CC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达到设定浓度90%的时间   min</w:t>
            </w:r>
          </w:p>
          <w:p w14:paraId="5897143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任一不在浓度误差要求范围内扣分</w:t>
            </w:r>
          </w:p>
          <w:p w14:paraId="29B152A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任一T90大于5分钟内扣分</w:t>
            </w:r>
          </w:p>
        </w:tc>
      </w:tr>
      <w:tr w14:paraId="699201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4C9F1C5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系统保障</w:t>
            </w:r>
          </w:p>
        </w:tc>
        <w:tc>
          <w:tcPr>
            <w:tcW w:w="2505" w:type="dxa"/>
            <w:tcBorders>
              <w:top w:val="single" w:color="auto" w:sz="6" w:space="0"/>
              <w:left w:val="single" w:color="auto" w:sz="6" w:space="0"/>
              <w:bottom w:val="single" w:color="auto" w:sz="6" w:space="0"/>
              <w:right w:val="single" w:color="auto" w:sz="6" w:space="0"/>
            </w:tcBorders>
            <w:vAlign w:val="center"/>
          </w:tcPr>
          <w:p w14:paraId="2E0B253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是否有备机且备机符合规范要求</w:t>
            </w:r>
          </w:p>
          <w:p w14:paraId="5CD1E34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是否有质控实验室和系统支持实验室</w:t>
            </w:r>
          </w:p>
        </w:tc>
        <w:tc>
          <w:tcPr>
            <w:tcW w:w="743" w:type="dxa"/>
            <w:tcBorders>
              <w:top w:val="single" w:color="auto" w:sz="6" w:space="0"/>
              <w:left w:val="single" w:color="auto" w:sz="6" w:space="0"/>
              <w:bottom w:val="single" w:color="auto" w:sz="6" w:space="0"/>
              <w:right w:val="single" w:color="auto" w:sz="6" w:space="0"/>
            </w:tcBorders>
            <w:vAlign w:val="center"/>
          </w:tcPr>
          <w:p w14:paraId="2922E8E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48439A5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19A5CB3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无备机、备机不全或备机不符合规范扣分</w:t>
            </w:r>
          </w:p>
          <w:p w14:paraId="42647BF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无质控实验室或未达到要求扣分</w:t>
            </w:r>
          </w:p>
          <w:p w14:paraId="22E0FED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无系统支持实验室或未达到要求扣分</w:t>
            </w:r>
          </w:p>
        </w:tc>
      </w:tr>
    </w:tbl>
    <w:p w14:paraId="13B68EE5">
      <w:pPr>
        <w:pageBreakBefore w:val="0"/>
        <w:widowControl w:val="0"/>
        <w:kinsoku/>
        <w:wordWrap/>
        <w:overflowPunct/>
        <w:topLinePunct w:val="0"/>
        <w:autoSpaceDE/>
        <w:autoSpaceDN/>
        <w:bidi w:val="0"/>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p>
    <w:p w14:paraId="13E1724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u w:val="single"/>
          <w:lang w:val="en-US" w:eastAsia="zh-CN"/>
        </w:rPr>
        <w:t>（二）路桥中学站：</w:t>
      </w:r>
    </w:p>
    <w:p w14:paraId="3118A05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1、总体要求</w:t>
      </w:r>
    </w:p>
    <w:p w14:paraId="2A88773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1.1对乙方的服务要求：</w:t>
      </w:r>
    </w:p>
    <w:p w14:paraId="0FBCB68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1.1.1、乙方中标后必须为本项目在台州市设立固定服务网点或办事机构，并要求聘用足够的运行维护专业技术人员，专业技术人员队伍应保持相对稳定。</w:t>
      </w:r>
    </w:p>
    <w:p w14:paraId="65276947">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1.1.2、 按《环境空气质量监测规范》、《国家环境空气质量监测城市自动监测站运行管理暂行规定》（总站气字[2013]41号）、《环境空气颗粒物（PM10和PM2.5）连续自动监测系统安装和验收技术规范》(HJ655-2013)、《环境空气气态污染物（SO2、NO2、O3、CO）连续自动监测系统安装验收技术规范》(HJ193-2013)、《环境空气颗粒物（PM10和PM2.5）连续自动监测系统技术要求及检测方法》（HJ653-2013）、《环境空气气态污染物（SO2、NO2、O3、CO）连续自动监测系统技术要求及检测方法》（HJ654-2013）、《浙江省环境空气质量自动监测系统运行管理实施细则》、《国家环境空气监测网环境空气挥发性有机物连续自动监测质量控制技术规定（试行）（总站气函〔2019〕0785号）》、《环境空气挥发性有机物气相色谱连续监测系统技术要求及检测方法（HJ 1010-2018）》等要求进行运行维护及管理等要求进行运行维护及管理。</w:t>
      </w:r>
    </w:p>
    <w:p w14:paraId="6C7F235E">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1.1.3、在环境空气自动监测系统运维及管理期间，在合同约束范围内乙方拥有管理自主权；不能以任何形式外包合同规定的运行维护任务。</w:t>
      </w:r>
    </w:p>
    <w:p w14:paraId="3CC2A5E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1.1.4、在环境空气自动监测系统运维及管理期间，乙方应严格按照甲方制订的操作规范和规章制度，对所管理的系统及仪器设备进行规范操作和精心维护及必要维修，保证系统及仪器设备的正常运行，达到甲方提出的系统及仪器设备考核指标要求。</w:t>
      </w:r>
    </w:p>
    <w:p w14:paraId="13B7E21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1.1.5、委托运行维护及管理的全部资产（包括全部产权和建筑物、设备、软件、配套设施、自动站和配套监控系统产生的各类数据信息及相关文档资料）属甲方所有。未经甲方同意，乙方不得以任何方式对各类财产进行出售、抵押或转移；在委托运营及管理期间，乙方有责任保证上述全部资产的完整、安全并处于良好状态。</w:t>
      </w:r>
    </w:p>
    <w:p w14:paraId="09BF805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1.2对乙方装备的要求：</w:t>
      </w:r>
    </w:p>
    <w:p w14:paraId="1CB707B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1.2.1、 乙方应在台州市配备专业技术人员，配备专用工具，包括便携式电脑、万用表、远程数据查询系统、各种硬件接口线、接口调试软件及常用零部件等。</w:t>
      </w:r>
    </w:p>
    <w:p w14:paraId="7492EF64">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1.2.2、乙方应至少为本项目配置1名专业技术人员，其人员了解掌握本项目所含气站的所有仪器的运行状况，运维技术人员熟悉掌握本项目所含主要分析仪器的日常维护和常见故障诊断方法，运维技术人员具有国家或省级空气自动监测系统运维培训合格证书。同时至少配备1辆运维车辆。</w:t>
      </w:r>
    </w:p>
    <w:p w14:paraId="0193BEA6">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1.2.3、 数据保密:在委托管理期间，乙方应对系统状况和数据严格保密。未经甲方同意，乙方不得利用本项目的所有资料对外开展技术交流、业务联系、数据交换等。</w:t>
      </w:r>
    </w:p>
    <w:p w14:paraId="564A80C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2、工作目标</w:t>
      </w:r>
    </w:p>
    <w:p w14:paraId="086119A6">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2.1、有效监测天数：SO2、NO2、PM10、PM2.5、O3、CO的单个子参数月有效监测天数必须≥27天（2月份≥25天）。</w:t>
      </w:r>
    </w:p>
    <w:p w14:paraId="5C9E5D3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2.2、有效数据捕获率：SO2、NO2、PM10、PM2.5、O3、CO的单台有效数据捕获率应达到90%以上。</w:t>
      </w:r>
    </w:p>
    <w:p w14:paraId="36BAF692">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注释：数据有效率=（获取数据量-不含校准数据-无效数据）/(理论样本数据量-不含校准数据-不可抗拒数据量)*100% </w:t>
      </w:r>
    </w:p>
    <w:p w14:paraId="076313D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注：不可抗拒数据定义为停电、搬迁站以及其他不可抗拒力因素等导致的数据缺失；无效数据定义为仪器故障、测量偏差超过规范要求等。</w:t>
      </w:r>
    </w:p>
    <w:p w14:paraId="2FD1FC5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3、交接方式</w:t>
      </w:r>
    </w:p>
    <w:p w14:paraId="4177F2C8">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3.1、在合同生效前乙方应与甲方共同对环境空气质量自动监测系统的系统运行情况，仪器运行情况，数据采集情况进行实际考察，并且做好备案。</w:t>
      </w:r>
    </w:p>
    <w:p w14:paraId="152C88F7">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3.2、合同终止前，乙方须按照上述要求向甲方或其指定的其他运维服务商进行逆向交接。</w:t>
      </w:r>
    </w:p>
    <w:p w14:paraId="42483DF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4、运维服务要求</w:t>
      </w:r>
    </w:p>
    <w:p w14:paraId="0CD8FC1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本次运维外包内容主要包括环境管理、站房巡检管理、系统运行管理、质量控制等。具体要求如下：</w:t>
      </w:r>
    </w:p>
    <w:p w14:paraId="5FB36E1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4.1点位环境管理</w:t>
      </w:r>
    </w:p>
    <w:p w14:paraId="6C311107">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4.1.1、观察点位周边环境的变化，并进行记录；</w:t>
      </w:r>
    </w:p>
    <w:p w14:paraId="500D6DE4">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4.1.2、查看站点外围的道路、供电、通讯、给排水设施等，并进行记录；</w:t>
      </w:r>
    </w:p>
    <w:p w14:paraId="24F54A8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4.1.3、如果发现影响站点代表性和监测正常运行的环境变化，应及时进行处理，并报告中心站；</w:t>
      </w:r>
    </w:p>
    <w:p w14:paraId="251BBB1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4.1.4、当周围树木生长超过监测规范规定的控制高度限值时，对采样有影响的树枝进行剪除；</w:t>
      </w:r>
    </w:p>
    <w:p w14:paraId="3404567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4.1.5、排查周围安全隐患，并进行记录；</w:t>
      </w:r>
    </w:p>
    <w:p w14:paraId="19CA5B5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4.2站房巡检管理</w:t>
      </w:r>
    </w:p>
    <w:p w14:paraId="0AA8706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4.2.1、查看站房的基础设施，包括避雷系统、消防、供电、通讯、给排水设施等。</w:t>
      </w:r>
    </w:p>
    <w:p w14:paraId="0CD1CA7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4.2.2、检查站房外部状况，包括建筑物、站房防漏防渗、气象杆和天线设施。</w:t>
      </w:r>
    </w:p>
    <w:p w14:paraId="57306DAE">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4.2.3、注意站房内部异常气味和噪音，并排查。</w:t>
      </w:r>
    </w:p>
    <w:p w14:paraId="0BF003F2">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4.2.4、检查站房内部设施，包括消防、照明、强弱电和接地、通讯网络、应急设施等。</w:t>
      </w:r>
    </w:p>
    <w:p w14:paraId="5DE8444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4.2.5、检查室内空调是否正常工作并记录室内的温湿度。检查空调的出风口，防止出风直接吹在电磁阀和采样管上。冬夏季节检查站房室内外温差。若温差较大引起采样装置出现冷凝水，及时调整站房温度降低温差，或对采样总管采取适当的控制措施，防止冷凝现象。</w:t>
      </w:r>
    </w:p>
    <w:p w14:paraId="3C646F87">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4.2.6、站房空调发生故障时应及时修复，如不能修复时需及时报给甲方并配合甲方进行更换。</w:t>
      </w:r>
    </w:p>
    <w:p w14:paraId="45E9D176">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4.2.7、检查站房排风装置工作是否正常。</w:t>
      </w:r>
    </w:p>
    <w:p w14:paraId="2E69D63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4.2.8、保持站房内部卫生整洁。</w:t>
      </w:r>
    </w:p>
    <w:p w14:paraId="3BCC6AF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4.2.9、记录巡检情况，如果发现影响自动站安全和正常运行的情况，应及时进行处理并修复，同时报告甲方。</w:t>
      </w:r>
    </w:p>
    <w:p w14:paraId="059B0AB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4.3系统运行管理</w:t>
      </w:r>
    </w:p>
    <w:p w14:paraId="41766CDB">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4.3.1、运维技术人员在工作日每日查看仪器运行状况、工作参数、数据采集和传输情况是否正常（网络查看），并做好记录，若发现问题，及时查明原因并按应急管理中的时限要求处理。</w:t>
      </w:r>
    </w:p>
    <w:p w14:paraId="7446034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4.3.2、每周对自动站至少巡检1次，检查系统气路，监测仪器、数据采集存储和传输系统、校准系统和其它辅助设备等运行是否正常，做好记录，若发现问题，及时查明原因并按应急管理中的时限要求处理。</w:t>
      </w:r>
    </w:p>
    <w:p w14:paraId="465EB728">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4.3.3、检查气体分析仪器采样过滤膜的污染情况，每周更换一次，保留滤膜并标记存储和记录以备可能研究。检查氮氧化物干燥剂使用情况，每周对变色部分干燥剂进行更换。</w:t>
      </w:r>
    </w:p>
    <w:p w14:paraId="68F810C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4.3.4、检查采样总管系统、支路管线结合部和排气管路，查看是否漏气或堵塞现象。</w:t>
      </w:r>
    </w:p>
    <w:p w14:paraId="60D789F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4.3.5、每月一次清洗检查清洁采样总管和支管室内部分，采样总管与支管内不能有明显积尘，同时清洗遮雨罩。清洁完毕后需进行检漏检查。</w:t>
      </w:r>
    </w:p>
    <w:p w14:paraId="27DFFA0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4.3.6、颗粒物监测仪器定期更换纸带，同时检查仪器的采样流量是否正常。</w:t>
      </w:r>
    </w:p>
    <w:p w14:paraId="33F5B0C6">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4.3.7、颗粒物采样头至少每2个月清洗1次，滤网无明显积尘、滤水瓶无积水。</w:t>
      </w:r>
    </w:p>
    <w:p w14:paraId="27001CE2">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4.3.8、校准系统所需的氧化剂和活性碳每半年更换一次。</w:t>
      </w:r>
    </w:p>
    <w:p w14:paraId="39F9380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4.3.9、检查标准气体钢瓶是否安全固定、阀门是否漏气、标准气体的有效期限和消耗情况等。</w:t>
      </w:r>
    </w:p>
    <w:p w14:paraId="335898B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4.3.10、根据实际情况及时排空空气压缩机储气瓶中的积水。</w:t>
      </w:r>
    </w:p>
    <w:p w14:paraId="3B34103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4.3.11、每季度拆洗PM10和PM2.5颗粒物监测仪颗粒监测仪采样管，安装后实施检漏。</w:t>
      </w:r>
    </w:p>
    <w:p w14:paraId="0659EB8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4.3.12、认真、及时做好各类运维记录，并技术报甲方。</w:t>
      </w:r>
    </w:p>
    <w:p w14:paraId="70FF19E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4.4分析仪器维护要求</w:t>
      </w:r>
    </w:p>
    <w:p w14:paraId="6175BB9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4.4.1、气体分析仪（点式仪器）：</w:t>
      </w:r>
    </w:p>
    <w:p w14:paraId="087B4357">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（1）每日：查看仪器运行是否正常，是否存在报警。</w:t>
      </w:r>
    </w:p>
    <w:p w14:paraId="151B620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（2）每周一次零点、标点检查或校准，并做好记录。</w:t>
      </w:r>
    </w:p>
    <w:p w14:paraId="7308231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（3）每季度一次精密度检查并做好记录。</w:t>
      </w:r>
    </w:p>
    <w:p w14:paraId="7A2FC783">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（4）每半年一次流量检查，使用可追溯标准流量计。</w:t>
      </w:r>
    </w:p>
    <w:p w14:paraId="62509D9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（5）氮氧化物分析仪的钼炉转化率每年至少检查一次，清洁氮氧化物分析仪反应室及镜片每季度进行一次。</w:t>
      </w:r>
    </w:p>
    <w:p w14:paraId="1C4F160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（6）在每年4月份之前完成所有子站O3的溯源与标准传递工作。</w:t>
      </w:r>
    </w:p>
    <w:p w14:paraId="4A711C4E">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（7）每半年一次多点线性校准并做好记录。</w:t>
      </w:r>
    </w:p>
    <w:p w14:paraId="6F07370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（8）仪器维修更换重要部件（如电光部件和光学部件等）后要进行多点线性校准。</w:t>
      </w:r>
    </w:p>
    <w:p w14:paraId="0CCC211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（9）每月清洗一次仪器散热风扇滤网，同时擦拭清洁仪器表面。</w:t>
      </w:r>
    </w:p>
    <w:p w14:paraId="3EE758F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（10）每半年一次仪器内置泵膜和外置采样泵片及阀门清洁与更换，轴承润滑。</w:t>
      </w:r>
    </w:p>
    <w:p w14:paraId="24B6871E">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（11）每半年一次外置校准/采样切换电磁阀、仪器内置零跨电磁阀清洗保养。</w:t>
      </w:r>
    </w:p>
    <w:p w14:paraId="2B62DCCD">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（12）对现有的点式仪器及颗粒物分析仪，维护周期，维护方式与在线测试仪器相同，同周期进行维护。</w:t>
      </w:r>
    </w:p>
    <w:p w14:paraId="7CA0932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4.4.2、颗粒物分析仪（PM10/ PM2.5）：</w:t>
      </w:r>
    </w:p>
    <w:p w14:paraId="0EB5BDC2">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（1）每日：查看仪器运行是否正常，是否存在报警。及时更换工作滤带。</w:t>
      </w:r>
    </w:p>
    <w:p w14:paraId="3638526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（2）每周：查看仪器运行和联网状况；检查纸带是否有破损或边缘不光滑的情况。</w:t>
      </w:r>
    </w:p>
    <w:p w14:paraId="0EC5F988">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（3）两周：清洗切割头。</w:t>
      </w:r>
    </w:p>
    <w:p w14:paraId="08BA91E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（4）每月：流量检查及校准；清洗喷嘴。</w:t>
      </w:r>
    </w:p>
    <w:p w14:paraId="17EBA0D3">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（5）半年：浊度校准；清洗反应室。</w:t>
      </w:r>
    </w:p>
    <w:p w14:paraId="25A34EAE">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（6）每年：温度与压力传感器校准；质量传感器校准；更换泵刮板；更换泵过滤器；更换O型圈。</w:t>
      </w:r>
    </w:p>
    <w:p w14:paraId="05C4E44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光浊度计/β射线法每半年一次流量校准，每季度一次浊度计零点校准，每年一次标准膜质量校准，每年一次环境温度/压力校准并做好记录。每半年进行一次颗粒物监测仪采样系统拆洗保养和采样泵清洗保养。</w:t>
      </w:r>
    </w:p>
    <w:p w14:paraId="5BB14A0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4.4.3、校准设备：</w:t>
      </w:r>
    </w:p>
    <w:p w14:paraId="5E64C826">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（1）多元气体校准仪：每年进行一次标气和零气的质量流量计校准并做好记录。</w:t>
      </w:r>
    </w:p>
    <w:p w14:paraId="72C8828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（2）使用有效期内的国家一级标准气体或其它权威部门确定的标准气体并提供标物证书复印件（随气体钢瓶提供）。</w:t>
      </w:r>
    </w:p>
    <w:p w14:paraId="2B14268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（3）校准使用的气压、温度计必须经过计量检定部门检定并处于有效期内。</w:t>
      </w:r>
    </w:p>
    <w:p w14:paraId="6C78601D">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4.4.4、气象五参数</w:t>
      </w:r>
    </w:p>
    <w:p w14:paraId="7D6580DB">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（1）气象五参数每半年做仪器检查比对校准。</w:t>
      </w:r>
    </w:p>
    <w:p w14:paraId="2F8905A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（2）每季度对气象五参数进行清洗保养。</w:t>
      </w:r>
    </w:p>
    <w:p w14:paraId="679BC4C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4.5其他</w:t>
      </w:r>
    </w:p>
    <w:p w14:paraId="0E21036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（1）配合甲方进行气站质量保证和质量控制工作。</w:t>
      </w:r>
    </w:p>
    <w:p w14:paraId="40454B78">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（2）随时接受甲方的工作考核及质量考核。</w:t>
      </w:r>
    </w:p>
    <w:p w14:paraId="510D660B">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（3）运维过程中所需标气、耗材及配件的要求：</w:t>
      </w:r>
    </w:p>
    <w:p w14:paraId="3A7740EE">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630" w:firstLineChars="3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①标气：常规仪器采用标样所提供的国家一级标气；</w:t>
      </w:r>
    </w:p>
    <w:p w14:paraId="4A903D64">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630" w:firstLineChars="3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②耗材、配件：由仪器原厂商出产。</w:t>
      </w:r>
    </w:p>
    <w:p w14:paraId="2B16B2E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4.6应急管理</w:t>
      </w:r>
    </w:p>
    <w:p w14:paraId="507D88A2">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出现监测数据异常、仪器故障或通讯故障，正常工作日应在6小时内、节假日应在8小时内（9:00算起）到达站点处理故障并将信息反馈甲方；故障严重不能及时解决时，应关闭故障仪器的数据采集通道并告知甲方。如不能在24小时内排除故障，应更换备机，故障设备运回甲方指定地点，并负责维修仪器。</w:t>
      </w:r>
    </w:p>
    <w:p w14:paraId="76CE950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5、运维考核</w:t>
      </w:r>
    </w:p>
    <w:p w14:paraId="0733977D">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按照《</w:t>
      </w:r>
      <w:r>
        <w:rPr>
          <w:rFonts w:hint="eastAsia" w:hAnsi="宋体" w:cs="宋体"/>
          <w:color w:val="auto"/>
          <w:kern w:val="0"/>
          <w:sz w:val="21"/>
          <w:szCs w:val="21"/>
          <w:highlight w:val="none"/>
          <w:lang w:val="en-US" w:eastAsia="zh-CN" w:bidi="ar"/>
        </w:rPr>
        <w:t>浙江省环境空气质量自动监测系统运行管理实施细则（试行）</w:t>
      </w:r>
      <w:r>
        <w:rPr>
          <w:rFonts w:hint="eastAsia" w:ascii="宋体" w:hAnsi="宋体" w:eastAsia="宋体" w:cs="宋体"/>
          <w:color w:val="auto"/>
          <w:kern w:val="0"/>
          <w:sz w:val="21"/>
          <w:szCs w:val="21"/>
          <w:highlight w:val="none"/>
          <w:lang w:val="en-US" w:eastAsia="zh-CN" w:bidi="ar"/>
        </w:rPr>
        <w:t>》中运维考核表的内容每季度对每站点进行一次考核，根据站点的考核情况支付运维费用。</w:t>
      </w:r>
    </w:p>
    <w:p w14:paraId="6FCFC4C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（1）考核结果80分（含）-100分，支付该站点当季度全部运维费；</w:t>
      </w:r>
    </w:p>
    <w:p w14:paraId="39BC4C5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75分（含）-80（不含）分，扣除该站点当季度运维费30%；</w:t>
      </w:r>
    </w:p>
    <w:p w14:paraId="3342B997">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60分（含）-75（不含）分以下，扣除该站点当季度运维费50%；</w:t>
      </w:r>
    </w:p>
    <w:p w14:paraId="6FA403D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60（不含）分以下，扣除该站点当季度全部运维费。</w:t>
      </w:r>
    </w:p>
    <w:p w14:paraId="1A04C61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（2）运维期间发现有人为干扰干预、篡改、伪造监测数据行为的，终止合同。</w:t>
      </w:r>
    </w:p>
    <w:p w14:paraId="57F75196">
      <w:pPr>
        <w:pStyle w:val="10"/>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浙江省环境自动监测系统运行管理考核综合评议表</w:t>
      </w:r>
    </w:p>
    <w:p w14:paraId="66E4189D">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考核站位：                               时间：</w:t>
      </w:r>
    </w:p>
    <w:tbl>
      <w:tblPr>
        <w:tblStyle w:val="21"/>
        <w:tblW w:w="912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75"/>
        <w:gridCol w:w="2505"/>
        <w:gridCol w:w="743"/>
        <w:gridCol w:w="808"/>
        <w:gridCol w:w="3394"/>
      </w:tblGrid>
      <w:tr w14:paraId="4BB61D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1675" w:type="dxa"/>
            <w:tcBorders>
              <w:top w:val="single" w:color="auto" w:sz="6" w:space="0"/>
              <w:left w:val="single" w:color="auto" w:sz="6" w:space="0"/>
              <w:bottom w:val="single" w:color="auto" w:sz="6" w:space="0"/>
              <w:right w:val="single" w:color="auto" w:sz="6" w:space="0"/>
            </w:tcBorders>
            <w:vAlign w:val="center"/>
          </w:tcPr>
          <w:p w14:paraId="13148C79">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考核内容</w:t>
            </w:r>
          </w:p>
        </w:tc>
        <w:tc>
          <w:tcPr>
            <w:tcW w:w="2505" w:type="dxa"/>
            <w:tcBorders>
              <w:top w:val="single" w:color="auto" w:sz="6" w:space="0"/>
              <w:left w:val="single" w:color="auto" w:sz="6" w:space="0"/>
              <w:bottom w:val="single" w:color="auto" w:sz="6" w:space="0"/>
              <w:right w:val="single" w:color="auto" w:sz="6" w:space="0"/>
            </w:tcBorders>
            <w:vAlign w:val="center"/>
          </w:tcPr>
          <w:p w14:paraId="5A656D1B">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评分标准</w:t>
            </w:r>
          </w:p>
        </w:tc>
        <w:tc>
          <w:tcPr>
            <w:tcW w:w="743" w:type="dxa"/>
            <w:tcBorders>
              <w:top w:val="single" w:color="auto" w:sz="6" w:space="0"/>
              <w:left w:val="single" w:color="auto" w:sz="6" w:space="0"/>
              <w:bottom w:val="single" w:color="auto" w:sz="6" w:space="0"/>
              <w:right w:val="single" w:color="auto" w:sz="6" w:space="0"/>
            </w:tcBorders>
            <w:vAlign w:val="center"/>
          </w:tcPr>
          <w:p w14:paraId="3BF4D085">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分值</w:t>
            </w:r>
          </w:p>
        </w:tc>
        <w:tc>
          <w:tcPr>
            <w:tcW w:w="808" w:type="dxa"/>
            <w:tcBorders>
              <w:top w:val="single" w:color="auto" w:sz="6" w:space="0"/>
              <w:left w:val="single" w:color="auto" w:sz="6" w:space="0"/>
              <w:bottom w:val="single" w:color="auto" w:sz="6" w:space="0"/>
              <w:right w:val="single" w:color="auto" w:sz="6" w:space="0"/>
            </w:tcBorders>
            <w:vAlign w:val="center"/>
          </w:tcPr>
          <w:p w14:paraId="47B932DD">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得分</w:t>
            </w:r>
          </w:p>
        </w:tc>
        <w:tc>
          <w:tcPr>
            <w:tcW w:w="3394" w:type="dxa"/>
            <w:tcBorders>
              <w:top w:val="single" w:color="auto" w:sz="6" w:space="0"/>
              <w:left w:val="single" w:color="auto" w:sz="6" w:space="0"/>
              <w:bottom w:val="single" w:color="auto" w:sz="6" w:space="0"/>
              <w:right w:val="single" w:color="auto" w:sz="6" w:space="0"/>
            </w:tcBorders>
            <w:vAlign w:val="center"/>
          </w:tcPr>
          <w:p w14:paraId="5F89DF90">
            <w:pPr>
              <w:tabs>
                <w:tab w:val="left" w:pos="8280"/>
              </w:tabs>
              <w:autoSpaceDE w:val="0"/>
              <w:autoSpaceDN w:val="0"/>
              <w:adjustRightInd w:val="0"/>
              <w:spacing w:line="240" w:lineRule="auto"/>
              <w:ind w:right="2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详细说明</w:t>
            </w:r>
          </w:p>
        </w:tc>
      </w:tr>
      <w:tr w14:paraId="52EB31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4F54A3D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站房选址</w:t>
            </w:r>
          </w:p>
        </w:tc>
        <w:tc>
          <w:tcPr>
            <w:tcW w:w="2505" w:type="dxa"/>
            <w:tcBorders>
              <w:top w:val="single" w:color="auto" w:sz="6" w:space="0"/>
              <w:left w:val="single" w:color="auto" w:sz="6" w:space="0"/>
              <w:bottom w:val="single" w:color="auto" w:sz="6" w:space="0"/>
              <w:right w:val="single" w:color="auto" w:sz="6" w:space="0"/>
            </w:tcBorders>
            <w:vAlign w:val="center"/>
          </w:tcPr>
          <w:p w14:paraId="43D2C8D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点位是否与国家和省厅批复的经纬度相同，有无变动</w:t>
            </w:r>
          </w:p>
        </w:tc>
        <w:tc>
          <w:tcPr>
            <w:tcW w:w="743" w:type="dxa"/>
            <w:tcBorders>
              <w:top w:val="single" w:color="auto" w:sz="6" w:space="0"/>
              <w:left w:val="single" w:color="auto" w:sz="6" w:space="0"/>
              <w:bottom w:val="single" w:color="auto" w:sz="6" w:space="0"/>
              <w:right w:val="single" w:color="auto" w:sz="6" w:space="0"/>
            </w:tcBorders>
            <w:vAlign w:val="center"/>
          </w:tcPr>
          <w:p w14:paraId="4CE7E23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08" w:type="dxa"/>
            <w:tcBorders>
              <w:top w:val="single" w:color="auto" w:sz="6" w:space="0"/>
              <w:left w:val="single" w:color="auto" w:sz="6" w:space="0"/>
              <w:bottom w:val="single" w:color="auto" w:sz="6" w:space="0"/>
              <w:right w:val="single" w:color="auto" w:sz="6" w:space="0"/>
            </w:tcBorders>
            <w:vAlign w:val="center"/>
          </w:tcPr>
          <w:p w14:paraId="1854E00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32D3DF8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实测与批复经纬度误差在100米内</w:t>
            </w:r>
          </w:p>
        </w:tc>
      </w:tr>
      <w:tr w14:paraId="359B15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0CCBBB9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运行环境</w:t>
            </w:r>
          </w:p>
        </w:tc>
        <w:tc>
          <w:tcPr>
            <w:tcW w:w="2505" w:type="dxa"/>
            <w:tcBorders>
              <w:top w:val="single" w:color="auto" w:sz="6" w:space="0"/>
              <w:left w:val="single" w:color="auto" w:sz="6" w:space="0"/>
              <w:bottom w:val="single" w:color="auto" w:sz="6" w:space="0"/>
              <w:right w:val="single" w:color="auto" w:sz="6" w:space="0"/>
            </w:tcBorders>
            <w:vAlign w:val="center"/>
          </w:tcPr>
          <w:p w14:paraId="611EDAA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室内整洁、干燥（RH85%以下），空调运行正常（15~35℃），保障仪器适合工作环境。</w:t>
            </w:r>
          </w:p>
        </w:tc>
        <w:tc>
          <w:tcPr>
            <w:tcW w:w="743" w:type="dxa"/>
            <w:tcBorders>
              <w:top w:val="single" w:color="auto" w:sz="6" w:space="0"/>
              <w:left w:val="single" w:color="auto" w:sz="6" w:space="0"/>
              <w:bottom w:val="single" w:color="auto" w:sz="6" w:space="0"/>
              <w:right w:val="single" w:color="auto" w:sz="6" w:space="0"/>
            </w:tcBorders>
            <w:vAlign w:val="center"/>
          </w:tcPr>
          <w:p w14:paraId="1EEBF14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08" w:type="dxa"/>
            <w:tcBorders>
              <w:top w:val="single" w:color="auto" w:sz="6" w:space="0"/>
              <w:left w:val="single" w:color="auto" w:sz="6" w:space="0"/>
              <w:bottom w:val="single" w:color="auto" w:sz="6" w:space="0"/>
              <w:right w:val="single" w:color="auto" w:sz="6" w:space="0"/>
            </w:tcBorders>
            <w:vAlign w:val="center"/>
          </w:tcPr>
          <w:p w14:paraId="4327943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4298310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室内整洁，干燥和温度分别打分</w:t>
            </w:r>
          </w:p>
        </w:tc>
      </w:tr>
      <w:tr w14:paraId="717829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642E3DE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安全保障</w:t>
            </w:r>
          </w:p>
        </w:tc>
        <w:tc>
          <w:tcPr>
            <w:tcW w:w="2505" w:type="dxa"/>
            <w:tcBorders>
              <w:top w:val="single" w:color="auto" w:sz="6" w:space="0"/>
              <w:left w:val="single" w:color="auto" w:sz="6" w:space="0"/>
              <w:bottom w:val="single" w:color="auto" w:sz="6" w:space="0"/>
              <w:right w:val="single" w:color="auto" w:sz="6" w:space="0"/>
            </w:tcBorders>
            <w:vAlign w:val="center"/>
          </w:tcPr>
          <w:p w14:paraId="14A311C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防护措施到位，防水、防雷和供电满足规范要求；保障相关人员和资产安全。</w:t>
            </w:r>
          </w:p>
        </w:tc>
        <w:tc>
          <w:tcPr>
            <w:tcW w:w="743" w:type="dxa"/>
            <w:tcBorders>
              <w:top w:val="single" w:color="auto" w:sz="6" w:space="0"/>
              <w:left w:val="single" w:color="auto" w:sz="6" w:space="0"/>
              <w:bottom w:val="single" w:color="auto" w:sz="6" w:space="0"/>
              <w:right w:val="single" w:color="auto" w:sz="6" w:space="0"/>
            </w:tcBorders>
            <w:vAlign w:val="center"/>
          </w:tcPr>
          <w:p w14:paraId="46ED596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08" w:type="dxa"/>
            <w:tcBorders>
              <w:top w:val="single" w:color="auto" w:sz="6" w:space="0"/>
              <w:left w:val="single" w:color="auto" w:sz="6" w:space="0"/>
              <w:bottom w:val="single" w:color="auto" w:sz="6" w:space="0"/>
              <w:right w:val="single" w:color="auto" w:sz="6" w:space="0"/>
            </w:tcBorders>
            <w:vAlign w:val="center"/>
          </w:tcPr>
          <w:p w14:paraId="1CF1545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3FAA2A2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防水、防雷和UPS供电保障分别打分</w:t>
            </w:r>
          </w:p>
        </w:tc>
      </w:tr>
      <w:tr w14:paraId="4E648C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2285242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监测项目</w:t>
            </w:r>
          </w:p>
        </w:tc>
        <w:tc>
          <w:tcPr>
            <w:tcW w:w="2505" w:type="dxa"/>
            <w:tcBorders>
              <w:top w:val="single" w:color="auto" w:sz="6" w:space="0"/>
              <w:left w:val="single" w:color="auto" w:sz="6" w:space="0"/>
              <w:bottom w:val="single" w:color="auto" w:sz="6" w:space="0"/>
              <w:right w:val="single" w:color="auto" w:sz="6" w:space="0"/>
            </w:tcBorders>
            <w:vAlign w:val="center"/>
          </w:tcPr>
          <w:p w14:paraId="37DDD4E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常规六项监测是否齐全，仪器分析方法是否符合规范要求，PM2.5监测仪是否有补偿系统（振荡天平FDMS）或动态加热系统（β射线法DHS）</w:t>
            </w:r>
          </w:p>
        </w:tc>
        <w:tc>
          <w:tcPr>
            <w:tcW w:w="743" w:type="dxa"/>
            <w:tcBorders>
              <w:top w:val="single" w:color="auto" w:sz="6" w:space="0"/>
              <w:left w:val="single" w:color="auto" w:sz="6" w:space="0"/>
              <w:bottom w:val="single" w:color="auto" w:sz="6" w:space="0"/>
              <w:right w:val="single" w:color="auto" w:sz="6" w:space="0"/>
            </w:tcBorders>
            <w:vAlign w:val="center"/>
          </w:tcPr>
          <w:p w14:paraId="323D66F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37EB786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38FBFAE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缺少一项或任一分析方法不符合规范扣分；PM2.5无补偿系统扣分</w:t>
            </w:r>
          </w:p>
        </w:tc>
      </w:tr>
      <w:tr w14:paraId="110409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1B5F3FD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采样系统的规范性</w:t>
            </w:r>
          </w:p>
        </w:tc>
        <w:tc>
          <w:tcPr>
            <w:tcW w:w="2505" w:type="dxa"/>
            <w:tcBorders>
              <w:top w:val="single" w:color="auto" w:sz="6" w:space="0"/>
              <w:left w:val="single" w:color="auto" w:sz="6" w:space="0"/>
              <w:bottom w:val="single" w:color="auto" w:sz="6" w:space="0"/>
              <w:right w:val="single" w:color="auto" w:sz="6" w:space="0"/>
            </w:tcBorders>
            <w:vAlign w:val="center"/>
          </w:tcPr>
          <w:p w14:paraId="09D2363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采样口设置是否符合规范：3-25m高，270°水平面捕集空间（靠近建筑物则为180°），50m范围内无明显污染源；</w:t>
            </w:r>
          </w:p>
          <w:p w14:paraId="55A6262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采样总管和支管的设置是否符合规范</w:t>
            </w:r>
          </w:p>
        </w:tc>
        <w:tc>
          <w:tcPr>
            <w:tcW w:w="743" w:type="dxa"/>
            <w:tcBorders>
              <w:top w:val="single" w:color="auto" w:sz="6" w:space="0"/>
              <w:left w:val="single" w:color="auto" w:sz="6" w:space="0"/>
              <w:bottom w:val="single" w:color="auto" w:sz="6" w:space="0"/>
              <w:right w:val="single" w:color="auto" w:sz="6" w:space="0"/>
            </w:tcBorders>
            <w:vAlign w:val="center"/>
          </w:tcPr>
          <w:p w14:paraId="235D304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1141ABA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6370CC3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采样高度过高过低扣分；采样水平空间情况不符合扣分</w:t>
            </w:r>
          </w:p>
          <w:p w14:paraId="77A8BB1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周边有明显污染源扣分；采样管路不符合规范扣分</w:t>
            </w:r>
          </w:p>
        </w:tc>
      </w:tr>
      <w:tr w14:paraId="7D6745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40E6F22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日常监测</w:t>
            </w:r>
          </w:p>
        </w:tc>
        <w:tc>
          <w:tcPr>
            <w:tcW w:w="2505" w:type="dxa"/>
            <w:tcBorders>
              <w:top w:val="single" w:color="auto" w:sz="6" w:space="0"/>
              <w:left w:val="single" w:color="auto" w:sz="6" w:space="0"/>
              <w:bottom w:val="single" w:color="auto" w:sz="6" w:space="0"/>
              <w:right w:val="single" w:color="auto" w:sz="6" w:space="0"/>
            </w:tcBorders>
            <w:vAlign w:val="center"/>
          </w:tcPr>
          <w:p w14:paraId="3DAED37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有效数据上传率平台统计</w:t>
            </w:r>
          </w:p>
        </w:tc>
        <w:tc>
          <w:tcPr>
            <w:tcW w:w="743" w:type="dxa"/>
            <w:tcBorders>
              <w:top w:val="single" w:color="auto" w:sz="6" w:space="0"/>
              <w:left w:val="single" w:color="auto" w:sz="6" w:space="0"/>
              <w:bottom w:val="single" w:color="auto" w:sz="6" w:space="0"/>
              <w:right w:val="single" w:color="auto" w:sz="6" w:space="0"/>
            </w:tcBorders>
            <w:vAlign w:val="center"/>
          </w:tcPr>
          <w:p w14:paraId="177AB00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0D8DA95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36A3FC0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在93%（含）以上，满分；75%(含)以上，合格；75%以下的，不合格，0分。75%-93%区间得分为：（x-74）×10/19</w:t>
            </w:r>
          </w:p>
        </w:tc>
      </w:tr>
      <w:tr w14:paraId="2529F9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73E9AF0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数据处理和上报</w:t>
            </w:r>
          </w:p>
        </w:tc>
        <w:tc>
          <w:tcPr>
            <w:tcW w:w="2505" w:type="dxa"/>
            <w:tcBorders>
              <w:top w:val="single" w:color="auto" w:sz="6" w:space="0"/>
              <w:left w:val="single" w:color="auto" w:sz="6" w:space="0"/>
              <w:bottom w:val="single" w:color="auto" w:sz="6" w:space="0"/>
              <w:right w:val="single" w:color="auto" w:sz="6" w:space="0"/>
            </w:tcBorders>
            <w:vAlign w:val="center"/>
          </w:tcPr>
          <w:p w14:paraId="6E1F48A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按要求做好日常监测数据的汇总处理，对每次的异常数据能及时监测到并处理上报。酌情打分。</w:t>
            </w:r>
          </w:p>
        </w:tc>
        <w:tc>
          <w:tcPr>
            <w:tcW w:w="743" w:type="dxa"/>
            <w:tcBorders>
              <w:top w:val="single" w:color="auto" w:sz="6" w:space="0"/>
              <w:left w:val="single" w:color="auto" w:sz="6" w:space="0"/>
              <w:bottom w:val="single" w:color="auto" w:sz="6" w:space="0"/>
              <w:right w:val="single" w:color="auto" w:sz="6" w:space="0"/>
            </w:tcBorders>
            <w:vAlign w:val="center"/>
          </w:tcPr>
          <w:p w14:paraId="314536E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684463A9">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2D2EA19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r>
      <w:tr w14:paraId="13D43C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46D8371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持证上岗</w:t>
            </w:r>
          </w:p>
        </w:tc>
        <w:tc>
          <w:tcPr>
            <w:tcW w:w="2505" w:type="dxa"/>
            <w:tcBorders>
              <w:top w:val="single" w:color="auto" w:sz="6" w:space="0"/>
              <w:left w:val="single" w:color="auto" w:sz="6" w:space="0"/>
              <w:bottom w:val="single" w:color="auto" w:sz="6" w:space="0"/>
              <w:right w:val="single" w:color="auto" w:sz="6" w:space="0"/>
            </w:tcBorders>
            <w:vAlign w:val="center"/>
          </w:tcPr>
          <w:p w14:paraId="39E737C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站点管理人员每三年参加一次全省空气自动站技术培训，合格持有上岗证。酌情打分。</w:t>
            </w:r>
          </w:p>
        </w:tc>
        <w:tc>
          <w:tcPr>
            <w:tcW w:w="743" w:type="dxa"/>
            <w:tcBorders>
              <w:top w:val="single" w:color="auto" w:sz="6" w:space="0"/>
              <w:left w:val="single" w:color="auto" w:sz="6" w:space="0"/>
              <w:bottom w:val="single" w:color="auto" w:sz="6" w:space="0"/>
              <w:right w:val="single" w:color="auto" w:sz="6" w:space="0"/>
            </w:tcBorders>
            <w:vAlign w:val="center"/>
          </w:tcPr>
          <w:p w14:paraId="0EBB5A2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1C4C983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4B523A8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r>
      <w:tr w14:paraId="2EF1F6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601ECD7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档案记录和管理</w:t>
            </w:r>
          </w:p>
        </w:tc>
        <w:tc>
          <w:tcPr>
            <w:tcW w:w="2505" w:type="dxa"/>
            <w:tcBorders>
              <w:top w:val="single" w:color="auto" w:sz="6" w:space="0"/>
              <w:left w:val="single" w:color="auto" w:sz="6" w:space="0"/>
              <w:bottom w:val="single" w:color="auto" w:sz="6" w:space="0"/>
              <w:right w:val="single" w:color="auto" w:sz="6" w:space="0"/>
            </w:tcBorders>
            <w:vAlign w:val="center"/>
          </w:tcPr>
          <w:p w14:paraId="2A4EEBE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巡检记录、校准设备每年计量认证、仪器校准、标气使用、管路清洁维护、突发情况等信息记录在档。酌情打分。</w:t>
            </w:r>
          </w:p>
        </w:tc>
        <w:tc>
          <w:tcPr>
            <w:tcW w:w="743" w:type="dxa"/>
            <w:tcBorders>
              <w:top w:val="single" w:color="auto" w:sz="6" w:space="0"/>
              <w:left w:val="single" w:color="auto" w:sz="6" w:space="0"/>
              <w:bottom w:val="single" w:color="auto" w:sz="6" w:space="0"/>
              <w:right w:val="single" w:color="auto" w:sz="6" w:space="0"/>
            </w:tcBorders>
            <w:vAlign w:val="center"/>
          </w:tcPr>
          <w:p w14:paraId="64DBD2C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32A3A6D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6D529B4A">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缺少任一记录扣分</w:t>
            </w:r>
          </w:p>
        </w:tc>
      </w:tr>
      <w:tr w14:paraId="24C3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2CD6FB4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巡检和考核配合</w:t>
            </w:r>
          </w:p>
        </w:tc>
        <w:tc>
          <w:tcPr>
            <w:tcW w:w="2505" w:type="dxa"/>
            <w:tcBorders>
              <w:top w:val="single" w:color="auto" w:sz="6" w:space="0"/>
              <w:left w:val="single" w:color="auto" w:sz="6" w:space="0"/>
              <w:bottom w:val="single" w:color="auto" w:sz="6" w:space="0"/>
              <w:right w:val="single" w:color="auto" w:sz="6" w:space="0"/>
            </w:tcBorders>
            <w:vAlign w:val="center"/>
          </w:tcPr>
          <w:p w14:paraId="62EBA64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要求接到通知后一个半小时内达到检测点位配合巡检工作情况</w:t>
            </w:r>
          </w:p>
        </w:tc>
        <w:tc>
          <w:tcPr>
            <w:tcW w:w="743" w:type="dxa"/>
            <w:tcBorders>
              <w:top w:val="single" w:color="auto" w:sz="6" w:space="0"/>
              <w:left w:val="single" w:color="auto" w:sz="6" w:space="0"/>
              <w:bottom w:val="single" w:color="auto" w:sz="6" w:space="0"/>
              <w:right w:val="single" w:color="auto" w:sz="6" w:space="0"/>
            </w:tcBorders>
            <w:vAlign w:val="center"/>
          </w:tcPr>
          <w:p w14:paraId="45D2BB2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08" w:type="dxa"/>
            <w:tcBorders>
              <w:top w:val="single" w:color="auto" w:sz="6" w:space="0"/>
              <w:left w:val="single" w:color="auto" w:sz="6" w:space="0"/>
              <w:bottom w:val="single" w:color="auto" w:sz="6" w:space="0"/>
              <w:right w:val="single" w:color="auto" w:sz="6" w:space="0"/>
            </w:tcBorders>
            <w:vAlign w:val="center"/>
          </w:tcPr>
          <w:p w14:paraId="09A4015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3DEF80D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配合积极满分；配合一般的2分；很不配合的：0分，规定时间未到：考核总分0分。</w:t>
            </w:r>
          </w:p>
        </w:tc>
      </w:tr>
      <w:tr w14:paraId="4FE5E5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0E86570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采样状况</w:t>
            </w:r>
          </w:p>
        </w:tc>
        <w:tc>
          <w:tcPr>
            <w:tcW w:w="2505" w:type="dxa"/>
            <w:tcBorders>
              <w:top w:val="single" w:color="auto" w:sz="6" w:space="0"/>
              <w:left w:val="single" w:color="auto" w:sz="6" w:space="0"/>
              <w:bottom w:val="single" w:color="auto" w:sz="6" w:space="0"/>
              <w:right w:val="single" w:color="auto" w:sz="6" w:space="0"/>
            </w:tcBorders>
            <w:vAlign w:val="center"/>
          </w:tcPr>
          <w:p w14:paraId="5932ECD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采样口有无异物，采样管路是否干净通畅；</w:t>
            </w:r>
          </w:p>
          <w:p w14:paraId="253195F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采样总管和PM10采样管有无加热（40℃），有无避免空调直吹</w:t>
            </w:r>
          </w:p>
        </w:tc>
        <w:tc>
          <w:tcPr>
            <w:tcW w:w="743" w:type="dxa"/>
            <w:tcBorders>
              <w:top w:val="single" w:color="auto" w:sz="6" w:space="0"/>
              <w:left w:val="single" w:color="auto" w:sz="6" w:space="0"/>
              <w:bottom w:val="single" w:color="auto" w:sz="6" w:space="0"/>
              <w:right w:val="single" w:color="auto" w:sz="6" w:space="0"/>
            </w:tcBorders>
            <w:vAlign w:val="center"/>
          </w:tcPr>
          <w:p w14:paraId="52ACEF5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08" w:type="dxa"/>
            <w:tcBorders>
              <w:top w:val="single" w:color="auto" w:sz="6" w:space="0"/>
              <w:left w:val="single" w:color="auto" w:sz="6" w:space="0"/>
              <w:bottom w:val="single" w:color="auto" w:sz="6" w:space="0"/>
              <w:right w:val="single" w:color="auto" w:sz="6" w:space="0"/>
            </w:tcBorders>
            <w:vAlign w:val="center"/>
          </w:tcPr>
          <w:p w14:paraId="7F4D2E7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61F7CCE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一旦发现人为干扰正常采样的，考核总分为0分，并全省通报批评。</w:t>
            </w:r>
          </w:p>
          <w:p w14:paraId="6B24C84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采样口与管路不干净扣分</w:t>
            </w:r>
          </w:p>
          <w:p w14:paraId="792AA2BC">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未加热扣分</w:t>
            </w:r>
          </w:p>
          <w:p w14:paraId="3C4B00D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空调直吹扣分</w:t>
            </w:r>
          </w:p>
        </w:tc>
      </w:tr>
      <w:tr w14:paraId="2FE5F4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7F857B1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数采仪状况</w:t>
            </w:r>
          </w:p>
        </w:tc>
        <w:tc>
          <w:tcPr>
            <w:tcW w:w="2505" w:type="dxa"/>
            <w:tcBorders>
              <w:top w:val="single" w:color="auto" w:sz="6" w:space="0"/>
              <w:left w:val="single" w:color="auto" w:sz="6" w:space="0"/>
              <w:bottom w:val="single" w:color="auto" w:sz="6" w:space="0"/>
              <w:right w:val="single" w:color="auto" w:sz="6" w:space="0"/>
            </w:tcBorders>
            <w:vAlign w:val="center"/>
          </w:tcPr>
          <w:p w14:paraId="5E67363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数采仪工作正常，工控机显示数据与仪器数据一致。</w:t>
            </w:r>
          </w:p>
        </w:tc>
        <w:tc>
          <w:tcPr>
            <w:tcW w:w="743" w:type="dxa"/>
            <w:tcBorders>
              <w:top w:val="single" w:color="auto" w:sz="6" w:space="0"/>
              <w:left w:val="single" w:color="auto" w:sz="6" w:space="0"/>
              <w:bottom w:val="single" w:color="auto" w:sz="6" w:space="0"/>
              <w:right w:val="single" w:color="auto" w:sz="6" w:space="0"/>
            </w:tcBorders>
            <w:vAlign w:val="center"/>
          </w:tcPr>
          <w:p w14:paraId="4D532AF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2784C0A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0B58BDC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仪器显示与数据平台不一致扣分</w:t>
            </w:r>
          </w:p>
        </w:tc>
      </w:tr>
      <w:tr w14:paraId="52E114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2E45E27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仪器状况</w:t>
            </w:r>
          </w:p>
        </w:tc>
        <w:tc>
          <w:tcPr>
            <w:tcW w:w="2505" w:type="dxa"/>
            <w:tcBorders>
              <w:top w:val="single" w:color="auto" w:sz="6" w:space="0"/>
              <w:left w:val="single" w:color="auto" w:sz="6" w:space="0"/>
              <w:bottom w:val="single" w:color="auto" w:sz="6" w:space="0"/>
              <w:right w:val="single" w:color="auto" w:sz="6" w:space="0"/>
            </w:tcBorders>
            <w:vAlign w:val="center"/>
          </w:tcPr>
          <w:p w14:paraId="21F2B3C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仪器运行正常，无报警；出现报警及时上报并进行维修处理。</w:t>
            </w:r>
          </w:p>
        </w:tc>
        <w:tc>
          <w:tcPr>
            <w:tcW w:w="743" w:type="dxa"/>
            <w:tcBorders>
              <w:top w:val="single" w:color="auto" w:sz="6" w:space="0"/>
              <w:left w:val="single" w:color="auto" w:sz="6" w:space="0"/>
              <w:bottom w:val="single" w:color="auto" w:sz="6" w:space="0"/>
              <w:right w:val="single" w:color="auto" w:sz="6" w:space="0"/>
            </w:tcBorders>
            <w:vAlign w:val="center"/>
          </w:tcPr>
          <w:p w14:paraId="7B0AC968">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08" w:type="dxa"/>
            <w:tcBorders>
              <w:top w:val="single" w:color="auto" w:sz="6" w:space="0"/>
              <w:left w:val="single" w:color="auto" w:sz="6" w:space="0"/>
              <w:bottom w:val="single" w:color="auto" w:sz="6" w:space="0"/>
              <w:right w:val="single" w:color="auto" w:sz="6" w:space="0"/>
            </w:tcBorders>
            <w:vAlign w:val="center"/>
          </w:tcPr>
          <w:p w14:paraId="2447500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2B96741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发现仪器报警未及时处理扣分</w:t>
            </w:r>
          </w:p>
        </w:tc>
      </w:tr>
      <w:tr w14:paraId="0B9981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5963CCE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流量准确性</w:t>
            </w:r>
          </w:p>
        </w:tc>
        <w:tc>
          <w:tcPr>
            <w:tcW w:w="2505" w:type="dxa"/>
            <w:tcBorders>
              <w:top w:val="single" w:color="auto" w:sz="6" w:space="0"/>
              <w:left w:val="single" w:color="auto" w:sz="6" w:space="0"/>
              <w:bottom w:val="single" w:color="auto" w:sz="6" w:space="0"/>
              <w:right w:val="single" w:color="auto" w:sz="6" w:space="0"/>
            </w:tcBorders>
            <w:vAlign w:val="center"/>
          </w:tcPr>
          <w:p w14:paraId="7FB123D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动态校准仪的零气MFC流量、标气MFC流量与标准流量计误差是否在2%以内；</w:t>
            </w:r>
          </w:p>
          <w:p w14:paraId="72A8BAB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SO2、NOx、CO、O3采样流量误差是否在10%以内；</w:t>
            </w:r>
          </w:p>
          <w:p w14:paraId="2DE10DE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颗粒物采样流量误差是否在5%以内；</w:t>
            </w:r>
          </w:p>
        </w:tc>
        <w:tc>
          <w:tcPr>
            <w:tcW w:w="743" w:type="dxa"/>
            <w:tcBorders>
              <w:top w:val="single" w:color="auto" w:sz="6" w:space="0"/>
              <w:left w:val="single" w:color="auto" w:sz="6" w:space="0"/>
              <w:bottom w:val="single" w:color="auto" w:sz="6" w:space="0"/>
              <w:right w:val="single" w:color="auto" w:sz="6" w:space="0"/>
            </w:tcBorders>
            <w:vAlign w:val="center"/>
          </w:tcPr>
          <w:p w14:paraId="439E329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08" w:type="dxa"/>
            <w:tcBorders>
              <w:top w:val="single" w:color="auto" w:sz="6" w:space="0"/>
              <w:left w:val="single" w:color="auto" w:sz="6" w:space="0"/>
              <w:bottom w:val="single" w:color="auto" w:sz="6" w:space="0"/>
              <w:right w:val="single" w:color="auto" w:sz="6" w:space="0"/>
            </w:tcBorders>
            <w:vAlign w:val="center"/>
          </w:tcPr>
          <w:p w14:paraId="57399E3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1D6F08A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校准仪零气流量   ml，流量计流量   ml，误差   %</w:t>
            </w:r>
          </w:p>
          <w:p w14:paraId="53477F0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校准仪标气（任选）流量   ml，流量计流量   ml，误差   %</w:t>
            </w:r>
          </w:p>
          <w:p w14:paraId="5A1A237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气体监测仪器流量检测方式同校准仪</w:t>
            </w:r>
          </w:p>
          <w:p w14:paraId="7E7A2233">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任一不在误差要求范围内即扣分</w:t>
            </w:r>
          </w:p>
        </w:tc>
      </w:tr>
      <w:tr w14:paraId="5A766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6E7B6C9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气体测量准确性</w:t>
            </w:r>
          </w:p>
        </w:tc>
        <w:tc>
          <w:tcPr>
            <w:tcW w:w="2505" w:type="dxa"/>
            <w:tcBorders>
              <w:top w:val="single" w:color="auto" w:sz="6" w:space="0"/>
              <w:left w:val="single" w:color="auto" w:sz="6" w:space="0"/>
              <w:bottom w:val="single" w:color="auto" w:sz="6" w:space="0"/>
              <w:right w:val="single" w:color="auto" w:sz="6" w:space="0"/>
            </w:tcBorders>
            <w:vAlign w:val="center"/>
          </w:tcPr>
          <w:p w14:paraId="0C799AA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SO2、CO、NO仪器T90响应时间是否在5分钟内；</w:t>
            </w:r>
          </w:p>
          <w:p w14:paraId="5CD9735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浓度误差是否在10%以内</w:t>
            </w:r>
          </w:p>
        </w:tc>
        <w:tc>
          <w:tcPr>
            <w:tcW w:w="743" w:type="dxa"/>
            <w:tcBorders>
              <w:top w:val="single" w:color="auto" w:sz="6" w:space="0"/>
              <w:left w:val="single" w:color="auto" w:sz="6" w:space="0"/>
              <w:bottom w:val="single" w:color="auto" w:sz="6" w:space="0"/>
              <w:right w:val="single" w:color="auto" w:sz="6" w:space="0"/>
            </w:tcBorders>
            <w:vAlign w:val="center"/>
          </w:tcPr>
          <w:p w14:paraId="1C39413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808" w:type="dxa"/>
            <w:tcBorders>
              <w:top w:val="single" w:color="auto" w:sz="6" w:space="0"/>
              <w:left w:val="single" w:color="auto" w:sz="6" w:space="0"/>
              <w:bottom w:val="single" w:color="auto" w:sz="6" w:space="0"/>
              <w:right w:val="single" w:color="auto" w:sz="6" w:space="0"/>
            </w:tcBorders>
            <w:vAlign w:val="center"/>
          </w:tcPr>
          <w:p w14:paraId="5DCE0F5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1ACCFFFF">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SO2标气稀释输出浓度   ppb，SO2仪器显示浓度   ppb，误差   %</w:t>
            </w:r>
          </w:p>
          <w:p w14:paraId="38BF857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达到设定浓度90%的时间   min</w:t>
            </w:r>
          </w:p>
          <w:p w14:paraId="4D8F4D1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任一不在浓度误差要求范围内扣分</w:t>
            </w:r>
          </w:p>
          <w:p w14:paraId="63DDAA20">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任一T90大于5分钟内扣分</w:t>
            </w:r>
          </w:p>
        </w:tc>
      </w:tr>
      <w:tr w14:paraId="00C2E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675" w:type="dxa"/>
            <w:tcBorders>
              <w:top w:val="single" w:color="auto" w:sz="6" w:space="0"/>
              <w:left w:val="single" w:color="auto" w:sz="6" w:space="0"/>
              <w:bottom w:val="single" w:color="auto" w:sz="6" w:space="0"/>
              <w:right w:val="single" w:color="auto" w:sz="6" w:space="0"/>
            </w:tcBorders>
            <w:vAlign w:val="center"/>
          </w:tcPr>
          <w:p w14:paraId="7CFF73D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系统保障</w:t>
            </w:r>
          </w:p>
        </w:tc>
        <w:tc>
          <w:tcPr>
            <w:tcW w:w="2505" w:type="dxa"/>
            <w:tcBorders>
              <w:top w:val="single" w:color="auto" w:sz="6" w:space="0"/>
              <w:left w:val="single" w:color="auto" w:sz="6" w:space="0"/>
              <w:bottom w:val="single" w:color="auto" w:sz="6" w:space="0"/>
              <w:right w:val="single" w:color="auto" w:sz="6" w:space="0"/>
            </w:tcBorders>
            <w:vAlign w:val="center"/>
          </w:tcPr>
          <w:p w14:paraId="1446747B">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是否有备机且备机符合规范要求</w:t>
            </w:r>
          </w:p>
          <w:p w14:paraId="7D683B55">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是否有质控实验室和系统支持实验室</w:t>
            </w:r>
          </w:p>
        </w:tc>
        <w:tc>
          <w:tcPr>
            <w:tcW w:w="743" w:type="dxa"/>
            <w:tcBorders>
              <w:top w:val="single" w:color="auto" w:sz="6" w:space="0"/>
              <w:left w:val="single" w:color="auto" w:sz="6" w:space="0"/>
              <w:bottom w:val="single" w:color="auto" w:sz="6" w:space="0"/>
              <w:right w:val="single" w:color="auto" w:sz="6" w:space="0"/>
            </w:tcBorders>
            <w:vAlign w:val="center"/>
          </w:tcPr>
          <w:p w14:paraId="1C026A41">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8" w:type="dxa"/>
            <w:tcBorders>
              <w:top w:val="single" w:color="auto" w:sz="6" w:space="0"/>
              <w:left w:val="single" w:color="auto" w:sz="6" w:space="0"/>
              <w:bottom w:val="single" w:color="auto" w:sz="6" w:space="0"/>
              <w:right w:val="single" w:color="auto" w:sz="6" w:space="0"/>
            </w:tcBorders>
            <w:vAlign w:val="center"/>
          </w:tcPr>
          <w:p w14:paraId="06473BC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p>
        </w:tc>
        <w:tc>
          <w:tcPr>
            <w:tcW w:w="3394" w:type="dxa"/>
            <w:tcBorders>
              <w:top w:val="single" w:color="auto" w:sz="6" w:space="0"/>
              <w:left w:val="single" w:color="auto" w:sz="6" w:space="0"/>
              <w:bottom w:val="single" w:color="auto" w:sz="6" w:space="0"/>
              <w:right w:val="single" w:color="auto" w:sz="6" w:space="0"/>
            </w:tcBorders>
            <w:vAlign w:val="center"/>
          </w:tcPr>
          <w:p w14:paraId="22848C1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无备机、备机不全或备机不符合规范扣分</w:t>
            </w:r>
          </w:p>
          <w:p w14:paraId="2AB2721D">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无质控实验室或未达到要求扣分</w:t>
            </w:r>
          </w:p>
          <w:p w14:paraId="6C4A1AA2">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无系统支持实验室或未达到要求扣分</w:t>
            </w:r>
          </w:p>
        </w:tc>
      </w:tr>
    </w:tbl>
    <w:p w14:paraId="3F9F7586">
      <w:pPr>
        <w:spacing w:line="540" w:lineRule="exact"/>
        <w:ind w:firstLine="420" w:firstLineChars="200"/>
        <w:rPr>
          <w:color w:val="auto"/>
          <w:highlight w:val="none"/>
        </w:rPr>
      </w:pPr>
    </w:p>
    <w:p w14:paraId="2D0E737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八、商务要求：</w:t>
      </w:r>
    </w:p>
    <w:p w14:paraId="1B00D5F0">
      <w:pPr>
        <w:keepNext w:val="0"/>
        <w:keepLines w:val="0"/>
        <w:pageBreakBefore w:val="0"/>
        <w:widowControl w:val="0"/>
        <w:kinsoku/>
        <w:wordWrap/>
        <w:overflowPunct/>
        <w:topLinePunct w:val="0"/>
        <w:autoSpaceDE/>
        <w:autoSpaceDN/>
        <w:bidi w:val="0"/>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1、付款</w:t>
      </w:r>
      <w:r>
        <w:rPr>
          <w:rFonts w:hint="eastAsia" w:ascii="宋体" w:hAnsi="宋体" w:eastAsia="宋体" w:cs="宋体"/>
          <w:color w:val="auto"/>
          <w:kern w:val="0"/>
          <w:sz w:val="21"/>
          <w:szCs w:val="21"/>
          <w:highlight w:val="none"/>
          <w:lang w:val="en-US" w:eastAsia="zh-CN" w:bidi="ar"/>
        </w:rPr>
        <w:t>方式</w:t>
      </w:r>
      <w:r>
        <w:rPr>
          <w:rFonts w:hint="eastAsia" w:ascii="宋体" w:hAnsi="宋体" w:eastAsia="宋体" w:cs="宋体"/>
          <w:color w:val="auto"/>
          <w:kern w:val="0"/>
          <w:sz w:val="21"/>
          <w:szCs w:val="21"/>
          <w:highlight w:val="none"/>
          <w:lang w:bidi="ar"/>
        </w:rPr>
        <w:t>：</w:t>
      </w:r>
    </w:p>
    <w:p w14:paraId="292CF62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（1）签订合同后，在合同生效以及具备实施条件后7个工作日内支付合同第一年计划金额的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0%作为预付款，运维满12个月后</w:t>
      </w: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考核</w:t>
      </w:r>
      <w:r>
        <w:rPr>
          <w:rFonts w:hint="eastAsia" w:ascii="宋体" w:hAnsi="宋体" w:cs="宋体"/>
          <w:color w:val="auto"/>
          <w:sz w:val="21"/>
          <w:szCs w:val="21"/>
          <w:highlight w:val="none"/>
          <w:lang w:val="en-US" w:eastAsia="zh-CN"/>
        </w:rPr>
        <w:t>结果</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当</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剩余款项</w:t>
      </w:r>
      <w:r>
        <w:rPr>
          <w:rFonts w:hint="eastAsia" w:ascii="宋体" w:hAnsi="宋体" w:eastAsia="宋体" w:cs="宋体"/>
          <w:color w:val="auto"/>
          <w:sz w:val="21"/>
          <w:szCs w:val="21"/>
          <w:highlight w:val="none"/>
          <w:lang w:val="en-US" w:eastAsia="zh-CN"/>
        </w:rPr>
        <w:t>。</w:t>
      </w:r>
    </w:p>
    <w:p w14:paraId="6D167B2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（2）运维满12个月后支付合同第二年计划金额的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0%作为预付款，运维满24个月后</w:t>
      </w: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考核</w:t>
      </w:r>
      <w:r>
        <w:rPr>
          <w:rFonts w:hint="eastAsia" w:ascii="宋体" w:hAnsi="宋体" w:cs="宋体"/>
          <w:color w:val="auto"/>
          <w:sz w:val="21"/>
          <w:szCs w:val="21"/>
          <w:highlight w:val="none"/>
          <w:lang w:val="en-US" w:eastAsia="zh-CN"/>
        </w:rPr>
        <w:t>结果</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当</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剩余款项</w:t>
      </w:r>
      <w:r>
        <w:rPr>
          <w:rFonts w:hint="eastAsia" w:ascii="宋体" w:hAnsi="宋体" w:eastAsia="宋体" w:cs="宋体"/>
          <w:color w:val="auto"/>
          <w:sz w:val="21"/>
          <w:szCs w:val="21"/>
          <w:highlight w:val="none"/>
          <w:lang w:val="en-US" w:eastAsia="zh-CN"/>
        </w:rPr>
        <w:t>。</w:t>
      </w:r>
    </w:p>
    <w:p w14:paraId="043DE32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（3）运维满24个月后支付合同第三年计划金额的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0%作为预付款，运维满36个月后</w:t>
      </w: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考核</w:t>
      </w:r>
      <w:r>
        <w:rPr>
          <w:rFonts w:hint="eastAsia" w:ascii="宋体" w:hAnsi="宋体" w:cs="宋体"/>
          <w:color w:val="auto"/>
          <w:sz w:val="21"/>
          <w:szCs w:val="21"/>
          <w:highlight w:val="none"/>
          <w:lang w:val="en-US" w:eastAsia="zh-CN"/>
        </w:rPr>
        <w:t>结果</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当</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剩余款项</w:t>
      </w:r>
      <w:r>
        <w:rPr>
          <w:rFonts w:hint="eastAsia" w:ascii="宋体" w:hAnsi="宋体" w:eastAsia="宋体" w:cs="宋体"/>
          <w:color w:val="auto"/>
          <w:sz w:val="21"/>
          <w:szCs w:val="21"/>
          <w:highlight w:val="none"/>
          <w:lang w:val="en-US" w:eastAsia="zh-CN"/>
        </w:rPr>
        <w:t>。</w:t>
      </w:r>
    </w:p>
    <w:p w14:paraId="68D1AA2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如因考核不达标导致扣款的，相关费用在支付时进行扣除。</w:t>
      </w:r>
    </w:p>
    <w:p w14:paraId="1E9A5399">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注：运维结束后经专家评审讨论通过后支付尾款（如遇特殊情况，双方协商解决）。</w:t>
      </w:r>
    </w:p>
    <w:p w14:paraId="77FCD324">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2、服务期：</w:t>
      </w:r>
    </w:p>
    <w:p w14:paraId="5C622CB7">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highlight w:val="none"/>
          <w:u w:val="single"/>
        </w:rPr>
        <w:t xml:space="preserve">3 </w:t>
      </w:r>
      <w:r>
        <w:rPr>
          <w:rFonts w:hint="eastAsia" w:ascii="宋体" w:hAnsi="宋体" w:eastAsia="宋体" w:cs="宋体"/>
          <w:bCs/>
          <w:color w:val="auto"/>
          <w:highlight w:val="none"/>
        </w:rPr>
        <w:t>年</w:t>
      </w:r>
      <w:r>
        <w:rPr>
          <w:rFonts w:hint="eastAsia" w:ascii="宋体" w:hAnsi="宋体" w:eastAsia="宋体" w:cs="宋体"/>
          <w:bCs/>
          <w:color w:val="auto"/>
          <w:highlight w:val="none"/>
          <w:lang w:eastAsia="zh-CN"/>
        </w:rPr>
        <w:t>，</w:t>
      </w:r>
      <w:r>
        <w:rPr>
          <w:rFonts w:hint="eastAsia" w:ascii="宋体" w:hAnsi="宋体" w:eastAsia="宋体" w:cs="宋体"/>
          <w:color w:val="auto"/>
          <w:sz w:val="21"/>
          <w:szCs w:val="21"/>
          <w:highlight w:val="none"/>
          <w:lang w:val="en-US" w:eastAsia="zh-CN"/>
        </w:rPr>
        <w:t>第二年或第三年财政预算金额未达到原合同金额或者第二年或第三年财政预算未通过的，第二年或第三年合同的约定自动失效。</w:t>
      </w:r>
    </w:p>
    <w:p w14:paraId="5FB972BB">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金清气站运维期限：自合同签订之日起</w:t>
      </w:r>
      <w:r>
        <w:rPr>
          <w:rFonts w:hint="eastAsia" w:hAnsi="宋体" w:cs="宋体"/>
          <w:color w:val="auto"/>
          <w:sz w:val="21"/>
          <w:szCs w:val="21"/>
          <w:highlight w:val="none"/>
          <w:lang w:val="en-US" w:eastAsia="zh-CN"/>
        </w:rPr>
        <w:t>三年</w:t>
      </w:r>
      <w:r>
        <w:rPr>
          <w:rFonts w:hint="eastAsia" w:ascii="宋体" w:hAnsi="宋体" w:eastAsia="宋体" w:cs="宋体"/>
          <w:color w:val="auto"/>
          <w:sz w:val="21"/>
          <w:szCs w:val="21"/>
          <w:highlight w:val="none"/>
          <w:lang w:val="en-US" w:eastAsia="zh-CN"/>
        </w:rPr>
        <w:t>。</w:t>
      </w:r>
    </w:p>
    <w:p w14:paraId="0397BF7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路桥中学站运维期限：</w:t>
      </w:r>
      <w:r>
        <w:rPr>
          <w:rFonts w:hint="eastAsia" w:hAnsi="宋体" w:cs="宋体"/>
          <w:color w:val="auto"/>
          <w:sz w:val="21"/>
          <w:szCs w:val="21"/>
          <w:highlight w:val="none"/>
          <w:lang w:val="en-US" w:eastAsia="zh-CN"/>
        </w:rPr>
        <w:t>三年，自2024年10月1日起至2027年10月1日</w:t>
      </w:r>
      <w:r>
        <w:rPr>
          <w:rFonts w:hint="eastAsia" w:ascii="宋体" w:hAnsi="宋体" w:eastAsia="宋体" w:cs="宋体"/>
          <w:color w:val="auto"/>
          <w:kern w:val="0"/>
          <w:sz w:val="21"/>
          <w:szCs w:val="21"/>
          <w:highlight w:val="none"/>
          <w:lang w:val="en-US" w:eastAsia="zh-CN" w:bidi="ar"/>
        </w:rPr>
        <w:t>（2024年10月1日至交接之日起的运维费用由乙方支付给空档期的运维单位）。</w:t>
      </w:r>
    </w:p>
    <w:p w14:paraId="212E2174">
      <w:pPr>
        <w:keepNext w:val="0"/>
        <w:keepLines w:val="0"/>
        <w:pageBreakBefore w:val="0"/>
        <w:widowControl w:val="0"/>
        <w:kinsoku/>
        <w:wordWrap/>
        <w:overflowPunct/>
        <w:topLinePunct w:val="0"/>
        <w:autoSpaceDE/>
        <w:autoSpaceDN/>
        <w:bidi w:val="0"/>
        <w:snapToGrid/>
        <w:spacing w:line="360" w:lineRule="auto"/>
        <w:ind w:left="0" w:leftChars="0" w:right="0" w:firstLine="420" w:firstLineChars="20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3、配备常用备件，确保本项目的应急使用。</w:t>
      </w:r>
    </w:p>
    <w:p w14:paraId="30A5904B">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、税费</w:t>
      </w:r>
    </w:p>
    <w:p w14:paraId="57717131">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b/>
          <w:color w:val="auto"/>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本合同执行中相关的一切税费均由乙方负担。</w:t>
      </w:r>
    </w:p>
    <w:p w14:paraId="0E24D2D4">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十、质量保证及后续服务</w:t>
      </w:r>
    </w:p>
    <w:p w14:paraId="4256AC9D">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b w:val="0"/>
          <w:bCs/>
          <w:color w:val="auto"/>
          <w:highlight w:val="none"/>
          <w:lang w:val="en-US" w:eastAsia="zh-CN"/>
        </w:rPr>
      </w:pPr>
      <w:r>
        <w:rPr>
          <w:rFonts w:hint="eastAsia" w:ascii="宋体" w:hAnsi="宋体" w:cs="宋体"/>
          <w:b w:val="0"/>
          <w:bCs/>
          <w:color w:val="auto"/>
          <w:highlight w:val="none"/>
          <w:lang w:val="en-US" w:eastAsia="zh-CN"/>
        </w:rPr>
        <w:t>1、</w:t>
      </w:r>
      <w:r>
        <w:rPr>
          <w:rFonts w:hint="eastAsia" w:ascii="宋体" w:hAnsi="宋体" w:eastAsia="宋体" w:cs="宋体"/>
          <w:b w:val="0"/>
          <w:bCs/>
          <w:color w:val="auto"/>
          <w:highlight w:val="none"/>
          <w:lang w:val="en-US" w:eastAsia="zh-CN"/>
        </w:rPr>
        <w:t>符合国家核发技术规范，完成发证任务。</w:t>
      </w:r>
    </w:p>
    <w:p w14:paraId="64B73999">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b w:val="0"/>
          <w:bCs/>
          <w:color w:val="auto"/>
          <w:highlight w:val="none"/>
          <w:lang w:val="en-US" w:eastAsia="zh-CN"/>
        </w:rPr>
      </w:pPr>
      <w:r>
        <w:rPr>
          <w:rFonts w:hint="eastAsia" w:ascii="宋体" w:hAnsi="宋体" w:cs="宋体"/>
          <w:b w:val="0"/>
          <w:bCs/>
          <w:color w:val="auto"/>
          <w:highlight w:val="none"/>
          <w:lang w:val="en-US" w:eastAsia="zh-CN"/>
        </w:rPr>
        <w:t>2、</w:t>
      </w:r>
      <w:r>
        <w:rPr>
          <w:rFonts w:hint="eastAsia" w:ascii="宋体" w:hAnsi="宋体" w:eastAsia="宋体" w:cs="宋体"/>
          <w:b w:val="0"/>
          <w:bCs/>
          <w:color w:val="auto"/>
          <w:highlight w:val="none"/>
          <w:lang w:val="en-US" w:eastAsia="zh-CN"/>
        </w:rPr>
        <w:t>乙方提供的服务成果在服务期限期内发生问题，乙方应负责免费提供后续服务。对达不到要求者，根据实际情况，经双方协商，可按以下办法处理：</w:t>
      </w:r>
    </w:p>
    <w:p w14:paraId="04851549">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⑴重做：由乙方承担所发生的全部费用。</w:t>
      </w:r>
    </w:p>
    <w:p w14:paraId="33586E9D">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⑵贬值处理：由甲乙双方合议定价。</w:t>
      </w:r>
    </w:p>
    <w:p w14:paraId="23BE5DC1">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⑶解除合同。</w:t>
      </w:r>
    </w:p>
    <w:p w14:paraId="18A67B39">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b w:val="0"/>
          <w:bCs/>
          <w:color w:val="auto"/>
          <w:highlight w:val="none"/>
          <w:lang w:val="en-US" w:eastAsia="zh-CN"/>
        </w:rPr>
      </w:pPr>
      <w:r>
        <w:rPr>
          <w:rFonts w:hint="eastAsia" w:ascii="宋体" w:hAnsi="宋体" w:cs="宋体"/>
          <w:b w:val="0"/>
          <w:bCs/>
          <w:color w:val="auto"/>
          <w:highlight w:val="none"/>
          <w:lang w:val="en-US" w:eastAsia="zh-CN"/>
        </w:rPr>
        <w:t>3、</w:t>
      </w:r>
      <w:r>
        <w:rPr>
          <w:rFonts w:hint="eastAsia" w:ascii="宋体" w:hAnsi="宋体" w:eastAsia="宋体" w:cs="宋体"/>
          <w:b w:val="0"/>
          <w:bCs/>
          <w:color w:val="auto"/>
          <w:highlight w:val="none"/>
          <w:lang w:val="en-US" w:eastAsia="zh-CN"/>
        </w:rPr>
        <w:t>如在合同履行过程中发生问题，乙方在接到甲方通知后在2小时内到达甲方现场。</w:t>
      </w:r>
    </w:p>
    <w:p w14:paraId="4B82BEBE">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b w:val="0"/>
          <w:bCs/>
          <w:color w:val="auto"/>
          <w:highlight w:val="none"/>
          <w:lang w:val="en-US" w:eastAsia="zh-CN"/>
        </w:rPr>
      </w:pPr>
      <w:r>
        <w:rPr>
          <w:rFonts w:hint="eastAsia" w:ascii="宋体" w:hAnsi="宋体" w:cs="宋体"/>
          <w:b w:val="0"/>
          <w:bCs/>
          <w:color w:val="auto"/>
          <w:highlight w:val="none"/>
          <w:lang w:val="en-US" w:eastAsia="zh-CN"/>
        </w:rPr>
        <w:t>4、</w:t>
      </w:r>
      <w:r>
        <w:rPr>
          <w:rFonts w:hint="eastAsia" w:ascii="宋体" w:hAnsi="宋体" w:eastAsia="宋体" w:cs="宋体"/>
          <w:b w:val="0"/>
          <w:bCs/>
          <w:color w:val="auto"/>
          <w:highlight w:val="none"/>
          <w:lang w:val="en-US" w:eastAsia="zh-CN"/>
        </w:rPr>
        <w:t>在服务期内，乙方应对出现的质量及安全问题负责处理解决并承担一切费用。</w:t>
      </w:r>
    </w:p>
    <w:p w14:paraId="1851B7BE">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十</w:t>
      </w:r>
      <w:r>
        <w:rPr>
          <w:rFonts w:hint="eastAsia" w:ascii="宋体" w:hAnsi="宋体" w:cs="宋体"/>
          <w:b/>
          <w:color w:val="auto"/>
          <w:highlight w:val="none"/>
          <w:lang w:val="en-US" w:eastAsia="zh-CN"/>
        </w:rPr>
        <w:t>一</w:t>
      </w:r>
      <w:r>
        <w:rPr>
          <w:rFonts w:hint="eastAsia" w:ascii="宋体" w:hAnsi="宋体" w:eastAsia="宋体" w:cs="宋体"/>
          <w:b/>
          <w:color w:val="auto"/>
          <w:highlight w:val="none"/>
        </w:rPr>
        <w:t>、违约责任</w:t>
      </w:r>
    </w:p>
    <w:p w14:paraId="3036E45B">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甲方无正当理由拒收接受服务的，甲方向乙方支付合同款项百分之五作为违约金。</w:t>
      </w:r>
    </w:p>
    <w:p w14:paraId="4ABFA4AF">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甲方无故逾期验收和办理款项支付手续的，甲方应按逾期付款总额向乙方支付每日万分之五违约金。</w:t>
      </w:r>
    </w:p>
    <w:p w14:paraId="28156B85">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3、</w:t>
      </w:r>
      <w:r>
        <w:rPr>
          <w:rFonts w:hint="eastAsia" w:ascii="宋体" w:hAnsi="宋体" w:eastAsia="宋体" w:cs="宋体"/>
          <w:color w:val="auto"/>
          <w:highlight w:val="none"/>
          <w:lang w:val="en-US" w:eastAsia="zh-CN"/>
        </w:rPr>
        <w:t>乙方严格按照招标文件的各项要求，履行中标后的合同，共同承担合同规定的一切义务和责任，对内承担各自所负的责任和风险，并对外承担连带责任。</w:t>
      </w:r>
    </w:p>
    <w:p w14:paraId="20C948FF">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highlight w:val="none"/>
        </w:rPr>
      </w:pPr>
      <w:r>
        <w:rPr>
          <w:rFonts w:hint="eastAsia" w:hAnsi="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乙方逾期提供服务的，乙方应按逾期天数向甲方支付每日万分之五违约金。</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 xml:space="preserve">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36583CAC">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r>
        <w:rPr>
          <w:rFonts w:hint="eastAsia" w:ascii="宋体" w:hAnsi="宋体" w:eastAsia="宋体" w:cs="宋体"/>
          <w:color w:val="auto"/>
          <w:highlight w:val="none"/>
          <w:lang w:val="en-US" w:eastAsia="zh-CN"/>
        </w:rPr>
        <w:t>连续有3次服务质量问题的或发生重大服务质量问题，甲方有权终止合同。</w:t>
      </w:r>
    </w:p>
    <w:p w14:paraId="6756D84D">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6</w:t>
      </w:r>
      <w:r>
        <w:rPr>
          <w:rFonts w:hint="eastAsia" w:ascii="宋体" w:hAnsi="宋体" w:eastAsia="宋体" w:cs="宋体"/>
          <w:color w:val="auto"/>
          <w:highlight w:val="none"/>
          <w:lang w:val="en-US" w:eastAsia="zh-CN"/>
        </w:rPr>
        <w:t>、若发生纠纷，由违约方赔偿守约方因纠纷所支付的费用（包括但不限于律师费、差旅费、诉讼费、保全费、鉴定费、评估费等）</w:t>
      </w:r>
      <w:r>
        <w:rPr>
          <w:rFonts w:hint="eastAsia" w:hAnsi="宋体" w:cs="宋体"/>
          <w:color w:val="auto"/>
          <w:highlight w:val="none"/>
          <w:lang w:val="en-US" w:eastAsia="zh-CN"/>
        </w:rPr>
        <w:t>。</w:t>
      </w:r>
    </w:p>
    <w:p w14:paraId="746AF081">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hAnsi="宋体" w:cs="宋体"/>
          <w:color w:val="auto"/>
          <w:highlight w:val="none"/>
          <w:lang w:val="en-US" w:eastAsia="zh-CN"/>
        </w:rPr>
      </w:pPr>
    </w:p>
    <w:p w14:paraId="1AE97349">
      <w:pPr>
        <w:pStyle w:val="10"/>
        <w:keepNext w:val="0"/>
        <w:keepLines w:val="0"/>
        <w:pageBreakBefore w:val="0"/>
        <w:kinsoku/>
        <w:wordWrap/>
        <w:overflowPunct/>
        <w:topLinePunct w:val="0"/>
        <w:autoSpaceDE/>
        <w:autoSpaceDN/>
        <w:bidi w:val="0"/>
        <w:snapToGrid w:val="0"/>
        <w:spacing w:line="360" w:lineRule="auto"/>
        <w:ind w:left="0" w:firstLine="422" w:firstLineChars="200"/>
        <w:jc w:val="lef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val="en-US" w:eastAsia="zh-CN"/>
        </w:rPr>
        <w:t>十</w:t>
      </w:r>
      <w:r>
        <w:rPr>
          <w:rFonts w:hint="eastAsia" w:hAnsi="宋体" w:cs="宋体"/>
          <w:b/>
          <w:bCs/>
          <w:snapToGrid w:val="0"/>
          <w:color w:val="auto"/>
          <w:sz w:val="21"/>
          <w:szCs w:val="21"/>
          <w:highlight w:val="none"/>
          <w:lang w:val="en-US" w:eastAsia="zh-CN"/>
        </w:rPr>
        <w:t>二</w:t>
      </w:r>
      <w:r>
        <w:rPr>
          <w:rFonts w:hint="eastAsia" w:ascii="宋体" w:hAnsi="宋体" w:eastAsia="宋体" w:cs="宋体"/>
          <w:b/>
          <w:bCs/>
          <w:snapToGrid w:val="0"/>
          <w:color w:val="auto"/>
          <w:sz w:val="21"/>
          <w:szCs w:val="21"/>
          <w:highlight w:val="none"/>
          <w:lang w:val="en-US" w:eastAsia="zh-CN"/>
        </w:rPr>
        <w:t>、</w:t>
      </w:r>
      <w:r>
        <w:rPr>
          <w:rFonts w:hint="eastAsia" w:ascii="宋体" w:hAnsi="宋体" w:eastAsia="宋体" w:cs="宋体"/>
          <w:b/>
          <w:bCs/>
          <w:snapToGrid w:val="0"/>
          <w:color w:val="auto"/>
          <w:sz w:val="21"/>
          <w:szCs w:val="21"/>
          <w:highlight w:val="none"/>
        </w:rPr>
        <w:t>不可抗力事件处理</w:t>
      </w:r>
    </w:p>
    <w:p w14:paraId="200F5743">
      <w:pPr>
        <w:pStyle w:val="10"/>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5D07CD1E">
      <w:pPr>
        <w:pStyle w:val="10"/>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1AD9864E">
      <w:pPr>
        <w:pStyle w:val="10"/>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596B0F4B">
      <w:pPr>
        <w:pStyle w:val="10"/>
        <w:keepNext w:val="0"/>
        <w:keepLines w:val="0"/>
        <w:pageBreakBefore w:val="0"/>
        <w:kinsoku/>
        <w:wordWrap/>
        <w:overflowPunct/>
        <w:topLinePunct w:val="0"/>
        <w:autoSpaceDE/>
        <w:autoSpaceDN/>
        <w:bidi w:val="0"/>
        <w:snapToGrid w:val="0"/>
        <w:spacing w:line="360" w:lineRule="auto"/>
        <w:ind w:left="0" w:firstLine="422" w:firstLineChars="200"/>
        <w:jc w:val="lef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hAnsi="宋体" w:cs="宋体"/>
          <w:b/>
          <w:bCs/>
          <w:snapToGrid w:val="0"/>
          <w:color w:val="auto"/>
          <w:sz w:val="21"/>
          <w:szCs w:val="21"/>
          <w:highlight w:val="none"/>
          <w:lang w:val="en-US" w:eastAsia="zh-CN"/>
        </w:rPr>
        <w:t>三</w:t>
      </w:r>
      <w:r>
        <w:rPr>
          <w:rFonts w:hint="eastAsia" w:ascii="宋体" w:hAnsi="宋体" w:eastAsia="宋体" w:cs="宋体"/>
          <w:b/>
          <w:bCs/>
          <w:snapToGrid w:val="0"/>
          <w:color w:val="auto"/>
          <w:sz w:val="21"/>
          <w:szCs w:val="21"/>
          <w:highlight w:val="none"/>
        </w:rPr>
        <w:t>、诉讼</w:t>
      </w:r>
    </w:p>
    <w:p w14:paraId="17558E00">
      <w:pPr>
        <w:pStyle w:val="10"/>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47A61717">
      <w:pPr>
        <w:pStyle w:val="10"/>
        <w:keepNext w:val="0"/>
        <w:keepLines w:val="0"/>
        <w:pageBreakBefore w:val="0"/>
        <w:kinsoku/>
        <w:wordWrap/>
        <w:overflowPunct/>
        <w:topLinePunct w:val="0"/>
        <w:autoSpaceDE/>
        <w:autoSpaceDN/>
        <w:bidi w:val="0"/>
        <w:snapToGrid w:val="0"/>
        <w:spacing w:line="360" w:lineRule="auto"/>
        <w:ind w:left="0" w:firstLine="422" w:firstLineChars="200"/>
        <w:jc w:val="lef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hAnsi="宋体" w:cs="宋体"/>
          <w:b/>
          <w:bCs/>
          <w:snapToGrid w:val="0"/>
          <w:color w:val="auto"/>
          <w:sz w:val="21"/>
          <w:szCs w:val="21"/>
          <w:highlight w:val="none"/>
          <w:lang w:val="en-US" w:eastAsia="zh-CN"/>
        </w:rPr>
        <w:t>四</w:t>
      </w:r>
      <w:r>
        <w:rPr>
          <w:rFonts w:hint="eastAsia" w:ascii="宋体" w:hAnsi="宋体" w:eastAsia="宋体" w:cs="宋体"/>
          <w:b/>
          <w:bCs/>
          <w:snapToGrid w:val="0"/>
          <w:color w:val="auto"/>
          <w:sz w:val="21"/>
          <w:szCs w:val="21"/>
          <w:highlight w:val="none"/>
        </w:rPr>
        <w:t>、合同生效及其它</w:t>
      </w:r>
    </w:p>
    <w:p w14:paraId="1C15ED18">
      <w:pPr>
        <w:pStyle w:val="10"/>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6F9A17F5">
      <w:pPr>
        <w:pStyle w:val="10"/>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09CC4ACD">
      <w:pPr>
        <w:pStyle w:val="10"/>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17BFF478">
      <w:pPr>
        <w:keepNext w:val="0"/>
        <w:keepLines w:val="0"/>
        <w:pageBreakBefore w:val="0"/>
        <w:widowControl/>
        <w:kinsoku/>
        <w:wordWrap/>
        <w:overflowPunct/>
        <w:topLinePunct w:val="0"/>
        <w:autoSpaceDE/>
        <w:autoSpaceDN/>
        <w:bidi w:val="0"/>
        <w:spacing w:line="360" w:lineRule="auto"/>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、本合同壹式陆份，甲、乙双方、招标代理公司各执贰份。本项目未尽事宜以招标文件、投标文件及澄清文件等为准。</w:t>
      </w:r>
    </w:p>
    <w:p w14:paraId="7EDE857F">
      <w:pPr>
        <w:keepNext w:val="0"/>
        <w:keepLines w:val="0"/>
        <w:pageBreakBefore w:val="0"/>
        <w:widowControl/>
        <w:kinsoku/>
        <w:wordWrap/>
        <w:overflowPunct/>
        <w:topLinePunct w:val="0"/>
        <w:autoSpaceDE/>
        <w:autoSpaceDN/>
        <w:bidi w:val="0"/>
        <w:spacing w:line="360" w:lineRule="auto"/>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、与本合同有关标书及记录同本合同具有同等法律效果。</w:t>
      </w:r>
    </w:p>
    <w:p w14:paraId="0C5C2110">
      <w:pPr>
        <w:widowControl/>
        <w:spacing w:line="360" w:lineRule="auto"/>
        <w:ind w:firstLine="315"/>
        <w:rPr>
          <w:rFonts w:hint="eastAsia" w:ascii="宋体" w:hAnsi="宋体" w:eastAsia="宋体" w:cs="宋体"/>
          <w:color w:val="auto"/>
          <w:kern w:val="0"/>
          <w:sz w:val="21"/>
          <w:szCs w:val="21"/>
          <w:highlight w:val="none"/>
        </w:rPr>
      </w:pPr>
    </w:p>
    <w:p w14:paraId="68298944">
      <w:pPr>
        <w:widowControl/>
        <w:spacing w:line="360" w:lineRule="auto"/>
        <w:ind w:firstLine="315"/>
        <w:rPr>
          <w:rFonts w:hint="eastAsia" w:ascii="宋体" w:hAnsi="宋体" w:eastAsia="宋体" w:cs="宋体"/>
          <w:color w:val="auto"/>
          <w:kern w:val="0"/>
          <w:sz w:val="21"/>
          <w:szCs w:val="21"/>
          <w:highlight w:val="none"/>
        </w:rPr>
      </w:pPr>
    </w:p>
    <w:p w14:paraId="47B9B3FB">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4327FCBA">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p>
    <w:p w14:paraId="28E933A2">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42BFA339">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49ADD871">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4AABD441">
      <w:pPr>
        <w:spacing w:line="500" w:lineRule="exact"/>
        <w:ind w:firstLine="420" w:firstLineChars="200"/>
        <w:textAlignment w:val="baseline"/>
        <w:rPr>
          <w:rFonts w:hint="eastAsia" w:ascii="宋体" w:hAnsi="宋体" w:eastAsia="宋体" w:cs="宋体"/>
          <w:snapToGrid w:val="0"/>
          <w:color w:val="auto"/>
          <w:sz w:val="21"/>
          <w:szCs w:val="21"/>
          <w:highlight w:val="none"/>
        </w:rPr>
      </w:pPr>
    </w:p>
    <w:p w14:paraId="2A9EE340">
      <w:pPr>
        <w:spacing w:line="5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合同</w:t>
      </w:r>
      <w:r>
        <w:rPr>
          <w:rFonts w:hint="eastAsia" w:ascii="宋体" w:hAnsi="宋体" w:eastAsia="宋体" w:cs="宋体"/>
          <w:snapToGrid w:val="0"/>
          <w:color w:val="auto"/>
          <w:sz w:val="21"/>
          <w:szCs w:val="21"/>
          <w:highlight w:val="none"/>
          <w:lang w:val="en-US" w:eastAsia="zh-CN"/>
        </w:rPr>
        <w:t>见</w:t>
      </w:r>
      <w:r>
        <w:rPr>
          <w:rFonts w:hint="eastAsia" w:ascii="宋体" w:hAnsi="宋体" w:eastAsia="宋体" w:cs="宋体"/>
          <w:snapToGrid w:val="0"/>
          <w:color w:val="auto"/>
          <w:sz w:val="21"/>
          <w:szCs w:val="21"/>
          <w:highlight w:val="none"/>
        </w:rPr>
        <w:t>证方：</w:t>
      </w:r>
    </w:p>
    <w:p w14:paraId="539A3FAA">
      <w:pPr>
        <w:spacing w:line="500" w:lineRule="exact"/>
        <w:ind w:firstLine="42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rPr>
        <w:t>签订日期：       年     月     日</w:t>
      </w:r>
    </w:p>
    <w:p w14:paraId="7C5228F0">
      <w:pPr>
        <w:rPr>
          <w:rFonts w:hint="eastAsia" w:ascii="宋体" w:hAnsi="宋体" w:eastAsia="宋体" w:cs="宋体"/>
          <w:color w:val="auto"/>
          <w:sz w:val="24"/>
          <w:szCs w:val="24"/>
          <w:highlight w:val="none"/>
        </w:rPr>
      </w:pPr>
    </w:p>
    <w:p w14:paraId="3E4E73AD">
      <w:pPr>
        <w:spacing w:line="360" w:lineRule="auto"/>
        <w:jc w:val="center"/>
        <w:outlineLvl w:val="0"/>
        <w:rPr>
          <w:rFonts w:hint="eastAsia" w:ascii="宋体" w:hAnsi="宋体" w:eastAsia="宋体" w:cs="宋体"/>
          <w:b/>
          <w:color w:val="auto"/>
          <w:sz w:val="36"/>
          <w:szCs w:val="36"/>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523F9CF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3947B7D3">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5196C4A">
      <w:pPr>
        <w:numPr>
          <w:ilvl w:val="0"/>
          <w:numId w:val="0"/>
        </w:numPr>
        <w:spacing w:line="360" w:lineRule="auto"/>
        <w:jc w:val="both"/>
        <w:rPr>
          <w:rFonts w:hint="eastAsia" w:ascii="宋体" w:hAnsi="宋体" w:eastAsia="宋体" w:cs="宋体"/>
          <w:b/>
          <w:color w:val="auto"/>
          <w:sz w:val="30"/>
          <w:szCs w:val="30"/>
          <w:highlight w:val="none"/>
        </w:rPr>
      </w:pPr>
    </w:p>
    <w:p w14:paraId="56957270">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9AAD96D">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5C1007B4">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0978CB1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F0A298">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357FC09">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ABCC7EF">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822A62F">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21895BC">
      <w:pPr>
        <w:pStyle w:val="50"/>
        <w:rPr>
          <w:rFonts w:hint="eastAsia" w:ascii="宋体" w:hAnsi="宋体" w:eastAsia="宋体" w:cs="宋体"/>
          <w:color w:val="auto"/>
          <w:highlight w:val="none"/>
        </w:rPr>
      </w:pPr>
    </w:p>
    <w:p w14:paraId="52E3E602">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36A67DF7">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391E150A">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54D520C">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4892AF04">
      <w:pPr>
        <w:snapToGrid w:val="0"/>
        <w:spacing w:before="50" w:after="50" w:line="360" w:lineRule="auto"/>
        <w:jc w:val="center"/>
        <w:rPr>
          <w:rFonts w:hint="eastAsia" w:ascii="宋体" w:hAnsi="宋体" w:eastAsia="宋体" w:cs="宋体"/>
          <w:b/>
          <w:bCs/>
          <w:color w:val="auto"/>
          <w:sz w:val="32"/>
          <w:szCs w:val="32"/>
          <w:highlight w:val="none"/>
        </w:rPr>
      </w:pPr>
    </w:p>
    <w:p w14:paraId="729D051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57D85BD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44F8949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5B92E51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6453DAE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color w:val="auto"/>
          <w:sz w:val="28"/>
          <w:highlight w:val="none"/>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投标人认为需要说明的其他材料</w:t>
      </w:r>
    </w:p>
    <w:p w14:paraId="476FF100">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B6F0288">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5BAA4C4B">
      <w:pPr>
        <w:spacing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台州市生态环境局路桥分局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666B6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7DA193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路桥区两个空气自动站（路桥中学站、金清气站）运维服务项目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tzya2024-lq103</w:t>
      </w:r>
      <w:r>
        <w:rPr>
          <w:rFonts w:hint="eastAsia" w:ascii="宋体" w:hAnsi="宋体" w:eastAsia="宋体" w:cs="宋体"/>
          <w:color w:val="auto"/>
          <w:sz w:val="21"/>
          <w:szCs w:val="21"/>
          <w:highlight w:val="none"/>
        </w:rPr>
        <w:t>）的投标，为此，我公司就本次投标有关事项郑重声明如下：</w:t>
      </w:r>
    </w:p>
    <w:p w14:paraId="1F10C33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741AF57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C10FCB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我公司不是采购人的附属机构；在获知本项目采购信息后，与采购人聘请的为此项目提供咨询服务的公司及其附属机构没有任何联系。</w:t>
      </w:r>
    </w:p>
    <w:p w14:paraId="5D91D25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B9CCAF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我公司严格履行采购合同，不降低合同约定的产品质量和服务，不擅自变更、中止、终止合同，或拒绝履行合同义务；</w:t>
      </w:r>
    </w:p>
    <w:p w14:paraId="014CAD8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我公司承诺（若代理服务费由中标单位支付）：如在本项目中标，我公司在中标公告发布之日起5个工作日内按采购文件约定支付代理服务费。</w:t>
      </w:r>
    </w:p>
    <w:p w14:paraId="03348B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 w:val="21"/>
          <w:szCs w:val="21"/>
          <w:highlight w:val="none"/>
        </w:rPr>
        <w:t>。</w:t>
      </w:r>
    </w:p>
    <w:p w14:paraId="3E67E192">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506CC37C">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2A5491ED">
      <w:pPr>
        <w:spacing w:line="360" w:lineRule="auto"/>
        <w:ind w:firstLine="3360" w:firstLineChars="16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2C9C1348">
      <w:pPr>
        <w:adjustRightInd w:val="0"/>
        <w:snapToGrid w:val="0"/>
        <w:spacing w:line="360" w:lineRule="auto"/>
        <w:ind w:right="480"/>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A78EFCE">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4C2758C2">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765423F4">
      <w:pPr>
        <w:pStyle w:val="10"/>
        <w:spacing w:line="360" w:lineRule="auto"/>
        <w:ind w:left="240" w:hanging="210" w:hangingChars="100"/>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台州市生态环境局路桥分局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14:paraId="3FC1035D">
      <w:pPr>
        <w:pStyle w:val="10"/>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路桥区两个空气自动站（路桥中学站、金清气站）运维服务项目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1EC2D15B">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DDAF8B7">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6231BBFA">
      <w:pPr>
        <w:spacing w:line="360" w:lineRule="auto"/>
        <w:rPr>
          <w:rFonts w:hint="eastAsia" w:ascii="宋体" w:hAnsi="宋体" w:eastAsia="宋体" w:cs="宋体"/>
          <w:color w:val="auto"/>
          <w:sz w:val="21"/>
          <w:szCs w:val="21"/>
          <w:highlight w:val="none"/>
        </w:rPr>
      </w:pPr>
    </w:p>
    <w:p w14:paraId="48A2C5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18624B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2A8CB3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92BF626">
      <w:pPr>
        <w:spacing w:line="360" w:lineRule="auto"/>
        <w:rPr>
          <w:rFonts w:hint="eastAsia" w:ascii="宋体" w:hAnsi="宋体" w:eastAsia="宋体" w:cs="宋体"/>
          <w:color w:val="auto"/>
          <w:sz w:val="24"/>
          <w:highlight w:val="none"/>
        </w:rPr>
      </w:pPr>
    </w:p>
    <w:p w14:paraId="3BDCAF9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208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2625668">
            <w:pPr>
              <w:spacing w:line="360" w:lineRule="auto"/>
              <w:rPr>
                <w:rFonts w:hint="eastAsia" w:ascii="宋体" w:hAnsi="宋体" w:eastAsia="宋体" w:cs="宋体"/>
                <w:b/>
                <w:color w:val="auto"/>
                <w:sz w:val="24"/>
                <w:highlight w:val="none"/>
              </w:rPr>
            </w:pPr>
          </w:p>
          <w:p w14:paraId="5F5F9C05">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14:paraId="101664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6DE98D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43A82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333A1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0AFC10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A0F19">
      <w:pPr>
        <w:spacing w:line="360" w:lineRule="auto"/>
        <w:rPr>
          <w:rFonts w:hint="eastAsia" w:ascii="宋体" w:hAnsi="宋体" w:eastAsia="宋体" w:cs="宋体"/>
          <w:b/>
          <w:color w:val="auto"/>
          <w:sz w:val="21"/>
          <w:szCs w:val="21"/>
          <w:highlight w:val="none"/>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997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F2EDBDA">
            <w:pPr>
              <w:spacing w:line="360" w:lineRule="auto"/>
              <w:rPr>
                <w:rFonts w:hint="eastAsia" w:ascii="宋体" w:hAnsi="宋体" w:eastAsia="宋体" w:cs="宋体"/>
                <w:b/>
                <w:color w:val="auto"/>
                <w:sz w:val="21"/>
                <w:szCs w:val="21"/>
                <w:highlight w:val="none"/>
              </w:rPr>
            </w:pPr>
          </w:p>
          <w:p w14:paraId="3990A53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14:paraId="5BD18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2A4C3D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16ACB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D0C0B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76EDA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706E27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25E82A6E">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3CAAD7DB">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407381EA">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7B0F9AD4">
      <w:pPr>
        <w:pStyle w:val="2"/>
        <w:spacing w:before="5"/>
        <w:rPr>
          <w:rFonts w:hint="eastAsia" w:ascii="宋体" w:hAnsi="宋体" w:eastAsia="宋体" w:cs="宋体"/>
          <w:b/>
          <w:color w:val="auto"/>
          <w:sz w:val="18"/>
          <w:szCs w:val="18"/>
          <w:highlight w:val="none"/>
        </w:rPr>
      </w:pPr>
    </w:p>
    <w:p w14:paraId="1C5F3477">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0D099591">
      <w:pPr>
        <w:pStyle w:val="2"/>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7538B84">
      <w:pPr>
        <w:pStyle w:val="2"/>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12F1765">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FF37C78">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A607785">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1EB582A">
      <w:pPr>
        <w:pStyle w:val="2"/>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E8311D8">
      <w:pPr>
        <w:pStyle w:val="2"/>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721710E5">
      <w:pPr>
        <w:pStyle w:val="2"/>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558AA9CA">
      <w:pPr>
        <w:pStyle w:val="2"/>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17F867FD">
      <w:pPr>
        <w:pStyle w:val="10"/>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8CB36E8">
      <w:pPr>
        <w:pStyle w:val="48"/>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B05E114">
      <w:pPr>
        <w:pStyle w:val="10"/>
        <w:spacing w:line="360" w:lineRule="auto"/>
        <w:jc w:val="center"/>
        <w:outlineLvl w:val="9"/>
        <w:rPr>
          <w:rFonts w:hint="eastAsia" w:ascii="宋体" w:hAnsi="宋体" w:eastAsia="宋体" w:cs="宋体"/>
          <w:b/>
          <w:color w:val="auto"/>
          <w:sz w:val="32"/>
          <w:szCs w:val="32"/>
          <w:highlight w:val="none"/>
          <w:lang w:val="en-GB"/>
        </w:rPr>
      </w:pPr>
    </w:p>
    <w:p w14:paraId="4BB16F56">
      <w:pPr>
        <w:pStyle w:val="10"/>
        <w:spacing w:line="360" w:lineRule="auto"/>
        <w:jc w:val="center"/>
        <w:outlineLvl w:val="9"/>
        <w:rPr>
          <w:rFonts w:hint="eastAsia" w:ascii="宋体" w:hAnsi="宋体" w:eastAsia="宋体" w:cs="宋体"/>
          <w:b/>
          <w:color w:val="auto"/>
          <w:sz w:val="32"/>
          <w:szCs w:val="32"/>
          <w:highlight w:val="none"/>
          <w:lang w:val="en-GB"/>
        </w:rPr>
      </w:pPr>
    </w:p>
    <w:p w14:paraId="49ADBE6D">
      <w:pPr>
        <w:pStyle w:val="1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C7D5649">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A38A540">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D4CAB80">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244149BE">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609404B1">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2173F73C">
      <w:pPr>
        <w:tabs>
          <w:tab w:val="left" w:pos="4860"/>
        </w:tabs>
        <w:spacing w:line="360" w:lineRule="auto"/>
        <w:ind w:right="1560" w:firstLine="444"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47704EE8">
      <w:pPr>
        <w:pStyle w:val="48"/>
        <w:spacing w:line="360" w:lineRule="auto"/>
        <w:rPr>
          <w:rFonts w:hint="eastAsia" w:ascii="宋体" w:hAnsi="宋体" w:eastAsia="宋体" w:cs="宋体"/>
          <w:b/>
          <w:color w:val="auto"/>
          <w:sz w:val="28"/>
          <w:szCs w:val="28"/>
          <w:highlight w:val="none"/>
        </w:rPr>
      </w:pPr>
    </w:p>
    <w:p w14:paraId="23B11885">
      <w:pPr>
        <w:pStyle w:val="48"/>
        <w:spacing w:line="360" w:lineRule="auto"/>
        <w:rPr>
          <w:rFonts w:hint="eastAsia" w:ascii="宋体" w:hAnsi="宋体" w:eastAsia="宋体" w:cs="宋体"/>
          <w:b/>
          <w:color w:val="auto"/>
          <w:sz w:val="28"/>
          <w:szCs w:val="28"/>
          <w:highlight w:val="none"/>
        </w:rPr>
      </w:pPr>
    </w:p>
    <w:p w14:paraId="21177F72">
      <w:pPr>
        <w:pStyle w:val="48"/>
        <w:spacing w:line="360" w:lineRule="auto"/>
        <w:rPr>
          <w:rFonts w:hint="eastAsia" w:ascii="宋体" w:hAnsi="宋体" w:eastAsia="宋体" w:cs="宋体"/>
          <w:b/>
          <w:color w:val="auto"/>
          <w:sz w:val="28"/>
          <w:szCs w:val="28"/>
          <w:highlight w:val="none"/>
        </w:rPr>
      </w:pPr>
    </w:p>
    <w:p w14:paraId="2131F873">
      <w:pPr>
        <w:pStyle w:val="48"/>
        <w:spacing w:line="360" w:lineRule="auto"/>
        <w:rPr>
          <w:rFonts w:hint="eastAsia" w:ascii="宋体" w:hAnsi="宋体" w:eastAsia="宋体" w:cs="宋体"/>
          <w:b/>
          <w:color w:val="auto"/>
          <w:sz w:val="28"/>
          <w:szCs w:val="28"/>
          <w:highlight w:val="none"/>
        </w:rPr>
      </w:pPr>
    </w:p>
    <w:p w14:paraId="17D28319">
      <w:pPr>
        <w:pStyle w:val="48"/>
        <w:spacing w:line="360" w:lineRule="auto"/>
        <w:rPr>
          <w:rFonts w:hint="eastAsia" w:ascii="宋体" w:hAnsi="宋体" w:eastAsia="宋体" w:cs="宋体"/>
          <w:b/>
          <w:color w:val="auto"/>
          <w:sz w:val="28"/>
          <w:szCs w:val="28"/>
          <w:highlight w:val="none"/>
        </w:rPr>
      </w:pPr>
    </w:p>
    <w:p w14:paraId="6DA1DA2C">
      <w:pPr>
        <w:pStyle w:val="48"/>
        <w:spacing w:line="360" w:lineRule="auto"/>
        <w:rPr>
          <w:rFonts w:hint="eastAsia" w:ascii="宋体" w:hAnsi="宋体" w:eastAsia="宋体" w:cs="宋体"/>
          <w:b/>
          <w:color w:val="auto"/>
          <w:sz w:val="28"/>
          <w:szCs w:val="28"/>
          <w:highlight w:val="none"/>
        </w:rPr>
      </w:pPr>
    </w:p>
    <w:p w14:paraId="3E5A8E70">
      <w:pPr>
        <w:pStyle w:val="48"/>
        <w:spacing w:line="360" w:lineRule="auto"/>
        <w:rPr>
          <w:rFonts w:hint="eastAsia" w:ascii="宋体" w:hAnsi="宋体" w:eastAsia="宋体" w:cs="宋体"/>
          <w:b/>
          <w:color w:val="auto"/>
          <w:sz w:val="28"/>
          <w:szCs w:val="28"/>
          <w:highlight w:val="none"/>
        </w:rPr>
      </w:pPr>
    </w:p>
    <w:p w14:paraId="40A304A4">
      <w:pPr>
        <w:pStyle w:val="48"/>
        <w:spacing w:line="360" w:lineRule="auto"/>
        <w:rPr>
          <w:rFonts w:hint="eastAsia" w:ascii="宋体" w:hAnsi="宋体" w:eastAsia="宋体" w:cs="宋体"/>
          <w:b/>
          <w:color w:val="auto"/>
          <w:sz w:val="28"/>
          <w:szCs w:val="28"/>
          <w:highlight w:val="none"/>
        </w:rPr>
      </w:pPr>
    </w:p>
    <w:p w14:paraId="266432AE">
      <w:pPr>
        <w:pStyle w:val="48"/>
        <w:spacing w:line="360" w:lineRule="auto"/>
        <w:rPr>
          <w:rFonts w:hint="eastAsia" w:ascii="宋体" w:hAnsi="宋体" w:eastAsia="宋体" w:cs="宋体"/>
          <w:b/>
          <w:color w:val="auto"/>
          <w:sz w:val="28"/>
          <w:szCs w:val="28"/>
          <w:highlight w:val="none"/>
        </w:rPr>
      </w:pPr>
    </w:p>
    <w:p w14:paraId="311F0E83">
      <w:pPr>
        <w:pStyle w:val="48"/>
        <w:spacing w:line="360" w:lineRule="auto"/>
        <w:rPr>
          <w:rFonts w:hint="eastAsia" w:ascii="宋体" w:hAnsi="宋体" w:eastAsia="宋体" w:cs="宋体"/>
          <w:b/>
          <w:color w:val="auto"/>
          <w:sz w:val="28"/>
          <w:szCs w:val="28"/>
          <w:highlight w:val="none"/>
        </w:rPr>
      </w:pPr>
    </w:p>
    <w:p w14:paraId="4446D5ED">
      <w:pPr>
        <w:pStyle w:val="2"/>
        <w:jc w:val="both"/>
        <w:rPr>
          <w:rFonts w:hint="eastAsia" w:ascii="宋体" w:hAnsi="宋体" w:eastAsia="宋体" w:cs="宋体"/>
          <w:color w:val="auto"/>
          <w:highlight w:val="none"/>
        </w:rPr>
      </w:pPr>
    </w:p>
    <w:p w14:paraId="48F718B1">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762C99F1">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BC2E222">
      <w:pPr>
        <w:pStyle w:val="53"/>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22D5541">
      <w:pPr>
        <w:pStyle w:val="53"/>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路桥区两个空气自动站（路桥中学站、金清气站）运维服务项目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tzya2024-lq103</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6E9614E">
      <w:pPr>
        <w:pStyle w:val="50"/>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08E514">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ED11E35">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EE84461">
      <w:pPr>
        <w:pStyle w:val="50"/>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A48A1E">
      <w:pPr>
        <w:pStyle w:val="53"/>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0248CD0">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0822FE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7609569">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41613F0">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78F09AE">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788CDD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C18BF9D">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844216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E554D52">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7F6EF2FB">
      <w:pPr>
        <w:pStyle w:val="50"/>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5E23895">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4DE78985">
      <w:pPr>
        <w:pStyle w:val="5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F3D3290">
      <w:pPr>
        <w:pStyle w:val="53"/>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7EBF0F72">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15EECFDD">
      <w:pPr>
        <w:spacing w:line="360" w:lineRule="auto"/>
        <w:ind w:right="-110"/>
        <w:jc w:val="both"/>
        <w:outlineLvl w:val="9"/>
        <w:rPr>
          <w:rFonts w:hint="eastAsia" w:ascii="宋体" w:hAnsi="宋体" w:eastAsia="宋体" w:cs="宋体"/>
          <w:b/>
          <w:color w:val="auto"/>
          <w:sz w:val="28"/>
          <w:highlight w:val="none"/>
        </w:rPr>
      </w:pPr>
    </w:p>
    <w:p w14:paraId="31BB4180">
      <w:pPr>
        <w:spacing w:line="360" w:lineRule="auto"/>
        <w:ind w:right="-110"/>
        <w:jc w:val="both"/>
        <w:outlineLvl w:val="9"/>
        <w:rPr>
          <w:rFonts w:hint="eastAsia" w:ascii="宋体" w:hAnsi="宋体" w:eastAsia="宋体" w:cs="宋体"/>
          <w:b/>
          <w:color w:val="auto"/>
          <w:sz w:val="28"/>
          <w:highlight w:val="none"/>
        </w:rPr>
      </w:pPr>
    </w:p>
    <w:p w14:paraId="249A1FDE">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4CCEB0A">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3652408">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737D254">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109861AC">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60D44A3B">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ADD8D17">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EEA4F91">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0187DEF5">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5B75B5C">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71CE9F5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803599B">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554AFA4E">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6FA10550">
      <w:pPr>
        <w:spacing w:line="360" w:lineRule="auto"/>
        <w:ind w:right="532" w:firstLine="720" w:firstLineChars="200"/>
        <w:rPr>
          <w:rFonts w:hint="eastAsia" w:ascii="宋体" w:hAnsi="宋体" w:eastAsia="宋体" w:cs="宋体"/>
          <w:color w:val="auto"/>
          <w:sz w:val="36"/>
          <w:szCs w:val="36"/>
          <w:highlight w:val="none"/>
        </w:rPr>
      </w:pPr>
    </w:p>
    <w:p w14:paraId="3265CE21">
      <w:pPr>
        <w:snapToGrid w:val="0"/>
        <w:spacing w:before="50" w:after="50" w:line="360" w:lineRule="auto"/>
        <w:jc w:val="center"/>
        <w:rPr>
          <w:rFonts w:hint="eastAsia" w:ascii="宋体" w:hAnsi="宋体" w:eastAsia="宋体" w:cs="宋体"/>
          <w:b/>
          <w:bCs/>
          <w:color w:val="auto"/>
          <w:sz w:val="32"/>
          <w:szCs w:val="32"/>
          <w:highlight w:val="none"/>
          <w:lang w:val="zh-CN"/>
        </w:rPr>
      </w:pPr>
    </w:p>
    <w:p w14:paraId="4D2D9645">
      <w:pPr>
        <w:snapToGrid w:val="0"/>
        <w:spacing w:before="50" w:after="50" w:line="360" w:lineRule="auto"/>
        <w:jc w:val="both"/>
        <w:rPr>
          <w:rFonts w:hint="eastAsia" w:ascii="宋体" w:hAnsi="宋体" w:eastAsia="宋体" w:cs="宋体"/>
          <w:b/>
          <w:bCs/>
          <w:color w:val="auto"/>
          <w:sz w:val="32"/>
          <w:szCs w:val="32"/>
          <w:highlight w:val="none"/>
          <w:lang w:val="zh-CN"/>
        </w:rPr>
      </w:pPr>
    </w:p>
    <w:p w14:paraId="546C1323">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7F6A6550">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238C8D4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7A1E4806">
      <w:pPr>
        <w:keepNext w:val="0"/>
        <w:keepLines w:val="0"/>
        <w:pageBreakBefore w:val="0"/>
        <w:numPr>
          <w:ilvl w:val="0"/>
          <w:numId w:val="3"/>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28D4585D">
      <w:pPr>
        <w:pStyle w:val="2"/>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p>
    <w:p w14:paraId="4737AFC6">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712209AB">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p>
    <w:p w14:paraId="2166AFC2">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p>
    <w:p w14:paraId="67B7F5FA">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3、项目组织实施方案； </w:t>
      </w:r>
    </w:p>
    <w:p w14:paraId="39B7D2F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p>
    <w:p w14:paraId="1EDA64B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5、项目负责人资格情况表(附件</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p>
    <w:p w14:paraId="6D035364">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7298A61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7F346867">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p>
    <w:p w14:paraId="4EAA0C5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23A21D6A">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2CFD436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bookmarkStart w:id="1" w:name="_GoBack"/>
      <w:bookmarkEnd w:id="1"/>
    </w:p>
    <w:p w14:paraId="73B5848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p>
    <w:p w14:paraId="3404A30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p>
    <w:p w14:paraId="56AC5B4D">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w:t>
      </w:r>
      <w:r>
        <w:rPr>
          <w:rFonts w:hint="eastAsia" w:ascii="宋体" w:hAnsi="宋体" w:cs="宋体"/>
          <w:color w:val="auto"/>
          <w:szCs w:val="21"/>
          <w:highlight w:val="none"/>
          <w:lang w:val="en-US" w:eastAsia="zh-CN"/>
        </w:rPr>
        <w:t>可视情况选填</w:t>
      </w:r>
      <w:r>
        <w:rPr>
          <w:rFonts w:hint="eastAsia" w:ascii="宋体" w:hAnsi="宋体" w:eastAsia="宋体" w:cs="宋体"/>
          <w:color w:val="auto"/>
          <w:szCs w:val="21"/>
          <w:highlight w:val="none"/>
        </w:rPr>
        <w:t>附件1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p>
    <w:p w14:paraId="190D8F7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104426A4">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17438B3C">
      <w:pPr>
        <w:pStyle w:val="38"/>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49B6215A">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评标索引：自评表</w:t>
      </w:r>
    </w:p>
    <w:tbl>
      <w:tblPr>
        <w:tblStyle w:val="21"/>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03"/>
        <w:gridCol w:w="6423"/>
        <w:gridCol w:w="606"/>
        <w:gridCol w:w="606"/>
        <w:gridCol w:w="606"/>
      </w:tblGrid>
      <w:tr w14:paraId="5375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009" w:type="dxa"/>
            <w:gridSpan w:val="2"/>
            <w:vAlign w:val="center"/>
          </w:tcPr>
          <w:p w14:paraId="24A4F039">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评分项目</w:t>
            </w:r>
          </w:p>
        </w:tc>
        <w:tc>
          <w:tcPr>
            <w:tcW w:w="6423" w:type="dxa"/>
            <w:vAlign w:val="center"/>
          </w:tcPr>
          <w:p w14:paraId="758CB9E8">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评分</w:t>
            </w:r>
            <w:r>
              <w:rPr>
                <w:rFonts w:hint="eastAsia" w:ascii="宋体" w:hAnsi="宋体" w:eastAsia="宋体" w:cs="宋体"/>
                <w:b/>
                <w:bCs/>
                <w:color w:val="auto"/>
                <w:sz w:val="21"/>
                <w:szCs w:val="21"/>
                <w:highlight w:val="none"/>
                <w:lang w:val="en-US" w:eastAsia="zh-CN"/>
              </w:rPr>
              <w:t>内容</w:t>
            </w:r>
          </w:p>
        </w:tc>
        <w:tc>
          <w:tcPr>
            <w:tcW w:w="606" w:type="dxa"/>
            <w:vAlign w:val="center"/>
          </w:tcPr>
          <w:p w14:paraId="63A04F02">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06" w:type="dxa"/>
            <w:vAlign w:val="center"/>
          </w:tcPr>
          <w:p w14:paraId="50F89343">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06" w:type="dxa"/>
            <w:vAlign w:val="center"/>
          </w:tcPr>
          <w:p w14:paraId="3E091515">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2061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restart"/>
            <w:vAlign w:val="center"/>
          </w:tcPr>
          <w:p w14:paraId="1F83E5B7">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5D98EBFB">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103" w:type="dxa"/>
            <w:shd w:val="clear" w:color="auto" w:fill="auto"/>
            <w:vAlign w:val="center"/>
          </w:tcPr>
          <w:p w14:paraId="08E13D2C">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企业能力</w:t>
            </w:r>
          </w:p>
        </w:tc>
        <w:tc>
          <w:tcPr>
            <w:tcW w:w="6423" w:type="dxa"/>
            <w:shd w:val="clear" w:color="auto" w:fill="auto"/>
            <w:vAlign w:val="top"/>
          </w:tcPr>
          <w:p w14:paraId="3BDF1E8A">
            <w:pPr>
              <w:pStyle w:val="7"/>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投标人具有有效期内的</w:t>
            </w:r>
            <w:r>
              <w:rPr>
                <w:rFonts w:hint="eastAsia" w:ascii="宋体" w:hAnsi="宋体" w:eastAsia="宋体" w:cs="宋体"/>
                <w:color w:val="auto"/>
                <w:kern w:val="2"/>
                <w:sz w:val="21"/>
                <w:szCs w:val="21"/>
                <w:highlight w:val="none"/>
                <w:lang w:val="en-US" w:eastAsia="zh-CN"/>
              </w:rPr>
              <w:t>质量管理体系认证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rPr>
              <w:t>环境管理体系认证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rPr>
              <w:t>职业健康安全管理体系认证</w:t>
            </w:r>
            <w:r>
              <w:rPr>
                <w:rFonts w:hint="eastAsia" w:ascii="宋体" w:hAnsi="宋体" w:eastAsia="宋体" w:cs="宋体"/>
                <w:color w:val="auto"/>
                <w:sz w:val="21"/>
                <w:szCs w:val="21"/>
                <w:highlight w:val="none"/>
                <w:lang w:val="en-US" w:eastAsia="zh-CN"/>
              </w:rPr>
              <w:t>的，每具备1个得1分，本项最高得3分。</w:t>
            </w:r>
          </w:p>
          <w:p w14:paraId="5A0731E5">
            <w:pPr>
              <w:keepNext w:val="0"/>
              <w:keepLines w:val="0"/>
              <w:pageBreakBefore w:val="0"/>
              <w:kinsoku/>
              <w:wordWrap/>
              <w:overflowPunct/>
              <w:topLinePunct w:val="0"/>
              <w:autoSpaceDE w:val="0"/>
              <w:autoSpaceDN w:val="0"/>
              <w:bidi w:val="0"/>
              <w:adjustRightInd w:val="0"/>
              <w:spacing w:line="240" w:lineRule="auto"/>
              <w:ind w:left="0" w:leftChars="0"/>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bCs/>
                <w:color w:val="auto"/>
                <w:sz w:val="21"/>
                <w:szCs w:val="21"/>
                <w:highlight w:val="none"/>
              </w:rPr>
              <w:t>（须提供</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证书扫描件及中国国家认证认可监督管理委员会官网公示信息的截图</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并加盖投标人公章编入投标文件中，未提供的不得分）</w:t>
            </w:r>
          </w:p>
        </w:tc>
        <w:tc>
          <w:tcPr>
            <w:tcW w:w="606" w:type="dxa"/>
            <w:shd w:val="clear" w:color="auto" w:fill="auto"/>
            <w:vAlign w:val="center"/>
          </w:tcPr>
          <w:p w14:paraId="7F0854F5">
            <w:pPr>
              <w:keepNext w:val="0"/>
              <w:keepLines w:val="0"/>
              <w:pageBreakBefore w:val="0"/>
              <w:kinsoku/>
              <w:wordWrap/>
              <w:overflowPunct/>
              <w:topLinePunct w:val="0"/>
              <w:autoSpaceDE w:val="0"/>
              <w:autoSpaceDN w:val="0"/>
              <w:bidi w:val="0"/>
              <w:adjustRightInd w:val="0"/>
              <w:spacing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3</w:t>
            </w:r>
          </w:p>
        </w:tc>
        <w:tc>
          <w:tcPr>
            <w:tcW w:w="606" w:type="dxa"/>
            <w:shd w:val="clear" w:color="auto" w:fill="auto"/>
            <w:vAlign w:val="center"/>
          </w:tcPr>
          <w:p w14:paraId="360E3279">
            <w:pPr>
              <w:keepNext w:val="0"/>
              <w:keepLines w:val="0"/>
              <w:pageBreakBefore w:val="0"/>
              <w:kinsoku/>
              <w:wordWrap/>
              <w:overflowPunct/>
              <w:topLinePunct w:val="0"/>
              <w:autoSpaceDE w:val="0"/>
              <w:autoSpaceDN w:val="0"/>
              <w:bidi w:val="0"/>
              <w:adjustRightIn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06" w:type="dxa"/>
            <w:shd w:val="clear" w:color="auto" w:fill="auto"/>
            <w:vAlign w:val="center"/>
          </w:tcPr>
          <w:p w14:paraId="39B80516">
            <w:pPr>
              <w:keepNext w:val="0"/>
              <w:keepLines w:val="0"/>
              <w:pageBreakBefore w:val="0"/>
              <w:kinsoku/>
              <w:wordWrap/>
              <w:overflowPunct/>
              <w:topLinePunct w:val="0"/>
              <w:autoSpaceDE w:val="0"/>
              <w:autoSpaceDN w:val="0"/>
              <w:bidi w:val="0"/>
              <w:adjustRightIn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r>
      <w:tr w14:paraId="4BC3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5BC14E9B">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color w:val="auto"/>
                <w:sz w:val="21"/>
                <w:szCs w:val="21"/>
                <w:highlight w:val="none"/>
                <w:lang w:eastAsia="zh-CN"/>
              </w:rPr>
            </w:pPr>
          </w:p>
        </w:tc>
        <w:tc>
          <w:tcPr>
            <w:tcW w:w="1103" w:type="dxa"/>
            <w:shd w:val="clear" w:color="auto" w:fill="auto"/>
            <w:vAlign w:val="center"/>
          </w:tcPr>
          <w:p w14:paraId="7C54D26E">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承接经验</w:t>
            </w:r>
          </w:p>
        </w:tc>
        <w:tc>
          <w:tcPr>
            <w:tcW w:w="6423" w:type="dxa"/>
            <w:shd w:val="clear" w:color="auto" w:fill="auto"/>
            <w:vAlign w:val="center"/>
          </w:tcPr>
          <w:p w14:paraId="6C55736F">
            <w:pPr>
              <w:keepNext w:val="0"/>
              <w:keepLines w:val="0"/>
              <w:pageBreakBefore w:val="0"/>
              <w:kinsoku/>
              <w:wordWrap/>
              <w:overflowPunct/>
              <w:topLinePunct w:val="0"/>
              <w:autoSpaceDE w:val="0"/>
              <w:autoSpaceDN w:val="0"/>
              <w:bidi w:val="0"/>
              <w:adjustRightInd w:val="0"/>
              <w:spacing w:line="240" w:lineRule="auto"/>
              <w:ind w:left="0"/>
              <w:jc w:val="left"/>
              <w:textAlignment w:val="auto"/>
              <w:rPr>
                <w:rFonts w:hint="eastAsia" w:ascii="宋体" w:hAnsi="宋体" w:eastAsia="宋体" w:cs="宋体"/>
                <w:b/>
                <w:bCs/>
                <w:color w:val="auto"/>
                <w:sz w:val="21"/>
                <w:szCs w:val="21"/>
                <w:highlight w:val="none"/>
                <w:lang w:val="zh-CN" w:eastAsia="zh-CN"/>
              </w:rPr>
            </w:pPr>
            <w:r>
              <w:rPr>
                <w:rFonts w:hint="eastAsia" w:ascii="宋体" w:hAnsi="宋体" w:eastAsia="宋体" w:cs="宋体"/>
                <w:color w:val="auto"/>
                <w:kern w:val="2"/>
                <w:sz w:val="21"/>
                <w:szCs w:val="21"/>
                <w:highlight w:val="none"/>
                <w:lang w:val="en-US" w:eastAsia="zh-CN"/>
              </w:rPr>
              <w:t>投标人提供自2021年1月1日以来(以合同签订时间为准)，承接的环境空气自动站（合同中须包含PM10、PM2.5、NO2、SO2、CO、O3分析仪器）运维的同类案例，每提供一个合同业绩得</w:t>
            </w:r>
            <w:r>
              <w:rPr>
                <w:rFonts w:hint="eastAsia" w:ascii="宋体" w:hAnsi="宋体" w:cs="宋体"/>
                <w:color w:val="auto"/>
                <w:kern w:val="2"/>
                <w:sz w:val="21"/>
                <w:szCs w:val="21"/>
                <w:highlight w:val="none"/>
                <w:lang w:val="en-US" w:eastAsia="zh-CN"/>
              </w:rPr>
              <w:t>0.25</w:t>
            </w:r>
            <w:r>
              <w:rPr>
                <w:rFonts w:hint="eastAsia" w:ascii="宋体" w:hAnsi="宋体" w:eastAsia="宋体" w:cs="宋体"/>
                <w:color w:val="auto"/>
                <w:kern w:val="2"/>
                <w:sz w:val="21"/>
                <w:szCs w:val="21"/>
                <w:highlight w:val="none"/>
                <w:lang w:val="en-US" w:eastAsia="zh-CN"/>
              </w:rPr>
              <w:t>分，最高得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w:t>
            </w:r>
          </w:p>
          <w:p w14:paraId="3E1F6E78">
            <w:pPr>
              <w:keepNext w:val="0"/>
              <w:keepLines w:val="0"/>
              <w:pageBreakBefore w:val="0"/>
              <w:kinsoku/>
              <w:wordWrap/>
              <w:overflowPunct/>
              <w:topLinePunct w:val="0"/>
              <w:autoSpaceDE w:val="0"/>
              <w:autoSpaceDN w:val="0"/>
              <w:bidi w:val="0"/>
              <w:adjustRightInd w:val="0"/>
              <w:spacing w:line="240" w:lineRule="auto"/>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val="zh-CN" w:eastAsia="zh-CN"/>
              </w:rPr>
              <w:t>提供</w:t>
            </w:r>
            <w:r>
              <w:rPr>
                <w:rFonts w:hint="eastAsia" w:ascii="宋体" w:hAnsi="宋体" w:eastAsia="宋体" w:cs="宋体"/>
                <w:b/>
                <w:bCs/>
                <w:color w:val="auto"/>
                <w:sz w:val="21"/>
                <w:szCs w:val="21"/>
                <w:highlight w:val="none"/>
                <w:lang w:val="en-US" w:eastAsia="zh-CN"/>
              </w:rPr>
              <w:t>合同扫描件并</w:t>
            </w:r>
            <w:r>
              <w:rPr>
                <w:rFonts w:hint="eastAsia" w:ascii="宋体" w:hAnsi="宋体" w:eastAsia="宋体" w:cs="宋体"/>
                <w:b/>
                <w:bCs/>
                <w:color w:val="auto"/>
                <w:sz w:val="21"/>
                <w:szCs w:val="21"/>
                <w:highlight w:val="none"/>
                <w:lang w:val="zh-CN" w:eastAsia="zh-CN"/>
              </w:rPr>
              <w:t>加盖投标人公章</w:t>
            </w:r>
            <w:r>
              <w:rPr>
                <w:rFonts w:hint="eastAsia" w:ascii="宋体" w:hAnsi="宋体" w:eastAsia="宋体" w:cs="宋体"/>
                <w:b/>
                <w:bCs/>
                <w:color w:val="auto"/>
                <w:sz w:val="21"/>
                <w:szCs w:val="21"/>
                <w:highlight w:val="none"/>
                <w:lang w:val="en-US" w:eastAsia="zh-CN"/>
              </w:rPr>
              <w:t>编入投标文件中</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未</w:t>
            </w:r>
            <w:r>
              <w:rPr>
                <w:rFonts w:hint="eastAsia" w:ascii="宋体" w:hAnsi="宋体" w:eastAsia="宋体" w:cs="宋体"/>
                <w:b/>
                <w:bCs/>
                <w:color w:val="auto"/>
                <w:sz w:val="21"/>
                <w:szCs w:val="21"/>
                <w:highlight w:val="none"/>
                <w:lang w:val="zh-CN" w:eastAsia="zh-CN"/>
              </w:rPr>
              <w:t>提供的不得分）</w:t>
            </w:r>
          </w:p>
        </w:tc>
        <w:tc>
          <w:tcPr>
            <w:tcW w:w="606" w:type="dxa"/>
            <w:shd w:val="clear" w:color="auto" w:fill="auto"/>
            <w:vAlign w:val="center"/>
          </w:tcPr>
          <w:p w14:paraId="075D8928">
            <w:pPr>
              <w:keepNext w:val="0"/>
              <w:keepLines w:val="0"/>
              <w:pageBreakBefore w:val="0"/>
              <w:kinsoku/>
              <w:wordWrap/>
              <w:overflowPunct/>
              <w:topLinePunct w:val="0"/>
              <w:bidi w:val="0"/>
              <w:spacing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606" w:type="dxa"/>
            <w:shd w:val="clear" w:color="auto" w:fill="auto"/>
            <w:vAlign w:val="center"/>
          </w:tcPr>
          <w:p w14:paraId="62BBC3AB">
            <w:pPr>
              <w:keepNext w:val="0"/>
              <w:keepLines w:val="0"/>
              <w:pageBreakBefore w:val="0"/>
              <w:kinsoku/>
              <w:wordWrap/>
              <w:overflowPunct/>
              <w:topLinePunct w:val="0"/>
              <w:bidi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06" w:type="dxa"/>
            <w:shd w:val="clear" w:color="auto" w:fill="auto"/>
            <w:vAlign w:val="center"/>
          </w:tcPr>
          <w:p w14:paraId="0F7B6F25">
            <w:pPr>
              <w:keepNext w:val="0"/>
              <w:keepLines w:val="0"/>
              <w:pageBreakBefore w:val="0"/>
              <w:kinsoku/>
              <w:wordWrap/>
              <w:overflowPunct/>
              <w:topLinePunct w:val="0"/>
              <w:bidi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4189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5571E9EF">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color w:val="auto"/>
                <w:sz w:val="21"/>
                <w:szCs w:val="21"/>
                <w:highlight w:val="none"/>
                <w:lang w:eastAsia="zh-CN"/>
              </w:rPr>
            </w:pPr>
          </w:p>
        </w:tc>
        <w:tc>
          <w:tcPr>
            <w:tcW w:w="1103" w:type="dxa"/>
            <w:vMerge w:val="restart"/>
            <w:shd w:val="clear" w:color="auto" w:fill="auto"/>
            <w:vAlign w:val="center"/>
          </w:tcPr>
          <w:p w14:paraId="7769C04C">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拟投入本项目人员情况</w:t>
            </w:r>
          </w:p>
        </w:tc>
        <w:tc>
          <w:tcPr>
            <w:tcW w:w="6423" w:type="dxa"/>
            <w:shd w:val="clear" w:color="auto" w:fill="auto"/>
            <w:vAlign w:val="center"/>
          </w:tcPr>
          <w:p w14:paraId="17631E18">
            <w:pPr>
              <w:pStyle w:val="7"/>
              <w:keepNext w:val="0"/>
              <w:keepLines w:val="0"/>
              <w:pageBreakBefore w:val="0"/>
              <w:kinsoku/>
              <w:wordWrap/>
              <w:overflowPunct/>
              <w:topLinePunct w:val="0"/>
              <w:bidi w:val="0"/>
              <w:spacing w:line="240" w:lineRule="auto"/>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项目负责人具备环境类中级及以上专业技术职称证书的得3分</w:t>
            </w:r>
            <w:r>
              <w:rPr>
                <w:rFonts w:hint="eastAsia" w:ascii="宋体" w:hAnsi="宋体" w:cs="宋体"/>
                <w:color w:val="auto"/>
                <w:kern w:val="2"/>
                <w:sz w:val="21"/>
                <w:szCs w:val="21"/>
                <w:highlight w:val="none"/>
                <w:lang w:val="en-US" w:eastAsia="zh-CN"/>
              </w:rPr>
              <w:t>。</w:t>
            </w:r>
          </w:p>
          <w:p w14:paraId="3988D7C9">
            <w:pPr>
              <w:pStyle w:val="7"/>
              <w:keepNext w:val="0"/>
              <w:keepLines w:val="0"/>
              <w:pageBreakBefore w:val="0"/>
              <w:kinsoku/>
              <w:wordWrap/>
              <w:overflowPunct/>
              <w:topLinePunct w:val="0"/>
              <w:bidi w:val="0"/>
              <w:spacing w:line="240" w:lineRule="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证书扫描件及投标截止时间前</w:t>
            </w:r>
            <w:r>
              <w:rPr>
                <w:rFonts w:hint="eastAsia" w:ascii="宋体" w:hAnsi="宋体" w:cs="宋体"/>
                <w:b/>
                <w:bCs/>
                <w:color w:val="auto"/>
                <w:sz w:val="21"/>
                <w:szCs w:val="21"/>
                <w:highlight w:val="none"/>
                <w:lang w:val="en-US" w:eastAsia="zh-CN"/>
              </w:rPr>
              <w:t>半年内连续3</w:t>
            </w:r>
            <w:r>
              <w:rPr>
                <w:rFonts w:hint="eastAsia" w:ascii="宋体" w:hAnsi="宋体" w:eastAsia="宋体" w:cs="宋体"/>
                <w:b/>
                <w:bCs/>
                <w:color w:val="auto"/>
                <w:sz w:val="21"/>
                <w:szCs w:val="21"/>
                <w:highlight w:val="none"/>
                <w:lang w:val="en-US" w:eastAsia="zh-CN"/>
              </w:rPr>
              <w:t>个月</w:t>
            </w:r>
            <w:r>
              <w:rPr>
                <w:rFonts w:hint="eastAsia" w:ascii="宋体" w:hAnsi="宋体" w:eastAsia="宋体" w:cs="宋体"/>
                <w:b/>
                <w:bCs/>
                <w:color w:val="auto"/>
                <w:sz w:val="21"/>
                <w:szCs w:val="21"/>
                <w:highlight w:val="none"/>
              </w:rPr>
              <w:t>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06" w:type="dxa"/>
            <w:shd w:val="clear" w:color="auto" w:fill="auto"/>
            <w:vAlign w:val="center"/>
          </w:tcPr>
          <w:p w14:paraId="0C5BBA4D">
            <w:pPr>
              <w:keepNext w:val="0"/>
              <w:keepLines w:val="0"/>
              <w:pageBreakBefore w:val="0"/>
              <w:kinsoku/>
              <w:wordWrap/>
              <w:overflowPunct/>
              <w:topLinePunct w:val="0"/>
              <w:bidi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06" w:type="dxa"/>
            <w:shd w:val="clear" w:color="auto" w:fill="auto"/>
            <w:vAlign w:val="center"/>
          </w:tcPr>
          <w:p w14:paraId="0F936547">
            <w:pPr>
              <w:keepNext w:val="0"/>
              <w:keepLines w:val="0"/>
              <w:pageBreakBefore w:val="0"/>
              <w:kinsoku/>
              <w:wordWrap/>
              <w:overflowPunct/>
              <w:topLinePunct w:val="0"/>
              <w:bidi w:val="0"/>
              <w:spacing w:line="240" w:lineRule="auto"/>
              <w:ind w:left="0" w:leftChars="0"/>
              <w:jc w:val="center"/>
              <w:textAlignment w:val="auto"/>
              <w:rPr>
                <w:rFonts w:hint="eastAsia" w:ascii="宋体" w:hAnsi="宋体" w:cs="宋体"/>
                <w:color w:val="auto"/>
                <w:sz w:val="21"/>
                <w:szCs w:val="21"/>
                <w:highlight w:val="none"/>
                <w:lang w:val="en-US" w:eastAsia="zh-CN"/>
              </w:rPr>
            </w:pPr>
          </w:p>
        </w:tc>
        <w:tc>
          <w:tcPr>
            <w:tcW w:w="606" w:type="dxa"/>
            <w:shd w:val="clear" w:color="auto" w:fill="auto"/>
            <w:vAlign w:val="center"/>
          </w:tcPr>
          <w:p w14:paraId="0648F099">
            <w:pPr>
              <w:keepNext w:val="0"/>
              <w:keepLines w:val="0"/>
              <w:pageBreakBefore w:val="0"/>
              <w:kinsoku/>
              <w:wordWrap/>
              <w:overflowPunct/>
              <w:topLinePunct w:val="0"/>
              <w:bidi w:val="0"/>
              <w:spacing w:line="240" w:lineRule="auto"/>
              <w:ind w:left="0" w:leftChars="0"/>
              <w:jc w:val="center"/>
              <w:textAlignment w:val="auto"/>
              <w:rPr>
                <w:rFonts w:hint="eastAsia" w:ascii="宋体" w:hAnsi="宋体" w:cs="宋体"/>
                <w:color w:val="auto"/>
                <w:sz w:val="21"/>
                <w:szCs w:val="21"/>
                <w:highlight w:val="none"/>
                <w:lang w:val="en-US" w:eastAsia="zh-CN"/>
              </w:rPr>
            </w:pPr>
          </w:p>
        </w:tc>
      </w:tr>
      <w:tr w14:paraId="6CE0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64992911">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color w:val="auto"/>
                <w:sz w:val="21"/>
                <w:szCs w:val="21"/>
                <w:highlight w:val="none"/>
                <w:lang w:eastAsia="zh-CN"/>
              </w:rPr>
            </w:pPr>
          </w:p>
        </w:tc>
        <w:tc>
          <w:tcPr>
            <w:tcW w:w="1103" w:type="dxa"/>
            <w:vMerge w:val="continue"/>
            <w:shd w:val="clear" w:color="auto" w:fill="auto"/>
            <w:vAlign w:val="center"/>
          </w:tcPr>
          <w:p w14:paraId="7E67B71B">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423" w:type="dxa"/>
            <w:shd w:val="clear" w:color="auto" w:fill="auto"/>
            <w:vAlign w:val="center"/>
          </w:tcPr>
          <w:p w14:paraId="3DAE5859">
            <w:pPr>
              <w:pStyle w:val="7"/>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项目组人员（不包含项目负责人）：</w:t>
            </w:r>
          </w:p>
          <w:p w14:paraId="4AC5D789">
            <w:pPr>
              <w:pStyle w:val="7"/>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（1）具有中国环境监测总站颁发的环境空气质量自动站运维技术与质控要求培训合格证</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每有一人得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lang w:val="en-US" w:eastAsia="zh-CN"/>
              </w:rPr>
              <w:t>分，最高得</w:t>
            </w:r>
            <w:r>
              <w:rPr>
                <w:rFonts w:hint="eastAsia" w:ascii="宋体" w:hAnsi="宋体" w:cs="宋体"/>
                <w:color w:val="auto"/>
                <w:kern w:val="2"/>
                <w:sz w:val="21"/>
                <w:szCs w:val="21"/>
                <w:highlight w:val="none"/>
                <w:lang w:val="en-US" w:eastAsia="zh-CN"/>
              </w:rPr>
              <w:t>4.5</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w:t>
            </w:r>
          </w:p>
          <w:p w14:paraId="2C8754FF">
            <w:pPr>
              <w:pStyle w:val="7"/>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（2）具有</w:t>
            </w:r>
            <w:r>
              <w:rPr>
                <w:rFonts w:hint="eastAsia" w:ascii="宋体" w:hAnsi="宋体" w:eastAsia="宋体" w:cs="宋体"/>
                <w:color w:val="auto"/>
                <w:kern w:val="2"/>
                <w:sz w:val="21"/>
                <w:szCs w:val="21"/>
                <w:highlight w:val="none"/>
                <w:lang w:val="en-US" w:eastAsia="zh-CN"/>
              </w:rPr>
              <w:t>省级及以上环境监测主管部门颁发的大气自动监测站或超级站运维培训合格证</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每有一人得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lang w:val="en-US" w:eastAsia="zh-CN"/>
              </w:rPr>
              <w:t>分，最高得</w:t>
            </w:r>
            <w:r>
              <w:rPr>
                <w:rFonts w:hint="eastAsia" w:ascii="宋体" w:hAnsi="宋体" w:cs="宋体"/>
                <w:color w:val="auto"/>
                <w:kern w:val="2"/>
                <w:sz w:val="21"/>
                <w:szCs w:val="21"/>
                <w:highlight w:val="none"/>
                <w:lang w:val="en-US" w:eastAsia="zh-CN"/>
              </w:rPr>
              <w:t>4.5</w:t>
            </w:r>
            <w:r>
              <w:rPr>
                <w:rFonts w:hint="eastAsia" w:ascii="宋体" w:hAnsi="宋体" w:eastAsia="宋体" w:cs="宋体"/>
                <w:color w:val="auto"/>
                <w:kern w:val="2"/>
                <w:sz w:val="21"/>
                <w:szCs w:val="21"/>
                <w:highlight w:val="none"/>
                <w:lang w:val="en-US" w:eastAsia="zh-CN"/>
              </w:rPr>
              <w:t>分；</w:t>
            </w:r>
          </w:p>
          <w:p w14:paraId="0B91B3ED">
            <w:pPr>
              <w:pStyle w:val="7"/>
              <w:keepNext w:val="0"/>
              <w:keepLines w:val="0"/>
              <w:pageBreakBefore w:val="0"/>
              <w:kinsoku/>
              <w:wordWrap/>
              <w:overflowPunct/>
              <w:topLinePunct w:val="0"/>
              <w:bidi w:val="0"/>
              <w:spacing w:line="240" w:lineRule="auto"/>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）具有二级</w:t>
            </w:r>
            <w:r>
              <w:rPr>
                <w:rFonts w:hint="eastAsia" w:ascii="宋体" w:hAnsi="宋体" w:cs="宋体"/>
                <w:color w:val="auto"/>
                <w:kern w:val="2"/>
                <w:sz w:val="21"/>
                <w:szCs w:val="21"/>
                <w:highlight w:val="none"/>
                <w:lang w:val="en-US" w:eastAsia="zh-CN"/>
              </w:rPr>
              <w:t>及以上</w:t>
            </w:r>
            <w:r>
              <w:rPr>
                <w:rFonts w:hint="eastAsia" w:ascii="宋体" w:hAnsi="宋体" w:eastAsia="宋体" w:cs="宋体"/>
                <w:color w:val="auto"/>
                <w:kern w:val="2"/>
                <w:sz w:val="21"/>
                <w:szCs w:val="21"/>
                <w:highlight w:val="none"/>
                <w:lang w:val="en-US" w:eastAsia="zh-CN"/>
              </w:rPr>
              <w:t>注册计量师职业证的，每有一人得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分，最高得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w:t>
            </w:r>
          </w:p>
          <w:p w14:paraId="4FB4F09F">
            <w:pPr>
              <w:pStyle w:val="7"/>
              <w:keepNext w:val="0"/>
              <w:keepLines w:val="0"/>
              <w:pageBreakBefore w:val="0"/>
              <w:kinsoku/>
              <w:wordWrap/>
              <w:overflowPunct/>
              <w:topLinePunct w:val="0"/>
              <w:bidi w:val="0"/>
              <w:spacing w:line="240" w:lineRule="auto"/>
              <w:rPr>
                <w:rFonts w:hint="eastAsia" w:ascii="宋体" w:hAnsi="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同一人员不重复计分。</w:t>
            </w:r>
          </w:p>
          <w:p w14:paraId="6DC7D352">
            <w:pPr>
              <w:pStyle w:val="7"/>
              <w:keepNext w:val="0"/>
              <w:keepLines w:val="0"/>
              <w:pageBreakBefore w:val="0"/>
              <w:kinsoku/>
              <w:wordWrap/>
              <w:overflowPunct/>
              <w:topLinePunct w:val="0"/>
              <w:bidi w:val="0"/>
              <w:spacing w:line="240" w:lineRule="auto"/>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证书</w:t>
            </w:r>
            <w:r>
              <w:rPr>
                <w:rFonts w:hint="eastAsia" w:ascii="宋体" w:hAnsi="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扫描件及投标截止时间前</w:t>
            </w:r>
            <w:r>
              <w:rPr>
                <w:rFonts w:hint="eastAsia" w:ascii="宋体" w:hAnsi="宋体" w:cs="宋体"/>
                <w:b/>
                <w:bCs/>
                <w:color w:val="auto"/>
                <w:sz w:val="21"/>
                <w:szCs w:val="21"/>
                <w:highlight w:val="none"/>
                <w:lang w:val="en-US" w:eastAsia="zh-CN"/>
              </w:rPr>
              <w:t>半年内连续3</w:t>
            </w:r>
            <w:r>
              <w:rPr>
                <w:rFonts w:hint="eastAsia" w:ascii="宋体" w:hAnsi="宋体" w:eastAsia="宋体" w:cs="宋体"/>
                <w:b/>
                <w:bCs/>
                <w:color w:val="auto"/>
                <w:sz w:val="21"/>
                <w:szCs w:val="21"/>
                <w:highlight w:val="none"/>
                <w:lang w:val="en-US" w:eastAsia="zh-CN"/>
              </w:rPr>
              <w:t>个月</w:t>
            </w:r>
            <w:r>
              <w:rPr>
                <w:rFonts w:hint="eastAsia" w:ascii="宋体" w:hAnsi="宋体" w:eastAsia="宋体" w:cs="宋体"/>
                <w:b/>
                <w:bCs/>
                <w:color w:val="auto"/>
                <w:sz w:val="21"/>
                <w:szCs w:val="21"/>
                <w:highlight w:val="none"/>
              </w:rPr>
              <w:t>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以上证书将</w:t>
            </w:r>
            <w:r>
              <w:rPr>
                <w:rFonts w:hint="eastAsia" w:ascii="宋体" w:hAnsi="宋体" w:eastAsia="宋体" w:cs="宋体"/>
                <w:b/>
                <w:bCs/>
                <w:color w:val="auto"/>
                <w:kern w:val="2"/>
                <w:sz w:val="21"/>
                <w:szCs w:val="21"/>
                <w:highlight w:val="none"/>
                <w:lang w:val="en-US" w:eastAsia="zh-CN"/>
              </w:rPr>
              <w:t>作为运维考核依据。</w:t>
            </w:r>
            <w:r>
              <w:rPr>
                <w:rFonts w:hint="eastAsia" w:ascii="宋体" w:hAnsi="宋体" w:eastAsia="宋体" w:cs="宋体"/>
                <w:b/>
                <w:bCs/>
                <w:color w:val="auto"/>
                <w:sz w:val="21"/>
                <w:szCs w:val="21"/>
                <w:highlight w:val="none"/>
              </w:rPr>
              <w:t>）</w:t>
            </w:r>
          </w:p>
        </w:tc>
        <w:tc>
          <w:tcPr>
            <w:tcW w:w="606" w:type="dxa"/>
            <w:shd w:val="clear" w:color="auto" w:fill="auto"/>
            <w:vAlign w:val="center"/>
          </w:tcPr>
          <w:p w14:paraId="140DFDE7">
            <w:pPr>
              <w:keepNext w:val="0"/>
              <w:keepLines w:val="0"/>
              <w:pageBreakBefore w:val="0"/>
              <w:kinsoku/>
              <w:wordWrap/>
              <w:overflowPunct/>
              <w:topLinePunct w:val="0"/>
              <w:bidi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606" w:type="dxa"/>
            <w:shd w:val="clear" w:color="auto" w:fill="auto"/>
            <w:vAlign w:val="center"/>
          </w:tcPr>
          <w:p w14:paraId="7875BF27">
            <w:pPr>
              <w:keepNext w:val="0"/>
              <w:keepLines w:val="0"/>
              <w:pageBreakBefore w:val="0"/>
              <w:kinsoku/>
              <w:wordWrap/>
              <w:overflowPunct/>
              <w:topLinePunct w:val="0"/>
              <w:bidi w:val="0"/>
              <w:spacing w:line="240" w:lineRule="auto"/>
              <w:ind w:left="0" w:leftChars="0"/>
              <w:jc w:val="center"/>
              <w:textAlignment w:val="auto"/>
              <w:rPr>
                <w:rFonts w:hint="eastAsia" w:ascii="宋体" w:hAnsi="宋体" w:cs="宋体"/>
                <w:color w:val="auto"/>
                <w:sz w:val="21"/>
                <w:szCs w:val="21"/>
                <w:highlight w:val="none"/>
                <w:lang w:val="en-US" w:eastAsia="zh-CN"/>
              </w:rPr>
            </w:pPr>
          </w:p>
        </w:tc>
        <w:tc>
          <w:tcPr>
            <w:tcW w:w="606" w:type="dxa"/>
            <w:shd w:val="clear" w:color="auto" w:fill="auto"/>
            <w:vAlign w:val="center"/>
          </w:tcPr>
          <w:p w14:paraId="020F20C4">
            <w:pPr>
              <w:keepNext w:val="0"/>
              <w:keepLines w:val="0"/>
              <w:pageBreakBefore w:val="0"/>
              <w:kinsoku/>
              <w:wordWrap/>
              <w:overflowPunct/>
              <w:topLinePunct w:val="0"/>
              <w:bidi w:val="0"/>
              <w:spacing w:line="240" w:lineRule="auto"/>
              <w:ind w:left="0" w:leftChars="0"/>
              <w:jc w:val="center"/>
              <w:textAlignment w:val="auto"/>
              <w:rPr>
                <w:rFonts w:hint="eastAsia" w:ascii="宋体" w:hAnsi="宋体" w:cs="宋体"/>
                <w:color w:val="auto"/>
                <w:sz w:val="21"/>
                <w:szCs w:val="21"/>
                <w:highlight w:val="none"/>
                <w:lang w:val="en-US" w:eastAsia="zh-CN"/>
              </w:rPr>
            </w:pPr>
          </w:p>
        </w:tc>
      </w:tr>
      <w:tr w14:paraId="7AF6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06" w:type="dxa"/>
            <w:vMerge w:val="continue"/>
            <w:vAlign w:val="center"/>
          </w:tcPr>
          <w:p w14:paraId="1BB4EDF0">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宋体" w:hAnsi="宋体" w:eastAsia="宋体" w:cs="宋体"/>
                <w:color w:val="auto"/>
                <w:sz w:val="21"/>
                <w:szCs w:val="21"/>
                <w:highlight w:val="none"/>
                <w:lang w:eastAsia="zh-CN"/>
              </w:rPr>
            </w:pPr>
          </w:p>
        </w:tc>
        <w:tc>
          <w:tcPr>
            <w:tcW w:w="1103" w:type="dxa"/>
            <w:shd w:val="clear" w:color="auto" w:fill="auto"/>
            <w:vAlign w:val="center"/>
          </w:tcPr>
          <w:p w14:paraId="34C458DC">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拟投入本项设备及耗材情况</w:t>
            </w:r>
          </w:p>
        </w:tc>
        <w:tc>
          <w:tcPr>
            <w:tcW w:w="6423" w:type="dxa"/>
            <w:shd w:val="clear" w:color="auto" w:fill="auto"/>
            <w:vAlign w:val="center"/>
          </w:tcPr>
          <w:p w14:paraId="283DA962">
            <w:pPr>
              <w:pStyle w:val="7"/>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投标人承诺中标后提供本项目站点的同品牌备机（同品牌备机是指6个指标：①PM10；②PM2.5；③NO2；④SO2；⑤CO；⑥O3分析仪器），对照采购内容及要求进行认定。</w:t>
            </w:r>
          </w:p>
          <w:p w14:paraId="48643A09">
            <w:pPr>
              <w:pStyle w:val="7"/>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1个指标提供1个同品牌备机的得1分，最高得6分。</w:t>
            </w:r>
          </w:p>
        </w:tc>
        <w:tc>
          <w:tcPr>
            <w:tcW w:w="606" w:type="dxa"/>
            <w:shd w:val="clear" w:color="auto" w:fill="auto"/>
            <w:vAlign w:val="center"/>
          </w:tcPr>
          <w:p w14:paraId="278B375F">
            <w:pPr>
              <w:pStyle w:val="7"/>
              <w:keepNext w:val="0"/>
              <w:keepLines w:val="0"/>
              <w:pageBreakBefore w:val="0"/>
              <w:kinsoku/>
              <w:wordWrap/>
              <w:overflowPunct/>
              <w:topLinePunct w:val="0"/>
              <w:bidi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6</w:t>
            </w:r>
          </w:p>
        </w:tc>
        <w:tc>
          <w:tcPr>
            <w:tcW w:w="606" w:type="dxa"/>
            <w:shd w:val="clear" w:color="auto" w:fill="auto"/>
            <w:vAlign w:val="center"/>
          </w:tcPr>
          <w:p w14:paraId="33BC43AD">
            <w:pPr>
              <w:pStyle w:val="7"/>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 w:val="21"/>
                <w:szCs w:val="21"/>
                <w:highlight w:val="none"/>
                <w:lang w:val="en-US" w:eastAsia="zh-CN"/>
              </w:rPr>
            </w:pPr>
          </w:p>
        </w:tc>
        <w:tc>
          <w:tcPr>
            <w:tcW w:w="606" w:type="dxa"/>
            <w:shd w:val="clear" w:color="auto" w:fill="auto"/>
            <w:vAlign w:val="center"/>
          </w:tcPr>
          <w:p w14:paraId="4E3D7B4E">
            <w:pPr>
              <w:pStyle w:val="7"/>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 w:val="21"/>
                <w:szCs w:val="21"/>
                <w:highlight w:val="none"/>
                <w:lang w:val="en-US" w:eastAsia="zh-CN"/>
              </w:rPr>
            </w:pPr>
          </w:p>
        </w:tc>
      </w:tr>
      <w:tr w14:paraId="2933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vMerge w:val="restart"/>
            <w:vAlign w:val="center"/>
          </w:tcPr>
          <w:p w14:paraId="5A44E4D4">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103" w:type="dxa"/>
            <w:vMerge w:val="restart"/>
            <w:vAlign w:val="center"/>
          </w:tcPr>
          <w:p w14:paraId="5682DE22">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技术方案</w:t>
            </w:r>
          </w:p>
        </w:tc>
        <w:tc>
          <w:tcPr>
            <w:tcW w:w="6423" w:type="dxa"/>
            <w:vAlign w:val="center"/>
          </w:tcPr>
          <w:p w14:paraId="6B8DFF40">
            <w:pPr>
              <w:pStyle w:val="7"/>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根据</w:t>
            </w:r>
            <w:r>
              <w:rPr>
                <w:rFonts w:hint="eastAsia" w:ascii="宋体" w:hAnsi="宋体" w:cs="宋体"/>
                <w:color w:val="auto"/>
                <w:kern w:val="2"/>
                <w:sz w:val="21"/>
                <w:szCs w:val="21"/>
                <w:highlight w:val="none"/>
                <w:lang w:val="en-US" w:eastAsia="zh-CN"/>
              </w:rPr>
              <w:t>投标人针对本项目</w:t>
            </w:r>
            <w:r>
              <w:rPr>
                <w:rFonts w:hint="eastAsia" w:ascii="宋体" w:hAnsi="宋体" w:eastAsia="宋体" w:cs="宋体"/>
                <w:strike w:val="0"/>
                <w:dstrike w:val="0"/>
                <w:color w:val="auto"/>
                <w:kern w:val="2"/>
                <w:sz w:val="21"/>
                <w:szCs w:val="21"/>
                <w:highlight w:val="none"/>
                <w:lang w:val="en-US" w:eastAsia="zh-CN"/>
              </w:rPr>
              <w:t>情况</w:t>
            </w:r>
            <w:r>
              <w:rPr>
                <w:rFonts w:hint="eastAsia" w:ascii="宋体" w:hAnsi="宋体" w:eastAsia="宋体" w:cs="宋体"/>
                <w:color w:val="auto"/>
                <w:kern w:val="2"/>
                <w:sz w:val="21"/>
                <w:szCs w:val="21"/>
                <w:highlight w:val="none"/>
                <w:lang w:val="en-US" w:eastAsia="zh-CN"/>
              </w:rPr>
              <w:t>提出</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lang w:val="en-US" w:eastAsia="zh-CN"/>
              </w:rPr>
              <w:t>自动监控系统运维实施方案</w:t>
            </w:r>
            <w:r>
              <w:rPr>
                <w:rFonts w:hint="eastAsia" w:ascii="宋体" w:hAnsi="宋体" w:cs="宋体"/>
                <w:color w:val="auto"/>
                <w:kern w:val="2"/>
                <w:sz w:val="21"/>
                <w:szCs w:val="21"/>
                <w:highlight w:val="none"/>
                <w:lang w:val="en-US" w:eastAsia="zh-CN"/>
              </w:rPr>
              <w:t>进行打分。</w:t>
            </w:r>
          </w:p>
          <w:p w14:paraId="203F8819">
            <w:pPr>
              <w:pStyle w:val="7"/>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实施方案内容合理、完整，具有针对性、可操作性，满足本项目采购需求的得</w:t>
            </w:r>
            <w:r>
              <w:rPr>
                <w:rFonts w:hint="eastAsia" w:ascii="宋体" w:hAnsi="宋体" w:cs="宋体"/>
                <w:color w:val="auto"/>
                <w:kern w:val="2"/>
                <w:sz w:val="21"/>
                <w:szCs w:val="21"/>
                <w:highlight w:val="none"/>
                <w:lang w:val="en-US" w:eastAsia="zh-CN"/>
              </w:rPr>
              <w:t>5.0-10.0</w:t>
            </w:r>
            <w:r>
              <w:rPr>
                <w:rFonts w:hint="eastAsia" w:ascii="宋体" w:hAnsi="宋体" w:eastAsia="宋体" w:cs="宋体"/>
                <w:color w:val="auto"/>
                <w:kern w:val="2"/>
                <w:sz w:val="21"/>
                <w:szCs w:val="21"/>
                <w:highlight w:val="none"/>
                <w:lang w:val="en-US" w:eastAsia="zh-CN"/>
              </w:rPr>
              <w:t>分；</w:t>
            </w:r>
          </w:p>
          <w:p w14:paraId="68D5C557">
            <w:pPr>
              <w:pStyle w:val="7"/>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实施方案内容描述简单、内容欠完善，基本满足本项目采购需求</w:t>
            </w:r>
            <w:r>
              <w:rPr>
                <w:rFonts w:hint="eastAsia" w:ascii="宋体" w:hAnsi="宋体" w:cs="宋体"/>
                <w:color w:val="auto"/>
                <w:kern w:val="2"/>
                <w:sz w:val="21"/>
                <w:szCs w:val="21"/>
                <w:highlight w:val="none"/>
                <w:lang w:val="en-US" w:eastAsia="zh-CN"/>
              </w:rPr>
              <w:t>的得2.0-4</w:t>
            </w:r>
            <w:r>
              <w:rPr>
                <w:rFonts w:hint="eastAsia" w:ascii="宋体" w:hAnsi="宋体" w:eastAsia="宋体" w:cs="宋体"/>
                <w:color w:val="auto"/>
                <w:kern w:val="2"/>
                <w:sz w:val="21"/>
                <w:szCs w:val="21"/>
                <w:highlight w:val="none"/>
                <w:lang w:val="en-US" w:eastAsia="zh-CN"/>
              </w:rPr>
              <w:t>.9分；</w:t>
            </w:r>
          </w:p>
          <w:p w14:paraId="4DD285A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实施方案内容描述简单模糊、内容有缺陷、不具备可行性</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.9分</w:t>
            </w:r>
            <w:r>
              <w:rPr>
                <w:rFonts w:hint="eastAsia" w:ascii="宋体" w:hAnsi="宋体" w:eastAsia="宋体" w:cs="宋体"/>
                <w:b w:val="0"/>
                <w:color w:val="auto"/>
                <w:kern w:val="2"/>
                <w:sz w:val="21"/>
                <w:szCs w:val="21"/>
                <w:highlight w:val="none"/>
                <w:lang w:val="en-US" w:eastAsia="zh-CN" w:bidi="ar-SA"/>
              </w:rPr>
              <w:t>；</w:t>
            </w:r>
          </w:p>
          <w:p w14:paraId="406DB945">
            <w:pPr>
              <w:pStyle w:val="7"/>
              <w:rPr>
                <w:rFonts w:hint="eastAsia" w:ascii="宋体" w:hAnsi="宋体" w:eastAsia="宋体" w:cs="宋体"/>
                <w:color w:val="auto"/>
                <w:kern w:val="0"/>
                <w:sz w:val="21"/>
                <w:szCs w:val="21"/>
                <w:highlight w:val="none"/>
                <w:lang w:eastAsia="zh-CN"/>
              </w:rPr>
            </w:pPr>
            <w:r>
              <w:rPr>
                <w:rFonts w:hint="eastAsia" w:ascii="宋体" w:hAnsi="宋体" w:eastAsia="宋体" w:cs="宋体"/>
                <w:b w:val="0"/>
                <w:color w:val="auto"/>
                <w:kern w:val="2"/>
                <w:sz w:val="21"/>
                <w:szCs w:val="21"/>
                <w:highlight w:val="none"/>
                <w:lang w:val="en-US" w:eastAsia="zh-CN" w:bidi="ar-SA"/>
              </w:rPr>
              <w:t>未提及此项不得</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kern w:val="2"/>
                <w:sz w:val="21"/>
                <w:szCs w:val="21"/>
                <w:highlight w:val="none"/>
                <w:lang w:val="en-US" w:eastAsia="zh-CN"/>
              </w:rPr>
              <w:t>。</w:t>
            </w:r>
          </w:p>
        </w:tc>
        <w:tc>
          <w:tcPr>
            <w:tcW w:w="606" w:type="dxa"/>
            <w:vAlign w:val="center"/>
          </w:tcPr>
          <w:p w14:paraId="799E4220">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10</w:t>
            </w:r>
          </w:p>
        </w:tc>
        <w:tc>
          <w:tcPr>
            <w:tcW w:w="606" w:type="dxa"/>
            <w:vAlign w:val="center"/>
          </w:tcPr>
          <w:p w14:paraId="488DFAD6">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6" w:type="dxa"/>
            <w:vAlign w:val="center"/>
          </w:tcPr>
          <w:p w14:paraId="396B6B3C">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5642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vMerge w:val="continue"/>
            <w:vAlign w:val="center"/>
          </w:tcPr>
          <w:p w14:paraId="41CD0F1B">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p>
        </w:tc>
        <w:tc>
          <w:tcPr>
            <w:tcW w:w="1103" w:type="dxa"/>
            <w:vMerge w:val="continue"/>
            <w:vAlign w:val="center"/>
          </w:tcPr>
          <w:p w14:paraId="3BC2AF8F">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p>
        </w:tc>
        <w:tc>
          <w:tcPr>
            <w:tcW w:w="6423" w:type="dxa"/>
            <w:vAlign w:val="center"/>
          </w:tcPr>
          <w:p w14:paraId="5D8EA6DE">
            <w:pPr>
              <w:pStyle w:val="7"/>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根据投标人提供的针对运维项目内部管理及质控措施制度（包含但不限于制度是否有效针对仪器设备操作规程、质控措施、校验复核、岗位职责、人员分工、培训计划、安全管理、档案管理等特点编制）等方案</w:t>
            </w:r>
            <w:r>
              <w:rPr>
                <w:rFonts w:hint="eastAsia" w:ascii="宋体" w:hAnsi="宋体" w:cs="宋体"/>
                <w:color w:val="auto"/>
                <w:kern w:val="2"/>
                <w:sz w:val="21"/>
                <w:szCs w:val="21"/>
                <w:highlight w:val="none"/>
                <w:lang w:val="en-US" w:eastAsia="zh-CN"/>
              </w:rPr>
              <w:t>进行打分。</w:t>
            </w:r>
          </w:p>
          <w:p w14:paraId="719A0278">
            <w:pPr>
              <w:pStyle w:val="7"/>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各项管理制度完善、可行性高、针对性强，能充分满足项目需求</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kern w:val="2"/>
                <w:sz w:val="21"/>
                <w:szCs w:val="21"/>
                <w:highlight w:val="none"/>
                <w:lang w:val="en-US" w:eastAsia="zh-CN"/>
              </w:rPr>
              <w:t>5</w:t>
            </w:r>
            <w:r>
              <w:rPr>
                <w:rFonts w:hint="eastAsia" w:ascii="宋体"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lang w:val="en-US" w:eastAsia="zh-CN"/>
              </w:rPr>
              <w:t>-10</w:t>
            </w:r>
            <w:r>
              <w:rPr>
                <w:rFonts w:hint="eastAsia" w:ascii="宋体"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lang w:val="en-US" w:eastAsia="zh-CN"/>
              </w:rPr>
              <w:t>分；</w:t>
            </w:r>
          </w:p>
          <w:p w14:paraId="19AF6286">
            <w:pPr>
              <w:pStyle w:val="7"/>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各项管理制度较完善，可行性教高、针对性教强，基本满足项目实施</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lang w:val="en-US" w:eastAsia="zh-CN"/>
              </w:rPr>
              <w:t xml:space="preserve">-4.9分； </w:t>
            </w:r>
          </w:p>
          <w:p w14:paraId="244AC6D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各项管理制度内容简略欠缺</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-1.9分</w:t>
            </w:r>
            <w:r>
              <w:rPr>
                <w:rFonts w:hint="eastAsia" w:ascii="宋体" w:hAnsi="宋体" w:eastAsia="宋体" w:cs="宋体"/>
                <w:b w:val="0"/>
                <w:color w:val="auto"/>
                <w:kern w:val="2"/>
                <w:sz w:val="21"/>
                <w:szCs w:val="21"/>
                <w:highlight w:val="none"/>
                <w:lang w:val="en-US" w:eastAsia="zh-CN" w:bidi="ar-SA"/>
              </w:rPr>
              <w:t>；</w:t>
            </w:r>
          </w:p>
          <w:p w14:paraId="368231E5">
            <w:pPr>
              <w:pStyle w:val="7"/>
              <w:rPr>
                <w:rFonts w:hint="eastAsia" w:ascii="宋体" w:hAnsi="宋体" w:eastAsia="宋体" w:cs="宋体"/>
                <w:color w:val="auto"/>
                <w:kern w:val="0"/>
                <w:sz w:val="21"/>
                <w:szCs w:val="21"/>
                <w:highlight w:val="none"/>
                <w:lang w:eastAsia="zh-CN"/>
              </w:rPr>
            </w:pPr>
            <w:r>
              <w:rPr>
                <w:rFonts w:hint="eastAsia" w:ascii="宋体" w:hAnsi="宋体" w:eastAsia="宋体" w:cs="宋体"/>
                <w:b w:val="0"/>
                <w:color w:val="auto"/>
                <w:kern w:val="2"/>
                <w:sz w:val="21"/>
                <w:szCs w:val="21"/>
                <w:highlight w:val="none"/>
                <w:lang w:val="en-US" w:eastAsia="zh-CN" w:bidi="ar-SA"/>
              </w:rPr>
              <w:t>未提及此项不得</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kern w:val="2"/>
                <w:sz w:val="21"/>
                <w:szCs w:val="21"/>
                <w:highlight w:val="none"/>
                <w:lang w:val="en-US" w:eastAsia="zh-CN"/>
              </w:rPr>
              <w:t>。</w:t>
            </w:r>
          </w:p>
        </w:tc>
        <w:tc>
          <w:tcPr>
            <w:tcW w:w="606" w:type="dxa"/>
            <w:vAlign w:val="center"/>
          </w:tcPr>
          <w:p w14:paraId="1912463A">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10</w:t>
            </w:r>
          </w:p>
        </w:tc>
        <w:tc>
          <w:tcPr>
            <w:tcW w:w="606" w:type="dxa"/>
            <w:vAlign w:val="center"/>
          </w:tcPr>
          <w:p w14:paraId="3B6EE8A6">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6" w:type="dxa"/>
            <w:vAlign w:val="center"/>
          </w:tcPr>
          <w:p w14:paraId="55505E66">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6B35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vMerge w:val="continue"/>
            <w:vAlign w:val="center"/>
          </w:tcPr>
          <w:p w14:paraId="2B30CDA4">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p>
        </w:tc>
        <w:tc>
          <w:tcPr>
            <w:tcW w:w="1103" w:type="dxa"/>
            <w:vMerge w:val="continue"/>
            <w:vAlign w:val="center"/>
          </w:tcPr>
          <w:p w14:paraId="10157B16">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p>
        </w:tc>
        <w:tc>
          <w:tcPr>
            <w:tcW w:w="6423" w:type="dxa"/>
            <w:vAlign w:val="center"/>
          </w:tcPr>
          <w:p w14:paraId="1153BBA8">
            <w:pPr>
              <w:pStyle w:val="7"/>
              <w:jc w:val="left"/>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投标人对系统运维正常运行的保证措施及承诺内容，措施及承诺是否适用于本项目，是否切实有效等</w:t>
            </w:r>
            <w:r>
              <w:rPr>
                <w:rFonts w:hint="eastAsia" w:ascii="宋体" w:hAnsi="宋体" w:cs="宋体"/>
                <w:color w:val="auto"/>
                <w:kern w:val="2"/>
                <w:sz w:val="21"/>
                <w:szCs w:val="21"/>
                <w:highlight w:val="none"/>
                <w:lang w:val="en-US" w:eastAsia="zh-CN"/>
              </w:rPr>
              <w:t>进行打分。</w:t>
            </w:r>
          </w:p>
          <w:p w14:paraId="061732E7">
            <w:pPr>
              <w:pStyle w:val="7"/>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方案内容完整详实，可以保障项目顺利实施</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spacing w:val="-4"/>
                <w:szCs w:val="21"/>
                <w:highlight w:val="none"/>
                <w:lang w:val="en-US" w:eastAsia="zh-CN"/>
              </w:rPr>
              <w:t>4.0-</w:t>
            </w:r>
            <w:r>
              <w:rPr>
                <w:rFonts w:hint="eastAsia" w:ascii="宋体" w:hAnsi="宋体" w:cs="宋体"/>
                <w:color w:val="auto"/>
                <w:spacing w:val="-4"/>
                <w:szCs w:val="21"/>
                <w:highlight w:val="none"/>
                <w:lang w:val="en-US" w:eastAsia="zh-CN"/>
              </w:rPr>
              <w:t>7</w:t>
            </w:r>
            <w:r>
              <w:rPr>
                <w:rFonts w:hint="eastAsia" w:ascii="宋体" w:hAnsi="宋体" w:eastAsia="宋体" w:cs="宋体"/>
                <w:color w:val="auto"/>
                <w:spacing w:val="-4"/>
                <w:szCs w:val="21"/>
                <w:highlight w:val="none"/>
                <w:lang w:val="en-US" w:eastAsia="zh-CN"/>
              </w:rPr>
              <w:t>.0分；</w:t>
            </w:r>
          </w:p>
          <w:p w14:paraId="77B129E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方案合理，相关</w:t>
            </w:r>
            <w:r>
              <w:rPr>
                <w:rFonts w:hint="eastAsia" w:ascii="宋体" w:hAnsi="宋体" w:eastAsia="宋体" w:cs="宋体"/>
                <w:color w:val="auto"/>
                <w:kern w:val="2"/>
                <w:sz w:val="21"/>
                <w:szCs w:val="21"/>
                <w:highlight w:val="none"/>
                <w:lang w:val="en-US" w:eastAsia="zh-CN"/>
              </w:rPr>
              <w:t>保证措施及承诺内容</w:t>
            </w:r>
            <w:r>
              <w:rPr>
                <w:rFonts w:hint="eastAsia" w:ascii="宋体" w:hAnsi="宋体" w:cs="宋体"/>
                <w:color w:val="auto"/>
                <w:kern w:val="2"/>
                <w:sz w:val="21"/>
                <w:szCs w:val="21"/>
                <w:highlight w:val="none"/>
                <w:lang w:val="en-US" w:eastAsia="zh-CN"/>
              </w:rPr>
              <w:t>基本符合本项目要求的</w:t>
            </w:r>
            <w:r>
              <w:rPr>
                <w:rFonts w:hint="eastAsia" w:ascii="宋体" w:hAnsi="宋体" w:eastAsia="宋体" w:cs="宋体"/>
                <w:color w:val="auto"/>
                <w:spacing w:val="-4"/>
                <w:szCs w:val="21"/>
                <w:highlight w:val="none"/>
                <w:lang w:val="en-US" w:eastAsia="zh-CN"/>
              </w:rPr>
              <w:t>得2.0-3.9分</w:t>
            </w:r>
            <w:r>
              <w:rPr>
                <w:rFonts w:hint="eastAsia" w:ascii="宋体" w:hAnsi="宋体" w:cs="宋体"/>
                <w:color w:val="auto"/>
                <w:spacing w:val="-4"/>
                <w:szCs w:val="21"/>
                <w:highlight w:val="none"/>
                <w:lang w:val="en-US" w:eastAsia="zh-CN"/>
              </w:rPr>
              <w:t>；</w:t>
            </w:r>
          </w:p>
          <w:p w14:paraId="749DB91F">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方案存在明显缺陷或者缺项的，在满足本项目需求上存在明显不足的</w:t>
            </w:r>
            <w:r>
              <w:rPr>
                <w:rFonts w:hint="eastAsia" w:ascii="宋体" w:hAnsi="宋体" w:cs="宋体"/>
                <w:color w:val="auto"/>
                <w:kern w:val="2"/>
                <w:sz w:val="21"/>
                <w:szCs w:val="21"/>
                <w:highlight w:val="none"/>
                <w:lang w:val="en-US" w:eastAsia="zh-CN"/>
              </w:rPr>
              <w:t>得</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.9分</w:t>
            </w:r>
            <w:r>
              <w:rPr>
                <w:rFonts w:hint="eastAsia" w:ascii="宋体" w:hAnsi="宋体" w:eastAsia="宋体" w:cs="宋体"/>
                <w:b w:val="0"/>
                <w:color w:val="auto"/>
                <w:kern w:val="2"/>
                <w:sz w:val="21"/>
                <w:szCs w:val="21"/>
                <w:highlight w:val="none"/>
                <w:lang w:val="en-US" w:eastAsia="zh-CN" w:bidi="ar-SA"/>
              </w:rPr>
              <w:t>；</w:t>
            </w:r>
          </w:p>
          <w:p w14:paraId="08946DA4">
            <w:pPr>
              <w:pStyle w:val="7"/>
              <w:jc w:val="left"/>
              <w:rPr>
                <w:rFonts w:hint="eastAsia" w:ascii="宋体" w:hAnsi="宋体" w:eastAsia="宋体" w:cs="宋体"/>
                <w:color w:val="auto"/>
                <w:kern w:val="0"/>
                <w:sz w:val="21"/>
                <w:szCs w:val="21"/>
                <w:highlight w:val="none"/>
                <w:lang w:eastAsia="zh-CN"/>
              </w:rPr>
            </w:pPr>
            <w:r>
              <w:rPr>
                <w:rFonts w:hint="eastAsia" w:ascii="宋体" w:hAnsi="宋体" w:eastAsia="宋体" w:cs="宋体"/>
                <w:b w:val="0"/>
                <w:color w:val="auto"/>
                <w:kern w:val="2"/>
                <w:sz w:val="21"/>
                <w:szCs w:val="21"/>
                <w:highlight w:val="none"/>
                <w:lang w:val="en-US" w:eastAsia="zh-CN" w:bidi="ar-SA"/>
              </w:rPr>
              <w:t>未提及此项不得</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kern w:val="2"/>
                <w:sz w:val="21"/>
                <w:szCs w:val="21"/>
                <w:highlight w:val="none"/>
                <w:lang w:val="en-US" w:eastAsia="zh-CN"/>
              </w:rPr>
              <w:t>。</w:t>
            </w:r>
          </w:p>
        </w:tc>
        <w:tc>
          <w:tcPr>
            <w:tcW w:w="606" w:type="dxa"/>
            <w:vAlign w:val="center"/>
          </w:tcPr>
          <w:p w14:paraId="295EAF85">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w:t>
            </w:r>
          </w:p>
        </w:tc>
        <w:tc>
          <w:tcPr>
            <w:tcW w:w="606" w:type="dxa"/>
            <w:vAlign w:val="center"/>
          </w:tcPr>
          <w:p w14:paraId="40E936E7">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6" w:type="dxa"/>
            <w:vAlign w:val="center"/>
          </w:tcPr>
          <w:p w14:paraId="3FC486E6">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5328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32AC8EA6">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p>
        </w:tc>
        <w:tc>
          <w:tcPr>
            <w:tcW w:w="1103" w:type="dxa"/>
            <w:vMerge w:val="continue"/>
            <w:vAlign w:val="center"/>
          </w:tcPr>
          <w:p w14:paraId="3016CB6F">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p>
        </w:tc>
        <w:tc>
          <w:tcPr>
            <w:tcW w:w="6423" w:type="dxa"/>
            <w:vAlign w:val="center"/>
          </w:tcPr>
          <w:p w14:paraId="071CF963">
            <w:pPr>
              <w:pStyle w:val="7"/>
              <w:jc w:val="left"/>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对突发事件的应急处置措施及处置方案(提出解决问题的措施，明确维护方法、周期、内容及技术保障,包含本项目所含主要分析设备的日常维护和常见故障诊断方法），是否切实有效等</w:t>
            </w:r>
            <w:r>
              <w:rPr>
                <w:rFonts w:hint="eastAsia" w:ascii="宋体" w:hAnsi="宋体" w:cs="宋体"/>
                <w:color w:val="auto"/>
                <w:kern w:val="2"/>
                <w:sz w:val="21"/>
                <w:szCs w:val="21"/>
                <w:highlight w:val="none"/>
                <w:lang w:val="en-US" w:eastAsia="zh-CN"/>
              </w:rPr>
              <w:t>进行打分。</w:t>
            </w:r>
          </w:p>
          <w:p w14:paraId="09D2478F">
            <w:pPr>
              <w:pStyle w:val="7"/>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方案针对本项目具有合理、全面性，针对性强，完全满足招标文件要求</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spacing w:val="-4"/>
                <w:szCs w:val="21"/>
                <w:highlight w:val="none"/>
                <w:lang w:val="en-US" w:eastAsia="zh-CN"/>
              </w:rPr>
              <w:t>4.0-6.0分；</w:t>
            </w:r>
          </w:p>
          <w:p w14:paraId="69C6B4AD">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方案基本全面、合理，基本满足招标文件要求</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spacing w:val="-4"/>
                <w:szCs w:val="21"/>
                <w:highlight w:val="none"/>
                <w:lang w:val="en-US" w:eastAsia="zh-CN"/>
              </w:rPr>
              <w:t>得2.0-3.9分</w:t>
            </w:r>
            <w:r>
              <w:rPr>
                <w:rFonts w:hint="eastAsia" w:ascii="宋体" w:hAnsi="宋体" w:cs="宋体"/>
                <w:color w:val="auto"/>
                <w:spacing w:val="-4"/>
                <w:szCs w:val="21"/>
                <w:highlight w:val="none"/>
                <w:lang w:val="en-US" w:eastAsia="zh-CN"/>
              </w:rPr>
              <w:t>；</w:t>
            </w:r>
          </w:p>
          <w:p w14:paraId="3948AF3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方案简单片面，</w:t>
            </w:r>
            <w:r>
              <w:rPr>
                <w:rFonts w:hint="eastAsia" w:ascii="宋体" w:hAnsi="宋体" w:eastAsia="宋体" w:cs="宋体"/>
                <w:color w:val="auto"/>
                <w:kern w:val="2"/>
                <w:sz w:val="21"/>
                <w:szCs w:val="21"/>
                <w:highlight w:val="none"/>
                <w:lang w:val="en-US" w:eastAsia="zh-CN"/>
              </w:rPr>
              <w:t>针对性较弱</w:t>
            </w:r>
            <w:r>
              <w:rPr>
                <w:rFonts w:hint="eastAsia" w:ascii="宋体" w:hAnsi="宋体" w:cs="宋体"/>
                <w:color w:val="auto"/>
                <w:kern w:val="2"/>
                <w:sz w:val="21"/>
                <w:szCs w:val="21"/>
                <w:highlight w:val="none"/>
                <w:lang w:val="en-US" w:eastAsia="zh-CN"/>
              </w:rPr>
              <w:t>的得0.1-1.9</w:t>
            </w:r>
            <w:r>
              <w:rPr>
                <w:rFonts w:hint="eastAsia" w:ascii="宋体" w:hAnsi="宋体" w:eastAsia="宋体" w:cs="宋体"/>
                <w:color w:val="auto"/>
                <w:kern w:val="2"/>
                <w:sz w:val="21"/>
                <w:szCs w:val="21"/>
                <w:highlight w:val="none"/>
                <w:lang w:val="en-US" w:eastAsia="zh-CN"/>
              </w:rPr>
              <w:t>分</w:t>
            </w:r>
            <w:r>
              <w:rPr>
                <w:rFonts w:hint="eastAsia" w:ascii="宋体" w:hAnsi="宋体" w:eastAsia="宋体" w:cs="宋体"/>
                <w:b w:val="0"/>
                <w:color w:val="auto"/>
                <w:kern w:val="2"/>
                <w:sz w:val="21"/>
                <w:szCs w:val="21"/>
                <w:highlight w:val="none"/>
                <w:lang w:val="en-US" w:eastAsia="zh-CN" w:bidi="ar-SA"/>
              </w:rPr>
              <w:t>；</w:t>
            </w:r>
          </w:p>
          <w:p w14:paraId="29D578C9">
            <w:pPr>
              <w:pStyle w:val="7"/>
              <w:jc w:val="left"/>
              <w:rPr>
                <w:rFonts w:hint="eastAsia" w:ascii="宋体" w:hAnsi="宋体" w:eastAsia="宋体" w:cs="宋体"/>
                <w:color w:val="auto"/>
                <w:kern w:val="0"/>
                <w:sz w:val="21"/>
                <w:szCs w:val="21"/>
                <w:highlight w:val="none"/>
                <w:lang w:eastAsia="zh-CN"/>
              </w:rPr>
            </w:pPr>
            <w:r>
              <w:rPr>
                <w:rFonts w:hint="eastAsia" w:ascii="宋体" w:hAnsi="宋体" w:eastAsia="宋体" w:cs="宋体"/>
                <w:b w:val="0"/>
                <w:color w:val="auto"/>
                <w:kern w:val="2"/>
                <w:sz w:val="21"/>
                <w:szCs w:val="21"/>
                <w:highlight w:val="none"/>
                <w:lang w:val="en-US" w:eastAsia="zh-CN" w:bidi="ar-SA"/>
              </w:rPr>
              <w:t>未提及此项不得</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kern w:val="2"/>
                <w:sz w:val="21"/>
                <w:szCs w:val="21"/>
                <w:highlight w:val="none"/>
                <w:lang w:val="en-US" w:eastAsia="zh-CN"/>
              </w:rPr>
              <w:t>。</w:t>
            </w:r>
          </w:p>
        </w:tc>
        <w:tc>
          <w:tcPr>
            <w:tcW w:w="606" w:type="dxa"/>
            <w:vAlign w:val="center"/>
          </w:tcPr>
          <w:p w14:paraId="47ED86AA">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p>
        </w:tc>
        <w:tc>
          <w:tcPr>
            <w:tcW w:w="606" w:type="dxa"/>
            <w:vAlign w:val="center"/>
          </w:tcPr>
          <w:p w14:paraId="7AACF51B">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6" w:type="dxa"/>
            <w:vAlign w:val="center"/>
          </w:tcPr>
          <w:p w14:paraId="7ABFE211">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4786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19FCC8AB">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p>
        </w:tc>
        <w:tc>
          <w:tcPr>
            <w:tcW w:w="1103" w:type="dxa"/>
            <w:vMerge w:val="continue"/>
            <w:vAlign w:val="center"/>
          </w:tcPr>
          <w:p w14:paraId="1C7D2A9A">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p>
        </w:tc>
        <w:tc>
          <w:tcPr>
            <w:tcW w:w="6423" w:type="dxa"/>
            <w:vAlign w:val="center"/>
          </w:tcPr>
          <w:p w14:paraId="2F2D96ED">
            <w:pPr>
              <w:pStyle w:val="7"/>
              <w:jc w:val="left"/>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5、根据</w:t>
            </w:r>
            <w:r>
              <w:rPr>
                <w:rFonts w:hint="eastAsia" w:ascii="宋体" w:hAnsi="宋体" w:eastAsia="宋体" w:cs="宋体"/>
                <w:color w:val="auto"/>
                <w:kern w:val="2"/>
                <w:sz w:val="21"/>
                <w:szCs w:val="21"/>
                <w:highlight w:val="none"/>
                <w:lang w:val="en-US" w:eastAsia="zh-CN"/>
              </w:rPr>
              <w:t>投标人</w:t>
            </w:r>
            <w:r>
              <w:rPr>
                <w:rFonts w:hint="eastAsia" w:ascii="宋体" w:hAnsi="宋体" w:cs="宋体"/>
                <w:color w:val="auto"/>
                <w:kern w:val="2"/>
                <w:sz w:val="21"/>
                <w:szCs w:val="21"/>
                <w:highlight w:val="none"/>
                <w:lang w:val="en-US" w:eastAsia="zh-CN"/>
              </w:rPr>
              <w:t>针对</w:t>
            </w:r>
            <w:r>
              <w:rPr>
                <w:rFonts w:hint="eastAsia" w:ascii="宋体" w:hAnsi="宋体" w:eastAsia="宋体" w:cs="宋体"/>
                <w:color w:val="auto"/>
                <w:kern w:val="2"/>
                <w:sz w:val="21"/>
                <w:szCs w:val="21"/>
                <w:highlight w:val="none"/>
                <w:lang w:val="en-US" w:eastAsia="zh-CN"/>
              </w:rPr>
              <w:t>本项目</w:t>
            </w:r>
            <w:r>
              <w:rPr>
                <w:rFonts w:hint="eastAsia" w:ascii="宋体" w:hAnsi="宋体" w:cs="宋体"/>
                <w:color w:val="auto"/>
                <w:kern w:val="2"/>
                <w:sz w:val="21"/>
                <w:szCs w:val="21"/>
                <w:highlight w:val="none"/>
                <w:lang w:val="en-US" w:eastAsia="zh-CN"/>
              </w:rPr>
              <w:t>提出</w:t>
            </w:r>
            <w:r>
              <w:rPr>
                <w:rFonts w:hint="eastAsia" w:ascii="宋体" w:hAnsi="宋体" w:eastAsia="宋体" w:cs="宋体"/>
                <w:color w:val="auto"/>
                <w:kern w:val="2"/>
                <w:sz w:val="21"/>
                <w:szCs w:val="21"/>
                <w:highlight w:val="none"/>
                <w:lang w:val="en-US" w:eastAsia="zh-CN"/>
              </w:rPr>
              <w:t>的合理化意见、建议内容（建议是否有助于系统提高运维效率，保证运维质量）等</w:t>
            </w:r>
            <w:r>
              <w:rPr>
                <w:rFonts w:hint="eastAsia" w:ascii="宋体" w:hAnsi="宋体" w:cs="宋体"/>
                <w:color w:val="auto"/>
                <w:kern w:val="2"/>
                <w:sz w:val="21"/>
                <w:szCs w:val="21"/>
                <w:highlight w:val="none"/>
                <w:lang w:val="en-US" w:eastAsia="zh-CN"/>
              </w:rPr>
              <w:t>进行打分。</w:t>
            </w:r>
          </w:p>
          <w:p w14:paraId="4517E355">
            <w:pPr>
              <w:pStyle w:val="7"/>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合理化意见合理、全面性，针对性强，完全有助于提高系统运维使用效率</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spacing w:val="-4"/>
                <w:szCs w:val="21"/>
                <w:highlight w:val="none"/>
                <w:lang w:val="en-US" w:eastAsia="zh-CN"/>
              </w:rPr>
              <w:t>4.0-6.0分；</w:t>
            </w:r>
          </w:p>
          <w:p w14:paraId="19216E1B">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合理化意见合理，</w:t>
            </w:r>
            <w:r>
              <w:rPr>
                <w:rFonts w:hint="eastAsia" w:ascii="宋体" w:hAnsi="宋体" w:cs="宋体"/>
                <w:color w:val="auto"/>
                <w:kern w:val="2"/>
                <w:sz w:val="21"/>
                <w:szCs w:val="21"/>
                <w:highlight w:val="none"/>
                <w:lang w:val="en-US" w:eastAsia="zh-CN"/>
              </w:rPr>
              <w:t>部分内容有欠缺的</w:t>
            </w:r>
            <w:r>
              <w:rPr>
                <w:rFonts w:hint="eastAsia" w:ascii="宋体" w:hAnsi="宋体" w:eastAsia="宋体" w:cs="宋体"/>
                <w:color w:val="auto"/>
                <w:spacing w:val="-4"/>
                <w:szCs w:val="21"/>
                <w:highlight w:val="none"/>
                <w:lang w:val="en-US" w:eastAsia="zh-CN"/>
              </w:rPr>
              <w:t>得2.0-3.9分</w:t>
            </w:r>
          </w:p>
          <w:p w14:paraId="0847C9D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合理化建议简单片面，</w:t>
            </w:r>
            <w:r>
              <w:rPr>
                <w:rFonts w:hint="eastAsia" w:ascii="宋体" w:hAnsi="宋体" w:eastAsia="宋体" w:cs="宋体"/>
                <w:color w:val="auto"/>
                <w:kern w:val="2"/>
                <w:sz w:val="21"/>
                <w:szCs w:val="21"/>
                <w:highlight w:val="none"/>
                <w:lang w:val="en-US" w:eastAsia="zh-CN"/>
              </w:rPr>
              <w:t>针对性较弱</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-1.9分</w:t>
            </w:r>
            <w:r>
              <w:rPr>
                <w:rFonts w:hint="eastAsia" w:ascii="宋体" w:hAnsi="宋体" w:eastAsia="宋体" w:cs="宋体"/>
                <w:b w:val="0"/>
                <w:color w:val="auto"/>
                <w:kern w:val="2"/>
                <w:sz w:val="21"/>
                <w:szCs w:val="21"/>
                <w:highlight w:val="none"/>
                <w:lang w:val="en-US" w:eastAsia="zh-CN" w:bidi="ar-SA"/>
              </w:rPr>
              <w:t>；</w:t>
            </w:r>
          </w:p>
          <w:p w14:paraId="34E31371">
            <w:pPr>
              <w:pStyle w:val="7"/>
              <w:jc w:val="left"/>
              <w:rPr>
                <w:rFonts w:hint="eastAsia" w:ascii="宋体" w:hAnsi="宋体" w:eastAsia="宋体" w:cs="宋体"/>
                <w:color w:val="auto"/>
                <w:kern w:val="0"/>
                <w:sz w:val="21"/>
                <w:szCs w:val="21"/>
                <w:highlight w:val="none"/>
                <w:lang w:eastAsia="zh-CN"/>
              </w:rPr>
            </w:pPr>
            <w:r>
              <w:rPr>
                <w:rFonts w:hint="eastAsia" w:ascii="宋体" w:hAnsi="宋体" w:eastAsia="宋体" w:cs="宋体"/>
                <w:b w:val="0"/>
                <w:color w:val="auto"/>
                <w:kern w:val="2"/>
                <w:sz w:val="21"/>
                <w:szCs w:val="21"/>
                <w:highlight w:val="none"/>
                <w:lang w:val="en-US" w:eastAsia="zh-CN" w:bidi="ar-SA"/>
              </w:rPr>
              <w:t>未提及此项不得</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kern w:val="2"/>
                <w:sz w:val="21"/>
                <w:szCs w:val="21"/>
                <w:highlight w:val="none"/>
                <w:lang w:val="en-US" w:eastAsia="zh-CN"/>
              </w:rPr>
              <w:t>。</w:t>
            </w:r>
          </w:p>
        </w:tc>
        <w:tc>
          <w:tcPr>
            <w:tcW w:w="606" w:type="dxa"/>
            <w:vAlign w:val="center"/>
          </w:tcPr>
          <w:p w14:paraId="4794D26A">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p>
        </w:tc>
        <w:tc>
          <w:tcPr>
            <w:tcW w:w="606" w:type="dxa"/>
            <w:vAlign w:val="center"/>
          </w:tcPr>
          <w:p w14:paraId="5DDA5E1E">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6" w:type="dxa"/>
            <w:vAlign w:val="center"/>
          </w:tcPr>
          <w:p w14:paraId="0C0887D1">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3353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056539D2">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p>
        </w:tc>
        <w:tc>
          <w:tcPr>
            <w:tcW w:w="1103" w:type="dxa"/>
            <w:vAlign w:val="center"/>
          </w:tcPr>
          <w:p w14:paraId="084BC6F7">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运维工作中重点、难点问题分析情况</w:t>
            </w:r>
          </w:p>
        </w:tc>
        <w:tc>
          <w:tcPr>
            <w:tcW w:w="6423" w:type="dxa"/>
            <w:vAlign w:val="center"/>
          </w:tcPr>
          <w:p w14:paraId="53CA4622">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根据投标人针对本项目运维工作中重点、难点问题进行分析并提出的解决方案进行打分。</w:t>
            </w:r>
          </w:p>
          <w:p w14:paraId="3F4F2CA5">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pacing w:val="-4"/>
                <w:sz w:val="21"/>
                <w:szCs w:val="21"/>
                <w:highlight w:val="none"/>
                <w:lang w:val="en-US" w:eastAsia="zh-CN"/>
              </w:rPr>
              <w:t>详细全面，</w:t>
            </w:r>
            <w:r>
              <w:rPr>
                <w:rFonts w:hint="eastAsia" w:ascii="宋体" w:hAnsi="宋体" w:eastAsia="宋体" w:cs="宋体"/>
                <w:b w:val="0"/>
                <w:color w:val="auto"/>
                <w:sz w:val="21"/>
                <w:szCs w:val="21"/>
                <w:highlight w:val="none"/>
              </w:rPr>
              <w:t>有清晰</w:t>
            </w:r>
            <w:r>
              <w:rPr>
                <w:rFonts w:hint="eastAsia" w:ascii="宋体" w:hAnsi="宋体" w:eastAsia="宋体" w:cs="宋体"/>
                <w:b w:val="0"/>
                <w:color w:val="auto"/>
                <w:sz w:val="21"/>
                <w:szCs w:val="21"/>
                <w:highlight w:val="none"/>
                <w:lang w:val="en-US" w:eastAsia="zh-CN"/>
              </w:rPr>
              <w:t>详尽</w:t>
            </w:r>
            <w:r>
              <w:rPr>
                <w:rFonts w:hint="eastAsia" w:ascii="宋体" w:hAnsi="宋体" w:eastAsia="宋体" w:cs="宋体"/>
                <w:b w:val="0"/>
                <w:color w:val="auto"/>
                <w:sz w:val="21"/>
                <w:szCs w:val="21"/>
                <w:highlight w:val="none"/>
              </w:rPr>
              <w:t>处理</w:t>
            </w:r>
            <w:r>
              <w:rPr>
                <w:rFonts w:hint="eastAsia" w:ascii="宋体" w:hAnsi="宋体" w:eastAsia="宋体" w:cs="宋体"/>
                <w:b w:val="0"/>
                <w:color w:val="auto"/>
                <w:sz w:val="21"/>
                <w:szCs w:val="21"/>
                <w:highlight w:val="none"/>
                <w:lang w:val="en-US" w:eastAsia="zh-CN"/>
              </w:rPr>
              <w:t>方法</w:t>
            </w:r>
            <w:r>
              <w:rPr>
                <w:rFonts w:hint="eastAsia" w:ascii="宋体" w:hAnsi="宋体" w:eastAsia="宋体" w:cs="宋体"/>
                <w:color w:val="auto"/>
                <w:spacing w:val="-4"/>
                <w:sz w:val="21"/>
                <w:szCs w:val="21"/>
                <w:highlight w:val="none"/>
                <w:lang w:val="en-US" w:eastAsia="zh-CN"/>
              </w:rPr>
              <w:t>的得</w:t>
            </w:r>
            <w:r>
              <w:rPr>
                <w:rFonts w:hint="eastAsia" w:ascii="宋体" w:hAnsi="宋体" w:eastAsia="宋体" w:cs="宋体"/>
                <w:b w:val="0"/>
                <w:color w:val="auto"/>
                <w:kern w:val="2"/>
                <w:sz w:val="21"/>
                <w:szCs w:val="21"/>
                <w:highlight w:val="none"/>
                <w:lang w:val="en-US" w:eastAsia="zh-CN" w:bidi="ar-SA"/>
              </w:rPr>
              <w:t>5.0-8.0分</w:t>
            </w:r>
            <w:r>
              <w:rPr>
                <w:rFonts w:hint="eastAsia" w:ascii="宋体" w:hAnsi="宋体" w:eastAsia="宋体" w:cs="宋体"/>
                <w:color w:val="auto"/>
                <w:spacing w:val="-4"/>
                <w:sz w:val="21"/>
                <w:szCs w:val="21"/>
                <w:highlight w:val="none"/>
                <w:lang w:val="en-US" w:eastAsia="zh-CN"/>
              </w:rPr>
              <w:t>；</w:t>
            </w:r>
          </w:p>
          <w:p w14:paraId="65F9143C">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分析内容较完善合理，</w:t>
            </w:r>
            <w:r>
              <w:rPr>
                <w:rFonts w:hint="eastAsia" w:ascii="宋体" w:hAnsi="宋体" w:eastAsia="宋体" w:cs="宋体"/>
                <w:b w:val="0"/>
                <w:color w:val="auto"/>
                <w:sz w:val="21"/>
                <w:szCs w:val="21"/>
                <w:highlight w:val="none"/>
              </w:rPr>
              <w:t>有处理</w:t>
            </w:r>
            <w:r>
              <w:rPr>
                <w:rFonts w:hint="eastAsia" w:ascii="宋体" w:hAnsi="宋体" w:eastAsia="宋体" w:cs="宋体"/>
                <w:b w:val="0"/>
                <w:color w:val="auto"/>
                <w:sz w:val="21"/>
                <w:szCs w:val="21"/>
                <w:highlight w:val="none"/>
                <w:lang w:val="en-US" w:eastAsia="zh-CN"/>
              </w:rPr>
              <w:t>方法</w:t>
            </w:r>
            <w:r>
              <w:rPr>
                <w:rFonts w:hint="eastAsia" w:ascii="宋体" w:hAnsi="宋体" w:eastAsia="宋体" w:cs="宋体"/>
                <w:b w:val="0"/>
                <w:color w:val="auto"/>
                <w:sz w:val="21"/>
                <w:szCs w:val="21"/>
                <w:highlight w:val="none"/>
              </w:rPr>
              <w:t>但</w:t>
            </w:r>
            <w:r>
              <w:rPr>
                <w:rFonts w:hint="eastAsia" w:ascii="宋体" w:hAnsi="宋体" w:eastAsia="宋体" w:cs="宋体"/>
                <w:b w:val="0"/>
                <w:color w:val="auto"/>
                <w:sz w:val="21"/>
                <w:szCs w:val="21"/>
                <w:highlight w:val="none"/>
                <w:lang w:val="en-US" w:eastAsia="zh-CN"/>
              </w:rPr>
              <w:t>阐述</w:t>
            </w:r>
            <w:r>
              <w:rPr>
                <w:rFonts w:hint="eastAsia" w:ascii="宋体" w:hAnsi="宋体" w:eastAsia="宋体" w:cs="宋体"/>
                <w:b w:val="0"/>
                <w:color w:val="auto"/>
                <w:sz w:val="21"/>
                <w:szCs w:val="21"/>
                <w:highlight w:val="none"/>
              </w:rPr>
              <w:t>不够详尽</w:t>
            </w:r>
            <w:r>
              <w:rPr>
                <w:rFonts w:hint="eastAsia" w:ascii="宋体" w:hAnsi="宋体" w:eastAsia="宋体" w:cs="宋体"/>
                <w:color w:val="auto"/>
                <w:spacing w:val="-4"/>
                <w:sz w:val="21"/>
                <w:szCs w:val="21"/>
                <w:highlight w:val="none"/>
                <w:lang w:val="en-US" w:eastAsia="zh-CN"/>
              </w:rPr>
              <w:t>的得2.0-4.9分；</w:t>
            </w:r>
          </w:p>
          <w:p w14:paraId="1D83BF67">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分析内容简单片面，措施缺乏合理性、可操作性的得0.1-1.9分；</w:t>
            </w:r>
          </w:p>
          <w:p w14:paraId="3F41A00E">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未提及此项不得分。</w:t>
            </w:r>
          </w:p>
        </w:tc>
        <w:tc>
          <w:tcPr>
            <w:tcW w:w="606" w:type="dxa"/>
            <w:vAlign w:val="center"/>
          </w:tcPr>
          <w:p w14:paraId="3DC4E526">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606" w:type="dxa"/>
            <w:vAlign w:val="center"/>
          </w:tcPr>
          <w:p w14:paraId="7CFE5246">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06" w:type="dxa"/>
            <w:vAlign w:val="center"/>
          </w:tcPr>
          <w:p w14:paraId="504F2BFD">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0959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6BCB0E15">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p>
        </w:tc>
        <w:tc>
          <w:tcPr>
            <w:tcW w:w="1103" w:type="dxa"/>
            <w:vAlign w:val="center"/>
          </w:tcPr>
          <w:p w14:paraId="43FEAD5A">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内部管理制度</w:t>
            </w:r>
          </w:p>
        </w:tc>
        <w:tc>
          <w:tcPr>
            <w:tcW w:w="6423" w:type="dxa"/>
            <w:vAlign w:val="center"/>
          </w:tcPr>
          <w:p w14:paraId="570A38B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u w:val="none"/>
                <w:lang w:val="en-US" w:eastAsia="zh-CN" w:bidi="ar-SA"/>
              </w:rPr>
              <w:t>根据投标人的内部管理制度（针对本项目情况科学、合理地采取管理）</w:t>
            </w:r>
            <w:r>
              <w:rPr>
                <w:rFonts w:hint="eastAsia" w:ascii="宋体" w:hAnsi="宋体" w:eastAsia="宋体" w:cs="宋体"/>
                <w:color w:val="auto"/>
                <w:sz w:val="21"/>
                <w:szCs w:val="21"/>
                <w:highlight w:val="none"/>
                <w:lang w:val="en-US" w:eastAsia="zh-CN"/>
              </w:rPr>
              <w:t>进行打分。</w:t>
            </w:r>
          </w:p>
          <w:p w14:paraId="503C65F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u w:val="none"/>
                <w:lang w:val="en-US" w:eastAsia="zh-CN" w:bidi="ar-SA"/>
              </w:rPr>
              <w:t>内部管理制度</w:t>
            </w:r>
            <w:r>
              <w:rPr>
                <w:rFonts w:hint="eastAsia" w:ascii="宋体" w:hAnsi="宋体" w:eastAsia="宋体" w:cs="宋体"/>
                <w:color w:val="auto"/>
                <w:sz w:val="21"/>
                <w:szCs w:val="21"/>
                <w:highlight w:val="none"/>
                <w:lang w:val="en-US" w:eastAsia="zh-CN"/>
              </w:rPr>
              <w:t>阐述全面，</w:t>
            </w:r>
            <w:r>
              <w:rPr>
                <w:rFonts w:hint="eastAsia" w:ascii="宋体" w:hAnsi="宋体" w:eastAsia="宋体" w:cs="宋体"/>
                <w:b w:val="0"/>
                <w:bCs w:val="0"/>
                <w:color w:val="auto"/>
                <w:sz w:val="21"/>
                <w:szCs w:val="21"/>
                <w:highlight w:val="none"/>
                <w:lang w:val="en-US" w:eastAsia="zh-CN"/>
              </w:rPr>
              <w:t>合理可行且</w:t>
            </w:r>
            <w:r>
              <w:rPr>
                <w:rFonts w:hint="eastAsia" w:ascii="宋体" w:hAnsi="宋体" w:eastAsia="宋体" w:cs="宋体"/>
                <w:color w:val="auto"/>
                <w:sz w:val="21"/>
                <w:szCs w:val="21"/>
                <w:highlight w:val="none"/>
                <w:lang w:val="en-US" w:eastAsia="zh-CN"/>
              </w:rPr>
              <w:t>有针对性</w:t>
            </w:r>
            <w:r>
              <w:rPr>
                <w:rFonts w:hint="eastAsia" w:ascii="宋体" w:hAnsi="宋体" w:eastAsia="宋体" w:cs="宋体"/>
                <w:b w:val="0"/>
                <w:bCs w:val="0"/>
                <w:color w:val="auto"/>
                <w:sz w:val="21"/>
                <w:szCs w:val="21"/>
                <w:highlight w:val="none"/>
                <w:lang w:val="en-US" w:eastAsia="zh-CN"/>
              </w:rPr>
              <w:t>，能</w:t>
            </w:r>
            <w:r>
              <w:rPr>
                <w:rFonts w:hint="eastAsia" w:ascii="宋体" w:hAnsi="宋体" w:eastAsia="宋体" w:cs="宋体"/>
                <w:color w:val="auto"/>
                <w:sz w:val="21"/>
                <w:szCs w:val="21"/>
                <w:highlight w:val="none"/>
                <w:lang w:val="en-US" w:eastAsia="zh-CN"/>
              </w:rPr>
              <w:t>有效保障项目服务质量的得</w:t>
            </w:r>
            <w:r>
              <w:rPr>
                <w:rFonts w:hint="eastAsia" w:ascii="宋体" w:hAnsi="宋体" w:eastAsia="宋体" w:cs="宋体"/>
                <w:color w:val="auto"/>
                <w:spacing w:val="-4"/>
                <w:szCs w:val="21"/>
                <w:highlight w:val="none"/>
                <w:lang w:val="en-US" w:eastAsia="zh-CN"/>
              </w:rPr>
              <w:t>4.0-6.0分；</w:t>
            </w:r>
          </w:p>
          <w:p w14:paraId="43D488E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u w:val="none"/>
                <w:lang w:val="en-US" w:eastAsia="zh-CN" w:bidi="ar-SA"/>
              </w:rPr>
              <w:t>内部管理制度</w:t>
            </w:r>
            <w:r>
              <w:rPr>
                <w:rFonts w:hint="eastAsia" w:ascii="宋体" w:hAnsi="宋体" w:eastAsia="宋体" w:cs="宋体"/>
                <w:color w:val="auto"/>
                <w:sz w:val="21"/>
                <w:szCs w:val="21"/>
                <w:highlight w:val="none"/>
                <w:lang w:val="en-US" w:eastAsia="zh-CN"/>
              </w:rPr>
              <w:t>阐述简单，基本能保障项目服务的</w:t>
            </w:r>
            <w:r>
              <w:rPr>
                <w:rFonts w:hint="eastAsia" w:ascii="宋体" w:hAnsi="宋体" w:eastAsia="宋体" w:cs="宋体"/>
                <w:color w:val="auto"/>
                <w:spacing w:val="-4"/>
                <w:szCs w:val="21"/>
                <w:highlight w:val="none"/>
                <w:lang w:val="en-US" w:eastAsia="zh-CN"/>
              </w:rPr>
              <w:t>得2.0-3.9分；</w:t>
            </w:r>
          </w:p>
          <w:p w14:paraId="19389A8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内容阐述片面切不完整，无法有效保障服务质量的得0.1-1.9分；</w:t>
            </w:r>
          </w:p>
          <w:p w14:paraId="2E0FE233">
            <w:pPr>
              <w:keepNext w:val="0"/>
              <w:keepLines w:val="0"/>
              <w:pageBreakBefore w:val="0"/>
              <w:kinsoku/>
              <w:wordWrap/>
              <w:overflowPunct/>
              <w:topLinePunct w:val="0"/>
              <w:autoSpaceDE w:val="0"/>
              <w:autoSpaceDN w:val="0"/>
              <w:bidi w:val="0"/>
              <w:adjustRightInd w:val="0"/>
              <w:spacing w:line="240" w:lineRule="auto"/>
              <w:ind w:left="0" w:leftChars="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606" w:type="dxa"/>
            <w:vAlign w:val="center"/>
          </w:tcPr>
          <w:p w14:paraId="28CB6EC6">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606" w:type="dxa"/>
            <w:vAlign w:val="center"/>
          </w:tcPr>
          <w:p w14:paraId="7E0E4C81">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06" w:type="dxa"/>
            <w:vAlign w:val="center"/>
          </w:tcPr>
          <w:p w14:paraId="31DC8EA1">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6F30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14:paraId="72CF8CA0">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p>
        </w:tc>
        <w:tc>
          <w:tcPr>
            <w:tcW w:w="1103" w:type="dxa"/>
            <w:vAlign w:val="center"/>
          </w:tcPr>
          <w:p w14:paraId="7E042614">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资料</w:t>
            </w:r>
            <w:r>
              <w:rPr>
                <w:rFonts w:hint="eastAsia" w:ascii="宋体" w:hAnsi="宋体" w:eastAsia="宋体" w:cs="宋体"/>
                <w:color w:val="auto"/>
                <w:sz w:val="21"/>
                <w:szCs w:val="21"/>
                <w:highlight w:val="none"/>
                <w:lang w:val="en-US" w:eastAsia="zh-CN"/>
              </w:rPr>
              <w:t>管理制度</w:t>
            </w:r>
          </w:p>
        </w:tc>
        <w:tc>
          <w:tcPr>
            <w:tcW w:w="6423" w:type="dxa"/>
            <w:vAlign w:val="center"/>
          </w:tcPr>
          <w:p w14:paraId="1695D3C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u w:val="none"/>
                <w:lang w:val="en-US" w:eastAsia="zh-CN" w:bidi="ar-SA"/>
              </w:rPr>
              <w:t>根据投标人</w:t>
            </w:r>
            <w:r>
              <w:rPr>
                <w:rFonts w:hint="eastAsia" w:ascii="宋体" w:hAnsi="宋体" w:cs="宋体"/>
                <w:b w:val="0"/>
                <w:bCs w:val="0"/>
                <w:color w:val="auto"/>
                <w:kern w:val="2"/>
                <w:sz w:val="21"/>
                <w:szCs w:val="21"/>
                <w:highlight w:val="none"/>
                <w:u w:val="none"/>
                <w:lang w:val="en-US" w:eastAsia="zh-CN" w:bidi="ar-SA"/>
              </w:rPr>
              <w:t>针对本项目制定的</w:t>
            </w:r>
            <w:r>
              <w:rPr>
                <w:rFonts w:hint="eastAsia" w:ascii="宋体" w:hAnsi="宋体" w:eastAsia="宋体" w:cs="宋体"/>
                <w:b w:val="0"/>
                <w:bCs w:val="0"/>
                <w:color w:val="auto"/>
                <w:kern w:val="2"/>
                <w:sz w:val="21"/>
                <w:szCs w:val="21"/>
                <w:highlight w:val="none"/>
                <w:u w:val="none"/>
                <w:lang w:val="en-US" w:eastAsia="zh-CN" w:bidi="ar-SA"/>
              </w:rPr>
              <w:t>的</w:t>
            </w:r>
            <w:r>
              <w:rPr>
                <w:rFonts w:hint="eastAsia" w:ascii="宋体" w:hAnsi="宋体" w:cs="宋体"/>
                <w:color w:val="auto"/>
                <w:sz w:val="21"/>
                <w:szCs w:val="21"/>
                <w:highlight w:val="none"/>
                <w:lang w:val="en-US" w:eastAsia="zh-CN"/>
              </w:rPr>
              <w:t>资料</w:t>
            </w:r>
            <w:r>
              <w:rPr>
                <w:rFonts w:hint="eastAsia" w:ascii="宋体" w:hAnsi="宋体" w:eastAsia="宋体" w:cs="宋体"/>
                <w:b w:val="0"/>
                <w:bCs w:val="0"/>
                <w:color w:val="auto"/>
                <w:kern w:val="2"/>
                <w:sz w:val="21"/>
                <w:szCs w:val="21"/>
                <w:highlight w:val="none"/>
                <w:u w:val="none"/>
                <w:lang w:val="en-US" w:eastAsia="zh-CN" w:bidi="ar-SA"/>
              </w:rPr>
              <w:t>管理制度</w:t>
            </w:r>
            <w:r>
              <w:rPr>
                <w:rFonts w:hint="eastAsia" w:ascii="宋体" w:hAnsi="宋体" w:eastAsia="宋体" w:cs="宋体"/>
                <w:color w:val="auto"/>
                <w:sz w:val="21"/>
                <w:szCs w:val="21"/>
                <w:highlight w:val="none"/>
                <w:lang w:val="en-US" w:eastAsia="zh-CN"/>
              </w:rPr>
              <w:t>进行打分。</w:t>
            </w:r>
          </w:p>
          <w:p w14:paraId="50765F39">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详细阐述具体的</w:t>
            </w:r>
            <w:r>
              <w:rPr>
                <w:rFonts w:hint="eastAsia" w:ascii="宋体" w:hAnsi="宋体" w:cs="宋体"/>
                <w:color w:val="auto"/>
                <w:sz w:val="21"/>
                <w:szCs w:val="21"/>
                <w:highlight w:val="none"/>
                <w:lang w:val="en-US" w:eastAsia="zh-CN"/>
              </w:rPr>
              <w:t>资料</w:t>
            </w:r>
            <w:r>
              <w:rPr>
                <w:rFonts w:hint="eastAsia" w:ascii="宋体" w:hAnsi="宋体" w:eastAsia="宋体" w:cs="宋体"/>
                <w:b w:val="0"/>
                <w:bCs w:val="0"/>
                <w:color w:val="auto"/>
                <w:kern w:val="2"/>
                <w:sz w:val="21"/>
                <w:szCs w:val="21"/>
                <w:highlight w:val="none"/>
                <w:u w:val="none"/>
                <w:lang w:val="en-US" w:eastAsia="zh-CN" w:bidi="ar-SA"/>
              </w:rPr>
              <w:t>管理制度</w:t>
            </w:r>
            <w:r>
              <w:rPr>
                <w:rFonts w:hint="eastAsia" w:ascii="宋体" w:hAnsi="宋体" w:eastAsia="宋体" w:cs="宋体"/>
                <w:bCs/>
                <w:color w:val="auto"/>
                <w:sz w:val="21"/>
                <w:szCs w:val="21"/>
                <w:highlight w:val="none"/>
              </w:rPr>
              <w:t>，措施全面可行，能够确保资料不被泄露的得3.</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-5.0分；</w:t>
            </w:r>
          </w:p>
          <w:p w14:paraId="699FA903">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资料</w:t>
            </w:r>
            <w:r>
              <w:rPr>
                <w:rFonts w:hint="eastAsia" w:ascii="宋体" w:hAnsi="宋体" w:eastAsia="宋体" w:cs="宋体"/>
                <w:b w:val="0"/>
                <w:bCs w:val="0"/>
                <w:color w:val="auto"/>
                <w:kern w:val="2"/>
                <w:sz w:val="21"/>
                <w:szCs w:val="21"/>
                <w:highlight w:val="none"/>
                <w:u w:val="none"/>
                <w:lang w:val="en-US" w:eastAsia="zh-CN" w:bidi="ar-SA"/>
              </w:rPr>
              <w:t>管理制度</w:t>
            </w:r>
            <w:r>
              <w:rPr>
                <w:rFonts w:hint="eastAsia" w:ascii="宋体" w:hAnsi="宋体" w:eastAsia="宋体" w:cs="宋体"/>
                <w:bCs/>
                <w:color w:val="auto"/>
                <w:sz w:val="21"/>
                <w:szCs w:val="21"/>
                <w:highlight w:val="none"/>
              </w:rPr>
              <w:t>简单，缺乏可行性，不能保障</w:t>
            </w:r>
            <w:r>
              <w:rPr>
                <w:rFonts w:hint="eastAsia" w:ascii="宋体" w:hAnsi="宋体" w:eastAsia="宋体" w:cs="宋体"/>
                <w:bCs/>
                <w:color w:val="auto"/>
                <w:sz w:val="21"/>
                <w:szCs w:val="21"/>
                <w:highlight w:val="none"/>
                <w:lang w:val="en-US" w:eastAsia="zh-CN"/>
              </w:rPr>
              <w:t>资料安全性</w:t>
            </w:r>
            <w:r>
              <w:rPr>
                <w:rFonts w:hint="eastAsia" w:ascii="宋体" w:hAnsi="宋体" w:eastAsia="宋体" w:cs="宋体"/>
                <w:bCs/>
                <w:color w:val="auto"/>
                <w:sz w:val="21"/>
                <w:szCs w:val="21"/>
                <w:highlight w:val="none"/>
              </w:rPr>
              <w:t>的得0.1-</w:t>
            </w:r>
            <w:r>
              <w:rPr>
                <w:rFonts w:hint="eastAsia" w:ascii="宋体" w:hAnsi="宋体" w:eastAsia="宋体" w:cs="宋体"/>
                <w:bCs/>
                <w:color w:val="auto"/>
                <w:sz w:val="21"/>
                <w:szCs w:val="21"/>
                <w:highlight w:val="none"/>
                <w:lang w:val="en-US" w:eastAsia="zh-CN"/>
              </w:rPr>
              <w:t>2.9</w:t>
            </w:r>
            <w:r>
              <w:rPr>
                <w:rFonts w:hint="eastAsia" w:ascii="宋体" w:hAnsi="宋体" w:eastAsia="宋体" w:cs="宋体"/>
                <w:bCs/>
                <w:color w:val="auto"/>
                <w:sz w:val="21"/>
                <w:szCs w:val="21"/>
                <w:highlight w:val="none"/>
              </w:rPr>
              <w:t>分；</w:t>
            </w:r>
          </w:p>
          <w:p w14:paraId="66B1E25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Cs/>
                <w:color w:val="auto"/>
                <w:sz w:val="21"/>
                <w:szCs w:val="21"/>
                <w:highlight w:val="none"/>
              </w:rPr>
              <w:t>未提及此项不得分。</w:t>
            </w:r>
          </w:p>
        </w:tc>
        <w:tc>
          <w:tcPr>
            <w:tcW w:w="606" w:type="dxa"/>
            <w:vAlign w:val="center"/>
          </w:tcPr>
          <w:p w14:paraId="774FE611">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06" w:type="dxa"/>
            <w:vAlign w:val="center"/>
          </w:tcPr>
          <w:p w14:paraId="0CA49335">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606" w:type="dxa"/>
            <w:vAlign w:val="center"/>
          </w:tcPr>
          <w:p w14:paraId="1E56D0D6">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051D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vMerge w:val="continue"/>
            <w:vAlign w:val="center"/>
          </w:tcPr>
          <w:p w14:paraId="35C70932">
            <w:pPr>
              <w:pStyle w:val="2"/>
              <w:keepNext w:val="0"/>
              <w:keepLines w:val="0"/>
              <w:pageBreakBefore w:val="0"/>
              <w:kinsoku/>
              <w:wordWrap/>
              <w:overflowPunct/>
              <w:topLinePunct w:val="0"/>
              <w:bidi w:val="0"/>
              <w:spacing w:after="0" w:line="240" w:lineRule="auto"/>
              <w:ind w:left="0"/>
              <w:jc w:val="center"/>
              <w:textAlignment w:val="auto"/>
              <w:rPr>
                <w:rFonts w:hint="eastAsia" w:ascii="宋体" w:hAnsi="宋体" w:eastAsia="宋体" w:cs="宋体"/>
                <w:color w:val="auto"/>
                <w:sz w:val="21"/>
                <w:szCs w:val="21"/>
                <w:highlight w:val="none"/>
              </w:rPr>
            </w:pPr>
          </w:p>
        </w:tc>
        <w:tc>
          <w:tcPr>
            <w:tcW w:w="1103" w:type="dxa"/>
            <w:vAlign w:val="center"/>
          </w:tcPr>
          <w:p w14:paraId="2F366B1B">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zh-CN" w:eastAsia="zh-CN" w:bidi="ar-SA"/>
              </w:rPr>
              <w:t>售后服务保障能力</w:t>
            </w:r>
          </w:p>
        </w:tc>
        <w:tc>
          <w:tcPr>
            <w:tcW w:w="6423" w:type="dxa"/>
            <w:vAlign w:val="center"/>
          </w:tcPr>
          <w:p w14:paraId="38861D63">
            <w:pPr>
              <w:pStyle w:val="7"/>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lang w:val="en-US" w:eastAsia="zh-CN"/>
              </w:rPr>
              <w:t>投标人提供的售后服务方案（包括但不限于服务便利性、解决问题流程等）</w:t>
            </w:r>
            <w:r>
              <w:rPr>
                <w:rFonts w:hint="eastAsia" w:ascii="宋体" w:hAnsi="宋体" w:cs="宋体"/>
                <w:color w:val="auto"/>
                <w:kern w:val="2"/>
                <w:sz w:val="21"/>
                <w:szCs w:val="21"/>
                <w:highlight w:val="none"/>
                <w:lang w:val="en-US" w:eastAsia="zh-CN"/>
              </w:rPr>
              <w:t>进行打分。</w:t>
            </w:r>
          </w:p>
          <w:p w14:paraId="3819075D">
            <w:pPr>
              <w:pStyle w:val="7"/>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服务方案全面</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后续技术保障措施合理有效</w:t>
            </w:r>
            <w:r>
              <w:rPr>
                <w:rFonts w:hint="eastAsia" w:ascii="宋体" w:hAnsi="宋体" w:cs="宋体"/>
                <w:color w:val="auto"/>
                <w:kern w:val="2"/>
                <w:sz w:val="21"/>
                <w:szCs w:val="21"/>
                <w:highlight w:val="none"/>
                <w:lang w:val="en-US" w:eastAsia="zh-CN"/>
              </w:rPr>
              <w:t>的得4.0</w:t>
            </w:r>
            <w:r>
              <w:rPr>
                <w:rFonts w:hint="eastAsia" w:ascii="宋体" w:hAnsi="宋体" w:eastAsia="宋体" w:cs="宋体"/>
                <w:color w:val="auto"/>
                <w:kern w:val="2"/>
                <w:sz w:val="21"/>
                <w:szCs w:val="21"/>
                <w:highlight w:val="none"/>
                <w:lang w:val="en-US" w:eastAsia="zh-CN"/>
              </w:rPr>
              <w:t>-6</w:t>
            </w:r>
            <w:r>
              <w:rPr>
                <w:rFonts w:hint="eastAsia" w:ascii="宋体"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lang w:val="en-US" w:eastAsia="zh-CN"/>
              </w:rPr>
              <w:t>分；</w:t>
            </w:r>
          </w:p>
          <w:p w14:paraId="667B8EAB">
            <w:pPr>
              <w:pStyle w:val="7"/>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服务方案阐述较详尽，后续技术保障措施有欠缺</w:t>
            </w:r>
            <w:r>
              <w:rPr>
                <w:rFonts w:hint="eastAsia" w:ascii="宋体" w:hAnsi="宋体" w:cs="宋体"/>
                <w:color w:val="auto"/>
                <w:kern w:val="2"/>
                <w:sz w:val="21"/>
                <w:szCs w:val="21"/>
                <w:highlight w:val="none"/>
                <w:lang w:val="en-US" w:eastAsia="zh-CN"/>
              </w:rPr>
              <w:t>的得2.0-3</w:t>
            </w:r>
            <w:r>
              <w:rPr>
                <w:rFonts w:hint="eastAsia" w:ascii="宋体" w:hAnsi="宋体" w:eastAsia="宋体" w:cs="宋体"/>
                <w:color w:val="auto"/>
                <w:kern w:val="2"/>
                <w:sz w:val="21"/>
                <w:szCs w:val="21"/>
                <w:highlight w:val="none"/>
                <w:lang w:val="en-US" w:eastAsia="zh-CN"/>
              </w:rPr>
              <w:t>.9分；</w:t>
            </w:r>
          </w:p>
          <w:p w14:paraId="402886F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服务方案阐述不足，后续的技术支持力量薄弱，保障措施简单或部分不满足</w:t>
            </w:r>
            <w:r>
              <w:rPr>
                <w:rFonts w:hint="eastAsia" w:ascii="宋体" w:hAnsi="宋体" w:cs="宋体"/>
                <w:color w:val="auto"/>
                <w:kern w:val="2"/>
                <w:sz w:val="21"/>
                <w:szCs w:val="21"/>
                <w:highlight w:val="none"/>
                <w:lang w:val="en-US" w:eastAsia="zh-CN"/>
              </w:rPr>
              <w:t>的得</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.9分</w:t>
            </w:r>
            <w:r>
              <w:rPr>
                <w:rFonts w:hint="eastAsia" w:ascii="宋体" w:hAnsi="宋体" w:eastAsia="宋体" w:cs="宋体"/>
                <w:b w:val="0"/>
                <w:color w:val="auto"/>
                <w:kern w:val="2"/>
                <w:sz w:val="21"/>
                <w:szCs w:val="21"/>
                <w:highlight w:val="none"/>
                <w:lang w:val="en-US" w:eastAsia="zh-CN" w:bidi="ar-SA"/>
              </w:rPr>
              <w:t>；</w:t>
            </w:r>
          </w:p>
          <w:p w14:paraId="6DC7AABD">
            <w:pPr>
              <w:pStyle w:val="7"/>
              <w:rPr>
                <w:rFonts w:hint="eastAsia" w:ascii="宋体" w:hAnsi="宋体" w:eastAsia="宋体" w:cs="宋体"/>
                <w:color w:val="auto"/>
                <w:kern w:val="0"/>
                <w:sz w:val="21"/>
                <w:szCs w:val="21"/>
                <w:highlight w:val="none"/>
                <w:lang w:eastAsia="zh-CN"/>
              </w:rPr>
            </w:pPr>
            <w:r>
              <w:rPr>
                <w:rFonts w:hint="eastAsia" w:ascii="宋体" w:hAnsi="宋体" w:eastAsia="宋体" w:cs="宋体"/>
                <w:b w:val="0"/>
                <w:color w:val="auto"/>
                <w:kern w:val="2"/>
                <w:sz w:val="21"/>
                <w:szCs w:val="21"/>
                <w:highlight w:val="none"/>
                <w:lang w:val="en-US" w:eastAsia="zh-CN" w:bidi="ar-SA"/>
              </w:rPr>
              <w:t>未提及此项不得</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kern w:val="2"/>
                <w:sz w:val="21"/>
                <w:szCs w:val="21"/>
                <w:highlight w:val="none"/>
                <w:lang w:val="en-US" w:eastAsia="zh-CN"/>
              </w:rPr>
              <w:t>。</w:t>
            </w:r>
          </w:p>
        </w:tc>
        <w:tc>
          <w:tcPr>
            <w:tcW w:w="606" w:type="dxa"/>
            <w:vAlign w:val="center"/>
          </w:tcPr>
          <w:p w14:paraId="1FAF21F4">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p>
        </w:tc>
        <w:tc>
          <w:tcPr>
            <w:tcW w:w="606" w:type="dxa"/>
            <w:vAlign w:val="center"/>
          </w:tcPr>
          <w:p w14:paraId="5CFBD7CA">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6" w:type="dxa"/>
            <w:vAlign w:val="center"/>
          </w:tcPr>
          <w:p w14:paraId="1A6B2C5A">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bl>
    <w:p w14:paraId="7E6EFBA6">
      <w:pPr>
        <w:spacing w:line="360" w:lineRule="auto"/>
        <w:jc w:val="center"/>
        <w:rPr>
          <w:rFonts w:hint="eastAsia" w:ascii="宋体" w:hAnsi="宋体" w:eastAsia="宋体" w:cs="宋体"/>
          <w:color w:val="auto"/>
          <w:sz w:val="21"/>
          <w:szCs w:val="21"/>
          <w:highlight w:val="none"/>
          <w:lang w:val="zh-CN"/>
        </w:rPr>
      </w:pPr>
    </w:p>
    <w:p w14:paraId="383D79D6">
      <w:pPr>
        <w:pStyle w:val="38"/>
        <w:shd w:val="clear" w:color="auto" w:fill="FFFFFF"/>
        <w:spacing w:before="0" w:beforeAutospacing="0" w:after="0" w:afterAutospacing="0" w:line="240" w:lineRule="auto"/>
        <w:jc w:val="both"/>
        <w:rPr>
          <w:rFonts w:hint="eastAsia" w:ascii="宋体" w:hAnsi="宋体" w:eastAsia="宋体" w:cs="宋体"/>
          <w:b/>
          <w:color w:val="auto"/>
          <w:sz w:val="32"/>
          <w:szCs w:val="32"/>
          <w:highlight w:val="none"/>
        </w:rPr>
      </w:pPr>
    </w:p>
    <w:p w14:paraId="788EBE08">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0689568A">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7</w:t>
      </w:r>
    </w:p>
    <w:p w14:paraId="789700AA">
      <w:pPr>
        <w:pStyle w:val="38"/>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1"/>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0821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5BF8960">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7DCF3379">
            <w:pPr>
              <w:pStyle w:val="38"/>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7D7909DE">
            <w:pPr>
              <w:pStyle w:val="38"/>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2520E2B0">
            <w:pPr>
              <w:pStyle w:val="38"/>
              <w:shd w:val="clear" w:color="auto" w:fill="FFFFFF"/>
              <w:spacing w:line="240" w:lineRule="auto"/>
              <w:rPr>
                <w:rFonts w:hint="eastAsia" w:ascii="宋体" w:hAnsi="宋体" w:eastAsia="宋体" w:cs="宋体"/>
                <w:bCs/>
                <w:color w:val="auto"/>
                <w:sz w:val="21"/>
                <w:szCs w:val="21"/>
                <w:highlight w:val="none"/>
              </w:rPr>
            </w:pPr>
          </w:p>
        </w:tc>
      </w:tr>
      <w:tr w14:paraId="209E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3AC26414">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00D1FC1D">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BC0B7E5">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1973A91B">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5926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60BC35D">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1B9F6ED8">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428775E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11B60D8C">
            <w:pPr>
              <w:widowControl/>
              <w:spacing w:line="240" w:lineRule="auto"/>
              <w:jc w:val="left"/>
              <w:rPr>
                <w:rFonts w:hint="eastAsia" w:ascii="宋体" w:hAnsi="宋体" w:eastAsia="宋体" w:cs="宋体"/>
                <w:bCs/>
                <w:color w:val="auto"/>
                <w:spacing w:val="16"/>
                <w:kern w:val="0"/>
                <w:sz w:val="21"/>
                <w:szCs w:val="21"/>
                <w:highlight w:val="none"/>
              </w:rPr>
            </w:pPr>
          </w:p>
          <w:p w14:paraId="71BC50AE">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6C2CD9C">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3AA38556">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r>
      <w:tr w14:paraId="2020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45C901C2">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4829EE63">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2175AAD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169E3B16">
            <w:pPr>
              <w:widowControl/>
              <w:spacing w:line="240" w:lineRule="auto"/>
              <w:jc w:val="left"/>
              <w:rPr>
                <w:rFonts w:hint="eastAsia" w:ascii="宋体" w:hAnsi="宋体" w:eastAsia="宋体" w:cs="宋体"/>
                <w:bCs/>
                <w:color w:val="auto"/>
                <w:spacing w:val="16"/>
                <w:kern w:val="0"/>
                <w:sz w:val="21"/>
                <w:szCs w:val="21"/>
                <w:highlight w:val="none"/>
              </w:rPr>
            </w:pPr>
          </w:p>
          <w:p w14:paraId="40D5C7D6">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22762F89">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11B0B689">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4A04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403A30C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22269D2A">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1A3E30AB">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54FAFB6">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7F4BA632">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01A259BB">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782E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82A06FF">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F70DF3B">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4937553D">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17E01C38">
            <w:pPr>
              <w:pStyle w:val="38"/>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EA50AEF">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5E6B401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A83A9A4">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7C20A122">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7AA65C0F">
            <w:pPr>
              <w:widowControl/>
              <w:spacing w:line="240" w:lineRule="auto"/>
              <w:jc w:val="left"/>
              <w:rPr>
                <w:rFonts w:hint="eastAsia" w:ascii="宋体" w:hAnsi="宋体" w:eastAsia="宋体" w:cs="宋体"/>
                <w:bCs/>
                <w:color w:val="auto"/>
                <w:spacing w:val="16"/>
                <w:kern w:val="0"/>
                <w:sz w:val="21"/>
                <w:szCs w:val="21"/>
                <w:highlight w:val="none"/>
              </w:rPr>
            </w:pPr>
          </w:p>
          <w:p w14:paraId="6B157556">
            <w:pPr>
              <w:widowControl/>
              <w:spacing w:line="240" w:lineRule="auto"/>
              <w:jc w:val="left"/>
              <w:rPr>
                <w:rFonts w:hint="eastAsia" w:ascii="宋体" w:hAnsi="宋体" w:eastAsia="宋体" w:cs="宋体"/>
                <w:bCs/>
                <w:color w:val="auto"/>
                <w:spacing w:val="16"/>
                <w:kern w:val="0"/>
                <w:sz w:val="21"/>
                <w:szCs w:val="21"/>
                <w:highlight w:val="none"/>
              </w:rPr>
            </w:pPr>
          </w:p>
          <w:p w14:paraId="38A04BB0">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47401479">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5798D709">
            <w:pPr>
              <w:widowControl/>
              <w:spacing w:line="240" w:lineRule="auto"/>
              <w:jc w:val="left"/>
              <w:rPr>
                <w:rFonts w:hint="eastAsia" w:ascii="宋体" w:hAnsi="宋体" w:eastAsia="宋体" w:cs="宋体"/>
                <w:bCs/>
                <w:color w:val="auto"/>
                <w:spacing w:val="16"/>
                <w:kern w:val="0"/>
                <w:sz w:val="21"/>
                <w:szCs w:val="21"/>
                <w:highlight w:val="none"/>
              </w:rPr>
            </w:pPr>
          </w:p>
          <w:p w14:paraId="45A68FDC">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1F36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220D67B">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28840AAA">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3ADD9585">
            <w:pPr>
              <w:pStyle w:val="38"/>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06D87D62">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34C8A319">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2E706BED">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5C3B9F4E">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A162833">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66B2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2CB2F64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1CE4B82A">
            <w:pPr>
              <w:pStyle w:val="38"/>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64424E65">
            <w:pPr>
              <w:pStyle w:val="38"/>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2F0E9F00">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2F774CA7">
            <w:pPr>
              <w:widowControl/>
              <w:spacing w:line="240" w:lineRule="auto"/>
              <w:jc w:val="left"/>
              <w:rPr>
                <w:rFonts w:hint="eastAsia" w:ascii="宋体" w:hAnsi="宋体" w:eastAsia="宋体" w:cs="宋体"/>
                <w:bCs/>
                <w:color w:val="auto"/>
                <w:kern w:val="0"/>
                <w:sz w:val="21"/>
                <w:szCs w:val="21"/>
                <w:highlight w:val="none"/>
              </w:rPr>
            </w:pPr>
          </w:p>
          <w:p w14:paraId="009D7CA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11670049">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6C7C58DF">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10EC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7A0F0BD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5310914B">
            <w:pPr>
              <w:pStyle w:val="38"/>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16FEA300">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4F3E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7EAC058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752CA810">
            <w:pPr>
              <w:pStyle w:val="38"/>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25EE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3B20F71E">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550F05D6">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0C08B74A">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03402B1C">
            <w:pPr>
              <w:pStyle w:val="38"/>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E232070">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6C19937">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8837FD5">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2C2BBBE">
            <w:pPr>
              <w:pStyle w:val="38"/>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256F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76FDE1B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356AC7C9">
            <w:pPr>
              <w:pStyle w:val="38"/>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78926122">
            <w:pPr>
              <w:pStyle w:val="38"/>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042CB54F">
            <w:pPr>
              <w:pStyle w:val="38"/>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193D1FE1">
            <w:pPr>
              <w:pStyle w:val="38"/>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52AA31E6">
            <w:pPr>
              <w:pStyle w:val="38"/>
              <w:shd w:val="clear" w:color="auto" w:fill="FFFFFF"/>
              <w:spacing w:line="240" w:lineRule="auto"/>
              <w:rPr>
                <w:rFonts w:hint="eastAsia" w:ascii="宋体" w:hAnsi="宋体" w:eastAsia="宋体" w:cs="宋体"/>
                <w:bCs/>
                <w:color w:val="auto"/>
                <w:sz w:val="21"/>
                <w:szCs w:val="21"/>
                <w:highlight w:val="none"/>
              </w:rPr>
            </w:pPr>
          </w:p>
        </w:tc>
      </w:tr>
      <w:tr w14:paraId="7A36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604FAA8E">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069FC200">
            <w:pPr>
              <w:pStyle w:val="38"/>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4D9142D">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45C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3EF115B7">
            <w:pPr>
              <w:pStyle w:val="38"/>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73CE04C8">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6AFDA319">
            <w:pPr>
              <w:pStyle w:val="38"/>
              <w:shd w:val="clear" w:color="auto" w:fill="FFFFFF"/>
              <w:spacing w:line="240" w:lineRule="auto"/>
              <w:rPr>
                <w:rFonts w:hint="eastAsia" w:ascii="宋体" w:hAnsi="宋体" w:eastAsia="宋体" w:cs="宋体"/>
                <w:bCs/>
                <w:color w:val="auto"/>
                <w:spacing w:val="16"/>
                <w:sz w:val="21"/>
                <w:szCs w:val="21"/>
                <w:highlight w:val="none"/>
              </w:rPr>
            </w:pPr>
          </w:p>
        </w:tc>
      </w:tr>
    </w:tbl>
    <w:p w14:paraId="44F59EA4">
      <w:pPr>
        <w:pStyle w:val="38"/>
        <w:shd w:val="clear" w:color="auto" w:fill="FFFFFF"/>
        <w:spacing w:before="0" w:beforeAutospacing="0" w:after="0" w:afterAutospacing="0" w:line="360" w:lineRule="auto"/>
        <w:rPr>
          <w:rFonts w:hint="eastAsia" w:ascii="宋体" w:hAnsi="宋体" w:eastAsia="宋体" w:cs="宋体"/>
          <w:color w:val="auto"/>
          <w:highlight w:val="none"/>
        </w:rPr>
      </w:pPr>
    </w:p>
    <w:p w14:paraId="7A9B29E4">
      <w:pPr>
        <w:pStyle w:val="38"/>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7259086">
      <w:pPr>
        <w:pStyle w:val="38"/>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1F4C7C4E">
      <w:pPr>
        <w:spacing w:line="360" w:lineRule="auto"/>
        <w:rPr>
          <w:rFonts w:hint="eastAsia" w:ascii="宋体" w:hAnsi="宋体" w:eastAsia="宋体" w:cs="宋体"/>
          <w:color w:val="auto"/>
          <w:sz w:val="21"/>
          <w:szCs w:val="21"/>
          <w:highlight w:val="none"/>
        </w:rPr>
      </w:pPr>
    </w:p>
    <w:p w14:paraId="68C4311E">
      <w:pPr>
        <w:spacing w:line="360" w:lineRule="auto"/>
        <w:rPr>
          <w:rFonts w:hint="eastAsia" w:ascii="宋体" w:hAnsi="宋体" w:eastAsia="宋体" w:cs="宋体"/>
          <w:color w:val="auto"/>
          <w:sz w:val="21"/>
          <w:szCs w:val="21"/>
          <w:highlight w:val="none"/>
        </w:rPr>
      </w:pPr>
    </w:p>
    <w:p w14:paraId="0A2DB97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8D8C206">
      <w:pPr>
        <w:spacing w:line="360" w:lineRule="auto"/>
        <w:ind w:left="420"/>
        <w:rPr>
          <w:rFonts w:hint="eastAsia" w:ascii="宋体" w:hAnsi="宋体" w:eastAsia="宋体" w:cs="宋体"/>
          <w:color w:val="auto"/>
          <w:sz w:val="21"/>
          <w:szCs w:val="21"/>
          <w:highlight w:val="none"/>
        </w:rPr>
      </w:pPr>
    </w:p>
    <w:p w14:paraId="4213CE13">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2633271">
      <w:pPr>
        <w:spacing w:line="360" w:lineRule="auto"/>
        <w:rPr>
          <w:rFonts w:hint="eastAsia" w:ascii="宋体" w:hAnsi="宋体" w:eastAsia="宋体" w:cs="宋体"/>
          <w:color w:val="auto"/>
          <w:sz w:val="21"/>
          <w:szCs w:val="21"/>
          <w:highlight w:val="none"/>
        </w:rPr>
      </w:pPr>
    </w:p>
    <w:p w14:paraId="501DC473">
      <w:pPr>
        <w:pStyle w:val="38"/>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A68A243">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59312655">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3166D7A">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17D198">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3FAEC33">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000F400">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825A5EA">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5E6A56E">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914AF">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AE890D">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02164">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DCB6987">
      <w:pPr>
        <w:pStyle w:val="38"/>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4692B9A">
      <w:pPr>
        <w:pStyle w:val="38"/>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702ACD62">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D2640AB">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1"/>
        <w:tblW w:w="9176"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79"/>
        <w:gridCol w:w="868"/>
        <w:gridCol w:w="921"/>
        <w:gridCol w:w="1500"/>
        <w:gridCol w:w="1296"/>
        <w:gridCol w:w="1415"/>
        <w:gridCol w:w="1558"/>
      </w:tblGrid>
      <w:tr w14:paraId="105C2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vAlign w:val="center"/>
          </w:tcPr>
          <w:p w14:paraId="0831A713">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 w:type="dxa"/>
            <w:tcBorders>
              <w:top w:val="single" w:color="auto" w:sz="4" w:space="0"/>
              <w:left w:val="single" w:color="auto" w:sz="4" w:space="0"/>
              <w:bottom w:val="single" w:color="auto" w:sz="4" w:space="0"/>
              <w:right w:val="single" w:color="auto" w:sz="4" w:space="0"/>
            </w:tcBorders>
            <w:vAlign w:val="center"/>
          </w:tcPr>
          <w:p w14:paraId="79AFE88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8" w:type="dxa"/>
            <w:tcBorders>
              <w:top w:val="single" w:color="auto" w:sz="4" w:space="0"/>
              <w:left w:val="single" w:color="auto" w:sz="4" w:space="0"/>
              <w:bottom w:val="single" w:color="auto" w:sz="4" w:space="0"/>
              <w:right w:val="single" w:color="auto" w:sz="4" w:space="0"/>
            </w:tcBorders>
            <w:vAlign w:val="center"/>
          </w:tcPr>
          <w:p w14:paraId="45DEC962">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1" w:type="dxa"/>
            <w:tcBorders>
              <w:top w:val="single" w:color="auto" w:sz="4" w:space="0"/>
              <w:left w:val="single" w:color="auto" w:sz="4" w:space="0"/>
              <w:bottom w:val="single" w:color="auto" w:sz="4" w:space="0"/>
              <w:right w:val="single" w:color="auto" w:sz="4" w:space="0"/>
            </w:tcBorders>
            <w:vAlign w:val="center"/>
          </w:tcPr>
          <w:p w14:paraId="5A2B26C6">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00" w:type="dxa"/>
            <w:tcBorders>
              <w:top w:val="single" w:color="auto" w:sz="4" w:space="0"/>
              <w:left w:val="single" w:color="auto" w:sz="4" w:space="0"/>
              <w:bottom w:val="single" w:color="auto" w:sz="4" w:space="0"/>
              <w:right w:val="single" w:color="auto" w:sz="4" w:space="0"/>
            </w:tcBorders>
            <w:vAlign w:val="center"/>
          </w:tcPr>
          <w:p w14:paraId="245E4D00">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96" w:type="dxa"/>
            <w:tcBorders>
              <w:top w:val="single" w:color="auto" w:sz="4" w:space="0"/>
              <w:left w:val="single" w:color="auto" w:sz="4" w:space="0"/>
              <w:bottom w:val="single" w:color="auto" w:sz="4" w:space="0"/>
              <w:right w:val="single" w:color="auto" w:sz="4" w:space="0"/>
            </w:tcBorders>
            <w:vAlign w:val="center"/>
          </w:tcPr>
          <w:p w14:paraId="5FAC797D">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5" w:type="dxa"/>
            <w:tcBorders>
              <w:top w:val="single" w:color="auto" w:sz="4" w:space="0"/>
              <w:left w:val="single" w:color="auto" w:sz="4" w:space="0"/>
              <w:bottom w:val="single" w:color="auto" w:sz="4" w:space="0"/>
              <w:right w:val="single" w:color="auto" w:sz="4" w:space="0"/>
            </w:tcBorders>
            <w:vAlign w:val="center"/>
          </w:tcPr>
          <w:p w14:paraId="4369C77A">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8" w:type="dxa"/>
            <w:tcBorders>
              <w:top w:val="single" w:color="auto" w:sz="4" w:space="0"/>
              <w:left w:val="single" w:color="auto" w:sz="4" w:space="0"/>
              <w:bottom w:val="single" w:color="auto" w:sz="4" w:space="0"/>
            </w:tcBorders>
            <w:vAlign w:val="center"/>
          </w:tcPr>
          <w:p w14:paraId="550CBA51">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50E3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1EC9EDA2">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1AC4731">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6468EE83">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8EDE90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B20CB5">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5EE93CA3">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57647B8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9D3C14B">
            <w:pPr>
              <w:snapToGrid w:val="0"/>
              <w:spacing w:beforeLines="50" w:after="50" w:line="360" w:lineRule="auto"/>
              <w:rPr>
                <w:rFonts w:hint="eastAsia" w:ascii="宋体" w:hAnsi="宋体" w:eastAsia="宋体" w:cs="宋体"/>
                <w:b/>
                <w:color w:val="auto"/>
                <w:kern w:val="44"/>
                <w:sz w:val="21"/>
                <w:szCs w:val="21"/>
                <w:highlight w:val="none"/>
              </w:rPr>
            </w:pPr>
          </w:p>
        </w:tc>
      </w:tr>
      <w:tr w14:paraId="00A2F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4160DE3A">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FF16D2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3D5F9E2C">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260985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22CAD951">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59F7C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7A209B1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52168B68">
            <w:pPr>
              <w:snapToGrid w:val="0"/>
              <w:spacing w:beforeLines="50" w:after="50" w:line="360" w:lineRule="auto"/>
              <w:rPr>
                <w:rFonts w:hint="eastAsia" w:ascii="宋体" w:hAnsi="宋体" w:eastAsia="宋体" w:cs="宋体"/>
                <w:b/>
                <w:color w:val="auto"/>
                <w:kern w:val="44"/>
                <w:sz w:val="21"/>
                <w:szCs w:val="21"/>
                <w:highlight w:val="none"/>
              </w:rPr>
            </w:pPr>
          </w:p>
        </w:tc>
      </w:tr>
      <w:tr w14:paraId="52CFF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9D720F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307DE5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CDEF35">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4B0530B">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3E53706">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8EE7A70">
            <w:pPr>
              <w:pStyle w:val="11"/>
              <w:spacing w:line="360" w:lineRule="auto"/>
              <w:ind w:left="5250"/>
              <w:rPr>
                <w:rFonts w:hint="eastAsia" w:ascii="宋体" w:hAnsi="宋体" w:eastAsia="宋体" w:cs="宋体"/>
                <w:color w:val="auto"/>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30833D87">
            <w:pPr>
              <w:snapToGrid w:val="0"/>
              <w:spacing w:beforeLines="50" w:after="50" w:line="360" w:lineRule="auto"/>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tcBorders>
          </w:tcPr>
          <w:p w14:paraId="51C2F9D0">
            <w:pPr>
              <w:snapToGrid w:val="0"/>
              <w:spacing w:beforeLines="50" w:after="50" w:line="360" w:lineRule="auto"/>
              <w:rPr>
                <w:rFonts w:hint="eastAsia" w:ascii="宋体" w:hAnsi="宋体" w:eastAsia="宋体" w:cs="宋体"/>
                <w:b/>
                <w:color w:val="auto"/>
                <w:kern w:val="44"/>
                <w:sz w:val="21"/>
                <w:szCs w:val="21"/>
                <w:highlight w:val="none"/>
              </w:rPr>
            </w:pPr>
          </w:p>
        </w:tc>
      </w:tr>
      <w:tr w14:paraId="6523A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2A42E35B">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860CAB9">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453A8B3B">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17DB99F">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C992203">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7A225CB">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1B300B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148D0485">
            <w:pPr>
              <w:snapToGrid w:val="0"/>
              <w:spacing w:beforeLines="50" w:after="50" w:line="360" w:lineRule="auto"/>
              <w:rPr>
                <w:rFonts w:hint="eastAsia" w:ascii="宋体" w:hAnsi="宋体" w:eastAsia="宋体" w:cs="宋体"/>
                <w:b/>
                <w:color w:val="auto"/>
                <w:kern w:val="44"/>
                <w:sz w:val="21"/>
                <w:szCs w:val="21"/>
                <w:highlight w:val="none"/>
              </w:rPr>
            </w:pPr>
          </w:p>
        </w:tc>
      </w:tr>
      <w:tr w14:paraId="6629D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D100E01">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2A9640AA">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CE71AE0">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E489D16">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B223BE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B73E531">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389487">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22BF90A7">
            <w:pPr>
              <w:snapToGrid w:val="0"/>
              <w:spacing w:beforeLines="50" w:after="50" w:line="360" w:lineRule="auto"/>
              <w:rPr>
                <w:rFonts w:hint="eastAsia" w:ascii="宋体" w:hAnsi="宋体" w:eastAsia="宋体" w:cs="宋体"/>
                <w:b/>
                <w:color w:val="auto"/>
                <w:kern w:val="44"/>
                <w:sz w:val="21"/>
                <w:szCs w:val="21"/>
                <w:highlight w:val="none"/>
              </w:rPr>
            </w:pPr>
          </w:p>
        </w:tc>
      </w:tr>
      <w:tr w14:paraId="774A3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0FEE62A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73016B6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8E612F9">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3B3F8A4">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E887DF2">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63657CA">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A41DE3">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23A8206">
            <w:pPr>
              <w:snapToGrid w:val="0"/>
              <w:spacing w:beforeLines="50" w:after="50" w:line="360" w:lineRule="auto"/>
              <w:rPr>
                <w:rFonts w:hint="eastAsia" w:ascii="宋体" w:hAnsi="宋体" w:eastAsia="宋体" w:cs="宋体"/>
                <w:b/>
                <w:color w:val="auto"/>
                <w:kern w:val="44"/>
                <w:sz w:val="21"/>
                <w:szCs w:val="21"/>
                <w:highlight w:val="none"/>
              </w:rPr>
            </w:pPr>
          </w:p>
        </w:tc>
      </w:tr>
      <w:tr w14:paraId="686B9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EB591E8">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F9932F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0BD55978">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9DD6CE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4842428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2B9FB2D6">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8B58F0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6A712AF">
            <w:pPr>
              <w:snapToGrid w:val="0"/>
              <w:spacing w:beforeLines="50" w:after="50" w:line="360" w:lineRule="auto"/>
              <w:rPr>
                <w:rFonts w:hint="eastAsia" w:ascii="宋体" w:hAnsi="宋体" w:eastAsia="宋体" w:cs="宋体"/>
                <w:b/>
                <w:color w:val="auto"/>
                <w:kern w:val="44"/>
                <w:sz w:val="21"/>
                <w:szCs w:val="21"/>
                <w:highlight w:val="none"/>
              </w:rPr>
            </w:pPr>
          </w:p>
        </w:tc>
      </w:tr>
      <w:tr w14:paraId="56D09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F5E696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F2A2256">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DC778D">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B2C38BE">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5F6D26A">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67A884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A2A9F29">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6BAB26B">
            <w:pPr>
              <w:snapToGrid w:val="0"/>
              <w:spacing w:beforeLines="50" w:after="50" w:line="360" w:lineRule="auto"/>
              <w:rPr>
                <w:rFonts w:hint="eastAsia" w:ascii="宋体" w:hAnsi="宋体" w:eastAsia="宋体" w:cs="宋体"/>
                <w:b/>
                <w:color w:val="auto"/>
                <w:kern w:val="44"/>
                <w:sz w:val="21"/>
                <w:szCs w:val="21"/>
                <w:highlight w:val="none"/>
              </w:rPr>
            </w:pPr>
          </w:p>
        </w:tc>
      </w:tr>
    </w:tbl>
    <w:p w14:paraId="37FFF65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FEA6222">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71BBF63D">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4DB0C6D1">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332DF63B">
      <w:pPr>
        <w:spacing w:line="360" w:lineRule="auto"/>
        <w:ind w:left="420"/>
        <w:rPr>
          <w:rFonts w:hint="eastAsia" w:ascii="宋体" w:hAnsi="宋体" w:eastAsia="宋体" w:cs="宋体"/>
          <w:color w:val="auto"/>
          <w:sz w:val="21"/>
          <w:szCs w:val="21"/>
          <w:highlight w:val="none"/>
        </w:rPr>
      </w:pPr>
    </w:p>
    <w:p w14:paraId="7DBAF83B">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E4DC40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A03B1C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AE58BFC">
      <w:pPr>
        <w:spacing w:line="360" w:lineRule="auto"/>
        <w:rPr>
          <w:rFonts w:hint="eastAsia" w:ascii="宋体" w:hAnsi="宋体" w:eastAsia="宋体" w:cs="宋体"/>
          <w:b/>
          <w:color w:val="auto"/>
          <w:sz w:val="28"/>
          <w:highlight w:val="none"/>
        </w:rPr>
      </w:pPr>
    </w:p>
    <w:p w14:paraId="52DB513B">
      <w:pPr>
        <w:spacing w:line="360" w:lineRule="auto"/>
        <w:rPr>
          <w:rFonts w:hint="eastAsia" w:ascii="宋体" w:hAnsi="宋体" w:eastAsia="宋体" w:cs="宋体"/>
          <w:b/>
          <w:color w:val="auto"/>
          <w:sz w:val="28"/>
          <w:highlight w:val="none"/>
        </w:rPr>
      </w:pPr>
    </w:p>
    <w:p w14:paraId="150D854E">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2E4552BC">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785BB3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21"/>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28A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46A4C3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14:paraId="6A9654D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14:paraId="7CEB36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14:paraId="0160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601A7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14:paraId="7EB90B5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14:paraId="7A61F7C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14:paraId="6A07D51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14:paraId="6251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0239A0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14:paraId="003987A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6719C8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D4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5021B3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14:paraId="761F9DD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02E765F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61A1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FCD5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14:paraId="0F7995B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F8D88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40F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09D563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14:paraId="1369845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505287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6E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F069D1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14:paraId="6DCD195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671E388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4A9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1E370A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14:paraId="789152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2A168B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1EF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5526334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F018BF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14:paraId="40401E9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A5A69A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29096C9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FE0F70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6E8D1E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33A209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4FC96DD">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1416FD54">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rPr>
      </w:pPr>
    </w:p>
    <w:p w14:paraId="74A8F230">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6EB4BE02">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19CA025D">
      <w:pPr>
        <w:spacing w:line="360" w:lineRule="auto"/>
        <w:rPr>
          <w:rFonts w:hint="eastAsia" w:ascii="宋体" w:hAnsi="宋体" w:eastAsia="宋体" w:cs="宋体"/>
          <w:color w:val="auto"/>
          <w:sz w:val="21"/>
          <w:szCs w:val="21"/>
          <w:highlight w:val="none"/>
        </w:rPr>
      </w:pPr>
    </w:p>
    <w:tbl>
      <w:tblPr>
        <w:tblStyle w:val="21"/>
        <w:tblW w:w="6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560"/>
        <w:gridCol w:w="1401"/>
        <w:gridCol w:w="1365"/>
      </w:tblGrid>
      <w:tr w14:paraId="092F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vAlign w:val="center"/>
          </w:tcPr>
          <w:p w14:paraId="4FCEAFD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85" w:type="dxa"/>
            <w:vAlign w:val="center"/>
          </w:tcPr>
          <w:p w14:paraId="2D45B7A1">
            <w:pPr>
              <w:spacing w:line="360" w:lineRule="auto"/>
              <w:ind w:left="13" w:leftChars="6"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60" w:type="dxa"/>
            <w:vAlign w:val="center"/>
          </w:tcPr>
          <w:p w14:paraId="28EF4126">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401" w:type="dxa"/>
            <w:vAlign w:val="center"/>
          </w:tcPr>
          <w:p w14:paraId="10D9C91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365" w:type="dxa"/>
            <w:vAlign w:val="center"/>
          </w:tcPr>
          <w:p w14:paraId="661CD9A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24AD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14:paraId="28A0B8E5">
            <w:pPr>
              <w:spacing w:line="360" w:lineRule="auto"/>
              <w:rPr>
                <w:rFonts w:hint="eastAsia" w:ascii="宋体" w:hAnsi="宋体" w:eastAsia="宋体" w:cs="宋体"/>
                <w:color w:val="auto"/>
                <w:sz w:val="21"/>
                <w:szCs w:val="21"/>
                <w:highlight w:val="none"/>
              </w:rPr>
            </w:pPr>
          </w:p>
        </w:tc>
        <w:tc>
          <w:tcPr>
            <w:tcW w:w="1785" w:type="dxa"/>
            <w:vAlign w:val="center"/>
          </w:tcPr>
          <w:p w14:paraId="4095D56F">
            <w:pPr>
              <w:spacing w:line="360" w:lineRule="auto"/>
              <w:rPr>
                <w:rFonts w:hint="eastAsia" w:ascii="宋体" w:hAnsi="宋体" w:eastAsia="宋体" w:cs="宋体"/>
                <w:color w:val="auto"/>
                <w:sz w:val="21"/>
                <w:szCs w:val="21"/>
                <w:highlight w:val="none"/>
              </w:rPr>
            </w:pPr>
          </w:p>
        </w:tc>
        <w:tc>
          <w:tcPr>
            <w:tcW w:w="1560" w:type="dxa"/>
            <w:vAlign w:val="center"/>
          </w:tcPr>
          <w:p w14:paraId="6F722CFC">
            <w:pPr>
              <w:spacing w:line="360" w:lineRule="auto"/>
              <w:rPr>
                <w:rFonts w:hint="eastAsia" w:ascii="宋体" w:hAnsi="宋体" w:eastAsia="宋体" w:cs="宋体"/>
                <w:color w:val="auto"/>
                <w:sz w:val="21"/>
                <w:szCs w:val="21"/>
                <w:highlight w:val="none"/>
              </w:rPr>
            </w:pPr>
          </w:p>
        </w:tc>
        <w:tc>
          <w:tcPr>
            <w:tcW w:w="1401" w:type="dxa"/>
            <w:vAlign w:val="center"/>
          </w:tcPr>
          <w:p w14:paraId="6EF70924">
            <w:pPr>
              <w:spacing w:line="360" w:lineRule="auto"/>
              <w:rPr>
                <w:rFonts w:hint="eastAsia" w:ascii="宋体" w:hAnsi="宋体" w:eastAsia="宋体" w:cs="宋体"/>
                <w:color w:val="auto"/>
                <w:sz w:val="21"/>
                <w:szCs w:val="21"/>
                <w:highlight w:val="none"/>
              </w:rPr>
            </w:pPr>
          </w:p>
        </w:tc>
        <w:tc>
          <w:tcPr>
            <w:tcW w:w="1365" w:type="dxa"/>
            <w:vAlign w:val="center"/>
          </w:tcPr>
          <w:p w14:paraId="43474865">
            <w:pPr>
              <w:spacing w:line="360" w:lineRule="auto"/>
              <w:rPr>
                <w:rFonts w:hint="eastAsia" w:ascii="宋体" w:hAnsi="宋体" w:eastAsia="宋体" w:cs="宋体"/>
                <w:color w:val="auto"/>
                <w:sz w:val="21"/>
                <w:szCs w:val="21"/>
                <w:highlight w:val="none"/>
              </w:rPr>
            </w:pPr>
          </w:p>
        </w:tc>
      </w:tr>
      <w:tr w14:paraId="7A58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23100292">
            <w:pPr>
              <w:spacing w:line="360" w:lineRule="auto"/>
              <w:rPr>
                <w:rFonts w:hint="eastAsia" w:ascii="宋体" w:hAnsi="宋体" w:eastAsia="宋体" w:cs="宋体"/>
                <w:color w:val="auto"/>
                <w:sz w:val="21"/>
                <w:szCs w:val="21"/>
                <w:highlight w:val="none"/>
              </w:rPr>
            </w:pPr>
          </w:p>
        </w:tc>
        <w:tc>
          <w:tcPr>
            <w:tcW w:w="1785" w:type="dxa"/>
            <w:vAlign w:val="center"/>
          </w:tcPr>
          <w:p w14:paraId="71FD5317">
            <w:pPr>
              <w:spacing w:line="360" w:lineRule="auto"/>
              <w:rPr>
                <w:rFonts w:hint="eastAsia" w:ascii="宋体" w:hAnsi="宋体" w:eastAsia="宋体" w:cs="宋体"/>
                <w:color w:val="auto"/>
                <w:sz w:val="21"/>
                <w:szCs w:val="21"/>
                <w:highlight w:val="none"/>
              </w:rPr>
            </w:pPr>
          </w:p>
        </w:tc>
        <w:tc>
          <w:tcPr>
            <w:tcW w:w="1560" w:type="dxa"/>
            <w:vAlign w:val="center"/>
          </w:tcPr>
          <w:p w14:paraId="5D2BDA7C">
            <w:pPr>
              <w:spacing w:line="360" w:lineRule="auto"/>
              <w:rPr>
                <w:rFonts w:hint="eastAsia" w:ascii="宋体" w:hAnsi="宋体" w:eastAsia="宋体" w:cs="宋体"/>
                <w:color w:val="auto"/>
                <w:sz w:val="21"/>
                <w:szCs w:val="21"/>
                <w:highlight w:val="none"/>
              </w:rPr>
            </w:pPr>
          </w:p>
        </w:tc>
        <w:tc>
          <w:tcPr>
            <w:tcW w:w="1401" w:type="dxa"/>
            <w:vAlign w:val="center"/>
          </w:tcPr>
          <w:p w14:paraId="667B24B4">
            <w:pPr>
              <w:spacing w:line="360" w:lineRule="auto"/>
              <w:rPr>
                <w:rFonts w:hint="eastAsia" w:ascii="宋体" w:hAnsi="宋体" w:eastAsia="宋体" w:cs="宋体"/>
                <w:color w:val="auto"/>
                <w:sz w:val="21"/>
                <w:szCs w:val="21"/>
                <w:highlight w:val="none"/>
              </w:rPr>
            </w:pPr>
          </w:p>
        </w:tc>
        <w:tc>
          <w:tcPr>
            <w:tcW w:w="1365" w:type="dxa"/>
            <w:vAlign w:val="center"/>
          </w:tcPr>
          <w:p w14:paraId="380FC468">
            <w:pPr>
              <w:spacing w:line="360" w:lineRule="auto"/>
              <w:rPr>
                <w:rFonts w:hint="eastAsia" w:ascii="宋体" w:hAnsi="宋体" w:eastAsia="宋体" w:cs="宋体"/>
                <w:color w:val="auto"/>
                <w:sz w:val="21"/>
                <w:szCs w:val="21"/>
                <w:highlight w:val="none"/>
              </w:rPr>
            </w:pPr>
          </w:p>
        </w:tc>
      </w:tr>
      <w:tr w14:paraId="04B6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0C5F6F47">
            <w:pPr>
              <w:spacing w:line="360" w:lineRule="auto"/>
              <w:rPr>
                <w:rFonts w:hint="eastAsia" w:ascii="宋体" w:hAnsi="宋体" w:eastAsia="宋体" w:cs="宋体"/>
                <w:color w:val="auto"/>
                <w:sz w:val="21"/>
                <w:szCs w:val="21"/>
                <w:highlight w:val="none"/>
              </w:rPr>
            </w:pPr>
          </w:p>
        </w:tc>
        <w:tc>
          <w:tcPr>
            <w:tcW w:w="1785" w:type="dxa"/>
            <w:vAlign w:val="center"/>
          </w:tcPr>
          <w:p w14:paraId="3A8BA12A">
            <w:pPr>
              <w:spacing w:line="360" w:lineRule="auto"/>
              <w:rPr>
                <w:rFonts w:hint="eastAsia" w:ascii="宋体" w:hAnsi="宋体" w:eastAsia="宋体" w:cs="宋体"/>
                <w:color w:val="auto"/>
                <w:sz w:val="21"/>
                <w:szCs w:val="21"/>
                <w:highlight w:val="none"/>
              </w:rPr>
            </w:pPr>
          </w:p>
        </w:tc>
        <w:tc>
          <w:tcPr>
            <w:tcW w:w="1560" w:type="dxa"/>
            <w:vAlign w:val="center"/>
          </w:tcPr>
          <w:p w14:paraId="0DEBE542">
            <w:pPr>
              <w:spacing w:line="360" w:lineRule="auto"/>
              <w:rPr>
                <w:rFonts w:hint="eastAsia" w:ascii="宋体" w:hAnsi="宋体" w:eastAsia="宋体" w:cs="宋体"/>
                <w:color w:val="auto"/>
                <w:sz w:val="21"/>
                <w:szCs w:val="21"/>
                <w:highlight w:val="none"/>
              </w:rPr>
            </w:pPr>
          </w:p>
        </w:tc>
        <w:tc>
          <w:tcPr>
            <w:tcW w:w="1401" w:type="dxa"/>
            <w:vAlign w:val="center"/>
          </w:tcPr>
          <w:p w14:paraId="07AB1970">
            <w:pPr>
              <w:spacing w:line="360" w:lineRule="auto"/>
              <w:rPr>
                <w:rFonts w:hint="eastAsia" w:ascii="宋体" w:hAnsi="宋体" w:eastAsia="宋体" w:cs="宋体"/>
                <w:color w:val="auto"/>
                <w:sz w:val="21"/>
                <w:szCs w:val="21"/>
                <w:highlight w:val="none"/>
              </w:rPr>
            </w:pPr>
          </w:p>
        </w:tc>
        <w:tc>
          <w:tcPr>
            <w:tcW w:w="1365" w:type="dxa"/>
            <w:vAlign w:val="center"/>
          </w:tcPr>
          <w:p w14:paraId="0D5AF4DA">
            <w:pPr>
              <w:spacing w:line="360" w:lineRule="auto"/>
              <w:rPr>
                <w:rFonts w:hint="eastAsia" w:ascii="宋体" w:hAnsi="宋体" w:eastAsia="宋体" w:cs="宋体"/>
                <w:color w:val="auto"/>
                <w:sz w:val="21"/>
                <w:szCs w:val="21"/>
                <w:highlight w:val="none"/>
              </w:rPr>
            </w:pPr>
          </w:p>
        </w:tc>
      </w:tr>
      <w:tr w14:paraId="1F5D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48A28A54">
            <w:pPr>
              <w:spacing w:line="360" w:lineRule="auto"/>
              <w:rPr>
                <w:rFonts w:hint="eastAsia" w:ascii="宋体" w:hAnsi="宋体" w:eastAsia="宋体" w:cs="宋体"/>
                <w:color w:val="auto"/>
                <w:sz w:val="21"/>
                <w:szCs w:val="21"/>
                <w:highlight w:val="none"/>
              </w:rPr>
            </w:pPr>
          </w:p>
        </w:tc>
        <w:tc>
          <w:tcPr>
            <w:tcW w:w="1785" w:type="dxa"/>
            <w:vAlign w:val="center"/>
          </w:tcPr>
          <w:p w14:paraId="7C9F54A6">
            <w:pPr>
              <w:spacing w:line="360" w:lineRule="auto"/>
              <w:rPr>
                <w:rFonts w:hint="eastAsia" w:ascii="宋体" w:hAnsi="宋体" w:eastAsia="宋体" w:cs="宋体"/>
                <w:color w:val="auto"/>
                <w:sz w:val="21"/>
                <w:szCs w:val="21"/>
                <w:highlight w:val="none"/>
              </w:rPr>
            </w:pPr>
          </w:p>
        </w:tc>
        <w:tc>
          <w:tcPr>
            <w:tcW w:w="1560" w:type="dxa"/>
            <w:vAlign w:val="center"/>
          </w:tcPr>
          <w:p w14:paraId="606180A3">
            <w:pPr>
              <w:spacing w:line="360" w:lineRule="auto"/>
              <w:rPr>
                <w:rFonts w:hint="eastAsia" w:ascii="宋体" w:hAnsi="宋体" w:eastAsia="宋体" w:cs="宋体"/>
                <w:color w:val="auto"/>
                <w:sz w:val="21"/>
                <w:szCs w:val="21"/>
                <w:highlight w:val="none"/>
              </w:rPr>
            </w:pPr>
          </w:p>
        </w:tc>
        <w:tc>
          <w:tcPr>
            <w:tcW w:w="1401" w:type="dxa"/>
            <w:vAlign w:val="center"/>
          </w:tcPr>
          <w:p w14:paraId="5D185133">
            <w:pPr>
              <w:spacing w:line="360" w:lineRule="auto"/>
              <w:rPr>
                <w:rFonts w:hint="eastAsia" w:ascii="宋体" w:hAnsi="宋体" w:eastAsia="宋体" w:cs="宋体"/>
                <w:color w:val="auto"/>
                <w:sz w:val="21"/>
                <w:szCs w:val="21"/>
                <w:highlight w:val="none"/>
              </w:rPr>
            </w:pPr>
          </w:p>
        </w:tc>
        <w:tc>
          <w:tcPr>
            <w:tcW w:w="1365" w:type="dxa"/>
            <w:vAlign w:val="center"/>
          </w:tcPr>
          <w:p w14:paraId="72567D21">
            <w:pPr>
              <w:spacing w:line="360" w:lineRule="auto"/>
              <w:rPr>
                <w:rFonts w:hint="eastAsia" w:ascii="宋体" w:hAnsi="宋体" w:eastAsia="宋体" w:cs="宋体"/>
                <w:color w:val="auto"/>
                <w:sz w:val="21"/>
                <w:szCs w:val="21"/>
                <w:highlight w:val="none"/>
              </w:rPr>
            </w:pPr>
          </w:p>
        </w:tc>
      </w:tr>
      <w:tr w14:paraId="0C2F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vAlign w:val="center"/>
          </w:tcPr>
          <w:p w14:paraId="04EAFA87">
            <w:pPr>
              <w:spacing w:line="360" w:lineRule="auto"/>
              <w:rPr>
                <w:rFonts w:hint="eastAsia" w:ascii="宋体" w:hAnsi="宋体" w:eastAsia="宋体" w:cs="宋体"/>
                <w:color w:val="auto"/>
                <w:sz w:val="21"/>
                <w:szCs w:val="21"/>
                <w:highlight w:val="none"/>
              </w:rPr>
            </w:pPr>
          </w:p>
        </w:tc>
        <w:tc>
          <w:tcPr>
            <w:tcW w:w="1785" w:type="dxa"/>
            <w:vAlign w:val="center"/>
          </w:tcPr>
          <w:p w14:paraId="114DB2AB">
            <w:pPr>
              <w:spacing w:line="360" w:lineRule="auto"/>
              <w:rPr>
                <w:rFonts w:hint="eastAsia" w:ascii="宋体" w:hAnsi="宋体" w:eastAsia="宋体" w:cs="宋体"/>
                <w:color w:val="auto"/>
                <w:sz w:val="21"/>
                <w:szCs w:val="21"/>
                <w:highlight w:val="none"/>
              </w:rPr>
            </w:pPr>
          </w:p>
        </w:tc>
        <w:tc>
          <w:tcPr>
            <w:tcW w:w="1560" w:type="dxa"/>
            <w:vAlign w:val="center"/>
          </w:tcPr>
          <w:p w14:paraId="2C695153">
            <w:pPr>
              <w:spacing w:line="360" w:lineRule="auto"/>
              <w:rPr>
                <w:rFonts w:hint="eastAsia" w:ascii="宋体" w:hAnsi="宋体" w:eastAsia="宋体" w:cs="宋体"/>
                <w:color w:val="auto"/>
                <w:sz w:val="21"/>
                <w:szCs w:val="21"/>
                <w:highlight w:val="none"/>
              </w:rPr>
            </w:pPr>
          </w:p>
        </w:tc>
        <w:tc>
          <w:tcPr>
            <w:tcW w:w="1401" w:type="dxa"/>
            <w:vAlign w:val="center"/>
          </w:tcPr>
          <w:p w14:paraId="7EDF94E3">
            <w:pPr>
              <w:spacing w:line="360" w:lineRule="auto"/>
              <w:rPr>
                <w:rFonts w:hint="eastAsia" w:ascii="宋体" w:hAnsi="宋体" w:eastAsia="宋体" w:cs="宋体"/>
                <w:color w:val="auto"/>
                <w:sz w:val="21"/>
                <w:szCs w:val="21"/>
                <w:highlight w:val="none"/>
              </w:rPr>
            </w:pPr>
          </w:p>
        </w:tc>
        <w:tc>
          <w:tcPr>
            <w:tcW w:w="1365" w:type="dxa"/>
            <w:vAlign w:val="center"/>
          </w:tcPr>
          <w:p w14:paraId="32711E89">
            <w:pPr>
              <w:spacing w:line="360" w:lineRule="auto"/>
              <w:rPr>
                <w:rFonts w:hint="eastAsia" w:ascii="宋体" w:hAnsi="宋体" w:eastAsia="宋体" w:cs="宋体"/>
                <w:color w:val="auto"/>
                <w:sz w:val="21"/>
                <w:szCs w:val="21"/>
                <w:highlight w:val="none"/>
              </w:rPr>
            </w:pPr>
          </w:p>
        </w:tc>
      </w:tr>
      <w:tr w14:paraId="2DBD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1A31C6AD">
            <w:pPr>
              <w:spacing w:line="360" w:lineRule="auto"/>
              <w:rPr>
                <w:rFonts w:hint="eastAsia" w:ascii="宋体" w:hAnsi="宋体" w:eastAsia="宋体" w:cs="宋体"/>
                <w:color w:val="auto"/>
                <w:sz w:val="21"/>
                <w:szCs w:val="21"/>
                <w:highlight w:val="none"/>
              </w:rPr>
            </w:pPr>
          </w:p>
        </w:tc>
        <w:tc>
          <w:tcPr>
            <w:tcW w:w="1785" w:type="dxa"/>
            <w:vAlign w:val="center"/>
          </w:tcPr>
          <w:p w14:paraId="0F05600C">
            <w:pPr>
              <w:spacing w:line="360" w:lineRule="auto"/>
              <w:rPr>
                <w:rFonts w:hint="eastAsia" w:ascii="宋体" w:hAnsi="宋体" w:eastAsia="宋体" w:cs="宋体"/>
                <w:color w:val="auto"/>
                <w:sz w:val="21"/>
                <w:szCs w:val="21"/>
                <w:highlight w:val="none"/>
              </w:rPr>
            </w:pPr>
          </w:p>
        </w:tc>
        <w:tc>
          <w:tcPr>
            <w:tcW w:w="1560" w:type="dxa"/>
            <w:vAlign w:val="center"/>
          </w:tcPr>
          <w:p w14:paraId="7EB9B3D1">
            <w:pPr>
              <w:spacing w:line="360" w:lineRule="auto"/>
              <w:rPr>
                <w:rFonts w:hint="eastAsia" w:ascii="宋体" w:hAnsi="宋体" w:eastAsia="宋体" w:cs="宋体"/>
                <w:color w:val="auto"/>
                <w:sz w:val="21"/>
                <w:szCs w:val="21"/>
                <w:highlight w:val="none"/>
              </w:rPr>
            </w:pPr>
          </w:p>
        </w:tc>
        <w:tc>
          <w:tcPr>
            <w:tcW w:w="1401" w:type="dxa"/>
            <w:vAlign w:val="center"/>
          </w:tcPr>
          <w:p w14:paraId="19DB8D53">
            <w:pPr>
              <w:spacing w:line="360" w:lineRule="auto"/>
              <w:rPr>
                <w:rFonts w:hint="eastAsia" w:ascii="宋体" w:hAnsi="宋体" w:eastAsia="宋体" w:cs="宋体"/>
                <w:color w:val="auto"/>
                <w:sz w:val="21"/>
                <w:szCs w:val="21"/>
                <w:highlight w:val="none"/>
              </w:rPr>
            </w:pPr>
          </w:p>
        </w:tc>
        <w:tc>
          <w:tcPr>
            <w:tcW w:w="1365" w:type="dxa"/>
            <w:vAlign w:val="center"/>
          </w:tcPr>
          <w:p w14:paraId="1D3F94FD">
            <w:pPr>
              <w:spacing w:line="360" w:lineRule="auto"/>
              <w:rPr>
                <w:rFonts w:hint="eastAsia" w:ascii="宋体" w:hAnsi="宋体" w:eastAsia="宋体" w:cs="宋体"/>
                <w:color w:val="auto"/>
                <w:sz w:val="21"/>
                <w:szCs w:val="21"/>
                <w:highlight w:val="none"/>
              </w:rPr>
            </w:pPr>
          </w:p>
        </w:tc>
      </w:tr>
      <w:tr w14:paraId="436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11D36B60">
            <w:pPr>
              <w:spacing w:line="360" w:lineRule="auto"/>
              <w:rPr>
                <w:rFonts w:hint="eastAsia" w:ascii="宋体" w:hAnsi="宋体" w:eastAsia="宋体" w:cs="宋体"/>
                <w:color w:val="auto"/>
                <w:sz w:val="21"/>
                <w:szCs w:val="21"/>
                <w:highlight w:val="none"/>
              </w:rPr>
            </w:pPr>
          </w:p>
        </w:tc>
        <w:tc>
          <w:tcPr>
            <w:tcW w:w="1785" w:type="dxa"/>
            <w:vAlign w:val="center"/>
          </w:tcPr>
          <w:p w14:paraId="4694EF4B">
            <w:pPr>
              <w:spacing w:line="360" w:lineRule="auto"/>
              <w:rPr>
                <w:rFonts w:hint="eastAsia" w:ascii="宋体" w:hAnsi="宋体" w:eastAsia="宋体" w:cs="宋体"/>
                <w:color w:val="auto"/>
                <w:sz w:val="21"/>
                <w:szCs w:val="21"/>
                <w:highlight w:val="none"/>
              </w:rPr>
            </w:pPr>
          </w:p>
        </w:tc>
        <w:tc>
          <w:tcPr>
            <w:tcW w:w="1560" w:type="dxa"/>
            <w:vAlign w:val="center"/>
          </w:tcPr>
          <w:p w14:paraId="1B4A1ED1">
            <w:pPr>
              <w:spacing w:line="360" w:lineRule="auto"/>
              <w:rPr>
                <w:rFonts w:hint="eastAsia" w:ascii="宋体" w:hAnsi="宋体" w:eastAsia="宋体" w:cs="宋体"/>
                <w:color w:val="auto"/>
                <w:sz w:val="21"/>
                <w:szCs w:val="21"/>
                <w:highlight w:val="none"/>
              </w:rPr>
            </w:pPr>
          </w:p>
        </w:tc>
        <w:tc>
          <w:tcPr>
            <w:tcW w:w="1401" w:type="dxa"/>
            <w:vAlign w:val="center"/>
          </w:tcPr>
          <w:p w14:paraId="1500BC0C">
            <w:pPr>
              <w:spacing w:line="360" w:lineRule="auto"/>
              <w:rPr>
                <w:rFonts w:hint="eastAsia" w:ascii="宋体" w:hAnsi="宋体" w:eastAsia="宋体" w:cs="宋体"/>
                <w:color w:val="auto"/>
                <w:sz w:val="21"/>
                <w:szCs w:val="21"/>
                <w:highlight w:val="none"/>
              </w:rPr>
            </w:pPr>
          </w:p>
        </w:tc>
        <w:tc>
          <w:tcPr>
            <w:tcW w:w="1365" w:type="dxa"/>
            <w:vAlign w:val="center"/>
          </w:tcPr>
          <w:p w14:paraId="6B47B0C5">
            <w:pPr>
              <w:spacing w:line="360" w:lineRule="auto"/>
              <w:rPr>
                <w:rFonts w:hint="eastAsia" w:ascii="宋体" w:hAnsi="宋体" w:eastAsia="宋体" w:cs="宋体"/>
                <w:color w:val="auto"/>
                <w:sz w:val="21"/>
                <w:szCs w:val="21"/>
                <w:highlight w:val="none"/>
              </w:rPr>
            </w:pPr>
          </w:p>
        </w:tc>
      </w:tr>
    </w:tbl>
    <w:p w14:paraId="6AF4C3A9">
      <w:pPr>
        <w:spacing w:line="360" w:lineRule="auto"/>
        <w:rPr>
          <w:rFonts w:hint="eastAsia" w:ascii="宋体" w:hAnsi="宋体" w:eastAsia="宋体" w:cs="宋体"/>
          <w:color w:val="auto"/>
          <w:sz w:val="21"/>
          <w:szCs w:val="21"/>
          <w:highlight w:val="none"/>
        </w:rPr>
      </w:pPr>
    </w:p>
    <w:p w14:paraId="7DA34FB8">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D976F19">
      <w:pPr>
        <w:spacing w:line="360" w:lineRule="auto"/>
        <w:ind w:left="420"/>
        <w:rPr>
          <w:rFonts w:hint="eastAsia" w:ascii="宋体" w:hAnsi="宋体" w:eastAsia="宋体" w:cs="宋体"/>
          <w:color w:val="auto"/>
          <w:sz w:val="21"/>
          <w:szCs w:val="21"/>
          <w:highlight w:val="none"/>
        </w:rPr>
      </w:pPr>
    </w:p>
    <w:p w14:paraId="73C843F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0DE82B">
      <w:pPr>
        <w:spacing w:line="360" w:lineRule="auto"/>
        <w:rPr>
          <w:rFonts w:hint="eastAsia" w:ascii="宋体" w:hAnsi="宋体" w:eastAsia="宋体" w:cs="宋体"/>
          <w:color w:val="auto"/>
          <w:sz w:val="21"/>
          <w:szCs w:val="21"/>
          <w:highlight w:val="none"/>
        </w:rPr>
      </w:pPr>
    </w:p>
    <w:p w14:paraId="4189D89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14C6DEB">
      <w:pPr>
        <w:pStyle w:val="41"/>
        <w:spacing w:line="360" w:lineRule="auto"/>
        <w:jc w:val="left"/>
        <w:rPr>
          <w:rFonts w:hint="eastAsia" w:ascii="宋体" w:hAnsi="宋体" w:eastAsia="宋体" w:cs="宋体"/>
          <w:b/>
          <w:color w:val="auto"/>
          <w:sz w:val="28"/>
          <w:highlight w:val="none"/>
        </w:rPr>
      </w:pPr>
    </w:p>
    <w:p w14:paraId="17B2956C">
      <w:pPr>
        <w:pStyle w:val="41"/>
        <w:spacing w:line="360" w:lineRule="auto"/>
        <w:jc w:val="left"/>
        <w:outlineLvl w:val="9"/>
        <w:rPr>
          <w:rFonts w:hint="eastAsia" w:ascii="宋体" w:hAnsi="宋体" w:eastAsia="宋体" w:cs="宋体"/>
          <w:b/>
          <w:color w:val="auto"/>
          <w:sz w:val="28"/>
          <w:highlight w:val="none"/>
        </w:rPr>
      </w:pPr>
    </w:p>
    <w:p w14:paraId="7DCEC05B">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30E02B1">
      <w:pPr>
        <w:pStyle w:val="41"/>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293E0193">
      <w:pPr>
        <w:pStyle w:val="42"/>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4EEBEAF1">
      <w:pPr>
        <w:pStyle w:val="42"/>
        <w:spacing w:line="360" w:lineRule="auto"/>
        <w:jc w:val="center"/>
        <w:rPr>
          <w:rFonts w:hint="eastAsia" w:ascii="宋体" w:hAnsi="宋体" w:eastAsia="宋体" w:cs="宋体"/>
          <w:color w:val="auto"/>
          <w:sz w:val="24"/>
          <w:highlight w:val="none"/>
        </w:rPr>
      </w:pPr>
    </w:p>
    <w:tbl>
      <w:tblPr>
        <w:tblStyle w:val="2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6B36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ED22EC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1502D2C8">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13036AF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57E3573E">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57DA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201E4EB">
            <w:pPr>
              <w:pStyle w:val="42"/>
              <w:spacing w:line="360" w:lineRule="auto"/>
              <w:jc w:val="center"/>
              <w:rPr>
                <w:rFonts w:hint="eastAsia" w:ascii="宋体" w:hAnsi="宋体" w:eastAsia="宋体" w:cs="宋体"/>
                <w:color w:val="auto"/>
                <w:sz w:val="21"/>
                <w:szCs w:val="21"/>
                <w:highlight w:val="none"/>
              </w:rPr>
            </w:pPr>
          </w:p>
        </w:tc>
        <w:tc>
          <w:tcPr>
            <w:tcW w:w="2258" w:type="dxa"/>
          </w:tcPr>
          <w:p w14:paraId="6BD816AB">
            <w:pPr>
              <w:pStyle w:val="42"/>
              <w:spacing w:line="360" w:lineRule="auto"/>
              <w:jc w:val="center"/>
              <w:rPr>
                <w:rFonts w:hint="eastAsia" w:ascii="宋体" w:hAnsi="宋体" w:eastAsia="宋体" w:cs="宋体"/>
                <w:color w:val="auto"/>
                <w:sz w:val="21"/>
                <w:szCs w:val="21"/>
                <w:highlight w:val="none"/>
              </w:rPr>
            </w:pPr>
          </w:p>
        </w:tc>
        <w:tc>
          <w:tcPr>
            <w:tcW w:w="2260" w:type="dxa"/>
          </w:tcPr>
          <w:p w14:paraId="19B98C79">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9B5A39E">
            <w:pPr>
              <w:pStyle w:val="42"/>
              <w:spacing w:line="360" w:lineRule="auto"/>
              <w:jc w:val="center"/>
              <w:rPr>
                <w:rFonts w:hint="eastAsia" w:ascii="宋体" w:hAnsi="宋体" w:eastAsia="宋体" w:cs="宋体"/>
                <w:color w:val="auto"/>
                <w:sz w:val="21"/>
                <w:szCs w:val="21"/>
                <w:highlight w:val="none"/>
              </w:rPr>
            </w:pPr>
          </w:p>
        </w:tc>
      </w:tr>
      <w:tr w14:paraId="11173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869CD86">
            <w:pPr>
              <w:pStyle w:val="42"/>
              <w:spacing w:line="360" w:lineRule="auto"/>
              <w:jc w:val="center"/>
              <w:rPr>
                <w:rFonts w:hint="eastAsia" w:ascii="宋体" w:hAnsi="宋体" w:eastAsia="宋体" w:cs="宋体"/>
                <w:color w:val="auto"/>
                <w:sz w:val="21"/>
                <w:szCs w:val="21"/>
                <w:highlight w:val="none"/>
              </w:rPr>
            </w:pPr>
          </w:p>
        </w:tc>
        <w:tc>
          <w:tcPr>
            <w:tcW w:w="2258" w:type="dxa"/>
          </w:tcPr>
          <w:p w14:paraId="6FC7109B">
            <w:pPr>
              <w:pStyle w:val="42"/>
              <w:spacing w:line="360" w:lineRule="auto"/>
              <w:jc w:val="center"/>
              <w:rPr>
                <w:rFonts w:hint="eastAsia" w:ascii="宋体" w:hAnsi="宋体" w:eastAsia="宋体" w:cs="宋体"/>
                <w:color w:val="auto"/>
                <w:sz w:val="21"/>
                <w:szCs w:val="21"/>
                <w:highlight w:val="none"/>
              </w:rPr>
            </w:pPr>
          </w:p>
        </w:tc>
        <w:tc>
          <w:tcPr>
            <w:tcW w:w="2260" w:type="dxa"/>
          </w:tcPr>
          <w:p w14:paraId="6F817AAD">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178DACA">
            <w:pPr>
              <w:pStyle w:val="42"/>
              <w:spacing w:line="360" w:lineRule="auto"/>
              <w:jc w:val="center"/>
              <w:rPr>
                <w:rFonts w:hint="eastAsia" w:ascii="宋体" w:hAnsi="宋体" w:eastAsia="宋体" w:cs="宋体"/>
                <w:color w:val="auto"/>
                <w:sz w:val="21"/>
                <w:szCs w:val="21"/>
                <w:highlight w:val="none"/>
              </w:rPr>
            </w:pPr>
          </w:p>
        </w:tc>
      </w:tr>
      <w:tr w14:paraId="10006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8882B8">
            <w:pPr>
              <w:pStyle w:val="42"/>
              <w:spacing w:line="360" w:lineRule="auto"/>
              <w:jc w:val="center"/>
              <w:rPr>
                <w:rFonts w:hint="eastAsia" w:ascii="宋体" w:hAnsi="宋体" w:eastAsia="宋体" w:cs="宋体"/>
                <w:color w:val="auto"/>
                <w:sz w:val="21"/>
                <w:szCs w:val="21"/>
                <w:highlight w:val="none"/>
              </w:rPr>
            </w:pPr>
          </w:p>
        </w:tc>
        <w:tc>
          <w:tcPr>
            <w:tcW w:w="2258" w:type="dxa"/>
          </w:tcPr>
          <w:p w14:paraId="2736229A">
            <w:pPr>
              <w:pStyle w:val="42"/>
              <w:spacing w:line="360" w:lineRule="auto"/>
              <w:jc w:val="center"/>
              <w:rPr>
                <w:rFonts w:hint="eastAsia" w:ascii="宋体" w:hAnsi="宋体" w:eastAsia="宋体" w:cs="宋体"/>
                <w:color w:val="auto"/>
                <w:sz w:val="21"/>
                <w:szCs w:val="21"/>
                <w:highlight w:val="none"/>
              </w:rPr>
            </w:pPr>
          </w:p>
        </w:tc>
        <w:tc>
          <w:tcPr>
            <w:tcW w:w="2260" w:type="dxa"/>
          </w:tcPr>
          <w:p w14:paraId="201C18F9">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4B766B20">
            <w:pPr>
              <w:pStyle w:val="42"/>
              <w:spacing w:line="360" w:lineRule="auto"/>
              <w:jc w:val="center"/>
              <w:rPr>
                <w:rFonts w:hint="eastAsia" w:ascii="宋体" w:hAnsi="宋体" w:eastAsia="宋体" w:cs="宋体"/>
                <w:color w:val="auto"/>
                <w:sz w:val="21"/>
                <w:szCs w:val="21"/>
                <w:highlight w:val="none"/>
              </w:rPr>
            </w:pPr>
          </w:p>
        </w:tc>
      </w:tr>
      <w:tr w14:paraId="095A76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F002BB3">
            <w:pPr>
              <w:pStyle w:val="42"/>
              <w:spacing w:line="360" w:lineRule="auto"/>
              <w:jc w:val="center"/>
              <w:rPr>
                <w:rFonts w:hint="eastAsia" w:ascii="宋体" w:hAnsi="宋体" w:eastAsia="宋体" w:cs="宋体"/>
                <w:color w:val="auto"/>
                <w:sz w:val="21"/>
                <w:szCs w:val="21"/>
                <w:highlight w:val="none"/>
              </w:rPr>
            </w:pPr>
          </w:p>
        </w:tc>
        <w:tc>
          <w:tcPr>
            <w:tcW w:w="2258" w:type="dxa"/>
          </w:tcPr>
          <w:p w14:paraId="55E0AAD5">
            <w:pPr>
              <w:pStyle w:val="42"/>
              <w:spacing w:line="360" w:lineRule="auto"/>
              <w:jc w:val="center"/>
              <w:rPr>
                <w:rFonts w:hint="eastAsia" w:ascii="宋体" w:hAnsi="宋体" w:eastAsia="宋体" w:cs="宋体"/>
                <w:color w:val="auto"/>
                <w:sz w:val="21"/>
                <w:szCs w:val="21"/>
                <w:highlight w:val="none"/>
              </w:rPr>
            </w:pPr>
          </w:p>
        </w:tc>
        <w:tc>
          <w:tcPr>
            <w:tcW w:w="2260" w:type="dxa"/>
          </w:tcPr>
          <w:p w14:paraId="3BBB53C9">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9A0AB07">
            <w:pPr>
              <w:pStyle w:val="42"/>
              <w:spacing w:line="360" w:lineRule="auto"/>
              <w:jc w:val="center"/>
              <w:rPr>
                <w:rFonts w:hint="eastAsia" w:ascii="宋体" w:hAnsi="宋体" w:eastAsia="宋体" w:cs="宋体"/>
                <w:color w:val="auto"/>
                <w:sz w:val="21"/>
                <w:szCs w:val="21"/>
                <w:highlight w:val="none"/>
              </w:rPr>
            </w:pPr>
          </w:p>
        </w:tc>
      </w:tr>
      <w:tr w14:paraId="0C1E7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9F1BBB2">
            <w:pPr>
              <w:pStyle w:val="42"/>
              <w:spacing w:line="360" w:lineRule="auto"/>
              <w:jc w:val="center"/>
              <w:rPr>
                <w:rFonts w:hint="eastAsia" w:ascii="宋体" w:hAnsi="宋体" w:eastAsia="宋体" w:cs="宋体"/>
                <w:color w:val="auto"/>
                <w:sz w:val="21"/>
                <w:szCs w:val="21"/>
                <w:highlight w:val="none"/>
              </w:rPr>
            </w:pPr>
          </w:p>
        </w:tc>
        <w:tc>
          <w:tcPr>
            <w:tcW w:w="2258" w:type="dxa"/>
          </w:tcPr>
          <w:p w14:paraId="01737977">
            <w:pPr>
              <w:pStyle w:val="42"/>
              <w:spacing w:line="360" w:lineRule="auto"/>
              <w:jc w:val="center"/>
              <w:rPr>
                <w:rFonts w:hint="eastAsia" w:ascii="宋体" w:hAnsi="宋体" w:eastAsia="宋体" w:cs="宋体"/>
                <w:color w:val="auto"/>
                <w:sz w:val="21"/>
                <w:szCs w:val="21"/>
                <w:highlight w:val="none"/>
              </w:rPr>
            </w:pPr>
          </w:p>
        </w:tc>
        <w:tc>
          <w:tcPr>
            <w:tcW w:w="2260" w:type="dxa"/>
          </w:tcPr>
          <w:p w14:paraId="015C0827">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1F7C24E0">
            <w:pPr>
              <w:pStyle w:val="42"/>
              <w:spacing w:line="360" w:lineRule="auto"/>
              <w:jc w:val="center"/>
              <w:rPr>
                <w:rFonts w:hint="eastAsia" w:ascii="宋体" w:hAnsi="宋体" w:eastAsia="宋体" w:cs="宋体"/>
                <w:color w:val="auto"/>
                <w:sz w:val="21"/>
                <w:szCs w:val="21"/>
                <w:highlight w:val="none"/>
              </w:rPr>
            </w:pPr>
          </w:p>
        </w:tc>
      </w:tr>
      <w:tr w14:paraId="3F531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BABE213">
            <w:pPr>
              <w:pStyle w:val="42"/>
              <w:spacing w:line="360" w:lineRule="auto"/>
              <w:jc w:val="center"/>
              <w:rPr>
                <w:rFonts w:hint="eastAsia" w:ascii="宋体" w:hAnsi="宋体" w:eastAsia="宋体" w:cs="宋体"/>
                <w:color w:val="auto"/>
                <w:sz w:val="21"/>
                <w:szCs w:val="21"/>
                <w:highlight w:val="none"/>
              </w:rPr>
            </w:pPr>
          </w:p>
        </w:tc>
        <w:tc>
          <w:tcPr>
            <w:tcW w:w="2258" w:type="dxa"/>
          </w:tcPr>
          <w:p w14:paraId="48A3CE71">
            <w:pPr>
              <w:pStyle w:val="42"/>
              <w:spacing w:line="360" w:lineRule="auto"/>
              <w:jc w:val="center"/>
              <w:rPr>
                <w:rFonts w:hint="eastAsia" w:ascii="宋体" w:hAnsi="宋体" w:eastAsia="宋体" w:cs="宋体"/>
                <w:color w:val="auto"/>
                <w:sz w:val="21"/>
                <w:szCs w:val="21"/>
                <w:highlight w:val="none"/>
              </w:rPr>
            </w:pPr>
          </w:p>
        </w:tc>
        <w:tc>
          <w:tcPr>
            <w:tcW w:w="2260" w:type="dxa"/>
          </w:tcPr>
          <w:p w14:paraId="2684A586">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00F35B3">
            <w:pPr>
              <w:pStyle w:val="42"/>
              <w:spacing w:line="360" w:lineRule="auto"/>
              <w:jc w:val="center"/>
              <w:rPr>
                <w:rFonts w:hint="eastAsia" w:ascii="宋体" w:hAnsi="宋体" w:eastAsia="宋体" w:cs="宋体"/>
                <w:color w:val="auto"/>
                <w:sz w:val="21"/>
                <w:szCs w:val="21"/>
                <w:highlight w:val="none"/>
              </w:rPr>
            </w:pPr>
          </w:p>
        </w:tc>
      </w:tr>
      <w:tr w14:paraId="70711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5D8501E4">
            <w:pPr>
              <w:pStyle w:val="42"/>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2BA1D955">
            <w:pPr>
              <w:pStyle w:val="42"/>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7947B9A6">
            <w:pPr>
              <w:pStyle w:val="42"/>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614A6A4B">
            <w:pPr>
              <w:pStyle w:val="42"/>
              <w:spacing w:line="360" w:lineRule="auto"/>
              <w:jc w:val="center"/>
              <w:rPr>
                <w:rFonts w:hint="eastAsia" w:ascii="宋体" w:hAnsi="宋体" w:eastAsia="宋体" w:cs="宋体"/>
                <w:color w:val="auto"/>
                <w:sz w:val="21"/>
                <w:szCs w:val="21"/>
                <w:highlight w:val="none"/>
              </w:rPr>
            </w:pPr>
          </w:p>
        </w:tc>
      </w:tr>
    </w:tbl>
    <w:p w14:paraId="1E3BF3EB">
      <w:pPr>
        <w:pStyle w:val="42"/>
        <w:tabs>
          <w:tab w:val="left" w:pos="1050"/>
        </w:tabs>
        <w:spacing w:line="360" w:lineRule="auto"/>
        <w:rPr>
          <w:rFonts w:hint="eastAsia" w:ascii="宋体" w:hAnsi="宋体" w:eastAsia="宋体" w:cs="宋体"/>
          <w:color w:val="auto"/>
          <w:sz w:val="24"/>
          <w:highlight w:val="none"/>
        </w:rPr>
      </w:pPr>
    </w:p>
    <w:p w14:paraId="16D5BD49">
      <w:pPr>
        <w:pStyle w:val="42"/>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149D54B5">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23094F5D">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630DFBC5">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378E7375">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6543E050">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41A598E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14D0D96">
      <w:pPr>
        <w:spacing w:line="360" w:lineRule="auto"/>
        <w:ind w:left="420"/>
        <w:rPr>
          <w:rFonts w:hint="eastAsia" w:ascii="宋体" w:hAnsi="宋体" w:eastAsia="宋体" w:cs="宋体"/>
          <w:color w:val="auto"/>
          <w:sz w:val="21"/>
          <w:szCs w:val="21"/>
          <w:highlight w:val="none"/>
        </w:rPr>
      </w:pPr>
    </w:p>
    <w:p w14:paraId="1EA12AF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43B7058">
      <w:pPr>
        <w:spacing w:line="360" w:lineRule="auto"/>
        <w:rPr>
          <w:rFonts w:hint="eastAsia" w:ascii="宋体" w:hAnsi="宋体" w:eastAsia="宋体" w:cs="宋体"/>
          <w:color w:val="auto"/>
          <w:sz w:val="21"/>
          <w:szCs w:val="21"/>
          <w:highlight w:val="none"/>
        </w:rPr>
      </w:pPr>
    </w:p>
    <w:p w14:paraId="6BD4558A">
      <w:pPr>
        <w:pStyle w:val="38"/>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7320CDC1">
      <w:pPr>
        <w:spacing w:line="360" w:lineRule="auto"/>
        <w:rPr>
          <w:rFonts w:hint="eastAsia" w:ascii="宋体" w:hAnsi="宋体" w:eastAsia="宋体" w:cs="宋体"/>
          <w:b/>
          <w:color w:val="auto"/>
          <w:sz w:val="24"/>
          <w:highlight w:val="none"/>
        </w:rPr>
      </w:pPr>
    </w:p>
    <w:p w14:paraId="0056EC3D">
      <w:pPr>
        <w:spacing w:line="360" w:lineRule="auto"/>
        <w:rPr>
          <w:rFonts w:hint="eastAsia" w:ascii="宋体" w:hAnsi="宋体" w:eastAsia="宋体" w:cs="宋体"/>
          <w:b/>
          <w:color w:val="auto"/>
          <w:sz w:val="28"/>
          <w:highlight w:val="none"/>
        </w:rPr>
      </w:pPr>
    </w:p>
    <w:p w14:paraId="3013D4AB">
      <w:pPr>
        <w:pStyle w:val="2"/>
        <w:rPr>
          <w:rFonts w:hint="eastAsia" w:ascii="宋体" w:hAnsi="宋体" w:eastAsia="宋体" w:cs="宋体"/>
          <w:b/>
          <w:color w:val="auto"/>
          <w:sz w:val="28"/>
          <w:highlight w:val="none"/>
        </w:rPr>
      </w:pPr>
    </w:p>
    <w:p w14:paraId="0231EAD6">
      <w:pPr>
        <w:pStyle w:val="2"/>
        <w:rPr>
          <w:rFonts w:hint="eastAsia" w:ascii="宋体" w:hAnsi="宋体" w:eastAsia="宋体" w:cs="宋体"/>
          <w:b/>
          <w:color w:val="auto"/>
          <w:sz w:val="28"/>
          <w:highlight w:val="none"/>
        </w:rPr>
      </w:pPr>
    </w:p>
    <w:p w14:paraId="20A3084A">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4E42F74A">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5EC815B4">
      <w:pPr>
        <w:pStyle w:val="41"/>
        <w:spacing w:line="360" w:lineRule="auto"/>
        <w:jc w:val="center"/>
        <w:rPr>
          <w:rFonts w:hint="eastAsia" w:ascii="宋体" w:hAnsi="宋体" w:eastAsia="宋体" w:cs="宋体"/>
          <w:b/>
          <w:color w:val="auto"/>
          <w:sz w:val="24"/>
          <w:highlight w:val="none"/>
        </w:rPr>
      </w:pPr>
    </w:p>
    <w:tbl>
      <w:tblPr>
        <w:tblStyle w:val="21"/>
        <w:tblW w:w="88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
        <w:gridCol w:w="1195"/>
        <w:gridCol w:w="1456"/>
        <w:gridCol w:w="1164"/>
        <w:gridCol w:w="1342"/>
        <w:gridCol w:w="1278"/>
        <w:gridCol w:w="1883"/>
      </w:tblGrid>
      <w:tr w14:paraId="6028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6" w:space="0"/>
              <w:left w:val="single" w:color="auto" w:sz="6" w:space="0"/>
              <w:bottom w:val="single" w:color="auto" w:sz="6" w:space="0"/>
              <w:right w:val="single" w:color="auto" w:sz="6" w:space="0"/>
            </w:tcBorders>
            <w:vAlign w:val="center"/>
          </w:tcPr>
          <w:p w14:paraId="665E3D3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95" w:type="dxa"/>
            <w:tcBorders>
              <w:top w:val="single" w:color="auto" w:sz="6" w:space="0"/>
              <w:left w:val="single" w:color="auto" w:sz="6" w:space="0"/>
              <w:bottom w:val="single" w:color="auto" w:sz="6" w:space="0"/>
              <w:right w:val="single" w:color="auto" w:sz="6" w:space="0"/>
            </w:tcBorders>
            <w:vAlign w:val="center"/>
          </w:tcPr>
          <w:p w14:paraId="6DF34A9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56" w:type="dxa"/>
            <w:tcBorders>
              <w:top w:val="single" w:color="auto" w:sz="6" w:space="0"/>
              <w:left w:val="single" w:color="auto" w:sz="6" w:space="0"/>
              <w:bottom w:val="single" w:color="auto" w:sz="6" w:space="0"/>
              <w:right w:val="single" w:color="auto" w:sz="6" w:space="0"/>
            </w:tcBorders>
            <w:vAlign w:val="center"/>
          </w:tcPr>
          <w:p w14:paraId="422CC4E2">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164" w:type="dxa"/>
            <w:tcBorders>
              <w:top w:val="single" w:color="auto" w:sz="6" w:space="0"/>
              <w:left w:val="single" w:color="auto" w:sz="6" w:space="0"/>
              <w:bottom w:val="single" w:color="auto" w:sz="6" w:space="0"/>
              <w:right w:val="single" w:color="auto" w:sz="6" w:space="0"/>
            </w:tcBorders>
            <w:vAlign w:val="center"/>
          </w:tcPr>
          <w:p w14:paraId="50E9387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342" w:type="dxa"/>
            <w:tcBorders>
              <w:top w:val="single" w:color="auto" w:sz="6" w:space="0"/>
              <w:left w:val="single" w:color="auto" w:sz="6" w:space="0"/>
              <w:bottom w:val="single" w:color="auto" w:sz="6" w:space="0"/>
              <w:right w:val="single" w:color="auto" w:sz="6" w:space="0"/>
            </w:tcBorders>
            <w:vAlign w:val="center"/>
          </w:tcPr>
          <w:p w14:paraId="39B4C067">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278" w:type="dxa"/>
            <w:tcBorders>
              <w:top w:val="single" w:color="auto" w:sz="6" w:space="0"/>
              <w:left w:val="single" w:color="auto" w:sz="6" w:space="0"/>
              <w:bottom w:val="single" w:color="auto" w:sz="6" w:space="0"/>
              <w:right w:val="single" w:color="auto" w:sz="6" w:space="0"/>
            </w:tcBorders>
            <w:vAlign w:val="center"/>
          </w:tcPr>
          <w:p w14:paraId="5FFF715A">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883" w:type="dxa"/>
            <w:tcBorders>
              <w:top w:val="single" w:color="auto" w:sz="6" w:space="0"/>
              <w:left w:val="single" w:color="auto" w:sz="6" w:space="0"/>
              <w:bottom w:val="single" w:color="auto" w:sz="6" w:space="0"/>
              <w:right w:val="single" w:color="auto" w:sz="6" w:space="0"/>
            </w:tcBorders>
            <w:vAlign w:val="center"/>
          </w:tcPr>
          <w:p w14:paraId="41127C3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4747D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499" w:type="dxa"/>
            <w:tcBorders>
              <w:top w:val="single" w:color="auto" w:sz="6" w:space="0"/>
              <w:left w:val="single" w:color="auto" w:sz="6" w:space="0"/>
              <w:bottom w:val="single" w:color="auto" w:sz="6" w:space="0"/>
              <w:right w:val="single" w:color="auto" w:sz="6" w:space="0"/>
            </w:tcBorders>
          </w:tcPr>
          <w:p w14:paraId="2F22137A">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5" w:type="dxa"/>
            <w:tcBorders>
              <w:top w:val="single" w:color="auto" w:sz="6" w:space="0"/>
              <w:left w:val="single" w:color="auto" w:sz="6" w:space="0"/>
              <w:bottom w:val="single" w:color="auto" w:sz="6" w:space="0"/>
              <w:right w:val="single" w:color="auto" w:sz="6" w:space="0"/>
            </w:tcBorders>
          </w:tcPr>
          <w:p w14:paraId="0DAC7F5C">
            <w:pPr>
              <w:pStyle w:val="41"/>
              <w:spacing w:line="360" w:lineRule="auto"/>
              <w:rPr>
                <w:rFonts w:hint="eastAsia" w:ascii="宋体" w:hAnsi="宋体" w:eastAsia="宋体" w:cs="宋体"/>
                <w:color w:val="auto"/>
                <w:sz w:val="21"/>
                <w:szCs w:val="21"/>
                <w:highlight w:val="none"/>
              </w:rPr>
            </w:pPr>
          </w:p>
        </w:tc>
        <w:tc>
          <w:tcPr>
            <w:tcW w:w="1456" w:type="dxa"/>
            <w:tcBorders>
              <w:top w:val="single" w:color="auto" w:sz="6" w:space="0"/>
              <w:left w:val="single" w:color="auto" w:sz="6" w:space="0"/>
              <w:bottom w:val="single" w:color="auto" w:sz="6" w:space="0"/>
              <w:right w:val="single" w:color="auto" w:sz="6" w:space="0"/>
            </w:tcBorders>
          </w:tcPr>
          <w:p w14:paraId="6D676041">
            <w:pPr>
              <w:pStyle w:val="41"/>
              <w:spacing w:line="360" w:lineRule="auto"/>
              <w:rPr>
                <w:rFonts w:hint="eastAsia" w:ascii="宋体" w:hAnsi="宋体" w:eastAsia="宋体" w:cs="宋体"/>
                <w:color w:val="auto"/>
                <w:sz w:val="21"/>
                <w:szCs w:val="21"/>
                <w:highlight w:val="none"/>
              </w:rPr>
            </w:pPr>
          </w:p>
        </w:tc>
        <w:tc>
          <w:tcPr>
            <w:tcW w:w="1164" w:type="dxa"/>
            <w:tcBorders>
              <w:top w:val="single" w:color="auto" w:sz="6" w:space="0"/>
              <w:left w:val="single" w:color="auto" w:sz="6" w:space="0"/>
              <w:bottom w:val="single" w:color="auto" w:sz="6" w:space="0"/>
              <w:right w:val="single" w:color="auto" w:sz="6" w:space="0"/>
            </w:tcBorders>
          </w:tcPr>
          <w:p w14:paraId="001CC442">
            <w:pPr>
              <w:pStyle w:val="41"/>
              <w:spacing w:line="360" w:lineRule="auto"/>
              <w:rPr>
                <w:rFonts w:hint="eastAsia" w:ascii="宋体" w:hAnsi="宋体" w:eastAsia="宋体" w:cs="宋体"/>
                <w:color w:val="auto"/>
                <w:sz w:val="21"/>
                <w:szCs w:val="21"/>
                <w:highlight w:val="none"/>
              </w:rPr>
            </w:pPr>
          </w:p>
        </w:tc>
        <w:tc>
          <w:tcPr>
            <w:tcW w:w="1342" w:type="dxa"/>
            <w:tcBorders>
              <w:top w:val="single" w:color="auto" w:sz="6" w:space="0"/>
              <w:left w:val="single" w:color="auto" w:sz="6" w:space="0"/>
              <w:bottom w:val="single" w:color="auto" w:sz="6" w:space="0"/>
              <w:right w:val="single" w:color="auto" w:sz="6" w:space="0"/>
            </w:tcBorders>
          </w:tcPr>
          <w:p w14:paraId="7E5A8A69">
            <w:pPr>
              <w:pStyle w:val="41"/>
              <w:spacing w:line="360" w:lineRule="auto"/>
              <w:rPr>
                <w:rFonts w:hint="eastAsia" w:ascii="宋体" w:hAnsi="宋体" w:eastAsia="宋体" w:cs="宋体"/>
                <w:color w:val="auto"/>
                <w:sz w:val="21"/>
                <w:szCs w:val="21"/>
                <w:highlight w:val="none"/>
              </w:rPr>
            </w:pPr>
          </w:p>
        </w:tc>
        <w:tc>
          <w:tcPr>
            <w:tcW w:w="1278" w:type="dxa"/>
            <w:tcBorders>
              <w:top w:val="single" w:color="auto" w:sz="6" w:space="0"/>
              <w:left w:val="single" w:color="auto" w:sz="6" w:space="0"/>
              <w:bottom w:val="single" w:color="auto" w:sz="6" w:space="0"/>
              <w:right w:val="single" w:color="auto" w:sz="6" w:space="0"/>
            </w:tcBorders>
          </w:tcPr>
          <w:p w14:paraId="0B879D28">
            <w:pPr>
              <w:pStyle w:val="41"/>
              <w:spacing w:line="360" w:lineRule="auto"/>
              <w:rPr>
                <w:rFonts w:hint="eastAsia" w:ascii="宋体" w:hAnsi="宋体" w:eastAsia="宋体" w:cs="宋体"/>
                <w:color w:val="auto"/>
                <w:sz w:val="21"/>
                <w:szCs w:val="21"/>
                <w:highlight w:val="none"/>
              </w:rPr>
            </w:pPr>
          </w:p>
        </w:tc>
        <w:tc>
          <w:tcPr>
            <w:tcW w:w="1883" w:type="dxa"/>
            <w:tcBorders>
              <w:top w:val="single" w:color="auto" w:sz="6" w:space="0"/>
              <w:left w:val="single" w:color="auto" w:sz="6" w:space="0"/>
              <w:bottom w:val="single" w:color="auto" w:sz="6" w:space="0"/>
              <w:right w:val="single" w:color="auto" w:sz="6" w:space="0"/>
            </w:tcBorders>
          </w:tcPr>
          <w:p w14:paraId="52DABAB8">
            <w:pPr>
              <w:pStyle w:val="41"/>
              <w:spacing w:line="360" w:lineRule="auto"/>
              <w:rPr>
                <w:rFonts w:hint="eastAsia" w:ascii="宋体" w:hAnsi="宋体" w:eastAsia="宋体" w:cs="宋体"/>
                <w:color w:val="auto"/>
                <w:sz w:val="21"/>
                <w:szCs w:val="21"/>
                <w:highlight w:val="none"/>
              </w:rPr>
            </w:pPr>
          </w:p>
        </w:tc>
      </w:tr>
      <w:tr w14:paraId="73D00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499" w:type="dxa"/>
            <w:tcBorders>
              <w:top w:val="single" w:color="auto" w:sz="6" w:space="0"/>
              <w:left w:val="single" w:color="auto" w:sz="6" w:space="0"/>
              <w:bottom w:val="single" w:color="auto" w:sz="6" w:space="0"/>
              <w:right w:val="single" w:color="auto" w:sz="6" w:space="0"/>
            </w:tcBorders>
          </w:tcPr>
          <w:p w14:paraId="264E5DC5">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5" w:type="dxa"/>
            <w:tcBorders>
              <w:top w:val="single" w:color="auto" w:sz="6" w:space="0"/>
              <w:left w:val="single" w:color="auto" w:sz="6" w:space="0"/>
              <w:bottom w:val="single" w:color="auto" w:sz="6" w:space="0"/>
              <w:right w:val="single" w:color="auto" w:sz="6" w:space="0"/>
            </w:tcBorders>
          </w:tcPr>
          <w:p w14:paraId="1BCE1DA7">
            <w:pPr>
              <w:pStyle w:val="41"/>
              <w:spacing w:line="360" w:lineRule="auto"/>
              <w:rPr>
                <w:rFonts w:hint="eastAsia" w:ascii="宋体" w:hAnsi="宋体" w:eastAsia="宋体" w:cs="宋体"/>
                <w:color w:val="auto"/>
                <w:sz w:val="21"/>
                <w:szCs w:val="21"/>
                <w:highlight w:val="none"/>
              </w:rPr>
            </w:pPr>
          </w:p>
        </w:tc>
        <w:tc>
          <w:tcPr>
            <w:tcW w:w="1456" w:type="dxa"/>
            <w:tcBorders>
              <w:top w:val="single" w:color="auto" w:sz="6" w:space="0"/>
              <w:left w:val="single" w:color="auto" w:sz="6" w:space="0"/>
              <w:bottom w:val="single" w:color="auto" w:sz="6" w:space="0"/>
              <w:right w:val="single" w:color="auto" w:sz="6" w:space="0"/>
            </w:tcBorders>
          </w:tcPr>
          <w:p w14:paraId="1DBA602D">
            <w:pPr>
              <w:pStyle w:val="41"/>
              <w:spacing w:line="360" w:lineRule="auto"/>
              <w:rPr>
                <w:rFonts w:hint="eastAsia" w:ascii="宋体" w:hAnsi="宋体" w:eastAsia="宋体" w:cs="宋体"/>
                <w:color w:val="auto"/>
                <w:sz w:val="21"/>
                <w:szCs w:val="21"/>
                <w:highlight w:val="none"/>
              </w:rPr>
            </w:pPr>
          </w:p>
        </w:tc>
        <w:tc>
          <w:tcPr>
            <w:tcW w:w="1164" w:type="dxa"/>
            <w:tcBorders>
              <w:top w:val="single" w:color="auto" w:sz="6" w:space="0"/>
              <w:left w:val="single" w:color="auto" w:sz="6" w:space="0"/>
              <w:bottom w:val="single" w:color="auto" w:sz="6" w:space="0"/>
              <w:right w:val="single" w:color="auto" w:sz="6" w:space="0"/>
            </w:tcBorders>
          </w:tcPr>
          <w:p w14:paraId="3E1EDAD6">
            <w:pPr>
              <w:pStyle w:val="41"/>
              <w:spacing w:line="360" w:lineRule="auto"/>
              <w:rPr>
                <w:rFonts w:hint="eastAsia" w:ascii="宋体" w:hAnsi="宋体" w:eastAsia="宋体" w:cs="宋体"/>
                <w:color w:val="auto"/>
                <w:sz w:val="21"/>
                <w:szCs w:val="21"/>
                <w:highlight w:val="none"/>
              </w:rPr>
            </w:pPr>
          </w:p>
        </w:tc>
        <w:tc>
          <w:tcPr>
            <w:tcW w:w="1342" w:type="dxa"/>
            <w:tcBorders>
              <w:top w:val="single" w:color="auto" w:sz="6" w:space="0"/>
              <w:left w:val="single" w:color="auto" w:sz="6" w:space="0"/>
              <w:bottom w:val="single" w:color="auto" w:sz="6" w:space="0"/>
              <w:right w:val="single" w:color="auto" w:sz="6" w:space="0"/>
            </w:tcBorders>
          </w:tcPr>
          <w:p w14:paraId="04D25423">
            <w:pPr>
              <w:pStyle w:val="41"/>
              <w:spacing w:line="360" w:lineRule="auto"/>
              <w:rPr>
                <w:rFonts w:hint="eastAsia" w:ascii="宋体" w:hAnsi="宋体" w:eastAsia="宋体" w:cs="宋体"/>
                <w:color w:val="auto"/>
                <w:sz w:val="21"/>
                <w:szCs w:val="21"/>
                <w:highlight w:val="none"/>
              </w:rPr>
            </w:pPr>
          </w:p>
        </w:tc>
        <w:tc>
          <w:tcPr>
            <w:tcW w:w="1278" w:type="dxa"/>
            <w:tcBorders>
              <w:top w:val="single" w:color="auto" w:sz="6" w:space="0"/>
              <w:left w:val="single" w:color="auto" w:sz="6" w:space="0"/>
              <w:bottom w:val="single" w:color="auto" w:sz="6" w:space="0"/>
              <w:right w:val="single" w:color="auto" w:sz="6" w:space="0"/>
            </w:tcBorders>
          </w:tcPr>
          <w:p w14:paraId="35EC65C0">
            <w:pPr>
              <w:pStyle w:val="41"/>
              <w:spacing w:line="360" w:lineRule="auto"/>
              <w:rPr>
                <w:rFonts w:hint="eastAsia" w:ascii="宋体" w:hAnsi="宋体" w:eastAsia="宋体" w:cs="宋体"/>
                <w:color w:val="auto"/>
                <w:sz w:val="21"/>
                <w:szCs w:val="21"/>
                <w:highlight w:val="none"/>
              </w:rPr>
            </w:pPr>
          </w:p>
        </w:tc>
        <w:tc>
          <w:tcPr>
            <w:tcW w:w="1883" w:type="dxa"/>
            <w:tcBorders>
              <w:top w:val="single" w:color="auto" w:sz="6" w:space="0"/>
              <w:left w:val="single" w:color="auto" w:sz="6" w:space="0"/>
              <w:bottom w:val="single" w:color="auto" w:sz="6" w:space="0"/>
              <w:right w:val="single" w:color="auto" w:sz="6" w:space="0"/>
            </w:tcBorders>
          </w:tcPr>
          <w:p w14:paraId="5693454F">
            <w:pPr>
              <w:pStyle w:val="41"/>
              <w:spacing w:line="360" w:lineRule="auto"/>
              <w:rPr>
                <w:rFonts w:hint="eastAsia" w:ascii="宋体" w:hAnsi="宋体" w:eastAsia="宋体" w:cs="宋体"/>
                <w:color w:val="auto"/>
                <w:sz w:val="21"/>
                <w:szCs w:val="21"/>
                <w:highlight w:val="none"/>
              </w:rPr>
            </w:pPr>
          </w:p>
        </w:tc>
      </w:tr>
      <w:tr w14:paraId="571A8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499" w:type="dxa"/>
            <w:tcBorders>
              <w:top w:val="single" w:color="auto" w:sz="6" w:space="0"/>
              <w:left w:val="single" w:color="auto" w:sz="6" w:space="0"/>
              <w:bottom w:val="single" w:color="auto" w:sz="6" w:space="0"/>
              <w:right w:val="single" w:color="auto" w:sz="6" w:space="0"/>
            </w:tcBorders>
          </w:tcPr>
          <w:p w14:paraId="0386FF09">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95" w:type="dxa"/>
            <w:tcBorders>
              <w:top w:val="single" w:color="auto" w:sz="6" w:space="0"/>
              <w:left w:val="single" w:color="auto" w:sz="6" w:space="0"/>
              <w:bottom w:val="single" w:color="auto" w:sz="6" w:space="0"/>
              <w:right w:val="single" w:color="auto" w:sz="6" w:space="0"/>
            </w:tcBorders>
          </w:tcPr>
          <w:p w14:paraId="5C0E4149">
            <w:pPr>
              <w:pStyle w:val="41"/>
              <w:spacing w:line="360" w:lineRule="auto"/>
              <w:rPr>
                <w:rFonts w:hint="eastAsia" w:ascii="宋体" w:hAnsi="宋体" w:eastAsia="宋体" w:cs="宋体"/>
                <w:color w:val="auto"/>
                <w:sz w:val="21"/>
                <w:szCs w:val="21"/>
                <w:highlight w:val="none"/>
              </w:rPr>
            </w:pPr>
          </w:p>
        </w:tc>
        <w:tc>
          <w:tcPr>
            <w:tcW w:w="1456" w:type="dxa"/>
            <w:tcBorders>
              <w:top w:val="single" w:color="auto" w:sz="6" w:space="0"/>
              <w:left w:val="single" w:color="auto" w:sz="6" w:space="0"/>
              <w:bottom w:val="single" w:color="auto" w:sz="6" w:space="0"/>
              <w:right w:val="single" w:color="auto" w:sz="6" w:space="0"/>
            </w:tcBorders>
          </w:tcPr>
          <w:p w14:paraId="3E33A7D4">
            <w:pPr>
              <w:pStyle w:val="41"/>
              <w:spacing w:line="360" w:lineRule="auto"/>
              <w:rPr>
                <w:rFonts w:hint="eastAsia" w:ascii="宋体" w:hAnsi="宋体" w:eastAsia="宋体" w:cs="宋体"/>
                <w:color w:val="auto"/>
                <w:sz w:val="21"/>
                <w:szCs w:val="21"/>
                <w:highlight w:val="none"/>
              </w:rPr>
            </w:pPr>
          </w:p>
        </w:tc>
        <w:tc>
          <w:tcPr>
            <w:tcW w:w="1164" w:type="dxa"/>
            <w:tcBorders>
              <w:top w:val="single" w:color="auto" w:sz="6" w:space="0"/>
              <w:left w:val="single" w:color="auto" w:sz="6" w:space="0"/>
              <w:bottom w:val="single" w:color="auto" w:sz="6" w:space="0"/>
              <w:right w:val="single" w:color="auto" w:sz="6" w:space="0"/>
            </w:tcBorders>
          </w:tcPr>
          <w:p w14:paraId="0CA1D852">
            <w:pPr>
              <w:pStyle w:val="41"/>
              <w:spacing w:line="360" w:lineRule="auto"/>
              <w:rPr>
                <w:rFonts w:hint="eastAsia" w:ascii="宋体" w:hAnsi="宋体" w:eastAsia="宋体" w:cs="宋体"/>
                <w:color w:val="auto"/>
                <w:sz w:val="21"/>
                <w:szCs w:val="21"/>
                <w:highlight w:val="none"/>
              </w:rPr>
            </w:pPr>
          </w:p>
        </w:tc>
        <w:tc>
          <w:tcPr>
            <w:tcW w:w="1342" w:type="dxa"/>
            <w:tcBorders>
              <w:top w:val="single" w:color="auto" w:sz="6" w:space="0"/>
              <w:left w:val="single" w:color="auto" w:sz="6" w:space="0"/>
              <w:bottom w:val="single" w:color="auto" w:sz="6" w:space="0"/>
              <w:right w:val="single" w:color="auto" w:sz="6" w:space="0"/>
            </w:tcBorders>
          </w:tcPr>
          <w:p w14:paraId="1A583D1A">
            <w:pPr>
              <w:pStyle w:val="41"/>
              <w:spacing w:line="360" w:lineRule="auto"/>
              <w:rPr>
                <w:rFonts w:hint="eastAsia" w:ascii="宋体" w:hAnsi="宋体" w:eastAsia="宋体" w:cs="宋体"/>
                <w:color w:val="auto"/>
                <w:sz w:val="21"/>
                <w:szCs w:val="21"/>
                <w:highlight w:val="none"/>
              </w:rPr>
            </w:pPr>
          </w:p>
        </w:tc>
        <w:tc>
          <w:tcPr>
            <w:tcW w:w="1278" w:type="dxa"/>
            <w:tcBorders>
              <w:top w:val="single" w:color="auto" w:sz="6" w:space="0"/>
              <w:left w:val="single" w:color="auto" w:sz="6" w:space="0"/>
              <w:bottom w:val="single" w:color="auto" w:sz="6" w:space="0"/>
              <w:right w:val="single" w:color="auto" w:sz="6" w:space="0"/>
            </w:tcBorders>
          </w:tcPr>
          <w:p w14:paraId="57284CF2">
            <w:pPr>
              <w:pStyle w:val="41"/>
              <w:spacing w:line="360" w:lineRule="auto"/>
              <w:rPr>
                <w:rFonts w:hint="eastAsia" w:ascii="宋体" w:hAnsi="宋体" w:eastAsia="宋体" w:cs="宋体"/>
                <w:color w:val="auto"/>
                <w:sz w:val="21"/>
                <w:szCs w:val="21"/>
                <w:highlight w:val="none"/>
              </w:rPr>
            </w:pPr>
          </w:p>
        </w:tc>
        <w:tc>
          <w:tcPr>
            <w:tcW w:w="1883" w:type="dxa"/>
            <w:tcBorders>
              <w:top w:val="single" w:color="auto" w:sz="6" w:space="0"/>
              <w:left w:val="single" w:color="auto" w:sz="6" w:space="0"/>
              <w:bottom w:val="single" w:color="auto" w:sz="6" w:space="0"/>
              <w:right w:val="single" w:color="auto" w:sz="6" w:space="0"/>
            </w:tcBorders>
          </w:tcPr>
          <w:p w14:paraId="085F34E7">
            <w:pPr>
              <w:pStyle w:val="41"/>
              <w:spacing w:line="360" w:lineRule="auto"/>
              <w:rPr>
                <w:rFonts w:hint="eastAsia" w:ascii="宋体" w:hAnsi="宋体" w:eastAsia="宋体" w:cs="宋体"/>
                <w:color w:val="auto"/>
                <w:sz w:val="21"/>
                <w:szCs w:val="21"/>
                <w:highlight w:val="none"/>
              </w:rPr>
            </w:pPr>
          </w:p>
        </w:tc>
      </w:tr>
      <w:tr w14:paraId="2C6D7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9" w:type="dxa"/>
            <w:tcBorders>
              <w:top w:val="single" w:color="auto" w:sz="6" w:space="0"/>
              <w:left w:val="single" w:color="auto" w:sz="6" w:space="0"/>
              <w:bottom w:val="single" w:color="auto" w:sz="6" w:space="0"/>
              <w:right w:val="single" w:color="auto" w:sz="6" w:space="0"/>
            </w:tcBorders>
          </w:tcPr>
          <w:p w14:paraId="2F7CBA88">
            <w:pPr>
              <w:pStyle w:val="4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95" w:type="dxa"/>
            <w:tcBorders>
              <w:top w:val="single" w:color="auto" w:sz="6" w:space="0"/>
              <w:left w:val="single" w:color="auto" w:sz="6" w:space="0"/>
              <w:bottom w:val="single" w:color="auto" w:sz="6" w:space="0"/>
              <w:right w:val="single" w:color="auto" w:sz="6" w:space="0"/>
            </w:tcBorders>
          </w:tcPr>
          <w:p w14:paraId="5C128109">
            <w:pPr>
              <w:pStyle w:val="41"/>
              <w:spacing w:line="360" w:lineRule="auto"/>
              <w:rPr>
                <w:rFonts w:hint="eastAsia" w:ascii="宋体" w:hAnsi="宋体" w:eastAsia="宋体" w:cs="宋体"/>
                <w:color w:val="auto"/>
                <w:sz w:val="21"/>
                <w:szCs w:val="21"/>
                <w:highlight w:val="none"/>
              </w:rPr>
            </w:pPr>
          </w:p>
        </w:tc>
        <w:tc>
          <w:tcPr>
            <w:tcW w:w="1456" w:type="dxa"/>
            <w:tcBorders>
              <w:top w:val="single" w:color="auto" w:sz="6" w:space="0"/>
              <w:left w:val="single" w:color="auto" w:sz="6" w:space="0"/>
              <w:bottom w:val="single" w:color="auto" w:sz="6" w:space="0"/>
              <w:right w:val="single" w:color="auto" w:sz="6" w:space="0"/>
            </w:tcBorders>
          </w:tcPr>
          <w:p w14:paraId="47F3090F">
            <w:pPr>
              <w:pStyle w:val="41"/>
              <w:spacing w:line="360" w:lineRule="auto"/>
              <w:rPr>
                <w:rFonts w:hint="eastAsia" w:ascii="宋体" w:hAnsi="宋体" w:eastAsia="宋体" w:cs="宋体"/>
                <w:color w:val="auto"/>
                <w:sz w:val="21"/>
                <w:szCs w:val="21"/>
                <w:highlight w:val="none"/>
              </w:rPr>
            </w:pPr>
          </w:p>
        </w:tc>
        <w:tc>
          <w:tcPr>
            <w:tcW w:w="1164" w:type="dxa"/>
            <w:tcBorders>
              <w:top w:val="single" w:color="auto" w:sz="6" w:space="0"/>
              <w:left w:val="single" w:color="auto" w:sz="6" w:space="0"/>
              <w:bottom w:val="single" w:color="auto" w:sz="6" w:space="0"/>
              <w:right w:val="single" w:color="auto" w:sz="6" w:space="0"/>
            </w:tcBorders>
          </w:tcPr>
          <w:p w14:paraId="6471D16B">
            <w:pPr>
              <w:pStyle w:val="41"/>
              <w:spacing w:line="360" w:lineRule="auto"/>
              <w:rPr>
                <w:rFonts w:hint="eastAsia" w:ascii="宋体" w:hAnsi="宋体" w:eastAsia="宋体" w:cs="宋体"/>
                <w:color w:val="auto"/>
                <w:sz w:val="21"/>
                <w:szCs w:val="21"/>
                <w:highlight w:val="none"/>
              </w:rPr>
            </w:pPr>
          </w:p>
        </w:tc>
        <w:tc>
          <w:tcPr>
            <w:tcW w:w="1342" w:type="dxa"/>
            <w:tcBorders>
              <w:top w:val="single" w:color="auto" w:sz="6" w:space="0"/>
              <w:left w:val="single" w:color="auto" w:sz="6" w:space="0"/>
              <w:bottom w:val="single" w:color="auto" w:sz="6" w:space="0"/>
              <w:right w:val="single" w:color="auto" w:sz="6" w:space="0"/>
            </w:tcBorders>
          </w:tcPr>
          <w:p w14:paraId="00721B9A">
            <w:pPr>
              <w:pStyle w:val="41"/>
              <w:spacing w:line="360" w:lineRule="auto"/>
              <w:rPr>
                <w:rFonts w:hint="eastAsia" w:ascii="宋体" w:hAnsi="宋体" w:eastAsia="宋体" w:cs="宋体"/>
                <w:color w:val="auto"/>
                <w:sz w:val="21"/>
                <w:szCs w:val="21"/>
                <w:highlight w:val="none"/>
              </w:rPr>
            </w:pPr>
          </w:p>
        </w:tc>
        <w:tc>
          <w:tcPr>
            <w:tcW w:w="1278" w:type="dxa"/>
            <w:tcBorders>
              <w:top w:val="single" w:color="auto" w:sz="6" w:space="0"/>
              <w:left w:val="single" w:color="auto" w:sz="6" w:space="0"/>
              <w:bottom w:val="single" w:color="auto" w:sz="6" w:space="0"/>
              <w:right w:val="single" w:color="auto" w:sz="6" w:space="0"/>
            </w:tcBorders>
          </w:tcPr>
          <w:p w14:paraId="25599F83">
            <w:pPr>
              <w:pStyle w:val="41"/>
              <w:spacing w:line="360" w:lineRule="auto"/>
              <w:rPr>
                <w:rFonts w:hint="eastAsia" w:ascii="宋体" w:hAnsi="宋体" w:eastAsia="宋体" w:cs="宋体"/>
                <w:color w:val="auto"/>
                <w:sz w:val="21"/>
                <w:szCs w:val="21"/>
                <w:highlight w:val="none"/>
              </w:rPr>
            </w:pPr>
          </w:p>
        </w:tc>
        <w:tc>
          <w:tcPr>
            <w:tcW w:w="1883" w:type="dxa"/>
            <w:tcBorders>
              <w:top w:val="single" w:color="auto" w:sz="6" w:space="0"/>
              <w:left w:val="single" w:color="auto" w:sz="6" w:space="0"/>
              <w:bottom w:val="single" w:color="auto" w:sz="6" w:space="0"/>
              <w:right w:val="single" w:color="auto" w:sz="6" w:space="0"/>
            </w:tcBorders>
          </w:tcPr>
          <w:p w14:paraId="133AA7AA">
            <w:pPr>
              <w:pStyle w:val="41"/>
              <w:spacing w:line="360" w:lineRule="auto"/>
              <w:rPr>
                <w:rFonts w:hint="eastAsia" w:ascii="宋体" w:hAnsi="宋体" w:eastAsia="宋体" w:cs="宋体"/>
                <w:color w:val="auto"/>
                <w:sz w:val="21"/>
                <w:szCs w:val="21"/>
                <w:highlight w:val="none"/>
              </w:rPr>
            </w:pPr>
          </w:p>
        </w:tc>
      </w:tr>
      <w:tr w14:paraId="1227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9" w:type="dxa"/>
            <w:tcBorders>
              <w:top w:val="single" w:color="auto" w:sz="6" w:space="0"/>
              <w:left w:val="single" w:color="auto" w:sz="6" w:space="0"/>
              <w:bottom w:val="single" w:color="auto" w:sz="6" w:space="0"/>
              <w:right w:val="single" w:color="auto" w:sz="6" w:space="0"/>
            </w:tcBorders>
          </w:tcPr>
          <w:p w14:paraId="06882E74">
            <w:pPr>
              <w:pStyle w:val="41"/>
              <w:spacing w:line="360" w:lineRule="auto"/>
              <w:rPr>
                <w:rFonts w:hint="eastAsia" w:ascii="宋体" w:hAnsi="宋体" w:eastAsia="宋体" w:cs="宋体"/>
                <w:color w:val="auto"/>
                <w:sz w:val="21"/>
                <w:szCs w:val="21"/>
                <w:highlight w:val="none"/>
              </w:rPr>
            </w:pPr>
          </w:p>
        </w:tc>
        <w:tc>
          <w:tcPr>
            <w:tcW w:w="1195" w:type="dxa"/>
            <w:tcBorders>
              <w:top w:val="single" w:color="auto" w:sz="6" w:space="0"/>
              <w:left w:val="single" w:color="auto" w:sz="6" w:space="0"/>
              <w:bottom w:val="single" w:color="auto" w:sz="6" w:space="0"/>
              <w:right w:val="single" w:color="auto" w:sz="6" w:space="0"/>
            </w:tcBorders>
          </w:tcPr>
          <w:p w14:paraId="5B80A87A">
            <w:pPr>
              <w:pStyle w:val="41"/>
              <w:spacing w:line="360" w:lineRule="auto"/>
              <w:rPr>
                <w:rFonts w:hint="eastAsia" w:ascii="宋体" w:hAnsi="宋体" w:eastAsia="宋体" w:cs="宋体"/>
                <w:color w:val="auto"/>
                <w:sz w:val="21"/>
                <w:szCs w:val="21"/>
                <w:highlight w:val="none"/>
              </w:rPr>
            </w:pPr>
          </w:p>
        </w:tc>
        <w:tc>
          <w:tcPr>
            <w:tcW w:w="1456" w:type="dxa"/>
            <w:tcBorders>
              <w:top w:val="single" w:color="auto" w:sz="6" w:space="0"/>
              <w:left w:val="single" w:color="auto" w:sz="6" w:space="0"/>
              <w:bottom w:val="single" w:color="auto" w:sz="6" w:space="0"/>
              <w:right w:val="single" w:color="auto" w:sz="6" w:space="0"/>
            </w:tcBorders>
          </w:tcPr>
          <w:p w14:paraId="6779301C">
            <w:pPr>
              <w:pStyle w:val="41"/>
              <w:spacing w:line="360" w:lineRule="auto"/>
              <w:rPr>
                <w:rFonts w:hint="eastAsia" w:ascii="宋体" w:hAnsi="宋体" w:eastAsia="宋体" w:cs="宋体"/>
                <w:color w:val="auto"/>
                <w:sz w:val="21"/>
                <w:szCs w:val="21"/>
                <w:highlight w:val="none"/>
              </w:rPr>
            </w:pPr>
          </w:p>
        </w:tc>
        <w:tc>
          <w:tcPr>
            <w:tcW w:w="1164" w:type="dxa"/>
            <w:tcBorders>
              <w:top w:val="single" w:color="auto" w:sz="6" w:space="0"/>
              <w:left w:val="single" w:color="auto" w:sz="6" w:space="0"/>
              <w:bottom w:val="single" w:color="auto" w:sz="6" w:space="0"/>
              <w:right w:val="single" w:color="auto" w:sz="6" w:space="0"/>
            </w:tcBorders>
          </w:tcPr>
          <w:p w14:paraId="69CFC87E">
            <w:pPr>
              <w:pStyle w:val="41"/>
              <w:spacing w:line="360" w:lineRule="auto"/>
              <w:rPr>
                <w:rFonts w:hint="eastAsia" w:ascii="宋体" w:hAnsi="宋体" w:eastAsia="宋体" w:cs="宋体"/>
                <w:color w:val="auto"/>
                <w:sz w:val="21"/>
                <w:szCs w:val="21"/>
                <w:highlight w:val="none"/>
              </w:rPr>
            </w:pPr>
          </w:p>
        </w:tc>
        <w:tc>
          <w:tcPr>
            <w:tcW w:w="1342" w:type="dxa"/>
            <w:tcBorders>
              <w:top w:val="single" w:color="auto" w:sz="6" w:space="0"/>
              <w:left w:val="single" w:color="auto" w:sz="6" w:space="0"/>
              <w:bottom w:val="single" w:color="auto" w:sz="6" w:space="0"/>
              <w:right w:val="single" w:color="auto" w:sz="6" w:space="0"/>
            </w:tcBorders>
          </w:tcPr>
          <w:p w14:paraId="0E88CF34">
            <w:pPr>
              <w:pStyle w:val="41"/>
              <w:spacing w:line="360" w:lineRule="auto"/>
              <w:rPr>
                <w:rFonts w:hint="eastAsia" w:ascii="宋体" w:hAnsi="宋体" w:eastAsia="宋体" w:cs="宋体"/>
                <w:color w:val="auto"/>
                <w:sz w:val="21"/>
                <w:szCs w:val="21"/>
                <w:highlight w:val="none"/>
              </w:rPr>
            </w:pPr>
          </w:p>
        </w:tc>
        <w:tc>
          <w:tcPr>
            <w:tcW w:w="1278" w:type="dxa"/>
            <w:tcBorders>
              <w:top w:val="single" w:color="auto" w:sz="6" w:space="0"/>
              <w:left w:val="single" w:color="auto" w:sz="6" w:space="0"/>
              <w:bottom w:val="single" w:color="auto" w:sz="6" w:space="0"/>
              <w:right w:val="single" w:color="auto" w:sz="6" w:space="0"/>
            </w:tcBorders>
          </w:tcPr>
          <w:p w14:paraId="20D977F0">
            <w:pPr>
              <w:pStyle w:val="41"/>
              <w:spacing w:line="360" w:lineRule="auto"/>
              <w:rPr>
                <w:rFonts w:hint="eastAsia" w:ascii="宋体" w:hAnsi="宋体" w:eastAsia="宋体" w:cs="宋体"/>
                <w:color w:val="auto"/>
                <w:sz w:val="21"/>
                <w:szCs w:val="21"/>
                <w:highlight w:val="none"/>
              </w:rPr>
            </w:pPr>
          </w:p>
        </w:tc>
        <w:tc>
          <w:tcPr>
            <w:tcW w:w="1883" w:type="dxa"/>
            <w:tcBorders>
              <w:top w:val="single" w:color="auto" w:sz="6" w:space="0"/>
              <w:left w:val="single" w:color="auto" w:sz="6" w:space="0"/>
              <w:bottom w:val="single" w:color="auto" w:sz="6" w:space="0"/>
              <w:right w:val="single" w:color="auto" w:sz="6" w:space="0"/>
            </w:tcBorders>
          </w:tcPr>
          <w:p w14:paraId="62AAC55B">
            <w:pPr>
              <w:pStyle w:val="41"/>
              <w:spacing w:line="360" w:lineRule="auto"/>
              <w:rPr>
                <w:rFonts w:hint="eastAsia" w:ascii="宋体" w:hAnsi="宋体" w:eastAsia="宋体" w:cs="宋体"/>
                <w:color w:val="auto"/>
                <w:sz w:val="21"/>
                <w:szCs w:val="21"/>
                <w:highlight w:val="none"/>
              </w:rPr>
            </w:pPr>
          </w:p>
        </w:tc>
      </w:tr>
      <w:tr w14:paraId="283BA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9" w:type="dxa"/>
            <w:tcBorders>
              <w:top w:val="single" w:color="auto" w:sz="6" w:space="0"/>
              <w:left w:val="single" w:color="auto" w:sz="6" w:space="0"/>
              <w:bottom w:val="single" w:color="auto" w:sz="6" w:space="0"/>
              <w:right w:val="single" w:color="auto" w:sz="6" w:space="0"/>
            </w:tcBorders>
          </w:tcPr>
          <w:p w14:paraId="179ABE07">
            <w:pPr>
              <w:pStyle w:val="41"/>
              <w:spacing w:line="360" w:lineRule="auto"/>
              <w:rPr>
                <w:rFonts w:hint="eastAsia" w:ascii="宋体" w:hAnsi="宋体" w:eastAsia="宋体" w:cs="宋体"/>
                <w:color w:val="auto"/>
                <w:sz w:val="21"/>
                <w:szCs w:val="21"/>
                <w:highlight w:val="none"/>
              </w:rPr>
            </w:pPr>
          </w:p>
        </w:tc>
        <w:tc>
          <w:tcPr>
            <w:tcW w:w="1195" w:type="dxa"/>
            <w:tcBorders>
              <w:top w:val="single" w:color="auto" w:sz="6" w:space="0"/>
              <w:left w:val="single" w:color="auto" w:sz="6" w:space="0"/>
              <w:bottom w:val="single" w:color="auto" w:sz="6" w:space="0"/>
              <w:right w:val="single" w:color="auto" w:sz="6" w:space="0"/>
            </w:tcBorders>
          </w:tcPr>
          <w:p w14:paraId="7B2CDB2B">
            <w:pPr>
              <w:pStyle w:val="41"/>
              <w:spacing w:line="360" w:lineRule="auto"/>
              <w:rPr>
                <w:rFonts w:hint="eastAsia" w:ascii="宋体" w:hAnsi="宋体" w:eastAsia="宋体" w:cs="宋体"/>
                <w:color w:val="auto"/>
                <w:sz w:val="21"/>
                <w:szCs w:val="21"/>
                <w:highlight w:val="none"/>
              </w:rPr>
            </w:pPr>
          </w:p>
        </w:tc>
        <w:tc>
          <w:tcPr>
            <w:tcW w:w="1456" w:type="dxa"/>
            <w:tcBorders>
              <w:top w:val="single" w:color="auto" w:sz="6" w:space="0"/>
              <w:left w:val="single" w:color="auto" w:sz="6" w:space="0"/>
              <w:bottom w:val="single" w:color="auto" w:sz="6" w:space="0"/>
              <w:right w:val="single" w:color="auto" w:sz="6" w:space="0"/>
            </w:tcBorders>
          </w:tcPr>
          <w:p w14:paraId="3E26F0C8">
            <w:pPr>
              <w:pStyle w:val="41"/>
              <w:spacing w:line="360" w:lineRule="auto"/>
              <w:rPr>
                <w:rFonts w:hint="eastAsia" w:ascii="宋体" w:hAnsi="宋体" w:eastAsia="宋体" w:cs="宋体"/>
                <w:color w:val="auto"/>
                <w:sz w:val="21"/>
                <w:szCs w:val="21"/>
                <w:highlight w:val="none"/>
              </w:rPr>
            </w:pPr>
          </w:p>
        </w:tc>
        <w:tc>
          <w:tcPr>
            <w:tcW w:w="1164" w:type="dxa"/>
            <w:tcBorders>
              <w:top w:val="single" w:color="auto" w:sz="6" w:space="0"/>
              <w:left w:val="single" w:color="auto" w:sz="6" w:space="0"/>
              <w:bottom w:val="single" w:color="auto" w:sz="6" w:space="0"/>
              <w:right w:val="single" w:color="auto" w:sz="6" w:space="0"/>
            </w:tcBorders>
          </w:tcPr>
          <w:p w14:paraId="21DF2BAE">
            <w:pPr>
              <w:pStyle w:val="41"/>
              <w:spacing w:line="360" w:lineRule="auto"/>
              <w:rPr>
                <w:rFonts w:hint="eastAsia" w:ascii="宋体" w:hAnsi="宋体" w:eastAsia="宋体" w:cs="宋体"/>
                <w:color w:val="auto"/>
                <w:sz w:val="21"/>
                <w:szCs w:val="21"/>
                <w:highlight w:val="none"/>
              </w:rPr>
            </w:pPr>
          </w:p>
        </w:tc>
        <w:tc>
          <w:tcPr>
            <w:tcW w:w="1342" w:type="dxa"/>
            <w:tcBorders>
              <w:top w:val="single" w:color="auto" w:sz="6" w:space="0"/>
              <w:left w:val="single" w:color="auto" w:sz="6" w:space="0"/>
              <w:bottom w:val="single" w:color="auto" w:sz="6" w:space="0"/>
              <w:right w:val="single" w:color="auto" w:sz="6" w:space="0"/>
            </w:tcBorders>
          </w:tcPr>
          <w:p w14:paraId="49D6AF87">
            <w:pPr>
              <w:pStyle w:val="41"/>
              <w:spacing w:line="360" w:lineRule="auto"/>
              <w:rPr>
                <w:rFonts w:hint="eastAsia" w:ascii="宋体" w:hAnsi="宋体" w:eastAsia="宋体" w:cs="宋体"/>
                <w:color w:val="auto"/>
                <w:sz w:val="21"/>
                <w:szCs w:val="21"/>
                <w:highlight w:val="none"/>
              </w:rPr>
            </w:pPr>
          </w:p>
        </w:tc>
        <w:tc>
          <w:tcPr>
            <w:tcW w:w="1278" w:type="dxa"/>
            <w:tcBorders>
              <w:top w:val="single" w:color="auto" w:sz="6" w:space="0"/>
              <w:left w:val="single" w:color="auto" w:sz="6" w:space="0"/>
              <w:bottom w:val="single" w:color="auto" w:sz="6" w:space="0"/>
              <w:right w:val="single" w:color="auto" w:sz="6" w:space="0"/>
            </w:tcBorders>
          </w:tcPr>
          <w:p w14:paraId="1401F553">
            <w:pPr>
              <w:pStyle w:val="41"/>
              <w:spacing w:line="360" w:lineRule="auto"/>
              <w:rPr>
                <w:rFonts w:hint="eastAsia" w:ascii="宋体" w:hAnsi="宋体" w:eastAsia="宋体" w:cs="宋体"/>
                <w:color w:val="auto"/>
                <w:sz w:val="21"/>
                <w:szCs w:val="21"/>
                <w:highlight w:val="none"/>
              </w:rPr>
            </w:pPr>
          </w:p>
        </w:tc>
        <w:tc>
          <w:tcPr>
            <w:tcW w:w="1883" w:type="dxa"/>
            <w:tcBorders>
              <w:top w:val="single" w:color="auto" w:sz="6" w:space="0"/>
              <w:left w:val="single" w:color="auto" w:sz="6" w:space="0"/>
              <w:bottom w:val="single" w:color="auto" w:sz="6" w:space="0"/>
              <w:right w:val="single" w:color="auto" w:sz="6" w:space="0"/>
            </w:tcBorders>
          </w:tcPr>
          <w:p w14:paraId="55CAD83F">
            <w:pPr>
              <w:pStyle w:val="41"/>
              <w:spacing w:line="360" w:lineRule="auto"/>
              <w:rPr>
                <w:rFonts w:hint="eastAsia" w:ascii="宋体" w:hAnsi="宋体" w:eastAsia="宋体" w:cs="宋体"/>
                <w:color w:val="auto"/>
                <w:sz w:val="21"/>
                <w:szCs w:val="21"/>
                <w:highlight w:val="none"/>
              </w:rPr>
            </w:pPr>
          </w:p>
        </w:tc>
      </w:tr>
      <w:tr w14:paraId="72CF0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99" w:type="dxa"/>
            <w:tcBorders>
              <w:top w:val="single" w:color="auto" w:sz="6" w:space="0"/>
              <w:left w:val="single" w:color="auto" w:sz="6" w:space="0"/>
              <w:bottom w:val="single" w:color="auto" w:sz="6" w:space="0"/>
              <w:right w:val="single" w:color="auto" w:sz="6" w:space="0"/>
            </w:tcBorders>
          </w:tcPr>
          <w:p w14:paraId="771A808B">
            <w:pPr>
              <w:pStyle w:val="41"/>
              <w:spacing w:line="360" w:lineRule="auto"/>
              <w:rPr>
                <w:rFonts w:hint="eastAsia" w:ascii="宋体" w:hAnsi="宋体" w:eastAsia="宋体" w:cs="宋体"/>
                <w:color w:val="auto"/>
                <w:sz w:val="21"/>
                <w:szCs w:val="21"/>
                <w:highlight w:val="none"/>
              </w:rPr>
            </w:pPr>
          </w:p>
        </w:tc>
        <w:tc>
          <w:tcPr>
            <w:tcW w:w="1195" w:type="dxa"/>
            <w:tcBorders>
              <w:top w:val="single" w:color="auto" w:sz="6" w:space="0"/>
              <w:left w:val="single" w:color="auto" w:sz="6" w:space="0"/>
              <w:bottom w:val="single" w:color="auto" w:sz="6" w:space="0"/>
              <w:right w:val="single" w:color="auto" w:sz="6" w:space="0"/>
            </w:tcBorders>
          </w:tcPr>
          <w:p w14:paraId="072722F6">
            <w:pPr>
              <w:pStyle w:val="41"/>
              <w:spacing w:line="360" w:lineRule="auto"/>
              <w:rPr>
                <w:rFonts w:hint="eastAsia" w:ascii="宋体" w:hAnsi="宋体" w:eastAsia="宋体" w:cs="宋体"/>
                <w:color w:val="auto"/>
                <w:sz w:val="21"/>
                <w:szCs w:val="21"/>
                <w:highlight w:val="none"/>
              </w:rPr>
            </w:pPr>
          </w:p>
        </w:tc>
        <w:tc>
          <w:tcPr>
            <w:tcW w:w="1456" w:type="dxa"/>
            <w:tcBorders>
              <w:top w:val="single" w:color="auto" w:sz="6" w:space="0"/>
              <w:left w:val="single" w:color="auto" w:sz="6" w:space="0"/>
              <w:bottom w:val="single" w:color="auto" w:sz="6" w:space="0"/>
              <w:right w:val="single" w:color="auto" w:sz="6" w:space="0"/>
            </w:tcBorders>
          </w:tcPr>
          <w:p w14:paraId="24B0AF1D">
            <w:pPr>
              <w:pStyle w:val="41"/>
              <w:spacing w:line="360" w:lineRule="auto"/>
              <w:rPr>
                <w:rFonts w:hint="eastAsia" w:ascii="宋体" w:hAnsi="宋体" w:eastAsia="宋体" w:cs="宋体"/>
                <w:color w:val="auto"/>
                <w:sz w:val="21"/>
                <w:szCs w:val="21"/>
                <w:highlight w:val="none"/>
              </w:rPr>
            </w:pPr>
          </w:p>
        </w:tc>
        <w:tc>
          <w:tcPr>
            <w:tcW w:w="1164" w:type="dxa"/>
            <w:tcBorders>
              <w:top w:val="single" w:color="auto" w:sz="6" w:space="0"/>
              <w:left w:val="single" w:color="auto" w:sz="6" w:space="0"/>
              <w:bottom w:val="single" w:color="auto" w:sz="6" w:space="0"/>
              <w:right w:val="single" w:color="auto" w:sz="6" w:space="0"/>
            </w:tcBorders>
          </w:tcPr>
          <w:p w14:paraId="799EC131">
            <w:pPr>
              <w:pStyle w:val="41"/>
              <w:spacing w:line="360" w:lineRule="auto"/>
              <w:rPr>
                <w:rFonts w:hint="eastAsia" w:ascii="宋体" w:hAnsi="宋体" w:eastAsia="宋体" w:cs="宋体"/>
                <w:color w:val="auto"/>
                <w:sz w:val="21"/>
                <w:szCs w:val="21"/>
                <w:highlight w:val="none"/>
              </w:rPr>
            </w:pPr>
          </w:p>
        </w:tc>
        <w:tc>
          <w:tcPr>
            <w:tcW w:w="1342" w:type="dxa"/>
            <w:tcBorders>
              <w:top w:val="single" w:color="auto" w:sz="6" w:space="0"/>
              <w:left w:val="single" w:color="auto" w:sz="6" w:space="0"/>
              <w:bottom w:val="single" w:color="auto" w:sz="6" w:space="0"/>
              <w:right w:val="single" w:color="auto" w:sz="6" w:space="0"/>
            </w:tcBorders>
          </w:tcPr>
          <w:p w14:paraId="326D1640">
            <w:pPr>
              <w:pStyle w:val="41"/>
              <w:spacing w:line="360" w:lineRule="auto"/>
              <w:rPr>
                <w:rFonts w:hint="eastAsia" w:ascii="宋体" w:hAnsi="宋体" w:eastAsia="宋体" w:cs="宋体"/>
                <w:color w:val="auto"/>
                <w:sz w:val="21"/>
                <w:szCs w:val="21"/>
                <w:highlight w:val="none"/>
              </w:rPr>
            </w:pPr>
          </w:p>
        </w:tc>
        <w:tc>
          <w:tcPr>
            <w:tcW w:w="1278" w:type="dxa"/>
            <w:tcBorders>
              <w:top w:val="single" w:color="auto" w:sz="6" w:space="0"/>
              <w:left w:val="single" w:color="auto" w:sz="6" w:space="0"/>
              <w:bottom w:val="single" w:color="auto" w:sz="6" w:space="0"/>
              <w:right w:val="single" w:color="auto" w:sz="6" w:space="0"/>
            </w:tcBorders>
          </w:tcPr>
          <w:p w14:paraId="7A9F459E">
            <w:pPr>
              <w:pStyle w:val="41"/>
              <w:spacing w:line="360" w:lineRule="auto"/>
              <w:rPr>
                <w:rFonts w:hint="eastAsia" w:ascii="宋体" w:hAnsi="宋体" w:eastAsia="宋体" w:cs="宋体"/>
                <w:color w:val="auto"/>
                <w:sz w:val="21"/>
                <w:szCs w:val="21"/>
                <w:highlight w:val="none"/>
              </w:rPr>
            </w:pPr>
          </w:p>
        </w:tc>
        <w:tc>
          <w:tcPr>
            <w:tcW w:w="1883" w:type="dxa"/>
            <w:tcBorders>
              <w:top w:val="single" w:color="auto" w:sz="6" w:space="0"/>
              <w:left w:val="single" w:color="auto" w:sz="6" w:space="0"/>
              <w:bottom w:val="single" w:color="auto" w:sz="6" w:space="0"/>
              <w:right w:val="single" w:color="auto" w:sz="6" w:space="0"/>
            </w:tcBorders>
          </w:tcPr>
          <w:p w14:paraId="3F81ADC8">
            <w:pPr>
              <w:pStyle w:val="41"/>
              <w:spacing w:line="360" w:lineRule="auto"/>
              <w:rPr>
                <w:rFonts w:hint="eastAsia" w:ascii="宋体" w:hAnsi="宋体" w:eastAsia="宋体" w:cs="宋体"/>
                <w:color w:val="auto"/>
                <w:sz w:val="21"/>
                <w:szCs w:val="21"/>
                <w:highlight w:val="none"/>
              </w:rPr>
            </w:pPr>
          </w:p>
        </w:tc>
      </w:tr>
    </w:tbl>
    <w:p w14:paraId="33F762C3">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308D9C0">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15F41893">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4B8D8118">
      <w:pPr>
        <w:spacing w:line="360" w:lineRule="auto"/>
        <w:rPr>
          <w:rFonts w:hint="eastAsia" w:ascii="宋体" w:hAnsi="宋体" w:eastAsia="宋体" w:cs="宋体"/>
          <w:color w:val="auto"/>
          <w:sz w:val="21"/>
          <w:szCs w:val="21"/>
          <w:highlight w:val="none"/>
        </w:rPr>
      </w:pPr>
    </w:p>
    <w:p w14:paraId="7A3CFF46">
      <w:pPr>
        <w:spacing w:line="360" w:lineRule="auto"/>
        <w:rPr>
          <w:rFonts w:hint="eastAsia" w:ascii="宋体" w:hAnsi="宋体" w:eastAsia="宋体" w:cs="宋体"/>
          <w:color w:val="auto"/>
          <w:sz w:val="21"/>
          <w:szCs w:val="21"/>
          <w:highlight w:val="none"/>
        </w:rPr>
      </w:pPr>
    </w:p>
    <w:p w14:paraId="62CF67A6">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8677911">
      <w:pPr>
        <w:spacing w:line="360" w:lineRule="auto"/>
        <w:ind w:left="420"/>
        <w:rPr>
          <w:rFonts w:hint="eastAsia" w:ascii="宋体" w:hAnsi="宋体" w:eastAsia="宋体" w:cs="宋体"/>
          <w:color w:val="auto"/>
          <w:sz w:val="21"/>
          <w:szCs w:val="21"/>
          <w:highlight w:val="none"/>
        </w:rPr>
      </w:pPr>
    </w:p>
    <w:p w14:paraId="54F91FB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A9BE03D">
      <w:pPr>
        <w:spacing w:line="360" w:lineRule="auto"/>
        <w:rPr>
          <w:rFonts w:hint="eastAsia" w:ascii="宋体" w:hAnsi="宋体" w:eastAsia="宋体" w:cs="宋体"/>
          <w:color w:val="auto"/>
          <w:sz w:val="21"/>
          <w:szCs w:val="21"/>
          <w:highlight w:val="none"/>
        </w:rPr>
      </w:pPr>
    </w:p>
    <w:p w14:paraId="1B1AA48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794EF28">
      <w:pPr>
        <w:spacing w:line="360" w:lineRule="auto"/>
        <w:jc w:val="center"/>
        <w:rPr>
          <w:rFonts w:hint="eastAsia" w:ascii="宋体" w:hAnsi="宋体" w:eastAsia="宋体" w:cs="宋体"/>
          <w:snapToGrid w:val="0"/>
          <w:color w:val="auto"/>
          <w:kern w:val="0"/>
          <w:sz w:val="21"/>
          <w:szCs w:val="21"/>
          <w:highlight w:val="none"/>
        </w:rPr>
      </w:pPr>
    </w:p>
    <w:p w14:paraId="0F26FD98">
      <w:pPr>
        <w:pStyle w:val="42"/>
        <w:tabs>
          <w:tab w:val="left" w:pos="1050"/>
        </w:tabs>
        <w:spacing w:line="360" w:lineRule="auto"/>
        <w:rPr>
          <w:rFonts w:hint="eastAsia" w:ascii="宋体" w:hAnsi="宋体" w:eastAsia="宋体" w:cs="宋体"/>
          <w:b/>
          <w:color w:val="auto"/>
          <w:sz w:val="28"/>
          <w:highlight w:val="none"/>
        </w:rPr>
      </w:pPr>
    </w:p>
    <w:p w14:paraId="2E907184">
      <w:pPr>
        <w:pStyle w:val="42"/>
        <w:tabs>
          <w:tab w:val="left" w:pos="1050"/>
        </w:tabs>
        <w:spacing w:line="360" w:lineRule="auto"/>
        <w:rPr>
          <w:rFonts w:hint="eastAsia" w:ascii="宋体" w:hAnsi="宋体" w:eastAsia="宋体" w:cs="宋体"/>
          <w:b/>
          <w:color w:val="auto"/>
          <w:sz w:val="28"/>
          <w:highlight w:val="none"/>
        </w:rPr>
      </w:pPr>
    </w:p>
    <w:p w14:paraId="205646D1">
      <w:pPr>
        <w:pStyle w:val="42"/>
        <w:tabs>
          <w:tab w:val="left" w:pos="1050"/>
        </w:tabs>
        <w:spacing w:line="360" w:lineRule="auto"/>
        <w:outlineLvl w:val="9"/>
        <w:rPr>
          <w:rFonts w:hint="default"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13</w:t>
      </w:r>
    </w:p>
    <w:p w14:paraId="6A02617D">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728F2F3E">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5D66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66E1C7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6248C1C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27633AC5">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5E889E98">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0861976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74F4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F2F065D">
            <w:pPr>
              <w:spacing w:line="360" w:lineRule="auto"/>
              <w:rPr>
                <w:rFonts w:hint="eastAsia" w:ascii="宋体" w:hAnsi="宋体" w:eastAsia="宋体" w:cs="宋体"/>
                <w:color w:val="auto"/>
                <w:sz w:val="21"/>
                <w:szCs w:val="21"/>
                <w:highlight w:val="none"/>
              </w:rPr>
            </w:pPr>
          </w:p>
        </w:tc>
        <w:tc>
          <w:tcPr>
            <w:tcW w:w="2029" w:type="dxa"/>
            <w:vAlign w:val="center"/>
          </w:tcPr>
          <w:p w14:paraId="6C699468">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服务期限</w:t>
            </w:r>
          </w:p>
        </w:tc>
        <w:tc>
          <w:tcPr>
            <w:tcW w:w="1541" w:type="dxa"/>
            <w:vAlign w:val="center"/>
          </w:tcPr>
          <w:p w14:paraId="036B4850">
            <w:pPr>
              <w:spacing w:line="360" w:lineRule="auto"/>
              <w:rPr>
                <w:rFonts w:hint="eastAsia" w:ascii="宋体" w:hAnsi="宋体" w:eastAsia="宋体" w:cs="宋体"/>
                <w:color w:val="auto"/>
                <w:sz w:val="21"/>
                <w:szCs w:val="21"/>
                <w:highlight w:val="none"/>
              </w:rPr>
            </w:pPr>
          </w:p>
        </w:tc>
        <w:tc>
          <w:tcPr>
            <w:tcW w:w="1365" w:type="dxa"/>
            <w:vAlign w:val="center"/>
          </w:tcPr>
          <w:p w14:paraId="16F95DBE">
            <w:pPr>
              <w:spacing w:line="360" w:lineRule="auto"/>
              <w:rPr>
                <w:rFonts w:hint="eastAsia" w:ascii="宋体" w:hAnsi="宋体" w:eastAsia="宋体" w:cs="宋体"/>
                <w:color w:val="auto"/>
                <w:sz w:val="21"/>
                <w:szCs w:val="21"/>
                <w:highlight w:val="none"/>
              </w:rPr>
            </w:pPr>
          </w:p>
        </w:tc>
        <w:tc>
          <w:tcPr>
            <w:tcW w:w="2625" w:type="dxa"/>
            <w:vAlign w:val="center"/>
          </w:tcPr>
          <w:p w14:paraId="29968C53">
            <w:pPr>
              <w:spacing w:line="360" w:lineRule="auto"/>
              <w:rPr>
                <w:rFonts w:hint="eastAsia" w:ascii="宋体" w:hAnsi="宋体" w:eastAsia="宋体" w:cs="宋体"/>
                <w:color w:val="auto"/>
                <w:sz w:val="21"/>
                <w:szCs w:val="21"/>
                <w:highlight w:val="none"/>
              </w:rPr>
            </w:pPr>
          </w:p>
        </w:tc>
      </w:tr>
      <w:tr w14:paraId="4AE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333573">
            <w:pPr>
              <w:spacing w:line="360" w:lineRule="auto"/>
              <w:rPr>
                <w:rFonts w:hint="eastAsia" w:ascii="宋体" w:hAnsi="宋体" w:eastAsia="宋体" w:cs="宋体"/>
                <w:color w:val="auto"/>
                <w:sz w:val="21"/>
                <w:szCs w:val="21"/>
                <w:highlight w:val="none"/>
              </w:rPr>
            </w:pPr>
          </w:p>
        </w:tc>
        <w:tc>
          <w:tcPr>
            <w:tcW w:w="2029" w:type="dxa"/>
            <w:vAlign w:val="center"/>
          </w:tcPr>
          <w:p w14:paraId="4DF663AB">
            <w:pPr>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付款方式</w:t>
            </w:r>
          </w:p>
        </w:tc>
        <w:tc>
          <w:tcPr>
            <w:tcW w:w="1541" w:type="dxa"/>
            <w:vAlign w:val="center"/>
          </w:tcPr>
          <w:p w14:paraId="17A29982">
            <w:pPr>
              <w:spacing w:line="360" w:lineRule="auto"/>
              <w:rPr>
                <w:rFonts w:hint="eastAsia" w:ascii="宋体" w:hAnsi="宋体" w:eastAsia="宋体" w:cs="宋体"/>
                <w:color w:val="auto"/>
                <w:sz w:val="21"/>
                <w:szCs w:val="21"/>
                <w:highlight w:val="none"/>
              </w:rPr>
            </w:pPr>
          </w:p>
        </w:tc>
        <w:tc>
          <w:tcPr>
            <w:tcW w:w="1365" w:type="dxa"/>
            <w:vAlign w:val="center"/>
          </w:tcPr>
          <w:p w14:paraId="670D30D1">
            <w:pPr>
              <w:spacing w:line="360" w:lineRule="auto"/>
              <w:rPr>
                <w:rFonts w:hint="eastAsia" w:ascii="宋体" w:hAnsi="宋体" w:eastAsia="宋体" w:cs="宋体"/>
                <w:color w:val="auto"/>
                <w:sz w:val="21"/>
                <w:szCs w:val="21"/>
                <w:highlight w:val="none"/>
              </w:rPr>
            </w:pPr>
          </w:p>
        </w:tc>
        <w:tc>
          <w:tcPr>
            <w:tcW w:w="2625" w:type="dxa"/>
            <w:vAlign w:val="center"/>
          </w:tcPr>
          <w:p w14:paraId="74CA9BE1">
            <w:pPr>
              <w:spacing w:line="360" w:lineRule="auto"/>
              <w:rPr>
                <w:rFonts w:hint="eastAsia" w:ascii="宋体" w:hAnsi="宋体" w:eastAsia="宋体" w:cs="宋体"/>
                <w:color w:val="auto"/>
                <w:sz w:val="21"/>
                <w:szCs w:val="21"/>
                <w:highlight w:val="none"/>
              </w:rPr>
            </w:pPr>
          </w:p>
        </w:tc>
      </w:tr>
      <w:tr w14:paraId="5BC8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ECDBC68">
            <w:pPr>
              <w:spacing w:line="360" w:lineRule="auto"/>
              <w:rPr>
                <w:rFonts w:hint="eastAsia" w:ascii="宋体" w:hAnsi="宋体" w:eastAsia="宋体" w:cs="宋体"/>
                <w:color w:val="auto"/>
                <w:sz w:val="21"/>
                <w:szCs w:val="21"/>
                <w:highlight w:val="none"/>
              </w:rPr>
            </w:pPr>
          </w:p>
        </w:tc>
        <w:tc>
          <w:tcPr>
            <w:tcW w:w="2029" w:type="dxa"/>
            <w:vAlign w:val="center"/>
          </w:tcPr>
          <w:p w14:paraId="45B7569E">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p>
        </w:tc>
        <w:tc>
          <w:tcPr>
            <w:tcW w:w="1541" w:type="dxa"/>
            <w:vAlign w:val="center"/>
          </w:tcPr>
          <w:p w14:paraId="1597C2C4">
            <w:pPr>
              <w:spacing w:line="360" w:lineRule="auto"/>
              <w:rPr>
                <w:rFonts w:hint="eastAsia" w:ascii="宋体" w:hAnsi="宋体" w:eastAsia="宋体" w:cs="宋体"/>
                <w:color w:val="auto"/>
                <w:sz w:val="21"/>
                <w:szCs w:val="21"/>
                <w:highlight w:val="none"/>
              </w:rPr>
            </w:pPr>
          </w:p>
        </w:tc>
        <w:tc>
          <w:tcPr>
            <w:tcW w:w="1365" w:type="dxa"/>
            <w:vAlign w:val="center"/>
          </w:tcPr>
          <w:p w14:paraId="0FE8BCBD">
            <w:pPr>
              <w:spacing w:line="360" w:lineRule="auto"/>
              <w:rPr>
                <w:rFonts w:hint="eastAsia" w:ascii="宋体" w:hAnsi="宋体" w:eastAsia="宋体" w:cs="宋体"/>
                <w:color w:val="auto"/>
                <w:sz w:val="21"/>
                <w:szCs w:val="21"/>
                <w:highlight w:val="none"/>
              </w:rPr>
            </w:pPr>
          </w:p>
        </w:tc>
        <w:tc>
          <w:tcPr>
            <w:tcW w:w="2625" w:type="dxa"/>
            <w:vAlign w:val="center"/>
          </w:tcPr>
          <w:p w14:paraId="242AD928">
            <w:pPr>
              <w:spacing w:line="360" w:lineRule="auto"/>
              <w:rPr>
                <w:rFonts w:hint="eastAsia" w:ascii="宋体" w:hAnsi="宋体" w:eastAsia="宋体" w:cs="宋体"/>
                <w:color w:val="auto"/>
                <w:sz w:val="21"/>
                <w:szCs w:val="21"/>
                <w:highlight w:val="none"/>
              </w:rPr>
            </w:pPr>
          </w:p>
        </w:tc>
      </w:tr>
      <w:tr w14:paraId="4F64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6E649E7">
            <w:pPr>
              <w:spacing w:line="360" w:lineRule="auto"/>
              <w:rPr>
                <w:rFonts w:hint="eastAsia" w:ascii="宋体" w:hAnsi="宋体" w:eastAsia="宋体" w:cs="宋体"/>
                <w:color w:val="auto"/>
                <w:sz w:val="21"/>
                <w:szCs w:val="21"/>
                <w:highlight w:val="none"/>
              </w:rPr>
            </w:pPr>
          </w:p>
        </w:tc>
        <w:tc>
          <w:tcPr>
            <w:tcW w:w="2029" w:type="dxa"/>
            <w:vAlign w:val="center"/>
          </w:tcPr>
          <w:p w14:paraId="77934D96">
            <w:pPr>
              <w:snapToGrid w:val="0"/>
              <w:jc w:val="center"/>
              <w:rPr>
                <w:rFonts w:hint="eastAsia" w:ascii="宋体" w:hAnsi="宋体" w:eastAsia="宋体" w:cs="宋体"/>
                <w:color w:val="auto"/>
                <w:sz w:val="21"/>
                <w:szCs w:val="21"/>
                <w:highlight w:val="none"/>
              </w:rPr>
            </w:pPr>
          </w:p>
        </w:tc>
        <w:tc>
          <w:tcPr>
            <w:tcW w:w="1541" w:type="dxa"/>
            <w:vAlign w:val="center"/>
          </w:tcPr>
          <w:p w14:paraId="39B5400C">
            <w:pPr>
              <w:spacing w:line="360" w:lineRule="auto"/>
              <w:rPr>
                <w:rFonts w:hint="eastAsia" w:ascii="宋体" w:hAnsi="宋体" w:eastAsia="宋体" w:cs="宋体"/>
                <w:color w:val="auto"/>
                <w:sz w:val="21"/>
                <w:szCs w:val="21"/>
                <w:highlight w:val="none"/>
              </w:rPr>
            </w:pPr>
          </w:p>
        </w:tc>
        <w:tc>
          <w:tcPr>
            <w:tcW w:w="1365" w:type="dxa"/>
            <w:vAlign w:val="center"/>
          </w:tcPr>
          <w:p w14:paraId="43607476">
            <w:pPr>
              <w:spacing w:line="360" w:lineRule="auto"/>
              <w:rPr>
                <w:rFonts w:hint="eastAsia" w:ascii="宋体" w:hAnsi="宋体" w:eastAsia="宋体" w:cs="宋体"/>
                <w:color w:val="auto"/>
                <w:sz w:val="21"/>
                <w:szCs w:val="21"/>
                <w:highlight w:val="none"/>
              </w:rPr>
            </w:pPr>
          </w:p>
        </w:tc>
        <w:tc>
          <w:tcPr>
            <w:tcW w:w="2625" w:type="dxa"/>
            <w:vAlign w:val="center"/>
          </w:tcPr>
          <w:p w14:paraId="0B5ADC91">
            <w:pPr>
              <w:spacing w:line="360" w:lineRule="auto"/>
              <w:rPr>
                <w:rFonts w:hint="eastAsia" w:ascii="宋体" w:hAnsi="宋体" w:eastAsia="宋体" w:cs="宋体"/>
                <w:color w:val="auto"/>
                <w:sz w:val="21"/>
                <w:szCs w:val="21"/>
                <w:highlight w:val="none"/>
              </w:rPr>
            </w:pPr>
          </w:p>
        </w:tc>
      </w:tr>
      <w:tr w14:paraId="41D0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5CCA7B8">
            <w:pPr>
              <w:spacing w:line="360" w:lineRule="auto"/>
              <w:rPr>
                <w:rFonts w:hint="eastAsia" w:ascii="宋体" w:hAnsi="宋体" w:eastAsia="宋体" w:cs="宋体"/>
                <w:color w:val="auto"/>
                <w:sz w:val="21"/>
                <w:szCs w:val="21"/>
                <w:highlight w:val="none"/>
              </w:rPr>
            </w:pPr>
          </w:p>
        </w:tc>
        <w:tc>
          <w:tcPr>
            <w:tcW w:w="2029" w:type="dxa"/>
            <w:vAlign w:val="center"/>
          </w:tcPr>
          <w:p w14:paraId="31B44270">
            <w:pPr>
              <w:snapToGrid w:val="0"/>
              <w:jc w:val="center"/>
              <w:rPr>
                <w:rFonts w:hint="eastAsia" w:ascii="宋体" w:hAnsi="宋体" w:eastAsia="宋体" w:cs="宋体"/>
                <w:color w:val="auto"/>
                <w:sz w:val="21"/>
                <w:szCs w:val="21"/>
                <w:highlight w:val="none"/>
              </w:rPr>
            </w:pPr>
          </w:p>
        </w:tc>
        <w:tc>
          <w:tcPr>
            <w:tcW w:w="1541" w:type="dxa"/>
            <w:vAlign w:val="center"/>
          </w:tcPr>
          <w:p w14:paraId="28392EC1">
            <w:pPr>
              <w:spacing w:line="360" w:lineRule="auto"/>
              <w:rPr>
                <w:rFonts w:hint="eastAsia" w:ascii="宋体" w:hAnsi="宋体" w:eastAsia="宋体" w:cs="宋体"/>
                <w:color w:val="auto"/>
                <w:sz w:val="21"/>
                <w:szCs w:val="21"/>
                <w:highlight w:val="none"/>
              </w:rPr>
            </w:pPr>
          </w:p>
        </w:tc>
        <w:tc>
          <w:tcPr>
            <w:tcW w:w="1365" w:type="dxa"/>
            <w:vAlign w:val="center"/>
          </w:tcPr>
          <w:p w14:paraId="32A6B65E">
            <w:pPr>
              <w:spacing w:line="360" w:lineRule="auto"/>
              <w:rPr>
                <w:rFonts w:hint="eastAsia" w:ascii="宋体" w:hAnsi="宋体" w:eastAsia="宋体" w:cs="宋体"/>
                <w:color w:val="auto"/>
                <w:sz w:val="21"/>
                <w:szCs w:val="21"/>
                <w:highlight w:val="none"/>
              </w:rPr>
            </w:pPr>
          </w:p>
        </w:tc>
        <w:tc>
          <w:tcPr>
            <w:tcW w:w="2625" w:type="dxa"/>
            <w:vAlign w:val="center"/>
          </w:tcPr>
          <w:p w14:paraId="09F573F2">
            <w:pPr>
              <w:spacing w:line="360" w:lineRule="auto"/>
              <w:rPr>
                <w:rFonts w:hint="eastAsia" w:ascii="宋体" w:hAnsi="宋体" w:eastAsia="宋体" w:cs="宋体"/>
                <w:color w:val="auto"/>
                <w:sz w:val="21"/>
                <w:szCs w:val="21"/>
                <w:highlight w:val="none"/>
              </w:rPr>
            </w:pPr>
          </w:p>
        </w:tc>
      </w:tr>
      <w:tr w14:paraId="6BA8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3198584">
            <w:pPr>
              <w:spacing w:line="360" w:lineRule="auto"/>
              <w:rPr>
                <w:rFonts w:hint="eastAsia" w:ascii="宋体" w:hAnsi="宋体" w:eastAsia="宋体" w:cs="宋体"/>
                <w:color w:val="auto"/>
                <w:sz w:val="21"/>
                <w:szCs w:val="21"/>
                <w:highlight w:val="none"/>
              </w:rPr>
            </w:pPr>
          </w:p>
        </w:tc>
        <w:tc>
          <w:tcPr>
            <w:tcW w:w="2029" w:type="dxa"/>
            <w:vAlign w:val="center"/>
          </w:tcPr>
          <w:p w14:paraId="3EDC358E">
            <w:pPr>
              <w:snapToGrid w:val="0"/>
              <w:spacing w:line="360" w:lineRule="auto"/>
              <w:jc w:val="center"/>
              <w:rPr>
                <w:rFonts w:hint="eastAsia" w:ascii="宋体" w:hAnsi="宋体" w:eastAsia="宋体" w:cs="宋体"/>
                <w:color w:val="auto"/>
                <w:sz w:val="21"/>
                <w:szCs w:val="21"/>
                <w:highlight w:val="none"/>
              </w:rPr>
            </w:pPr>
          </w:p>
        </w:tc>
        <w:tc>
          <w:tcPr>
            <w:tcW w:w="1541" w:type="dxa"/>
            <w:vAlign w:val="center"/>
          </w:tcPr>
          <w:p w14:paraId="57D5C0C5">
            <w:pPr>
              <w:spacing w:line="360" w:lineRule="auto"/>
              <w:rPr>
                <w:rFonts w:hint="eastAsia" w:ascii="宋体" w:hAnsi="宋体" w:eastAsia="宋体" w:cs="宋体"/>
                <w:color w:val="auto"/>
                <w:sz w:val="21"/>
                <w:szCs w:val="21"/>
                <w:highlight w:val="none"/>
              </w:rPr>
            </w:pPr>
          </w:p>
        </w:tc>
        <w:tc>
          <w:tcPr>
            <w:tcW w:w="1365" w:type="dxa"/>
            <w:vAlign w:val="center"/>
          </w:tcPr>
          <w:p w14:paraId="355E9287">
            <w:pPr>
              <w:spacing w:line="360" w:lineRule="auto"/>
              <w:rPr>
                <w:rFonts w:hint="eastAsia" w:ascii="宋体" w:hAnsi="宋体" w:eastAsia="宋体" w:cs="宋体"/>
                <w:color w:val="auto"/>
                <w:sz w:val="21"/>
                <w:szCs w:val="21"/>
                <w:highlight w:val="none"/>
              </w:rPr>
            </w:pPr>
          </w:p>
        </w:tc>
        <w:tc>
          <w:tcPr>
            <w:tcW w:w="2625" w:type="dxa"/>
            <w:vAlign w:val="center"/>
          </w:tcPr>
          <w:p w14:paraId="32BF058B">
            <w:pPr>
              <w:spacing w:line="360" w:lineRule="auto"/>
              <w:rPr>
                <w:rFonts w:hint="eastAsia" w:ascii="宋体" w:hAnsi="宋体" w:eastAsia="宋体" w:cs="宋体"/>
                <w:color w:val="auto"/>
                <w:sz w:val="21"/>
                <w:szCs w:val="21"/>
                <w:highlight w:val="none"/>
              </w:rPr>
            </w:pPr>
          </w:p>
        </w:tc>
      </w:tr>
    </w:tbl>
    <w:p w14:paraId="578533FC">
      <w:pPr>
        <w:spacing w:line="360" w:lineRule="auto"/>
        <w:ind w:left="420"/>
        <w:rPr>
          <w:rFonts w:hint="eastAsia" w:ascii="宋体" w:hAnsi="宋体" w:eastAsia="宋体" w:cs="宋体"/>
          <w:color w:val="auto"/>
          <w:sz w:val="21"/>
          <w:szCs w:val="21"/>
          <w:highlight w:val="none"/>
        </w:rPr>
      </w:pPr>
    </w:p>
    <w:p w14:paraId="43749691">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4C57B8C">
      <w:pPr>
        <w:spacing w:line="360" w:lineRule="auto"/>
        <w:ind w:left="420"/>
        <w:rPr>
          <w:rFonts w:hint="eastAsia" w:ascii="宋体" w:hAnsi="宋体" w:eastAsia="宋体" w:cs="宋体"/>
          <w:color w:val="auto"/>
          <w:sz w:val="21"/>
          <w:szCs w:val="21"/>
          <w:highlight w:val="none"/>
        </w:rPr>
      </w:pPr>
    </w:p>
    <w:p w14:paraId="52EA2F4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E6BBDB8">
      <w:pPr>
        <w:spacing w:line="360" w:lineRule="auto"/>
        <w:ind w:firstLine="435"/>
        <w:rPr>
          <w:rFonts w:hint="eastAsia" w:ascii="宋体" w:hAnsi="宋体" w:eastAsia="宋体" w:cs="宋体"/>
          <w:color w:val="auto"/>
          <w:sz w:val="21"/>
          <w:szCs w:val="21"/>
          <w:highlight w:val="none"/>
        </w:rPr>
      </w:pPr>
    </w:p>
    <w:p w14:paraId="1FE636CF">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544D24A0">
      <w:pPr>
        <w:tabs>
          <w:tab w:val="left" w:pos="2460"/>
        </w:tabs>
        <w:spacing w:line="360" w:lineRule="auto"/>
        <w:ind w:firstLine="435"/>
        <w:rPr>
          <w:rFonts w:hint="eastAsia" w:ascii="宋体" w:hAnsi="宋体" w:eastAsia="宋体" w:cs="宋体"/>
          <w:b/>
          <w:color w:val="auto"/>
          <w:sz w:val="28"/>
          <w:highlight w:val="none"/>
        </w:rPr>
      </w:pPr>
    </w:p>
    <w:p w14:paraId="23635985">
      <w:pPr>
        <w:tabs>
          <w:tab w:val="left" w:pos="2460"/>
        </w:tabs>
        <w:spacing w:line="360" w:lineRule="auto"/>
        <w:ind w:firstLine="435"/>
        <w:rPr>
          <w:rFonts w:hint="eastAsia" w:ascii="宋体" w:hAnsi="宋体" w:eastAsia="宋体" w:cs="宋体"/>
          <w:b/>
          <w:color w:val="auto"/>
          <w:sz w:val="28"/>
          <w:highlight w:val="none"/>
        </w:rPr>
      </w:pPr>
    </w:p>
    <w:p w14:paraId="709431DB">
      <w:pPr>
        <w:tabs>
          <w:tab w:val="left" w:pos="2460"/>
        </w:tabs>
        <w:spacing w:line="360" w:lineRule="auto"/>
        <w:ind w:firstLine="435"/>
        <w:rPr>
          <w:rFonts w:hint="eastAsia" w:ascii="宋体" w:hAnsi="宋体" w:eastAsia="宋体" w:cs="宋体"/>
          <w:b/>
          <w:color w:val="auto"/>
          <w:sz w:val="28"/>
          <w:highlight w:val="none"/>
        </w:rPr>
      </w:pPr>
    </w:p>
    <w:p w14:paraId="0F6480ED">
      <w:pPr>
        <w:pStyle w:val="2"/>
        <w:rPr>
          <w:rFonts w:hint="eastAsia" w:ascii="宋体" w:hAnsi="宋体" w:eastAsia="宋体" w:cs="宋体"/>
          <w:b/>
          <w:color w:val="auto"/>
          <w:sz w:val="28"/>
          <w:highlight w:val="none"/>
        </w:rPr>
      </w:pPr>
    </w:p>
    <w:p w14:paraId="0F1A6C8B">
      <w:pPr>
        <w:pStyle w:val="2"/>
        <w:rPr>
          <w:rFonts w:hint="eastAsia" w:ascii="宋体" w:hAnsi="宋体" w:eastAsia="宋体" w:cs="宋体"/>
          <w:b/>
          <w:color w:val="auto"/>
          <w:sz w:val="28"/>
          <w:highlight w:val="none"/>
        </w:rPr>
      </w:pPr>
    </w:p>
    <w:p w14:paraId="62F23ED6">
      <w:pPr>
        <w:tabs>
          <w:tab w:val="left" w:pos="2460"/>
        </w:tabs>
        <w:spacing w:line="360" w:lineRule="auto"/>
        <w:rPr>
          <w:rFonts w:hint="eastAsia" w:ascii="宋体" w:hAnsi="宋体" w:eastAsia="宋体" w:cs="宋体"/>
          <w:b/>
          <w:color w:val="auto"/>
          <w:sz w:val="28"/>
          <w:highlight w:val="none"/>
        </w:rPr>
      </w:pPr>
    </w:p>
    <w:p w14:paraId="3020D821">
      <w:pPr>
        <w:rPr>
          <w:rFonts w:hint="eastAsia" w:ascii="宋体" w:hAnsi="宋体" w:eastAsia="宋体" w:cs="宋体"/>
          <w:color w:val="auto"/>
          <w:highlight w:val="none"/>
        </w:rPr>
      </w:pPr>
    </w:p>
    <w:p w14:paraId="6A1C95DC">
      <w:pPr>
        <w:pStyle w:val="2"/>
        <w:rPr>
          <w:rFonts w:hint="eastAsia" w:ascii="宋体" w:hAnsi="宋体" w:eastAsia="宋体" w:cs="宋体"/>
          <w:color w:val="auto"/>
          <w:highlight w:val="none"/>
        </w:rPr>
      </w:pPr>
    </w:p>
    <w:p w14:paraId="114C72B7">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4</w:t>
      </w:r>
      <w:r>
        <w:rPr>
          <w:rFonts w:hint="eastAsia" w:ascii="宋体" w:hAnsi="宋体" w:eastAsia="宋体" w:cs="宋体"/>
          <w:b/>
          <w:color w:val="auto"/>
          <w:sz w:val="28"/>
          <w:highlight w:val="none"/>
        </w:rPr>
        <w:tab/>
      </w:r>
    </w:p>
    <w:p w14:paraId="5DCD12C7">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227963F">
      <w:pPr>
        <w:spacing w:line="360" w:lineRule="auto"/>
        <w:ind w:firstLine="435"/>
        <w:jc w:val="center"/>
        <w:rPr>
          <w:rFonts w:hint="eastAsia" w:ascii="宋体" w:hAnsi="宋体" w:eastAsia="宋体" w:cs="宋体"/>
          <w:b/>
          <w:color w:val="auto"/>
          <w:sz w:val="36"/>
          <w:szCs w:val="36"/>
          <w:highlight w:val="none"/>
        </w:rPr>
      </w:pPr>
    </w:p>
    <w:tbl>
      <w:tblPr>
        <w:tblStyle w:val="2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AC63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5DD515C">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2851DC43">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4832D292">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0ED77DC0">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363D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396EABCA">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4911571F">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14:paraId="723B008F">
            <w:pPr>
              <w:pStyle w:val="43"/>
              <w:spacing w:line="360" w:lineRule="auto"/>
              <w:rPr>
                <w:rFonts w:hint="eastAsia" w:ascii="宋体" w:hAnsi="宋体" w:eastAsia="宋体" w:cs="宋体"/>
                <w:bCs/>
                <w:color w:val="auto"/>
                <w:sz w:val="21"/>
                <w:szCs w:val="21"/>
                <w:highlight w:val="none"/>
              </w:rPr>
            </w:pPr>
          </w:p>
        </w:tc>
        <w:tc>
          <w:tcPr>
            <w:tcW w:w="1373" w:type="dxa"/>
          </w:tcPr>
          <w:p w14:paraId="67DE50F8">
            <w:pPr>
              <w:pStyle w:val="43"/>
              <w:spacing w:line="360" w:lineRule="auto"/>
              <w:rPr>
                <w:rFonts w:hint="eastAsia" w:ascii="宋体" w:hAnsi="宋体" w:eastAsia="宋体" w:cs="宋体"/>
                <w:bCs/>
                <w:color w:val="auto"/>
                <w:sz w:val="21"/>
                <w:szCs w:val="21"/>
                <w:highlight w:val="none"/>
              </w:rPr>
            </w:pPr>
          </w:p>
        </w:tc>
      </w:tr>
      <w:tr w14:paraId="75E7E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vAlign w:val="center"/>
          </w:tcPr>
          <w:p w14:paraId="55570416">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54AEDEDB">
            <w:pPr>
              <w:pStyle w:val="43"/>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14:paraId="3C1F3147">
            <w:pPr>
              <w:pStyle w:val="43"/>
              <w:widowControl/>
              <w:spacing w:line="360" w:lineRule="auto"/>
              <w:jc w:val="left"/>
              <w:rPr>
                <w:rFonts w:hint="eastAsia" w:ascii="宋体" w:hAnsi="宋体" w:eastAsia="宋体" w:cs="宋体"/>
                <w:bCs/>
                <w:color w:val="auto"/>
                <w:sz w:val="21"/>
                <w:szCs w:val="21"/>
                <w:highlight w:val="none"/>
              </w:rPr>
            </w:pPr>
          </w:p>
          <w:p w14:paraId="199C68CE">
            <w:pPr>
              <w:pStyle w:val="43"/>
              <w:widowControl/>
              <w:spacing w:line="360" w:lineRule="auto"/>
              <w:jc w:val="left"/>
              <w:rPr>
                <w:rFonts w:hint="eastAsia" w:ascii="宋体" w:hAnsi="宋体" w:eastAsia="宋体" w:cs="宋体"/>
                <w:bCs/>
                <w:color w:val="auto"/>
                <w:sz w:val="21"/>
                <w:szCs w:val="21"/>
                <w:highlight w:val="none"/>
              </w:rPr>
            </w:pPr>
          </w:p>
          <w:p w14:paraId="372766CB">
            <w:pPr>
              <w:pStyle w:val="43"/>
              <w:spacing w:line="360" w:lineRule="auto"/>
              <w:rPr>
                <w:rFonts w:hint="eastAsia" w:ascii="宋体" w:hAnsi="宋体" w:eastAsia="宋体" w:cs="宋体"/>
                <w:bCs/>
                <w:color w:val="auto"/>
                <w:sz w:val="21"/>
                <w:szCs w:val="21"/>
                <w:highlight w:val="none"/>
              </w:rPr>
            </w:pPr>
          </w:p>
        </w:tc>
        <w:tc>
          <w:tcPr>
            <w:tcW w:w="1373" w:type="dxa"/>
          </w:tcPr>
          <w:p w14:paraId="5E1FB07A">
            <w:pPr>
              <w:pStyle w:val="43"/>
              <w:widowControl/>
              <w:spacing w:line="360" w:lineRule="auto"/>
              <w:jc w:val="left"/>
              <w:rPr>
                <w:rFonts w:hint="eastAsia" w:ascii="宋体" w:hAnsi="宋体" w:eastAsia="宋体" w:cs="宋体"/>
                <w:bCs/>
                <w:color w:val="auto"/>
                <w:sz w:val="21"/>
                <w:szCs w:val="21"/>
                <w:highlight w:val="none"/>
              </w:rPr>
            </w:pPr>
          </w:p>
          <w:p w14:paraId="6715E5B8">
            <w:pPr>
              <w:pStyle w:val="43"/>
              <w:widowControl/>
              <w:spacing w:line="360" w:lineRule="auto"/>
              <w:jc w:val="left"/>
              <w:rPr>
                <w:rFonts w:hint="eastAsia" w:ascii="宋体" w:hAnsi="宋体" w:eastAsia="宋体" w:cs="宋体"/>
                <w:bCs/>
                <w:color w:val="auto"/>
                <w:sz w:val="21"/>
                <w:szCs w:val="21"/>
                <w:highlight w:val="none"/>
              </w:rPr>
            </w:pPr>
          </w:p>
          <w:p w14:paraId="6CCDDAF9">
            <w:pPr>
              <w:pStyle w:val="43"/>
              <w:spacing w:line="360" w:lineRule="auto"/>
              <w:rPr>
                <w:rFonts w:hint="eastAsia" w:ascii="宋体" w:hAnsi="宋体" w:eastAsia="宋体" w:cs="宋体"/>
                <w:bCs/>
                <w:color w:val="auto"/>
                <w:sz w:val="21"/>
                <w:szCs w:val="21"/>
                <w:highlight w:val="none"/>
              </w:rPr>
            </w:pPr>
          </w:p>
        </w:tc>
      </w:tr>
      <w:tr w14:paraId="5CA06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C58D56F">
            <w:pPr>
              <w:pStyle w:val="43"/>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vAlign w:val="center"/>
          </w:tcPr>
          <w:p w14:paraId="5432553D">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2D2DD925">
            <w:pPr>
              <w:pStyle w:val="43"/>
              <w:widowControl/>
              <w:spacing w:line="360" w:lineRule="auto"/>
              <w:jc w:val="left"/>
              <w:rPr>
                <w:rFonts w:hint="eastAsia" w:ascii="宋体" w:hAnsi="宋体" w:eastAsia="宋体" w:cs="宋体"/>
                <w:bCs/>
                <w:i/>
                <w:color w:val="auto"/>
                <w:sz w:val="21"/>
                <w:szCs w:val="21"/>
                <w:highlight w:val="none"/>
              </w:rPr>
            </w:pPr>
          </w:p>
          <w:p w14:paraId="5E383613">
            <w:pPr>
              <w:pStyle w:val="43"/>
              <w:widowControl/>
              <w:spacing w:line="360" w:lineRule="auto"/>
              <w:jc w:val="left"/>
              <w:rPr>
                <w:rFonts w:hint="eastAsia" w:ascii="宋体" w:hAnsi="宋体" w:eastAsia="宋体" w:cs="宋体"/>
                <w:bCs/>
                <w:i/>
                <w:color w:val="auto"/>
                <w:sz w:val="21"/>
                <w:szCs w:val="21"/>
                <w:highlight w:val="none"/>
              </w:rPr>
            </w:pPr>
          </w:p>
        </w:tc>
        <w:tc>
          <w:tcPr>
            <w:tcW w:w="1373" w:type="dxa"/>
          </w:tcPr>
          <w:p w14:paraId="41164E45">
            <w:pPr>
              <w:pStyle w:val="43"/>
              <w:widowControl/>
              <w:spacing w:line="360" w:lineRule="auto"/>
              <w:jc w:val="left"/>
              <w:rPr>
                <w:rFonts w:hint="eastAsia" w:ascii="宋体" w:hAnsi="宋体" w:eastAsia="宋体" w:cs="宋体"/>
                <w:bCs/>
                <w:i/>
                <w:color w:val="auto"/>
                <w:sz w:val="21"/>
                <w:szCs w:val="21"/>
                <w:highlight w:val="none"/>
              </w:rPr>
            </w:pPr>
          </w:p>
          <w:p w14:paraId="28B3E838">
            <w:pPr>
              <w:pStyle w:val="43"/>
              <w:widowControl/>
              <w:spacing w:line="360" w:lineRule="auto"/>
              <w:jc w:val="left"/>
              <w:rPr>
                <w:rFonts w:hint="eastAsia" w:ascii="宋体" w:hAnsi="宋体" w:eastAsia="宋体" w:cs="宋体"/>
                <w:bCs/>
                <w:i/>
                <w:color w:val="auto"/>
                <w:sz w:val="21"/>
                <w:szCs w:val="21"/>
                <w:highlight w:val="none"/>
              </w:rPr>
            </w:pPr>
          </w:p>
          <w:p w14:paraId="22E6ABFF">
            <w:pPr>
              <w:pStyle w:val="43"/>
              <w:widowControl/>
              <w:spacing w:line="360" w:lineRule="auto"/>
              <w:jc w:val="left"/>
              <w:rPr>
                <w:rFonts w:hint="eastAsia" w:ascii="宋体" w:hAnsi="宋体" w:eastAsia="宋体" w:cs="宋体"/>
                <w:bCs/>
                <w:i/>
                <w:color w:val="auto"/>
                <w:sz w:val="21"/>
                <w:szCs w:val="21"/>
                <w:highlight w:val="none"/>
              </w:rPr>
            </w:pPr>
          </w:p>
        </w:tc>
      </w:tr>
      <w:tr w14:paraId="33F43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B4BDBA1">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22B408B3">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191E9832">
            <w:pPr>
              <w:pStyle w:val="43"/>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4C1B10CD">
            <w:pPr>
              <w:pStyle w:val="43"/>
              <w:widowControl/>
              <w:spacing w:line="360" w:lineRule="auto"/>
              <w:jc w:val="left"/>
              <w:rPr>
                <w:rFonts w:hint="eastAsia" w:ascii="宋体" w:hAnsi="宋体" w:eastAsia="宋体" w:cs="宋体"/>
                <w:bCs/>
                <w:color w:val="auto"/>
                <w:sz w:val="21"/>
                <w:szCs w:val="21"/>
                <w:highlight w:val="none"/>
              </w:rPr>
            </w:pPr>
          </w:p>
        </w:tc>
      </w:tr>
    </w:tbl>
    <w:p w14:paraId="14C37552">
      <w:pPr>
        <w:spacing w:line="360" w:lineRule="auto"/>
        <w:ind w:left="420"/>
        <w:rPr>
          <w:rFonts w:hint="eastAsia" w:ascii="宋体" w:hAnsi="宋体" w:eastAsia="宋体" w:cs="宋体"/>
          <w:color w:val="auto"/>
          <w:sz w:val="21"/>
          <w:szCs w:val="21"/>
          <w:highlight w:val="none"/>
        </w:rPr>
      </w:pPr>
    </w:p>
    <w:p w14:paraId="6EBB0812">
      <w:pPr>
        <w:spacing w:line="360" w:lineRule="auto"/>
        <w:ind w:left="420"/>
        <w:rPr>
          <w:rFonts w:hint="eastAsia" w:ascii="宋体" w:hAnsi="宋体" w:eastAsia="宋体" w:cs="宋体"/>
          <w:color w:val="auto"/>
          <w:sz w:val="21"/>
          <w:szCs w:val="21"/>
          <w:highlight w:val="none"/>
        </w:rPr>
      </w:pPr>
    </w:p>
    <w:p w14:paraId="533020F5">
      <w:pPr>
        <w:spacing w:line="360" w:lineRule="auto"/>
        <w:rPr>
          <w:rFonts w:hint="eastAsia" w:ascii="宋体" w:hAnsi="宋体" w:eastAsia="宋体" w:cs="宋体"/>
          <w:color w:val="auto"/>
          <w:sz w:val="21"/>
          <w:szCs w:val="21"/>
          <w:highlight w:val="none"/>
        </w:rPr>
      </w:pPr>
    </w:p>
    <w:p w14:paraId="52C9A7AA">
      <w:pPr>
        <w:spacing w:line="360" w:lineRule="auto"/>
        <w:ind w:left="420"/>
        <w:rPr>
          <w:rFonts w:hint="eastAsia" w:ascii="宋体" w:hAnsi="宋体" w:eastAsia="宋体" w:cs="宋体"/>
          <w:color w:val="auto"/>
          <w:sz w:val="21"/>
          <w:szCs w:val="21"/>
          <w:highlight w:val="none"/>
        </w:rPr>
      </w:pPr>
    </w:p>
    <w:p w14:paraId="0CAF6DE2">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9E968F3">
      <w:pPr>
        <w:spacing w:line="360" w:lineRule="auto"/>
        <w:ind w:left="420"/>
        <w:rPr>
          <w:rFonts w:hint="eastAsia" w:ascii="宋体" w:hAnsi="宋体" w:eastAsia="宋体" w:cs="宋体"/>
          <w:color w:val="auto"/>
          <w:sz w:val="21"/>
          <w:szCs w:val="21"/>
          <w:highlight w:val="none"/>
        </w:rPr>
      </w:pPr>
    </w:p>
    <w:p w14:paraId="77FAB1A5">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AB63938">
      <w:pPr>
        <w:spacing w:line="360" w:lineRule="auto"/>
        <w:rPr>
          <w:rFonts w:hint="eastAsia" w:ascii="宋体" w:hAnsi="宋体" w:eastAsia="宋体" w:cs="宋体"/>
          <w:color w:val="auto"/>
          <w:sz w:val="21"/>
          <w:szCs w:val="21"/>
          <w:highlight w:val="none"/>
        </w:rPr>
      </w:pPr>
    </w:p>
    <w:p w14:paraId="64DEAD94">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3EE5E582">
      <w:pPr>
        <w:spacing w:line="360" w:lineRule="auto"/>
        <w:ind w:firstLine="435"/>
        <w:rPr>
          <w:rFonts w:hint="eastAsia" w:ascii="宋体" w:hAnsi="宋体" w:eastAsia="宋体" w:cs="宋体"/>
          <w:color w:val="auto"/>
          <w:sz w:val="24"/>
          <w:highlight w:val="none"/>
          <w:u w:val="single"/>
        </w:rPr>
      </w:pPr>
    </w:p>
    <w:p w14:paraId="6CBC82AB">
      <w:pPr>
        <w:pStyle w:val="44"/>
        <w:spacing w:line="360" w:lineRule="auto"/>
        <w:rPr>
          <w:rFonts w:hint="eastAsia" w:ascii="宋体" w:hAnsi="宋体" w:eastAsia="宋体" w:cs="宋体"/>
          <w:b/>
          <w:color w:val="auto"/>
          <w:sz w:val="28"/>
          <w:szCs w:val="28"/>
          <w:highlight w:val="none"/>
        </w:rPr>
      </w:pPr>
    </w:p>
    <w:p w14:paraId="0A3234F3">
      <w:pPr>
        <w:spacing w:line="360" w:lineRule="auto"/>
        <w:ind w:right="-110"/>
        <w:jc w:val="left"/>
        <w:rPr>
          <w:rFonts w:hint="eastAsia" w:ascii="宋体" w:hAnsi="宋体" w:eastAsia="宋体" w:cs="宋体"/>
          <w:b/>
          <w:color w:val="auto"/>
          <w:sz w:val="28"/>
          <w:highlight w:val="none"/>
        </w:rPr>
      </w:pPr>
    </w:p>
    <w:p w14:paraId="17312A00">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19F20E1">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3738E25">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9C5B3D1">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120ED0EB">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127BECC3">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BFA7851">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5FDB772">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11503267">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4E6AFF42">
      <w:pPr>
        <w:spacing w:line="360" w:lineRule="auto"/>
        <w:ind w:right="532"/>
        <w:jc w:val="center"/>
        <w:rPr>
          <w:rFonts w:hint="eastAsia" w:ascii="宋体" w:hAnsi="宋体" w:eastAsia="宋体" w:cs="宋体"/>
          <w:color w:val="auto"/>
          <w:sz w:val="36"/>
          <w:szCs w:val="36"/>
          <w:highlight w:val="none"/>
        </w:rPr>
      </w:pPr>
    </w:p>
    <w:p w14:paraId="6726C3C7">
      <w:pPr>
        <w:spacing w:line="360" w:lineRule="auto"/>
        <w:ind w:right="532"/>
        <w:rPr>
          <w:rFonts w:hint="eastAsia" w:ascii="宋体" w:hAnsi="宋体" w:eastAsia="宋体" w:cs="宋体"/>
          <w:color w:val="auto"/>
          <w:sz w:val="36"/>
          <w:szCs w:val="36"/>
          <w:highlight w:val="none"/>
        </w:rPr>
      </w:pPr>
    </w:p>
    <w:p w14:paraId="2FF0C529">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6205E277">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62FAF673">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3F464237">
      <w:pPr>
        <w:spacing w:line="360" w:lineRule="auto"/>
        <w:ind w:right="-108"/>
        <w:jc w:val="center"/>
        <w:rPr>
          <w:rFonts w:hint="eastAsia" w:ascii="宋体" w:hAnsi="宋体" w:eastAsia="宋体" w:cs="宋体"/>
          <w:b/>
          <w:color w:val="auto"/>
          <w:sz w:val="36"/>
          <w:szCs w:val="32"/>
          <w:highlight w:val="none"/>
        </w:rPr>
      </w:pPr>
    </w:p>
    <w:p w14:paraId="6513CFF9">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0A558E64">
      <w:pPr>
        <w:snapToGrid w:val="0"/>
        <w:spacing w:line="360" w:lineRule="auto"/>
        <w:rPr>
          <w:rFonts w:hint="eastAsia" w:ascii="宋体" w:hAnsi="宋体" w:eastAsia="宋体" w:cs="宋体"/>
          <w:color w:val="auto"/>
          <w:sz w:val="24"/>
          <w:highlight w:val="none"/>
        </w:rPr>
      </w:pPr>
    </w:p>
    <w:p w14:paraId="160ABB3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021EB5DF">
      <w:pPr>
        <w:pStyle w:val="11"/>
        <w:snapToGrid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2、报价明细表（附件1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5ABB97D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3、针对报价投标人认为其他需要说明的；</w:t>
      </w:r>
    </w:p>
    <w:p w14:paraId="7467A831">
      <w:pPr>
        <w:spacing w:line="360" w:lineRule="auto"/>
        <w:rPr>
          <w:rFonts w:hint="eastAsia" w:ascii="宋体" w:hAnsi="宋体" w:eastAsia="宋体" w:cs="宋体"/>
          <w:b/>
          <w:color w:val="auto"/>
          <w:sz w:val="21"/>
          <w:szCs w:val="21"/>
          <w:highlight w:val="none"/>
        </w:rPr>
      </w:pPr>
    </w:p>
    <w:p w14:paraId="01426F90">
      <w:pPr>
        <w:spacing w:line="360" w:lineRule="auto"/>
        <w:ind w:left="480"/>
        <w:rPr>
          <w:rFonts w:hint="eastAsia" w:ascii="宋体" w:hAnsi="宋体" w:eastAsia="宋体" w:cs="宋体"/>
          <w:b/>
          <w:color w:val="auto"/>
          <w:sz w:val="21"/>
          <w:szCs w:val="21"/>
          <w:highlight w:val="none"/>
        </w:rPr>
      </w:pPr>
    </w:p>
    <w:p w14:paraId="335DFA5C">
      <w:pPr>
        <w:spacing w:line="360" w:lineRule="auto"/>
        <w:ind w:left="480"/>
        <w:rPr>
          <w:rFonts w:hint="eastAsia" w:ascii="宋体" w:hAnsi="宋体" w:eastAsia="宋体" w:cs="宋体"/>
          <w:b/>
          <w:color w:val="auto"/>
          <w:sz w:val="28"/>
          <w:highlight w:val="none"/>
        </w:rPr>
      </w:pPr>
    </w:p>
    <w:p w14:paraId="407E26D5">
      <w:pPr>
        <w:spacing w:line="360" w:lineRule="auto"/>
        <w:ind w:left="480"/>
        <w:rPr>
          <w:rFonts w:hint="eastAsia" w:ascii="宋体" w:hAnsi="宋体" w:eastAsia="宋体" w:cs="宋体"/>
          <w:b/>
          <w:color w:val="auto"/>
          <w:sz w:val="28"/>
          <w:highlight w:val="none"/>
        </w:rPr>
      </w:pPr>
    </w:p>
    <w:p w14:paraId="6CA2D6C7">
      <w:pPr>
        <w:spacing w:line="360" w:lineRule="auto"/>
        <w:ind w:left="480"/>
        <w:rPr>
          <w:rFonts w:hint="eastAsia" w:ascii="宋体" w:hAnsi="宋体" w:eastAsia="宋体" w:cs="宋体"/>
          <w:b/>
          <w:color w:val="auto"/>
          <w:sz w:val="28"/>
          <w:highlight w:val="none"/>
        </w:rPr>
      </w:pPr>
    </w:p>
    <w:p w14:paraId="6D94A5DE">
      <w:pPr>
        <w:spacing w:line="360" w:lineRule="auto"/>
        <w:ind w:left="480"/>
        <w:rPr>
          <w:rFonts w:hint="eastAsia" w:ascii="宋体" w:hAnsi="宋体" w:eastAsia="宋体" w:cs="宋体"/>
          <w:b/>
          <w:color w:val="auto"/>
          <w:sz w:val="28"/>
          <w:highlight w:val="none"/>
        </w:rPr>
      </w:pPr>
    </w:p>
    <w:p w14:paraId="659677AF">
      <w:pPr>
        <w:spacing w:line="360" w:lineRule="auto"/>
        <w:ind w:left="480"/>
        <w:rPr>
          <w:rFonts w:hint="eastAsia" w:ascii="宋体" w:hAnsi="宋体" w:eastAsia="宋体" w:cs="宋体"/>
          <w:b/>
          <w:color w:val="auto"/>
          <w:sz w:val="28"/>
          <w:highlight w:val="none"/>
        </w:rPr>
      </w:pPr>
    </w:p>
    <w:p w14:paraId="50C8A7E3">
      <w:pPr>
        <w:spacing w:line="360" w:lineRule="auto"/>
        <w:ind w:left="480"/>
        <w:rPr>
          <w:rFonts w:hint="eastAsia" w:ascii="宋体" w:hAnsi="宋体" w:eastAsia="宋体" w:cs="宋体"/>
          <w:b/>
          <w:color w:val="auto"/>
          <w:sz w:val="28"/>
          <w:highlight w:val="none"/>
        </w:rPr>
      </w:pPr>
    </w:p>
    <w:p w14:paraId="69965876">
      <w:pPr>
        <w:spacing w:line="360" w:lineRule="auto"/>
        <w:ind w:left="480"/>
        <w:rPr>
          <w:rFonts w:hint="eastAsia" w:ascii="宋体" w:hAnsi="宋体" w:eastAsia="宋体" w:cs="宋体"/>
          <w:b/>
          <w:color w:val="auto"/>
          <w:sz w:val="28"/>
          <w:highlight w:val="none"/>
        </w:rPr>
      </w:pPr>
    </w:p>
    <w:p w14:paraId="203AEE78">
      <w:pPr>
        <w:spacing w:line="360" w:lineRule="auto"/>
        <w:ind w:left="480"/>
        <w:rPr>
          <w:rFonts w:hint="eastAsia" w:ascii="宋体" w:hAnsi="宋体" w:eastAsia="宋体" w:cs="宋体"/>
          <w:b/>
          <w:color w:val="auto"/>
          <w:sz w:val="28"/>
          <w:highlight w:val="none"/>
        </w:rPr>
      </w:pPr>
    </w:p>
    <w:p w14:paraId="3CE767FF">
      <w:pPr>
        <w:spacing w:line="360" w:lineRule="auto"/>
        <w:ind w:left="480"/>
        <w:rPr>
          <w:rFonts w:hint="eastAsia" w:ascii="宋体" w:hAnsi="宋体" w:eastAsia="宋体" w:cs="宋体"/>
          <w:b/>
          <w:color w:val="auto"/>
          <w:sz w:val="28"/>
          <w:highlight w:val="none"/>
        </w:rPr>
      </w:pPr>
    </w:p>
    <w:p w14:paraId="5450FE9E">
      <w:pPr>
        <w:spacing w:line="360" w:lineRule="auto"/>
        <w:ind w:left="480"/>
        <w:rPr>
          <w:rFonts w:hint="eastAsia" w:ascii="宋体" w:hAnsi="宋体" w:eastAsia="宋体" w:cs="宋体"/>
          <w:b/>
          <w:color w:val="auto"/>
          <w:sz w:val="28"/>
          <w:highlight w:val="none"/>
        </w:rPr>
      </w:pPr>
    </w:p>
    <w:p w14:paraId="4FF13FF5">
      <w:pPr>
        <w:spacing w:line="360" w:lineRule="auto"/>
        <w:ind w:left="480"/>
        <w:rPr>
          <w:rFonts w:hint="eastAsia" w:ascii="宋体" w:hAnsi="宋体" w:eastAsia="宋体" w:cs="宋体"/>
          <w:b/>
          <w:color w:val="auto"/>
          <w:sz w:val="28"/>
          <w:highlight w:val="none"/>
        </w:rPr>
      </w:pPr>
    </w:p>
    <w:p w14:paraId="6EE4DE39">
      <w:pPr>
        <w:spacing w:line="360" w:lineRule="auto"/>
        <w:ind w:left="480"/>
        <w:rPr>
          <w:rFonts w:hint="eastAsia" w:ascii="宋体" w:hAnsi="宋体" w:eastAsia="宋体" w:cs="宋体"/>
          <w:b/>
          <w:color w:val="auto"/>
          <w:sz w:val="28"/>
          <w:highlight w:val="none"/>
        </w:rPr>
      </w:pPr>
    </w:p>
    <w:p w14:paraId="761D99DD">
      <w:pPr>
        <w:pStyle w:val="2"/>
        <w:rPr>
          <w:rFonts w:hint="eastAsia" w:ascii="宋体" w:hAnsi="宋体" w:eastAsia="宋体" w:cs="宋体"/>
          <w:color w:val="auto"/>
          <w:highlight w:val="none"/>
        </w:rPr>
      </w:pPr>
    </w:p>
    <w:p w14:paraId="29208749">
      <w:pPr>
        <w:spacing w:line="360" w:lineRule="auto"/>
        <w:ind w:left="480"/>
        <w:rPr>
          <w:rFonts w:hint="eastAsia" w:ascii="宋体" w:hAnsi="宋体" w:eastAsia="宋体" w:cs="宋体"/>
          <w:b/>
          <w:color w:val="auto"/>
          <w:sz w:val="28"/>
          <w:highlight w:val="none"/>
        </w:rPr>
      </w:pPr>
    </w:p>
    <w:p w14:paraId="02315509">
      <w:pPr>
        <w:spacing w:line="360" w:lineRule="auto"/>
        <w:ind w:left="480"/>
        <w:rPr>
          <w:rFonts w:hint="eastAsia" w:ascii="宋体" w:hAnsi="宋体" w:eastAsia="宋体" w:cs="宋体"/>
          <w:b/>
          <w:color w:val="auto"/>
          <w:sz w:val="28"/>
          <w:highlight w:val="none"/>
        </w:rPr>
      </w:pPr>
    </w:p>
    <w:p w14:paraId="0C6698FC">
      <w:pPr>
        <w:pStyle w:val="2"/>
        <w:rPr>
          <w:rFonts w:hint="eastAsia" w:ascii="宋体" w:hAnsi="宋体" w:eastAsia="宋体" w:cs="宋体"/>
          <w:color w:val="auto"/>
          <w:highlight w:val="none"/>
        </w:rPr>
      </w:pPr>
    </w:p>
    <w:p w14:paraId="620B2865">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DA007FA">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6</w:t>
      </w:r>
    </w:p>
    <w:p w14:paraId="60B37274">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7C3A360D">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6D968DA5">
      <w:pPr>
        <w:pStyle w:val="47"/>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66AD0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51" w:hRule="atLeast"/>
          <w:jc w:val="center"/>
        </w:trPr>
        <w:tc>
          <w:tcPr>
            <w:tcW w:w="2694" w:type="dxa"/>
            <w:vMerge w:val="restart"/>
            <w:tcBorders>
              <w:top w:val="single" w:color="auto" w:sz="4" w:space="0"/>
              <w:left w:val="single" w:color="auto" w:sz="4" w:space="0"/>
              <w:bottom w:val="single" w:color="auto" w:sz="4" w:space="0"/>
              <w:right w:val="single" w:color="auto" w:sz="4" w:space="0"/>
            </w:tcBorders>
            <w:vAlign w:val="center"/>
          </w:tcPr>
          <w:p w14:paraId="484B9915">
            <w:pPr>
              <w:pStyle w:val="43"/>
              <w:widowControl/>
              <w:spacing w:line="24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一年</w:t>
            </w:r>
          </w:p>
          <w:p w14:paraId="4A3E7F49">
            <w:pPr>
              <w:pStyle w:val="43"/>
              <w:widowControl/>
              <w:spacing w:line="24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投标报价（元）</w:t>
            </w:r>
          </w:p>
        </w:tc>
        <w:tc>
          <w:tcPr>
            <w:tcW w:w="1349" w:type="dxa"/>
            <w:tcBorders>
              <w:top w:val="single" w:color="auto" w:sz="4" w:space="0"/>
              <w:left w:val="single" w:color="auto" w:sz="4" w:space="0"/>
              <w:bottom w:val="single" w:color="auto" w:sz="4" w:space="0"/>
              <w:right w:val="single" w:color="auto" w:sz="4" w:space="0"/>
            </w:tcBorders>
            <w:vAlign w:val="center"/>
          </w:tcPr>
          <w:p w14:paraId="11B19158">
            <w:pPr>
              <w:pStyle w:val="43"/>
              <w:widowControl/>
              <w:spacing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大写</w:t>
            </w:r>
          </w:p>
        </w:tc>
        <w:tc>
          <w:tcPr>
            <w:tcW w:w="4629" w:type="dxa"/>
            <w:tcBorders>
              <w:top w:val="single" w:color="auto" w:sz="4" w:space="0"/>
              <w:left w:val="single" w:color="auto" w:sz="4" w:space="0"/>
              <w:bottom w:val="single" w:color="auto" w:sz="4" w:space="0"/>
              <w:right w:val="single" w:color="auto" w:sz="4" w:space="0"/>
            </w:tcBorders>
            <w:vAlign w:val="center"/>
          </w:tcPr>
          <w:p w14:paraId="136A24D6">
            <w:pPr>
              <w:pStyle w:val="43"/>
              <w:widowControl/>
              <w:spacing w:line="240" w:lineRule="auto"/>
              <w:jc w:val="center"/>
              <w:rPr>
                <w:rFonts w:hint="eastAsia" w:ascii="宋体" w:hAnsi="宋体" w:eastAsia="宋体" w:cs="宋体"/>
                <w:bCs/>
                <w:color w:val="auto"/>
                <w:sz w:val="21"/>
                <w:szCs w:val="21"/>
                <w:highlight w:val="none"/>
              </w:rPr>
            </w:pPr>
          </w:p>
        </w:tc>
      </w:tr>
      <w:tr w14:paraId="3D80EE3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59" w:hRule="atLeast"/>
          <w:jc w:val="center"/>
        </w:trPr>
        <w:tc>
          <w:tcPr>
            <w:tcW w:w="2694" w:type="dxa"/>
            <w:vMerge w:val="continue"/>
            <w:tcBorders>
              <w:top w:val="single" w:color="auto" w:sz="4" w:space="0"/>
              <w:left w:val="single" w:color="auto" w:sz="4" w:space="0"/>
              <w:bottom w:val="single" w:color="auto" w:sz="4" w:space="0"/>
              <w:right w:val="single" w:color="auto" w:sz="4" w:space="0"/>
            </w:tcBorders>
            <w:vAlign w:val="center"/>
          </w:tcPr>
          <w:p w14:paraId="10ADA6BF">
            <w:pPr>
              <w:pStyle w:val="43"/>
              <w:widowControl/>
              <w:spacing w:line="240" w:lineRule="auto"/>
              <w:jc w:val="center"/>
              <w:rPr>
                <w:rFonts w:hint="eastAsia" w:ascii="宋体" w:hAnsi="宋体" w:eastAsia="宋体" w:cs="宋体"/>
                <w:b/>
                <w:bCs w:val="0"/>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592B674F">
            <w:pPr>
              <w:pStyle w:val="43"/>
              <w:widowControl/>
              <w:spacing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4" w:space="0"/>
            </w:tcBorders>
            <w:vAlign w:val="center"/>
          </w:tcPr>
          <w:p w14:paraId="74327375">
            <w:pPr>
              <w:pStyle w:val="43"/>
              <w:widowControl/>
              <w:spacing w:line="240" w:lineRule="auto"/>
              <w:jc w:val="center"/>
              <w:rPr>
                <w:rFonts w:hint="eastAsia" w:ascii="宋体" w:hAnsi="宋体" w:eastAsia="宋体" w:cs="宋体"/>
                <w:bCs/>
                <w:color w:val="auto"/>
                <w:sz w:val="21"/>
                <w:szCs w:val="21"/>
                <w:highlight w:val="none"/>
              </w:rPr>
            </w:pPr>
          </w:p>
        </w:tc>
      </w:tr>
      <w:tr w14:paraId="51B331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59"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2A5481CD">
            <w:pPr>
              <w:pStyle w:val="43"/>
              <w:widowControl/>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rPr>
              <w:t>服务期</w:t>
            </w:r>
          </w:p>
        </w:tc>
        <w:tc>
          <w:tcPr>
            <w:tcW w:w="5978" w:type="dxa"/>
            <w:gridSpan w:val="2"/>
            <w:tcBorders>
              <w:top w:val="single" w:color="auto" w:sz="4" w:space="0"/>
              <w:left w:val="single" w:color="auto" w:sz="4" w:space="0"/>
              <w:bottom w:val="single" w:color="auto" w:sz="4" w:space="0"/>
              <w:right w:val="single" w:color="auto" w:sz="4" w:space="0"/>
            </w:tcBorders>
            <w:vAlign w:val="center"/>
          </w:tcPr>
          <w:p w14:paraId="734AB663">
            <w:pPr>
              <w:pStyle w:val="43"/>
              <w:widowControl/>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3年</w:t>
            </w:r>
          </w:p>
        </w:tc>
      </w:tr>
      <w:tr w14:paraId="157E0E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99" w:hRule="atLeast"/>
          <w:jc w:val="center"/>
        </w:trPr>
        <w:tc>
          <w:tcPr>
            <w:tcW w:w="2694" w:type="dxa"/>
            <w:vMerge w:val="restart"/>
            <w:tcBorders>
              <w:top w:val="single" w:color="auto" w:sz="4" w:space="0"/>
              <w:left w:val="single" w:color="auto" w:sz="4" w:space="0"/>
              <w:right w:val="single" w:color="auto" w:sz="4" w:space="0"/>
            </w:tcBorders>
            <w:vAlign w:val="center"/>
          </w:tcPr>
          <w:p w14:paraId="533A8DE3">
            <w:pPr>
              <w:pStyle w:val="43"/>
              <w:widowControl/>
              <w:spacing w:line="240" w:lineRule="auto"/>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三年</w:t>
            </w:r>
          </w:p>
          <w:p w14:paraId="3D181797">
            <w:pPr>
              <w:pStyle w:val="43"/>
              <w:widowControl/>
              <w:spacing w:line="240" w:lineRule="auto"/>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投标总</w:t>
            </w:r>
            <w:r>
              <w:rPr>
                <w:rFonts w:hint="eastAsia" w:ascii="宋体" w:hAnsi="宋体" w:eastAsia="宋体" w:cs="宋体"/>
                <w:b/>
                <w:bCs w:val="0"/>
                <w:color w:val="auto"/>
                <w:sz w:val="21"/>
                <w:szCs w:val="21"/>
                <w:highlight w:val="none"/>
                <w:lang w:val="en-US" w:eastAsia="zh-CN"/>
              </w:rPr>
              <w:t>报价</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元</w:t>
            </w:r>
            <w:r>
              <w:rPr>
                <w:rFonts w:hint="eastAsia" w:ascii="宋体" w:hAnsi="宋体" w:eastAsia="宋体" w:cs="宋体"/>
                <w:b/>
                <w:bCs w:val="0"/>
                <w:color w:val="auto"/>
                <w:sz w:val="21"/>
                <w:szCs w:val="21"/>
                <w:highlight w:val="none"/>
                <w:lang w:eastAsia="zh-CN"/>
              </w:rPr>
              <w:t>）</w:t>
            </w:r>
          </w:p>
        </w:tc>
        <w:tc>
          <w:tcPr>
            <w:tcW w:w="1349" w:type="dxa"/>
            <w:tcBorders>
              <w:top w:val="single" w:color="auto" w:sz="4" w:space="0"/>
              <w:left w:val="single" w:color="auto" w:sz="4" w:space="0"/>
              <w:bottom w:val="single" w:color="auto" w:sz="4" w:space="0"/>
              <w:right w:val="single" w:color="auto" w:sz="4" w:space="0"/>
            </w:tcBorders>
            <w:vAlign w:val="center"/>
          </w:tcPr>
          <w:p w14:paraId="3CBE67BF">
            <w:pPr>
              <w:pStyle w:val="43"/>
              <w:widowControl/>
              <w:spacing w:line="24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大写</w:t>
            </w:r>
          </w:p>
        </w:tc>
        <w:tc>
          <w:tcPr>
            <w:tcW w:w="4629" w:type="dxa"/>
            <w:tcBorders>
              <w:top w:val="single" w:color="auto" w:sz="4" w:space="0"/>
              <w:left w:val="single" w:color="auto" w:sz="4" w:space="0"/>
              <w:bottom w:val="single" w:color="auto" w:sz="4" w:space="0"/>
              <w:right w:val="single" w:color="auto" w:sz="4" w:space="0"/>
            </w:tcBorders>
            <w:vAlign w:val="center"/>
          </w:tcPr>
          <w:p w14:paraId="71B4B071">
            <w:pPr>
              <w:pStyle w:val="43"/>
              <w:widowControl/>
              <w:spacing w:line="240" w:lineRule="auto"/>
              <w:jc w:val="center"/>
              <w:rPr>
                <w:rFonts w:hint="eastAsia" w:ascii="宋体" w:hAnsi="宋体" w:eastAsia="宋体" w:cs="宋体"/>
                <w:bCs/>
                <w:color w:val="auto"/>
                <w:sz w:val="21"/>
                <w:szCs w:val="21"/>
                <w:highlight w:val="none"/>
              </w:rPr>
            </w:pPr>
          </w:p>
        </w:tc>
      </w:tr>
      <w:tr w14:paraId="3CA451B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99" w:hRule="atLeast"/>
          <w:jc w:val="center"/>
        </w:trPr>
        <w:tc>
          <w:tcPr>
            <w:tcW w:w="2694" w:type="dxa"/>
            <w:vMerge w:val="continue"/>
            <w:tcBorders>
              <w:left w:val="single" w:color="auto" w:sz="4" w:space="0"/>
              <w:bottom w:val="single" w:color="auto" w:sz="4" w:space="0"/>
              <w:right w:val="single" w:color="auto" w:sz="4" w:space="0"/>
            </w:tcBorders>
            <w:vAlign w:val="center"/>
          </w:tcPr>
          <w:p w14:paraId="23E03449">
            <w:pPr>
              <w:pStyle w:val="43"/>
              <w:widowControl/>
              <w:spacing w:line="240" w:lineRule="auto"/>
              <w:jc w:val="center"/>
              <w:rPr>
                <w:rFonts w:hint="eastAsia" w:ascii="宋体" w:hAnsi="宋体" w:eastAsia="宋体" w:cs="宋体"/>
                <w:b/>
                <w:bCs w:val="0"/>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2E010C9C">
            <w:pPr>
              <w:pStyle w:val="43"/>
              <w:widowControl/>
              <w:spacing w:line="24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4" w:space="0"/>
            </w:tcBorders>
            <w:vAlign w:val="center"/>
          </w:tcPr>
          <w:p w14:paraId="400510F5">
            <w:pPr>
              <w:pStyle w:val="43"/>
              <w:widowControl/>
              <w:spacing w:line="240" w:lineRule="auto"/>
              <w:jc w:val="center"/>
              <w:rPr>
                <w:rFonts w:hint="eastAsia" w:ascii="宋体" w:hAnsi="宋体" w:eastAsia="宋体" w:cs="宋体"/>
                <w:bCs/>
                <w:color w:val="auto"/>
                <w:sz w:val="21"/>
                <w:szCs w:val="21"/>
                <w:highlight w:val="none"/>
              </w:rPr>
            </w:pPr>
          </w:p>
        </w:tc>
      </w:tr>
    </w:tbl>
    <w:p w14:paraId="0CA19560">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72397757">
      <w:pPr>
        <w:pStyle w:val="6"/>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所有的设备费、附加费（运输、保险、包装、安装调试、服务、维护费、水电费、网络费）、管理费、利润、税金、合同包含的所有风险责任等各项费用及不可预见费等所需的全部费用，全部费用已包含在投标报价中</w:t>
      </w:r>
      <w:r>
        <w:rPr>
          <w:rFonts w:hint="eastAsia" w:ascii="宋体" w:hAnsi="宋体" w:eastAsia="宋体" w:cs="宋体"/>
          <w:color w:val="auto"/>
          <w:kern w:val="0"/>
          <w:szCs w:val="21"/>
          <w:highlight w:val="none"/>
        </w:rPr>
        <w:t>。</w:t>
      </w:r>
    </w:p>
    <w:p w14:paraId="695C86FA">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052241AD">
      <w:pPr>
        <w:spacing w:line="360" w:lineRule="auto"/>
        <w:ind w:left="420"/>
        <w:rPr>
          <w:rFonts w:hint="eastAsia" w:ascii="宋体" w:hAnsi="宋体" w:eastAsia="宋体" w:cs="宋体"/>
          <w:color w:val="auto"/>
          <w:sz w:val="21"/>
          <w:szCs w:val="21"/>
          <w:highlight w:val="none"/>
        </w:rPr>
      </w:pPr>
    </w:p>
    <w:p w14:paraId="76A3B3F9">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734E5E7">
      <w:pPr>
        <w:spacing w:line="360" w:lineRule="auto"/>
        <w:ind w:left="420"/>
        <w:rPr>
          <w:rFonts w:hint="eastAsia" w:ascii="宋体" w:hAnsi="宋体" w:eastAsia="宋体" w:cs="宋体"/>
          <w:color w:val="auto"/>
          <w:sz w:val="21"/>
          <w:szCs w:val="21"/>
          <w:highlight w:val="none"/>
        </w:rPr>
      </w:pPr>
    </w:p>
    <w:p w14:paraId="485CCBF3">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0C48663B">
      <w:pPr>
        <w:spacing w:line="360" w:lineRule="auto"/>
        <w:rPr>
          <w:rFonts w:hint="eastAsia" w:ascii="宋体" w:hAnsi="宋体" w:eastAsia="宋体" w:cs="宋体"/>
          <w:color w:val="auto"/>
          <w:sz w:val="21"/>
          <w:szCs w:val="21"/>
          <w:highlight w:val="none"/>
        </w:rPr>
      </w:pPr>
    </w:p>
    <w:p w14:paraId="40062AC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3070358">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61519FC">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14:paraId="4FAE793D">
      <w:pPr>
        <w:snapToGrid w:val="0"/>
        <w:spacing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报价明细表</w:t>
      </w:r>
    </w:p>
    <w:p w14:paraId="727DCC68">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20717D60">
      <w:pPr>
        <w:pStyle w:val="47"/>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1"/>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34"/>
        <w:gridCol w:w="1026"/>
        <w:gridCol w:w="654"/>
        <w:gridCol w:w="604"/>
        <w:gridCol w:w="592"/>
        <w:gridCol w:w="1173"/>
        <w:gridCol w:w="1051"/>
        <w:gridCol w:w="634"/>
      </w:tblGrid>
      <w:tr w14:paraId="71DF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888" w:type="dxa"/>
            <w:vAlign w:val="center"/>
          </w:tcPr>
          <w:p w14:paraId="11218638">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234" w:type="dxa"/>
            <w:vAlign w:val="center"/>
          </w:tcPr>
          <w:p w14:paraId="275CA00B">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报价项目</w:t>
            </w:r>
          </w:p>
        </w:tc>
        <w:tc>
          <w:tcPr>
            <w:tcW w:w="1026" w:type="dxa"/>
            <w:vAlign w:val="center"/>
          </w:tcPr>
          <w:p w14:paraId="73388170">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报价内容</w:t>
            </w:r>
          </w:p>
        </w:tc>
        <w:tc>
          <w:tcPr>
            <w:tcW w:w="654" w:type="dxa"/>
            <w:vAlign w:val="center"/>
          </w:tcPr>
          <w:p w14:paraId="2EE4FE17">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604" w:type="dxa"/>
            <w:vAlign w:val="center"/>
          </w:tcPr>
          <w:p w14:paraId="2552A8E0">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592" w:type="dxa"/>
            <w:vAlign w:val="center"/>
          </w:tcPr>
          <w:p w14:paraId="6DD29A13">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单价</w:t>
            </w:r>
          </w:p>
        </w:tc>
        <w:tc>
          <w:tcPr>
            <w:tcW w:w="1173" w:type="dxa"/>
            <w:vAlign w:val="center"/>
          </w:tcPr>
          <w:p w14:paraId="10DFE9DB">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小计</w:t>
            </w:r>
          </w:p>
          <w:p w14:paraId="306D6330">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（一年）</w:t>
            </w:r>
          </w:p>
        </w:tc>
        <w:tc>
          <w:tcPr>
            <w:tcW w:w="1051" w:type="dxa"/>
            <w:vAlign w:val="center"/>
          </w:tcPr>
          <w:p w14:paraId="0388CEF9">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合计</w:t>
            </w:r>
          </w:p>
          <w:p w14:paraId="7C0C3714">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（三年）</w:t>
            </w:r>
          </w:p>
        </w:tc>
        <w:tc>
          <w:tcPr>
            <w:tcW w:w="634" w:type="dxa"/>
            <w:vAlign w:val="center"/>
          </w:tcPr>
          <w:p w14:paraId="2F6E431B">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4AAF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888" w:type="dxa"/>
            <w:vAlign w:val="center"/>
          </w:tcPr>
          <w:p w14:paraId="767D4E8E">
            <w:pPr>
              <w:pStyle w:val="41"/>
              <w:spacing w:line="240" w:lineRule="auto"/>
              <w:jc w:val="center"/>
              <w:rPr>
                <w:rFonts w:hint="eastAsia" w:ascii="宋体" w:hAnsi="宋体" w:eastAsia="宋体" w:cs="宋体"/>
                <w:color w:val="auto"/>
                <w:sz w:val="21"/>
                <w:szCs w:val="21"/>
                <w:highlight w:val="none"/>
                <w:lang w:eastAsia="zh-CN"/>
              </w:rPr>
            </w:pPr>
          </w:p>
        </w:tc>
        <w:tc>
          <w:tcPr>
            <w:tcW w:w="1234" w:type="dxa"/>
            <w:vAlign w:val="center"/>
          </w:tcPr>
          <w:p w14:paraId="17E2D5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26" w:type="dxa"/>
            <w:vAlign w:val="center"/>
          </w:tcPr>
          <w:p w14:paraId="11509C6B">
            <w:pPr>
              <w:spacing w:line="240" w:lineRule="auto"/>
              <w:jc w:val="center"/>
              <w:rPr>
                <w:rFonts w:hint="eastAsia" w:ascii="宋体" w:hAnsi="宋体" w:eastAsia="宋体" w:cs="宋体"/>
                <w:color w:val="auto"/>
                <w:sz w:val="21"/>
                <w:szCs w:val="21"/>
                <w:highlight w:val="none"/>
              </w:rPr>
            </w:pPr>
          </w:p>
        </w:tc>
        <w:tc>
          <w:tcPr>
            <w:tcW w:w="654" w:type="dxa"/>
            <w:vAlign w:val="center"/>
          </w:tcPr>
          <w:p w14:paraId="071A646D">
            <w:pPr>
              <w:spacing w:line="240" w:lineRule="auto"/>
              <w:jc w:val="center"/>
              <w:rPr>
                <w:rFonts w:hint="eastAsia" w:ascii="宋体" w:hAnsi="宋体" w:eastAsia="宋体" w:cs="宋体"/>
                <w:color w:val="auto"/>
                <w:sz w:val="21"/>
                <w:szCs w:val="21"/>
                <w:highlight w:val="none"/>
                <w:lang w:val="en-US" w:eastAsia="zh-CN"/>
              </w:rPr>
            </w:pPr>
          </w:p>
        </w:tc>
        <w:tc>
          <w:tcPr>
            <w:tcW w:w="604" w:type="dxa"/>
            <w:vAlign w:val="center"/>
          </w:tcPr>
          <w:p w14:paraId="16CCF10F">
            <w:pPr>
              <w:spacing w:line="240" w:lineRule="auto"/>
              <w:jc w:val="center"/>
              <w:rPr>
                <w:rFonts w:hint="eastAsia" w:ascii="宋体" w:hAnsi="宋体" w:eastAsia="宋体" w:cs="宋体"/>
                <w:color w:val="auto"/>
                <w:sz w:val="21"/>
                <w:szCs w:val="21"/>
                <w:highlight w:val="none"/>
                <w:lang w:eastAsia="zh-CN"/>
              </w:rPr>
            </w:pPr>
          </w:p>
        </w:tc>
        <w:tc>
          <w:tcPr>
            <w:tcW w:w="592" w:type="dxa"/>
            <w:vAlign w:val="center"/>
          </w:tcPr>
          <w:p w14:paraId="467B2770">
            <w:pPr>
              <w:spacing w:line="240" w:lineRule="auto"/>
              <w:jc w:val="center"/>
              <w:rPr>
                <w:rFonts w:hint="eastAsia" w:ascii="宋体" w:hAnsi="宋体" w:eastAsia="宋体" w:cs="宋体"/>
                <w:color w:val="auto"/>
                <w:sz w:val="21"/>
                <w:szCs w:val="21"/>
                <w:highlight w:val="none"/>
              </w:rPr>
            </w:pPr>
          </w:p>
        </w:tc>
        <w:tc>
          <w:tcPr>
            <w:tcW w:w="1173" w:type="dxa"/>
            <w:vAlign w:val="center"/>
          </w:tcPr>
          <w:p w14:paraId="4755470B">
            <w:pPr>
              <w:spacing w:line="240" w:lineRule="auto"/>
              <w:jc w:val="center"/>
              <w:rPr>
                <w:rFonts w:hint="eastAsia" w:ascii="宋体" w:hAnsi="宋体" w:eastAsia="宋体" w:cs="宋体"/>
                <w:color w:val="auto"/>
                <w:sz w:val="21"/>
                <w:szCs w:val="21"/>
                <w:highlight w:val="none"/>
              </w:rPr>
            </w:pPr>
          </w:p>
        </w:tc>
        <w:tc>
          <w:tcPr>
            <w:tcW w:w="1051" w:type="dxa"/>
            <w:vAlign w:val="center"/>
          </w:tcPr>
          <w:p w14:paraId="5CDA2970">
            <w:pPr>
              <w:spacing w:line="240" w:lineRule="auto"/>
              <w:jc w:val="center"/>
              <w:rPr>
                <w:rFonts w:hint="eastAsia" w:ascii="宋体" w:hAnsi="宋体" w:eastAsia="宋体" w:cs="宋体"/>
                <w:color w:val="auto"/>
                <w:sz w:val="21"/>
                <w:szCs w:val="21"/>
                <w:highlight w:val="none"/>
              </w:rPr>
            </w:pPr>
          </w:p>
        </w:tc>
        <w:tc>
          <w:tcPr>
            <w:tcW w:w="634" w:type="dxa"/>
            <w:vAlign w:val="center"/>
          </w:tcPr>
          <w:p w14:paraId="17DB0D98">
            <w:pPr>
              <w:spacing w:line="240" w:lineRule="auto"/>
              <w:jc w:val="center"/>
              <w:rPr>
                <w:rFonts w:hint="eastAsia" w:ascii="宋体" w:hAnsi="宋体" w:eastAsia="宋体" w:cs="宋体"/>
                <w:color w:val="auto"/>
                <w:sz w:val="21"/>
                <w:szCs w:val="21"/>
                <w:highlight w:val="none"/>
              </w:rPr>
            </w:pPr>
          </w:p>
        </w:tc>
      </w:tr>
      <w:tr w14:paraId="5842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88" w:type="dxa"/>
            <w:vAlign w:val="center"/>
          </w:tcPr>
          <w:p w14:paraId="012C1E2E">
            <w:pPr>
              <w:pStyle w:val="41"/>
              <w:spacing w:line="240" w:lineRule="auto"/>
              <w:jc w:val="center"/>
              <w:rPr>
                <w:rFonts w:hint="eastAsia" w:ascii="宋体" w:hAnsi="宋体" w:eastAsia="宋体" w:cs="宋体"/>
                <w:color w:val="auto"/>
                <w:sz w:val="21"/>
                <w:szCs w:val="21"/>
                <w:highlight w:val="none"/>
                <w:lang w:val="en-US" w:eastAsia="zh-CN"/>
              </w:rPr>
            </w:pPr>
          </w:p>
        </w:tc>
        <w:tc>
          <w:tcPr>
            <w:tcW w:w="1234" w:type="dxa"/>
            <w:vAlign w:val="center"/>
          </w:tcPr>
          <w:p w14:paraId="1ECFBE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p>
        </w:tc>
        <w:tc>
          <w:tcPr>
            <w:tcW w:w="1026" w:type="dxa"/>
            <w:vAlign w:val="center"/>
          </w:tcPr>
          <w:p w14:paraId="517CC97E">
            <w:pPr>
              <w:spacing w:line="240" w:lineRule="auto"/>
              <w:jc w:val="center"/>
              <w:rPr>
                <w:rFonts w:hint="eastAsia" w:ascii="宋体" w:hAnsi="宋体" w:eastAsia="宋体" w:cs="宋体"/>
                <w:color w:val="auto"/>
                <w:sz w:val="21"/>
                <w:szCs w:val="21"/>
                <w:highlight w:val="none"/>
              </w:rPr>
            </w:pPr>
          </w:p>
        </w:tc>
        <w:tc>
          <w:tcPr>
            <w:tcW w:w="654" w:type="dxa"/>
            <w:vAlign w:val="center"/>
          </w:tcPr>
          <w:p w14:paraId="070823C9">
            <w:pPr>
              <w:spacing w:line="240" w:lineRule="auto"/>
              <w:jc w:val="center"/>
              <w:rPr>
                <w:rFonts w:hint="eastAsia" w:ascii="宋体" w:hAnsi="宋体" w:eastAsia="宋体" w:cs="宋体"/>
                <w:color w:val="auto"/>
                <w:sz w:val="21"/>
                <w:szCs w:val="21"/>
                <w:highlight w:val="none"/>
                <w:lang w:val="en-US" w:eastAsia="zh-CN"/>
              </w:rPr>
            </w:pPr>
          </w:p>
        </w:tc>
        <w:tc>
          <w:tcPr>
            <w:tcW w:w="604" w:type="dxa"/>
            <w:vAlign w:val="center"/>
          </w:tcPr>
          <w:p w14:paraId="2401A992">
            <w:pPr>
              <w:spacing w:line="240" w:lineRule="auto"/>
              <w:jc w:val="center"/>
              <w:rPr>
                <w:rFonts w:hint="eastAsia" w:ascii="宋体" w:hAnsi="宋体" w:eastAsia="宋体" w:cs="宋体"/>
                <w:color w:val="auto"/>
                <w:sz w:val="21"/>
                <w:szCs w:val="21"/>
                <w:highlight w:val="none"/>
              </w:rPr>
            </w:pPr>
          </w:p>
        </w:tc>
        <w:tc>
          <w:tcPr>
            <w:tcW w:w="592" w:type="dxa"/>
            <w:vAlign w:val="center"/>
          </w:tcPr>
          <w:p w14:paraId="1D6CF2CD">
            <w:pPr>
              <w:spacing w:line="240" w:lineRule="auto"/>
              <w:jc w:val="center"/>
              <w:rPr>
                <w:rFonts w:hint="eastAsia" w:ascii="宋体" w:hAnsi="宋体" w:eastAsia="宋体" w:cs="宋体"/>
                <w:color w:val="auto"/>
                <w:sz w:val="21"/>
                <w:szCs w:val="21"/>
                <w:highlight w:val="none"/>
              </w:rPr>
            </w:pPr>
          </w:p>
        </w:tc>
        <w:tc>
          <w:tcPr>
            <w:tcW w:w="1173" w:type="dxa"/>
            <w:vAlign w:val="center"/>
          </w:tcPr>
          <w:p w14:paraId="2519EA3F">
            <w:pPr>
              <w:spacing w:line="240" w:lineRule="auto"/>
              <w:jc w:val="center"/>
              <w:rPr>
                <w:rFonts w:hint="eastAsia" w:ascii="宋体" w:hAnsi="宋体" w:eastAsia="宋体" w:cs="宋体"/>
                <w:color w:val="auto"/>
                <w:sz w:val="21"/>
                <w:szCs w:val="21"/>
                <w:highlight w:val="none"/>
              </w:rPr>
            </w:pPr>
          </w:p>
        </w:tc>
        <w:tc>
          <w:tcPr>
            <w:tcW w:w="1051" w:type="dxa"/>
            <w:vAlign w:val="center"/>
          </w:tcPr>
          <w:p w14:paraId="4130FF83">
            <w:pPr>
              <w:spacing w:line="240" w:lineRule="auto"/>
              <w:jc w:val="center"/>
              <w:rPr>
                <w:rFonts w:hint="eastAsia" w:ascii="宋体" w:hAnsi="宋体" w:eastAsia="宋体" w:cs="宋体"/>
                <w:color w:val="auto"/>
                <w:sz w:val="21"/>
                <w:szCs w:val="21"/>
                <w:highlight w:val="none"/>
              </w:rPr>
            </w:pPr>
          </w:p>
        </w:tc>
        <w:tc>
          <w:tcPr>
            <w:tcW w:w="634" w:type="dxa"/>
            <w:vAlign w:val="center"/>
          </w:tcPr>
          <w:p w14:paraId="3FE38CCB">
            <w:pPr>
              <w:spacing w:line="240" w:lineRule="auto"/>
              <w:jc w:val="center"/>
              <w:rPr>
                <w:rFonts w:hint="eastAsia" w:ascii="宋体" w:hAnsi="宋体" w:eastAsia="宋体" w:cs="宋体"/>
                <w:color w:val="auto"/>
                <w:sz w:val="21"/>
                <w:szCs w:val="21"/>
                <w:highlight w:val="none"/>
              </w:rPr>
            </w:pPr>
          </w:p>
        </w:tc>
      </w:tr>
      <w:tr w14:paraId="4377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88" w:type="dxa"/>
            <w:vAlign w:val="center"/>
          </w:tcPr>
          <w:p w14:paraId="50B1A705">
            <w:pPr>
              <w:pStyle w:val="41"/>
              <w:spacing w:line="240" w:lineRule="auto"/>
              <w:jc w:val="center"/>
              <w:rPr>
                <w:rFonts w:hint="eastAsia" w:ascii="宋体" w:hAnsi="宋体" w:eastAsia="宋体" w:cs="宋体"/>
                <w:color w:val="auto"/>
                <w:sz w:val="21"/>
                <w:szCs w:val="21"/>
                <w:highlight w:val="none"/>
                <w:lang w:val="en-US" w:eastAsia="zh-CN"/>
              </w:rPr>
            </w:pPr>
          </w:p>
        </w:tc>
        <w:tc>
          <w:tcPr>
            <w:tcW w:w="1234" w:type="dxa"/>
            <w:vAlign w:val="center"/>
          </w:tcPr>
          <w:p w14:paraId="44C245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p>
        </w:tc>
        <w:tc>
          <w:tcPr>
            <w:tcW w:w="1026" w:type="dxa"/>
            <w:vAlign w:val="center"/>
          </w:tcPr>
          <w:p w14:paraId="3DB79A0E">
            <w:pPr>
              <w:spacing w:line="240" w:lineRule="auto"/>
              <w:jc w:val="center"/>
              <w:rPr>
                <w:rFonts w:hint="eastAsia" w:ascii="宋体" w:hAnsi="宋体" w:eastAsia="宋体" w:cs="宋体"/>
                <w:color w:val="auto"/>
                <w:sz w:val="21"/>
                <w:szCs w:val="21"/>
                <w:highlight w:val="none"/>
              </w:rPr>
            </w:pPr>
          </w:p>
        </w:tc>
        <w:tc>
          <w:tcPr>
            <w:tcW w:w="654" w:type="dxa"/>
            <w:vAlign w:val="center"/>
          </w:tcPr>
          <w:p w14:paraId="16D789A5">
            <w:pPr>
              <w:spacing w:line="240" w:lineRule="auto"/>
              <w:jc w:val="center"/>
              <w:rPr>
                <w:rFonts w:hint="eastAsia" w:ascii="宋体" w:hAnsi="宋体" w:eastAsia="宋体" w:cs="宋体"/>
                <w:color w:val="auto"/>
                <w:sz w:val="21"/>
                <w:szCs w:val="21"/>
                <w:highlight w:val="none"/>
                <w:lang w:val="en-US" w:eastAsia="zh-CN"/>
              </w:rPr>
            </w:pPr>
          </w:p>
        </w:tc>
        <w:tc>
          <w:tcPr>
            <w:tcW w:w="604" w:type="dxa"/>
            <w:vAlign w:val="center"/>
          </w:tcPr>
          <w:p w14:paraId="6673F87E">
            <w:pPr>
              <w:spacing w:line="240" w:lineRule="auto"/>
              <w:jc w:val="center"/>
              <w:rPr>
                <w:rFonts w:hint="eastAsia" w:ascii="宋体" w:hAnsi="宋体" w:eastAsia="宋体" w:cs="宋体"/>
                <w:color w:val="auto"/>
                <w:sz w:val="21"/>
                <w:szCs w:val="21"/>
                <w:highlight w:val="none"/>
              </w:rPr>
            </w:pPr>
          </w:p>
        </w:tc>
        <w:tc>
          <w:tcPr>
            <w:tcW w:w="592" w:type="dxa"/>
            <w:vAlign w:val="center"/>
          </w:tcPr>
          <w:p w14:paraId="2BB1999A">
            <w:pPr>
              <w:spacing w:line="240" w:lineRule="auto"/>
              <w:jc w:val="center"/>
              <w:rPr>
                <w:rFonts w:hint="eastAsia" w:ascii="宋体" w:hAnsi="宋体" w:eastAsia="宋体" w:cs="宋体"/>
                <w:color w:val="auto"/>
                <w:sz w:val="21"/>
                <w:szCs w:val="21"/>
                <w:highlight w:val="none"/>
              </w:rPr>
            </w:pPr>
          </w:p>
        </w:tc>
        <w:tc>
          <w:tcPr>
            <w:tcW w:w="1173" w:type="dxa"/>
            <w:vAlign w:val="center"/>
          </w:tcPr>
          <w:p w14:paraId="3AD453B0">
            <w:pPr>
              <w:spacing w:line="240" w:lineRule="auto"/>
              <w:jc w:val="center"/>
              <w:rPr>
                <w:rFonts w:hint="eastAsia" w:ascii="宋体" w:hAnsi="宋体" w:eastAsia="宋体" w:cs="宋体"/>
                <w:color w:val="auto"/>
                <w:sz w:val="21"/>
                <w:szCs w:val="21"/>
                <w:highlight w:val="none"/>
              </w:rPr>
            </w:pPr>
          </w:p>
        </w:tc>
        <w:tc>
          <w:tcPr>
            <w:tcW w:w="1051" w:type="dxa"/>
            <w:vAlign w:val="center"/>
          </w:tcPr>
          <w:p w14:paraId="5D83CA38">
            <w:pPr>
              <w:spacing w:line="240" w:lineRule="auto"/>
              <w:jc w:val="center"/>
              <w:rPr>
                <w:rFonts w:hint="eastAsia" w:ascii="宋体" w:hAnsi="宋体" w:eastAsia="宋体" w:cs="宋体"/>
                <w:color w:val="auto"/>
                <w:sz w:val="21"/>
                <w:szCs w:val="21"/>
                <w:highlight w:val="none"/>
              </w:rPr>
            </w:pPr>
          </w:p>
        </w:tc>
        <w:tc>
          <w:tcPr>
            <w:tcW w:w="634" w:type="dxa"/>
            <w:vAlign w:val="center"/>
          </w:tcPr>
          <w:p w14:paraId="6911569D">
            <w:pPr>
              <w:spacing w:line="240" w:lineRule="auto"/>
              <w:jc w:val="center"/>
              <w:rPr>
                <w:rFonts w:hint="eastAsia" w:ascii="宋体" w:hAnsi="宋体" w:eastAsia="宋体" w:cs="宋体"/>
                <w:color w:val="auto"/>
                <w:sz w:val="21"/>
                <w:szCs w:val="21"/>
                <w:highlight w:val="none"/>
              </w:rPr>
            </w:pPr>
          </w:p>
        </w:tc>
      </w:tr>
      <w:tr w14:paraId="257D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888" w:type="dxa"/>
            <w:vAlign w:val="center"/>
          </w:tcPr>
          <w:p w14:paraId="2EF8DA71">
            <w:pPr>
              <w:pStyle w:val="41"/>
              <w:spacing w:line="240" w:lineRule="auto"/>
              <w:jc w:val="center"/>
              <w:rPr>
                <w:rFonts w:hint="eastAsia" w:ascii="宋体" w:hAnsi="宋体" w:eastAsia="宋体" w:cs="宋体"/>
                <w:color w:val="auto"/>
                <w:sz w:val="21"/>
                <w:szCs w:val="21"/>
                <w:highlight w:val="none"/>
                <w:lang w:eastAsia="zh-CN"/>
              </w:rPr>
            </w:pPr>
          </w:p>
        </w:tc>
        <w:tc>
          <w:tcPr>
            <w:tcW w:w="1234" w:type="dxa"/>
            <w:vAlign w:val="center"/>
          </w:tcPr>
          <w:p w14:paraId="776EEF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p>
        </w:tc>
        <w:tc>
          <w:tcPr>
            <w:tcW w:w="1026" w:type="dxa"/>
            <w:vAlign w:val="center"/>
          </w:tcPr>
          <w:p w14:paraId="3A6D0F43">
            <w:pPr>
              <w:spacing w:line="240" w:lineRule="auto"/>
              <w:jc w:val="center"/>
              <w:rPr>
                <w:rFonts w:hint="eastAsia" w:ascii="宋体" w:hAnsi="宋体" w:eastAsia="宋体" w:cs="宋体"/>
                <w:color w:val="auto"/>
                <w:sz w:val="21"/>
                <w:szCs w:val="21"/>
                <w:highlight w:val="none"/>
              </w:rPr>
            </w:pPr>
          </w:p>
        </w:tc>
        <w:tc>
          <w:tcPr>
            <w:tcW w:w="654" w:type="dxa"/>
            <w:vAlign w:val="center"/>
          </w:tcPr>
          <w:p w14:paraId="0C2136C0">
            <w:pPr>
              <w:spacing w:line="240" w:lineRule="auto"/>
              <w:jc w:val="center"/>
              <w:rPr>
                <w:rFonts w:hint="eastAsia" w:ascii="宋体" w:hAnsi="宋体" w:eastAsia="宋体" w:cs="宋体"/>
                <w:color w:val="auto"/>
                <w:sz w:val="21"/>
                <w:szCs w:val="21"/>
                <w:highlight w:val="none"/>
                <w:lang w:val="en-US" w:eastAsia="zh-CN"/>
              </w:rPr>
            </w:pPr>
          </w:p>
        </w:tc>
        <w:tc>
          <w:tcPr>
            <w:tcW w:w="604" w:type="dxa"/>
            <w:vAlign w:val="center"/>
          </w:tcPr>
          <w:p w14:paraId="1821FFBF">
            <w:pPr>
              <w:spacing w:line="240" w:lineRule="auto"/>
              <w:jc w:val="center"/>
              <w:rPr>
                <w:rFonts w:hint="eastAsia" w:ascii="宋体" w:hAnsi="宋体" w:eastAsia="宋体" w:cs="宋体"/>
                <w:color w:val="auto"/>
                <w:sz w:val="21"/>
                <w:szCs w:val="21"/>
                <w:highlight w:val="none"/>
              </w:rPr>
            </w:pPr>
          </w:p>
        </w:tc>
        <w:tc>
          <w:tcPr>
            <w:tcW w:w="592" w:type="dxa"/>
            <w:vAlign w:val="center"/>
          </w:tcPr>
          <w:p w14:paraId="66963696">
            <w:pPr>
              <w:spacing w:line="240" w:lineRule="auto"/>
              <w:jc w:val="center"/>
              <w:rPr>
                <w:rFonts w:hint="eastAsia" w:ascii="宋体" w:hAnsi="宋体" w:eastAsia="宋体" w:cs="宋体"/>
                <w:color w:val="auto"/>
                <w:sz w:val="21"/>
                <w:szCs w:val="21"/>
                <w:highlight w:val="none"/>
              </w:rPr>
            </w:pPr>
          </w:p>
        </w:tc>
        <w:tc>
          <w:tcPr>
            <w:tcW w:w="1173" w:type="dxa"/>
            <w:vAlign w:val="center"/>
          </w:tcPr>
          <w:p w14:paraId="546FA3BF">
            <w:pPr>
              <w:spacing w:line="240" w:lineRule="auto"/>
              <w:jc w:val="center"/>
              <w:rPr>
                <w:rFonts w:hint="eastAsia" w:ascii="宋体" w:hAnsi="宋体" w:eastAsia="宋体" w:cs="宋体"/>
                <w:color w:val="auto"/>
                <w:sz w:val="21"/>
                <w:szCs w:val="21"/>
                <w:highlight w:val="none"/>
              </w:rPr>
            </w:pPr>
          </w:p>
        </w:tc>
        <w:tc>
          <w:tcPr>
            <w:tcW w:w="1051" w:type="dxa"/>
            <w:vAlign w:val="center"/>
          </w:tcPr>
          <w:p w14:paraId="4FA840A6">
            <w:pPr>
              <w:spacing w:line="240" w:lineRule="auto"/>
              <w:jc w:val="center"/>
              <w:rPr>
                <w:rFonts w:hint="eastAsia" w:ascii="宋体" w:hAnsi="宋体" w:eastAsia="宋体" w:cs="宋体"/>
                <w:color w:val="auto"/>
                <w:sz w:val="21"/>
                <w:szCs w:val="21"/>
                <w:highlight w:val="none"/>
              </w:rPr>
            </w:pPr>
          </w:p>
        </w:tc>
        <w:tc>
          <w:tcPr>
            <w:tcW w:w="634" w:type="dxa"/>
            <w:vAlign w:val="center"/>
          </w:tcPr>
          <w:p w14:paraId="14344A84">
            <w:pPr>
              <w:spacing w:line="240" w:lineRule="auto"/>
              <w:jc w:val="center"/>
              <w:rPr>
                <w:rFonts w:hint="eastAsia" w:ascii="宋体" w:hAnsi="宋体" w:eastAsia="宋体" w:cs="宋体"/>
                <w:color w:val="auto"/>
                <w:sz w:val="21"/>
                <w:szCs w:val="21"/>
                <w:highlight w:val="none"/>
              </w:rPr>
            </w:pPr>
          </w:p>
        </w:tc>
      </w:tr>
      <w:tr w14:paraId="4D28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88" w:type="dxa"/>
            <w:vAlign w:val="center"/>
          </w:tcPr>
          <w:p w14:paraId="55EFDCE1">
            <w:pPr>
              <w:pStyle w:val="41"/>
              <w:spacing w:line="240" w:lineRule="auto"/>
              <w:jc w:val="center"/>
              <w:rPr>
                <w:rFonts w:hint="eastAsia" w:ascii="宋体" w:hAnsi="宋体" w:eastAsia="宋体" w:cs="宋体"/>
                <w:color w:val="auto"/>
                <w:sz w:val="21"/>
                <w:szCs w:val="21"/>
                <w:highlight w:val="none"/>
                <w:lang w:eastAsia="zh-CN"/>
              </w:rPr>
            </w:pPr>
          </w:p>
        </w:tc>
        <w:tc>
          <w:tcPr>
            <w:tcW w:w="1234" w:type="dxa"/>
            <w:vAlign w:val="center"/>
          </w:tcPr>
          <w:p w14:paraId="21E7C3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p>
        </w:tc>
        <w:tc>
          <w:tcPr>
            <w:tcW w:w="1026" w:type="dxa"/>
            <w:vAlign w:val="center"/>
          </w:tcPr>
          <w:p w14:paraId="65AB97C2">
            <w:pPr>
              <w:spacing w:line="240" w:lineRule="auto"/>
              <w:jc w:val="center"/>
              <w:rPr>
                <w:rFonts w:hint="eastAsia" w:ascii="宋体" w:hAnsi="宋体" w:eastAsia="宋体" w:cs="宋体"/>
                <w:color w:val="auto"/>
                <w:sz w:val="21"/>
                <w:szCs w:val="21"/>
                <w:highlight w:val="none"/>
              </w:rPr>
            </w:pPr>
          </w:p>
        </w:tc>
        <w:tc>
          <w:tcPr>
            <w:tcW w:w="654" w:type="dxa"/>
            <w:vAlign w:val="center"/>
          </w:tcPr>
          <w:p w14:paraId="44705C52">
            <w:pPr>
              <w:spacing w:line="240" w:lineRule="auto"/>
              <w:jc w:val="center"/>
              <w:rPr>
                <w:rFonts w:hint="eastAsia" w:ascii="宋体" w:hAnsi="宋体" w:eastAsia="宋体" w:cs="宋体"/>
                <w:color w:val="auto"/>
                <w:sz w:val="21"/>
                <w:szCs w:val="21"/>
                <w:highlight w:val="none"/>
                <w:lang w:val="en-US" w:eastAsia="zh-CN"/>
              </w:rPr>
            </w:pPr>
          </w:p>
        </w:tc>
        <w:tc>
          <w:tcPr>
            <w:tcW w:w="604" w:type="dxa"/>
            <w:vAlign w:val="center"/>
          </w:tcPr>
          <w:p w14:paraId="5DA1501D">
            <w:pPr>
              <w:spacing w:line="240" w:lineRule="auto"/>
              <w:jc w:val="center"/>
              <w:rPr>
                <w:rFonts w:hint="eastAsia" w:ascii="宋体" w:hAnsi="宋体" w:eastAsia="宋体" w:cs="宋体"/>
                <w:color w:val="auto"/>
                <w:sz w:val="21"/>
                <w:szCs w:val="21"/>
                <w:highlight w:val="none"/>
                <w:lang w:eastAsia="zh-CN"/>
              </w:rPr>
            </w:pPr>
          </w:p>
        </w:tc>
        <w:tc>
          <w:tcPr>
            <w:tcW w:w="592" w:type="dxa"/>
            <w:vAlign w:val="center"/>
          </w:tcPr>
          <w:p w14:paraId="35B59F47">
            <w:pPr>
              <w:spacing w:line="240" w:lineRule="auto"/>
              <w:jc w:val="center"/>
              <w:rPr>
                <w:rFonts w:hint="eastAsia" w:ascii="宋体" w:hAnsi="宋体" w:eastAsia="宋体" w:cs="宋体"/>
                <w:color w:val="auto"/>
                <w:sz w:val="21"/>
                <w:szCs w:val="21"/>
                <w:highlight w:val="none"/>
              </w:rPr>
            </w:pPr>
          </w:p>
        </w:tc>
        <w:tc>
          <w:tcPr>
            <w:tcW w:w="1173" w:type="dxa"/>
            <w:vAlign w:val="center"/>
          </w:tcPr>
          <w:p w14:paraId="5AE96E23">
            <w:pPr>
              <w:spacing w:line="240" w:lineRule="auto"/>
              <w:jc w:val="center"/>
              <w:rPr>
                <w:rFonts w:hint="eastAsia" w:ascii="宋体" w:hAnsi="宋体" w:eastAsia="宋体" w:cs="宋体"/>
                <w:color w:val="auto"/>
                <w:sz w:val="21"/>
                <w:szCs w:val="21"/>
                <w:highlight w:val="none"/>
              </w:rPr>
            </w:pPr>
          </w:p>
        </w:tc>
        <w:tc>
          <w:tcPr>
            <w:tcW w:w="1051" w:type="dxa"/>
            <w:vAlign w:val="center"/>
          </w:tcPr>
          <w:p w14:paraId="7ABB2AEA">
            <w:pPr>
              <w:spacing w:line="240" w:lineRule="auto"/>
              <w:jc w:val="center"/>
              <w:rPr>
                <w:rFonts w:hint="eastAsia" w:ascii="宋体" w:hAnsi="宋体" w:eastAsia="宋体" w:cs="宋体"/>
                <w:color w:val="auto"/>
                <w:sz w:val="21"/>
                <w:szCs w:val="21"/>
                <w:highlight w:val="none"/>
              </w:rPr>
            </w:pPr>
          </w:p>
        </w:tc>
        <w:tc>
          <w:tcPr>
            <w:tcW w:w="634" w:type="dxa"/>
            <w:vAlign w:val="center"/>
          </w:tcPr>
          <w:p w14:paraId="25F1769B">
            <w:pPr>
              <w:spacing w:line="240" w:lineRule="auto"/>
              <w:jc w:val="center"/>
              <w:rPr>
                <w:rFonts w:hint="eastAsia" w:ascii="宋体" w:hAnsi="宋体" w:eastAsia="宋体" w:cs="宋体"/>
                <w:color w:val="auto"/>
                <w:sz w:val="21"/>
                <w:szCs w:val="21"/>
                <w:highlight w:val="none"/>
              </w:rPr>
            </w:pPr>
          </w:p>
        </w:tc>
      </w:tr>
      <w:tr w14:paraId="0BF6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88" w:type="dxa"/>
            <w:vAlign w:val="center"/>
          </w:tcPr>
          <w:p w14:paraId="21A7681A">
            <w:pPr>
              <w:spacing w:line="240" w:lineRule="auto"/>
              <w:rPr>
                <w:rFonts w:hint="eastAsia" w:ascii="宋体" w:hAnsi="宋体" w:eastAsia="宋体" w:cs="宋体"/>
                <w:color w:val="auto"/>
                <w:sz w:val="21"/>
                <w:szCs w:val="21"/>
                <w:highlight w:val="none"/>
              </w:rPr>
            </w:pPr>
          </w:p>
        </w:tc>
        <w:tc>
          <w:tcPr>
            <w:tcW w:w="1234" w:type="dxa"/>
            <w:vAlign w:val="center"/>
          </w:tcPr>
          <w:p w14:paraId="5D618C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26" w:type="dxa"/>
            <w:vAlign w:val="center"/>
          </w:tcPr>
          <w:p w14:paraId="05BC3DFA">
            <w:pPr>
              <w:spacing w:line="240" w:lineRule="auto"/>
              <w:jc w:val="center"/>
              <w:rPr>
                <w:rFonts w:hint="eastAsia" w:ascii="宋体" w:hAnsi="宋体" w:eastAsia="宋体" w:cs="宋体"/>
                <w:color w:val="auto"/>
                <w:sz w:val="21"/>
                <w:szCs w:val="21"/>
                <w:highlight w:val="none"/>
              </w:rPr>
            </w:pPr>
          </w:p>
        </w:tc>
        <w:tc>
          <w:tcPr>
            <w:tcW w:w="654" w:type="dxa"/>
            <w:vAlign w:val="center"/>
          </w:tcPr>
          <w:p w14:paraId="4D0D774E">
            <w:pPr>
              <w:spacing w:line="240" w:lineRule="auto"/>
              <w:jc w:val="center"/>
              <w:rPr>
                <w:rFonts w:hint="eastAsia" w:ascii="宋体" w:hAnsi="宋体" w:eastAsia="宋体" w:cs="宋体"/>
                <w:color w:val="auto"/>
                <w:sz w:val="21"/>
                <w:szCs w:val="21"/>
                <w:highlight w:val="none"/>
              </w:rPr>
            </w:pPr>
          </w:p>
        </w:tc>
        <w:tc>
          <w:tcPr>
            <w:tcW w:w="604" w:type="dxa"/>
            <w:vAlign w:val="center"/>
          </w:tcPr>
          <w:p w14:paraId="0A0B7791">
            <w:pPr>
              <w:spacing w:line="240" w:lineRule="auto"/>
              <w:jc w:val="center"/>
              <w:rPr>
                <w:rFonts w:hint="eastAsia" w:ascii="宋体" w:hAnsi="宋体" w:eastAsia="宋体" w:cs="宋体"/>
                <w:color w:val="auto"/>
                <w:sz w:val="21"/>
                <w:szCs w:val="21"/>
                <w:highlight w:val="none"/>
              </w:rPr>
            </w:pPr>
          </w:p>
        </w:tc>
        <w:tc>
          <w:tcPr>
            <w:tcW w:w="592" w:type="dxa"/>
            <w:vAlign w:val="center"/>
          </w:tcPr>
          <w:p w14:paraId="3E281F82">
            <w:pPr>
              <w:spacing w:line="240" w:lineRule="auto"/>
              <w:jc w:val="center"/>
              <w:rPr>
                <w:rFonts w:hint="eastAsia" w:ascii="宋体" w:hAnsi="宋体" w:eastAsia="宋体" w:cs="宋体"/>
                <w:color w:val="auto"/>
                <w:sz w:val="21"/>
                <w:szCs w:val="21"/>
                <w:highlight w:val="none"/>
              </w:rPr>
            </w:pPr>
          </w:p>
        </w:tc>
        <w:tc>
          <w:tcPr>
            <w:tcW w:w="1173" w:type="dxa"/>
            <w:vAlign w:val="center"/>
          </w:tcPr>
          <w:p w14:paraId="6CAA0C69">
            <w:pPr>
              <w:spacing w:line="240" w:lineRule="auto"/>
              <w:jc w:val="center"/>
              <w:rPr>
                <w:rFonts w:hint="eastAsia" w:ascii="宋体" w:hAnsi="宋体" w:eastAsia="宋体" w:cs="宋体"/>
                <w:color w:val="auto"/>
                <w:sz w:val="21"/>
                <w:szCs w:val="21"/>
                <w:highlight w:val="none"/>
              </w:rPr>
            </w:pPr>
          </w:p>
        </w:tc>
        <w:tc>
          <w:tcPr>
            <w:tcW w:w="1051" w:type="dxa"/>
            <w:vAlign w:val="center"/>
          </w:tcPr>
          <w:p w14:paraId="6032C766">
            <w:pPr>
              <w:spacing w:line="240" w:lineRule="auto"/>
              <w:jc w:val="center"/>
              <w:rPr>
                <w:rFonts w:hint="eastAsia" w:ascii="宋体" w:hAnsi="宋体" w:eastAsia="宋体" w:cs="宋体"/>
                <w:color w:val="auto"/>
                <w:sz w:val="21"/>
                <w:szCs w:val="21"/>
                <w:highlight w:val="none"/>
              </w:rPr>
            </w:pPr>
          </w:p>
        </w:tc>
        <w:tc>
          <w:tcPr>
            <w:tcW w:w="634" w:type="dxa"/>
            <w:vAlign w:val="center"/>
          </w:tcPr>
          <w:p w14:paraId="52AABB15">
            <w:pPr>
              <w:spacing w:line="240" w:lineRule="auto"/>
              <w:jc w:val="center"/>
              <w:rPr>
                <w:rFonts w:hint="eastAsia" w:ascii="宋体" w:hAnsi="宋体" w:eastAsia="宋体" w:cs="宋体"/>
                <w:color w:val="auto"/>
                <w:sz w:val="21"/>
                <w:szCs w:val="21"/>
                <w:highlight w:val="none"/>
              </w:rPr>
            </w:pPr>
          </w:p>
        </w:tc>
      </w:tr>
      <w:tr w14:paraId="1502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7856" w:type="dxa"/>
            <w:gridSpan w:val="9"/>
            <w:vAlign w:val="center"/>
          </w:tcPr>
          <w:p w14:paraId="3BCDFC61">
            <w:pPr>
              <w:spacing w:line="240" w:lineRule="auto"/>
              <w:jc w:val="lef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报价</w:t>
            </w:r>
            <w:r>
              <w:rPr>
                <w:rFonts w:hint="eastAsia" w:ascii="宋体" w:hAnsi="宋体" w:eastAsia="宋体" w:cs="宋体"/>
                <w:b/>
                <w:bCs w:val="0"/>
                <w:color w:val="auto"/>
                <w:sz w:val="21"/>
                <w:szCs w:val="21"/>
                <w:highlight w:val="none"/>
              </w:rPr>
              <w:t>总</w:t>
            </w:r>
            <w:r>
              <w:rPr>
                <w:rFonts w:hint="eastAsia" w:ascii="宋体" w:hAnsi="宋体" w:cs="宋体"/>
                <w:b/>
                <w:bCs/>
                <w:color w:val="auto"/>
                <w:sz w:val="21"/>
                <w:szCs w:val="21"/>
                <w:highlight w:val="none"/>
                <w:lang w:val="en-US" w:eastAsia="zh-CN"/>
              </w:rPr>
              <w:t>合计</w:t>
            </w:r>
            <w:r>
              <w:rPr>
                <w:rFonts w:hint="eastAsia" w:ascii="宋体" w:hAnsi="宋体" w:eastAsia="宋体" w:cs="宋体"/>
                <w:b/>
                <w:bCs/>
                <w:color w:val="auto"/>
                <w:sz w:val="21"/>
                <w:szCs w:val="21"/>
                <w:highlight w:val="none"/>
              </w:rPr>
              <w:t>（人民币）：</w:t>
            </w:r>
          </w:p>
          <w:p w14:paraId="46019A7A">
            <w:pPr>
              <w:spacing w:line="24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大写</w:t>
            </w:r>
            <w:r>
              <w:rPr>
                <w:rFonts w:hint="eastAsia" w:ascii="宋体" w:hAnsi="宋体" w:cs="宋体"/>
                <w:b/>
                <w:bCs/>
                <w:color w:val="auto"/>
                <w:sz w:val="21"/>
                <w:szCs w:val="21"/>
                <w:highlight w:val="none"/>
                <w:lang w:eastAsia="zh-CN"/>
              </w:rPr>
              <w:t>：</w:t>
            </w:r>
          </w:p>
          <w:p w14:paraId="763274B2">
            <w:pPr>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小写</w:t>
            </w:r>
            <w:r>
              <w:rPr>
                <w:rFonts w:hint="eastAsia" w:ascii="宋体" w:hAnsi="宋体" w:cs="宋体"/>
                <w:b/>
                <w:bCs/>
                <w:color w:val="auto"/>
                <w:sz w:val="21"/>
                <w:szCs w:val="21"/>
                <w:highlight w:val="none"/>
                <w:lang w:eastAsia="zh-CN"/>
              </w:rPr>
              <w:t>：</w:t>
            </w:r>
          </w:p>
        </w:tc>
      </w:tr>
    </w:tbl>
    <w:p w14:paraId="03B65499">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10B2BBB">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14:paraId="493E7460">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10873765">
      <w:pPr>
        <w:spacing w:line="360" w:lineRule="auto"/>
        <w:ind w:left="435"/>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投标报价明细表所填内容按招标文件采购清单要求为准。如有漏报的，视同已包含在投标总价内或已作优惠处理。有重大缺项的将作无效标处理。</w:t>
      </w:r>
    </w:p>
    <w:p w14:paraId="36A81106">
      <w:pPr>
        <w:spacing w:line="360" w:lineRule="auto"/>
        <w:ind w:firstLine="420" w:firstLineChars="200"/>
        <w:rPr>
          <w:rFonts w:hint="eastAsia" w:ascii="宋体" w:hAnsi="宋体" w:eastAsia="宋体" w:cs="宋体"/>
          <w:color w:val="auto"/>
          <w:sz w:val="21"/>
          <w:szCs w:val="21"/>
          <w:highlight w:val="none"/>
        </w:rPr>
      </w:pPr>
    </w:p>
    <w:p w14:paraId="192D52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7181AB65">
      <w:pPr>
        <w:spacing w:line="360" w:lineRule="auto"/>
        <w:ind w:firstLine="435"/>
        <w:rPr>
          <w:rFonts w:hint="eastAsia" w:ascii="宋体" w:hAnsi="宋体" w:eastAsia="宋体" w:cs="宋体"/>
          <w:color w:val="auto"/>
          <w:sz w:val="21"/>
          <w:szCs w:val="21"/>
          <w:highlight w:val="none"/>
          <w:lang w:eastAsia="zh-CN"/>
        </w:rPr>
      </w:pPr>
    </w:p>
    <w:p w14:paraId="257AE59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F3F5174">
      <w:pPr>
        <w:spacing w:line="360" w:lineRule="auto"/>
        <w:ind w:firstLine="435"/>
        <w:rPr>
          <w:rFonts w:hint="eastAsia" w:ascii="宋体" w:hAnsi="宋体" w:eastAsia="宋体" w:cs="宋体"/>
          <w:color w:val="auto"/>
          <w:sz w:val="21"/>
          <w:szCs w:val="21"/>
          <w:highlight w:val="none"/>
        </w:rPr>
      </w:pPr>
    </w:p>
    <w:p w14:paraId="18F2E4C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B309D84">
      <w:pPr>
        <w:pStyle w:val="2"/>
        <w:jc w:val="both"/>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DF826D8-6E49-45A0-8518-459CB86E1A1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8243">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B0C21">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0A3B0C21">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9E88">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0FA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990FA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3B3B">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路桥区两个空气自动站（路桥中学站、金清气站）运维服务项目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5659">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2A956031"/>
    <w:multiLevelType w:val="multilevel"/>
    <w:tmpl w:val="2A956031"/>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8396C"/>
    <w:rsid w:val="003C6577"/>
    <w:rsid w:val="00532108"/>
    <w:rsid w:val="009224FE"/>
    <w:rsid w:val="009C6908"/>
    <w:rsid w:val="009E7B9B"/>
    <w:rsid w:val="00BE3149"/>
    <w:rsid w:val="00CB6297"/>
    <w:rsid w:val="00D27694"/>
    <w:rsid w:val="00DA0D7F"/>
    <w:rsid w:val="00E04ED8"/>
    <w:rsid w:val="00F72669"/>
    <w:rsid w:val="00FF74E6"/>
    <w:rsid w:val="0102588E"/>
    <w:rsid w:val="010C0A2D"/>
    <w:rsid w:val="01543382"/>
    <w:rsid w:val="016D4C32"/>
    <w:rsid w:val="01710365"/>
    <w:rsid w:val="017C3457"/>
    <w:rsid w:val="02033DFA"/>
    <w:rsid w:val="022A58C3"/>
    <w:rsid w:val="02380D19"/>
    <w:rsid w:val="0263032B"/>
    <w:rsid w:val="02640231"/>
    <w:rsid w:val="02B31C38"/>
    <w:rsid w:val="034877EC"/>
    <w:rsid w:val="03522419"/>
    <w:rsid w:val="039F7103"/>
    <w:rsid w:val="03D128D9"/>
    <w:rsid w:val="043B4C5B"/>
    <w:rsid w:val="043F7FC4"/>
    <w:rsid w:val="045A1A30"/>
    <w:rsid w:val="052A52EE"/>
    <w:rsid w:val="056F1060"/>
    <w:rsid w:val="059211F2"/>
    <w:rsid w:val="05D0546C"/>
    <w:rsid w:val="05E530D0"/>
    <w:rsid w:val="061934E9"/>
    <w:rsid w:val="06613F17"/>
    <w:rsid w:val="06672DE5"/>
    <w:rsid w:val="066E153A"/>
    <w:rsid w:val="068423A8"/>
    <w:rsid w:val="06C278B5"/>
    <w:rsid w:val="07077AE9"/>
    <w:rsid w:val="070D50D4"/>
    <w:rsid w:val="073A3E1D"/>
    <w:rsid w:val="073E1381"/>
    <w:rsid w:val="08390248"/>
    <w:rsid w:val="084A3762"/>
    <w:rsid w:val="08822F00"/>
    <w:rsid w:val="09061CDB"/>
    <w:rsid w:val="09125675"/>
    <w:rsid w:val="09273A00"/>
    <w:rsid w:val="09485D66"/>
    <w:rsid w:val="094B2DCA"/>
    <w:rsid w:val="09A4426F"/>
    <w:rsid w:val="09AC52D2"/>
    <w:rsid w:val="09AF0F46"/>
    <w:rsid w:val="09D451C6"/>
    <w:rsid w:val="09E03F7D"/>
    <w:rsid w:val="09F33DD0"/>
    <w:rsid w:val="09FA67D3"/>
    <w:rsid w:val="0A6F22B3"/>
    <w:rsid w:val="0A9D32AB"/>
    <w:rsid w:val="0AA00210"/>
    <w:rsid w:val="0AB17A25"/>
    <w:rsid w:val="0AB3259A"/>
    <w:rsid w:val="0AC0410C"/>
    <w:rsid w:val="0ADB7197"/>
    <w:rsid w:val="0AF64F0D"/>
    <w:rsid w:val="0BDA2FAB"/>
    <w:rsid w:val="0C3C5E3F"/>
    <w:rsid w:val="0CA644D6"/>
    <w:rsid w:val="0CD914B5"/>
    <w:rsid w:val="0D054E9E"/>
    <w:rsid w:val="0D1F4CD0"/>
    <w:rsid w:val="0D246F57"/>
    <w:rsid w:val="0D434630"/>
    <w:rsid w:val="0D4A420F"/>
    <w:rsid w:val="0D502FCF"/>
    <w:rsid w:val="0E197DBB"/>
    <w:rsid w:val="0E3A41D5"/>
    <w:rsid w:val="0E4017EB"/>
    <w:rsid w:val="0EAF6971"/>
    <w:rsid w:val="0F7E6199"/>
    <w:rsid w:val="0FA25D28"/>
    <w:rsid w:val="0FE74D1C"/>
    <w:rsid w:val="10452B67"/>
    <w:rsid w:val="104A554C"/>
    <w:rsid w:val="10637A13"/>
    <w:rsid w:val="10667FE4"/>
    <w:rsid w:val="109F2C30"/>
    <w:rsid w:val="111E31DC"/>
    <w:rsid w:val="11DC7C5B"/>
    <w:rsid w:val="121665CB"/>
    <w:rsid w:val="126161D4"/>
    <w:rsid w:val="1262442D"/>
    <w:rsid w:val="12EC03CE"/>
    <w:rsid w:val="12F17558"/>
    <w:rsid w:val="13685340"/>
    <w:rsid w:val="13927349"/>
    <w:rsid w:val="139E6C7D"/>
    <w:rsid w:val="13A1380F"/>
    <w:rsid w:val="13C133CE"/>
    <w:rsid w:val="13EE2C54"/>
    <w:rsid w:val="140034B3"/>
    <w:rsid w:val="145E4DF3"/>
    <w:rsid w:val="148836A9"/>
    <w:rsid w:val="14B84A16"/>
    <w:rsid w:val="14CC63C7"/>
    <w:rsid w:val="150712B5"/>
    <w:rsid w:val="1537321C"/>
    <w:rsid w:val="153A0A52"/>
    <w:rsid w:val="15782F5D"/>
    <w:rsid w:val="158E7346"/>
    <w:rsid w:val="15AE730C"/>
    <w:rsid w:val="15D11224"/>
    <w:rsid w:val="16337E88"/>
    <w:rsid w:val="16403DB7"/>
    <w:rsid w:val="167345BF"/>
    <w:rsid w:val="168339D9"/>
    <w:rsid w:val="16AD12BF"/>
    <w:rsid w:val="16EA1A18"/>
    <w:rsid w:val="171D6CDD"/>
    <w:rsid w:val="17461D47"/>
    <w:rsid w:val="178C784F"/>
    <w:rsid w:val="17906B8E"/>
    <w:rsid w:val="17B9072C"/>
    <w:rsid w:val="17D2330C"/>
    <w:rsid w:val="17F35B20"/>
    <w:rsid w:val="180F6B1A"/>
    <w:rsid w:val="18156985"/>
    <w:rsid w:val="188E3A9B"/>
    <w:rsid w:val="18BC198A"/>
    <w:rsid w:val="18D3201A"/>
    <w:rsid w:val="18E41055"/>
    <w:rsid w:val="193141C8"/>
    <w:rsid w:val="19BB266E"/>
    <w:rsid w:val="19BC3416"/>
    <w:rsid w:val="19CE3838"/>
    <w:rsid w:val="19E91112"/>
    <w:rsid w:val="1A247F20"/>
    <w:rsid w:val="1A6521FF"/>
    <w:rsid w:val="1A6B1E69"/>
    <w:rsid w:val="1AD81468"/>
    <w:rsid w:val="1AEA57F4"/>
    <w:rsid w:val="1B046FF5"/>
    <w:rsid w:val="1B4B17D0"/>
    <w:rsid w:val="1B4C2B0C"/>
    <w:rsid w:val="1B561DD8"/>
    <w:rsid w:val="1BCC21E4"/>
    <w:rsid w:val="1C136791"/>
    <w:rsid w:val="1C136AA7"/>
    <w:rsid w:val="1C272042"/>
    <w:rsid w:val="1C6D212E"/>
    <w:rsid w:val="1C752FA8"/>
    <w:rsid w:val="1C7E5C21"/>
    <w:rsid w:val="1CC61F19"/>
    <w:rsid w:val="1CCC7197"/>
    <w:rsid w:val="1CD24BDC"/>
    <w:rsid w:val="1CE74F29"/>
    <w:rsid w:val="1CEA5D13"/>
    <w:rsid w:val="1D465475"/>
    <w:rsid w:val="1DA83DED"/>
    <w:rsid w:val="1DAE4F9B"/>
    <w:rsid w:val="1DBA6EF1"/>
    <w:rsid w:val="1DD45AAC"/>
    <w:rsid w:val="1E204852"/>
    <w:rsid w:val="1E570222"/>
    <w:rsid w:val="1EB63606"/>
    <w:rsid w:val="1EF07297"/>
    <w:rsid w:val="1EFD737B"/>
    <w:rsid w:val="1F066139"/>
    <w:rsid w:val="1F136AA8"/>
    <w:rsid w:val="1F162724"/>
    <w:rsid w:val="1F323A94"/>
    <w:rsid w:val="1F3C5FFF"/>
    <w:rsid w:val="1F9A5FFD"/>
    <w:rsid w:val="20132BAC"/>
    <w:rsid w:val="201B5C14"/>
    <w:rsid w:val="201C7B31"/>
    <w:rsid w:val="204363AB"/>
    <w:rsid w:val="20484530"/>
    <w:rsid w:val="20914375"/>
    <w:rsid w:val="20931C4F"/>
    <w:rsid w:val="20B74641"/>
    <w:rsid w:val="20EA3839"/>
    <w:rsid w:val="20ED3C16"/>
    <w:rsid w:val="214E201A"/>
    <w:rsid w:val="21611D4D"/>
    <w:rsid w:val="218642E0"/>
    <w:rsid w:val="224700DF"/>
    <w:rsid w:val="22500B0D"/>
    <w:rsid w:val="228D26CE"/>
    <w:rsid w:val="22EB672F"/>
    <w:rsid w:val="22FB1684"/>
    <w:rsid w:val="2300638C"/>
    <w:rsid w:val="23494ECF"/>
    <w:rsid w:val="234E61BE"/>
    <w:rsid w:val="235558E1"/>
    <w:rsid w:val="237A5348"/>
    <w:rsid w:val="23C860B3"/>
    <w:rsid w:val="23D6517B"/>
    <w:rsid w:val="23D8012C"/>
    <w:rsid w:val="23FD5C1B"/>
    <w:rsid w:val="2421127C"/>
    <w:rsid w:val="242A1FE5"/>
    <w:rsid w:val="242B382A"/>
    <w:rsid w:val="243D07DB"/>
    <w:rsid w:val="244D0DE2"/>
    <w:rsid w:val="251C3771"/>
    <w:rsid w:val="256E58F7"/>
    <w:rsid w:val="257E2CDC"/>
    <w:rsid w:val="25A02F8E"/>
    <w:rsid w:val="25C5310A"/>
    <w:rsid w:val="25F57137"/>
    <w:rsid w:val="25F86609"/>
    <w:rsid w:val="260A73EB"/>
    <w:rsid w:val="26151D6C"/>
    <w:rsid w:val="261734BA"/>
    <w:rsid w:val="266C3097"/>
    <w:rsid w:val="27005B64"/>
    <w:rsid w:val="27453C23"/>
    <w:rsid w:val="27AD33F2"/>
    <w:rsid w:val="284346D3"/>
    <w:rsid w:val="286A05DF"/>
    <w:rsid w:val="28986D89"/>
    <w:rsid w:val="28C36E49"/>
    <w:rsid w:val="28DF5DEA"/>
    <w:rsid w:val="29265027"/>
    <w:rsid w:val="29341AF5"/>
    <w:rsid w:val="29AC1FD3"/>
    <w:rsid w:val="2A5728D1"/>
    <w:rsid w:val="2AAC0A4F"/>
    <w:rsid w:val="2AAD6003"/>
    <w:rsid w:val="2AEB56C0"/>
    <w:rsid w:val="2C7212B2"/>
    <w:rsid w:val="2CD71115"/>
    <w:rsid w:val="2CDD2C0B"/>
    <w:rsid w:val="2D1A7254"/>
    <w:rsid w:val="2D580808"/>
    <w:rsid w:val="2D684463"/>
    <w:rsid w:val="2DDC2106"/>
    <w:rsid w:val="2DF31F7F"/>
    <w:rsid w:val="2E7C11B7"/>
    <w:rsid w:val="2EAE40F8"/>
    <w:rsid w:val="2ED71E86"/>
    <w:rsid w:val="2ED77AD3"/>
    <w:rsid w:val="2EFA2366"/>
    <w:rsid w:val="2F6D7B0F"/>
    <w:rsid w:val="2F7B1BB4"/>
    <w:rsid w:val="2F994861"/>
    <w:rsid w:val="2FE808CB"/>
    <w:rsid w:val="301014CC"/>
    <w:rsid w:val="302D27B1"/>
    <w:rsid w:val="304A155B"/>
    <w:rsid w:val="305B02AF"/>
    <w:rsid w:val="309C68FD"/>
    <w:rsid w:val="30A970D6"/>
    <w:rsid w:val="30EB3632"/>
    <w:rsid w:val="30F36EDD"/>
    <w:rsid w:val="30FC739C"/>
    <w:rsid w:val="31200E86"/>
    <w:rsid w:val="314239BA"/>
    <w:rsid w:val="31605B7D"/>
    <w:rsid w:val="317E55D7"/>
    <w:rsid w:val="31C75BFC"/>
    <w:rsid w:val="323740AF"/>
    <w:rsid w:val="32555EB0"/>
    <w:rsid w:val="32B1065A"/>
    <w:rsid w:val="32BD7223"/>
    <w:rsid w:val="32E75CE4"/>
    <w:rsid w:val="32E94054"/>
    <w:rsid w:val="333C6176"/>
    <w:rsid w:val="33413EC8"/>
    <w:rsid w:val="334C40D6"/>
    <w:rsid w:val="335B1E76"/>
    <w:rsid w:val="33695E48"/>
    <w:rsid w:val="336A20D1"/>
    <w:rsid w:val="341964B7"/>
    <w:rsid w:val="342F5CDB"/>
    <w:rsid w:val="346924F4"/>
    <w:rsid w:val="34772ADD"/>
    <w:rsid w:val="34AB6E46"/>
    <w:rsid w:val="34E95E89"/>
    <w:rsid w:val="34EF0FC6"/>
    <w:rsid w:val="34F533CB"/>
    <w:rsid w:val="35173E74"/>
    <w:rsid w:val="36365E7F"/>
    <w:rsid w:val="365E6403"/>
    <w:rsid w:val="369542E2"/>
    <w:rsid w:val="36B44275"/>
    <w:rsid w:val="36B9188B"/>
    <w:rsid w:val="36D706BD"/>
    <w:rsid w:val="36F909D9"/>
    <w:rsid w:val="36FC614A"/>
    <w:rsid w:val="37046D54"/>
    <w:rsid w:val="370B658B"/>
    <w:rsid w:val="371B2546"/>
    <w:rsid w:val="371D1E1A"/>
    <w:rsid w:val="374657D5"/>
    <w:rsid w:val="375E3075"/>
    <w:rsid w:val="378C63E4"/>
    <w:rsid w:val="37A331A1"/>
    <w:rsid w:val="37C42B4F"/>
    <w:rsid w:val="37D96314"/>
    <w:rsid w:val="37EE586E"/>
    <w:rsid w:val="381C20D2"/>
    <w:rsid w:val="381F29DE"/>
    <w:rsid w:val="389654BC"/>
    <w:rsid w:val="389B23EA"/>
    <w:rsid w:val="39096AFA"/>
    <w:rsid w:val="395522EA"/>
    <w:rsid w:val="399A3BF6"/>
    <w:rsid w:val="399C5871"/>
    <w:rsid w:val="399E6C41"/>
    <w:rsid w:val="39DC7DD2"/>
    <w:rsid w:val="39E6508D"/>
    <w:rsid w:val="3A1B7C74"/>
    <w:rsid w:val="3A316D41"/>
    <w:rsid w:val="3A3C70CD"/>
    <w:rsid w:val="3A51077C"/>
    <w:rsid w:val="3A5C0EAC"/>
    <w:rsid w:val="3A666E97"/>
    <w:rsid w:val="3A7A6F1E"/>
    <w:rsid w:val="3ADE5E41"/>
    <w:rsid w:val="3B251BE5"/>
    <w:rsid w:val="3B5C629A"/>
    <w:rsid w:val="3B677B08"/>
    <w:rsid w:val="3B8A52A8"/>
    <w:rsid w:val="3BC431AC"/>
    <w:rsid w:val="3C3F0A85"/>
    <w:rsid w:val="3C553E04"/>
    <w:rsid w:val="3C736028"/>
    <w:rsid w:val="3C77021F"/>
    <w:rsid w:val="3C8B49F2"/>
    <w:rsid w:val="3D01159C"/>
    <w:rsid w:val="3D3103CE"/>
    <w:rsid w:val="3D385C00"/>
    <w:rsid w:val="3D5658AC"/>
    <w:rsid w:val="3DB159B2"/>
    <w:rsid w:val="3E327925"/>
    <w:rsid w:val="3E41042A"/>
    <w:rsid w:val="3E6972FC"/>
    <w:rsid w:val="3F012022"/>
    <w:rsid w:val="3F786788"/>
    <w:rsid w:val="3F833648"/>
    <w:rsid w:val="3F95513E"/>
    <w:rsid w:val="3FA13A8C"/>
    <w:rsid w:val="3FC01318"/>
    <w:rsid w:val="402C7485"/>
    <w:rsid w:val="4033575D"/>
    <w:rsid w:val="409C6EC9"/>
    <w:rsid w:val="40CB0B39"/>
    <w:rsid w:val="40ED6D01"/>
    <w:rsid w:val="41401527"/>
    <w:rsid w:val="41656E5F"/>
    <w:rsid w:val="41862D01"/>
    <w:rsid w:val="41BD0482"/>
    <w:rsid w:val="41BF069E"/>
    <w:rsid w:val="41C77552"/>
    <w:rsid w:val="427256D6"/>
    <w:rsid w:val="427B20EB"/>
    <w:rsid w:val="4290203A"/>
    <w:rsid w:val="42AD1E40"/>
    <w:rsid w:val="42C341BE"/>
    <w:rsid w:val="42D31F27"/>
    <w:rsid w:val="42E37D80"/>
    <w:rsid w:val="431E5B9D"/>
    <w:rsid w:val="434C2833"/>
    <w:rsid w:val="4364349F"/>
    <w:rsid w:val="439F6551"/>
    <w:rsid w:val="43C62693"/>
    <w:rsid w:val="44157670"/>
    <w:rsid w:val="44337C1C"/>
    <w:rsid w:val="44511355"/>
    <w:rsid w:val="45682593"/>
    <w:rsid w:val="45B72D08"/>
    <w:rsid w:val="45DC44DD"/>
    <w:rsid w:val="46423C94"/>
    <w:rsid w:val="464B7B02"/>
    <w:rsid w:val="46615B41"/>
    <w:rsid w:val="469874C5"/>
    <w:rsid w:val="46D23042"/>
    <w:rsid w:val="46FE661A"/>
    <w:rsid w:val="476C394E"/>
    <w:rsid w:val="477535AD"/>
    <w:rsid w:val="479B382F"/>
    <w:rsid w:val="47B71E17"/>
    <w:rsid w:val="47C11F07"/>
    <w:rsid w:val="47E6400B"/>
    <w:rsid w:val="481E3C44"/>
    <w:rsid w:val="48296995"/>
    <w:rsid w:val="483E4246"/>
    <w:rsid w:val="48C04CFB"/>
    <w:rsid w:val="492223DF"/>
    <w:rsid w:val="49246D1C"/>
    <w:rsid w:val="49352EED"/>
    <w:rsid w:val="496F3A60"/>
    <w:rsid w:val="499E328F"/>
    <w:rsid w:val="49C600F0"/>
    <w:rsid w:val="4A4275CD"/>
    <w:rsid w:val="4AEB2504"/>
    <w:rsid w:val="4AFA62A3"/>
    <w:rsid w:val="4B010AAB"/>
    <w:rsid w:val="4B261513"/>
    <w:rsid w:val="4B386DCB"/>
    <w:rsid w:val="4B5945B2"/>
    <w:rsid w:val="4B7A5F9F"/>
    <w:rsid w:val="4B905E28"/>
    <w:rsid w:val="4B9A7A86"/>
    <w:rsid w:val="4BFD7FF6"/>
    <w:rsid w:val="4C021E5C"/>
    <w:rsid w:val="4C2C66EC"/>
    <w:rsid w:val="4C5F1AE8"/>
    <w:rsid w:val="4C90746A"/>
    <w:rsid w:val="4C9246AB"/>
    <w:rsid w:val="4CB80AD8"/>
    <w:rsid w:val="4CF72E0A"/>
    <w:rsid w:val="4D8E7176"/>
    <w:rsid w:val="4DA3030E"/>
    <w:rsid w:val="4DFA74A7"/>
    <w:rsid w:val="4E164181"/>
    <w:rsid w:val="4E197388"/>
    <w:rsid w:val="4E2F2707"/>
    <w:rsid w:val="4E3623E0"/>
    <w:rsid w:val="4E4B537E"/>
    <w:rsid w:val="4E5B174E"/>
    <w:rsid w:val="4E7D040D"/>
    <w:rsid w:val="4EC8101E"/>
    <w:rsid w:val="4EF20F2C"/>
    <w:rsid w:val="4F5529C8"/>
    <w:rsid w:val="4F691791"/>
    <w:rsid w:val="4F751FDB"/>
    <w:rsid w:val="4FB210D0"/>
    <w:rsid w:val="4FBE2675"/>
    <w:rsid w:val="4FCF0F45"/>
    <w:rsid w:val="4FDD1AD8"/>
    <w:rsid w:val="4FEA4EBC"/>
    <w:rsid w:val="50A90E28"/>
    <w:rsid w:val="50B769E4"/>
    <w:rsid w:val="50C35389"/>
    <w:rsid w:val="50C51FED"/>
    <w:rsid w:val="511E22CF"/>
    <w:rsid w:val="512F48CB"/>
    <w:rsid w:val="51376036"/>
    <w:rsid w:val="515049BB"/>
    <w:rsid w:val="519E60FA"/>
    <w:rsid w:val="51AD35D6"/>
    <w:rsid w:val="51B42C71"/>
    <w:rsid w:val="51E8290B"/>
    <w:rsid w:val="51F438E6"/>
    <w:rsid w:val="52103381"/>
    <w:rsid w:val="5223437A"/>
    <w:rsid w:val="526C2350"/>
    <w:rsid w:val="526E7576"/>
    <w:rsid w:val="528C51B2"/>
    <w:rsid w:val="52981B2E"/>
    <w:rsid w:val="52F86ED5"/>
    <w:rsid w:val="536270DB"/>
    <w:rsid w:val="538418DC"/>
    <w:rsid w:val="53863019"/>
    <w:rsid w:val="539063B7"/>
    <w:rsid w:val="53F51CFD"/>
    <w:rsid w:val="54102FDB"/>
    <w:rsid w:val="54206A1C"/>
    <w:rsid w:val="54B81D16"/>
    <w:rsid w:val="54C142D5"/>
    <w:rsid w:val="54CF56D2"/>
    <w:rsid w:val="5542113A"/>
    <w:rsid w:val="558D13EF"/>
    <w:rsid w:val="55937A20"/>
    <w:rsid w:val="5595761A"/>
    <w:rsid w:val="55B6370E"/>
    <w:rsid w:val="55CC6F7E"/>
    <w:rsid w:val="55D200E5"/>
    <w:rsid w:val="56075D18"/>
    <w:rsid w:val="5647442E"/>
    <w:rsid w:val="566A1031"/>
    <w:rsid w:val="567459BC"/>
    <w:rsid w:val="56B54AEA"/>
    <w:rsid w:val="57106E4E"/>
    <w:rsid w:val="576854F7"/>
    <w:rsid w:val="579D2DD8"/>
    <w:rsid w:val="57D12A81"/>
    <w:rsid w:val="5801790F"/>
    <w:rsid w:val="580B08CE"/>
    <w:rsid w:val="588A09D2"/>
    <w:rsid w:val="58DC1FC7"/>
    <w:rsid w:val="58E32A6C"/>
    <w:rsid w:val="591B677F"/>
    <w:rsid w:val="593E7CA2"/>
    <w:rsid w:val="59584D94"/>
    <w:rsid w:val="597C7AA7"/>
    <w:rsid w:val="599A005E"/>
    <w:rsid w:val="59BB1174"/>
    <w:rsid w:val="59BD2FCE"/>
    <w:rsid w:val="59C00238"/>
    <w:rsid w:val="59C53F20"/>
    <w:rsid w:val="59C606AB"/>
    <w:rsid w:val="59ED2925"/>
    <w:rsid w:val="5A201958"/>
    <w:rsid w:val="5A2118E4"/>
    <w:rsid w:val="5A37717F"/>
    <w:rsid w:val="5A3A2B60"/>
    <w:rsid w:val="5AC14482"/>
    <w:rsid w:val="5AF75321"/>
    <w:rsid w:val="5BA133F4"/>
    <w:rsid w:val="5BA26C0E"/>
    <w:rsid w:val="5BA8701B"/>
    <w:rsid w:val="5BB23588"/>
    <w:rsid w:val="5BE74D1C"/>
    <w:rsid w:val="5C314E44"/>
    <w:rsid w:val="5C3929D6"/>
    <w:rsid w:val="5C4952BB"/>
    <w:rsid w:val="5C891B7C"/>
    <w:rsid w:val="5CA00684"/>
    <w:rsid w:val="5CC35C70"/>
    <w:rsid w:val="5CE43B5B"/>
    <w:rsid w:val="5CE95AC7"/>
    <w:rsid w:val="5D5A52C7"/>
    <w:rsid w:val="5D634E68"/>
    <w:rsid w:val="5D9B1B67"/>
    <w:rsid w:val="5DF26102"/>
    <w:rsid w:val="5DF46DFF"/>
    <w:rsid w:val="5E056FE1"/>
    <w:rsid w:val="5E256F86"/>
    <w:rsid w:val="5E482992"/>
    <w:rsid w:val="5E657EEE"/>
    <w:rsid w:val="5E802598"/>
    <w:rsid w:val="5EAE5955"/>
    <w:rsid w:val="5EC17F8C"/>
    <w:rsid w:val="5FE071C5"/>
    <w:rsid w:val="601B6DA8"/>
    <w:rsid w:val="60306A6C"/>
    <w:rsid w:val="60484F6C"/>
    <w:rsid w:val="60500C77"/>
    <w:rsid w:val="60545FFD"/>
    <w:rsid w:val="60600E46"/>
    <w:rsid w:val="60F31CBA"/>
    <w:rsid w:val="615F3AC8"/>
    <w:rsid w:val="617F2279"/>
    <w:rsid w:val="618020D7"/>
    <w:rsid w:val="618B776B"/>
    <w:rsid w:val="61914A31"/>
    <w:rsid w:val="61CC6311"/>
    <w:rsid w:val="623936FD"/>
    <w:rsid w:val="62902BCA"/>
    <w:rsid w:val="62FC079C"/>
    <w:rsid w:val="632A6ABD"/>
    <w:rsid w:val="635464EA"/>
    <w:rsid w:val="63757197"/>
    <w:rsid w:val="6394251A"/>
    <w:rsid w:val="63971026"/>
    <w:rsid w:val="639C03D4"/>
    <w:rsid w:val="644D7933"/>
    <w:rsid w:val="64A11290"/>
    <w:rsid w:val="652B6918"/>
    <w:rsid w:val="65323CE2"/>
    <w:rsid w:val="65382034"/>
    <w:rsid w:val="65483AA2"/>
    <w:rsid w:val="658E0D43"/>
    <w:rsid w:val="65EA56BD"/>
    <w:rsid w:val="65F41BCF"/>
    <w:rsid w:val="66146E24"/>
    <w:rsid w:val="664E3797"/>
    <w:rsid w:val="66950943"/>
    <w:rsid w:val="66966875"/>
    <w:rsid w:val="66C11F13"/>
    <w:rsid w:val="66CB7ADA"/>
    <w:rsid w:val="66E62AEE"/>
    <w:rsid w:val="6780592A"/>
    <w:rsid w:val="67BF6058"/>
    <w:rsid w:val="67CE326A"/>
    <w:rsid w:val="680A383B"/>
    <w:rsid w:val="681744E0"/>
    <w:rsid w:val="682D4741"/>
    <w:rsid w:val="68A5736D"/>
    <w:rsid w:val="68B97345"/>
    <w:rsid w:val="68E24AEE"/>
    <w:rsid w:val="691C1682"/>
    <w:rsid w:val="69703D8E"/>
    <w:rsid w:val="69B12226"/>
    <w:rsid w:val="69BE19BE"/>
    <w:rsid w:val="69CE698B"/>
    <w:rsid w:val="69DC4C80"/>
    <w:rsid w:val="6A0000E9"/>
    <w:rsid w:val="6A341737"/>
    <w:rsid w:val="6A4200C0"/>
    <w:rsid w:val="6A9339B7"/>
    <w:rsid w:val="6AD211AF"/>
    <w:rsid w:val="6AE51C6E"/>
    <w:rsid w:val="6B0242A5"/>
    <w:rsid w:val="6B413622"/>
    <w:rsid w:val="6B5443A9"/>
    <w:rsid w:val="6BAC4F3F"/>
    <w:rsid w:val="6BD8530C"/>
    <w:rsid w:val="6BF04046"/>
    <w:rsid w:val="6C0528A2"/>
    <w:rsid w:val="6C0C3C30"/>
    <w:rsid w:val="6C5A2BED"/>
    <w:rsid w:val="6C745C65"/>
    <w:rsid w:val="6C813304"/>
    <w:rsid w:val="6C837317"/>
    <w:rsid w:val="6C8847AD"/>
    <w:rsid w:val="6CE12804"/>
    <w:rsid w:val="6D17288C"/>
    <w:rsid w:val="6D535F8B"/>
    <w:rsid w:val="6D643BB1"/>
    <w:rsid w:val="6D910891"/>
    <w:rsid w:val="6DA724FC"/>
    <w:rsid w:val="6DAD2DBE"/>
    <w:rsid w:val="6EAC69F0"/>
    <w:rsid w:val="6EDC1FE0"/>
    <w:rsid w:val="6F101C89"/>
    <w:rsid w:val="6F490CF7"/>
    <w:rsid w:val="6F4E1CC9"/>
    <w:rsid w:val="6F52577A"/>
    <w:rsid w:val="6FA462B1"/>
    <w:rsid w:val="6FB1521A"/>
    <w:rsid w:val="6FB47993"/>
    <w:rsid w:val="6FE83475"/>
    <w:rsid w:val="6FF66596"/>
    <w:rsid w:val="70871368"/>
    <w:rsid w:val="70C3769A"/>
    <w:rsid w:val="70D7550E"/>
    <w:rsid w:val="70F25A78"/>
    <w:rsid w:val="713056CE"/>
    <w:rsid w:val="71674C51"/>
    <w:rsid w:val="71AE45E7"/>
    <w:rsid w:val="71BE50D0"/>
    <w:rsid w:val="71CF3736"/>
    <w:rsid w:val="71D23A68"/>
    <w:rsid w:val="71D7083C"/>
    <w:rsid w:val="71DF5AF3"/>
    <w:rsid w:val="71E76711"/>
    <w:rsid w:val="720C7DC2"/>
    <w:rsid w:val="72233A82"/>
    <w:rsid w:val="72A92AD7"/>
    <w:rsid w:val="72AF5315"/>
    <w:rsid w:val="72BD2EF7"/>
    <w:rsid w:val="730D6C0C"/>
    <w:rsid w:val="731A1328"/>
    <w:rsid w:val="732A1122"/>
    <w:rsid w:val="733D5103"/>
    <w:rsid w:val="73AC7AA8"/>
    <w:rsid w:val="73BA4C48"/>
    <w:rsid w:val="73C53042"/>
    <w:rsid w:val="73E66294"/>
    <w:rsid w:val="73EB3972"/>
    <w:rsid w:val="74116287"/>
    <w:rsid w:val="74212243"/>
    <w:rsid w:val="742D2858"/>
    <w:rsid w:val="745017E0"/>
    <w:rsid w:val="746D009F"/>
    <w:rsid w:val="748266FC"/>
    <w:rsid w:val="74831245"/>
    <w:rsid w:val="74980757"/>
    <w:rsid w:val="74AD3D02"/>
    <w:rsid w:val="7537199C"/>
    <w:rsid w:val="75750A98"/>
    <w:rsid w:val="75D44605"/>
    <w:rsid w:val="75D9118A"/>
    <w:rsid w:val="760C3834"/>
    <w:rsid w:val="764861AD"/>
    <w:rsid w:val="766703E1"/>
    <w:rsid w:val="767D593D"/>
    <w:rsid w:val="76877194"/>
    <w:rsid w:val="76AE24B4"/>
    <w:rsid w:val="76CA0970"/>
    <w:rsid w:val="76E605BF"/>
    <w:rsid w:val="76F105F2"/>
    <w:rsid w:val="770A7D21"/>
    <w:rsid w:val="772C5186"/>
    <w:rsid w:val="775546DD"/>
    <w:rsid w:val="77B04017"/>
    <w:rsid w:val="78153E6C"/>
    <w:rsid w:val="78493FEE"/>
    <w:rsid w:val="784A08E0"/>
    <w:rsid w:val="784B4BDC"/>
    <w:rsid w:val="78B928CA"/>
    <w:rsid w:val="78BA7D06"/>
    <w:rsid w:val="78C57641"/>
    <w:rsid w:val="78E41C51"/>
    <w:rsid w:val="78FB2A1D"/>
    <w:rsid w:val="792F71B0"/>
    <w:rsid w:val="79845717"/>
    <w:rsid w:val="79B969C0"/>
    <w:rsid w:val="79BC6343"/>
    <w:rsid w:val="79CA6D11"/>
    <w:rsid w:val="79E635AB"/>
    <w:rsid w:val="79F75F20"/>
    <w:rsid w:val="79F97C93"/>
    <w:rsid w:val="7A58452D"/>
    <w:rsid w:val="7A747570"/>
    <w:rsid w:val="7A8A0DB7"/>
    <w:rsid w:val="7AA977A4"/>
    <w:rsid w:val="7AC57DCC"/>
    <w:rsid w:val="7B1C0594"/>
    <w:rsid w:val="7B1D1782"/>
    <w:rsid w:val="7B376CA9"/>
    <w:rsid w:val="7B4038F6"/>
    <w:rsid w:val="7B447CBA"/>
    <w:rsid w:val="7B9A3798"/>
    <w:rsid w:val="7B9C62A6"/>
    <w:rsid w:val="7BAA7A6F"/>
    <w:rsid w:val="7BE0203C"/>
    <w:rsid w:val="7BEB0099"/>
    <w:rsid w:val="7BF662EE"/>
    <w:rsid w:val="7C4F57E3"/>
    <w:rsid w:val="7C5E0D86"/>
    <w:rsid w:val="7C990BC1"/>
    <w:rsid w:val="7CD150F6"/>
    <w:rsid w:val="7D0F3580"/>
    <w:rsid w:val="7D230DDA"/>
    <w:rsid w:val="7DB2535B"/>
    <w:rsid w:val="7DBD0412"/>
    <w:rsid w:val="7E1A3F8B"/>
    <w:rsid w:val="7E2131B9"/>
    <w:rsid w:val="7E2458E7"/>
    <w:rsid w:val="7E4E7602"/>
    <w:rsid w:val="7E597CCB"/>
    <w:rsid w:val="7E7F4754"/>
    <w:rsid w:val="7EE54599"/>
    <w:rsid w:val="7F2A644F"/>
    <w:rsid w:val="7F401BED"/>
    <w:rsid w:val="7F825F97"/>
    <w:rsid w:val="7FA86F47"/>
    <w:rsid w:val="7FA878DA"/>
    <w:rsid w:val="7FD0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1"/>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Indent"/>
    <w:basedOn w:val="1"/>
    <w:next w:val="1"/>
    <w:link w:val="32"/>
    <w:autoRedefine/>
    <w:qFormat/>
    <w:uiPriority w:val="99"/>
    <w:pPr>
      <w:spacing w:after="120"/>
      <w:ind w:left="420" w:leftChars="200"/>
    </w:pPr>
  </w:style>
  <w:style w:type="paragraph" w:styleId="9">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0">
    <w:name w:val="Plain Text"/>
    <w:basedOn w:val="1"/>
    <w:next w:val="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3"/>
    <w:autoRedefine/>
    <w:semiHidden/>
    <w:unhideWhenUsed/>
    <w:qFormat/>
    <w:uiPriority w:val="99"/>
    <w:rPr>
      <w:sz w:val="18"/>
      <w:szCs w:val="18"/>
    </w:rPr>
  </w:style>
  <w:style w:type="paragraph" w:styleId="13">
    <w:name w:val="footer"/>
    <w:basedOn w:val="1"/>
    <w:link w:val="30"/>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toc 6"/>
    <w:basedOn w:val="1"/>
    <w:next w:val="1"/>
    <w:unhideWhenUsed/>
    <w:qFormat/>
    <w:uiPriority w:val="39"/>
    <w:pPr>
      <w:ind w:left="2100" w:leftChars="1000"/>
    </w:p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Body Text First Indent 2"/>
    <w:basedOn w:val="8"/>
    <w:autoRedefine/>
    <w:qFormat/>
    <w:uiPriority w:val="0"/>
    <w:pPr>
      <w:ind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rFonts w:ascii="Tahoma" w:hAnsi="Tahoma" w:cs="Tahoma"/>
      <w:b/>
      <w:sz w:val="24"/>
    </w:rPr>
  </w:style>
  <w:style w:type="character" w:styleId="25">
    <w:name w:val="page number"/>
    <w:basedOn w:val="23"/>
    <w:autoRedefine/>
    <w:qFormat/>
    <w:uiPriority w:val="0"/>
  </w:style>
  <w:style w:type="character" w:styleId="26">
    <w:name w:val="Hyperlink"/>
    <w:autoRedefine/>
    <w:unhideWhenUsed/>
    <w:qFormat/>
    <w:uiPriority w:val="0"/>
    <w:rPr>
      <w:color w:val="0000FF"/>
      <w:u w:val="single"/>
    </w:rPr>
  </w:style>
  <w:style w:type="paragraph" w:customStyle="1" w:styleId="27">
    <w:name w:val="[Normal]"/>
    <w:autoRedefine/>
    <w:qFormat/>
    <w:uiPriority w:val="0"/>
    <w:rPr>
      <w:rFonts w:ascii="宋体" w:hAnsi="宋体" w:eastAsia="宋体" w:cs="Times New Roman"/>
      <w:sz w:val="24"/>
      <w:szCs w:val="22"/>
      <w:lang w:val="zh-CN" w:eastAsia="zh-CN" w:bidi="ar-SA"/>
    </w:rPr>
  </w:style>
  <w:style w:type="paragraph" w:customStyle="1" w:styleId="28">
    <w:name w:val="正文首行缩进1"/>
    <w:basedOn w:val="2"/>
    <w:autoRedefine/>
    <w:qFormat/>
    <w:uiPriority w:val="0"/>
    <w:pPr>
      <w:ind w:firstLine="420" w:firstLineChars="100"/>
    </w:pPr>
  </w:style>
  <w:style w:type="character" w:customStyle="1" w:styleId="29">
    <w:name w:val="页眉 Char"/>
    <w:basedOn w:val="23"/>
    <w:link w:val="14"/>
    <w:autoRedefine/>
    <w:semiHidden/>
    <w:qFormat/>
    <w:uiPriority w:val="99"/>
    <w:rPr>
      <w:sz w:val="18"/>
      <w:szCs w:val="18"/>
    </w:rPr>
  </w:style>
  <w:style w:type="character" w:customStyle="1" w:styleId="30">
    <w:name w:val="页脚 Char"/>
    <w:basedOn w:val="23"/>
    <w:link w:val="13"/>
    <w:autoRedefine/>
    <w:semiHidden/>
    <w:qFormat/>
    <w:uiPriority w:val="99"/>
    <w:rPr>
      <w:sz w:val="18"/>
      <w:szCs w:val="18"/>
    </w:rPr>
  </w:style>
  <w:style w:type="character" w:customStyle="1" w:styleId="31">
    <w:name w:val="正文文本 Char"/>
    <w:basedOn w:val="23"/>
    <w:link w:val="2"/>
    <w:autoRedefine/>
    <w:semiHidden/>
    <w:qFormat/>
    <w:uiPriority w:val="99"/>
    <w:rPr>
      <w:rFonts w:ascii="Times New Roman" w:hAnsi="Times New Roman" w:eastAsia="宋体" w:cs="Times New Roman"/>
      <w:szCs w:val="24"/>
    </w:rPr>
  </w:style>
  <w:style w:type="character" w:customStyle="1" w:styleId="32">
    <w:name w:val="正文文本缩进 Char"/>
    <w:basedOn w:val="23"/>
    <w:link w:val="8"/>
    <w:autoRedefine/>
    <w:qFormat/>
    <w:uiPriority w:val="99"/>
    <w:rPr>
      <w:rFonts w:ascii="Times New Roman" w:hAnsi="Times New Roman" w:eastAsia="宋体" w:cs="Times New Roman"/>
      <w:szCs w:val="24"/>
    </w:rPr>
  </w:style>
  <w:style w:type="character" w:customStyle="1" w:styleId="33">
    <w:name w:val="批注框文本 Char"/>
    <w:basedOn w:val="23"/>
    <w:link w:val="12"/>
    <w:autoRedefine/>
    <w:semiHidden/>
    <w:qFormat/>
    <w:uiPriority w:val="99"/>
    <w:rPr>
      <w:rFonts w:ascii="Times New Roman" w:hAnsi="Times New Roman" w:eastAsia="宋体" w:cs="Times New Roman"/>
      <w:sz w:val="18"/>
      <w:szCs w:val="18"/>
    </w:rPr>
  </w:style>
  <w:style w:type="character" w:customStyle="1" w:styleId="34">
    <w:name w:val="无"/>
    <w:autoRedefine/>
    <w:qFormat/>
    <w:uiPriority w:val="99"/>
  </w:style>
  <w:style w:type="paragraph" w:customStyle="1" w:styleId="35">
    <w:name w:val="表格文字"/>
    <w:basedOn w:val="1"/>
    <w:next w:val="2"/>
    <w:autoRedefine/>
    <w:qFormat/>
    <w:uiPriority w:val="99"/>
    <w:pPr>
      <w:adjustRightInd w:val="0"/>
      <w:spacing w:line="420" w:lineRule="atLeast"/>
      <w:jc w:val="left"/>
      <w:textAlignment w:val="baseline"/>
    </w:pPr>
    <w:rPr>
      <w:kern w:val="0"/>
    </w:rPr>
  </w:style>
  <w:style w:type="paragraph" w:customStyle="1" w:styleId="36">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autoRedefine/>
    <w:qFormat/>
    <w:uiPriority w:val="99"/>
    <w:rPr>
      <w:rFonts w:ascii="Times New Roman" w:hAnsi="Times New Roman" w:eastAsia="宋体" w:cs="Times New Roman"/>
      <w:sz w:val="21"/>
      <w:szCs w:val="22"/>
      <w:lang w:val="en-US" w:eastAsia="zh-CN" w:bidi="ar-SA"/>
    </w:rPr>
  </w:style>
  <w:style w:type="paragraph" w:customStyle="1" w:styleId="41">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autoRedefine/>
    <w:qFormat/>
    <w:uiPriority w:val="99"/>
    <w:pPr>
      <w:widowControl/>
      <w:jc w:val="left"/>
    </w:pPr>
    <w:rPr>
      <w:rFonts w:ascii="宋体" w:hAnsi="Courier New"/>
      <w:szCs w:val="21"/>
    </w:rPr>
  </w:style>
  <w:style w:type="paragraph" w:customStyle="1" w:styleId="45">
    <w:name w:val="纯文本_0_1"/>
    <w:basedOn w:val="1"/>
    <w:autoRedefine/>
    <w:qFormat/>
    <w:uiPriority w:val="99"/>
    <w:pPr>
      <w:widowControl/>
      <w:jc w:val="left"/>
    </w:pPr>
    <w:rPr>
      <w:rFonts w:ascii="宋体" w:hAnsi="Courier New"/>
      <w:szCs w:val="21"/>
    </w:rPr>
  </w:style>
  <w:style w:type="paragraph" w:customStyle="1" w:styleId="4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1">
    <w:name w:val="p0"/>
    <w:basedOn w:val="1"/>
    <w:autoRedefine/>
    <w:qFormat/>
    <w:uiPriority w:val="0"/>
    <w:pPr>
      <w:widowControl/>
    </w:pPr>
    <w:rPr>
      <w:rFonts w:ascii="Calibri" w:hAnsi="Calibri" w:cs="宋体"/>
      <w:kern w:val="0"/>
      <w:szCs w:val="21"/>
    </w:rPr>
  </w:style>
  <w:style w:type="paragraph" w:styleId="52">
    <w:name w:val="List Paragraph"/>
    <w:basedOn w:val="1"/>
    <w:autoRedefine/>
    <w:qFormat/>
    <w:uiPriority w:val="0"/>
    <w:pPr>
      <w:ind w:firstLine="420" w:firstLineChars="200"/>
    </w:pPr>
    <w:rPr>
      <w:szCs w:val="24"/>
    </w:rPr>
  </w:style>
  <w:style w:type="paragraph" w:customStyle="1" w:styleId="53">
    <w:name w:val="纯文本1"/>
    <w:basedOn w:val="50"/>
    <w:autoRedefine/>
    <w:qFormat/>
    <w:uiPriority w:val="0"/>
    <w:pPr>
      <w:widowControl/>
      <w:jc w:val="left"/>
    </w:pPr>
    <w:rPr>
      <w:rFonts w:ascii="宋体" w:hAnsi="Courier New"/>
      <w:szCs w:val="20"/>
    </w:rPr>
  </w:style>
  <w:style w:type="paragraph" w:customStyle="1" w:styleId="54">
    <w:name w:val="正文（首行缩进2字符）"/>
    <w:basedOn w:val="1"/>
    <w:autoRedefine/>
    <w:qFormat/>
    <w:uiPriority w:val="0"/>
    <w:pPr>
      <w:ind w:firstLine="480" w:firstLineChars="200"/>
    </w:pPr>
    <w:rPr>
      <w:sz w:val="24"/>
      <w:szCs w:val="20"/>
    </w:rPr>
  </w:style>
  <w:style w:type="character" w:customStyle="1" w:styleId="55">
    <w:name w:val="NormalCharacter"/>
    <w:link w:val="56"/>
    <w:autoRedefine/>
    <w:semiHidden/>
    <w:qFormat/>
    <w:uiPriority w:val="0"/>
    <w:rPr>
      <w:rFonts w:ascii="黑体" w:eastAsia="黑体"/>
      <w:kern w:val="0"/>
      <w:sz w:val="24"/>
    </w:rPr>
  </w:style>
  <w:style w:type="paragraph" w:customStyle="1" w:styleId="56">
    <w:name w:val="UserStyle_23"/>
    <w:basedOn w:val="1"/>
    <w:link w:val="55"/>
    <w:qFormat/>
    <w:uiPriority w:val="0"/>
    <w:pPr>
      <w:textAlignment w:val="baseline"/>
    </w:pPr>
    <w:rPr>
      <w:rFonts w:ascii="黑体" w:eastAsia="黑体"/>
      <w:kern w:val="0"/>
      <w:sz w:val="24"/>
    </w:rPr>
  </w:style>
  <w:style w:type="paragraph" w:customStyle="1" w:styleId="57">
    <w:name w:val="正文2"/>
    <w:basedOn w:val="1"/>
    <w:autoRedefine/>
    <w:qFormat/>
    <w:uiPriority w:val="0"/>
    <w:pPr>
      <w:spacing w:before="156" w:line="360" w:lineRule="auto"/>
      <w:ind w:firstLine="510" w:firstLineChars="200"/>
    </w:pPr>
    <w:rPr>
      <w:sz w:val="24"/>
      <w:szCs w:val="20"/>
    </w:rPr>
  </w:style>
  <w:style w:type="paragraph" w:customStyle="1" w:styleId="58">
    <w:name w:val="标题1"/>
    <w:basedOn w:val="50"/>
    <w:next w:val="50"/>
    <w:qFormat/>
    <w:uiPriority w:val="1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19151</Words>
  <Characters>20748</Characters>
  <Lines>1</Lines>
  <Paragraphs>1</Paragraphs>
  <TotalTime>2</TotalTime>
  <ScaleCrop>false</ScaleCrop>
  <LinksUpToDate>false</LinksUpToDate>
  <CharactersWithSpaces>20830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2024-12-13T08:17:35Z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DA1CD6B5C06C40BAAA37778D06A695E4_13</vt:lpwstr>
  </property>
  <property fmtid="{D5CDD505-2E9C-101B-9397-08002B2CF9AE}" pid="4" name="commondata">
    <vt:lpwstr>eyJoZGlkIjoiNmNiNWQzMTIyZDkyNWQ5MzYxMmQ5MTE1ZmU3YjE0M2QifQ==</vt:lpwstr>
  </property>
</Properties>
</file>