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环境监控中心设备续保及视频会议系统运维服务项目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9"/>
              <w:widowControl/>
              <w:spacing w:line="360" w:lineRule="atLeast"/>
              <w:ind w:firstLine="960" w:firstLineChars="400"/>
              <w:rPr>
                <w:rFonts w:ascii="宋体" w:hAnsi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</w:rPr>
              <w:t>TZYY-2405-009号</w:t>
            </w:r>
            <w:bookmarkStart w:id="0" w:name="_GoBack"/>
            <w:bookmarkEnd w:id="0"/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2302EE"/>
    <w:rsid w:val="25F6514B"/>
    <w:rsid w:val="286143A5"/>
    <w:rsid w:val="28AD49A0"/>
    <w:rsid w:val="28B34796"/>
    <w:rsid w:val="2AC3072F"/>
    <w:rsid w:val="2B3012EB"/>
    <w:rsid w:val="2B413784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qFormat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63</Characters>
  <Lines>2</Lines>
  <Paragraphs>1</Paragraphs>
  <TotalTime>0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周正辉</cp:lastModifiedBy>
  <cp:lastPrinted>2019-08-27T11:39:00Z</cp:lastPrinted>
  <dcterms:modified xsi:type="dcterms:W3CDTF">2024-05-24T03:31:05Z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59CBBA07A6154D1F92C4DAC75C8CA853_13</vt:lpwstr>
  </property>
</Properties>
</file>