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outlineLvl w:val="0"/>
        <w:rPr>
          <w:rFonts w:ascii="仿宋" w:hAnsi="仿宋" w:eastAsia="仿宋" w:cs="仿宋"/>
          <w:b/>
          <w:bCs/>
          <w:kern w:val="0"/>
          <w:sz w:val="36"/>
          <w:szCs w:val="36"/>
        </w:rPr>
      </w:pPr>
    </w:p>
    <w:p>
      <w:pPr>
        <w:tabs>
          <w:tab w:val="left" w:pos="720"/>
        </w:tabs>
        <w:jc w:val="center"/>
        <w:outlineLvl w:val="0"/>
        <w:rPr>
          <w:rFonts w:ascii="仿宋" w:hAnsi="仿宋" w:eastAsia="仿宋" w:cs="仿宋"/>
          <w:b/>
          <w:bCs/>
          <w:kern w:val="0"/>
          <w:sz w:val="36"/>
          <w:szCs w:val="36"/>
        </w:rPr>
      </w:pPr>
    </w:p>
    <w:p>
      <w:pPr>
        <w:pStyle w:val="20"/>
      </w:pPr>
    </w:p>
    <w:p>
      <w:pPr>
        <w:tabs>
          <w:tab w:val="left" w:pos="720"/>
        </w:tabs>
        <w:jc w:val="center"/>
        <w:outlineLvl w:val="0"/>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临海市供水有限公司供水范围管网延伸加压泵站运维服务采购</w:t>
      </w:r>
    </w:p>
    <w:p>
      <w:pPr>
        <w:tabs>
          <w:tab w:val="left" w:pos="720"/>
          <w:tab w:val="left" w:pos="2160"/>
          <w:tab w:val="left" w:pos="2880"/>
          <w:tab w:val="left" w:pos="3600"/>
          <w:tab w:val="left" w:pos="4320"/>
          <w:tab w:val="left" w:pos="5040"/>
          <w:tab w:val="left" w:pos="5760"/>
        </w:tabs>
        <w:autoSpaceDE w:val="0"/>
        <w:autoSpaceDN w:val="0"/>
        <w:adjustRightInd w:val="0"/>
        <w:spacing w:line="340" w:lineRule="atLeast"/>
        <w:ind w:right="924"/>
        <w:rPr>
          <w:rFonts w:asciiTheme="minorEastAsia" w:hAnsiTheme="minorEastAsia" w:eastAsiaTheme="minorEastAsia" w:cstheme="minorEastAsia"/>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340" w:lineRule="atLeast"/>
        <w:ind w:left="540" w:right="924" w:firstLine="355"/>
        <w:jc w:val="center"/>
        <w:rPr>
          <w:rFonts w:asciiTheme="minorEastAsia" w:hAnsiTheme="minorEastAsia" w:eastAsiaTheme="minorEastAsia" w:cstheme="minorEastAsia"/>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40" w:lineRule="atLeast"/>
        <w:ind w:left="540" w:right="924" w:firstLine="355"/>
        <w:jc w:val="center"/>
        <w:rPr>
          <w:rFonts w:asciiTheme="minorEastAsia" w:hAnsiTheme="minorEastAsia" w:eastAsiaTheme="minorEastAsia" w:cstheme="minorEastAsia"/>
          <w:b/>
          <w:kern w:val="0"/>
          <w:sz w:val="52"/>
          <w:szCs w:val="52"/>
        </w:rPr>
      </w:pPr>
      <w:r>
        <w:rPr>
          <w:rFonts w:hint="eastAsia" w:asciiTheme="minorEastAsia" w:hAnsiTheme="minorEastAsia" w:eastAsiaTheme="minorEastAsia" w:cstheme="minorEastAsia"/>
          <w:b/>
          <w:kern w:val="0"/>
          <w:sz w:val="52"/>
          <w:szCs w:val="52"/>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asciiTheme="minorEastAsia" w:hAnsiTheme="minorEastAsia" w:eastAsiaTheme="minorEastAsia" w:cstheme="minorEastAsia"/>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43" w:firstLineChars="200"/>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 xml:space="preserve">项目编号：ZJXD-XECG2024-22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asciiTheme="minorEastAsia" w:hAnsiTheme="minorEastAsia" w:eastAsiaTheme="minorEastAsia" w:cstheme="minorEastAsia"/>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asciiTheme="minorEastAsia" w:hAnsiTheme="minorEastAsia" w:eastAsiaTheme="minorEastAsia" w:cstheme="minorEastAsia"/>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firstLine="1120" w:firstLineChars="400"/>
        <w:rPr>
          <w:rFonts w:asciiTheme="minorEastAsia" w:hAnsiTheme="minorEastAsia" w:eastAsiaTheme="minorEastAsia" w:cstheme="minorEastAsia"/>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center"/>
        <w:rPr>
          <w:rFonts w:asciiTheme="minorEastAsia" w:hAnsiTheme="minorEastAsia" w:eastAsiaTheme="minorEastAsia" w:cstheme="minorEastAsia"/>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center"/>
        <w:rPr>
          <w:rFonts w:asciiTheme="minorEastAsia" w:hAnsiTheme="minorEastAsia" w:eastAsiaTheme="minorEastAsia" w:cstheme="minorEastAsia"/>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center"/>
        <w:rPr>
          <w:rFonts w:asciiTheme="minorEastAsia" w:hAnsiTheme="minorEastAsia" w:eastAsiaTheme="minorEastAsia" w:cstheme="minorEastAsia"/>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firstLine="1400" w:firstLineChars="5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采 购 人：</w:t>
      </w:r>
      <w:r>
        <w:rPr>
          <w:rFonts w:hint="eastAsia" w:eastAsiaTheme="minorEastAsia"/>
          <w:sz w:val="28"/>
          <w:szCs w:val="28"/>
        </w:rPr>
        <w:t>临海市供水有限公司</w:t>
      </w:r>
      <w:r>
        <w:rPr>
          <w:rFonts w:hint="eastAsia" w:asciiTheme="minorEastAsia" w:hAnsiTheme="minorEastAsia" w:eastAsiaTheme="minorEastAsia" w:cstheme="minorEastAsia"/>
          <w:kern w:val="0"/>
          <w:sz w:val="28"/>
          <w:szCs w:val="28"/>
        </w:rPr>
        <w:t>（盖章）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1800" w:firstLine="600" w:firstLineChars="200"/>
        <w:jc w:val="left"/>
        <w:rPr>
          <w:rFonts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1800"/>
        <w:jc w:val="left"/>
        <w:rPr>
          <w:rFonts w:asciiTheme="minorEastAsia" w:hAnsiTheme="minorEastAsia" w:eastAsiaTheme="minorEastAsia" w:cstheme="minorEastAsia"/>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1800"/>
        <w:rPr>
          <w:rFonts w:asciiTheme="minorEastAsia" w:hAnsiTheme="minorEastAsia" w:eastAsiaTheme="minorEastAsia" w:cstheme="minorEastAsia"/>
          <w:kern w:val="0"/>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jc w:val="center"/>
        <w:rPr>
          <w:rFonts w:asciiTheme="minorEastAsia" w:hAnsiTheme="minorEastAsia" w:eastAsiaTheme="minorEastAsia" w:cstheme="minorEastAsia"/>
          <w:kern w:val="0"/>
          <w:sz w:val="30"/>
          <w:szCs w:val="30"/>
        </w:rPr>
      </w:pPr>
    </w:p>
    <w:p>
      <w:pPr>
        <w:tabs>
          <w:tab w:val="left" w:pos="720"/>
        </w:tabs>
        <w:jc w:val="center"/>
        <w:outlineLvl w:val="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采购代理机构：浙江信达工程咨询有限公司（盖章）</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560" w:firstLineChars="200"/>
        <w:jc w:val="center"/>
        <w:rPr>
          <w:rFonts w:asciiTheme="minorEastAsia" w:hAnsiTheme="minorEastAsia" w:eastAsiaTheme="minorEastAsia" w:cstheme="minorEastAsia"/>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2240" w:firstLineChars="800"/>
        <w:rPr>
          <w:rFonts w:asciiTheme="minorEastAsia" w:hAnsiTheme="minorEastAsia" w:eastAsiaTheme="minorEastAsia" w:cstheme="minorEastAsia"/>
          <w:kern w:val="0"/>
          <w:sz w:val="28"/>
          <w:szCs w:val="28"/>
        </w:rPr>
      </w:pPr>
    </w:p>
    <w:p>
      <w:pPr>
        <w:pStyle w:val="2"/>
        <w:rPr>
          <w:rFonts w:asciiTheme="minorEastAsia" w:hAnsiTheme="minorEastAsia" w:eastAsiaTheme="minorEastAsia" w:cstheme="minorEastAsia"/>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2240" w:firstLineChars="800"/>
        <w:rPr>
          <w:rFonts w:asciiTheme="minorEastAsia" w:hAnsiTheme="minorEastAsia" w:eastAsiaTheme="minorEastAsia" w:cstheme="minorEastAsia"/>
          <w:kern w:val="0"/>
          <w:sz w:val="28"/>
          <w:szCs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2240" w:firstLineChars="800"/>
        <w:rPr>
          <w:rFonts w:asciiTheme="minorEastAsia" w:hAnsiTheme="minorEastAsia" w:eastAsiaTheme="minorEastAsia" w:cstheme="minorEastAsia"/>
          <w:sz w:val="44"/>
          <w:szCs w:val="44"/>
        </w:rPr>
        <w:sectPr>
          <w:headerReference r:id="rId3" w:type="default"/>
          <w:pgSz w:w="11906" w:h="16838"/>
          <w:pgMar w:top="680" w:right="1418" w:bottom="680" w:left="1418" w:header="567" w:footer="471" w:gutter="0"/>
          <w:pgNumType w:start="1"/>
          <w:cols w:space="720" w:num="1"/>
        </w:sectPr>
      </w:pPr>
      <w:r>
        <w:rPr>
          <w:rFonts w:hint="eastAsia" w:asciiTheme="minorEastAsia" w:hAnsiTheme="minorEastAsia" w:eastAsiaTheme="minorEastAsia" w:cstheme="minorEastAsia"/>
          <w:kern w:val="0"/>
          <w:sz w:val="28"/>
          <w:szCs w:val="28"/>
        </w:rPr>
        <w:t>2024年</w:t>
      </w:r>
      <w:r>
        <w:rPr>
          <w:rFonts w:hint="eastAsia" w:asciiTheme="minorEastAsia" w:hAnsiTheme="minorEastAsia" w:eastAsia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月</w:t>
      </w:r>
    </w:p>
    <w:p>
      <w:pPr>
        <w:pStyle w:val="30"/>
        <w:pageBreakBefore/>
        <w:spacing w:beforeLines="0" w:afterLines="0" w:line="360" w:lineRule="auto"/>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目    录</w:t>
      </w:r>
    </w:p>
    <w:p>
      <w:pPr>
        <w:pStyle w:val="37"/>
        <w:tabs>
          <w:tab w:val="left" w:pos="6120"/>
        </w:tabs>
        <w:spacing w:line="480" w:lineRule="auto"/>
        <w:rPr>
          <w:rFonts w:asciiTheme="minorEastAsia" w:hAnsiTheme="minorEastAsia" w:eastAsiaTheme="minorEastAsia" w:cstheme="minorEastAsia"/>
          <w:b/>
          <w:sz w:val="28"/>
          <w:szCs w:val="28"/>
        </w:rPr>
      </w:pPr>
    </w:p>
    <w:p>
      <w:pPr>
        <w:pStyle w:val="37"/>
        <w:tabs>
          <w:tab w:val="left" w:pos="6120"/>
        </w:tabs>
        <w:spacing w:line="48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ab/>
      </w:r>
    </w:p>
    <w:p>
      <w:pPr>
        <w:pStyle w:val="37"/>
        <w:tabs>
          <w:tab w:val="right" w:leader="dot" w:pos="8730"/>
        </w:tabs>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fldChar w:fldCharType="begin"/>
      </w:r>
      <w:r>
        <w:instrText xml:space="preserve"> HYPERLINK \l "_Toc14571" </w:instrText>
      </w:r>
      <w:r>
        <w:fldChar w:fldCharType="separate"/>
      </w:r>
      <w:r>
        <w:rPr>
          <w:rFonts w:hint="eastAsia" w:asciiTheme="minorEastAsia" w:hAnsiTheme="minorEastAsia" w:eastAsiaTheme="minorEastAsia" w:cstheme="minorEastAsia"/>
          <w:sz w:val="24"/>
        </w:rPr>
        <w:t>第一章  投标邀请</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_Toc14571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"_Toc2467" </w:instrText>
      </w:r>
      <w:r>
        <w:fldChar w:fldCharType="separate"/>
      </w:r>
      <w:r>
        <w:rPr>
          <w:rFonts w:hint="eastAsia" w:asciiTheme="minorEastAsia" w:hAnsiTheme="minorEastAsia" w:eastAsiaTheme="minorEastAsia" w:cstheme="minorEastAsia"/>
          <w:sz w:val="24"/>
        </w:rPr>
        <w:t>第二章  招标需求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"_Toc21811" </w:instrText>
      </w:r>
      <w:r>
        <w:fldChar w:fldCharType="separate"/>
      </w:r>
      <w:r>
        <w:rPr>
          <w:rFonts w:hint="eastAsia" w:asciiTheme="minorEastAsia" w:hAnsiTheme="minorEastAsia" w:eastAsiaTheme="minorEastAsia" w:cstheme="minorEastAsia"/>
          <w:sz w:val="24"/>
        </w:rPr>
        <w:t>第三章  投标人须知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_Toc21811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"_Toc25225" </w:instrText>
      </w:r>
      <w:r>
        <w:fldChar w:fldCharType="separate"/>
      </w:r>
      <w:r>
        <w:rPr>
          <w:rFonts w:hint="eastAsia" w:asciiTheme="minorEastAsia" w:hAnsiTheme="minorEastAsia" w:eastAsiaTheme="minorEastAsia" w:cstheme="minorEastAsia"/>
          <w:sz w:val="24"/>
        </w:rPr>
        <w:t>第四章  评标办法及评分标准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_Toc25225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"_Toc12005" </w:instrText>
      </w:r>
      <w:r>
        <w:fldChar w:fldCharType="separate"/>
      </w:r>
      <w:r>
        <w:rPr>
          <w:rFonts w:hint="eastAsia" w:asciiTheme="minorEastAsia" w:hAnsiTheme="minorEastAsia" w:eastAsiaTheme="minorEastAsia" w:cstheme="minorEastAsia"/>
          <w:sz w:val="24"/>
        </w:rPr>
        <w:t>第五章  合同主要条款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_Toc12005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"_Toc24427" </w:instrText>
      </w:r>
      <w:r>
        <w:fldChar w:fldCharType="separate"/>
      </w:r>
      <w:r>
        <w:rPr>
          <w:rFonts w:hint="eastAsia" w:asciiTheme="minorEastAsia" w:hAnsiTheme="minorEastAsia" w:eastAsiaTheme="minorEastAsia" w:cstheme="minorEastAsia"/>
          <w:sz w:val="24"/>
        </w:rPr>
        <w:t>第六章　投标文件格式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_Toc24427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3"/>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"_Toc29949" </w:instrText>
      </w:r>
      <w:r>
        <w:fldChar w:fldCharType="separate"/>
      </w:r>
      <w:r>
        <w:rPr>
          <w:rFonts w:hint="eastAsia" w:asciiTheme="minorEastAsia" w:hAnsiTheme="minorEastAsia" w:eastAsiaTheme="minorEastAsia" w:cstheme="minorEastAsia"/>
          <w:bCs/>
          <w:sz w:val="24"/>
        </w:rPr>
        <w:t>一、资格响应文件格式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_Toc29949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3"/>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"_Toc18185" </w:instrText>
      </w:r>
      <w:r>
        <w:fldChar w:fldCharType="separate"/>
      </w:r>
      <w:r>
        <w:rPr>
          <w:rFonts w:hint="eastAsia" w:asciiTheme="minorEastAsia" w:hAnsiTheme="minorEastAsia" w:eastAsiaTheme="minorEastAsia" w:cstheme="minorEastAsia"/>
          <w:bCs/>
          <w:sz w:val="24"/>
        </w:rPr>
        <w:t>二、商务技术文件格式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_Toc18185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3"/>
        <w:tabs>
          <w:tab w:val="right" w:leader="dot" w:pos="8730"/>
        </w:tabs>
        <w:spacing w:line="480" w:lineRule="auto"/>
        <w:rPr>
          <w:rFonts w:asciiTheme="minorEastAsia" w:hAnsiTheme="minorEastAsia" w:eastAsiaTheme="minorEastAsia" w:cstheme="minorEastAsia"/>
          <w:sz w:val="24"/>
        </w:rPr>
      </w:pPr>
      <w:r>
        <w:fldChar w:fldCharType="begin"/>
      </w:r>
      <w:r>
        <w:instrText xml:space="preserve"> HYPERLINK \l "_Toc16395" </w:instrText>
      </w:r>
      <w:r>
        <w:fldChar w:fldCharType="separate"/>
      </w:r>
      <w:r>
        <w:rPr>
          <w:rFonts w:hint="eastAsia" w:asciiTheme="minorEastAsia" w:hAnsiTheme="minorEastAsia" w:eastAsiaTheme="minorEastAsia" w:cstheme="minorEastAsia"/>
          <w:sz w:val="24"/>
        </w:rPr>
        <w:t>三、报价文件格式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_Toc16395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46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spacing w:line="48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4"/>
        </w:rPr>
        <w:fldChar w:fldCharType="end"/>
      </w:r>
    </w:p>
    <w:p>
      <w:pPr>
        <w:pStyle w:val="30"/>
        <w:snapToGrid w:val="0"/>
        <w:spacing w:beforeLines="0" w:afterLines="0" w:line="240" w:lineRule="auto"/>
        <w:jc w:val="center"/>
        <w:outlineLvl w:val="0"/>
        <w:rPr>
          <w:rFonts w:asciiTheme="minorEastAsia" w:hAnsiTheme="minorEastAsia" w:eastAsiaTheme="minorEastAsia" w:cstheme="minorEastAsia"/>
          <w:b/>
          <w:sz w:val="30"/>
          <w:szCs w:val="30"/>
        </w:rPr>
        <w:sectPr>
          <w:headerReference r:id="rId4" w:type="default"/>
          <w:footerReference r:id="rId5" w:type="default"/>
          <w:footerReference r:id="rId6" w:type="even"/>
          <w:pgSz w:w="11906" w:h="16838"/>
          <w:pgMar w:top="1021" w:right="1588" w:bottom="851" w:left="1588" w:header="567" w:footer="454" w:gutter="0"/>
          <w:cols w:space="720" w:num="1"/>
          <w:docGrid w:linePitch="286" w:charSpace="0"/>
        </w:sectPr>
      </w:pPr>
      <w:bookmarkStart w:id="0" w:name="_Toc466534747"/>
      <w:bookmarkStart w:id="1" w:name="_Toc25920"/>
    </w:p>
    <w:p>
      <w:pPr>
        <w:pStyle w:val="30"/>
        <w:snapToGrid w:val="0"/>
        <w:spacing w:beforeLines="0" w:afterLines="0" w:line="240" w:lineRule="auto"/>
        <w:jc w:val="center"/>
        <w:outlineLvl w:val="0"/>
        <w:rPr>
          <w:rFonts w:asciiTheme="minorEastAsia" w:hAnsiTheme="minorEastAsia" w:eastAsiaTheme="minorEastAsia" w:cstheme="minorEastAsia"/>
          <w:b/>
          <w:sz w:val="30"/>
          <w:szCs w:val="30"/>
        </w:rPr>
      </w:pPr>
      <w:bookmarkStart w:id="2" w:name="_Toc14571"/>
      <w:r>
        <w:rPr>
          <w:rFonts w:hint="eastAsia" w:asciiTheme="minorEastAsia" w:hAnsiTheme="minorEastAsia" w:eastAsiaTheme="minorEastAsia" w:cstheme="minorEastAsia"/>
          <w:b/>
          <w:sz w:val="30"/>
          <w:szCs w:val="30"/>
        </w:rPr>
        <w:t>第一章  投标邀请</w:t>
      </w:r>
      <w:bookmarkEnd w:id="0"/>
      <w:bookmarkEnd w:id="1"/>
      <w:bookmarkEnd w:id="2"/>
    </w:p>
    <w:p>
      <w:pPr>
        <w:spacing w:line="400" w:lineRule="exact"/>
        <w:ind w:firstLine="49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本项目为非政府采购项目，根据招标投标有关法律法规及招标人单位内控制度等规定</w:t>
      </w:r>
      <w:r>
        <w:rPr>
          <w:rFonts w:hint="eastAsia" w:asciiTheme="minorEastAsia" w:hAnsiTheme="minorEastAsia" w:eastAsiaTheme="minorEastAsia" w:cstheme="minorEastAsia"/>
          <w:sz w:val="24"/>
        </w:rPr>
        <w:t>，受</w:t>
      </w:r>
      <w:r>
        <w:rPr>
          <w:rFonts w:hint="eastAsia" w:asciiTheme="minorEastAsia" w:hAnsiTheme="minorEastAsia" w:eastAsiaTheme="minorEastAsia" w:cstheme="minorEastAsia"/>
          <w:b/>
          <w:bCs/>
          <w:sz w:val="24"/>
          <w:u w:val="single"/>
        </w:rPr>
        <w:t>临海市供水有限公司</w:t>
      </w:r>
      <w:r>
        <w:rPr>
          <w:rFonts w:hint="eastAsia" w:asciiTheme="minorEastAsia" w:hAnsiTheme="minorEastAsia" w:eastAsiaTheme="minorEastAsia" w:cstheme="minorEastAsia"/>
          <w:sz w:val="24"/>
        </w:rPr>
        <w:t>委托，参照采购有关流程，现就</w:t>
      </w:r>
      <w:r>
        <w:rPr>
          <w:rFonts w:hint="eastAsia" w:asciiTheme="minorEastAsia" w:hAnsiTheme="minorEastAsia" w:eastAsiaTheme="minorEastAsia" w:cstheme="minorEastAsia"/>
          <w:b/>
          <w:bCs/>
          <w:sz w:val="24"/>
          <w:u w:val="single"/>
        </w:rPr>
        <w:t>临海市供水有限公司供水范围管网延伸加压泵站运维服务采购</w:t>
      </w:r>
      <w:r>
        <w:rPr>
          <w:rFonts w:hint="eastAsia" w:asciiTheme="minorEastAsia" w:hAnsiTheme="minorEastAsia" w:eastAsiaTheme="minorEastAsia" w:cstheme="minorEastAsia"/>
          <w:b/>
          <w:sz w:val="24"/>
        </w:rPr>
        <w:t>采购</w:t>
      </w:r>
      <w:r>
        <w:rPr>
          <w:rFonts w:hint="eastAsia" w:asciiTheme="minorEastAsia" w:hAnsiTheme="minorEastAsia" w:eastAsiaTheme="minorEastAsia" w:cstheme="minorEastAsia"/>
          <w:sz w:val="24"/>
        </w:rPr>
        <w:t>进行公开招标，</w:t>
      </w:r>
      <w:r>
        <w:rPr>
          <w:rFonts w:hint="eastAsia" w:asciiTheme="minorEastAsia" w:hAnsiTheme="minorEastAsia" w:eastAsiaTheme="minorEastAsia" w:cstheme="minorEastAsia"/>
          <w:kern w:val="0"/>
          <w:sz w:val="24"/>
        </w:rPr>
        <w:t>欢迎具备本项目投标人的资格要求且能够及时提供相关货物及服务的投标人前来投标。</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项目概况</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项目名称：临海市供水有限公司供水范围管网延伸加压泵站运维服务采购 </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采购人：临海市供水有限公司 </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采购规模及内容概述：临海市范围管网延伸加压泵站运行维护管理服务采购（详见第二章招标需求）。</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r>
        <w:rPr>
          <w:rFonts w:hint="eastAsia" w:asciiTheme="minorEastAsia" w:hAnsiTheme="minorEastAsia" w:eastAsiaTheme="minorEastAsia" w:cstheme="minorEastAsia"/>
          <w:kern w:val="0"/>
          <w:sz w:val="24"/>
          <w:lang w:val="en-US" w:eastAsia="zh-CN"/>
        </w:rPr>
        <w:t>581666</w:t>
      </w:r>
      <w:r>
        <w:rPr>
          <w:rFonts w:hint="eastAsia" w:asciiTheme="minorEastAsia" w:hAnsiTheme="minorEastAsia" w:eastAsiaTheme="minorEastAsia" w:cstheme="minorEastAsia"/>
          <w:kern w:val="0"/>
          <w:sz w:val="24"/>
        </w:rPr>
        <w:t>元</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最高限价：</w:t>
      </w:r>
      <w:r>
        <w:rPr>
          <w:rFonts w:hint="eastAsia" w:asciiTheme="minorEastAsia" w:hAnsiTheme="minorEastAsia" w:eastAsiaTheme="minorEastAsia" w:cstheme="minorEastAsia"/>
          <w:kern w:val="0"/>
          <w:sz w:val="24"/>
          <w:lang w:val="en-US" w:eastAsia="zh-CN"/>
        </w:rPr>
        <w:t>581666</w:t>
      </w:r>
      <w:r>
        <w:rPr>
          <w:rFonts w:hint="eastAsia" w:asciiTheme="minorEastAsia" w:hAnsiTheme="minorEastAsia" w:eastAsiaTheme="minorEastAsia" w:cstheme="minorEastAsia"/>
          <w:kern w:val="0"/>
          <w:sz w:val="24"/>
        </w:rPr>
        <w:t>元</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采购组织类型：分散采购</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采购标段数：1</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采购方式：公开招标</w:t>
      </w:r>
    </w:p>
    <w:p>
      <w:pPr>
        <w:pStyle w:val="46"/>
        <w:spacing w:before="0" w:beforeAutospacing="0" w:after="0" w:afterAutospacing="0"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▲服务期：合同生效后，供应商在收到采购人发出的运维管理服务通知后满一年，具体时间以通知上载明的时间为准。</w:t>
      </w:r>
    </w:p>
    <w:p>
      <w:pPr>
        <w:pStyle w:val="46"/>
        <w:spacing w:before="0" w:beforeAutospacing="0" w:after="0" w:afterAutospacing="0"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采购文件公告期限：</w:t>
      </w:r>
      <w:r>
        <w:rPr>
          <w:rFonts w:hint="eastAsia" w:cs="宋体" w:eastAsiaTheme="minorEastAsia"/>
          <w:b/>
        </w:rPr>
        <w:t>5</w:t>
      </w:r>
      <w:r>
        <w:rPr>
          <w:rFonts w:hint="eastAsia" w:cs="宋体"/>
          <w:b/>
        </w:rPr>
        <w:t>个工作日</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该项目已具备条件，现对该项目进行公开招标。</w:t>
      </w:r>
      <w:bookmarkStart w:id="73" w:name="_GoBack"/>
      <w:bookmarkEnd w:id="73"/>
    </w:p>
    <w:p>
      <w:pPr>
        <w:spacing w:line="40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2.投标人资格要求</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（1）投标人具有独立的企业法人资格、独立承担民事责任能力且从事相关行业，能够满足本次采购项目所有要求和服务，相应的资质证明齐全；</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（2）投标人未被“信用中国”（www.creditchina.gov.cn）、中国政府采购网（www.ccgp.gov.cn）列入失信被执行人、税收违法黑名单、政府采购严重违法失信行为记录名单；</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（3）本项目不接受联合体投标。</w:t>
      </w:r>
    </w:p>
    <w:p>
      <w:pPr>
        <w:spacing w:line="40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3.报名</w:t>
      </w:r>
    </w:p>
    <w:p>
      <w:pPr>
        <w:spacing w:line="400" w:lineRule="exact"/>
        <w:rPr>
          <w:rFonts w:asciiTheme="minorEastAsia" w:hAnsiTheme="minorEastAsia" w:eastAsiaTheme="minorEastAsia" w:cstheme="minorEastAsia"/>
          <w:b/>
          <w:bCs/>
          <w:kern w:val="0"/>
          <w:sz w:val="24"/>
          <w:u w:val="single"/>
        </w:rPr>
      </w:pPr>
      <w:r>
        <w:rPr>
          <w:rFonts w:hint="eastAsia" w:asciiTheme="minorEastAsia" w:hAnsiTheme="minorEastAsia" w:eastAsiaTheme="minorEastAsia" w:cstheme="minorEastAsia"/>
          <w:b/>
          <w:bCs/>
          <w:kern w:val="0"/>
          <w:sz w:val="24"/>
          <w:u w:val="single"/>
        </w:rPr>
        <w:t>本项目无需报名，</w:t>
      </w:r>
      <w:bookmarkStart w:id="3" w:name="_Hlk59307647"/>
      <w:r>
        <w:rPr>
          <w:rFonts w:hint="eastAsia" w:asciiTheme="minorEastAsia" w:hAnsiTheme="minorEastAsia" w:eastAsiaTheme="minorEastAsia" w:cstheme="minorEastAsia"/>
          <w:b/>
          <w:bCs/>
          <w:kern w:val="0"/>
          <w:sz w:val="24"/>
          <w:u w:val="single"/>
        </w:rPr>
        <w:t>投标人须到临海市限额以下公共资源交易区域平台</w:t>
      </w:r>
    </w:p>
    <w:p>
      <w:pPr>
        <w:spacing w:line="400" w:lineRule="exact"/>
        <w:rPr>
          <w:rFonts w:asciiTheme="minorEastAsia" w:hAnsiTheme="minorEastAsia" w:eastAsiaTheme="minorEastAsia" w:cstheme="minorEastAsia"/>
          <w:b/>
          <w:bCs/>
          <w:kern w:val="0"/>
          <w:sz w:val="24"/>
          <w:u w:val="single"/>
        </w:rPr>
      </w:pPr>
      <w:r>
        <w:rPr>
          <w:rFonts w:hint="eastAsia" w:asciiTheme="minorEastAsia" w:hAnsiTheme="minorEastAsia" w:eastAsiaTheme="minorEastAsia" w:cstheme="minorEastAsia"/>
          <w:b/>
          <w:bCs/>
          <w:kern w:val="0"/>
          <w:sz w:val="24"/>
          <w:u w:val="single"/>
        </w:rPr>
        <w:t>（https://www.lhcqjy.com.cn/home）注册</w:t>
      </w:r>
      <w:bookmarkEnd w:id="3"/>
      <w:r>
        <w:rPr>
          <w:rFonts w:hint="eastAsia" w:asciiTheme="minorEastAsia" w:hAnsiTheme="minorEastAsia" w:eastAsiaTheme="minorEastAsia" w:cstheme="minorEastAsia"/>
          <w:b/>
          <w:bCs/>
          <w:kern w:val="0"/>
          <w:sz w:val="24"/>
          <w:u w:val="single"/>
        </w:rPr>
        <w:t>、提交审核通过后可参加投标，注册咨询联系人：梁工，联系电话：0576-85407095；</w:t>
      </w:r>
    </w:p>
    <w:p>
      <w:pPr>
        <w:spacing w:line="40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4.招标文件的获取</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采购文件售价：免费</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获取方式：凡有意参加投标者，在2024年</w:t>
      </w: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16</w:t>
      </w:r>
      <w:r>
        <w:rPr>
          <w:rFonts w:hint="eastAsia" w:asciiTheme="minorEastAsia" w:hAnsiTheme="minorEastAsia" w:eastAsiaTheme="minorEastAsia" w:cstheme="minorEastAsia"/>
          <w:bCs/>
          <w:sz w:val="24"/>
        </w:rPr>
        <w:t>日09时00分00秒前，到临海市限额以下公共资源交易区域平台可自行下载采购文件。</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招标文件答疑：</w:t>
      </w:r>
      <w:r>
        <w:rPr>
          <w:rFonts w:hint="eastAsia" w:asciiTheme="minorEastAsia" w:hAnsiTheme="minorEastAsia" w:eastAsiaTheme="minorEastAsia" w:cstheme="minorEastAsia"/>
          <w:b/>
        </w:rPr>
        <w:t>投标人对采购文件提出质疑的，应当在获取采购文件或者采购文件公告期限届满之日（公告期限届满后获取采购文件的，以公告期限届满之日为准）起</w:t>
      </w:r>
      <w:r>
        <w:rPr>
          <w:rFonts w:hint="eastAsia" w:asciiTheme="minorEastAsia" w:hAnsiTheme="minorEastAsia" w:eastAsiaTheme="minorEastAsia" w:cstheme="minorEastAsia"/>
          <w:b/>
          <w:u w:val="single"/>
        </w:rPr>
        <w:t>7</w:t>
      </w:r>
      <w:r>
        <w:rPr>
          <w:rFonts w:hint="eastAsia" w:asciiTheme="minorEastAsia" w:hAnsiTheme="minorEastAsia" w:eastAsiaTheme="minorEastAsia" w:cstheme="minorEastAsia"/>
          <w:b/>
        </w:rPr>
        <w:t>个工作日内提出，否则被质疑人可不予接受。</w:t>
      </w:r>
    </w:p>
    <w:p>
      <w:pPr>
        <w:pStyle w:val="46"/>
        <w:spacing w:before="0" w:beforeAutospacing="0" w:after="0" w:afterAutospacing="0"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
          <w:bCs/>
        </w:rPr>
        <w:t>5.投标保证金</w:t>
      </w: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本项目不收取投标保证金。</w:t>
      </w:r>
    </w:p>
    <w:p>
      <w:pPr>
        <w:spacing w:line="40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sz w:val="24"/>
        </w:rPr>
        <w:t>6</w:t>
      </w:r>
      <w:r>
        <w:rPr>
          <w:rFonts w:hint="eastAsia" w:asciiTheme="minorEastAsia" w:hAnsiTheme="minorEastAsia" w:eastAsiaTheme="minorEastAsia" w:cstheme="minorEastAsia"/>
          <w:b/>
          <w:bCs/>
          <w:kern w:val="0"/>
          <w:sz w:val="24"/>
        </w:rPr>
        <w:t>.投标说明</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（1）本项目实行电子投标，投标人应按照本项目招标文件求编制、加密并递交投标文件。投标人在使用系统进行投标的过程中遇到涉及平台使用的任何问题，可致电平台技术支持联系方式：15267291759。</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投标人通过临海市限额以下公共资源交易区域平台投标编制工具制作电子投标文件，投标编制工具请投标人自行前往临海市限额以下公共资源交易区域平台交易系统下载（https://tyrzzx.lhcqjy.com.cn/login），电子投标具体流程详见临海市限额以下公共资源交易区域平台-办事指南的操作说明。</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（3）投标人应在开标前完成CA数字证书办理。（办理流程详见临海市限额以下公共资源交易区域平台-办事指南的操作说明）。</w:t>
      </w:r>
    </w:p>
    <w:p>
      <w:pPr>
        <w:spacing w:line="40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（4）投标人应当在投标截止时间前完成电子投标文件的传输递交，并可以补充、修改或者撤回电子投标文件。补充或者修改电子投标文件的，应当先行撤回原文件，补充、修改后重新传输递交。</w:t>
      </w:r>
      <w:r>
        <w:rPr>
          <w:rFonts w:hint="eastAsia" w:asciiTheme="minorEastAsia" w:hAnsiTheme="minorEastAsia" w:eastAsiaTheme="minorEastAsia" w:cstheme="minorEastAsia"/>
          <w:b/>
          <w:bCs/>
          <w:kern w:val="0"/>
          <w:sz w:val="24"/>
        </w:rPr>
        <w:t>投标截止时间后传输、递交的投标文件，将被拒收。</w:t>
      </w:r>
    </w:p>
    <w:p>
      <w:pPr>
        <w:spacing w:line="40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（5）本招标文件中关于电子招投标内容、流程如与</w:t>
      </w:r>
      <w:r>
        <w:rPr>
          <w:rFonts w:hint="eastAsia" w:asciiTheme="minorEastAsia" w:hAnsiTheme="minorEastAsia" w:eastAsiaTheme="minorEastAsia" w:cstheme="minorEastAsia"/>
          <w:kern w:val="0"/>
          <w:sz w:val="24"/>
        </w:rPr>
        <w:t>临海市限额以下公共资源交易区域平台</w:t>
      </w:r>
      <w:r>
        <w:rPr>
          <w:rFonts w:hint="eastAsia" w:asciiTheme="minorEastAsia" w:hAnsiTheme="minorEastAsia" w:eastAsiaTheme="minorEastAsia" w:cstheme="minorEastAsia"/>
          <w:b/>
          <w:bCs/>
          <w:kern w:val="0"/>
          <w:sz w:val="24"/>
        </w:rPr>
        <w:t>中最新的内容、操作不一致的，以平台中的要求为准。</w:t>
      </w: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sz w:val="24"/>
        </w:rPr>
        <w:t>投标文件的组成、效力</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（1）本项目实行电子投标，投标人应准备电子投标文件，本项目线下无需提供任何备份投标文件。电子投标文件应按本招标文件要求编制。</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（2）未在</w:t>
      </w:r>
      <w:r>
        <w:rPr>
          <w:rFonts w:hint="eastAsia" w:asciiTheme="minorEastAsia" w:hAnsiTheme="minorEastAsia" w:eastAsiaTheme="minorEastAsia" w:cstheme="minorEastAsia"/>
          <w:kern w:val="0"/>
          <w:sz w:val="24"/>
        </w:rPr>
        <w:t>“临海市限额以下公共资源交易区域平台”</w:t>
      </w:r>
      <w:r>
        <w:rPr>
          <w:rFonts w:hint="eastAsia" w:asciiTheme="minorEastAsia" w:hAnsiTheme="minorEastAsia" w:eastAsiaTheme="minorEastAsia" w:cstheme="minorEastAsia"/>
          <w:sz w:val="24"/>
        </w:rPr>
        <w:t>传输递交电子投标文件的，投标无效。</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8.投标截止时间及电子投标文件的递交</w:t>
      </w:r>
    </w:p>
    <w:p>
      <w:pPr>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电子投标文件</w:t>
      </w:r>
      <w:r>
        <w:rPr>
          <w:rFonts w:hint="eastAsia" w:asciiTheme="minorEastAsia" w:hAnsiTheme="minorEastAsia" w:eastAsiaTheme="minorEastAsia" w:cstheme="minorEastAsia"/>
          <w:b/>
          <w:sz w:val="24"/>
        </w:rPr>
        <w:t>投标截止时间：2024年</w:t>
      </w:r>
      <w:r>
        <w:rPr>
          <w:rFonts w:hint="eastAsia" w:asciiTheme="minorEastAsia" w:hAnsiTheme="minorEastAsia" w:eastAsiaTheme="minorEastAsia" w:cstheme="minorEastAsia"/>
          <w:b/>
          <w:sz w:val="24"/>
          <w:lang w:val="en-US" w:eastAsia="zh-CN"/>
        </w:rPr>
        <w:t>7</w:t>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lang w:val="en-US" w:eastAsia="zh-CN"/>
        </w:rPr>
        <w:t>16</w:t>
      </w:r>
      <w:r>
        <w:rPr>
          <w:rFonts w:hint="eastAsia" w:asciiTheme="minorEastAsia" w:hAnsiTheme="minorEastAsia" w:eastAsiaTheme="minorEastAsia" w:cstheme="minorEastAsia"/>
          <w:b/>
          <w:sz w:val="24"/>
        </w:rPr>
        <w:t>日09时00分00秒，</w:t>
      </w:r>
      <w:r>
        <w:rPr>
          <w:rFonts w:hint="eastAsia" w:asciiTheme="minorEastAsia" w:hAnsiTheme="minorEastAsia" w:eastAsiaTheme="minorEastAsia" w:cstheme="minorEastAsia"/>
          <w:kern w:val="0"/>
          <w:sz w:val="24"/>
        </w:rPr>
        <w:t>投标人应于投标截止时间之前将电子投标文件上传到“临海市限额以下公共资源交易区域平台”。投标截止时间前未完成传输电子投标文件的</w:t>
      </w:r>
      <w:r>
        <w:rPr>
          <w:rFonts w:hint="eastAsia" w:asciiTheme="minorEastAsia" w:hAnsiTheme="minorEastAsia" w:eastAsiaTheme="minorEastAsia" w:cstheme="minorEastAsia"/>
          <w:sz w:val="24"/>
        </w:rPr>
        <w:t>，投标无效。</w:t>
      </w: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w:t>
      </w:r>
      <w:r>
        <w:rPr>
          <w:rFonts w:hint="eastAsia" w:asciiTheme="minorEastAsia" w:hAnsiTheme="minorEastAsia" w:eastAsiaTheme="minorEastAsia" w:cstheme="minorEastAsia"/>
          <w:kern w:val="0"/>
          <w:sz w:val="24"/>
        </w:rPr>
        <w:t>临海市限额以下公共资源交易区域平台</w:t>
      </w:r>
      <w:r>
        <w:rPr>
          <w:rFonts w:hint="eastAsia" w:asciiTheme="minorEastAsia" w:hAnsiTheme="minorEastAsia" w:eastAsiaTheme="minorEastAsia" w:cstheme="minorEastAsia"/>
          <w:b/>
          <w:sz w:val="24"/>
        </w:rPr>
        <w:t xml:space="preserve">及开评标期间出现网络故障或停电时的应急处理措施：      </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（1）开评标期间出现网络故障或停电如短时间内（半天内）可以排除并能恢复正常使用的，为不耽误项目进度，招标人（代理机构）可宣布待故障排除后再进行正常开标活动；</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（2）开评标期间出现网络故障或停电在短时间内不能排除，且无法恢复正常使用的，招标人（代理机构）可宣布暂停招标活动，招标人（代理机构）应办理延期开标手续，并及时发布更正公告择日另行开标。</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10.开标</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w:t>
      </w:r>
      <w:r>
        <w:rPr>
          <w:rFonts w:hint="eastAsia" w:asciiTheme="minorEastAsia" w:hAnsiTheme="minorEastAsia" w:eastAsiaTheme="minorEastAsia" w:cstheme="minorEastAsia"/>
          <w:b/>
          <w:bCs/>
          <w:sz w:val="24"/>
        </w:rPr>
        <w:t>2024年</w:t>
      </w:r>
      <w:r>
        <w:rPr>
          <w:rFonts w:hint="eastAsia" w:asciiTheme="minorEastAsia" w:hAnsiTheme="minorEastAsia" w:eastAsiaTheme="minorEastAsia" w:cstheme="minorEastAsia"/>
          <w:b/>
          <w:bCs/>
          <w:sz w:val="24"/>
          <w:lang w:val="en-US" w:eastAsia="zh-CN"/>
        </w:rPr>
        <w:t>7</w:t>
      </w:r>
      <w:r>
        <w:rPr>
          <w:rFonts w:hint="eastAsia" w:asciiTheme="minorEastAsia" w:hAnsiTheme="minorEastAsia" w:eastAsiaTheme="minorEastAsia" w:cstheme="minorEastAsia"/>
          <w:b/>
          <w:bCs/>
          <w:sz w:val="24"/>
        </w:rPr>
        <w:t>月</w:t>
      </w:r>
      <w:r>
        <w:rPr>
          <w:rFonts w:hint="eastAsia" w:asciiTheme="minorEastAsia" w:hAnsiTheme="minorEastAsia" w:eastAsiaTheme="minorEastAsia" w:cstheme="minorEastAsia"/>
          <w:b/>
          <w:bCs/>
          <w:sz w:val="24"/>
          <w:lang w:val="en-US" w:eastAsia="zh-CN"/>
        </w:rPr>
        <w:t>16</w:t>
      </w:r>
      <w:r>
        <w:rPr>
          <w:rFonts w:hint="eastAsia" w:asciiTheme="minorEastAsia" w:hAnsiTheme="minorEastAsia" w:eastAsiaTheme="minorEastAsia" w:cstheme="minorEastAsia"/>
          <w:b/>
          <w:bCs/>
          <w:sz w:val="24"/>
        </w:rPr>
        <w:t>日09时</w:t>
      </w:r>
      <w:r>
        <w:rPr>
          <w:rFonts w:hint="eastAsia" w:asciiTheme="minorEastAsia" w:hAnsiTheme="minorEastAsia" w:eastAsiaTheme="minorEastAsia" w:cstheme="minorEastAsia"/>
          <w:b/>
          <w:sz w:val="24"/>
        </w:rPr>
        <w:t xml:space="preserve">00分00秒 </w:t>
      </w:r>
      <w:r>
        <w:rPr>
          <w:rFonts w:hint="eastAsia" w:asciiTheme="minorEastAsia" w:hAnsiTheme="minorEastAsia" w:eastAsiaTheme="minorEastAsia" w:cstheme="minorEastAsia"/>
          <w:sz w:val="24"/>
        </w:rPr>
        <w:t>。</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w:t>
      </w:r>
      <w:r>
        <w:rPr>
          <w:rFonts w:hint="eastAsia" w:asciiTheme="minorEastAsia" w:hAnsiTheme="minorEastAsia" w:eastAsiaTheme="minorEastAsia" w:cstheme="minorEastAsia"/>
          <w:sz w:val="24"/>
          <w:u w:val="single"/>
        </w:rPr>
        <w:t>临海市限额以下公共资源交易区域平台南部开标室2（临海市江南街道春和路下岙余村办公大楼2楼）</w:t>
      </w:r>
      <w:r>
        <w:rPr>
          <w:rFonts w:hint="eastAsia" w:asciiTheme="minorEastAsia" w:hAnsiTheme="minorEastAsia" w:eastAsiaTheme="minorEastAsia" w:cstheme="minorEastAsia"/>
          <w:sz w:val="24"/>
        </w:rPr>
        <w:t>（不见面开标大厅）</w:t>
      </w: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11.发布公告的媒介</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本次招标公告在</w:t>
      </w:r>
      <w:r>
        <w:rPr>
          <w:rFonts w:hint="eastAsia" w:asciiTheme="minorEastAsia" w:hAnsiTheme="minorEastAsia" w:eastAsiaTheme="minorEastAsia" w:cstheme="minorEastAsia"/>
          <w:kern w:val="0"/>
          <w:sz w:val="24"/>
        </w:rPr>
        <w:t>临海市限额以下公共资源交易区域平台</w:t>
      </w:r>
      <w:r>
        <w:rPr>
          <w:rFonts w:hint="eastAsia" w:asciiTheme="minorEastAsia" w:hAnsiTheme="minorEastAsia" w:eastAsiaTheme="minorEastAsia" w:cstheme="minorEastAsia"/>
          <w:sz w:val="24"/>
        </w:rPr>
        <w:t>上发布。</w:t>
      </w: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12、其他事项</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（1）接标截止时间以平台服务器时间为准，请准时提交投标文件。</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（2）除注明要求进口产品外,投标时进口产品比例不得超过50%；</w:t>
      </w:r>
    </w:p>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13、联系方式</w:t>
      </w:r>
    </w:p>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（1）招标人信息</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名称：临海市供水有限公司</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地址：浙江省台州市临海市临海大道西598号 </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项目联系人（询问）：</w:t>
      </w:r>
      <w:r>
        <w:rPr>
          <w:rFonts w:hint="eastAsia" w:asciiTheme="minorEastAsia" w:hAnsiTheme="minorEastAsia" w:eastAsiaTheme="minorEastAsia" w:cstheme="minorEastAsia"/>
          <w:sz w:val="24"/>
        </w:rPr>
        <w:t>周先生</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项目联系方式：13566899134</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质疑联系人：葛先生</w:t>
      </w:r>
    </w:p>
    <w:p>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质疑联系方式：0576-85129505</w:t>
      </w:r>
    </w:p>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（2）代理机构信息</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名 称：浙江信达工程咨询有限公司</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地址: 临海市江滨东路295号</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项目联系人（询问）：卢刚</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项目联系方式：0576-85192636</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质疑联系人：翁女士</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质疑联系方式：0576-85303722</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传真:0576-853022230</w:t>
      </w:r>
    </w:p>
    <w:p>
      <w:pPr>
        <w:spacing w:line="400" w:lineRule="exact"/>
        <w:rPr>
          <w:rFonts w:asciiTheme="minorEastAsia" w:hAnsiTheme="minorEastAsia" w:eastAsiaTheme="minorEastAsia" w:cstheme="minorEastAsia"/>
          <w:bCs/>
          <w:spacing w:val="-4"/>
          <w:sz w:val="24"/>
        </w:rPr>
      </w:pPr>
      <w:r>
        <w:rPr>
          <w:rFonts w:hint="eastAsia" w:asciiTheme="minorEastAsia" w:hAnsiTheme="minorEastAsia" w:eastAsiaTheme="minorEastAsia" w:cstheme="minorEastAsia"/>
          <w:bCs/>
          <w:spacing w:val="-4"/>
          <w:sz w:val="24"/>
        </w:rPr>
        <w:t xml:space="preserve">电子邮箱: </w:t>
      </w:r>
      <w:r>
        <w:fldChar w:fldCharType="begin"/>
      </w:r>
      <w:r>
        <w:instrText xml:space="preserve"> HYPERLINK "mailto:343595626@qq.com" </w:instrText>
      </w:r>
      <w:r>
        <w:fldChar w:fldCharType="separate"/>
      </w:r>
      <w:r>
        <w:rPr>
          <w:rStyle w:val="58"/>
          <w:rFonts w:hint="eastAsia" w:asciiTheme="minorEastAsia" w:hAnsiTheme="minorEastAsia" w:eastAsiaTheme="minorEastAsia" w:cstheme="minorEastAsia"/>
          <w:bCs/>
          <w:color w:val="auto"/>
          <w:spacing w:val="-4"/>
          <w:sz w:val="24"/>
        </w:rPr>
        <w:t>445034934@qq.com</w:t>
      </w:r>
      <w:r>
        <w:rPr>
          <w:rStyle w:val="58"/>
          <w:rFonts w:hint="eastAsia" w:asciiTheme="minorEastAsia" w:hAnsiTheme="minorEastAsia" w:eastAsiaTheme="minorEastAsia" w:cstheme="minorEastAsia"/>
          <w:bCs/>
          <w:color w:val="auto"/>
          <w:spacing w:val="-4"/>
          <w:sz w:val="24"/>
        </w:rPr>
        <w:fldChar w:fldCharType="end"/>
      </w:r>
    </w:p>
    <w:p>
      <w:pPr>
        <w:spacing w:line="400" w:lineRule="exact"/>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pacing w:val="-4"/>
          <w:sz w:val="24"/>
        </w:rPr>
        <w:t>（3）本次非政府采购项目监管机构信息</w:t>
      </w:r>
    </w:p>
    <w:p>
      <w:pPr>
        <w:spacing w:line="400" w:lineRule="exact"/>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名 称：临海市工业投资集团有限公司</w:t>
      </w:r>
    </w:p>
    <w:p>
      <w:pPr>
        <w:spacing w:line="400" w:lineRule="exact"/>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地 址：浙江省台州市临海市临海大道西598号</w:t>
      </w: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spacing w:val="-4"/>
          <w:sz w:val="24"/>
        </w:rPr>
        <w:t xml:space="preserve">  </w:t>
      </w:r>
    </w:p>
    <w:p>
      <w:pPr>
        <w:spacing w:line="400" w:lineRule="exact"/>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联系人：葛先生</w:t>
      </w:r>
    </w:p>
    <w:p>
      <w:pPr>
        <w:spacing w:line="400" w:lineRule="exact"/>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联系电话：0576-85129505</w:t>
      </w:r>
    </w:p>
    <w:p>
      <w:pPr>
        <w:spacing w:line="400" w:lineRule="exact"/>
        <w:jc w:val="center"/>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bookmarkStart w:id="4" w:name="_Toc2467"/>
      <w:bookmarkStart w:id="5" w:name="_Toc467749357"/>
      <w:bookmarkStart w:id="6" w:name="_Toc466534748"/>
      <w:r>
        <w:rPr>
          <w:rFonts w:hint="eastAsia" w:asciiTheme="minorEastAsia" w:hAnsiTheme="minorEastAsia" w:eastAsiaTheme="minorEastAsia" w:cstheme="minorEastAsia"/>
          <w:b/>
          <w:sz w:val="36"/>
          <w:szCs w:val="36"/>
        </w:rPr>
        <w:t>第二章   招标需求</w:t>
      </w:r>
      <w:bookmarkEnd w:id="4"/>
    </w:p>
    <w:bookmarkEnd w:id="5"/>
    <w:bookmarkEnd w:id="6"/>
    <w:p>
      <w:pPr>
        <w:rPr>
          <w:rFonts w:asciiTheme="minorEastAsia" w:hAnsiTheme="minorEastAsia" w:eastAsiaTheme="minorEastAsia" w:cstheme="minorEastAsia"/>
          <w:b/>
          <w:sz w:val="28"/>
          <w:szCs w:val="28"/>
        </w:rPr>
      </w:pPr>
    </w:p>
    <w:p>
      <w:pPr>
        <w:adjustRightInd w:val="0"/>
        <w:snapToGrid w:val="0"/>
        <w:spacing w:line="460" w:lineRule="exact"/>
        <w:ind w:firstLine="480"/>
        <w:rPr>
          <w:rFonts w:ascii="宋体" w:hAnsi="宋体" w:cs="宋体"/>
          <w:sz w:val="24"/>
        </w:rPr>
      </w:pPr>
      <w:bookmarkStart w:id="7" w:name="_Toc21811"/>
      <w:bookmarkStart w:id="8" w:name="_Toc466534749"/>
      <w:r>
        <w:rPr>
          <w:rFonts w:hint="eastAsia" w:ascii="宋体" w:hAnsi="宋体" w:cs="宋体"/>
          <w:sz w:val="24"/>
        </w:rPr>
        <w:t>一、采购内容及要求：</w:t>
      </w:r>
    </w:p>
    <w:p>
      <w:pPr>
        <w:adjustRightInd w:val="0"/>
        <w:snapToGrid w:val="0"/>
        <w:spacing w:line="460" w:lineRule="exact"/>
        <w:ind w:firstLine="480"/>
        <w:rPr>
          <w:rFonts w:ascii="宋体" w:hAnsi="宋体" w:cs="宋体"/>
          <w:sz w:val="24"/>
        </w:rPr>
      </w:pPr>
      <w:r>
        <w:rPr>
          <w:rFonts w:hint="eastAsia" w:ascii="宋体" w:hAnsi="宋体" w:cs="宋体"/>
          <w:sz w:val="24"/>
        </w:rPr>
        <w:t>（一）服务内容和对象</w:t>
      </w:r>
    </w:p>
    <w:p>
      <w:pPr>
        <w:adjustRightInd w:val="0"/>
        <w:snapToGrid w:val="0"/>
        <w:spacing w:line="460" w:lineRule="exact"/>
        <w:ind w:firstLine="480"/>
        <w:rPr>
          <w:rFonts w:ascii="宋体" w:hAnsi="宋体" w:cs="宋体"/>
          <w:sz w:val="24"/>
        </w:rPr>
      </w:pPr>
      <w:r>
        <w:rPr>
          <w:rFonts w:hint="eastAsia" w:ascii="宋体" w:hAnsi="宋体" w:cs="宋体"/>
          <w:sz w:val="24"/>
        </w:rPr>
        <w:t>临海市供水范围内管网延伸加压泵站的运行维护管理，具体清单如下。</w:t>
      </w:r>
    </w:p>
    <w:tbl>
      <w:tblPr>
        <w:tblStyle w:val="51"/>
        <w:tblW w:w="10013" w:type="dxa"/>
        <w:tblInd w:w="-383" w:type="dxa"/>
        <w:tblLayout w:type="fixed"/>
        <w:tblCellMar>
          <w:top w:w="0" w:type="dxa"/>
          <w:left w:w="108" w:type="dxa"/>
          <w:bottom w:w="0" w:type="dxa"/>
          <w:right w:w="108" w:type="dxa"/>
        </w:tblCellMar>
      </w:tblPr>
      <w:tblGrid>
        <w:gridCol w:w="528"/>
        <w:gridCol w:w="1201"/>
        <w:gridCol w:w="583"/>
        <w:gridCol w:w="572"/>
        <w:gridCol w:w="660"/>
        <w:gridCol w:w="806"/>
        <w:gridCol w:w="759"/>
        <w:gridCol w:w="682"/>
        <w:gridCol w:w="660"/>
        <w:gridCol w:w="606"/>
        <w:gridCol w:w="715"/>
        <w:gridCol w:w="509"/>
        <w:gridCol w:w="857"/>
        <w:gridCol w:w="875"/>
      </w:tblGrid>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序号</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泵站地址</w:t>
            </w:r>
          </w:p>
        </w:tc>
        <w:tc>
          <w:tcPr>
            <w:tcW w:w="2621"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机泵</w:t>
            </w:r>
          </w:p>
        </w:tc>
        <w:tc>
          <w:tcPr>
            <w:tcW w:w="75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变频器</w:t>
            </w:r>
          </w:p>
        </w:tc>
        <w:tc>
          <w:tcPr>
            <w:tcW w:w="31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自控、仪表</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区域</w:t>
            </w:r>
          </w:p>
        </w:tc>
        <w:tc>
          <w:tcPr>
            <w:tcW w:w="875" w:type="dxa"/>
            <w:vMerge w:val="restart"/>
            <w:tcBorders>
              <w:top w:val="single" w:color="000000" w:sz="4" w:space="0"/>
              <w:left w:val="single" w:color="000000" w:sz="4" w:space="0"/>
              <w:bottom w:val="single" w:color="000000" w:sz="12" w:space="0"/>
              <w:right w:val="single" w:color="000000" w:sz="4" w:space="0"/>
            </w:tcBorders>
            <w:shd w:val="clear" w:color="auto" w:fill="auto"/>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状态</w:t>
            </w:r>
          </w:p>
        </w:tc>
      </w:tr>
      <w:tr>
        <w:tblPrEx>
          <w:tblCellMar>
            <w:top w:w="0" w:type="dxa"/>
            <w:left w:w="108" w:type="dxa"/>
            <w:bottom w:w="0" w:type="dxa"/>
            <w:right w:w="108" w:type="dxa"/>
          </w:tblCellMar>
        </w:tblPrEx>
        <w:trPr>
          <w:trHeight w:val="495" w:hRule="atLeast"/>
        </w:trPr>
        <w:tc>
          <w:tcPr>
            <w:tcW w:w="528" w:type="dxa"/>
            <w:vMerge w:val="continue"/>
            <w:tcBorders>
              <w:top w:val="single" w:color="000000" w:sz="4" w:space="0"/>
              <w:left w:val="single" w:color="000000" w:sz="4" w:space="0"/>
              <w:bottom w:val="single" w:color="000000" w:sz="12" w:space="0"/>
              <w:right w:val="single" w:color="000000" w:sz="4" w:space="0"/>
            </w:tcBorders>
            <w:shd w:val="clear" w:color="auto" w:fill="FFFFFF"/>
            <w:noWrap/>
            <w:vAlign w:val="center"/>
          </w:tcPr>
          <w:p>
            <w:pPr>
              <w:jc w:val="center"/>
              <w:rPr>
                <w:rFonts w:ascii="宋体" w:hAnsi="宋体" w:cs="宋体"/>
                <w:b/>
                <w:bCs/>
                <w:sz w:val="18"/>
                <w:szCs w:val="18"/>
              </w:rPr>
            </w:pPr>
          </w:p>
        </w:tc>
        <w:tc>
          <w:tcPr>
            <w:tcW w:w="1201" w:type="dxa"/>
            <w:vMerge w:val="continue"/>
            <w:tcBorders>
              <w:top w:val="single" w:color="000000" w:sz="4" w:space="0"/>
              <w:left w:val="single" w:color="000000" w:sz="4" w:space="0"/>
              <w:bottom w:val="single" w:color="000000" w:sz="12" w:space="0"/>
              <w:right w:val="single" w:color="000000" w:sz="4" w:space="0"/>
            </w:tcBorders>
            <w:shd w:val="clear" w:color="auto" w:fill="FFFFFF"/>
            <w:noWrap/>
            <w:vAlign w:val="center"/>
          </w:tcPr>
          <w:p>
            <w:pPr>
              <w:jc w:val="center"/>
              <w:rPr>
                <w:rFonts w:ascii="宋体" w:hAnsi="宋体" w:cs="宋体"/>
                <w:b/>
                <w:bCs/>
                <w:sz w:val="18"/>
                <w:szCs w:val="18"/>
              </w:rPr>
            </w:pPr>
          </w:p>
        </w:tc>
        <w:tc>
          <w:tcPr>
            <w:tcW w:w="583"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数量</w:t>
            </w:r>
          </w:p>
        </w:tc>
        <w:tc>
          <w:tcPr>
            <w:tcW w:w="572"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流量</w:t>
            </w:r>
          </w:p>
        </w:tc>
        <w:tc>
          <w:tcPr>
            <w:tcW w:w="660"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扬程</w:t>
            </w:r>
          </w:p>
        </w:tc>
        <w:tc>
          <w:tcPr>
            <w:tcW w:w="806"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功率</w:t>
            </w:r>
          </w:p>
        </w:tc>
        <w:tc>
          <w:tcPr>
            <w:tcW w:w="759"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数量</w:t>
            </w:r>
          </w:p>
        </w:tc>
        <w:tc>
          <w:tcPr>
            <w:tcW w:w="682"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PLC</w:t>
            </w:r>
          </w:p>
        </w:tc>
        <w:tc>
          <w:tcPr>
            <w:tcW w:w="660"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流量</w:t>
            </w:r>
          </w:p>
        </w:tc>
        <w:tc>
          <w:tcPr>
            <w:tcW w:w="606"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压力</w:t>
            </w:r>
          </w:p>
        </w:tc>
        <w:tc>
          <w:tcPr>
            <w:tcW w:w="715"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余氯</w:t>
            </w:r>
          </w:p>
        </w:tc>
        <w:tc>
          <w:tcPr>
            <w:tcW w:w="509"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浊度</w:t>
            </w:r>
          </w:p>
        </w:tc>
        <w:tc>
          <w:tcPr>
            <w:tcW w:w="857" w:type="dxa"/>
            <w:vMerge w:val="continue"/>
            <w:tcBorders>
              <w:top w:val="single" w:color="000000" w:sz="4" w:space="0"/>
              <w:left w:val="single" w:color="000000" w:sz="4" w:space="0"/>
              <w:bottom w:val="single" w:color="000000" w:sz="12" w:space="0"/>
              <w:right w:val="single" w:color="000000" w:sz="4" w:space="0"/>
            </w:tcBorders>
            <w:shd w:val="clear" w:color="auto" w:fill="auto"/>
            <w:noWrap/>
            <w:vAlign w:val="center"/>
          </w:tcPr>
          <w:p>
            <w:pPr>
              <w:jc w:val="center"/>
              <w:rPr>
                <w:rFonts w:ascii="宋体" w:hAnsi="宋体" w:cs="宋体"/>
                <w:b/>
                <w:bCs/>
                <w:sz w:val="18"/>
                <w:szCs w:val="18"/>
              </w:rPr>
            </w:pPr>
          </w:p>
        </w:tc>
        <w:tc>
          <w:tcPr>
            <w:tcW w:w="875" w:type="dxa"/>
            <w:vMerge w:val="continue"/>
            <w:tcBorders>
              <w:top w:val="single" w:color="000000" w:sz="4" w:space="0"/>
              <w:left w:val="single" w:color="000000" w:sz="4" w:space="0"/>
              <w:bottom w:val="single" w:color="000000" w:sz="12" w:space="0"/>
              <w:right w:val="single" w:color="000000" w:sz="4" w:space="0"/>
            </w:tcBorders>
            <w:shd w:val="clear" w:color="auto" w:fill="auto"/>
            <w:noWrap/>
            <w:vAlign w:val="center"/>
          </w:tcPr>
          <w:p>
            <w:pPr>
              <w:jc w:val="center"/>
              <w:rPr>
                <w:rFonts w:ascii="宋体" w:hAnsi="宋体" w:cs="宋体"/>
                <w:b/>
                <w:bCs/>
                <w:sz w:val="18"/>
                <w:szCs w:val="18"/>
              </w:rPr>
            </w:pPr>
          </w:p>
        </w:tc>
      </w:tr>
      <w:tr>
        <w:tblPrEx>
          <w:tblCellMar>
            <w:top w:w="0" w:type="dxa"/>
            <w:left w:w="108" w:type="dxa"/>
            <w:bottom w:w="0" w:type="dxa"/>
            <w:right w:w="108" w:type="dxa"/>
          </w:tblCellMar>
        </w:tblPrEx>
        <w:trPr>
          <w:trHeight w:val="460" w:hRule="atLeast"/>
        </w:trPr>
        <w:tc>
          <w:tcPr>
            <w:tcW w:w="52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1201"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松二</w:t>
            </w:r>
          </w:p>
        </w:tc>
        <w:tc>
          <w:tcPr>
            <w:tcW w:w="583"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660"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w:t>
            </w:r>
          </w:p>
        </w:tc>
        <w:tc>
          <w:tcPr>
            <w:tcW w:w="806"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759"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715"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09"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古城</w:t>
            </w:r>
          </w:p>
        </w:tc>
        <w:tc>
          <w:tcPr>
            <w:tcW w:w="875" w:type="dxa"/>
            <w:tcBorders>
              <w:top w:val="single" w:color="000000" w:sz="12"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北固山</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64</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古城</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大田街道岭外片1#</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大田街道岭外片2#</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大田街道岭外片3#</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111</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大田泵站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53</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09"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梅岙泵站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吕公岙泵站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36</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邵家渡</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庙西泵站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79.6</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1比色</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东塍</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粮站泵站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57</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东塍</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59</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上沙泵站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1比色</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东塍</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垟路村泵房)</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82</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江南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上江村泵房</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江南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白岩岙村泵房</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江南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河头小学泵站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河头镇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兰桥泵站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河头镇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白水洋镇届岭片1#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白水洋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白水洋镇届岭片2#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白水洋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19</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上官泵站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8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18"/>
                <w:szCs w:val="18"/>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sz w:val="18"/>
                <w:szCs w:val="18"/>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白水洋</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8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71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双楼泵站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18.5</w:t>
            </w:r>
          </w:p>
        </w:tc>
        <w:tc>
          <w:tcPr>
            <w:tcW w:w="759" w:type="dxa"/>
            <w:tcBorders>
              <w:top w:val="single" w:color="000000" w:sz="4" w:space="0"/>
              <w:left w:val="single" w:color="000000" w:sz="4" w:space="0"/>
              <w:bottom w:val="single" w:color="000000" w:sz="4" w:space="0"/>
              <w:right w:val="single" w:color="000000" w:sz="6"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82" w:type="dxa"/>
            <w:tcBorders>
              <w:top w:val="single" w:color="000000" w:sz="4" w:space="0"/>
              <w:left w:val="single" w:color="000000" w:sz="6" w:space="0"/>
              <w:bottom w:val="single" w:color="000000" w:sz="4" w:space="0"/>
              <w:right w:val="single" w:color="000000" w:sz="6" w:space="0"/>
            </w:tcBorders>
            <w:shd w:val="clear" w:color="auto" w:fill="auto"/>
            <w:noWrap/>
            <w:vAlign w:val="center"/>
          </w:tcPr>
          <w:p>
            <w:pPr>
              <w:jc w:val="center"/>
              <w:rPr>
                <w:rFonts w:ascii="宋体" w:hAnsi="宋体" w:cs="宋体"/>
                <w:sz w:val="18"/>
                <w:szCs w:val="18"/>
              </w:rPr>
            </w:pPr>
          </w:p>
        </w:tc>
        <w:tc>
          <w:tcPr>
            <w:tcW w:w="660" w:type="dxa"/>
            <w:vMerge w:val="restart"/>
            <w:tcBorders>
              <w:top w:val="single" w:color="000000" w:sz="4" w:space="0"/>
              <w:left w:val="single" w:color="000000" w:sz="6"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1比色</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白水洋</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东山泵站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白水洋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独山泵站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括苍镇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杨家山1#泵站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括苍镇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杨家山2#泵站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括苍镇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坑头至沿溪片1#泵站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坑头至沿溪片2#泵站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27</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大洋往大毛洋泵站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28</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大毛洋泵站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29</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官庄泵站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下鲁泵站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31</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下坑加压泵站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赤廖泵站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永丰镇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33</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西洋泵站</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28</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1比色</w:t>
            </w: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涌泉镇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东连、肯步片泵站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杜桥镇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35</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富石泵站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杜桥镇</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60"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509"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36</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城里至车头1#泵站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桃渚镇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r>
        <w:tblPrEx>
          <w:tblCellMar>
            <w:top w:w="0" w:type="dxa"/>
            <w:left w:w="108" w:type="dxa"/>
            <w:bottom w:w="0" w:type="dxa"/>
            <w:right w:w="108" w:type="dxa"/>
          </w:tblCellMar>
        </w:tblPrEx>
        <w:trPr>
          <w:trHeight w:val="4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城里至车头2#泵站</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桃渚镇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启用</w:t>
            </w:r>
          </w:p>
        </w:tc>
      </w:tr>
    </w:tbl>
    <w:p>
      <w:pPr>
        <w:adjustRightInd w:val="0"/>
        <w:snapToGrid w:val="0"/>
        <w:spacing w:line="460" w:lineRule="exact"/>
        <w:ind w:firstLine="480"/>
        <w:rPr>
          <w:rFonts w:ascii="宋体" w:hAnsi="宋体" w:cs="宋体"/>
          <w:sz w:val="24"/>
        </w:rPr>
      </w:pPr>
      <w:r>
        <w:rPr>
          <w:rFonts w:hint="eastAsia" w:ascii="宋体" w:hAnsi="宋体" w:cs="宋体"/>
          <w:sz w:val="24"/>
        </w:rPr>
        <w:t>服务项目内容包括：</w:t>
      </w:r>
    </w:p>
    <w:p>
      <w:pPr>
        <w:adjustRightInd w:val="0"/>
        <w:snapToGrid w:val="0"/>
        <w:spacing w:line="460" w:lineRule="exact"/>
        <w:ind w:firstLine="480"/>
        <w:rPr>
          <w:rFonts w:ascii="宋体" w:hAnsi="宋体" w:cs="宋体"/>
          <w:sz w:val="24"/>
        </w:rPr>
      </w:pPr>
      <w:r>
        <w:rPr>
          <w:rFonts w:hint="eastAsia" w:ascii="宋体" w:hAnsi="宋体" w:cs="宋体"/>
          <w:sz w:val="24"/>
        </w:rPr>
        <w:t>1、服务范围内设备和控制系统的基础运维、应急响应；定期和不定期维护保养；PLC程序定期备份；服务内容的记录、归档；用户提出的技术咨询、技术服务以及有利于泵站运行的相关要求等；白水洋镇双楼泵站需要人员值守。</w:t>
      </w:r>
    </w:p>
    <w:p>
      <w:pPr>
        <w:adjustRightInd w:val="0"/>
        <w:snapToGrid w:val="0"/>
        <w:spacing w:line="460" w:lineRule="exact"/>
        <w:ind w:firstLine="480"/>
        <w:rPr>
          <w:rFonts w:ascii="宋体" w:hAnsi="宋体" w:cs="宋体"/>
          <w:sz w:val="24"/>
        </w:rPr>
      </w:pPr>
      <w:r>
        <w:rPr>
          <w:rFonts w:hint="eastAsia" w:ascii="宋体" w:hAnsi="宋体" w:cs="宋体"/>
          <w:sz w:val="24"/>
        </w:rPr>
        <w:t>2、服务费用包括：服务商为完成本服务所需的人力成本费、交通车旅、食宿费、工具及工具折旧费、办公耗材费、管理费、利润及税金等全部费用以及仪表耗材费用（余氯仪试剂、浊度仪干燥剂等）；服务费不包括服务过程中所需更换的设备、零部件、易损件及设备返厂维修等费用。</w:t>
      </w:r>
    </w:p>
    <w:p>
      <w:pPr>
        <w:adjustRightInd w:val="0"/>
        <w:snapToGrid w:val="0"/>
        <w:spacing w:line="460" w:lineRule="exact"/>
        <w:ind w:firstLine="480"/>
        <w:rPr>
          <w:rFonts w:ascii="宋体" w:hAnsi="宋体" w:cs="宋体"/>
          <w:sz w:val="24"/>
        </w:rPr>
      </w:pPr>
      <w:r>
        <w:rPr>
          <w:rFonts w:hint="eastAsia" w:ascii="宋体" w:hAnsi="宋体" w:cs="宋体"/>
          <w:sz w:val="24"/>
        </w:rPr>
        <w:t>服务对象主要包括：</w:t>
      </w:r>
    </w:p>
    <w:p>
      <w:pPr>
        <w:adjustRightInd w:val="0"/>
        <w:snapToGrid w:val="0"/>
        <w:spacing w:line="460" w:lineRule="exact"/>
        <w:ind w:firstLine="480"/>
        <w:rPr>
          <w:rFonts w:ascii="宋体" w:hAnsi="宋体" w:cs="宋体"/>
          <w:sz w:val="24"/>
        </w:rPr>
      </w:pPr>
      <w:r>
        <w:rPr>
          <w:rFonts w:hint="eastAsia" w:ascii="宋体" w:hAnsi="宋体" w:cs="宋体"/>
          <w:sz w:val="24"/>
        </w:rPr>
        <w:t>泵站的机泵、阀门、工艺设备、PLC；流量计、压力传感器、温度传感器、水质在线仪表等控制仪表；生产自动化设备及网络设备；加氯、加矾等加药系统设备；安防监控、门禁系统设备；上述设备的电气控制系统、变频控制系统及自动化系统设备等，以及其他业主指定的维保养护项目。</w:t>
      </w:r>
    </w:p>
    <w:p>
      <w:pPr>
        <w:adjustRightInd w:val="0"/>
        <w:snapToGrid w:val="0"/>
        <w:spacing w:line="460" w:lineRule="exact"/>
        <w:ind w:firstLine="480"/>
        <w:rPr>
          <w:rFonts w:ascii="宋体" w:hAnsi="宋体" w:cs="宋体"/>
          <w:sz w:val="24"/>
        </w:rPr>
      </w:pPr>
      <w:r>
        <w:rPr>
          <w:rFonts w:hint="eastAsia" w:ascii="宋体" w:hAnsi="宋体" w:cs="宋体"/>
          <w:sz w:val="24"/>
        </w:rPr>
        <w:t>（二）服务标准及要求</w:t>
      </w:r>
    </w:p>
    <w:p>
      <w:pPr>
        <w:adjustRightInd w:val="0"/>
        <w:snapToGrid w:val="0"/>
        <w:spacing w:line="460" w:lineRule="exact"/>
        <w:ind w:firstLine="480"/>
        <w:rPr>
          <w:rFonts w:ascii="宋体" w:hAnsi="宋体" w:cs="宋体"/>
          <w:sz w:val="24"/>
        </w:rPr>
      </w:pPr>
      <w:r>
        <w:rPr>
          <w:rFonts w:hint="eastAsia" w:ascii="宋体" w:hAnsi="宋体" w:cs="宋体"/>
          <w:sz w:val="24"/>
        </w:rPr>
        <w:t>1、 基础运维</w:t>
      </w:r>
    </w:p>
    <w:p>
      <w:pPr>
        <w:adjustRightInd w:val="0"/>
        <w:snapToGrid w:val="0"/>
        <w:spacing w:line="460" w:lineRule="exact"/>
        <w:ind w:firstLine="480"/>
        <w:rPr>
          <w:rFonts w:ascii="宋体" w:hAnsi="宋体" w:cs="宋体"/>
          <w:sz w:val="24"/>
        </w:rPr>
      </w:pPr>
      <w:r>
        <w:rPr>
          <w:rFonts w:hint="eastAsia" w:ascii="宋体" w:hAnsi="宋体" w:cs="宋体"/>
          <w:sz w:val="24"/>
        </w:rPr>
        <w:t>（1）泵房日常巡检要求</w:t>
      </w:r>
    </w:p>
    <w:p>
      <w:pPr>
        <w:adjustRightInd w:val="0"/>
        <w:snapToGrid w:val="0"/>
        <w:spacing w:line="460" w:lineRule="exact"/>
        <w:ind w:firstLine="480"/>
        <w:rPr>
          <w:rFonts w:ascii="宋体" w:hAnsi="宋体" w:cs="宋体"/>
          <w:sz w:val="24"/>
        </w:rPr>
      </w:pPr>
      <w:r>
        <w:rPr>
          <w:rFonts w:hint="eastAsia" w:ascii="宋体" w:hAnsi="宋体" w:cs="宋体"/>
          <w:sz w:val="24"/>
        </w:rPr>
        <w:t>1.泵房日常巡检次数：水泵房主要供水设备至少保证每周巡检次数不少于1次，并做好巡检记录及相关台账工作。</w:t>
      </w:r>
    </w:p>
    <w:p>
      <w:pPr>
        <w:adjustRightInd w:val="0"/>
        <w:snapToGrid w:val="0"/>
        <w:spacing w:line="460" w:lineRule="exact"/>
        <w:ind w:firstLine="480"/>
        <w:rPr>
          <w:rFonts w:ascii="宋体" w:hAnsi="宋体" w:cs="宋体"/>
          <w:sz w:val="24"/>
        </w:rPr>
      </w:pPr>
      <w:r>
        <w:rPr>
          <w:rFonts w:hint="eastAsia" w:ascii="宋体" w:hAnsi="宋体" w:cs="宋体"/>
          <w:sz w:val="24"/>
        </w:rPr>
        <w:t>2.水泵机组设备巡检内容：水泵是否正常切换运行，电机温升是否正常，水泵机组是否渗漏水等。水泵运行是否有异响。</w:t>
      </w:r>
    </w:p>
    <w:p>
      <w:pPr>
        <w:adjustRightInd w:val="0"/>
        <w:snapToGrid w:val="0"/>
        <w:spacing w:line="460" w:lineRule="exact"/>
        <w:ind w:firstLine="480"/>
        <w:rPr>
          <w:rFonts w:ascii="宋体" w:hAnsi="宋体" w:cs="宋体"/>
          <w:sz w:val="24"/>
        </w:rPr>
      </w:pPr>
      <w:r>
        <w:rPr>
          <w:rFonts w:hint="eastAsia" w:ascii="宋体" w:hAnsi="宋体" w:cs="宋体"/>
          <w:sz w:val="24"/>
        </w:rPr>
        <w:t>3.控制柜设备巡检内容：检查电器原件端子接线有无松动，各指示灯是否正常显示，显示屏运行数据是否正常采集，控制柜内变频器及各电器元件温升是否正常，排风系统是否正常运转。</w:t>
      </w:r>
    </w:p>
    <w:p>
      <w:pPr>
        <w:adjustRightInd w:val="0"/>
        <w:snapToGrid w:val="0"/>
        <w:spacing w:line="460" w:lineRule="exact"/>
        <w:ind w:firstLine="480"/>
        <w:rPr>
          <w:rFonts w:ascii="宋体" w:hAnsi="宋体" w:cs="宋体"/>
          <w:sz w:val="24"/>
        </w:rPr>
      </w:pPr>
      <w:r>
        <w:rPr>
          <w:rFonts w:hint="eastAsia" w:ascii="宋体" w:hAnsi="宋体" w:cs="宋体"/>
          <w:sz w:val="24"/>
        </w:rPr>
        <w:t>4.水质检测巡检内容：水力控制阀和阀门是否正常工作，是否渗漏。水质仪表浊度、PH、余氯等运行情况，发现有影响水质的情况应及时处理，有更换检测药剂(余氯分析耗材，干燥剂)的情况需向甲方报备并留档。</w:t>
      </w:r>
    </w:p>
    <w:p>
      <w:pPr>
        <w:adjustRightInd w:val="0"/>
        <w:snapToGrid w:val="0"/>
        <w:spacing w:line="460" w:lineRule="exact"/>
        <w:ind w:firstLine="480"/>
        <w:rPr>
          <w:rFonts w:ascii="宋体" w:hAnsi="宋体" w:cs="宋体"/>
          <w:sz w:val="24"/>
        </w:rPr>
      </w:pPr>
      <w:r>
        <w:rPr>
          <w:rFonts w:hint="eastAsia" w:ascii="宋体" w:hAnsi="宋体" w:cs="宋体"/>
          <w:sz w:val="24"/>
        </w:rPr>
        <w:t>5.泵房环境系统附属设备巡检内容：检查排风、排水、水淹报警、门禁、照明、监控摄像头、监控硬盘录像机等设备是否正常运行，网络是否正常。</w:t>
      </w:r>
    </w:p>
    <w:p>
      <w:pPr>
        <w:adjustRightInd w:val="0"/>
        <w:snapToGrid w:val="0"/>
        <w:spacing w:line="460" w:lineRule="exact"/>
        <w:ind w:firstLine="480"/>
        <w:rPr>
          <w:rFonts w:ascii="宋体" w:hAnsi="宋体" w:cs="宋体"/>
          <w:sz w:val="24"/>
        </w:rPr>
      </w:pPr>
      <w:r>
        <w:rPr>
          <w:rFonts w:hint="eastAsia" w:ascii="宋体" w:hAnsi="宋体" w:cs="宋体"/>
          <w:sz w:val="24"/>
        </w:rPr>
        <w:t>6.巡检需记录内容：包括巡检人员、时间，设备运行数据设备运行状况等，巡检结束需对巡检记录表拍照，并通过手机APP巡检系统上传。</w:t>
      </w:r>
    </w:p>
    <w:p>
      <w:pPr>
        <w:adjustRightInd w:val="0"/>
        <w:snapToGrid w:val="0"/>
        <w:spacing w:line="460" w:lineRule="exact"/>
        <w:ind w:firstLine="480"/>
        <w:rPr>
          <w:rFonts w:ascii="宋体" w:hAnsi="宋体" w:cs="宋体"/>
          <w:sz w:val="24"/>
        </w:rPr>
      </w:pPr>
      <w:r>
        <w:rPr>
          <w:rFonts w:hint="eastAsia" w:ascii="宋体" w:hAnsi="宋体" w:cs="宋体"/>
          <w:sz w:val="24"/>
        </w:rPr>
        <w:t>7.泵房环境目标：确保泵房内保持整洁，泵房内无烟头、无砖瓦土石、纸屑，地面无痰迹污渍、无污泥、无积水。确保泵房内应保持良好照明和通风换气，保证室内空气清新，保持泵房现场环境整洁、卫生，排水系统通畅。</w:t>
      </w:r>
    </w:p>
    <w:p>
      <w:pPr>
        <w:adjustRightInd w:val="0"/>
        <w:snapToGrid w:val="0"/>
        <w:spacing w:line="460" w:lineRule="exact"/>
        <w:ind w:firstLine="480"/>
        <w:rPr>
          <w:rFonts w:ascii="宋体" w:hAnsi="宋体" w:cs="宋体"/>
          <w:sz w:val="24"/>
        </w:rPr>
      </w:pPr>
      <w:r>
        <w:rPr>
          <w:rFonts w:hint="eastAsia" w:ascii="宋体" w:hAnsi="宋体" w:cs="宋体"/>
          <w:sz w:val="24"/>
        </w:rPr>
        <w:t>8.日常巡检发现设备故障需及时维修，保证设备正常运行和完好，发现异常需及时处理，维修和处理情况需及时通过手机APP巡检系统上报，并及时向甲方汇报。</w:t>
      </w:r>
    </w:p>
    <w:p>
      <w:pPr>
        <w:adjustRightInd w:val="0"/>
        <w:snapToGrid w:val="0"/>
        <w:spacing w:line="460" w:lineRule="exact"/>
        <w:ind w:firstLine="480"/>
        <w:rPr>
          <w:rFonts w:ascii="宋体" w:hAnsi="宋体" w:cs="宋体"/>
          <w:sz w:val="24"/>
        </w:rPr>
      </w:pPr>
      <w:r>
        <w:rPr>
          <w:rFonts w:hint="eastAsia" w:ascii="宋体" w:hAnsi="宋体" w:cs="宋体"/>
          <w:sz w:val="24"/>
        </w:rPr>
        <w:t>9.特殊情况时(持续高温、台风等特殊情况),乙方接到甲方通知后应加强泵房巡查频次，确保设备正常运转；同时组织相关人员待命，随时处置突发事件。</w:t>
      </w:r>
    </w:p>
    <w:p>
      <w:pPr>
        <w:adjustRightInd w:val="0"/>
        <w:snapToGrid w:val="0"/>
        <w:spacing w:line="460" w:lineRule="exact"/>
        <w:ind w:firstLine="480"/>
        <w:rPr>
          <w:rFonts w:ascii="宋体" w:hAnsi="宋体" w:cs="宋体"/>
          <w:sz w:val="24"/>
        </w:rPr>
      </w:pPr>
      <w:r>
        <w:rPr>
          <w:rFonts w:hint="eastAsia" w:ascii="宋体" w:hAnsi="宋体" w:cs="宋体"/>
          <w:sz w:val="24"/>
        </w:rPr>
        <w:t>（2）运行数据上传校对</w:t>
      </w:r>
    </w:p>
    <w:p>
      <w:pPr>
        <w:adjustRightInd w:val="0"/>
        <w:snapToGrid w:val="0"/>
        <w:spacing w:line="460" w:lineRule="exact"/>
        <w:ind w:firstLine="480"/>
        <w:rPr>
          <w:rFonts w:ascii="宋体" w:hAnsi="宋体" w:cs="宋体"/>
          <w:sz w:val="24"/>
        </w:rPr>
      </w:pPr>
      <w:r>
        <w:rPr>
          <w:rFonts w:hint="eastAsia" w:ascii="宋体" w:hAnsi="宋体" w:cs="宋体"/>
          <w:sz w:val="24"/>
        </w:rPr>
        <w:t>1.现场仪器仪表数据核对：压力传感器、流量计、电动阀、水质在线仪表等监测仪器需正常显示，并正确无误上传控制柜，在控制柜显示屏上应对应显示。</w:t>
      </w:r>
    </w:p>
    <w:p>
      <w:pPr>
        <w:adjustRightInd w:val="0"/>
        <w:snapToGrid w:val="0"/>
        <w:spacing w:line="460" w:lineRule="exact"/>
        <w:ind w:firstLine="480"/>
        <w:rPr>
          <w:rFonts w:ascii="宋体" w:hAnsi="宋体" w:cs="宋体"/>
          <w:sz w:val="24"/>
        </w:rPr>
      </w:pPr>
      <w:r>
        <w:rPr>
          <w:rFonts w:hint="eastAsia" w:ascii="宋体" w:hAnsi="宋体" w:cs="宋体"/>
          <w:sz w:val="24"/>
        </w:rPr>
        <w:t>2.控制柜显示屏上运行数据核对：电流、电压、压力、流量、瞬时流量、水位、运行时间、系统时间、设备状态等各项运行数据需跟现场仪器一致，并按统一的通信协议正确无误的上传至供水监控平台。</w:t>
      </w:r>
    </w:p>
    <w:p>
      <w:pPr>
        <w:adjustRightInd w:val="0"/>
        <w:snapToGrid w:val="0"/>
        <w:spacing w:line="460" w:lineRule="exact"/>
        <w:ind w:firstLine="480"/>
        <w:rPr>
          <w:rFonts w:ascii="宋体" w:hAnsi="宋体" w:cs="宋体"/>
          <w:sz w:val="24"/>
        </w:rPr>
      </w:pPr>
      <w:r>
        <w:rPr>
          <w:rFonts w:hint="eastAsia" w:ascii="宋体" w:hAnsi="宋体" w:cs="宋体"/>
          <w:sz w:val="24"/>
        </w:rPr>
        <w:t>（3）报警及控制动作检测和校对</w:t>
      </w:r>
    </w:p>
    <w:p>
      <w:pPr>
        <w:adjustRightInd w:val="0"/>
        <w:snapToGrid w:val="0"/>
        <w:spacing w:line="460" w:lineRule="exact"/>
        <w:ind w:firstLine="480"/>
        <w:rPr>
          <w:rFonts w:ascii="宋体" w:hAnsi="宋体" w:cs="宋体"/>
          <w:sz w:val="24"/>
        </w:rPr>
      </w:pPr>
      <w:r>
        <w:rPr>
          <w:rFonts w:hint="eastAsia" w:ascii="宋体" w:hAnsi="宋体" w:cs="宋体"/>
          <w:sz w:val="24"/>
        </w:rPr>
        <w:t>1.水箱式增压设备报警及控制动作检测和校对：水箱液位上限报警和关阀、 水箱液位下限报警和停泵、管路缺水报警及停泵保护、电动阀门远程控制、水泵故障报警及远程控制、出水压力远程调节、超压报警、变频器报警等。</w:t>
      </w:r>
    </w:p>
    <w:p>
      <w:pPr>
        <w:adjustRightInd w:val="0"/>
        <w:snapToGrid w:val="0"/>
        <w:spacing w:line="460" w:lineRule="exact"/>
        <w:ind w:firstLine="480"/>
        <w:rPr>
          <w:rFonts w:ascii="宋体" w:hAnsi="宋体" w:cs="宋体"/>
          <w:sz w:val="24"/>
        </w:rPr>
      </w:pPr>
      <w:r>
        <w:rPr>
          <w:rFonts w:hint="eastAsia" w:ascii="宋体" w:hAnsi="宋体" w:cs="宋体"/>
          <w:sz w:val="24"/>
        </w:rPr>
        <w:t>2.无负压增压设备报警及控制动作检测和校对：负压报警、真空报警及停泵 保护、电动阀门远程控制、水泵故障报警及远程控制、出水压力远程调节、超压报警、变频器报警等。</w:t>
      </w:r>
    </w:p>
    <w:p>
      <w:pPr>
        <w:adjustRightInd w:val="0"/>
        <w:snapToGrid w:val="0"/>
        <w:spacing w:line="460" w:lineRule="exact"/>
        <w:ind w:firstLine="480"/>
        <w:rPr>
          <w:rFonts w:ascii="宋体" w:hAnsi="宋体" w:cs="宋体"/>
          <w:sz w:val="24"/>
        </w:rPr>
      </w:pPr>
      <w:r>
        <w:rPr>
          <w:rFonts w:hint="eastAsia" w:ascii="宋体" w:hAnsi="宋体" w:cs="宋体"/>
          <w:sz w:val="24"/>
        </w:rPr>
        <w:t>3.泵房环境报警及控制动作检测和校对：水淹报警、门禁报警、烟感报警、摄像头远程控制。</w:t>
      </w:r>
    </w:p>
    <w:p>
      <w:pPr>
        <w:adjustRightInd w:val="0"/>
        <w:snapToGrid w:val="0"/>
        <w:spacing w:line="460" w:lineRule="exact"/>
        <w:ind w:firstLine="480"/>
        <w:rPr>
          <w:rFonts w:ascii="宋体" w:hAnsi="宋体" w:cs="宋体"/>
          <w:sz w:val="24"/>
        </w:rPr>
      </w:pPr>
      <w:r>
        <w:rPr>
          <w:rFonts w:hint="eastAsia" w:ascii="宋体" w:hAnsi="宋体" w:cs="宋体"/>
          <w:sz w:val="24"/>
        </w:rPr>
        <w:t>（4）供水监控平台值守和监控</w:t>
      </w:r>
    </w:p>
    <w:p>
      <w:pPr>
        <w:adjustRightInd w:val="0"/>
        <w:snapToGrid w:val="0"/>
        <w:spacing w:line="460" w:lineRule="exact"/>
        <w:ind w:firstLine="480"/>
        <w:rPr>
          <w:rFonts w:ascii="宋体" w:hAnsi="宋体" w:cs="宋体"/>
          <w:sz w:val="24"/>
        </w:rPr>
      </w:pPr>
      <w:r>
        <w:rPr>
          <w:rFonts w:hint="eastAsia" w:ascii="宋体" w:hAnsi="宋体" w:cs="宋体"/>
          <w:sz w:val="24"/>
        </w:rPr>
        <w:t>1.乙方必须安排人员对甲方提供的供水监控平台每天进行实时监控，发现停水、停泵，设备运行数据异常、泵房异常情况的，需及时派人到现场处理，并做好工单派发记录和反馈工作。</w:t>
      </w:r>
    </w:p>
    <w:p>
      <w:pPr>
        <w:adjustRightInd w:val="0"/>
        <w:snapToGrid w:val="0"/>
        <w:spacing w:line="460" w:lineRule="exact"/>
        <w:ind w:firstLine="480"/>
        <w:rPr>
          <w:rFonts w:ascii="宋体" w:hAnsi="宋体" w:cs="宋体"/>
          <w:strike/>
          <w:sz w:val="24"/>
        </w:rPr>
      </w:pPr>
      <w:r>
        <w:rPr>
          <w:rFonts w:hint="eastAsia" w:ascii="宋体" w:hAnsi="宋体" w:cs="宋体"/>
          <w:sz w:val="24"/>
        </w:rPr>
        <w:t>2.日常巡检和维护，需佩带手机，保证手机 APP 监控系统有效开启，按巡检维护制度做好手机巡检记录和工单派发回复，保证在监控平台有迹可循可查。</w:t>
      </w:r>
    </w:p>
    <w:p>
      <w:pPr>
        <w:adjustRightInd w:val="0"/>
        <w:snapToGrid w:val="0"/>
        <w:spacing w:line="460" w:lineRule="exact"/>
        <w:ind w:firstLine="480"/>
        <w:rPr>
          <w:rFonts w:ascii="宋体" w:hAnsi="宋体" w:cs="宋体"/>
          <w:sz w:val="24"/>
        </w:rPr>
      </w:pPr>
      <w:r>
        <w:rPr>
          <w:rFonts w:hint="eastAsia" w:ascii="宋体" w:hAnsi="宋体" w:cs="宋体"/>
          <w:sz w:val="24"/>
        </w:rPr>
        <w:t>2、泵站系统维保（每季度不少于一次）</w:t>
      </w:r>
    </w:p>
    <w:p>
      <w:pPr>
        <w:adjustRightInd w:val="0"/>
        <w:snapToGrid w:val="0"/>
        <w:spacing w:line="460" w:lineRule="exact"/>
        <w:ind w:firstLine="480"/>
        <w:rPr>
          <w:rFonts w:ascii="宋体" w:hAnsi="宋体" w:cs="宋体"/>
          <w:sz w:val="24"/>
        </w:rPr>
      </w:pPr>
      <w:r>
        <w:rPr>
          <w:rFonts w:hint="eastAsia" w:ascii="宋体" w:hAnsi="宋体" w:cs="宋体"/>
          <w:sz w:val="24"/>
        </w:rPr>
        <w:t>（1）控制柜系统维保</w:t>
      </w:r>
    </w:p>
    <w:p>
      <w:pPr>
        <w:adjustRightInd w:val="0"/>
        <w:snapToGrid w:val="0"/>
        <w:spacing w:line="460" w:lineRule="exact"/>
        <w:ind w:firstLine="480"/>
        <w:rPr>
          <w:rFonts w:ascii="宋体" w:hAnsi="宋体" w:cs="宋体"/>
          <w:sz w:val="24"/>
        </w:rPr>
      </w:pPr>
      <w:r>
        <w:rPr>
          <w:rFonts w:hint="eastAsia" w:ascii="宋体" w:hAnsi="宋体" w:cs="宋体"/>
          <w:sz w:val="24"/>
        </w:rPr>
        <w:t>1.检查电控柜的接地和接零性能。</w:t>
      </w:r>
    </w:p>
    <w:p>
      <w:pPr>
        <w:adjustRightInd w:val="0"/>
        <w:snapToGrid w:val="0"/>
        <w:spacing w:line="460" w:lineRule="exact"/>
        <w:ind w:firstLine="480"/>
        <w:rPr>
          <w:rFonts w:ascii="宋体" w:hAnsi="宋体" w:cs="宋体"/>
          <w:sz w:val="24"/>
        </w:rPr>
      </w:pPr>
      <w:r>
        <w:rPr>
          <w:rFonts w:hint="eastAsia" w:ascii="宋体" w:hAnsi="宋体" w:cs="宋体"/>
          <w:sz w:val="24"/>
        </w:rPr>
        <w:t>2.对控制柜内部元器件设备清扫除尘。</w:t>
      </w:r>
    </w:p>
    <w:p>
      <w:pPr>
        <w:adjustRightInd w:val="0"/>
        <w:snapToGrid w:val="0"/>
        <w:spacing w:line="460" w:lineRule="exact"/>
        <w:ind w:firstLine="480"/>
        <w:rPr>
          <w:rFonts w:ascii="宋体" w:hAnsi="宋体" w:cs="宋体"/>
          <w:sz w:val="24"/>
        </w:rPr>
      </w:pPr>
      <w:r>
        <w:rPr>
          <w:rFonts w:hint="eastAsia" w:ascii="宋体" w:hAnsi="宋体" w:cs="宋体"/>
          <w:sz w:val="24"/>
        </w:rPr>
        <w:t>3.控制电路的显示接插件应无松动、裂纹、破损及变形。</w:t>
      </w:r>
    </w:p>
    <w:p>
      <w:pPr>
        <w:adjustRightInd w:val="0"/>
        <w:snapToGrid w:val="0"/>
        <w:spacing w:line="460" w:lineRule="exact"/>
        <w:ind w:firstLine="480"/>
        <w:rPr>
          <w:rFonts w:ascii="宋体" w:hAnsi="宋体" w:cs="宋体"/>
          <w:sz w:val="24"/>
        </w:rPr>
      </w:pPr>
      <w:r>
        <w:rPr>
          <w:rFonts w:hint="eastAsia" w:ascii="宋体" w:hAnsi="宋体" w:cs="宋体"/>
          <w:sz w:val="24"/>
        </w:rPr>
        <w:t>4.采用专业仪器检查电器元件的接线端子温升应在正常范围内。</w:t>
      </w:r>
    </w:p>
    <w:p>
      <w:pPr>
        <w:adjustRightInd w:val="0"/>
        <w:snapToGrid w:val="0"/>
        <w:spacing w:line="460" w:lineRule="exact"/>
        <w:ind w:firstLine="480"/>
        <w:rPr>
          <w:rFonts w:ascii="宋体" w:hAnsi="宋体" w:cs="宋体"/>
          <w:sz w:val="24"/>
        </w:rPr>
      </w:pPr>
      <w:r>
        <w:rPr>
          <w:rFonts w:hint="eastAsia" w:ascii="宋体" w:hAnsi="宋体" w:cs="宋体"/>
          <w:sz w:val="24"/>
        </w:rPr>
        <w:t>5.检查电器元件触头可靠动作，无卡阻现象。</w:t>
      </w:r>
    </w:p>
    <w:p>
      <w:pPr>
        <w:adjustRightInd w:val="0"/>
        <w:snapToGrid w:val="0"/>
        <w:spacing w:line="460" w:lineRule="exact"/>
        <w:ind w:firstLine="480"/>
        <w:rPr>
          <w:rFonts w:ascii="宋体" w:hAnsi="宋体" w:cs="宋体"/>
          <w:sz w:val="24"/>
        </w:rPr>
      </w:pPr>
      <w:r>
        <w:rPr>
          <w:rFonts w:hint="eastAsia" w:ascii="宋体" w:hAnsi="宋体" w:cs="宋体"/>
          <w:sz w:val="24"/>
        </w:rPr>
        <w:t>6.检查电器元件端子接线无松动。</w:t>
      </w:r>
    </w:p>
    <w:p>
      <w:pPr>
        <w:adjustRightInd w:val="0"/>
        <w:snapToGrid w:val="0"/>
        <w:spacing w:line="460" w:lineRule="exact"/>
        <w:ind w:firstLine="480"/>
        <w:rPr>
          <w:rFonts w:ascii="宋体" w:hAnsi="宋体" w:cs="宋体"/>
          <w:sz w:val="24"/>
        </w:rPr>
      </w:pPr>
      <w:r>
        <w:rPr>
          <w:rFonts w:hint="eastAsia" w:ascii="宋体" w:hAnsi="宋体" w:cs="宋体"/>
          <w:sz w:val="24"/>
        </w:rPr>
        <w:t>7.检查全部接线端子接地良好，无松动。</w:t>
      </w:r>
    </w:p>
    <w:p>
      <w:pPr>
        <w:adjustRightInd w:val="0"/>
        <w:snapToGrid w:val="0"/>
        <w:spacing w:line="460" w:lineRule="exact"/>
        <w:ind w:firstLine="480"/>
        <w:rPr>
          <w:rFonts w:ascii="宋体" w:hAnsi="宋体" w:cs="宋体"/>
          <w:sz w:val="24"/>
        </w:rPr>
      </w:pPr>
      <w:r>
        <w:rPr>
          <w:rFonts w:hint="eastAsia" w:ascii="宋体" w:hAnsi="宋体" w:cs="宋体"/>
          <w:sz w:val="24"/>
        </w:rPr>
        <w:t>8.监测仪表和显示屏各项数据应正确、显示清晰。</w:t>
      </w:r>
    </w:p>
    <w:p>
      <w:pPr>
        <w:adjustRightInd w:val="0"/>
        <w:snapToGrid w:val="0"/>
        <w:spacing w:line="460" w:lineRule="exact"/>
        <w:ind w:firstLine="480"/>
        <w:rPr>
          <w:rFonts w:ascii="宋体" w:hAnsi="宋体" w:cs="宋体"/>
          <w:sz w:val="24"/>
        </w:rPr>
      </w:pPr>
      <w:r>
        <w:rPr>
          <w:rFonts w:hint="eastAsia" w:ascii="宋体" w:hAnsi="宋体" w:cs="宋体"/>
          <w:sz w:val="24"/>
        </w:rPr>
        <w:t>9.控制柜通风扇应正常运转，温控调节和开启应正常运作，通风孔无堵塞。</w:t>
      </w:r>
    </w:p>
    <w:p>
      <w:pPr>
        <w:adjustRightInd w:val="0"/>
        <w:snapToGrid w:val="0"/>
        <w:spacing w:line="460" w:lineRule="exact"/>
        <w:ind w:firstLine="480"/>
        <w:rPr>
          <w:rFonts w:ascii="宋体" w:hAnsi="宋体" w:cs="宋体"/>
          <w:sz w:val="24"/>
        </w:rPr>
      </w:pPr>
      <w:r>
        <w:rPr>
          <w:rFonts w:hint="eastAsia" w:ascii="宋体" w:hAnsi="宋体" w:cs="宋体"/>
          <w:sz w:val="24"/>
        </w:rPr>
        <w:t>10.泵站PLC程序定期备份。</w:t>
      </w:r>
    </w:p>
    <w:p>
      <w:pPr>
        <w:adjustRightInd w:val="0"/>
        <w:snapToGrid w:val="0"/>
        <w:spacing w:line="460" w:lineRule="exact"/>
        <w:ind w:firstLine="480"/>
        <w:rPr>
          <w:rFonts w:ascii="宋体" w:hAnsi="宋体" w:cs="宋体"/>
          <w:sz w:val="24"/>
        </w:rPr>
      </w:pPr>
      <w:r>
        <w:rPr>
          <w:rFonts w:hint="eastAsia" w:ascii="宋体" w:hAnsi="宋体" w:cs="宋体"/>
          <w:sz w:val="24"/>
        </w:rPr>
        <w:t>（2）水泵机组系统维保</w:t>
      </w:r>
    </w:p>
    <w:p>
      <w:pPr>
        <w:adjustRightInd w:val="0"/>
        <w:snapToGrid w:val="0"/>
        <w:spacing w:line="460" w:lineRule="exact"/>
        <w:ind w:firstLine="480"/>
        <w:rPr>
          <w:rFonts w:ascii="宋体" w:hAnsi="宋体" w:cs="宋体"/>
          <w:sz w:val="24"/>
        </w:rPr>
      </w:pPr>
      <w:r>
        <w:rPr>
          <w:rFonts w:hint="eastAsia" w:ascii="宋体" w:hAnsi="宋体" w:cs="宋体"/>
          <w:sz w:val="24"/>
        </w:rPr>
        <w:t xml:space="preserve">1.水泵、电机补充或更换轴承内的润滑油，并检测油质变化情况。 </w:t>
      </w:r>
    </w:p>
    <w:p>
      <w:pPr>
        <w:adjustRightInd w:val="0"/>
        <w:snapToGrid w:val="0"/>
        <w:spacing w:line="460" w:lineRule="exact"/>
        <w:ind w:firstLine="480"/>
        <w:rPr>
          <w:rFonts w:ascii="宋体" w:hAnsi="宋体" w:cs="宋体"/>
          <w:sz w:val="24"/>
        </w:rPr>
      </w:pPr>
      <w:r>
        <w:rPr>
          <w:rFonts w:hint="eastAsia" w:ascii="宋体" w:hAnsi="宋体" w:cs="宋体"/>
          <w:sz w:val="24"/>
        </w:rPr>
        <w:t>2.检查水泵填料、密封，根据使用情况随时添加、更换填料或密封，防止泄露。</w:t>
      </w:r>
    </w:p>
    <w:p>
      <w:pPr>
        <w:adjustRightInd w:val="0"/>
        <w:snapToGrid w:val="0"/>
        <w:spacing w:line="460" w:lineRule="exact"/>
        <w:ind w:firstLine="480"/>
        <w:rPr>
          <w:rFonts w:ascii="宋体" w:hAnsi="宋体" w:cs="宋体"/>
          <w:sz w:val="24"/>
        </w:rPr>
      </w:pPr>
      <w:r>
        <w:rPr>
          <w:rFonts w:hint="eastAsia" w:ascii="宋体" w:hAnsi="宋体" w:cs="宋体"/>
          <w:sz w:val="24"/>
        </w:rPr>
        <w:t>3.在运行中实测机组的震动状况，并予以调整，以保证电机和水泵在运行中达到同心。</w:t>
      </w:r>
    </w:p>
    <w:p>
      <w:pPr>
        <w:adjustRightInd w:val="0"/>
        <w:snapToGrid w:val="0"/>
        <w:spacing w:line="460" w:lineRule="exact"/>
        <w:ind w:firstLine="480"/>
        <w:rPr>
          <w:rFonts w:ascii="宋体" w:hAnsi="宋体" w:cs="宋体"/>
          <w:sz w:val="24"/>
        </w:rPr>
      </w:pPr>
      <w:r>
        <w:rPr>
          <w:rFonts w:hint="eastAsia" w:ascii="宋体" w:hAnsi="宋体" w:cs="宋体"/>
          <w:sz w:val="24"/>
        </w:rPr>
        <w:t>4.检查电机温度，温度过高时检查电气散热是否完好。</w:t>
      </w:r>
    </w:p>
    <w:p>
      <w:pPr>
        <w:adjustRightInd w:val="0"/>
        <w:snapToGrid w:val="0"/>
        <w:spacing w:line="460" w:lineRule="exact"/>
        <w:ind w:firstLine="480"/>
        <w:rPr>
          <w:rFonts w:ascii="宋体" w:hAnsi="宋体" w:cs="宋体"/>
          <w:sz w:val="24"/>
        </w:rPr>
      </w:pPr>
      <w:r>
        <w:rPr>
          <w:rFonts w:hint="eastAsia" w:ascii="宋体" w:hAnsi="宋体" w:cs="宋体"/>
          <w:sz w:val="24"/>
        </w:rPr>
        <w:t>5.检查电机的接地和绝缘情况，电机的绝缘电阻不应小于0.5兆欧。</w:t>
      </w:r>
    </w:p>
    <w:p>
      <w:pPr>
        <w:adjustRightInd w:val="0"/>
        <w:snapToGrid w:val="0"/>
        <w:spacing w:line="460" w:lineRule="exact"/>
        <w:ind w:firstLine="480"/>
        <w:rPr>
          <w:rFonts w:ascii="宋体" w:hAnsi="宋体" w:cs="宋体"/>
          <w:sz w:val="24"/>
        </w:rPr>
      </w:pPr>
      <w:r>
        <w:rPr>
          <w:rFonts w:hint="eastAsia" w:ascii="宋体" w:hAnsi="宋体" w:cs="宋体"/>
          <w:sz w:val="24"/>
        </w:rPr>
        <w:t>（3）泵房环境系统维保</w:t>
      </w:r>
    </w:p>
    <w:p>
      <w:pPr>
        <w:adjustRightInd w:val="0"/>
        <w:snapToGrid w:val="0"/>
        <w:spacing w:line="460" w:lineRule="exact"/>
        <w:ind w:firstLine="480"/>
        <w:rPr>
          <w:rFonts w:ascii="宋体" w:hAnsi="宋体" w:cs="宋体"/>
          <w:sz w:val="24"/>
        </w:rPr>
      </w:pPr>
      <w:r>
        <w:rPr>
          <w:rFonts w:hint="eastAsia" w:ascii="宋体" w:hAnsi="宋体" w:cs="宋体"/>
          <w:sz w:val="24"/>
        </w:rPr>
        <w:t>1.排风系统：需保证排风机正常运转，检查排风机控制开关的时间设定是否合理，检测自动、手动状态是否正常工作。</w:t>
      </w:r>
    </w:p>
    <w:p>
      <w:pPr>
        <w:adjustRightInd w:val="0"/>
        <w:snapToGrid w:val="0"/>
        <w:spacing w:line="460" w:lineRule="exact"/>
        <w:ind w:firstLine="480"/>
        <w:rPr>
          <w:rFonts w:ascii="宋体" w:hAnsi="宋体" w:cs="宋体"/>
          <w:sz w:val="24"/>
        </w:rPr>
      </w:pPr>
      <w:r>
        <w:rPr>
          <w:rFonts w:hint="eastAsia" w:ascii="宋体" w:hAnsi="宋体" w:cs="宋体"/>
          <w:sz w:val="24"/>
        </w:rPr>
        <w:t>2.排水系统：需保证各台排水泵正常运转，检测自动、手动状态是否正常工作。</w:t>
      </w:r>
    </w:p>
    <w:p>
      <w:pPr>
        <w:adjustRightInd w:val="0"/>
        <w:snapToGrid w:val="0"/>
        <w:spacing w:line="460" w:lineRule="exact"/>
        <w:ind w:firstLine="480"/>
        <w:rPr>
          <w:rFonts w:ascii="宋体" w:hAnsi="宋体" w:cs="宋体"/>
          <w:sz w:val="24"/>
        </w:rPr>
      </w:pPr>
      <w:r>
        <w:rPr>
          <w:rFonts w:hint="eastAsia" w:ascii="宋体" w:hAnsi="宋体" w:cs="宋体"/>
          <w:sz w:val="24"/>
        </w:rPr>
        <w:t>3.照明系统：检查泵房内各照明灯是否正常工作。</w:t>
      </w:r>
    </w:p>
    <w:p>
      <w:pPr>
        <w:adjustRightInd w:val="0"/>
        <w:snapToGrid w:val="0"/>
        <w:spacing w:line="460" w:lineRule="exact"/>
        <w:ind w:firstLine="480"/>
        <w:rPr>
          <w:rFonts w:ascii="宋体" w:hAnsi="宋体" w:cs="宋体"/>
          <w:sz w:val="24"/>
        </w:rPr>
      </w:pPr>
      <w:r>
        <w:rPr>
          <w:rFonts w:hint="eastAsia" w:ascii="宋体" w:hAnsi="宋体" w:cs="宋体"/>
          <w:sz w:val="24"/>
        </w:rPr>
        <w:t>4.安防系统：检测门禁开关是否正常工作，摄像头和硬盘录像机是否正常工作，网络通信是否正常。</w:t>
      </w:r>
    </w:p>
    <w:p>
      <w:pPr>
        <w:adjustRightInd w:val="0"/>
        <w:snapToGrid w:val="0"/>
        <w:spacing w:line="460" w:lineRule="exact"/>
        <w:ind w:firstLine="480"/>
        <w:rPr>
          <w:rFonts w:ascii="宋体" w:hAnsi="宋体" w:cs="宋体"/>
          <w:sz w:val="24"/>
        </w:rPr>
      </w:pPr>
      <w:r>
        <w:rPr>
          <w:rFonts w:hint="eastAsia" w:ascii="宋体" w:hAnsi="宋体" w:cs="宋体"/>
          <w:sz w:val="24"/>
        </w:rPr>
        <w:t>5.管道、阀门维护检测：检查泵房内所有管道和阀门，保证所有管道和阀门无渗漏；管道需除锈防腐处理的，需及时上报甲方。</w:t>
      </w:r>
    </w:p>
    <w:p>
      <w:pPr>
        <w:adjustRightInd w:val="0"/>
        <w:snapToGrid w:val="0"/>
        <w:spacing w:line="460" w:lineRule="exact"/>
        <w:ind w:firstLine="480"/>
        <w:rPr>
          <w:rFonts w:ascii="宋体" w:hAnsi="宋体" w:cs="宋体"/>
          <w:sz w:val="24"/>
        </w:rPr>
      </w:pPr>
      <w:r>
        <w:rPr>
          <w:rFonts w:hint="eastAsia" w:ascii="宋体" w:hAnsi="宋体" w:cs="宋体"/>
          <w:sz w:val="24"/>
        </w:rPr>
        <w:t>3、应急响应</w:t>
      </w:r>
    </w:p>
    <w:p>
      <w:pPr>
        <w:adjustRightInd w:val="0"/>
        <w:snapToGrid w:val="0"/>
        <w:spacing w:line="460" w:lineRule="exact"/>
        <w:ind w:firstLine="480"/>
        <w:rPr>
          <w:rFonts w:ascii="宋体" w:hAnsi="宋体" w:cs="宋体"/>
          <w:sz w:val="24"/>
        </w:rPr>
      </w:pPr>
      <w:r>
        <w:rPr>
          <w:rFonts w:hint="eastAsia" w:ascii="宋体" w:hAnsi="宋体" w:cs="宋体"/>
          <w:sz w:val="24"/>
        </w:rPr>
        <w:t>（1）监控平台出现持续报警的，发现异常问题的，需在十分钟内响应处理，如需到现场处理的，需及时到达现场。</w:t>
      </w:r>
    </w:p>
    <w:p>
      <w:pPr>
        <w:adjustRightInd w:val="0"/>
        <w:snapToGrid w:val="0"/>
        <w:spacing w:line="460" w:lineRule="exact"/>
        <w:ind w:firstLine="480"/>
        <w:rPr>
          <w:rFonts w:ascii="宋体" w:hAnsi="宋体" w:cs="宋体"/>
          <w:sz w:val="24"/>
        </w:rPr>
      </w:pPr>
      <w:r>
        <w:rPr>
          <w:rFonts w:hint="eastAsia" w:ascii="宋体" w:hAnsi="宋体" w:cs="宋体"/>
          <w:sz w:val="24"/>
        </w:rPr>
        <w:t>（2）甲方调度中心、供水管理部门要求应急响应的，接到保障通知后在（市区半小时内，其他地区1小时内）到达现场， 如遇特殊情况，要求乙方提供应急方案，3小时内保证供水。其他不影响供水的故障，无特殊情况，7天内修复。</w:t>
      </w:r>
    </w:p>
    <w:p>
      <w:pPr>
        <w:adjustRightInd w:val="0"/>
        <w:snapToGrid w:val="0"/>
        <w:spacing w:line="460" w:lineRule="exact"/>
        <w:ind w:firstLine="480"/>
        <w:rPr>
          <w:rFonts w:ascii="宋体" w:hAnsi="宋体" w:cs="宋体"/>
          <w:sz w:val="24"/>
        </w:rPr>
      </w:pPr>
      <w:r>
        <w:rPr>
          <w:rFonts w:hint="eastAsia" w:ascii="宋体" w:hAnsi="宋体" w:cs="宋体"/>
          <w:sz w:val="24"/>
        </w:rPr>
        <w:t>（3）应急停水流程：当发现供水受到污染时，应立即停止供水，并采取应急措施，保障居民日常生活用水，同时报告相关管理部门并协助相关部门进行调查处 理。因设备故障或者紧急抢修不能提前通知时，应在抢修的同时通知甲方并协助甲方采取应急措施供水。</w:t>
      </w:r>
    </w:p>
    <w:p>
      <w:pPr>
        <w:adjustRightInd w:val="0"/>
        <w:snapToGrid w:val="0"/>
        <w:spacing w:line="460" w:lineRule="exact"/>
        <w:ind w:firstLine="480"/>
        <w:rPr>
          <w:rFonts w:ascii="宋体" w:hAnsi="宋体" w:cs="宋体"/>
          <w:sz w:val="24"/>
        </w:rPr>
      </w:pPr>
      <w:r>
        <w:rPr>
          <w:rFonts w:hint="eastAsia" w:ascii="宋体" w:hAnsi="宋体" w:cs="宋体"/>
          <w:sz w:val="24"/>
        </w:rPr>
        <w:t>（4）突发事件处置完毕后，应对处置过程进行总结，对产生突发事件的原因进 行分析，对应急处置过程的人员、职责分工、应急处理流程、应急物资调配、通信联络是否畅通等情况进行回顾梳理，总结经验教训，提高团队实战能力，并将结果汇报给甲方。</w:t>
      </w:r>
    </w:p>
    <w:p>
      <w:pPr>
        <w:adjustRightInd w:val="0"/>
        <w:snapToGrid w:val="0"/>
        <w:spacing w:line="460" w:lineRule="exact"/>
        <w:ind w:firstLine="480"/>
        <w:rPr>
          <w:rFonts w:ascii="宋体" w:hAnsi="宋体" w:cs="宋体"/>
          <w:sz w:val="24"/>
        </w:rPr>
      </w:pPr>
      <w:r>
        <w:rPr>
          <w:rFonts w:hint="eastAsia" w:ascii="宋体" w:hAnsi="宋体" w:cs="宋体"/>
          <w:sz w:val="24"/>
        </w:rPr>
        <w:t>（5）乙方应根据甲方制定的应急处置预案，参与甲方每年进行的预案演练。预案应包括：处置突发事件的人员分工和各自职责；处置突发事件的工作流程；应急物资储备和存放；发现突发事件应立即报告业主单位相关人员。</w:t>
      </w:r>
    </w:p>
    <w:p>
      <w:pPr>
        <w:adjustRightInd w:val="0"/>
        <w:snapToGrid w:val="0"/>
        <w:spacing w:line="460" w:lineRule="exact"/>
        <w:ind w:firstLine="480"/>
        <w:rPr>
          <w:rFonts w:ascii="宋体" w:hAnsi="宋体" w:cs="宋体"/>
          <w:sz w:val="24"/>
        </w:rPr>
      </w:pPr>
      <w:r>
        <w:rPr>
          <w:rFonts w:hint="eastAsia" w:ascii="宋体" w:hAnsi="宋体" w:cs="宋体"/>
          <w:sz w:val="24"/>
        </w:rPr>
        <w:t>4、项目团队人员配备要求</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2862"/>
        <w:gridCol w:w="2613"/>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序号</w:t>
            </w:r>
          </w:p>
        </w:tc>
        <w:tc>
          <w:tcPr>
            <w:tcW w:w="2862"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岗位</w:t>
            </w:r>
          </w:p>
        </w:tc>
        <w:tc>
          <w:tcPr>
            <w:tcW w:w="2613"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人员要求</w:t>
            </w:r>
          </w:p>
        </w:tc>
        <w:tc>
          <w:tcPr>
            <w:tcW w:w="2050"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1</w:t>
            </w:r>
          </w:p>
        </w:tc>
        <w:tc>
          <w:tcPr>
            <w:tcW w:w="2862"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项目负责人</w:t>
            </w:r>
          </w:p>
        </w:tc>
        <w:tc>
          <w:tcPr>
            <w:tcW w:w="2613"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1人</w:t>
            </w:r>
          </w:p>
        </w:tc>
        <w:tc>
          <w:tcPr>
            <w:tcW w:w="2050" w:type="dxa"/>
            <w:vAlign w:val="center"/>
          </w:tcPr>
          <w:p>
            <w:pPr>
              <w:adjustRightInd w:val="0"/>
              <w:snapToGrid w:val="0"/>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2</w:t>
            </w:r>
          </w:p>
        </w:tc>
        <w:tc>
          <w:tcPr>
            <w:tcW w:w="2862"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巡检人员、抢修人员</w:t>
            </w:r>
          </w:p>
        </w:tc>
        <w:tc>
          <w:tcPr>
            <w:tcW w:w="2613"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至少2人</w:t>
            </w:r>
          </w:p>
        </w:tc>
        <w:tc>
          <w:tcPr>
            <w:tcW w:w="2050" w:type="dxa"/>
            <w:vAlign w:val="center"/>
          </w:tcPr>
          <w:p>
            <w:pPr>
              <w:adjustRightInd w:val="0"/>
              <w:snapToGrid w:val="0"/>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3</w:t>
            </w:r>
          </w:p>
        </w:tc>
        <w:tc>
          <w:tcPr>
            <w:tcW w:w="2862"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驻场值守人员</w:t>
            </w:r>
          </w:p>
        </w:tc>
        <w:tc>
          <w:tcPr>
            <w:tcW w:w="2613" w:type="dxa"/>
            <w:vAlign w:val="center"/>
          </w:tcPr>
          <w:p>
            <w:pPr>
              <w:adjustRightInd w:val="0"/>
              <w:snapToGrid w:val="0"/>
              <w:spacing w:line="460" w:lineRule="exact"/>
              <w:jc w:val="center"/>
              <w:rPr>
                <w:rFonts w:ascii="宋体" w:hAnsi="宋体" w:cs="宋体"/>
                <w:sz w:val="24"/>
              </w:rPr>
            </w:pPr>
            <w:r>
              <w:rPr>
                <w:rFonts w:hint="eastAsia" w:ascii="宋体" w:hAnsi="宋体" w:cs="宋体"/>
                <w:sz w:val="24"/>
              </w:rPr>
              <w:t>1人</w:t>
            </w:r>
          </w:p>
        </w:tc>
        <w:tc>
          <w:tcPr>
            <w:tcW w:w="2050" w:type="dxa"/>
            <w:vAlign w:val="center"/>
          </w:tcPr>
          <w:p>
            <w:pPr>
              <w:adjustRightInd w:val="0"/>
              <w:snapToGrid w:val="0"/>
              <w:spacing w:line="460" w:lineRule="exact"/>
              <w:jc w:val="center"/>
              <w:rPr>
                <w:rFonts w:ascii="宋体" w:hAnsi="宋体" w:cs="宋体"/>
                <w:sz w:val="24"/>
              </w:rPr>
            </w:pPr>
            <w:r>
              <w:rPr>
                <w:rFonts w:hint="eastAsia" w:ascii="宋体" w:hAnsi="宋体" w:cs="宋体"/>
                <w:color w:val="FF0000"/>
                <w:sz w:val="24"/>
              </w:rPr>
              <w:t>双楼泵站</w:t>
            </w:r>
          </w:p>
        </w:tc>
      </w:tr>
    </w:tbl>
    <w:p>
      <w:pPr>
        <w:adjustRightInd w:val="0"/>
        <w:snapToGrid w:val="0"/>
        <w:spacing w:line="460" w:lineRule="exact"/>
        <w:ind w:firstLine="480"/>
        <w:rPr>
          <w:rFonts w:ascii="宋体" w:hAnsi="宋体" w:cs="宋体"/>
          <w:sz w:val="24"/>
        </w:rPr>
      </w:pPr>
      <w:r>
        <w:rPr>
          <w:rFonts w:hint="eastAsia" w:ascii="宋体" w:hAnsi="宋体" w:cs="宋体"/>
          <w:sz w:val="24"/>
        </w:rPr>
        <w:t>（三）服务响应及材料费用情况</w:t>
      </w:r>
    </w:p>
    <w:p>
      <w:pPr>
        <w:adjustRightInd w:val="0"/>
        <w:snapToGrid w:val="0"/>
        <w:spacing w:line="460" w:lineRule="exact"/>
        <w:ind w:firstLine="480"/>
        <w:rPr>
          <w:rFonts w:ascii="宋体" w:hAnsi="宋体" w:cs="宋体"/>
          <w:sz w:val="24"/>
        </w:rPr>
      </w:pPr>
      <w:r>
        <w:rPr>
          <w:rFonts w:hint="eastAsia" w:ascii="宋体" w:hAnsi="宋体" w:cs="宋体"/>
          <w:sz w:val="24"/>
        </w:rPr>
        <w:t>1、故障响应时间：接到报障通知后在(市区半小时内，其它地区1小时内) 到达现场，如遇特殊情况，要求乙方可提供应急方案，3小时内保证供水。其他不影响供水的故障，7天内修复。</w:t>
      </w:r>
    </w:p>
    <w:p>
      <w:pPr>
        <w:adjustRightInd w:val="0"/>
        <w:snapToGrid w:val="0"/>
        <w:spacing w:line="460" w:lineRule="exact"/>
        <w:ind w:firstLine="480"/>
        <w:rPr>
          <w:rFonts w:ascii="宋体" w:hAnsi="宋体" w:cs="宋体"/>
          <w:sz w:val="24"/>
        </w:rPr>
      </w:pPr>
      <w:r>
        <w:rPr>
          <w:rFonts w:hint="eastAsia" w:ascii="宋体" w:hAnsi="宋体" w:cs="宋体"/>
          <w:sz w:val="24"/>
        </w:rPr>
        <w:t>2、加压供水设备在质保期内出现问题：成套供水设备由甲方联系设备厂家，敦促设备厂家按照合同相关条款履约职责。厂家在维修过程中，乙方应配合甲方对设备厂家的维修过程进行监督，维修和处理情况由乙方及时通过手机APP巡检系统上报，并由做好相关记录。</w:t>
      </w:r>
    </w:p>
    <w:p>
      <w:pPr>
        <w:adjustRightInd w:val="0"/>
        <w:snapToGrid w:val="0"/>
        <w:spacing w:line="460" w:lineRule="exact"/>
        <w:ind w:firstLine="480"/>
        <w:rPr>
          <w:rFonts w:ascii="宋体" w:hAnsi="宋体" w:cs="宋体"/>
          <w:sz w:val="24"/>
        </w:rPr>
      </w:pPr>
      <w:r>
        <w:rPr>
          <w:rFonts w:hint="eastAsia" w:ascii="宋体" w:hAnsi="宋体" w:cs="宋体"/>
          <w:sz w:val="24"/>
        </w:rPr>
        <w:t>3、加压供水设备在质保期外出现问题：乙方及时通知甲方。甲方可以自行联系设备厂家更换维修；也可以委托乙方进行设备零部件采购、维修，甲方只承担相关材料采购费用。维修和处理情况由乙方及时通过手机APP巡检系统上报，并由做好相关记录，以便随时查询。维修过程由甲方进行全过程监督。</w:t>
      </w:r>
    </w:p>
    <w:p>
      <w:pPr>
        <w:adjustRightInd w:val="0"/>
        <w:snapToGrid w:val="0"/>
        <w:spacing w:line="460" w:lineRule="exact"/>
        <w:ind w:firstLine="480"/>
        <w:rPr>
          <w:rFonts w:ascii="宋体" w:hAnsi="宋体" w:cs="宋体"/>
          <w:sz w:val="24"/>
        </w:rPr>
      </w:pPr>
      <w:r>
        <w:rPr>
          <w:rFonts w:hint="eastAsia" w:ascii="宋体" w:hAnsi="宋体" w:cs="宋体"/>
          <w:sz w:val="24"/>
        </w:rPr>
        <w:t>4、设备维修和更换：专业维保发现设备故障无法修复的，或发现设备带病工作需定期更换的，向甲方上报设备更换清单，由甲方自采或委托乙方购齐后由乙方施工维修。材料采购费用由甲方承担。</w:t>
      </w:r>
    </w:p>
    <w:p>
      <w:pPr>
        <w:adjustRightInd w:val="0"/>
        <w:snapToGrid w:val="0"/>
        <w:spacing w:line="460" w:lineRule="exact"/>
        <w:ind w:firstLine="480"/>
        <w:rPr>
          <w:rFonts w:ascii="宋体" w:hAnsi="宋体" w:cs="宋体"/>
          <w:sz w:val="24"/>
        </w:rPr>
      </w:pPr>
      <w:r>
        <w:rPr>
          <w:rFonts w:hint="eastAsia" w:ascii="宋体" w:hAnsi="宋体" w:cs="宋体"/>
          <w:sz w:val="24"/>
        </w:rPr>
        <w:t>5、在线水质监测仪器仪表耗材及更换件需采用原厂正品，需要更换时，向甲方上报设备更换清单，由甲方自采或委托乙方购齐后由乙方施工维修。委托乙方采购的，乙方需事先提供耗材单价表，由甲方同意后才能进行采购事项。</w:t>
      </w:r>
    </w:p>
    <w:p>
      <w:pPr>
        <w:adjustRightInd w:val="0"/>
        <w:snapToGrid w:val="0"/>
        <w:spacing w:line="460" w:lineRule="exact"/>
        <w:ind w:firstLine="480"/>
        <w:rPr>
          <w:rFonts w:ascii="宋体" w:hAnsi="宋体" w:cs="宋体"/>
          <w:sz w:val="24"/>
          <w:lang w:val="zh-CN"/>
        </w:rPr>
      </w:pPr>
      <w:r>
        <w:rPr>
          <w:rFonts w:hint="eastAsia" w:ascii="宋体" w:hAnsi="宋体" w:cs="宋体"/>
          <w:sz w:val="24"/>
        </w:rPr>
        <w:t>二</w:t>
      </w:r>
      <w:r>
        <w:rPr>
          <w:rFonts w:hint="eastAsia" w:ascii="宋体" w:hAnsi="宋体" w:cs="宋体"/>
          <w:sz w:val="24"/>
          <w:lang w:val="zh-CN"/>
        </w:rPr>
        <w:t>、</w:t>
      </w:r>
      <w:r>
        <w:rPr>
          <w:rFonts w:hint="eastAsia" w:ascii="宋体" w:hAnsi="宋体" w:cs="宋体"/>
          <w:sz w:val="24"/>
        </w:rPr>
        <w:t>服务</w:t>
      </w:r>
      <w:r>
        <w:rPr>
          <w:rFonts w:hint="eastAsia" w:ascii="宋体" w:hAnsi="宋体" w:cs="宋体"/>
          <w:sz w:val="24"/>
          <w:lang w:val="zh-CN"/>
        </w:rPr>
        <w:t>期</w:t>
      </w:r>
    </w:p>
    <w:p>
      <w:pPr>
        <w:adjustRightInd w:val="0"/>
        <w:snapToGrid w:val="0"/>
        <w:spacing w:line="460" w:lineRule="exact"/>
        <w:ind w:firstLine="480"/>
        <w:rPr>
          <w:rFonts w:ascii="宋体" w:hAnsi="宋体" w:cs="宋体"/>
          <w:sz w:val="24"/>
        </w:rPr>
      </w:pPr>
      <w:r>
        <w:rPr>
          <w:rFonts w:hint="eastAsia" w:ascii="宋体" w:hAnsi="宋体" w:cs="宋体"/>
          <w:sz w:val="24"/>
        </w:rPr>
        <w:t>合同生效后，供应商在收到采购人发出的运维管理服务通知后满一年，具体时间以通知上载明的时间为准。</w:t>
      </w:r>
    </w:p>
    <w:p>
      <w:pPr>
        <w:adjustRightInd w:val="0"/>
        <w:snapToGrid w:val="0"/>
        <w:spacing w:line="460" w:lineRule="exact"/>
        <w:ind w:firstLine="480"/>
        <w:rPr>
          <w:rFonts w:ascii="宋体" w:hAnsi="宋体" w:cs="宋体"/>
          <w:sz w:val="24"/>
          <w:lang w:val="zh-CN"/>
        </w:rPr>
      </w:pPr>
      <w:r>
        <w:rPr>
          <w:rFonts w:hint="eastAsia" w:ascii="宋体" w:hAnsi="宋体" w:cs="宋体"/>
          <w:sz w:val="24"/>
        </w:rPr>
        <w:t>三</w:t>
      </w:r>
      <w:r>
        <w:rPr>
          <w:rFonts w:hint="eastAsia" w:ascii="宋体" w:hAnsi="宋体" w:cs="宋体"/>
          <w:sz w:val="24"/>
          <w:lang w:val="zh-CN"/>
        </w:rPr>
        <w:t>、</w:t>
      </w:r>
      <w:r>
        <w:rPr>
          <w:rFonts w:hint="eastAsia" w:ascii="宋体" w:hAnsi="宋体" w:cs="宋体"/>
          <w:sz w:val="24"/>
        </w:rPr>
        <w:t>付款方式</w:t>
      </w:r>
    </w:p>
    <w:p>
      <w:pPr>
        <w:adjustRightInd w:val="0"/>
        <w:snapToGrid w:val="0"/>
        <w:spacing w:line="460" w:lineRule="exact"/>
        <w:ind w:firstLine="480"/>
        <w:rPr>
          <w:rFonts w:ascii="宋体" w:hAnsi="宋体" w:cs="宋体"/>
          <w:sz w:val="24"/>
        </w:rPr>
      </w:pPr>
      <w:r>
        <w:rPr>
          <w:rFonts w:hint="eastAsia" w:ascii="宋体" w:hAnsi="宋体" w:cs="宋体"/>
          <w:sz w:val="24"/>
        </w:rPr>
        <w:t>合同签订后，服务费每三个月进行支付，中标供应商完成当季约定的全部工作内容后10日内支付合同价的25%。</w:t>
      </w:r>
    </w:p>
    <w:p>
      <w:pPr>
        <w:adjustRightInd w:val="0"/>
        <w:snapToGrid w:val="0"/>
        <w:spacing w:line="460" w:lineRule="exact"/>
        <w:ind w:firstLine="480"/>
        <w:rPr>
          <w:rFonts w:ascii="宋体" w:hAnsi="宋体" w:cs="宋体"/>
          <w:sz w:val="24"/>
        </w:rPr>
      </w:pPr>
      <w:r>
        <w:rPr>
          <w:rFonts w:hint="eastAsia" w:ascii="宋体" w:hAnsi="宋体" w:cs="宋体"/>
          <w:sz w:val="24"/>
        </w:rPr>
        <w:t>四、因本合同而引起的纠纷采用以下方式解决：</w:t>
      </w:r>
    </w:p>
    <w:p>
      <w:pPr>
        <w:adjustRightInd w:val="0"/>
        <w:snapToGrid w:val="0"/>
        <w:spacing w:line="460" w:lineRule="exact"/>
        <w:ind w:firstLine="480"/>
        <w:rPr>
          <w:rFonts w:ascii="宋体" w:hAnsi="宋体" w:cs="宋体"/>
          <w:sz w:val="24"/>
        </w:rPr>
      </w:pPr>
      <w:r>
        <w:rPr>
          <w:rFonts w:hint="eastAsia" w:ascii="宋体" w:hAnsi="宋体" w:cs="宋体"/>
          <w:sz w:val="24"/>
        </w:rPr>
        <w:t>1、本合同签订地为临海市，凡有关本合同或执行本合同中发生的争端，甲乙双方应通过友好协商，妥善解决。如通过协商仍不能解决时，可向当地人民法院起诉。</w:t>
      </w:r>
    </w:p>
    <w:p>
      <w:pPr>
        <w:adjustRightInd w:val="0"/>
        <w:snapToGrid w:val="0"/>
        <w:spacing w:line="460" w:lineRule="exact"/>
        <w:ind w:firstLine="480"/>
        <w:rPr>
          <w:rFonts w:ascii="宋体" w:hAnsi="宋体" w:cs="宋体"/>
          <w:sz w:val="24"/>
        </w:rPr>
      </w:pPr>
      <w:r>
        <w:rPr>
          <w:rFonts w:hint="eastAsia" w:ascii="宋体" w:hAnsi="宋体" w:cs="宋体"/>
          <w:sz w:val="24"/>
        </w:rPr>
        <w:t>2、诉讼费用除裁决机构另有裁决外，由败诉方承担。</w:t>
      </w:r>
    </w:p>
    <w:p>
      <w:pPr>
        <w:adjustRightInd w:val="0"/>
        <w:snapToGrid w:val="0"/>
        <w:spacing w:line="460" w:lineRule="exact"/>
        <w:ind w:firstLine="480"/>
        <w:rPr>
          <w:rFonts w:ascii="宋体" w:hAnsi="宋体" w:cs="宋体"/>
          <w:sz w:val="24"/>
        </w:rPr>
      </w:pPr>
      <w:r>
        <w:rPr>
          <w:rFonts w:hint="eastAsia" w:ascii="宋体" w:hAnsi="宋体" w:cs="宋体"/>
          <w:sz w:val="24"/>
        </w:rPr>
        <w:t>3、在诉讼期间，除正在进行诉讼的部分外，本合同其他部分应继续执行。</w:t>
      </w:r>
    </w:p>
    <w:p>
      <w:pPr>
        <w:adjustRightInd w:val="0"/>
        <w:snapToGrid w:val="0"/>
        <w:spacing w:line="460" w:lineRule="exact"/>
        <w:ind w:firstLine="480"/>
        <w:rPr>
          <w:rFonts w:ascii="宋体" w:hAnsi="宋体" w:cs="宋体"/>
          <w:sz w:val="24"/>
        </w:rPr>
      </w:pPr>
      <w:r>
        <w:rPr>
          <w:rFonts w:hint="eastAsia" w:ascii="宋体" w:hAnsi="宋体" w:cs="宋体"/>
          <w:sz w:val="24"/>
        </w:rPr>
        <w:t>五、其他约定事项：</w:t>
      </w:r>
    </w:p>
    <w:p>
      <w:pPr>
        <w:adjustRightInd w:val="0"/>
        <w:snapToGrid w:val="0"/>
        <w:spacing w:line="460" w:lineRule="exact"/>
        <w:ind w:firstLine="480"/>
        <w:rPr>
          <w:rFonts w:ascii="宋体" w:hAnsi="宋体" w:cs="宋体"/>
          <w:sz w:val="24"/>
        </w:rPr>
      </w:pPr>
      <w:r>
        <w:rPr>
          <w:rFonts w:hint="eastAsia" w:ascii="宋体" w:hAnsi="宋体" w:cs="宋体"/>
          <w:sz w:val="24"/>
        </w:rPr>
        <w:t>1、在合同签订前，由采购人陪同供应商熟悉其辖区管网延伸加压泵站泵房具体所在位置，以便日后顺利开展维保工作。</w:t>
      </w:r>
    </w:p>
    <w:p>
      <w:pPr>
        <w:adjustRightInd w:val="0"/>
        <w:snapToGrid w:val="0"/>
        <w:spacing w:line="460" w:lineRule="exact"/>
        <w:ind w:firstLine="480"/>
        <w:rPr>
          <w:rFonts w:ascii="宋体" w:hAnsi="宋体" w:cs="宋体"/>
          <w:sz w:val="24"/>
        </w:rPr>
      </w:pPr>
      <w:r>
        <w:rPr>
          <w:rFonts w:hint="eastAsia" w:ascii="宋体" w:hAnsi="宋体" w:cs="宋体"/>
          <w:sz w:val="24"/>
        </w:rPr>
        <w:t>2、 甲方需提供相应的智慧水务平台账号和密码，并向乙方工作人员作相关的使用培训。</w:t>
      </w:r>
    </w:p>
    <w:p>
      <w:pPr>
        <w:adjustRightInd w:val="0"/>
        <w:snapToGrid w:val="0"/>
        <w:spacing w:line="460" w:lineRule="exact"/>
        <w:ind w:firstLine="480"/>
        <w:rPr>
          <w:rFonts w:ascii="宋体" w:hAnsi="宋体" w:cs="宋体"/>
          <w:sz w:val="24"/>
        </w:rPr>
      </w:pPr>
      <w:r>
        <w:rPr>
          <w:rFonts w:hint="eastAsia" w:ascii="宋体" w:hAnsi="宋体" w:cs="宋体"/>
          <w:sz w:val="24"/>
        </w:rPr>
        <w:t>3、为加强日常安全管理，乙方应采取必要的安全防范措施，应对突发事件的发生。</w:t>
      </w:r>
    </w:p>
    <w:p>
      <w:pPr>
        <w:adjustRightInd w:val="0"/>
        <w:snapToGrid w:val="0"/>
        <w:spacing w:line="460" w:lineRule="exact"/>
        <w:ind w:firstLine="480"/>
        <w:rPr>
          <w:rFonts w:ascii="宋体" w:hAnsi="宋体" w:cs="宋体"/>
          <w:sz w:val="24"/>
        </w:rPr>
      </w:pPr>
      <w:r>
        <w:rPr>
          <w:rFonts w:hint="eastAsia" w:ascii="宋体" w:hAnsi="宋体" w:cs="宋体"/>
          <w:sz w:val="24"/>
        </w:rPr>
        <w:t>（1）应确保泵房、水池(箱)等重点部位防护设施的正常工作，维护电子监控等相关安全防范设施的全年(含节假日)24小时正常运行。</w:t>
      </w:r>
    </w:p>
    <w:p>
      <w:pPr>
        <w:adjustRightInd w:val="0"/>
        <w:snapToGrid w:val="0"/>
        <w:spacing w:line="460" w:lineRule="exact"/>
        <w:ind w:firstLine="480"/>
        <w:rPr>
          <w:rFonts w:ascii="宋体" w:hAnsi="宋体" w:cs="宋体"/>
          <w:sz w:val="24"/>
        </w:rPr>
      </w:pPr>
      <w:r>
        <w:rPr>
          <w:rFonts w:hint="eastAsia" w:ascii="宋体" w:hAnsi="宋体" w:cs="宋体"/>
          <w:sz w:val="24"/>
        </w:rPr>
        <w:t>（2）不得擅自改动、拆除、损坏和侵占供水设施。</w:t>
      </w:r>
    </w:p>
    <w:p>
      <w:pPr>
        <w:adjustRightInd w:val="0"/>
        <w:snapToGrid w:val="0"/>
        <w:spacing w:line="460" w:lineRule="exact"/>
        <w:ind w:firstLine="480"/>
        <w:rPr>
          <w:rFonts w:ascii="宋体" w:hAnsi="宋体" w:cs="宋体"/>
          <w:sz w:val="24"/>
        </w:rPr>
      </w:pPr>
      <w:r>
        <w:rPr>
          <w:rFonts w:hint="eastAsia" w:ascii="宋体" w:hAnsi="宋体" w:cs="宋体"/>
          <w:sz w:val="24"/>
        </w:rPr>
        <w:t>（3）定期巡视检查供水设备、设施运行，每周不少于1次。定期对泵站设备进行系统维护保养，每季度不少于1次。如发现系统运行异常或周边施工有可能危及管网时，应及时检修设备及上报业主方。定期检查压力表工作情况，记录压力参数。</w:t>
      </w:r>
    </w:p>
    <w:p>
      <w:pPr>
        <w:adjustRightInd w:val="0"/>
        <w:snapToGrid w:val="0"/>
        <w:spacing w:line="460" w:lineRule="exact"/>
        <w:ind w:firstLine="480"/>
        <w:rPr>
          <w:rFonts w:ascii="宋体" w:hAnsi="宋体" w:cs="宋体"/>
          <w:sz w:val="24"/>
        </w:rPr>
      </w:pPr>
      <w:r>
        <w:rPr>
          <w:rFonts w:hint="eastAsia" w:ascii="宋体" w:hAnsi="宋体" w:cs="宋体"/>
          <w:sz w:val="24"/>
        </w:rPr>
        <w:t>（4）泵房应建立出入登记管理制度，做好巡检记录表。</w:t>
      </w:r>
    </w:p>
    <w:p>
      <w:pPr>
        <w:adjustRightInd w:val="0"/>
        <w:snapToGrid w:val="0"/>
        <w:spacing w:line="460" w:lineRule="exact"/>
        <w:ind w:firstLine="480"/>
        <w:rPr>
          <w:rFonts w:ascii="宋体" w:hAnsi="宋体" w:cs="宋体"/>
          <w:sz w:val="24"/>
        </w:rPr>
      </w:pPr>
      <w:r>
        <w:rPr>
          <w:rFonts w:hint="eastAsia" w:ascii="宋体" w:hAnsi="宋体" w:cs="宋体"/>
          <w:sz w:val="24"/>
        </w:rPr>
        <w:t>（5）对泵房内的排水设施、生活水池(箱)的液位控制装置以及各类仪器仪表进行定期检查，以保证供水系统的安全正常运行。</w:t>
      </w:r>
    </w:p>
    <w:p>
      <w:pPr>
        <w:adjustRightInd w:val="0"/>
        <w:snapToGrid w:val="0"/>
        <w:spacing w:line="460" w:lineRule="exact"/>
        <w:ind w:firstLine="480"/>
        <w:rPr>
          <w:rFonts w:ascii="宋体" w:hAnsi="宋体" w:cs="宋体"/>
          <w:sz w:val="24"/>
        </w:rPr>
      </w:pPr>
      <w:r>
        <w:rPr>
          <w:rFonts w:hint="eastAsia" w:ascii="宋体" w:hAnsi="宋体" w:cs="宋体"/>
          <w:sz w:val="24"/>
        </w:rPr>
        <w:t>（6）负责供水系统的安全顺利运行。</w:t>
      </w:r>
    </w:p>
    <w:p>
      <w:pPr>
        <w:adjustRightInd w:val="0"/>
        <w:snapToGrid w:val="0"/>
        <w:spacing w:line="460" w:lineRule="exact"/>
        <w:ind w:firstLine="480"/>
        <w:rPr>
          <w:rFonts w:ascii="宋体" w:hAnsi="宋体" w:cs="宋体"/>
          <w:sz w:val="24"/>
        </w:rPr>
      </w:pPr>
      <w:r>
        <w:rPr>
          <w:rFonts w:hint="eastAsia" w:ascii="宋体" w:hAnsi="宋体" w:cs="宋体"/>
          <w:sz w:val="24"/>
        </w:rPr>
        <w:t>4、乙方必须加强对所有拟派人员的安全管理和教育，合同期内乙方所属所有 人员、车辆如发生纠纷或各种意外事故(包括给第三方造成损害),必须自行依照 法律法规妥善处理，与甲方无涉。如事件对甲方造成不良景响，则甲方有权提前终止合同，扣留履约保证金并保留追究乙方相关的责任和索赔。</w:t>
      </w:r>
    </w:p>
    <w:p>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pPr>
        <w:spacing w:line="340" w:lineRule="exact"/>
        <w:ind w:firstLine="443" w:firstLineChars="147"/>
        <w:jc w:val="center"/>
        <w:outlineLvl w:val="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第三章  投标人须知</w:t>
      </w:r>
      <w:bookmarkEnd w:id="7"/>
      <w:bookmarkEnd w:id="8"/>
    </w:p>
    <w:p>
      <w:pPr>
        <w:snapToGrid w:val="0"/>
        <w:spacing w:before="120" w:beforeLines="50" w:after="120" w:afterLines="50" w:line="280" w:lineRule="exact"/>
        <w:ind w:left="476"/>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前附表</w:t>
      </w:r>
    </w:p>
    <w:tbl>
      <w:tblPr>
        <w:tblStyle w:val="51"/>
        <w:tblW w:w="10023" w:type="dxa"/>
        <w:tblInd w:w="-5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9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9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286" w:type="dxa"/>
            <w:tcBorders>
              <w:top w:val="single" w:color="auto" w:sz="4" w:space="0"/>
              <w:left w:val="single" w:color="auto" w:sz="4" w:space="0"/>
              <w:bottom w:val="single" w:color="auto" w:sz="4" w:space="0"/>
              <w:right w:val="single" w:color="auto" w:sz="4" w:space="0"/>
            </w:tcBorders>
            <w:vAlign w:val="center"/>
          </w:tcPr>
          <w:p>
            <w:pPr>
              <w:pStyle w:val="46"/>
              <w:spacing w:before="0" w:beforeAutospacing="0" w:after="0" w:afterAutospacing="0" w:line="400" w:lineRule="exac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项目名称：</w:t>
            </w:r>
            <w:r>
              <w:rPr>
                <w:rFonts w:hint="eastAsia" w:asciiTheme="minorEastAsia" w:hAnsiTheme="minorEastAsia" w:eastAsiaTheme="minorEastAsia" w:cstheme="minorEastAsia"/>
                <w:kern w:val="2"/>
                <w:u w:val="single"/>
              </w:rPr>
              <w:t>临海市供水有限公司供水范围管网延伸加压泵站运维服务采购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9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9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投标报价及费用：1、本项目投标应以人民币报价；2、不论投标结果如何，投标人均应自行承担所有与投标有关的全部费用；</w:t>
            </w:r>
          </w:p>
          <w:p>
            <w:pPr>
              <w:snapToGrid w:val="0"/>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本项目招标代理服务费根据中标价由中标人支付给代理机构，在代理机构发出成交通知书前一次性付清招标代理服务费用，收费采用差额定率累进计费方式，具体标准如下：</w:t>
            </w:r>
            <w:r>
              <w:rPr>
                <w:rFonts w:hint="eastAsia" w:asciiTheme="minorEastAsia" w:hAnsiTheme="minorEastAsia" w:eastAsiaTheme="minorEastAsia" w:cstheme="minorEastAsia"/>
                <w:sz w:val="24"/>
                <w:lang w:val="en-US" w:eastAsia="zh-CN"/>
              </w:rPr>
              <w:t>服务</w:t>
            </w:r>
            <w:r>
              <w:rPr>
                <w:rFonts w:hint="eastAsia" w:asciiTheme="minorEastAsia" w:hAnsiTheme="minorEastAsia" w:eastAsiaTheme="minorEastAsia" w:cstheme="minorEastAsia"/>
                <w:sz w:val="24"/>
                <w:lang w:eastAsia="zh-CN"/>
              </w:rPr>
              <w:t>类：</w:t>
            </w:r>
            <w:r>
              <w:rPr>
                <w:rFonts w:hint="eastAsia" w:asciiTheme="minorEastAsia" w:hAnsiTheme="minorEastAsia" w:eastAsiaTheme="minorEastAsia" w:cstheme="minorEastAsia"/>
                <w:sz w:val="24"/>
                <w:lang w:val="en-US" w:eastAsia="zh-CN"/>
              </w:rPr>
              <w:t>中标价</w:t>
            </w:r>
            <w:r>
              <w:rPr>
                <w:rFonts w:hint="eastAsia" w:asciiTheme="minorEastAsia" w:hAnsiTheme="minorEastAsia" w:eastAsiaTheme="minorEastAsia" w:cstheme="minorEastAsia"/>
                <w:sz w:val="24"/>
                <w:lang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9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现场踏勘</w:t>
            </w:r>
            <w:r>
              <w:rPr>
                <w:rFonts w:hint="eastAsia" w:asciiTheme="minorEastAsia" w:hAnsiTheme="minorEastAsia" w:eastAsiaTheme="minorEastAsia" w:cstheme="minorEastAsia"/>
                <w:sz w:val="24"/>
              </w:rPr>
              <w:t>：投标人可对项目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9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质疑与澄清</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潜在投标人已依法获取其可质疑的采购文件的，可以（参照采购质疑函范本）向招标人就该文件提出质疑。对采购文件提出质疑的，应当在获取采购文件或者采购文件公告期限届满之日（公告期限届满后获取采购文件的，以公告期限届满之日为准）起</w:t>
            </w:r>
            <w:r>
              <w:rPr>
                <w:rFonts w:hint="eastAsia" w:asciiTheme="minorEastAsia" w:hAnsiTheme="minorEastAsia" w:eastAsiaTheme="minorEastAsia" w:cstheme="minorEastAsia"/>
                <w:b/>
                <w:sz w:val="24"/>
                <w:u w:val="single"/>
              </w:rPr>
              <w:t xml:space="preserve"> 7 </w:t>
            </w:r>
            <w:r>
              <w:rPr>
                <w:rFonts w:hint="eastAsia" w:asciiTheme="minorEastAsia" w:hAnsiTheme="minorEastAsia" w:eastAsiaTheme="minorEastAsia" w:cstheme="minorEastAsia"/>
                <w:b/>
                <w:sz w:val="24"/>
              </w:rPr>
              <w:t>个工作日内以书面形式提出，否则被质疑人可不予接受。投标人在法定质疑期内应一次性提出针对同一采购程序环节的质疑。</w:t>
            </w:r>
            <w:r>
              <w:rPr>
                <w:rFonts w:hint="eastAsia" w:asciiTheme="minorEastAsia" w:hAnsiTheme="minorEastAsia" w:eastAsiaTheme="minorEastAsia" w:cstheme="minorEastAsia"/>
                <w:sz w:val="24"/>
              </w:rPr>
              <w:t>招标人对已发出的招标文件进行必要的澄清、答复、修改和补充将以更正公告的形式，通过采购公告发布的网站予以发布。</w:t>
            </w:r>
            <w:r>
              <w:rPr>
                <w:rFonts w:hint="eastAsia" w:asciiTheme="minorEastAsia" w:hAnsiTheme="minorEastAsia" w:eastAsiaTheme="minorEastAsia" w:cstheme="minorEastAsia"/>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92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928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评标办法</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928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sz w:val="24"/>
              </w:rPr>
              <w:t>投标有效期：自投标截止日起</w:t>
            </w:r>
            <w:r>
              <w:rPr>
                <w:rFonts w:hint="eastAsia" w:asciiTheme="minorEastAsia" w:hAnsiTheme="minorEastAsia" w:eastAsiaTheme="minorEastAsia" w:cstheme="minorEastAsia"/>
                <w:sz w:val="24"/>
                <w:u w:val="single"/>
              </w:rPr>
              <w:t xml:space="preserve"> 90 </w:t>
            </w:r>
            <w:r>
              <w:rPr>
                <w:rFonts w:hint="eastAsia" w:asciiTheme="minorEastAsia" w:hAnsiTheme="minorEastAsia" w:eastAsiaTheme="minorEastAsia" w:cstheme="minorEastAsia"/>
                <w:sz w:val="24"/>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928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u w:val="single"/>
              </w:rPr>
              <w:t>实质性条款：带▲是实质性条款，投标人不得负偏离或内容缺失，否则为无效标。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928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中标公告及中标通知书：评标结束后7个工作日内，中标公告发布于采购公告发布的网站。（</w:t>
            </w:r>
            <w:r>
              <w:rPr>
                <w:rFonts w:hint="eastAsia" w:asciiTheme="minorEastAsia" w:hAnsiTheme="minorEastAsia" w:eastAsiaTheme="minorEastAsia" w:cstheme="minorEastAsia"/>
                <w:kern w:val="0"/>
                <w:sz w:val="24"/>
              </w:rPr>
              <w:t>临海市限额以下公共资源交易区域平台</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928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9286" w:type="dxa"/>
            <w:tcBorders>
              <w:top w:val="single" w:color="auto" w:sz="4" w:space="0"/>
              <w:left w:val="single" w:color="auto" w:sz="4" w:space="0"/>
              <w:bottom w:val="single" w:color="auto" w:sz="4" w:space="0"/>
              <w:right w:val="single" w:color="auto" w:sz="4" w:space="0"/>
            </w:tcBorders>
            <w:vAlign w:val="center"/>
          </w:tcPr>
          <w:p>
            <w:pPr>
              <w:pStyle w:val="20"/>
              <w:spacing w:after="80" w:line="4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kern w:val="2"/>
                <w:sz w:val="24"/>
              </w:rPr>
              <w:t>付款方式：合同签订后，服务费每三个月进行支付，中标供应商完成当季约定的全部工作内容后10日内支付合同价的25%。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928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履约保证金的收取及退还: </w:t>
            </w:r>
            <w:r>
              <w:rPr>
                <w:rFonts w:hint="eastAsia" w:ascii="宋体" w:hAnsi="宋体"/>
                <w:sz w:val="24"/>
              </w:rPr>
              <w:t>按中标价的1%收取，领取中标通知书前缴纳至临海市产权交易所有限公司中心账户。验收合格后凭《临海市采购验收单》在系统中向临海市产权交易所有限公司退还。</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履约保证金形式：现金（电汇或银行汇票形式）或银行保函或保险机构保证保险保单或融资担保公司保函。</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若采用银行保函，出具保函的银行级别：国有或股份制商业银行县（区、市）级及以上银行。</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若采用保险机构保证保险保单，出具保单的保险公司级别：县（区、市）级及以上国有或股份制保险公司。</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若采用融资担保公司保函，出具保函的融资担保公司级别：县（区、市）级及以上国有或股份制融资担保公司。</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开户名：临海市产权交易所有限公司</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开户行：浙江临海农村商业银行股份有限公司科技支行；</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履约保证金账号：201000105503123000002</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临海市产权交易所有限公司财务咨询电话：0576-85407100。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9286" w:type="dxa"/>
            <w:tcBorders>
              <w:top w:val="single" w:color="auto" w:sz="4" w:space="0"/>
              <w:left w:val="single" w:color="auto" w:sz="4" w:space="0"/>
              <w:bottom w:val="single" w:color="auto" w:sz="4" w:space="0"/>
              <w:right w:val="single" w:color="auto" w:sz="4" w:space="0"/>
            </w:tcBorders>
            <w:vAlign w:val="center"/>
          </w:tcPr>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电子投标文件的上传：</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（1）电子投标文件可在投标截止时间前上传，未在投标截止时间前上传的投标文件视为无效标。</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（2）上传加密的电子投标文件，后缀名为（.投标文件）（本项目无需提供纸质投标文件，只要求上传电子投标文件正本一份）</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CA咨询电话：400-0571-337，投标工具咨询电话：15267291759</w:t>
            </w:r>
          </w:p>
          <w:p>
            <w:pPr>
              <w:spacing w:line="40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4"/>
              </w:rPr>
              <w:t>说明：</w:t>
            </w:r>
            <w:r>
              <w:rPr>
                <w:rFonts w:hint="eastAsia" w:asciiTheme="minorEastAsia" w:hAnsiTheme="minorEastAsia" w:eastAsiaTheme="minorEastAsia" w:cstheme="minorEastAsia"/>
                <w:kern w:val="0"/>
                <w:sz w:val="24"/>
              </w:rPr>
              <w:t>开标时间到达后，在开启解密时间60分钟内（具体时间以不见面开标大厅</w:t>
            </w:r>
            <w:bookmarkStart w:id="9" w:name="_Hlk59625364"/>
            <w:r>
              <w:rPr>
                <w:rFonts w:hint="eastAsia" w:asciiTheme="minorEastAsia" w:hAnsiTheme="minorEastAsia" w:eastAsiaTheme="minorEastAsia" w:cstheme="minorEastAsia"/>
                <w:kern w:val="0"/>
                <w:sz w:val="24"/>
              </w:rPr>
              <w:t>中显示的</w:t>
            </w:r>
            <w:bookmarkEnd w:id="9"/>
            <w:r>
              <w:rPr>
                <w:rFonts w:hint="eastAsia" w:asciiTheme="minorEastAsia" w:hAnsiTheme="minorEastAsia" w:eastAsiaTheme="minorEastAsia" w:cstheme="minorEastAsia"/>
                <w:kern w:val="0"/>
                <w:sz w:val="24"/>
              </w:rPr>
              <w:t>解密截止时间为准），投标人须登录临海市限额以下公共资源交易区域平台-不见面开标大厅，找到所参与的项目进行解密投标文件，</w:t>
            </w:r>
            <w:bookmarkStart w:id="10" w:name="_Hlk59625972"/>
            <w:r>
              <w:rPr>
                <w:rFonts w:hint="eastAsia" w:asciiTheme="minorEastAsia" w:hAnsiTheme="minorEastAsia" w:eastAsiaTheme="minorEastAsia" w:cstheme="minorEastAsia"/>
                <w:kern w:val="0"/>
                <w:sz w:val="24"/>
              </w:rPr>
              <w:t xml:space="preserve">投标人未按时解密或解密失败的，其投标文件为无效标。 </w:t>
            </w:r>
            <w:bookmarkEnd w:id="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9286" w:type="dxa"/>
            <w:tcBorders>
              <w:top w:val="single" w:color="auto" w:sz="4" w:space="0"/>
              <w:left w:val="single" w:color="auto" w:sz="4" w:space="0"/>
              <w:bottom w:val="single" w:color="auto" w:sz="4" w:space="0"/>
              <w:right w:val="single" w:color="auto" w:sz="4" w:space="0"/>
            </w:tcBorders>
            <w:vAlign w:val="center"/>
          </w:tcPr>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投标人平台使用费：</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项目金额50万元以下收费100元，50万元以上收费150元。</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开户名：临海市产权交易所有限公司</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开户行：浙江临海农村商业银行股份有限公司科技支行；</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平台使用费账号：201000105503123000003</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临海市产权交易所有限公司财务咨询电话：0576-85407100。</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注意：请提前缴纳相关费用，以防影响正常投标。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9286" w:type="dxa"/>
            <w:tcBorders>
              <w:top w:val="single" w:color="auto" w:sz="4" w:space="0"/>
              <w:left w:val="single" w:color="auto" w:sz="4" w:space="0"/>
              <w:bottom w:val="single" w:color="auto" w:sz="4" w:space="0"/>
              <w:right w:val="single" w:color="auto" w:sz="4" w:space="0"/>
            </w:tcBorders>
            <w:vAlign w:val="center"/>
          </w:tcPr>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电子发票申请方式：</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保证正常投标，请各投标人注意提前缴纳相关费用，关于已缴纳的平台使用费的电子发票请自行通过“临海市限额以下公共资源交易区域平台交易系统中-费用管理”中根据已参与项目进行申请电子发票的开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9286" w:type="dxa"/>
            <w:tcBorders>
              <w:top w:val="single" w:color="auto" w:sz="4" w:space="0"/>
              <w:left w:val="single" w:color="auto" w:sz="4" w:space="0"/>
              <w:bottom w:val="single" w:color="auto" w:sz="4" w:space="0"/>
              <w:right w:val="single" w:color="auto" w:sz="4" w:space="0"/>
            </w:tcBorders>
            <w:vAlign w:val="center"/>
          </w:tcPr>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特别事项：</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潜在投标人未在临海市限额以下公共资源交易区域平台办理注册入驻的，应先申办注册入驻手续，具体办理要求请登陆临海市限额以下公共资源交易区域平台（https://www.lhcqjy.com.cn/）的“注册入口”栏目进行注册入驻。</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为全过程电子招投标，潜在投标人须办理CA数字证书，且CA数字证书在临海市限额以下公共资源交易区域平台交易系统进行绑定，否则无法上传、解密电子投标文件。若未办理CA数字证书，办理详见平台网站办事指南“临海市限额以下公共资源交易区域平台--企业注册及CA业务操作手册v1”，或者联系客服电话：400-0571-337</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电子投标文件须通过临海市限额以下公共资源交易区域平台—电子投标文件编制工具制作，投标文件的编制应根据电子招标文件进行编制，上传相应的pdf文件并加盖电子签章。如未按招标文件要求编制、上传电子投标文件，作废标处理，其后果由投标人自负。（电子投标文件编制工具可在临海市限额以下公共资源交易区域平台交易系统（https://jypt.lhcqjy.com.cn/）中下载）。</w:t>
            </w:r>
          </w:p>
          <w:p>
            <w:pPr>
              <w:pStyle w:val="20"/>
              <w:spacing w:after="80" w:line="4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软件技术支持电话：15267291759（同微信）。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928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解释：本招标文件的解释权属于招标人。</w:t>
            </w:r>
          </w:p>
        </w:tc>
      </w:tr>
    </w:tbl>
    <w:p>
      <w:pPr>
        <w:pStyle w:val="30"/>
        <w:snapToGrid w:val="0"/>
        <w:spacing w:beforeLines="0" w:afterLines="0"/>
        <w:rPr>
          <w:rFonts w:asciiTheme="minorEastAsia" w:hAnsiTheme="minorEastAsia" w:eastAsiaTheme="minorEastAsia" w:cstheme="minorEastAsia"/>
          <w:b/>
        </w:rPr>
      </w:pPr>
      <w:r>
        <w:rPr>
          <w:rFonts w:hint="eastAsia" w:asciiTheme="minorEastAsia" w:hAnsiTheme="minorEastAsia" w:eastAsiaTheme="minorEastAsia" w:cstheme="minorEastAsia"/>
          <w:b/>
        </w:rPr>
        <w:br w:type="page"/>
      </w:r>
    </w:p>
    <w:p>
      <w:pPr>
        <w:pStyle w:val="30"/>
        <w:snapToGrid w:val="0"/>
        <w:spacing w:beforeLines="0" w:afterLines="0"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一 、总  则</w:t>
      </w:r>
    </w:p>
    <w:p>
      <w:pPr>
        <w:snapToGrid w:val="0"/>
        <w:spacing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（一）适用范围</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本招标文件适用于本项目的招标、投标、评标、定标、验收、合同履约、付款等行为。</w:t>
      </w:r>
    </w:p>
    <w:p>
      <w:pPr>
        <w:snapToGrid w:val="0"/>
        <w:spacing w:before="120" w:beforeLines="50" w:line="420" w:lineRule="exact"/>
        <w:ind w:firstLine="354" w:firstLineChars="147"/>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（二）定义</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1.“招标人”系指组织本次招标的浙江信达工程咨询有限公司和招标人。</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2.“投标人”系指向招标人提交投标文件的单位。</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3.“产品”系指供方按招标文件规定，须向招标人提供的一切设备、保险、税金、备品备件、工具、手册及其它有关技术资料和材料。</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4.“服务”系指招标文件规定投标人须承担的安装、调试、技术协助、校准、培训、技术指导以及其他类似的义务。</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5.“项目”系指投标人按招标文件规定向招标人提供的产品和服务。</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6.“书面形式”包括信函、传真、电报等。</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7.“▲”系指实质性要求条款。</w:t>
      </w:r>
    </w:p>
    <w:p>
      <w:pPr>
        <w:snapToGrid w:val="0"/>
        <w:spacing w:before="120" w:beforeLines="50"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（三）招标方式</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本次招标采用公开招标方式进行。</w:t>
      </w:r>
    </w:p>
    <w:p>
      <w:pPr>
        <w:snapToGrid w:val="0"/>
        <w:spacing w:before="120" w:beforeLines="50"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（四）投标委托</w:t>
      </w:r>
    </w:p>
    <w:p>
      <w:pPr>
        <w:pStyle w:val="21"/>
        <w:snapToGrid w:val="0"/>
        <w:spacing w:line="420" w:lineRule="exact"/>
        <w:ind w:firstLine="464"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投标人代表须携带有效身份证件。如投标人代表不是法定代表人，须有法定代表人出具的授权委托书，格式见第六章。</w:t>
      </w:r>
    </w:p>
    <w:p>
      <w:pPr>
        <w:snapToGrid w:val="0"/>
        <w:spacing w:before="120" w:beforeLines="50"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（五）投标费用及结算</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1）不论投标结果如何，投标人均应自行承担所有与投标有关的全部费用。</w:t>
      </w:r>
    </w:p>
    <w:p>
      <w:pPr>
        <w:spacing w:line="420" w:lineRule="exact"/>
        <w:ind w:firstLine="480" w:firstLineChars="200"/>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sz w:val="24"/>
        </w:rPr>
        <w:t>2）除业主要求或设计变更要求外不签署任何增加费用的联系单，</w:t>
      </w:r>
      <w:r>
        <w:rPr>
          <w:rFonts w:hint="eastAsia" w:asciiTheme="minorEastAsia" w:hAnsiTheme="minorEastAsia" w:eastAsiaTheme="minorEastAsia" w:cstheme="minorEastAsia"/>
          <w:bCs/>
          <w:sz w:val="24"/>
        </w:rPr>
        <w:t>货物清单外而要完成本项目所必需的设备、物料、服务等各</w:t>
      </w:r>
      <w:r>
        <w:rPr>
          <w:rFonts w:hint="eastAsia" w:asciiTheme="minorEastAsia" w:hAnsiTheme="minorEastAsia" w:eastAsiaTheme="minorEastAsia" w:cstheme="minorEastAsia"/>
          <w:sz w:val="24"/>
        </w:rPr>
        <w:t>投标人请自行考虑并计入投标总报价，中标后不予调整。投标时货物清单按照招标文件中提供的清单进行投标报价，竣工决算时按实决算。</w:t>
      </w:r>
    </w:p>
    <w:p>
      <w:pPr>
        <w:snapToGrid w:val="0"/>
        <w:spacing w:before="120" w:beforeLines="50" w:line="420" w:lineRule="exact"/>
        <w:ind w:firstLine="472" w:firstLineChars="196"/>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sz w:val="24"/>
        </w:rPr>
        <w:t>（六）</w:t>
      </w:r>
      <w:r>
        <w:rPr>
          <w:rFonts w:hint="eastAsia" w:asciiTheme="minorEastAsia" w:hAnsiTheme="minorEastAsia" w:eastAsiaTheme="minorEastAsia" w:cstheme="minorEastAsia"/>
          <w:b/>
          <w:kern w:val="0"/>
          <w:sz w:val="24"/>
        </w:rPr>
        <w:t>转包与分包</w:t>
      </w:r>
    </w:p>
    <w:p>
      <w:pPr>
        <w:snapToGrid w:val="0"/>
        <w:spacing w:line="420" w:lineRule="exact"/>
        <w:ind w:firstLine="720" w:firstLineChars="3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本项目不允许转包与违法分包。</w:t>
      </w:r>
    </w:p>
    <w:p>
      <w:pPr>
        <w:snapToGrid w:val="0"/>
        <w:spacing w:before="120" w:beforeLines="50"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（七）特别说明</w:t>
      </w:r>
    </w:p>
    <w:p>
      <w:pPr>
        <w:widowControl/>
        <w:spacing w:line="420" w:lineRule="exact"/>
        <w:ind w:firstLine="482"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sz w:val="24"/>
        </w:rPr>
        <w:t>1.单位负责人为同一人或者存在直接控股、管理关系的不同投标人，不得参加同一合同项下的采购活动。如有上述行为的，相关投标均无效。</w:t>
      </w:r>
      <w:r>
        <w:rPr>
          <w:rFonts w:hint="eastAsia" w:asciiTheme="minorEastAsia" w:hAnsiTheme="minorEastAsia" w:eastAsiaTheme="minorEastAsia" w:cstheme="minorEastAsia"/>
          <w:kern w:val="0"/>
          <w:sz w:val="24"/>
        </w:rPr>
        <w:t xml:space="preserve">  </w:t>
      </w:r>
    </w:p>
    <w:p>
      <w:pPr>
        <w:widowControl/>
        <w:spacing w:line="42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pStyle w:val="30"/>
        <w:snapToGrid w:val="0"/>
        <w:spacing w:beforeLines="0" w:afterLines="0" w:line="420" w:lineRule="exact"/>
        <w:ind w:left="2" w:leftChars="1"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2.投标人投标所使用的资格、信誉、荣誉、业绩必须为本法人所拥有。投标人投标所使用的采购项目实施人员须为本法人员工。</w:t>
      </w:r>
    </w:p>
    <w:p>
      <w:pPr>
        <w:pStyle w:val="30"/>
        <w:snapToGrid w:val="0"/>
        <w:spacing w:beforeLines="0" w:afterLines="0" w:line="420" w:lineRule="exact"/>
        <w:ind w:left="2" w:leftChars="1"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3.投标人应仔细阅读招标文件的所有内容，按照招标文件的要求提交投标文件，并对所提供的全部资料的真实性承担法律责任。</w:t>
      </w:r>
    </w:p>
    <w:p>
      <w:pPr>
        <w:pStyle w:val="30"/>
        <w:snapToGrid w:val="0"/>
        <w:spacing w:beforeLines="0" w:afterLines="0" w:line="420" w:lineRule="exact"/>
        <w:ind w:left="2" w:leftChars="1" w:firstLine="48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t>4.投标人在投标活动中提供任何虚假材料,其投标无效，并报</w:t>
      </w:r>
      <w:r>
        <w:rPr>
          <w:rFonts w:hint="eastAsia" w:asciiTheme="minorEastAsia" w:hAnsiTheme="minorEastAsia" w:eastAsiaTheme="minorEastAsia" w:cstheme="minorEastAsia"/>
          <w:b/>
        </w:rPr>
        <w:t>有权受理非政府采购项目的</w:t>
      </w:r>
      <w:r>
        <w:rPr>
          <w:rFonts w:hint="eastAsia" w:asciiTheme="minorEastAsia" w:hAnsiTheme="minorEastAsia" w:eastAsiaTheme="minorEastAsia" w:cstheme="minorEastAsia"/>
        </w:rPr>
        <w:t>监管部门查处（</w:t>
      </w:r>
      <w:r>
        <w:rPr>
          <w:rFonts w:hint="eastAsia" w:asciiTheme="minorEastAsia" w:hAnsiTheme="minorEastAsia" w:eastAsiaTheme="minorEastAsia" w:cstheme="minorEastAsia"/>
          <w:b/>
        </w:rPr>
        <w:t>特别说明：临海市财政局非有权受理非政府采购项目的监管部门</w:t>
      </w:r>
      <w:r>
        <w:rPr>
          <w:rFonts w:hint="eastAsia" w:asciiTheme="minorEastAsia" w:hAnsiTheme="minorEastAsia" w:eastAsiaTheme="minorEastAsia" w:cstheme="minorEastAsia"/>
        </w:rPr>
        <w:t>）。中标后发现的,中标人须依照《中华人民共和国消费者权益保护法》第49条之规定双倍赔偿招标人，且民事赔偿并不免除违法投标人的行政与刑事责任。</w:t>
      </w:r>
    </w:p>
    <w:p>
      <w:pPr>
        <w:pStyle w:val="30"/>
        <w:snapToGrid w:val="0"/>
        <w:spacing w:before="120" w:after="120" w:line="420" w:lineRule="exact"/>
        <w:ind w:firstLine="472" w:firstLineChars="196"/>
        <w:rPr>
          <w:rFonts w:asciiTheme="minorEastAsia" w:hAnsiTheme="minorEastAsia" w:eastAsiaTheme="minorEastAsia" w:cstheme="minorEastAsia"/>
          <w:b/>
          <w:bCs/>
        </w:rPr>
      </w:pPr>
      <w:r>
        <w:rPr>
          <w:rFonts w:hint="eastAsia" w:asciiTheme="minorEastAsia" w:hAnsiTheme="minorEastAsia" w:eastAsiaTheme="minorEastAsia" w:cstheme="minorEastAsia"/>
          <w:b/>
          <w:bCs/>
        </w:rPr>
        <w:t>（八）质疑</w:t>
      </w:r>
    </w:p>
    <w:p>
      <w:pPr>
        <w:widowControl/>
        <w:spacing w:line="42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1.投标人认为招标文件、采购过程和中标结果使自己的权益受到损害的，以在线形式一次性向招标人或代理机构提出质疑：</w:t>
      </w:r>
    </w:p>
    <w:p>
      <w:pPr>
        <w:widowControl/>
        <w:spacing w:line="420" w:lineRule="exact"/>
        <w:ind w:firstLine="240" w:firstLineChars="1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（1）投标人认为招标文件的内容损害其权益的，应当自获取之日起（获取截止日之后收到招标文件的，以获取截止日为准）</w:t>
      </w:r>
      <w:r>
        <w:rPr>
          <w:rFonts w:hint="eastAsia" w:asciiTheme="minorEastAsia" w:hAnsiTheme="minorEastAsia" w:eastAsiaTheme="minorEastAsia" w:cstheme="minorEastAsia"/>
          <w:b/>
          <w:kern w:val="0"/>
          <w:sz w:val="24"/>
          <w:u w:val="single"/>
        </w:rPr>
        <w:t xml:space="preserve"> 7 </w:t>
      </w:r>
      <w:r>
        <w:rPr>
          <w:rFonts w:hint="eastAsia" w:asciiTheme="minorEastAsia" w:hAnsiTheme="minorEastAsia" w:eastAsiaTheme="minorEastAsia" w:cstheme="minorEastAsia"/>
          <w:kern w:val="0"/>
          <w:sz w:val="24"/>
        </w:rPr>
        <w:t>个工作日内提出质疑；</w:t>
      </w:r>
    </w:p>
    <w:p>
      <w:pPr>
        <w:widowControl/>
        <w:spacing w:line="420" w:lineRule="exact"/>
        <w:ind w:firstLine="240" w:firstLineChars="1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（2）投标人对采购过程提出质疑的，应当在各采购程序环节结束之日起</w:t>
      </w:r>
      <w:r>
        <w:rPr>
          <w:rFonts w:hint="eastAsia" w:asciiTheme="minorEastAsia" w:hAnsiTheme="minorEastAsia" w:eastAsiaTheme="minorEastAsia" w:cstheme="minorEastAsia"/>
          <w:b/>
          <w:kern w:val="0"/>
          <w:sz w:val="24"/>
          <w:u w:val="single"/>
        </w:rPr>
        <w:t xml:space="preserve"> 7 </w:t>
      </w:r>
      <w:r>
        <w:rPr>
          <w:rFonts w:hint="eastAsia" w:asciiTheme="minorEastAsia" w:hAnsiTheme="minorEastAsia" w:eastAsiaTheme="minorEastAsia" w:cstheme="minorEastAsia"/>
          <w:kern w:val="0"/>
          <w:sz w:val="24"/>
        </w:rPr>
        <w:t>个工作日内提出质疑；</w:t>
      </w:r>
    </w:p>
    <w:p>
      <w:pPr>
        <w:widowControl/>
        <w:spacing w:line="420" w:lineRule="exact"/>
        <w:ind w:firstLine="240" w:firstLineChars="1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（3）投标人对成交结果提出质疑的，</w:t>
      </w:r>
      <w:r>
        <w:rPr>
          <w:rFonts w:hint="eastAsia" w:asciiTheme="minorEastAsia" w:hAnsiTheme="minorEastAsia" w:eastAsiaTheme="minorEastAsia" w:cstheme="minorEastAsia"/>
          <w:b/>
          <w:kern w:val="0"/>
          <w:sz w:val="24"/>
        </w:rPr>
        <w:t>应当在成交结果公告之日起</w:t>
      </w:r>
      <w:r>
        <w:rPr>
          <w:rFonts w:hint="eastAsia" w:asciiTheme="minorEastAsia" w:hAnsiTheme="minorEastAsia" w:eastAsiaTheme="minorEastAsia" w:cstheme="minorEastAsia"/>
          <w:b/>
          <w:kern w:val="0"/>
          <w:sz w:val="24"/>
          <w:u w:val="single"/>
        </w:rPr>
        <w:t xml:space="preserve"> 7 </w:t>
      </w:r>
      <w:r>
        <w:rPr>
          <w:rFonts w:hint="eastAsia" w:asciiTheme="minorEastAsia" w:hAnsiTheme="minorEastAsia" w:eastAsiaTheme="minorEastAsia" w:cstheme="minorEastAsia"/>
          <w:kern w:val="0"/>
          <w:sz w:val="24"/>
        </w:rPr>
        <w:t>个工作日内提出质疑；</w:t>
      </w:r>
    </w:p>
    <w:p>
      <w:pPr>
        <w:widowControl/>
        <w:spacing w:line="420" w:lineRule="exact"/>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2.招标人或代理机构在收到投标人的在线质疑后</w:t>
      </w:r>
      <w:r>
        <w:rPr>
          <w:rFonts w:hint="eastAsia" w:asciiTheme="minorEastAsia" w:hAnsiTheme="minorEastAsia" w:eastAsiaTheme="minorEastAsia" w:cstheme="minorEastAsia"/>
          <w:b/>
          <w:kern w:val="0"/>
          <w:sz w:val="24"/>
          <w:u w:val="single"/>
        </w:rPr>
        <w:t xml:space="preserve"> 7 </w:t>
      </w:r>
      <w:r>
        <w:rPr>
          <w:rFonts w:hint="eastAsia" w:asciiTheme="minorEastAsia" w:hAnsiTheme="minorEastAsia" w:eastAsiaTheme="minorEastAsia" w:cstheme="minorEastAsia"/>
          <w:kern w:val="0"/>
          <w:sz w:val="24"/>
        </w:rPr>
        <w:t>个工作日内作出答复，并以在线形式回复质疑投标人和其他有关投标人，但答复内容不涉及商业秘密。</w:t>
      </w:r>
    </w:p>
    <w:p>
      <w:pPr>
        <w:widowControl/>
        <w:spacing w:line="420" w:lineRule="exact"/>
        <w:ind w:firstLine="482"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（九）投诉</w:t>
      </w:r>
    </w:p>
    <w:p>
      <w:pPr>
        <w:pStyle w:val="30"/>
        <w:snapToGrid w:val="0"/>
        <w:spacing w:beforeLines="0" w:afterLines="0" w:line="420" w:lineRule="exact"/>
        <w:ind w:firstLine="472" w:firstLineChars="196"/>
        <w:rPr>
          <w:rFonts w:asciiTheme="minorEastAsia" w:hAnsiTheme="minorEastAsia" w:eastAsiaTheme="minorEastAsia" w:cstheme="minorEastAsia"/>
          <w:b/>
        </w:rPr>
      </w:pPr>
      <w:r>
        <w:rPr>
          <w:rFonts w:hint="eastAsia" w:asciiTheme="minorEastAsia" w:hAnsiTheme="minorEastAsia" w:eastAsiaTheme="minorEastAsia" w:cstheme="minorEastAsia"/>
          <w:b/>
        </w:rPr>
        <w:t>本项目为非政府采购项目，如投标人对招标人或代理机构的质疑答复不满意或在规定时间内未得到答复的，可以在答复期满后15个工作日内，向有权受理非政府采购项目的监督管理机构投诉（特别说明：临海市财政局非有权受理非政府采购项目的监督管理机构，不受理非政府采购项目的投诉事宜）。</w:t>
      </w:r>
    </w:p>
    <w:p>
      <w:pPr>
        <w:pStyle w:val="30"/>
        <w:snapToGrid w:val="0"/>
        <w:spacing w:beforeLines="0" w:afterLines="0" w:line="420" w:lineRule="exact"/>
        <w:ind w:firstLine="472" w:firstLineChars="196"/>
        <w:rPr>
          <w:rFonts w:asciiTheme="minorEastAsia" w:hAnsiTheme="minorEastAsia" w:eastAsiaTheme="minorEastAsia" w:cstheme="minorEastAsia"/>
          <w:b/>
        </w:rPr>
      </w:pPr>
      <w:r>
        <w:rPr>
          <w:rFonts w:hint="eastAsia" w:asciiTheme="minorEastAsia" w:hAnsiTheme="minorEastAsia" w:eastAsiaTheme="minorEastAsia" w:cstheme="minorEastAsia"/>
          <w:b/>
        </w:rPr>
        <w:t>二、招标文件</w:t>
      </w:r>
    </w:p>
    <w:p>
      <w:pPr>
        <w:snapToGrid w:val="0"/>
        <w:spacing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（一）招标文件的构成</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1.投标邀请</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2.招标需求</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3.投标人须知</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4.评标办法及标准</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5.合同主要条款</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6.投标文件格式</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7.本项目招标文件的澄清、答复、修改、补充的内容（如有）</w:t>
      </w:r>
    </w:p>
    <w:p>
      <w:pPr>
        <w:snapToGrid w:val="0"/>
        <w:spacing w:before="120" w:beforeLines="50"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（二）投标人的风险</w:t>
      </w:r>
    </w:p>
    <w:p>
      <w:pPr>
        <w:pStyle w:val="41"/>
        <w:spacing w:line="42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投标人没有按照招标文件要求提供全部资料，或者投标人没有对招标文件在各方面作出实质性响应是投标人的风险，并可能导致其投标被拒绝。</w:t>
      </w:r>
    </w:p>
    <w:p>
      <w:pPr>
        <w:pStyle w:val="12"/>
        <w:widowControl w:val="0"/>
        <w:tabs>
          <w:tab w:val="left" w:pos="420"/>
        </w:tabs>
        <w:snapToGrid w:val="0"/>
        <w:spacing w:before="120" w:beforeLines="50" w:afterLines="0" w:line="420" w:lineRule="exact"/>
        <w:ind w:left="0" w:firstLine="472" w:firstLineChars="196"/>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 xml:space="preserve">（三）招标文件的澄清与修改 </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bCs/>
        </w:rPr>
        <w:t>投标人应认真阅读本招标文件，发现其中有误或有不合理要求的，投标人必须在前附表规定的时间前以书面形式要求招标人澄清</w:t>
      </w:r>
      <w:r>
        <w:rPr>
          <w:rFonts w:hint="eastAsia" w:asciiTheme="minorEastAsia" w:hAnsiTheme="minorEastAsia" w:eastAsiaTheme="minorEastAsia" w:cstheme="minorEastAsia"/>
        </w:rPr>
        <w:t>。招标人对已发出的招标文件进行必要澄清、答复、修改或补充的，应当在招标文件要求提交投标文件截止时间前，以采购公告发布的网站予以发布。</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2.招标文件澄清、答复、修改、补充的内容为招标文件的组成部分。当招标文件与招标文件的答复、澄清、修改、补充通知就同一内容的表述不一致时，以最后发出的公告为准。</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3.招标文件的澄清、答复、修改或补充都应该通过招标人以法定形式发布，招标人没有通过招标人，不得擅自澄清、答复、修改或补充招标文件。</w:t>
      </w:r>
    </w:p>
    <w:p>
      <w:pPr>
        <w:pStyle w:val="30"/>
        <w:snapToGrid w:val="0"/>
        <w:spacing w:beforeLines="0" w:afterLines="0" w:line="420" w:lineRule="exact"/>
        <w:ind w:firstLine="472" w:firstLineChars="196"/>
        <w:rPr>
          <w:rFonts w:asciiTheme="minorEastAsia" w:hAnsiTheme="minorEastAsia" w:eastAsiaTheme="minorEastAsia" w:cstheme="minorEastAsia"/>
          <w:b/>
        </w:rPr>
      </w:pPr>
      <w:r>
        <w:rPr>
          <w:rFonts w:hint="eastAsia" w:asciiTheme="minorEastAsia" w:hAnsiTheme="minorEastAsia" w:eastAsiaTheme="minorEastAsia" w:cstheme="minorEastAsia"/>
          <w:b/>
        </w:rPr>
        <w:t>三、投标文件的编制</w:t>
      </w:r>
    </w:p>
    <w:p>
      <w:pPr>
        <w:snapToGrid w:val="0"/>
        <w:spacing w:line="420" w:lineRule="exact"/>
        <w:ind w:firstLine="470" w:firstLineChars="196"/>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本项目实行电子投标，投标人应准备电子投标文件，本项目线下无需提供任何备份投标文件。电子投标文件，按及本招标文件要求编制。</w:t>
      </w:r>
    </w:p>
    <w:p>
      <w:pPr>
        <w:snapToGrid w:val="0"/>
        <w:spacing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（一）投标文件的组成</w:t>
      </w:r>
    </w:p>
    <w:p>
      <w:pPr>
        <w:snapToGrid w:val="0"/>
        <w:spacing w:line="420" w:lineRule="exact"/>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投标文件由资格响应文件、商务技术文件、报价文件三部份组成。</w:t>
      </w:r>
      <w:r>
        <w:rPr>
          <w:rFonts w:hint="eastAsia" w:asciiTheme="minorEastAsia" w:hAnsiTheme="minorEastAsia" w:eastAsiaTheme="minorEastAsia" w:cstheme="minorEastAsia"/>
          <w:sz w:val="24"/>
        </w:rPr>
        <w:t>相关格式见附件，其余格式自拟。</w:t>
      </w:r>
    </w:p>
    <w:p>
      <w:pPr>
        <w:snapToGrid w:val="0"/>
        <w:spacing w:line="420" w:lineRule="exact"/>
        <w:ind w:firstLine="482" w:firstLineChars="200"/>
        <w:jc w:val="left"/>
        <w:rPr>
          <w:rFonts w:asciiTheme="minorEastAsia" w:hAnsiTheme="minorEastAsia" w:eastAsiaTheme="minorEastAsia" w:cstheme="minorEastAsia"/>
          <w:b/>
          <w:sz w:val="24"/>
        </w:rPr>
      </w:pPr>
      <w:bookmarkStart w:id="11" w:name="_Hlk72672250"/>
      <w:r>
        <w:rPr>
          <w:rFonts w:hint="eastAsia" w:asciiTheme="minorEastAsia" w:hAnsiTheme="minorEastAsia" w:eastAsiaTheme="minorEastAsia" w:cstheme="minorEastAsia"/>
          <w:b/>
          <w:sz w:val="24"/>
        </w:rPr>
        <w:t>1.资格响应文件</w:t>
      </w:r>
    </w:p>
    <w:bookmarkEnd w:id="11"/>
    <w:p>
      <w:pPr>
        <w:snapToGrid w:val="0"/>
        <w:spacing w:line="420" w:lineRule="exact"/>
        <w:ind w:firstLine="480" w:firstLineChars="200"/>
        <w:jc w:val="left"/>
        <w:rPr>
          <w:rFonts w:asciiTheme="minorEastAsia" w:hAnsiTheme="minorEastAsia" w:eastAsiaTheme="minorEastAsia" w:cstheme="minorEastAsia"/>
          <w:bCs/>
          <w:sz w:val="24"/>
        </w:rPr>
      </w:pPr>
      <w:bookmarkStart w:id="12" w:name="_Hlk69365455"/>
      <w:r>
        <w:rPr>
          <w:rFonts w:hint="eastAsia" w:asciiTheme="minorEastAsia" w:hAnsiTheme="minorEastAsia" w:eastAsiaTheme="minorEastAsia" w:cstheme="minorEastAsia"/>
          <w:bCs/>
          <w:sz w:val="24"/>
        </w:rPr>
        <w:t>（1）营业执照或事业法人登记证或其他工商等登记证明材料) 复印件；</w:t>
      </w:r>
    </w:p>
    <w:p>
      <w:pPr>
        <w:snapToGrid w:val="0"/>
        <w:spacing w:line="420" w:lineRule="exact"/>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（2）没有重大违法记录的承诺函</w:t>
      </w:r>
      <w:r>
        <w:rPr>
          <w:rFonts w:hint="eastAsia" w:asciiTheme="minorEastAsia" w:hAnsiTheme="minorEastAsia" w:eastAsiaTheme="minorEastAsia" w:cstheme="minorEastAsia"/>
          <w:b/>
          <w:sz w:val="24"/>
        </w:rPr>
        <w:t>（请投标人在资格响应文件中勿遗漏该表格）</w:t>
      </w:r>
      <w:r>
        <w:rPr>
          <w:rFonts w:hint="eastAsia" w:asciiTheme="minorEastAsia" w:hAnsiTheme="minorEastAsia" w:eastAsiaTheme="minorEastAsia" w:cstheme="minorEastAsia"/>
          <w:bCs/>
          <w:sz w:val="24"/>
        </w:rPr>
        <w:t>；</w:t>
      </w:r>
    </w:p>
    <w:p>
      <w:pPr>
        <w:snapToGrid w:val="0"/>
        <w:spacing w:line="420" w:lineRule="exact"/>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（3）提供未被“信用中国”（www.creditchina.gov.cn)、中国政府采购网（www.ccgp.gov.cn）列入失信被执行人、税收违法黑名单、政府采购严重违法失信行为记录名单。</w:t>
      </w:r>
    </w:p>
    <w:bookmarkEnd w:id="12"/>
    <w:p>
      <w:pPr>
        <w:snapToGrid w:val="0"/>
        <w:spacing w:line="420" w:lineRule="exact"/>
        <w:ind w:firstLine="482" w:firstLineChars="200"/>
        <w:jc w:val="left"/>
        <w:rPr>
          <w:rFonts w:asciiTheme="minorEastAsia" w:hAnsiTheme="minorEastAsia" w:eastAsiaTheme="minorEastAsia" w:cstheme="minorEastAsia"/>
          <w:sz w:val="24"/>
        </w:rPr>
      </w:pPr>
      <w:bookmarkStart w:id="13" w:name="_Hlk72672204"/>
      <w:r>
        <w:rPr>
          <w:rFonts w:hint="eastAsia" w:asciiTheme="minorEastAsia" w:hAnsiTheme="minorEastAsia" w:eastAsiaTheme="minorEastAsia" w:cstheme="minorEastAsia"/>
          <w:b/>
          <w:sz w:val="24"/>
        </w:rPr>
        <w:t>2.</w:t>
      </w:r>
      <w:bookmarkEnd w:id="13"/>
      <w:bookmarkStart w:id="14" w:name="_Hlk534200662"/>
      <w:r>
        <w:rPr>
          <w:rFonts w:hint="eastAsia" w:asciiTheme="minorEastAsia" w:hAnsiTheme="minorEastAsia" w:eastAsiaTheme="minorEastAsia" w:cstheme="minorEastAsia"/>
          <w:b/>
          <w:sz w:val="24"/>
        </w:rPr>
        <w:t>商务</w:t>
      </w:r>
      <w:r>
        <w:rPr>
          <w:rFonts w:hint="eastAsia" w:asciiTheme="minorEastAsia" w:hAnsiTheme="minorEastAsia" w:eastAsiaTheme="minorEastAsia" w:cstheme="minorEastAsia"/>
          <w:b/>
          <w:bCs/>
          <w:sz w:val="24"/>
        </w:rPr>
        <w:t>技术</w:t>
      </w:r>
      <w:r>
        <w:rPr>
          <w:rFonts w:hint="eastAsia" w:asciiTheme="minorEastAsia" w:hAnsiTheme="minorEastAsia" w:eastAsiaTheme="minorEastAsia" w:cstheme="minorEastAsia"/>
          <w:b/>
          <w:sz w:val="24"/>
        </w:rPr>
        <w:t>文件</w:t>
      </w:r>
      <w:bookmarkEnd w:id="14"/>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bookmarkStart w:id="15" w:name="_Hlk534200539"/>
      <w:r>
        <w:rPr>
          <w:rFonts w:hint="eastAsia" w:asciiTheme="minorEastAsia" w:hAnsiTheme="minorEastAsia" w:eastAsiaTheme="minorEastAsia" w:cstheme="minorEastAsia"/>
          <w:sz w:val="24"/>
        </w:rPr>
        <w:t>法定代表人授权委托书</w:t>
      </w:r>
      <w:bookmarkEnd w:id="15"/>
      <w:r>
        <w:rPr>
          <w:rFonts w:hint="eastAsia" w:asciiTheme="minorEastAsia" w:hAnsiTheme="minorEastAsia" w:eastAsiaTheme="minorEastAsia" w:cstheme="minorEastAsia"/>
          <w:sz w:val="24"/>
        </w:rPr>
        <w:t>；</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（3）投标人按照评分标准要求提供的相应资料；</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（4）项目负责人简历表；</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（5）项目实施人员一览表； </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（6）投标人类似成功案例一览表；</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（7）售后服务网点情况表；</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（8）商务技术响应表；</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（9）投标人认为需要提供的其他资料。</w:t>
      </w:r>
    </w:p>
    <w:p>
      <w:pPr>
        <w:snapToGrid w:val="0"/>
        <w:spacing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3.报价文件</w:t>
      </w:r>
    </w:p>
    <w:p>
      <w:pPr>
        <w:pStyle w:val="31"/>
        <w:snapToGrid w:val="0"/>
        <w:spacing w:line="420" w:lineRule="exact"/>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w:t>
      </w:r>
      <w:bookmarkStart w:id="16" w:name="_Hlk534190502"/>
    </w:p>
    <w:bookmarkEnd w:id="16"/>
    <w:p>
      <w:pPr>
        <w:snapToGrid w:val="0"/>
        <w:spacing w:before="100" w:beforeAutospacing="1" w:after="100" w:afterAutospacing="1" w:line="420" w:lineRule="exact"/>
        <w:ind w:firstLine="236" w:firstLineChars="98"/>
        <w:jc w:val="left"/>
        <w:rPr>
          <w:rFonts w:asciiTheme="minorEastAsia" w:hAnsiTheme="minorEastAsia" w:eastAsiaTheme="minorEastAsia" w:cstheme="minorEastAsia"/>
          <w:b/>
          <w:spacing w:val="-4"/>
          <w:sz w:val="24"/>
        </w:rPr>
      </w:pPr>
      <w:r>
        <w:rPr>
          <w:rFonts w:hint="eastAsia" w:asciiTheme="minorEastAsia" w:hAnsiTheme="minorEastAsia" w:eastAsiaTheme="minorEastAsia" w:cstheme="minorEastAsia"/>
          <w:b/>
          <w:sz w:val="24"/>
        </w:rPr>
        <w:t>（二）</w:t>
      </w:r>
      <w:r>
        <w:rPr>
          <w:rFonts w:hint="eastAsia" w:asciiTheme="minorEastAsia" w:hAnsiTheme="minorEastAsia" w:eastAsiaTheme="minorEastAsia" w:cstheme="minorEastAsia"/>
          <w:b/>
          <w:spacing w:val="-4"/>
          <w:sz w:val="24"/>
        </w:rPr>
        <w:t>采购项目评分索引表(该表格仅为方便评标之用，不涉及无效标条款，表格放置在商务技术文件目录的前页，以方便评委进行评审，格式见第四章)</w:t>
      </w:r>
    </w:p>
    <w:p>
      <w:pPr>
        <w:snapToGrid w:val="0"/>
        <w:spacing w:line="420" w:lineRule="exact"/>
        <w:ind w:firstLine="361" w:firstLineChars="1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（三）投标文件的语言及计量</w:t>
      </w:r>
    </w:p>
    <w:p>
      <w:pPr>
        <w:snapToGrid w:val="0"/>
        <w:spacing w:line="420" w:lineRule="exact"/>
        <w:ind w:firstLine="420" w:firstLineChars="200"/>
        <w:jc w:val="left"/>
        <w:rPr>
          <w:rFonts w:asciiTheme="minorEastAsia" w:hAnsiTheme="minorEastAsia" w:eastAsiaTheme="minorEastAsia" w:cstheme="minorEastAsia"/>
          <w:sz w:val="24"/>
        </w:rPr>
      </w:pPr>
      <w:r>
        <w:rPr>
          <w:rFonts w:hint="eastAsia" w:ascii="宋体" w:hAnsi="宋体"/>
        </w:rPr>
        <w:t>▲</w:t>
      </w:r>
      <w:r>
        <w:rPr>
          <w:rFonts w:hint="eastAsia" w:asciiTheme="minorEastAsia" w:hAnsiTheme="minorEastAsia" w:eastAsiaTheme="minorEastAsia" w:cstheme="minorEastAsia"/>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Theme="minorEastAsia" w:hAnsiTheme="minorEastAsia" w:eastAsiaTheme="minorEastAsia" w:cstheme="minorEastAsia"/>
          <w:sz w:val="24"/>
        </w:rPr>
      </w:pPr>
      <w:r>
        <w:rPr>
          <w:rFonts w:hint="eastAsia" w:ascii="宋体" w:hAnsi="宋体"/>
        </w:rPr>
        <w:t>▲</w:t>
      </w:r>
      <w:r>
        <w:rPr>
          <w:rFonts w:hint="eastAsia" w:asciiTheme="minorEastAsia" w:hAnsiTheme="minorEastAsia" w:eastAsiaTheme="minorEastAsia" w:cstheme="minorEastAsia"/>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（四）投标报价</w:t>
      </w:r>
    </w:p>
    <w:p>
      <w:pPr>
        <w:pStyle w:val="30"/>
        <w:snapToGrid w:val="0"/>
        <w:spacing w:beforeLines="0" w:afterLines="0" w:line="42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1.投标报价应按招标文件中相关附表格式填写。</w:t>
      </w:r>
    </w:p>
    <w:p>
      <w:pPr>
        <w:pStyle w:val="30"/>
        <w:snapToGrid w:val="0"/>
        <w:spacing w:beforeLines="0" w:afterLines="0" w:line="420" w:lineRule="exact"/>
        <w:ind w:firstLine="480" w:firstLineChars="200"/>
        <w:jc w:val="left"/>
        <w:rPr>
          <w:rFonts w:asciiTheme="minorEastAsia" w:hAnsiTheme="minorEastAsia" w:eastAsiaTheme="minorEastAsia" w:cstheme="minorEastAsia"/>
        </w:rPr>
      </w:pPr>
      <w:r>
        <w:rPr>
          <w:rFonts w:hint="eastAsia" w:hAnsi="宋体"/>
        </w:rPr>
        <w:t>▲</w:t>
      </w:r>
      <w:r>
        <w:rPr>
          <w:rFonts w:hint="eastAsia" w:asciiTheme="minorEastAsia" w:hAnsiTheme="minorEastAsia" w:eastAsiaTheme="minorEastAsia" w:cstheme="minorEastAsia"/>
        </w:rPr>
        <w:t>2.</w:t>
      </w:r>
      <w:r>
        <w:rPr>
          <w:rFonts w:hint="eastAsia" w:hAnsi="宋体"/>
        </w:rPr>
        <w:t>投标报价是履行合同的最终价格，应包括人工费、材料费、工器具使用费、措施费、综合管理、售后服务、保险、规费、利润、税金、风险费、招标代理费及其他工程费等一切费用。</w:t>
      </w:r>
    </w:p>
    <w:p>
      <w:pPr>
        <w:tabs>
          <w:tab w:val="left" w:pos="525"/>
        </w:tabs>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▲3.投标文件只允许有一个报价，有选择的或有条件的报价将不予接受。</w:t>
      </w:r>
    </w:p>
    <w:p>
      <w:pPr>
        <w:pStyle w:val="12"/>
        <w:widowControl w:val="0"/>
        <w:tabs>
          <w:tab w:val="left" w:pos="420"/>
        </w:tabs>
        <w:snapToGrid w:val="0"/>
        <w:spacing w:before="120" w:beforeLines="50" w:afterLines="0" w:line="420" w:lineRule="exact"/>
        <w:ind w:left="0" w:firstLine="472" w:firstLineChars="196"/>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（五）投标有效期</w:t>
      </w:r>
    </w:p>
    <w:p>
      <w:pPr>
        <w:pStyle w:val="12"/>
        <w:widowControl w:val="0"/>
        <w:tabs>
          <w:tab w:val="left" w:pos="420"/>
        </w:tabs>
        <w:snapToGrid w:val="0"/>
        <w:spacing w:afterLines="0" w:line="420" w:lineRule="exact"/>
        <w:ind w:left="-25" w:leftChars="-12" w:firstLine="360" w:firstLineChars="1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▲1.自投标截止日起</w:t>
      </w:r>
      <w:r>
        <w:rPr>
          <w:rFonts w:hint="eastAsia" w:asciiTheme="minorEastAsia" w:hAnsiTheme="minorEastAsia" w:eastAsiaTheme="minorEastAsia" w:cstheme="minorEastAsia"/>
          <w:szCs w:val="24"/>
          <w:u w:val="single"/>
        </w:rPr>
        <w:t xml:space="preserve">  90  </w:t>
      </w:r>
      <w:r>
        <w:rPr>
          <w:rFonts w:hint="eastAsia" w:asciiTheme="minorEastAsia" w:hAnsiTheme="minorEastAsia" w:eastAsiaTheme="minorEastAsia" w:cstheme="minorEastAsia"/>
          <w:szCs w:val="24"/>
        </w:rPr>
        <w:t>天投标文件应保持有效。</w:t>
      </w:r>
    </w:p>
    <w:p>
      <w:pPr>
        <w:pStyle w:val="12"/>
        <w:widowControl w:val="0"/>
        <w:tabs>
          <w:tab w:val="left" w:pos="420"/>
        </w:tabs>
        <w:snapToGrid w:val="0"/>
        <w:spacing w:afterLines="0" w:line="420" w:lineRule="exact"/>
        <w:ind w:left="0"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2.在特殊情况下，招标人可与投标人协商延长投标文件的有效期，这种要求和答复均以书面形式进行。</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3.投标人可拒绝接受延期要求，同意延长有效期的投标人不能修改投标文件内容。 </w:t>
      </w:r>
    </w:p>
    <w:p>
      <w:pPr>
        <w:snapToGrid w:val="0"/>
        <w:spacing w:line="42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4.中标人的投标文件自开标之日起至合同履行完毕止均应保持有效。</w:t>
      </w:r>
    </w:p>
    <w:p>
      <w:pPr>
        <w:snapToGrid w:val="0"/>
        <w:spacing w:line="420" w:lineRule="exact"/>
        <w:ind w:firstLine="472" w:firstLineChars="196"/>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5.投标人有下列情形之一的，按有关规定进行处罚：</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（1）投标人在投标有效期内撤回投标文件的；</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（2）未按规定提交履约保证金的；</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（3）投标人在投标过程中弄虚作假，提供虚假材料的；</w:t>
      </w:r>
    </w:p>
    <w:p>
      <w:pPr>
        <w:snapToGrid w:val="0"/>
        <w:spacing w:line="42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（4）中标人无正当理由不与招标人签订合同的；</w:t>
      </w:r>
    </w:p>
    <w:p>
      <w:pPr>
        <w:snapToGrid w:val="0"/>
        <w:spacing w:line="42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bCs/>
          <w:sz w:val="24"/>
        </w:rPr>
        <w:t>将中标项目转让给他人或者在投标文件中未说明且未经招标人同意，将中标项目分包给他人的；</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（6）拒绝履行合同义务的；</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（7）其他严重扰乱招投标程序的。</w:t>
      </w:r>
    </w:p>
    <w:p>
      <w:pPr>
        <w:snapToGrid w:val="0"/>
        <w:spacing w:before="120" w:beforeLines="50" w:line="420" w:lineRule="exact"/>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（六）投标文件的签署</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1.投标人应按本招标文件规定的格式和顺序编制投标文件并标注页码，投标文件内容不完整、编排混乱而导致投标文件被误读、漏读或者查找不到相关内容的，投标人责任自负。</w:t>
      </w:r>
    </w:p>
    <w:p>
      <w:pPr>
        <w:snapToGrid w:val="0"/>
        <w:spacing w:line="420" w:lineRule="exact"/>
        <w:ind w:firstLine="470"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b/>
          <w:sz w:val="24"/>
        </w:rPr>
        <w:t>电子投标文件中公章采用CA签章</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
          <w:sz w:val="24"/>
        </w:rPr>
        <w:t>并根据本招标文件规定的格式和顺序编制电子投标文件，</w:t>
      </w:r>
      <w:r>
        <w:rPr>
          <w:rFonts w:hint="eastAsia" w:asciiTheme="minorEastAsia" w:hAnsiTheme="minorEastAsia" w:eastAsiaTheme="minorEastAsia" w:cstheme="minorEastAsia"/>
          <w:bCs/>
          <w:sz w:val="24"/>
        </w:rPr>
        <w:t>电子投标文件如内容不完整、编排混乱导致投标文件被误读、漏读，或者在按采购文件规定的部位查找不到相关内容的，由投标人自行承担。</w:t>
      </w:r>
    </w:p>
    <w:p>
      <w:pPr>
        <w:snapToGri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3.投标文件不得涂改，若有修改错漏处，须加盖单位公章或者法定代表人或授权委托人签字或盖章。投标文件因字迹潦草或表达不清所引起的后果由投标人负责。</w:t>
      </w:r>
    </w:p>
    <w:p>
      <w:pPr>
        <w:snapToGrid w:val="0"/>
        <w:spacing w:before="120" w:beforeLines="50" w:line="420" w:lineRule="exact"/>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（七）投标无效的情形</w:t>
      </w:r>
    </w:p>
    <w:p>
      <w:pPr>
        <w:snapToGrid w:val="0"/>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57" w:firstLineChars="196"/>
        <w:rPr>
          <w:rFonts w:asciiTheme="minorEastAsia" w:hAnsiTheme="minorEastAsia" w:eastAsiaTheme="minorEastAsia" w:cstheme="minorEastAsia"/>
          <w:b/>
          <w:bCs/>
          <w:spacing w:val="-4"/>
          <w:sz w:val="24"/>
        </w:rPr>
      </w:pPr>
      <w:bookmarkStart w:id="17" w:name="_Hlk59462445"/>
      <w:r>
        <w:rPr>
          <w:rFonts w:hint="eastAsia" w:asciiTheme="minorEastAsia" w:hAnsiTheme="minorEastAsia" w:eastAsiaTheme="minorEastAsia" w:cstheme="minorEastAsia"/>
          <w:b/>
          <w:bCs/>
          <w:spacing w:val="-4"/>
          <w:sz w:val="24"/>
        </w:rPr>
        <w:t>1.</w:t>
      </w:r>
      <w:bookmarkStart w:id="18" w:name="_Hlk534294335"/>
      <w:r>
        <w:rPr>
          <w:rFonts w:hint="eastAsia" w:asciiTheme="minorEastAsia" w:hAnsiTheme="minorEastAsia" w:eastAsiaTheme="minorEastAsia" w:cstheme="minorEastAsia"/>
          <w:b/>
          <w:bCs/>
          <w:spacing w:val="-4"/>
          <w:sz w:val="24"/>
        </w:rPr>
        <w:t>在符合性审查和商务技术评审时，如发现下列情形之一的，投标文件将被视为无效：</w:t>
      </w:r>
    </w:p>
    <w:bookmarkEnd w:id="18"/>
    <w:p>
      <w:pPr>
        <w:snapToGrid w:val="0"/>
        <w:spacing w:line="42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（1）资格响应文件未提供齐全的或者资格响应文件存在过期的或者不符合招标文件标明的资格要求的；</w:t>
      </w:r>
    </w:p>
    <w:p>
      <w:pPr>
        <w:snapToGrid w:val="0"/>
        <w:spacing w:line="420" w:lineRule="exact"/>
        <w:ind w:firstLine="470" w:firstLineChars="196"/>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bCs/>
          <w:sz w:val="24"/>
        </w:rPr>
        <w:t>电子投标文件</w:t>
      </w:r>
      <w:r>
        <w:rPr>
          <w:rFonts w:hint="eastAsia" w:asciiTheme="minorEastAsia" w:hAnsiTheme="minorEastAsia" w:eastAsiaTheme="minorEastAsia" w:cstheme="minorEastAsia"/>
          <w:b/>
          <w:bCs/>
          <w:kern w:val="0"/>
          <w:sz w:val="24"/>
          <w:u w:val="single"/>
        </w:rPr>
        <w:t>在指定页面无法定代表人盖章或签字、未在指定页面盖公章、在指定页面无被授权人签字（打字无效）、</w:t>
      </w:r>
      <w:r>
        <w:rPr>
          <w:rFonts w:hint="eastAsia" w:asciiTheme="minorEastAsia" w:hAnsiTheme="minorEastAsia" w:eastAsiaTheme="minorEastAsia" w:cstheme="minorEastAsia"/>
          <w:b/>
          <w:bCs/>
          <w:kern w:val="0"/>
          <w:sz w:val="24"/>
        </w:rPr>
        <w:t>未提供法定代表人授权委托书、未提供投标函、未提供《没有重大违法记录的承诺函》或者投标函、《没有重大违法记录的承诺函》格式不符合招标文件要求或填写项目不齐全的；</w:t>
      </w:r>
    </w:p>
    <w:p>
      <w:pPr>
        <w:pStyle w:val="21"/>
        <w:snapToGrid w:val="0"/>
        <w:spacing w:line="420" w:lineRule="exact"/>
        <w:ind w:firstLine="454"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（3）多项主要服务响应或者主要设备功能响应不满足招标文件要求或</w:t>
      </w:r>
      <w:r>
        <w:rPr>
          <w:rFonts w:hint="eastAsia" w:asciiTheme="minorEastAsia" w:hAnsiTheme="minorEastAsia" w:eastAsiaTheme="minorEastAsia" w:cstheme="minorEastAsia"/>
          <w:sz w:val="24"/>
        </w:rPr>
        <w:t>缺项的，</w:t>
      </w:r>
      <w:r>
        <w:rPr>
          <w:rFonts w:hint="eastAsia" w:asciiTheme="minorEastAsia" w:hAnsiTheme="minorEastAsia" w:eastAsiaTheme="minorEastAsia" w:cstheme="minorEastAsia"/>
          <w:b/>
          <w:bCs/>
          <w:sz w:val="24"/>
          <w:szCs w:val="24"/>
        </w:rPr>
        <w:t>主要设备尺寸严重不满足招标文件要求的。</w:t>
      </w:r>
    </w:p>
    <w:p>
      <w:pPr>
        <w:pStyle w:val="21"/>
        <w:snapToGrid w:val="0"/>
        <w:spacing w:line="420" w:lineRule="exact"/>
        <w:ind w:firstLine="454"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napToGrid w:val="0"/>
          <w:sz w:val="24"/>
          <w:szCs w:val="24"/>
        </w:rPr>
        <w:t>与</w:t>
      </w:r>
      <w:r>
        <w:rPr>
          <w:rFonts w:hint="eastAsia" w:asciiTheme="minorEastAsia" w:hAnsiTheme="minorEastAsia" w:eastAsiaTheme="minorEastAsia" w:cstheme="minorEastAsia"/>
          <w:sz w:val="24"/>
          <w:szCs w:val="24"/>
        </w:rPr>
        <w:t>招标文件中标“▲”的技术指标、主要功能参数、服务响应发生实质性负偏离</w:t>
      </w:r>
      <w:r>
        <w:rPr>
          <w:rFonts w:hint="eastAsia" w:asciiTheme="minorEastAsia" w:hAnsiTheme="minorEastAsia" w:eastAsiaTheme="minorEastAsia" w:cstheme="minorEastAsia"/>
          <w:snapToGrid w:val="0"/>
          <w:sz w:val="24"/>
          <w:szCs w:val="24"/>
        </w:rPr>
        <w:t>或内容缺失</w:t>
      </w:r>
      <w:r>
        <w:rPr>
          <w:rFonts w:hint="eastAsia" w:asciiTheme="minorEastAsia" w:hAnsiTheme="minorEastAsia" w:eastAsiaTheme="minorEastAsia" w:cstheme="minorEastAsia"/>
          <w:sz w:val="24"/>
          <w:szCs w:val="24"/>
        </w:rPr>
        <w:t>的；</w:t>
      </w:r>
    </w:p>
    <w:p>
      <w:pPr>
        <w:pStyle w:val="21"/>
        <w:snapToGrid w:val="0"/>
        <w:spacing w:line="420" w:lineRule="exact"/>
        <w:ind w:firstLine="454"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（5）未如实提供投标货物的技术参数，或者投标文件标明的响应或偏离存在虚假的；</w:t>
      </w:r>
    </w:p>
    <w:p>
      <w:pPr>
        <w:pStyle w:val="21"/>
        <w:snapToGrid w:val="0"/>
        <w:spacing w:line="420" w:lineRule="exact"/>
        <w:ind w:firstLine="454" w:firstLineChars="196"/>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（6）投标有效期、工期（供货期、交货时间、服务期）、保修期（质保期）、付款方式等商务条款不能满足招标文件要求或缺失的</w:t>
      </w:r>
      <w:r>
        <w:rPr>
          <w:rFonts w:hint="eastAsia" w:asciiTheme="minorEastAsia" w:hAnsiTheme="minorEastAsia" w:eastAsiaTheme="minorEastAsia" w:cstheme="minorEastAsia"/>
          <w:snapToGrid w:val="0"/>
          <w:sz w:val="24"/>
          <w:szCs w:val="24"/>
        </w:rPr>
        <w:t>；</w:t>
      </w:r>
    </w:p>
    <w:bookmarkEnd w:id="17"/>
    <w:p>
      <w:pPr>
        <w:pStyle w:val="21"/>
        <w:snapToGrid w:val="0"/>
        <w:spacing w:line="420" w:lineRule="exact"/>
        <w:ind w:firstLine="454" w:firstLineChars="196"/>
        <w:rPr>
          <w:rFonts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pPr>
        <w:pStyle w:val="21"/>
        <w:snapToGrid w:val="0"/>
        <w:spacing w:line="420" w:lineRule="exact"/>
        <w:ind w:firstLine="454"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（8）投标文件有招标方不能接受的附加条件的；</w:t>
      </w:r>
    </w:p>
    <w:p>
      <w:pPr>
        <w:pStyle w:val="21"/>
        <w:snapToGrid w:val="0"/>
        <w:spacing w:line="420" w:lineRule="exact"/>
        <w:ind w:firstLine="464"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（9）商务技术文件中出现投标总报价的；</w:t>
      </w:r>
    </w:p>
    <w:p>
      <w:pPr>
        <w:pStyle w:val="21"/>
        <w:snapToGrid w:val="0"/>
        <w:spacing w:line="420" w:lineRule="exact"/>
        <w:ind w:firstLine="454"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（10）不同投标人的投标文件,由同一台电脑编制。</w:t>
      </w:r>
    </w:p>
    <w:p>
      <w:pPr>
        <w:pStyle w:val="21"/>
        <w:snapToGrid w:val="0"/>
        <w:spacing w:line="420" w:lineRule="exact"/>
        <w:ind w:firstLine="457"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2.在报价评审时，如发现下列情形之一的，投标文件将被视为无效：</w:t>
      </w:r>
    </w:p>
    <w:p>
      <w:pPr>
        <w:pStyle w:val="21"/>
        <w:snapToGrid w:val="0"/>
        <w:spacing w:line="420" w:lineRule="exact"/>
        <w:ind w:firstLine="454"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（1）未采用人民币报价或者未按照招标文件标明的币种报价的；</w:t>
      </w:r>
    </w:p>
    <w:p>
      <w:pPr>
        <w:pStyle w:val="21"/>
        <w:snapToGrid w:val="0"/>
        <w:spacing w:line="420" w:lineRule="exact"/>
        <w:ind w:firstLine="454"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（2）投标报价具有选择性，或者开标价格与投标文件承诺的优惠（折扣）价格不一致的；</w:t>
      </w:r>
    </w:p>
    <w:p>
      <w:pPr>
        <w:pStyle w:val="21"/>
        <w:snapToGrid w:val="0"/>
        <w:spacing w:line="420" w:lineRule="exact"/>
        <w:ind w:firstLine="457"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（3）报价超过招标文件中规定的预算金额或者最高限价的；</w:t>
      </w:r>
    </w:p>
    <w:p>
      <w:pPr>
        <w:pStyle w:val="21"/>
        <w:snapToGrid w:val="0"/>
        <w:spacing w:line="420" w:lineRule="exact"/>
        <w:ind w:firstLine="457"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（4）未填写投标报价的。</w:t>
      </w:r>
    </w:p>
    <w:p>
      <w:pPr>
        <w:pStyle w:val="21"/>
        <w:snapToGrid w:val="0"/>
        <w:spacing w:line="420" w:lineRule="exact"/>
        <w:ind w:firstLine="457" w:firstLineChars="196"/>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3.被拒绝的投标文件为无效。</w:t>
      </w:r>
    </w:p>
    <w:p>
      <w:pPr>
        <w:spacing w:line="420" w:lineRule="exact"/>
        <w:ind w:firstLine="354" w:firstLineChars="147"/>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（八）在招标采购中，出现下列情形之一的，应予废标</w:t>
      </w:r>
    </w:p>
    <w:p>
      <w:pPr>
        <w:autoSpaceDE w:val="0"/>
        <w:autoSpaceDN w:val="0"/>
        <w:spacing w:line="420" w:lineRule="exact"/>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1、出现影响采购公正的违法、违规行为的；</w:t>
      </w:r>
    </w:p>
    <w:p>
      <w:pPr>
        <w:autoSpaceDE w:val="0"/>
        <w:autoSpaceDN w:val="0"/>
        <w:spacing w:line="420" w:lineRule="exact"/>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2、因重大变故，采购任务取消的；</w:t>
      </w:r>
    </w:p>
    <w:p>
      <w:pPr>
        <w:autoSpaceDE w:val="0"/>
        <w:autoSpaceDN w:val="0"/>
        <w:spacing w:line="420" w:lineRule="exact"/>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3、投标人的报价均超过了采购预算价，招标人不能支付的。</w:t>
      </w:r>
    </w:p>
    <w:p>
      <w:pPr>
        <w:autoSpaceDE w:val="0"/>
        <w:autoSpaceDN w:val="0"/>
        <w:spacing w:line="420" w:lineRule="exact"/>
        <w:ind w:firstLine="480" w:firstLineChars="200"/>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4.其他法律法规规定应予以废标的情形。</w:t>
      </w:r>
    </w:p>
    <w:p>
      <w:pPr>
        <w:pStyle w:val="21"/>
        <w:snapToGrid w:val="0"/>
        <w:spacing w:line="420" w:lineRule="exact"/>
        <w:ind w:firstLine="256" w:firstLineChars="110"/>
        <w:rPr>
          <w:rFonts w:asciiTheme="minorEastAsia" w:hAnsiTheme="minorEastAsia" w:eastAsiaTheme="minorEastAsia" w:cstheme="minorEastAsia"/>
          <w:b/>
          <w:snapToGrid w:val="0"/>
          <w:sz w:val="24"/>
          <w:szCs w:val="24"/>
        </w:rPr>
      </w:pPr>
      <w:r>
        <w:rPr>
          <w:rFonts w:hint="eastAsia" w:asciiTheme="minorEastAsia" w:hAnsiTheme="minorEastAsia" w:eastAsiaTheme="minorEastAsia" w:cstheme="minorEastAsia"/>
          <w:b/>
          <w:sz w:val="24"/>
          <w:szCs w:val="24"/>
        </w:rPr>
        <w:t>四、开标</w:t>
      </w:r>
    </w:p>
    <w:p>
      <w:pPr>
        <w:pStyle w:val="30"/>
        <w:snapToGrid w:val="0"/>
        <w:spacing w:beforeLines="0" w:afterLines="0" w:line="420" w:lineRule="exact"/>
        <w:ind w:firstLine="241" w:firstLineChars="100"/>
        <w:rPr>
          <w:rFonts w:asciiTheme="minorEastAsia" w:hAnsiTheme="minorEastAsia" w:eastAsiaTheme="minorEastAsia" w:cstheme="minorEastAsia"/>
          <w:b/>
        </w:rPr>
      </w:pPr>
      <w:r>
        <w:rPr>
          <w:rFonts w:hint="eastAsia" w:asciiTheme="minorEastAsia" w:hAnsiTheme="minorEastAsia" w:eastAsiaTheme="minorEastAsia" w:cstheme="minorEastAsia"/>
          <w:b/>
        </w:rPr>
        <w:t>（一）开标准备</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代理机构将按照招标文件规定的时间通过“临海市限额以下公共资源交易区域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采购过程中出现以下情形，导致电子交易平台无法正常运行，或者无法保证电子交易的公平、公正和安全时，代理机构可中止电子交易活动：</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（1）电子交易平台发生故障、停电而无法登录访问的； </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（2）电子交易平台应用或数据库出现错误，不能进行正常操作的；</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（3）电子交易平台发现严重安全漏洞，有潜在泄密危险的；</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（4）病毒发作导致不能进行正常操作的； </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（5）其他无法保证电子交易的公平、公正和安全的情况。</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出现前款规定情形，不影响采购公平、公正性的，代理机构可以待上述情形消除后继续组织电子交易活动，影响或可能影响采购公平、公正性的，应当重新采购。</w:t>
      </w:r>
    </w:p>
    <w:p>
      <w:pPr>
        <w:pStyle w:val="30"/>
        <w:snapToGrid w:val="0"/>
        <w:spacing w:beforeLines="0" w:afterLines="0" w:line="420" w:lineRule="exact"/>
        <w:ind w:firstLine="472"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
        </w:rPr>
        <w:t xml:space="preserve">（二）开标程序    </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1.开标会由招标人主持，</w:t>
      </w:r>
      <w:bookmarkStart w:id="19" w:name="_Hlk59694585"/>
      <w:r>
        <w:rPr>
          <w:rFonts w:hint="eastAsia" w:asciiTheme="minorEastAsia" w:hAnsiTheme="minorEastAsia" w:eastAsiaTheme="minorEastAsia" w:cstheme="minorEastAsia"/>
          <w:b/>
          <w:bCs/>
          <w:u w:val="single"/>
        </w:rPr>
        <w:t>并通过临海市限额以下公共资源交易区域平台--每日直播平台进行现场直播，各投标人请准时在线参加。</w:t>
      </w:r>
      <w:bookmarkStart w:id="20" w:name="_Hlk59690176"/>
      <w:r>
        <w:rPr>
          <w:rFonts w:hint="eastAsia" w:asciiTheme="minorEastAsia" w:hAnsiTheme="minorEastAsia" w:eastAsiaTheme="minorEastAsia" w:cstheme="minorEastAsia"/>
          <w:b/>
          <w:bCs/>
          <w:u w:val="single"/>
        </w:rPr>
        <w:t>各投标人如对开、评标过程有异议的，应该登陆临海市限额以下公共资源交易区域平台—-每日直播平台---点击该项目—登陆，进入答疑进行提问，招标人（代理机构）应当及时作出答复，并制作记录</w:t>
      </w:r>
      <w:bookmarkEnd w:id="19"/>
      <w:r>
        <w:rPr>
          <w:rFonts w:hint="eastAsia" w:asciiTheme="minorEastAsia" w:hAnsiTheme="minorEastAsia" w:eastAsiaTheme="minorEastAsia" w:cstheme="minorEastAsia"/>
          <w:b/>
          <w:bCs/>
          <w:u w:val="single"/>
        </w:rPr>
        <w:t>；</w:t>
      </w:r>
    </w:p>
    <w:bookmarkEnd w:id="20"/>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 招标人点击临海市限额以下公共资源交易区域平台-不见面开标大厅--【开始解密】按钮，</w:t>
      </w:r>
      <w:bookmarkStart w:id="21" w:name="_Hlk59625783"/>
      <w:r>
        <w:rPr>
          <w:rFonts w:hint="eastAsia" w:asciiTheme="minorEastAsia" w:hAnsiTheme="minorEastAsia" w:eastAsiaTheme="minorEastAsia" w:cstheme="minorEastAsia"/>
        </w:rPr>
        <w:t>由投标人按招标文件规定的时间及</w:t>
      </w:r>
      <w:bookmarkStart w:id="22" w:name="_Hlk59626264"/>
      <w:r>
        <w:rPr>
          <w:rFonts w:hint="eastAsia" w:asciiTheme="minorEastAsia" w:hAnsiTheme="minorEastAsia" w:eastAsiaTheme="minorEastAsia" w:cstheme="minorEastAsia"/>
        </w:rPr>
        <w:t>平台</w:t>
      </w:r>
      <w:bookmarkEnd w:id="22"/>
      <w:r>
        <w:rPr>
          <w:rFonts w:hint="eastAsia" w:asciiTheme="minorEastAsia" w:hAnsiTheme="minorEastAsia" w:eastAsiaTheme="minorEastAsia" w:cstheme="minorEastAsia"/>
        </w:rPr>
        <w:t>显示的时间内自行进行投标文件解密。</w:t>
      </w:r>
      <w:bookmarkEnd w:id="21"/>
      <w:r>
        <w:rPr>
          <w:rFonts w:hint="eastAsia" w:asciiTheme="minorEastAsia" w:hAnsiTheme="minorEastAsia" w:eastAsiaTheme="minorEastAsia" w:cstheme="minorEastAsia"/>
        </w:rPr>
        <w:t>投标文件的制作和解密应使用同一个数字证书，否则将可能解密失败。解密过程中如因CA数字证书等问题而无法解密的，请马上致电服务热线400-0571-337寻求解决。</w:t>
      </w:r>
      <w:bookmarkStart w:id="23" w:name="_Hlk59805375"/>
      <w:r>
        <w:rPr>
          <w:rFonts w:hint="eastAsia" w:asciiTheme="minorEastAsia" w:hAnsiTheme="minorEastAsia" w:eastAsiaTheme="minorEastAsia" w:cstheme="minorEastAsia"/>
        </w:rPr>
        <w:t>投标人未按时解密或解密失败的，其投标文件为无效标。</w:t>
      </w:r>
      <w:bookmarkEnd w:id="23"/>
    </w:p>
    <w:p>
      <w:pPr>
        <w:pStyle w:val="30"/>
        <w:snapToGrid w:val="0"/>
        <w:spacing w:beforeLines="0" w:afterLines="0" w:line="420" w:lineRule="exact"/>
        <w:rPr>
          <w:rFonts w:asciiTheme="minorEastAsia" w:hAnsiTheme="minorEastAsia" w:eastAsiaTheme="minorEastAsia" w:cstheme="minorEastAsia"/>
          <w:b/>
          <w:bCs/>
          <w:u w:val="single"/>
        </w:rPr>
      </w:pPr>
      <w:r>
        <w:rPr>
          <w:rFonts w:hint="eastAsia" w:asciiTheme="minorEastAsia" w:hAnsiTheme="minorEastAsia" w:eastAsiaTheme="minorEastAsia" w:cstheme="minorEastAsia"/>
          <w:b/>
          <w:bCs/>
          <w:u w:val="single"/>
        </w:rPr>
        <w:t>该项目投标人数量及各投标人投标文件是否完成解密以平台显示内容为准。</w:t>
      </w:r>
    </w:p>
    <w:p>
      <w:pPr>
        <w:pStyle w:val="30"/>
        <w:snapToGrid w:val="0"/>
        <w:spacing w:beforeLines="0" w:afterLines="0" w:line="420" w:lineRule="exact"/>
        <w:ind w:firstLine="480" w:firstLineChars="200"/>
        <w:rPr>
          <w:rFonts w:asciiTheme="minorEastAsia" w:hAnsiTheme="minorEastAsia" w:eastAsiaTheme="minorEastAsia" w:cstheme="minorEastAsia"/>
          <w:b/>
          <w:bCs/>
          <w:u w:val="single"/>
        </w:rPr>
      </w:pPr>
      <w:r>
        <w:rPr>
          <w:rFonts w:hint="eastAsia" w:asciiTheme="minorEastAsia" w:hAnsiTheme="minorEastAsia" w:eastAsiaTheme="minorEastAsia" w:cstheme="minorEastAsia"/>
        </w:rPr>
        <w:t>3.解密结束后，主持人介绍参加开标会的人员名单，告知应当回避的情形,提请有关人员回避；</w:t>
      </w:r>
    </w:p>
    <w:p>
      <w:pPr>
        <w:pStyle w:val="30"/>
        <w:snapToGrid w:val="0"/>
        <w:spacing w:beforeLines="0" w:afterLines="0" w:line="42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4.投标文件结束解密后，投标人应当通过邮件形式，将经授权代表签署的《采购活动现场确认声明书》</w:t>
      </w:r>
      <w:r>
        <w:rPr>
          <w:rFonts w:hint="eastAsia" w:asciiTheme="minorEastAsia" w:hAnsiTheme="minorEastAsia" w:eastAsiaTheme="minorEastAsia" w:cstheme="minorEastAsia"/>
          <w:b/>
          <w:bCs/>
          <w:u w:val="single"/>
        </w:rPr>
        <w:t>（格式见招标文件最后一页14.采购活动现场确认声明书）</w:t>
      </w:r>
      <w:r>
        <w:rPr>
          <w:rFonts w:hint="eastAsia" w:asciiTheme="minorEastAsia" w:hAnsiTheme="minorEastAsia" w:eastAsiaTheme="minorEastAsia" w:cstheme="minorEastAsia"/>
        </w:rPr>
        <w:t>扫描件发至代理机构电子邮箱</w:t>
      </w:r>
      <w:r>
        <w:rPr>
          <w:rFonts w:hint="eastAsia" w:asciiTheme="minorEastAsia" w:hAnsiTheme="minorEastAsia" w:eastAsiaTheme="minorEastAsia" w:cstheme="minorEastAsia"/>
          <w:u w:val="single"/>
        </w:rPr>
        <w:t>（</w:t>
      </w:r>
      <w:r>
        <w:fldChar w:fldCharType="begin"/>
      </w:r>
      <w:r>
        <w:instrText xml:space="preserve"> HYPERLINK "mailto:lhzb.gov.cn@163.com）,联系人" </w:instrText>
      </w:r>
      <w:r>
        <w:fldChar w:fldCharType="separate"/>
      </w:r>
      <w:r>
        <w:rPr>
          <w:rStyle w:val="58"/>
          <w:rFonts w:hint="eastAsia" w:asciiTheme="minorEastAsia" w:hAnsiTheme="minorEastAsia" w:eastAsiaTheme="minorEastAsia" w:cstheme="minorEastAsia"/>
          <w:color w:val="auto"/>
        </w:rPr>
        <w:t>445034934@qq.com）,联系人</w:t>
      </w:r>
      <w:r>
        <w:rPr>
          <w:rStyle w:val="58"/>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u w:val="single"/>
        </w:rPr>
        <w:t>：卢先生，电话：15988901150；</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5.代理机构点击【</w:t>
      </w:r>
      <w:bookmarkStart w:id="24" w:name="_Hlk59371589"/>
      <w:r>
        <w:rPr>
          <w:rFonts w:hint="eastAsia" w:asciiTheme="minorEastAsia" w:hAnsiTheme="minorEastAsia" w:eastAsiaTheme="minorEastAsia" w:cstheme="minorEastAsia"/>
        </w:rPr>
        <w:t>开启标书信息</w:t>
      </w:r>
      <w:bookmarkEnd w:id="24"/>
      <w:r>
        <w:rPr>
          <w:rFonts w:hint="eastAsia" w:asciiTheme="minorEastAsia" w:hAnsiTheme="minorEastAsia" w:eastAsiaTheme="minorEastAsia" w:cstheme="minorEastAsia"/>
        </w:rPr>
        <w:t>】，开启标书成功后进入评标流程；</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w:t>
      </w:r>
      <w:bookmarkStart w:id="25" w:name="_Hlk59392570"/>
      <w:r>
        <w:rPr>
          <w:rFonts w:hint="eastAsia" w:asciiTheme="minorEastAsia" w:hAnsiTheme="minorEastAsia" w:eastAsiaTheme="minorEastAsia" w:cstheme="minorEastAsia"/>
        </w:rPr>
        <w:t>资格及商务技术文件</w:t>
      </w:r>
      <w:bookmarkEnd w:id="25"/>
      <w:r>
        <w:rPr>
          <w:rFonts w:hint="eastAsia" w:asciiTheme="minorEastAsia" w:hAnsiTheme="minorEastAsia" w:eastAsiaTheme="minorEastAsia" w:cstheme="minorEastAsia"/>
        </w:rPr>
        <w:t>评审；</w:t>
      </w:r>
    </w:p>
    <w:p>
      <w:pPr>
        <w:pStyle w:val="30"/>
        <w:snapToGrid w:val="0"/>
        <w:spacing w:beforeLines="0" w:afterLines="0" w:line="420" w:lineRule="exact"/>
        <w:ind w:firstLine="480"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rPr>
        <w:t>7.由主持人公布资格及商务技术文件无效的投标人名单、投标无效的原因及其他有效投标的评分汇总分</w:t>
      </w:r>
      <w:r>
        <w:rPr>
          <w:rFonts w:hint="eastAsia" w:asciiTheme="minorEastAsia" w:hAnsiTheme="minorEastAsia" w:eastAsiaTheme="minorEastAsia" w:cstheme="minorEastAsia"/>
          <w:b/>
          <w:bCs/>
        </w:rPr>
        <w:t>；</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8.开启报价响应文件：代理机构成功开启报价响应文件后，方可查看各投标人报价情况。</w:t>
      </w:r>
      <w:r>
        <w:rPr>
          <w:rFonts w:hint="eastAsia" w:asciiTheme="minorEastAsia" w:hAnsiTheme="minorEastAsia" w:eastAsiaTheme="minorEastAsia" w:cstheme="minorEastAsia"/>
          <w:b/>
          <w:bCs/>
          <w:u w:val="single"/>
        </w:rPr>
        <w:t>代理机构在线公布开标一览表有关内容，投标人应在10分钟内在线签字确认（不予确认或超时确认的应说明原因，否则视为无异议）；</w:t>
      </w:r>
    </w:p>
    <w:p>
      <w:pPr>
        <w:pStyle w:val="30"/>
        <w:snapToGrid w:val="0"/>
        <w:spacing w:beforeLines="0" w:afterLines="0" w:line="420" w:lineRule="exact"/>
        <w:ind w:left="719" w:leftChars="228" w:hanging="240" w:hangingChars="100"/>
        <w:rPr>
          <w:rFonts w:asciiTheme="minorEastAsia" w:hAnsiTheme="minorEastAsia" w:eastAsiaTheme="minorEastAsia" w:cstheme="minorEastAsia"/>
        </w:rPr>
      </w:pPr>
      <w:r>
        <w:rPr>
          <w:rFonts w:hint="eastAsia" w:asciiTheme="minorEastAsia" w:hAnsiTheme="minorEastAsia" w:eastAsiaTheme="minorEastAsia" w:cstheme="minorEastAsia"/>
        </w:rPr>
        <w:t>9.报价文件评审；</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10．由主持人公布报价文件无效的投标人名单、投标无效的原因，宣布综合</w:t>
      </w:r>
      <w:bookmarkStart w:id="26" w:name="_Hlk59371720"/>
      <w:r>
        <w:rPr>
          <w:rFonts w:hint="eastAsia" w:asciiTheme="minorEastAsia" w:hAnsiTheme="minorEastAsia" w:eastAsiaTheme="minorEastAsia" w:cstheme="minorEastAsia"/>
        </w:rPr>
        <w:t>得分结果</w:t>
      </w:r>
      <w:bookmarkEnd w:id="26"/>
      <w:r>
        <w:rPr>
          <w:rFonts w:hint="eastAsia" w:asciiTheme="minorEastAsia" w:hAnsiTheme="minorEastAsia" w:eastAsiaTheme="minorEastAsia" w:cstheme="minorEastAsia"/>
        </w:rPr>
        <w:t>及中标候选人名单。</w:t>
      </w:r>
      <w:r>
        <w:rPr>
          <w:rFonts w:hint="eastAsia" w:asciiTheme="minorEastAsia" w:hAnsiTheme="minorEastAsia" w:eastAsiaTheme="minorEastAsia" w:cstheme="minorEastAsia"/>
          <w:b/>
          <w:bCs/>
          <w:u w:val="single"/>
        </w:rPr>
        <w:t>投标人可通过</w:t>
      </w:r>
      <w:bookmarkStart w:id="27" w:name="_Hlk59626287"/>
      <w:r>
        <w:rPr>
          <w:rFonts w:hint="eastAsia" w:asciiTheme="minorEastAsia" w:hAnsiTheme="minorEastAsia" w:eastAsiaTheme="minorEastAsia" w:cstheme="minorEastAsia"/>
          <w:b/>
          <w:bCs/>
          <w:u w:val="single"/>
        </w:rPr>
        <w:t>临海市限额以下公共资源交易区域平台</w:t>
      </w:r>
      <w:bookmarkEnd w:id="27"/>
      <w:r>
        <w:rPr>
          <w:rFonts w:hint="eastAsia" w:asciiTheme="minorEastAsia" w:hAnsiTheme="minorEastAsia" w:eastAsiaTheme="minorEastAsia" w:cstheme="minorEastAsia"/>
          <w:b/>
          <w:bCs/>
          <w:u w:val="single"/>
        </w:rPr>
        <w:t>-每日直播平台查看评审结果，请各投标人注意收看；</w:t>
      </w:r>
    </w:p>
    <w:p>
      <w:pPr>
        <w:pStyle w:val="30"/>
        <w:snapToGrid w:val="0"/>
        <w:spacing w:beforeLines="0" w:afterLines="0" w:line="420" w:lineRule="exact"/>
        <w:ind w:left="719" w:leftChars="228" w:hanging="240" w:hangingChars="100"/>
        <w:rPr>
          <w:rFonts w:asciiTheme="minorEastAsia" w:hAnsiTheme="minorEastAsia" w:eastAsiaTheme="minorEastAsia" w:cstheme="minorEastAsia"/>
        </w:rPr>
      </w:pPr>
      <w:r>
        <w:rPr>
          <w:rFonts w:hint="eastAsia" w:asciiTheme="minorEastAsia" w:hAnsiTheme="minorEastAsia" w:eastAsiaTheme="minorEastAsia" w:cstheme="minorEastAsia"/>
        </w:rPr>
        <w:t>11．开标会议结束。</w:t>
      </w:r>
    </w:p>
    <w:p>
      <w:pPr>
        <w:pStyle w:val="30"/>
        <w:snapToGrid w:val="0"/>
        <w:spacing w:beforeLines="0" w:afterLines="0" w:line="420" w:lineRule="exact"/>
        <w:ind w:left="720" w:leftChars="228" w:hanging="241" w:hangingChars="100"/>
        <w:rPr>
          <w:rFonts w:asciiTheme="minorEastAsia" w:hAnsiTheme="minorEastAsia" w:eastAsiaTheme="minorEastAsia" w:cstheme="minorEastAsia"/>
        </w:rPr>
      </w:pPr>
      <w:r>
        <w:rPr>
          <w:rFonts w:hint="eastAsia" w:asciiTheme="minorEastAsia" w:hAnsiTheme="minorEastAsia" w:eastAsiaTheme="minorEastAsia" w:cstheme="minorEastAsia"/>
          <w:b/>
        </w:rPr>
        <w:t>五、评标</w:t>
      </w:r>
    </w:p>
    <w:p>
      <w:pPr>
        <w:pStyle w:val="30"/>
        <w:snapToGrid w:val="0"/>
        <w:spacing w:beforeLines="0" w:afterLines="0" w:line="420" w:lineRule="exact"/>
        <w:ind w:left="720" w:leftChars="228" w:hanging="241" w:hangingChars="100"/>
        <w:rPr>
          <w:rFonts w:asciiTheme="minorEastAsia" w:hAnsiTheme="minorEastAsia" w:eastAsiaTheme="minorEastAsia" w:cstheme="minorEastAsia"/>
        </w:rPr>
      </w:pPr>
      <w:r>
        <w:rPr>
          <w:rFonts w:hint="eastAsia" w:asciiTheme="minorEastAsia" w:hAnsiTheme="minorEastAsia" w:eastAsiaTheme="minorEastAsia" w:cstheme="minorEastAsia"/>
          <w:b/>
        </w:rPr>
        <w:t>（一）组建评标委员会</w:t>
      </w:r>
    </w:p>
    <w:p>
      <w:pPr>
        <w:pStyle w:val="30"/>
        <w:snapToGrid w:val="0"/>
        <w:spacing w:beforeLines="0" w:afterLines="0" w:line="420" w:lineRule="exact"/>
        <w:ind w:firstLine="472" w:firstLineChars="196"/>
        <w:rPr>
          <w:rFonts w:asciiTheme="minorEastAsia" w:hAnsiTheme="minorEastAsia" w:eastAsiaTheme="minorEastAsia" w:cstheme="minorEastAsia"/>
          <w:b/>
        </w:rPr>
      </w:pPr>
      <w:r>
        <w:rPr>
          <w:rFonts w:hint="eastAsia" w:asciiTheme="minorEastAsia" w:hAnsiTheme="minorEastAsia" w:eastAsiaTheme="minorEastAsia" w:cstheme="minorEastAsia"/>
          <w:b/>
        </w:rPr>
        <w:t>（1）本项目评标委员会由招标人依法组建。</w:t>
      </w:r>
    </w:p>
    <w:p>
      <w:pPr>
        <w:pStyle w:val="30"/>
        <w:snapToGrid w:val="0"/>
        <w:spacing w:beforeLines="0" w:afterLines="0" w:line="420" w:lineRule="exact"/>
        <w:ind w:firstLine="472" w:firstLineChars="196"/>
        <w:rPr>
          <w:rFonts w:asciiTheme="minorEastAsia" w:hAnsiTheme="minorEastAsia" w:eastAsiaTheme="minorEastAsia" w:cstheme="minorEastAsia"/>
          <w:b/>
        </w:rPr>
      </w:pPr>
      <w:r>
        <w:rPr>
          <w:rFonts w:hint="eastAsia" w:asciiTheme="minorEastAsia" w:hAnsiTheme="minorEastAsia" w:eastAsiaTheme="minorEastAsia" w:cstheme="minorEastAsia"/>
          <w:b/>
        </w:rPr>
        <w:t>（2）评标委员会成员与参与投标的投标人有下列情形之一的，应当回避：</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①参加采购活动前3年内与投标人存在劳动关系；</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②参加采购活动前3年内担任投标人的董事、监事；</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③参加采购活动前3年内是投标人的控股股东或者实际控制人；</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④与投标人的法定代表人或者负责人有夫妻、直系血亲、三代以内旁系血亲或者近姻亲关系；</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⑤与投标人有其他可能影响采购活动公平、公正进行的关系。</w:t>
      </w:r>
    </w:p>
    <w:p>
      <w:pPr>
        <w:pStyle w:val="30"/>
        <w:snapToGrid w:val="0"/>
        <w:spacing w:beforeLines="0" w:afterLines="0" w:line="420" w:lineRule="exact"/>
        <w:ind w:firstLine="472" w:firstLineChars="196"/>
        <w:rPr>
          <w:rFonts w:asciiTheme="minorEastAsia" w:hAnsiTheme="minorEastAsia" w:eastAsiaTheme="minorEastAsia" w:cstheme="minorEastAsia"/>
          <w:b/>
        </w:rPr>
      </w:pPr>
      <w:r>
        <w:rPr>
          <w:rFonts w:hint="eastAsia" w:asciiTheme="minorEastAsia" w:hAnsiTheme="minorEastAsia" w:eastAsiaTheme="minorEastAsia" w:cstheme="minorEastAsia"/>
          <w:b/>
        </w:rPr>
        <w:t>（3）评标委员会负责具体评标事务，并独立履行下列职责：</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1.审查、评价投标文件是否符合招标文件的商务、技术等实质性要求；</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2.要求投标人对投标文件有关事项作出澄清或者说明；</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3.对投标文件进行比较和评价；</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4.确定中标候选人名单，以及根据招标人委托直接确定中标人；</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5.向招标人、代理机构或者有关部门报告评标中发现的违法行为；</w:t>
      </w:r>
    </w:p>
    <w:p>
      <w:pPr>
        <w:pStyle w:val="30"/>
        <w:snapToGrid w:val="0"/>
        <w:spacing w:beforeLines="0" w:afterLines="0" w:line="42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6.法律法规规定的其他职责。</w:t>
      </w:r>
    </w:p>
    <w:p>
      <w:pPr>
        <w:pStyle w:val="30"/>
        <w:snapToGrid w:val="0"/>
        <w:spacing w:beforeLines="0" w:afterLines="0" w:line="4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（二）评标的方式</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本项目采用不公开方式评标，评标的依据为招标文件和投标文件，本项目采用电子评审方法。</w:t>
      </w:r>
    </w:p>
    <w:p>
      <w:pPr>
        <w:pStyle w:val="30"/>
        <w:snapToGrid w:val="0"/>
        <w:spacing w:beforeLines="0" w:afterLines="0" w:line="42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（三）</w:t>
      </w:r>
      <w:r>
        <w:rPr>
          <w:rFonts w:hint="eastAsia" w:asciiTheme="minorEastAsia" w:hAnsiTheme="minorEastAsia" w:eastAsiaTheme="minorEastAsia" w:cstheme="minorEastAsia"/>
          <w:b/>
          <w:bCs/>
        </w:rPr>
        <w:t>评标程序</w:t>
      </w:r>
    </w:p>
    <w:p>
      <w:pPr>
        <w:snapToGrid w:val="0"/>
        <w:spacing w:line="420" w:lineRule="exact"/>
        <w:ind w:firstLine="472" w:firstLineChars="196"/>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1.资格审查</w:t>
      </w:r>
    </w:p>
    <w:p>
      <w:pPr>
        <w:snapToGrid w:val="0"/>
        <w:spacing w:line="420" w:lineRule="exact"/>
        <w:ind w:firstLine="470" w:firstLineChars="196"/>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采购项目开标结束后，招标人或者代理机构应当依法对投标人的资格进行审查，对审查发现无效的进行必要的询标，结束后公布无效投标的投标人名单、投标无效的原因。</w:t>
      </w:r>
    </w:p>
    <w:p>
      <w:pPr>
        <w:snapToGrid w:val="0"/>
        <w:spacing w:line="420" w:lineRule="exact"/>
        <w:ind w:firstLine="472" w:firstLineChars="196"/>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2.符合性审查</w:t>
      </w:r>
    </w:p>
    <w:p>
      <w:pPr>
        <w:snapToGrid w:val="0"/>
        <w:spacing w:line="42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pPr>
        <w:snapToGrid w:val="0"/>
        <w:spacing w:line="420" w:lineRule="exact"/>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（四）澄清问题的形式</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对投标文件中含义不明确、同类问题表述不一致或者有明显文字和计算错误的内容，评标委员会可要求投标人作出必要的</w:t>
      </w:r>
      <w:bookmarkStart w:id="28" w:name="_Hlk59372079"/>
      <w:r>
        <w:rPr>
          <w:rFonts w:hint="eastAsia" w:asciiTheme="minorEastAsia" w:hAnsiTheme="minorEastAsia" w:eastAsiaTheme="minorEastAsia" w:cstheme="minorEastAsia"/>
        </w:rPr>
        <w:t>澄清、说明</w:t>
      </w:r>
      <w:bookmarkEnd w:id="28"/>
      <w:r>
        <w:rPr>
          <w:rFonts w:hint="eastAsia" w:asciiTheme="minorEastAsia" w:hAnsiTheme="minorEastAsia" w:eastAsiaTheme="minorEastAsia" w:cstheme="minorEastAsia"/>
        </w:rPr>
        <w:t>或者补正。评标委员会的澄清内容及投标人的澄清、说明或者补正均通过</w:t>
      </w:r>
      <w:bookmarkStart w:id="29" w:name="_Hlk59371846"/>
      <w:r>
        <w:rPr>
          <w:rFonts w:hint="eastAsia" w:asciiTheme="minorEastAsia" w:hAnsiTheme="minorEastAsia" w:eastAsiaTheme="minorEastAsia" w:cstheme="minorEastAsia"/>
        </w:rPr>
        <w:t>电子交易平台交换数据电文。</w:t>
      </w:r>
      <w:bookmarkEnd w:id="29"/>
      <w:bookmarkStart w:id="30" w:name="_Hlk59700505"/>
      <w:r>
        <w:rPr>
          <w:rFonts w:hint="eastAsia" w:asciiTheme="minorEastAsia" w:hAnsiTheme="minorEastAsia" w:eastAsiaTheme="minorEastAsia" w:cstheme="minorEastAsia"/>
        </w:rPr>
        <w:t>同时代理机构也将通过临海市限额以下公共资源交易区域平台--每日直播平台</w:t>
      </w:r>
      <w:bookmarkStart w:id="31" w:name="_Hlk59371920"/>
      <w:r>
        <w:rPr>
          <w:rFonts w:hint="eastAsia" w:asciiTheme="minorEastAsia" w:hAnsiTheme="minorEastAsia" w:eastAsiaTheme="minorEastAsia" w:cstheme="minorEastAsia"/>
        </w:rPr>
        <w:t>进行问题澄清。</w:t>
      </w:r>
      <w:bookmarkEnd w:id="30"/>
    </w:p>
    <w:bookmarkEnd w:id="31"/>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评标委员会发出澄清内容后，投标人应当在代理机构及平台上</w:t>
      </w:r>
      <w:r>
        <w:rPr>
          <w:rFonts w:hint="eastAsia" w:asciiTheme="minorEastAsia" w:hAnsiTheme="minorEastAsia" w:eastAsiaTheme="minorEastAsia" w:cstheme="minorEastAsia"/>
          <w:b/>
          <w:bCs/>
          <w:sz w:val="24"/>
          <w:u w:val="single"/>
        </w:rPr>
        <w:t>规定的时间内（60分钟，具体时间以临海市限额以下公共资源交易区域平台系统上显示的时间为准）</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提交澄清说明或补正，否则视为投标人放弃答复，并自行承担因此而产生的不利后果。澄清、说明或者补正不得超出投标文件的范围或者改变投标文件的实质性内容。</w:t>
      </w:r>
    </w:p>
    <w:p>
      <w:pPr>
        <w:snapToGrid w:val="0"/>
        <w:spacing w:line="420" w:lineRule="exact"/>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（五）错误修正</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投标文件报价出现前后不一致的，按照下列规定修正：</w:t>
      </w:r>
    </w:p>
    <w:p>
      <w:pPr>
        <w:numPr>
          <w:ilvl w:val="0"/>
          <w:numId w:val="3"/>
        </w:num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投标文件中开标一览表（报价表）内容与投标文件中相应内容不一致的，以开标一览表（报价表）为准</w:t>
      </w:r>
    </w:p>
    <w:p>
      <w:pPr>
        <w:numPr>
          <w:ilvl w:val="0"/>
          <w:numId w:val="3"/>
        </w:num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大写金额和小写金额不一致的，以大写金额为准；</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（三）单价金额小数点或者百分比有明显错位的，以开标一览表的总价为准，并修改单价；</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（四）总价金额与按单价汇总金额不一致的，以单价金额计算结果为准。</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（五）对不同文字文本投标文件的解释发生异议的，以中文文本为准。</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30"/>
        <w:tabs>
          <w:tab w:val="left" w:pos="630"/>
        </w:tabs>
        <w:snapToGrid w:val="0"/>
        <w:spacing w:beforeLines="0" w:afterLines="0" w:line="420" w:lineRule="exact"/>
        <w:ind w:firstLine="241" w:firstLineChars="100"/>
        <w:rPr>
          <w:rFonts w:asciiTheme="minorEastAsia" w:hAnsiTheme="minorEastAsia" w:eastAsiaTheme="minorEastAsia" w:cstheme="minorEastAsia"/>
          <w:b/>
        </w:rPr>
      </w:pPr>
      <w:r>
        <w:rPr>
          <w:rFonts w:hint="eastAsia" w:asciiTheme="minorEastAsia" w:hAnsiTheme="minorEastAsia" w:eastAsiaTheme="minorEastAsia" w:cstheme="minorEastAsia"/>
          <w:b/>
        </w:rPr>
        <w:t>（六）评标原则和评标办法</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0"/>
        <w:snapToGrid w:val="0"/>
        <w:spacing w:beforeLines="0" w:afterLines="0"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2.评标办法。本项目评标办法是</w:t>
      </w:r>
      <w:r>
        <w:rPr>
          <w:rFonts w:hint="eastAsia" w:asciiTheme="minorEastAsia" w:hAnsiTheme="minorEastAsia" w:eastAsiaTheme="minorEastAsia" w:cstheme="minorEastAsia"/>
          <w:b/>
          <w:u w:val="single"/>
        </w:rPr>
        <w:t>综合评分法</w:t>
      </w:r>
      <w:r>
        <w:rPr>
          <w:rFonts w:hint="eastAsia" w:asciiTheme="minorEastAsia" w:hAnsiTheme="minorEastAsia" w:eastAsiaTheme="minorEastAsia" w:cstheme="minorEastAsia"/>
        </w:rPr>
        <w:t>，具体评标内容及评分标准等详见《第四章：评标办法及评分标准》。</w:t>
      </w:r>
    </w:p>
    <w:p>
      <w:pPr>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六、定标</w:t>
      </w:r>
    </w:p>
    <w:p>
      <w:pPr>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（一）确定中标人</w:t>
      </w:r>
    </w:p>
    <w:p>
      <w:pPr>
        <w:spacing w:line="420" w:lineRule="exact"/>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1.招标人在评标结束后2</w:t>
      </w:r>
      <w:r>
        <w:rPr>
          <w:rFonts w:hint="eastAsia" w:asciiTheme="minorEastAsia" w:hAnsiTheme="minorEastAsia" w:eastAsiaTheme="minorEastAsia" w:cstheme="minorEastAsia"/>
          <w:sz w:val="24"/>
        </w:rPr>
        <w:t>个工作日内将评标报告交招标人确认</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rPr>
        <w:t>招标人应在收到评标报告后5个工作日内对评标结果进行确认。如有投标人对评标结果提出质疑的，招标人可在质疑处理完毕后确定中标人。</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标候选人公示：开标结束后2日内，招标人（代理机构）发布中标候选人公示，公示期不得少于3个工作日。发出中标候选人公示期满无异议和投诉的，招标人（代理机构）2日内在网上发布中标结果公告，同时发出中标通知书。</w:t>
      </w:r>
    </w:p>
    <w:p>
      <w:pPr>
        <w:snapToGrid w:val="0"/>
        <w:spacing w:line="420" w:lineRule="exact"/>
        <w:ind w:firstLine="480" w:firstLineChars="200"/>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3.招标人依法确定中标人后2个工作日内，招标人以书面形式发出《中标通知书》,并同时在采购公告发布的网站上发布成交结果公告。</w:t>
      </w:r>
      <w:r>
        <w:rPr>
          <w:rFonts w:hint="eastAsia" w:asciiTheme="minorEastAsia" w:hAnsiTheme="minorEastAsia" w:eastAsiaTheme="minorEastAsia" w:cstheme="minorEastAsia"/>
          <w:b/>
          <w:bCs/>
          <w:sz w:val="24"/>
          <w:u w:val="single"/>
        </w:rPr>
        <w:t>成交结果公告期间,投标人不得通过非正当途径，更不得通过非正当手段获取法律法规规定评标委员会(包括其他相关人员)应当保密的相关内容。即使由此获得资料并作为向招标人（代理机构）或有权受理非政府采购项目的监督管理机构提出异议、质疑、投诉或法院起诉的依据，均属于非法获取的依据。</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4.定标中，应坚持第一中标候选人为首选中标人，但出现其它原因的，招标人可以确定排名第二的候选人为中标人，</w:t>
      </w:r>
      <w:r>
        <w:rPr>
          <w:rFonts w:hint="eastAsia" w:asciiTheme="minorEastAsia" w:hAnsiTheme="minorEastAsia" w:eastAsiaTheme="minorEastAsia" w:cstheme="minorEastAsia"/>
          <w:b/>
          <w:sz w:val="24"/>
        </w:rPr>
        <w:t>或重新组织招标。</w:t>
      </w:r>
      <w:bookmarkStart w:id="32" w:name="_Hlk59369379"/>
      <w:r>
        <w:rPr>
          <w:rFonts w:hint="eastAsia" w:asciiTheme="minorEastAsia" w:hAnsiTheme="minorEastAsia" w:eastAsiaTheme="minorEastAsia" w:cstheme="minorEastAsia"/>
          <w:sz w:val="24"/>
        </w:rPr>
        <w:t xml:space="preserve"> </w:t>
      </w:r>
    </w:p>
    <w:p>
      <w:pPr>
        <w:snapToGrid w:val="0"/>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本项目为非政府采购项目，如中标通知书发出后，中标人放弃中标项目的，参照《政府采购法》第四十六条之规定，应当依法承担法律责任。</w:t>
      </w:r>
    </w:p>
    <w:p>
      <w:pPr>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采购文件明确：如给招标人造成损失的，弃标供应商依法应当承担赔偿责任，包括重新采购所需的费用、顺延第二名可能产生的差价等。招标人可以采取不予退还弃标供应商的履约保证金等方式，若上述不足以赔偿损失的，招标人可以要求弃标供应商赔偿实际损失。若协商不成的，招标人可以通过法院诉讼的方式追偿。</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b/>
          <w:bCs/>
          <w:sz w:val="24"/>
          <w:u w:val="single"/>
        </w:rPr>
        <w:t>为营造更优质的营商环境，</w:t>
      </w:r>
      <w:bookmarkStart w:id="33" w:name="_Hlk59708763"/>
      <w:r>
        <w:rPr>
          <w:rFonts w:hint="eastAsia" w:asciiTheme="minorEastAsia" w:hAnsiTheme="minorEastAsia" w:eastAsiaTheme="minorEastAsia" w:cstheme="minorEastAsia"/>
          <w:b/>
          <w:bCs/>
          <w:sz w:val="24"/>
          <w:u w:val="single"/>
        </w:rPr>
        <w:t>中标人可选择代理机构以邮寄方式向其寄达《中标通知书》（邮寄地址、收件人等信息请在“投标函”中详细写明，邮费可到付）。</w:t>
      </w:r>
      <w:bookmarkEnd w:id="33"/>
      <w:bookmarkStart w:id="34" w:name="_Hlk59708451"/>
      <w:r>
        <w:rPr>
          <w:rFonts w:hint="eastAsia" w:asciiTheme="minorEastAsia" w:hAnsiTheme="minorEastAsia" w:eastAsiaTheme="minorEastAsia" w:cstheme="minorEastAsia"/>
          <w:b/>
          <w:bCs/>
          <w:sz w:val="24"/>
          <w:u w:val="single"/>
        </w:rPr>
        <w:t>同时中标人应在中标后</w:t>
      </w:r>
      <w:bookmarkStart w:id="35" w:name="_Hlk59521069"/>
      <w:r>
        <w:rPr>
          <w:rFonts w:hint="eastAsia" w:asciiTheme="minorEastAsia" w:hAnsiTheme="minorEastAsia" w:eastAsiaTheme="minorEastAsia" w:cstheme="minorEastAsia"/>
          <w:b/>
          <w:bCs/>
          <w:sz w:val="24"/>
          <w:u w:val="single"/>
        </w:rPr>
        <w:t>以邮寄</w:t>
      </w:r>
      <w:bookmarkEnd w:id="35"/>
      <w:r>
        <w:rPr>
          <w:rFonts w:hint="eastAsia" w:asciiTheme="minorEastAsia" w:hAnsiTheme="minorEastAsia" w:eastAsiaTheme="minorEastAsia" w:cstheme="minorEastAsia"/>
          <w:b/>
          <w:bCs/>
          <w:sz w:val="24"/>
          <w:u w:val="single"/>
        </w:rPr>
        <w:t>或其他方式向代理机构提供3套与电子版投标文件相同的胶装版本投标文件。</w:t>
      </w:r>
      <w:bookmarkEnd w:id="32"/>
      <w:bookmarkEnd w:id="34"/>
    </w:p>
    <w:p>
      <w:pPr>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七、合同授予</w:t>
      </w:r>
    </w:p>
    <w:p>
      <w:pPr>
        <w:snapToGrid w:val="0"/>
        <w:spacing w:line="420" w:lineRule="exact"/>
        <w:ind w:firstLine="472" w:firstLineChars="196"/>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（一）签订合同</w:t>
      </w:r>
    </w:p>
    <w:p>
      <w:pPr>
        <w:snapToGrid w:val="0"/>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1.招标人与中标</w:t>
      </w:r>
      <w:r>
        <w:rPr>
          <w:rFonts w:hint="eastAsia" w:asciiTheme="minorEastAsia" w:hAnsiTheme="minorEastAsia" w:eastAsiaTheme="minorEastAsia" w:cstheme="minorEastAsia"/>
          <w:b/>
          <w:sz w:val="24"/>
        </w:rPr>
        <w:t>人应当在《中标通知书》发出之日起30日内签订采购合同，</w:t>
      </w:r>
      <w:r>
        <w:rPr>
          <w:rFonts w:hint="eastAsia" w:asciiTheme="minorEastAsia" w:hAnsiTheme="minorEastAsia" w:eastAsiaTheme="minorEastAsia" w:cstheme="minorEastAsia"/>
          <w:sz w:val="24"/>
        </w:rPr>
        <w:t>并且在同一时间送至代理机构见证盖章（合同一式不少于四份，招标人与中标人各执一份，</w:t>
      </w:r>
      <w:bookmarkStart w:id="36" w:name="_Hlk59626706"/>
      <w:r>
        <w:rPr>
          <w:rFonts w:hint="eastAsia" w:asciiTheme="minorEastAsia" w:hAnsiTheme="minorEastAsia" w:eastAsiaTheme="minorEastAsia" w:cstheme="minorEastAsia"/>
          <w:sz w:val="24"/>
        </w:rPr>
        <w:t>代理机构</w:t>
      </w:r>
      <w:bookmarkEnd w:id="36"/>
      <w:r>
        <w:rPr>
          <w:rFonts w:hint="eastAsia" w:asciiTheme="minorEastAsia" w:hAnsiTheme="minorEastAsia" w:eastAsiaTheme="minorEastAsia" w:cstheme="minorEastAsia"/>
          <w:sz w:val="24"/>
        </w:rPr>
        <w:t>留存二份），招标人对合同内容进行审查，如发现与采购结果和投标承诺内容不一致的，予以纠正。</w:t>
      </w:r>
      <w:r>
        <w:rPr>
          <w:rFonts w:hint="eastAsia" w:asciiTheme="minorEastAsia" w:hAnsiTheme="minorEastAsia" w:eastAsiaTheme="minorEastAsia" w:cstheme="minorEastAsia"/>
          <w:b/>
          <w:bCs/>
          <w:sz w:val="24"/>
          <w:u w:val="single"/>
        </w:rPr>
        <w:t>为营造更优质的营商环境，</w:t>
      </w:r>
      <w:bookmarkStart w:id="37" w:name="_Hlk59627623"/>
      <w:r>
        <w:rPr>
          <w:rFonts w:hint="eastAsia" w:asciiTheme="minorEastAsia" w:hAnsiTheme="minorEastAsia" w:eastAsiaTheme="minorEastAsia" w:cstheme="minorEastAsia"/>
          <w:b/>
          <w:bCs/>
          <w:sz w:val="24"/>
          <w:u w:val="single"/>
        </w:rPr>
        <w:t>中标人可选择代理机构以邮寄方式向其寄达</w:t>
      </w:r>
      <w:bookmarkStart w:id="38" w:name="_Hlk59708805"/>
      <w:r>
        <w:rPr>
          <w:rFonts w:hint="eastAsia" w:asciiTheme="minorEastAsia" w:hAnsiTheme="minorEastAsia" w:eastAsiaTheme="minorEastAsia" w:cstheme="minorEastAsia"/>
          <w:b/>
          <w:bCs/>
          <w:sz w:val="24"/>
          <w:u w:val="single"/>
        </w:rPr>
        <w:t>《采购合同》</w:t>
      </w:r>
      <w:bookmarkEnd w:id="38"/>
      <w:r>
        <w:rPr>
          <w:rFonts w:hint="eastAsia" w:asciiTheme="minorEastAsia" w:hAnsiTheme="minorEastAsia" w:eastAsiaTheme="minorEastAsia" w:cstheme="minorEastAsia"/>
          <w:b/>
          <w:bCs/>
          <w:sz w:val="24"/>
          <w:u w:val="single"/>
        </w:rPr>
        <w:t>。</w:t>
      </w:r>
    </w:p>
    <w:bookmarkEnd w:id="37"/>
    <w:p>
      <w:pPr>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2.中标或者成交人拒绝与招标人签订合同的，招标人可以按照评审报告推荐的中标或者成交候选人名单排序，确定下一候选人为中标或者成交人，也可</w:t>
      </w:r>
      <w:r>
        <w:rPr>
          <w:rFonts w:hint="eastAsia" w:asciiTheme="minorEastAsia" w:hAnsiTheme="minorEastAsia" w:eastAsiaTheme="minorEastAsia" w:cstheme="minorEastAsia"/>
          <w:bCs/>
          <w:sz w:val="24"/>
        </w:rPr>
        <w:t>以重新开展采购活动。拒绝签订采购合同的成交人不得参加对该项目重新开展的采购活动。</w:t>
      </w:r>
    </w:p>
    <w:p>
      <w:pPr>
        <w:spacing w:line="42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（二）履约保证金</w:t>
      </w:r>
    </w:p>
    <w:p>
      <w:pPr>
        <w:spacing w:line="420" w:lineRule="exact"/>
        <w:ind w:left="479" w:leftChars="2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1.签订合同后，如中标人不按双方合同约定履约，则其履约保证金将予以扣罚，履约保证金不足以赔偿损失的，按实际损失赔偿。</w:t>
      </w:r>
      <w:bookmarkStart w:id="39" w:name="_Toc466534750"/>
    </w:p>
    <w:p>
      <w:pPr>
        <w:pStyle w:val="20"/>
      </w:pPr>
    </w:p>
    <w:p>
      <w:pPr>
        <w:spacing w:before="120" w:beforeLines="50" w:after="120" w:afterLines="50" w:line="420" w:lineRule="exact"/>
        <w:jc w:val="center"/>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before="120" w:beforeLines="50" w:after="120" w:afterLines="50" w:line="400" w:lineRule="exact"/>
        <w:jc w:val="center"/>
        <w:outlineLvl w:val="0"/>
        <w:rPr>
          <w:rFonts w:asciiTheme="minorEastAsia" w:hAnsiTheme="minorEastAsia" w:eastAsiaTheme="minorEastAsia" w:cstheme="minorEastAsia"/>
          <w:b/>
          <w:sz w:val="30"/>
          <w:szCs w:val="30"/>
        </w:rPr>
      </w:pPr>
      <w:bookmarkStart w:id="40" w:name="_Toc10393"/>
      <w:bookmarkStart w:id="41" w:name="_Toc25225"/>
      <w:r>
        <w:rPr>
          <w:rFonts w:hint="eastAsia" w:asciiTheme="minorEastAsia" w:hAnsiTheme="minorEastAsia" w:eastAsiaTheme="minorEastAsia" w:cstheme="minorEastAsia"/>
          <w:b/>
          <w:sz w:val="30"/>
          <w:szCs w:val="30"/>
        </w:rPr>
        <w:t>第四章  评标办法及评分标准</w:t>
      </w:r>
      <w:bookmarkEnd w:id="39"/>
      <w:bookmarkEnd w:id="40"/>
      <w:bookmarkEnd w:id="41"/>
    </w:p>
    <w:p>
      <w:pPr>
        <w:spacing w:before="120" w:beforeLines="50" w:after="120" w:afterLines="50" w:line="440" w:lineRule="exact"/>
        <w:ind w:firstLine="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为公正、公平、科学地选择中标人，根据相关规定，并结合本项目的实际，制定本办法。</w:t>
      </w:r>
    </w:p>
    <w:p>
      <w:pPr>
        <w:spacing w:before="120" w:beforeLines="50" w:after="120" w:afterLines="50" w:line="440" w:lineRule="exact"/>
        <w:ind w:firstLine="4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本办法适用于临海市供水有限公司供水范围管网延伸加压泵站运维服务采购的评标。</w:t>
      </w:r>
    </w:p>
    <w:p>
      <w:pPr>
        <w:spacing w:before="120" w:beforeLines="50" w:after="120" w:afterLines="50" w:line="440" w:lineRule="exact"/>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一、总则</w:t>
      </w:r>
    </w:p>
    <w:p>
      <w:pPr>
        <w:spacing w:before="120" w:beforeLines="50" w:after="120" w:afterLines="50"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评标采用综合评分法，总分为100分，其中</w:t>
      </w:r>
      <w:r>
        <w:rPr>
          <w:rFonts w:hint="eastAsia" w:asciiTheme="minorEastAsia" w:hAnsiTheme="minorEastAsia" w:eastAsiaTheme="minorEastAsia" w:cstheme="minorEastAsia"/>
          <w:b/>
          <w:bCs/>
          <w:sz w:val="24"/>
        </w:rPr>
        <w:t>价格分30分、商务技术分70分</w:t>
      </w:r>
      <w:r>
        <w:rPr>
          <w:rFonts w:hint="eastAsia" w:asciiTheme="minorEastAsia" w:hAnsiTheme="minorEastAsia" w:eastAsiaTheme="minorEastAsia" w:cstheme="minorEastAsia"/>
          <w:sz w:val="24"/>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评分过程中采用四舍五入法，并保留小数2位。</w:t>
      </w:r>
    </w:p>
    <w:p>
      <w:pPr>
        <w:spacing w:before="120" w:beforeLines="50" w:after="120" w:afterLines="50"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投标人评标综合得分=价格分+资信及商务技术分</w:t>
      </w:r>
    </w:p>
    <w:p>
      <w:pPr>
        <w:spacing w:before="120" w:beforeLines="50" w:after="120" w:afterLines="50"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二、评标内容及标准</w:t>
      </w:r>
    </w:p>
    <w:p>
      <w:pPr>
        <w:pStyle w:val="21"/>
        <w:spacing w:before="120" w:beforeLines="50" w:after="120" w:afterLines="50" w:line="440" w:lineRule="exact"/>
        <w:ind w:firstLine="466"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（一）</w:t>
      </w:r>
      <w:r>
        <w:rPr>
          <w:rFonts w:hint="eastAsia" w:asciiTheme="minorEastAsia" w:hAnsiTheme="minorEastAsia" w:eastAsiaTheme="minorEastAsia" w:cstheme="minorEastAsia"/>
          <w:b/>
          <w:bCs/>
          <w:sz w:val="24"/>
          <w:szCs w:val="24"/>
        </w:rPr>
        <w:t>价格分（30</w:t>
      </w:r>
      <w:r>
        <w:rPr>
          <w:rFonts w:hint="eastAsia" w:asciiTheme="minorEastAsia" w:hAnsiTheme="minorEastAsia" w:eastAsiaTheme="minorEastAsia" w:cstheme="minorEastAsia"/>
          <w:b/>
          <w:spacing w:val="0"/>
          <w:sz w:val="24"/>
          <w:szCs w:val="24"/>
        </w:rPr>
        <w:t>分</w:t>
      </w:r>
      <w:r>
        <w:rPr>
          <w:rFonts w:hint="eastAsia" w:asciiTheme="minorEastAsia" w:hAnsiTheme="minorEastAsia" w:eastAsiaTheme="minorEastAsia" w:cstheme="minorEastAsia"/>
          <w:b/>
          <w:bCs/>
          <w:sz w:val="24"/>
          <w:szCs w:val="24"/>
        </w:rPr>
        <w:t>）</w:t>
      </w:r>
    </w:p>
    <w:p>
      <w:pPr>
        <w:spacing w:before="120" w:beforeLines="50" w:after="120" w:afterLines="50"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1.价格分采用低价优先法计算，即满足招标文件要求且投标价格最低的投标报价为评标基准价，其他投标人的价格分按照下列公式计算：</w:t>
      </w:r>
    </w:p>
    <w:p>
      <w:pPr>
        <w:spacing w:before="120" w:beforeLines="50" w:after="120" w:afterLines="50"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价格分=（评标基准价/投标报价）×30%×100</w:t>
      </w:r>
    </w:p>
    <w:p>
      <w:pPr>
        <w:pStyle w:val="21"/>
        <w:spacing w:before="120" w:beforeLines="50" w:after="120" w:afterLines="50" w:line="44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120" w:beforeLines="50" w:after="120" w:afterLines="50" w:line="440" w:lineRule="exact"/>
        <w:ind w:firstLine="482" w:firstLineChars="200"/>
        <w:rPr>
          <w:rFonts w:asciiTheme="minorEastAsia" w:hAnsiTheme="minorEastAsia" w:eastAsiaTheme="minorEastAsia" w:cstheme="minorEastAsia"/>
          <w:b/>
          <w:bCs/>
          <w:spacing w:val="-4"/>
          <w:kern w:val="0"/>
          <w:sz w:val="24"/>
          <w:u w:val="single"/>
        </w:rPr>
      </w:pPr>
      <w:r>
        <w:rPr>
          <w:rFonts w:hint="eastAsia" w:hAnsi="宋体"/>
          <w:b/>
          <w:bCs/>
          <w:sz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42" w:name="_Hlk80007663"/>
      <w:r>
        <w:rPr>
          <w:rFonts w:hint="eastAsia" w:hAnsi="宋体"/>
          <w:b/>
          <w:bCs/>
          <w:sz w:val="24"/>
          <w:u w:val="single"/>
          <w:shd w:val="pct10" w:color="auto" w:fill="FFFFFF"/>
        </w:rPr>
        <w:t>包括但不限于：提供包含本次采购设备报价清单的合同、提供包含本次采购设备的购买发票、购销合同等资料；</w:t>
      </w:r>
      <w:bookmarkEnd w:id="42"/>
      <w:r>
        <w:rPr>
          <w:rFonts w:hint="eastAsia" w:hAnsi="宋体"/>
          <w:b/>
          <w:bCs/>
          <w:sz w:val="24"/>
          <w:u w:val="single"/>
          <w:shd w:val="pct10" w:color="auto" w:fill="FFFFFF"/>
        </w:rPr>
        <w:t>服务类：包括但不限于：提供包含</w:t>
      </w:r>
      <w:bookmarkStart w:id="43" w:name="_Hlk80007879"/>
      <w:r>
        <w:rPr>
          <w:rFonts w:hint="eastAsia" w:hAnsi="宋体"/>
          <w:b/>
          <w:bCs/>
          <w:sz w:val="24"/>
          <w:u w:val="single"/>
          <w:shd w:val="pct10" w:color="auto" w:fill="FFFFFF"/>
        </w:rPr>
        <w:t>本次采购服务内容的</w:t>
      </w:r>
      <w:bookmarkEnd w:id="43"/>
      <w:r>
        <w:rPr>
          <w:rFonts w:hint="eastAsia" w:hAnsi="宋体"/>
          <w:b/>
          <w:bCs/>
          <w:sz w:val="24"/>
          <w:u w:val="single"/>
          <w:shd w:val="pct10" w:color="auto" w:fill="FFFFFF"/>
        </w:rPr>
        <w:t>合同、提供本次采购服务内容的报价测算清单等资料）。投标人如不能提供相关证明材料证明其报价合理性的，或未在评标现场合理的时间内提供相关证明材料的，评标委员会应当将其作为无效投标处理。</w:t>
      </w:r>
    </w:p>
    <w:p>
      <w:pPr>
        <w:spacing w:before="120" w:beforeLines="50" w:after="120" w:afterLines="50"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（二）商务</w:t>
      </w:r>
      <w:r>
        <w:rPr>
          <w:rFonts w:hint="eastAsia" w:asciiTheme="minorEastAsia" w:hAnsiTheme="minorEastAsia" w:eastAsiaTheme="minorEastAsia" w:cstheme="minorEastAsia"/>
          <w:b/>
          <w:sz w:val="24"/>
        </w:rPr>
        <w:t>技术分（70分）</w:t>
      </w:r>
    </w:p>
    <w:p>
      <w:pPr>
        <w:spacing w:line="440" w:lineRule="exact"/>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zh-CN"/>
        </w:rPr>
        <w:t>评标委员会对通过符合性审查的投标人的投标技术参数或方案充分审核后，进行综合评定独立打分。</w:t>
      </w:r>
    </w:p>
    <w:tbl>
      <w:tblPr>
        <w:tblStyle w:val="51"/>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53"/>
        <w:gridCol w:w="6017"/>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76" w:type="dxa"/>
            <w:noWrap/>
            <w:vAlign w:val="center"/>
          </w:tcPr>
          <w:p>
            <w:pPr>
              <w:jc w:val="center"/>
              <w:rPr>
                <w:rFonts w:ascii="宋体" w:hAnsi="宋体" w:cs="宋体"/>
                <w:sz w:val="24"/>
              </w:rPr>
            </w:pPr>
            <w:r>
              <w:rPr>
                <w:rFonts w:hint="eastAsia" w:ascii="宋体" w:hAnsi="宋体" w:cs="宋体"/>
                <w:sz w:val="24"/>
              </w:rPr>
              <w:t>序号</w:t>
            </w:r>
          </w:p>
        </w:tc>
        <w:tc>
          <w:tcPr>
            <w:tcW w:w="1453" w:type="dxa"/>
            <w:noWrap/>
            <w:vAlign w:val="center"/>
          </w:tcPr>
          <w:p>
            <w:pPr>
              <w:jc w:val="center"/>
              <w:rPr>
                <w:rFonts w:ascii="宋体" w:hAnsi="宋体" w:cs="宋体"/>
                <w:sz w:val="24"/>
              </w:rPr>
            </w:pPr>
            <w:r>
              <w:rPr>
                <w:rFonts w:hint="eastAsia" w:ascii="宋体" w:hAnsi="宋体" w:cs="宋体"/>
                <w:sz w:val="24"/>
              </w:rPr>
              <w:t>内容</w:t>
            </w:r>
          </w:p>
        </w:tc>
        <w:tc>
          <w:tcPr>
            <w:tcW w:w="6017" w:type="dxa"/>
            <w:noWrap/>
            <w:vAlign w:val="center"/>
          </w:tcPr>
          <w:p>
            <w:pPr>
              <w:jc w:val="center"/>
              <w:rPr>
                <w:rFonts w:ascii="宋体" w:hAnsi="宋体" w:cs="宋体"/>
                <w:sz w:val="24"/>
              </w:rPr>
            </w:pPr>
            <w:r>
              <w:rPr>
                <w:rFonts w:hint="eastAsia" w:ascii="宋体" w:hAnsi="宋体" w:cs="宋体"/>
                <w:sz w:val="24"/>
              </w:rPr>
              <w:t>评分标准</w:t>
            </w:r>
          </w:p>
        </w:tc>
        <w:tc>
          <w:tcPr>
            <w:tcW w:w="768" w:type="dxa"/>
            <w:noWrap/>
            <w:vAlign w:val="center"/>
          </w:tcPr>
          <w:p>
            <w:pPr>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6" w:type="dxa"/>
            <w:noWrap/>
            <w:vAlign w:val="center"/>
          </w:tcPr>
          <w:p>
            <w:pPr>
              <w:jc w:val="center"/>
              <w:rPr>
                <w:rFonts w:ascii="宋体" w:hAnsi="宋体" w:cs="宋体"/>
                <w:sz w:val="24"/>
              </w:rPr>
            </w:pPr>
            <w:r>
              <w:rPr>
                <w:rFonts w:hint="eastAsia" w:ascii="宋体" w:hAnsi="宋体" w:cs="宋体"/>
                <w:sz w:val="24"/>
              </w:rPr>
              <w:t>1</w:t>
            </w:r>
          </w:p>
        </w:tc>
        <w:tc>
          <w:tcPr>
            <w:tcW w:w="1453" w:type="dxa"/>
            <w:noWrap/>
            <w:vAlign w:val="center"/>
          </w:tcPr>
          <w:p>
            <w:pPr>
              <w:jc w:val="center"/>
              <w:rPr>
                <w:rFonts w:ascii="宋体" w:hAnsi="宋体" w:cs="宋体"/>
                <w:sz w:val="24"/>
              </w:rPr>
            </w:pPr>
            <w:r>
              <w:rPr>
                <w:rFonts w:hint="eastAsia" w:ascii="宋体" w:hAnsi="宋体" w:cs="宋体"/>
                <w:sz w:val="24"/>
              </w:rPr>
              <w:t>投标人综合实力</w:t>
            </w:r>
          </w:p>
        </w:tc>
        <w:tc>
          <w:tcPr>
            <w:tcW w:w="6017" w:type="dxa"/>
            <w:noWrap/>
            <w:vAlign w:val="center"/>
          </w:tcPr>
          <w:p>
            <w:pPr>
              <w:jc w:val="left"/>
              <w:rPr>
                <w:rFonts w:ascii="宋体" w:hAnsi="宋体" w:cs="宋体"/>
                <w:sz w:val="24"/>
              </w:rPr>
            </w:pPr>
            <w:r>
              <w:rPr>
                <w:rFonts w:hint="eastAsia" w:ascii="宋体" w:hAnsi="宋体" w:cs="宋体"/>
                <w:sz w:val="24"/>
              </w:rPr>
              <w:t>履约能力：</w:t>
            </w:r>
            <w:r>
              <w:rPr>
                <w:rFonts w:hint="eastAsia" w:ascii="宋体" w:hAnsi="宋体" w:cs="宋体"/>
                <w:sz w:val="24"/>
                <w:lang w:val="zh-CN"/>
              </w:rPr>
              <w:t>根据投标</w:t>
            </w:r>
            <w:r>
              <w:rPr>
                <w:rFonts w:hint="eastAsia" w:ascii="宋体" w:hAnsi="宋体" w:cs="宋体"/>
                <w:sz w:val="24"/>
              </w:rPr>
              <w:t>企业履约能力、市场的评价情况、企业财务状况（涉及企业规模除外）、企业管理水平等进行打分（0-5分）。</w:t>
            </w:r>
          </w:p>
        </w:tc>
        <w:tc>
          <w:tcPr>
            <w:tcW w:w="768" w:type="dxa"/>
            <w:noWrap/>
            <w:vAlign w:val="center"/>
          </w:tcPr>
          <w:p>
            <w:pPr>
              <w:jc w:val="center"/>
              <w:rPr>
                <w:rFonts w:ascii="宋体" w:hAnsi="宋体" w:cs="宋体"/>
                <w:sz w:val="24"/>
              </w:rPr>
            </w:pPr>
            <w:r>
              <w:rPr>
                <w:rFonts w:hint="eastAsia" w:ascii="宋体" w:hAnsi="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76" w:type="dxa"/>
            <w:noWrap/>
            <w:vAlign w:val="center"/>
          </w:tcPr>
          <w:p>
            <w:pPr>
              <w:jc w:val="center"/>
              <w:rPr>
                <w:rFonts w:ascii="宋体" w:hAnsi="宋体" w:cs="宋体"/>
                <w:sz w:val="24"/>
              </w:rPr>
            </w:pPr>
            <w:r>
              <w:rPr>
                <w:rFonts w:hint="eastAsia" w:ascii="宋体" w:hAnsi="宋体" w:cs="宋体"/>
                <w:sz w:val="24"/>
              </w:rPr>
              <w:t>2</w:t>
            </w:r>
          </w:p>
        </w:tc>
        <w:tc>
          <w:tcPr>
            <w:tcW w:w="1453" w:type="dxa"/>
            <w:noWrap/>
            <w:vAlign w:val="center"/>
          </w:tcPr>
          <w:p>
            <w:pPr>
              <w:jc w:val="center"/>
              <w:rPr>
                <w:rFonts w:ascii="宋体" w:hAnsi="宋体" w:cs="宋体"/>
                <w:sz w:val="24"/>
              </w:rPr>
            </w:pPr>
            <w:r>
              <w:rPr>
                <w:rFonts w:hint="eastAsia" w:ascii="宋体" w:hAnsi="宋体"/>
                <w:kern w:val="0"/>
                <w:sz w:val="24"/>
              </w:rPr>
              <w:t>企业认证</w:t>
            </w:r>
          </w:p>
        </w:tc>
        <w:tc>
          <w:tcPr>
            <w:tcW w:w="6017" w:type="dxa"/>
            <w:noWrap/>
          </w:tcPr>
          <w:p>
            <w:pPr>
              <w:spacing w:line="276" w:lineRule="auto"/>
              <w:rPr>
                <w:rFonts w:ascii="宋体" w:hAnsi="宋体" w:cs="宋体"/>
                <w:sz w:val="24"/>
              </w:rPr>
            </w:pPr>
            <w:r>
              <w:rPr>
                <w:rFonts w:hint="eastAsia" w:ascii="宋体" w:hAnsi="宋体" w:cs="宋体"/>
                <w:sz w:val="24"/>
              </w:rPr>
              <w:t>投标人具有有效期内的质量体系认证证书、环境管理体系认证证书、职业健康安全管理体系认证证书，每具有1项证书得1分，本项最高得3分。</w:t>
            </w:r>
          </w:p>
          <w:p>
            <w:pPr>
              <w:spacing w:line="276" w:lineRule="auto"/>
              <w:rPr>
                <w:rFonts w:ascii="宋体" w:hAnsi="宋体" w:cs="宋体"/>
                <w:sz w:val="24"/>
              </w:rPr>
            </w:pPr>
            <w:r>
              <w:rPr>
                <w:rFonts w:hint="eastAsia" w:ascii="宋体" w:hAnsi="宋体" w:cs="宋体"/>
                <w:sz w:val="24"/>
              </w:rPr>
              <w:t>备注：</w:t>
            </w:r>
          </w:p>
          <w:p>
            <w:pPr>
              <w:spacing w:line="276" w:lineRule="auto"/>
              <w:rPr>
                <w:rFonts w:ascii="宋体" w:hAnsi="宋体" w:cs="宋体"/>
                <w:sz w:val="24"/>
              </w:rPr>
            </w:pPr>
            <w:r>
              <w:rPr>
                <w:rFonts w:hint="eastAsia" w:ascii="宋体" w:hAnsi="宋体" w:cs="宋体"/>
                <w:sz w:val="24"/>
              </w:rPr>
              <w:t>1.上述所有证书必须真实、合规，在有效期内。</w:t>
            </w:r>
          </w:p>
          <w:p>
            <w:pPr>
              <w:spacing w:line="276" w:lineRule="auto"/>
              <w:rPr>
                <w:rFonts w:ascii="宋体" w:hAnsi="宋体" w:cs="宋体"/>
                <w:sz w:val="24"/>
              </w:rPr>
            </w:pPr>
            <w:r>
              <w:rPr>
                <w:rFonts w:hint="eastAsia" w:ascii="宋体" w:hAnsi="宋体" w:cs="宋体"/>
                <w:sz w:val="24"/>
              </w:rPr>
              <w:t>2.投标文件中须提供清晰可辨的证书彩色扫描件并加盖投标人公章，同时提供全国认证认可信息公共服务平台证书查询截图，否则不得分。</w:t>
            </w:r>
          </w:p>
          <w:p>
            <w:pPr>
              <w:spacing w:line="276" w:lineRule="auto"/>
              <w:rPr>
                <w:rFonts w:ascii="宋体" w:hAnsi="宋体" w:cs="宋体"/>
                <w:sz w:val="24"/>
              </w:rPr>
            </w:pPr>
            <w:r>
              <w:rPr>
                <w:rFonts w:hint="eastAsia" w:ascii="宋体" w:hAnsi="宋体" w:cs="宋体"/>
                <w:sz w:val="24"/>
              </w:rPr>
              <w:t>3.如投标人提供的证书扫描件因模糊不清而造成评标委员会在评审时做出对投标人不利的评审由投标人自行承担。</w:t>
            </w:r>
          </w:p>
        </w:tc>
        <w:tc>
          <w:tcPr>
            <w:tcW w:w="768" w:type="dxa"/>
            <w:noWrap/>
            <w:vAlign w:val="center"/>
          </w:tcPr>
          <w:p>
            <w:pPr>
              <w:jc w:val="center"/>
              <w:rPr>
                <w:rFonts w:ascii="宋体" w:hAnsi="宋体" w:cs="宋体"/>
                <w:sz w:val="24"/>
              </w:rPr>
            </w:pPr>
            <w:r>
              <w:rPr>
                <w:rFonts w:hint="eastAsia" w:ascii="宋体" w:hAnsi="宋体" w:cs="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76" w:type="dxa"/>
            <w:noWrap/>
            <w:vAlign w:val="center"/>
          </w:tcPr>
          <w:p>
            <w:pPr>
              <w:jc w:val="center"/>
              <w:rPr>
                <w:rFonts w:ascii="宋体" w:hAnsi="宋体" w:cs="宋体"/>
                <w:sz w:val="24"/>
              </w:rPr>
            </w:pPr>
            <w:r>
              <w:rPr>
                <w:rFonts w:hint="eastAsia" w:ascii="宋体" w:hAnsi="宋体" w:cs="宋体"/>
                <w:sz w:val="24"/>
              </w:rPr>
              <w:t>3</w:t>
            </w:r>
          </w:p>
        </w:tc>
        <w:tc>
          <w:tcPr>
            <w:tcW w:w="1453" w:type="dxa"/>
            <w:noWrap/>
            <w:vAlign w:val="center"/>
          </w:tcPr>
          <w:p>
            <w:pPr>
              <w:jc w:val="center"/>
              <w:rPr>
                <w:rFonts w:ascii="宋体" w:hAnsi="宋体" w:cs="宋体"/>
                <w:sz w:val="24"/>
              </w:rPr>
            </w:pPr>
            <w:r>
              <w:rPr>
                <w:rFonts w:hint="eastAsia" w:ascii="宋体" w:hAnsi="宋体" w:cs="宋体"/>
                <w:sz w:val="24"/>
              </w:rPr>
              <w:t>投标人业绩</w:t>
            </w:r>
          </w:p>
        </w:tc>
        <w:tc>
          <w:tcPr>
            <w:tcW w:w="6017" w:type="dxa"/>
            <w:noWrap/>
            <w:vAlign w:val="center"/>
          </w:tcPr>
          <w:p>
            <w:pPr>
              <w:jc w:val="left"/>
              <w:rPr>
                <w:rFonts w:ascii="宋体" w:hAnsi="宋体" w:cs="宋体"/>
                <w:sz w:val="24"/>
              </w:rPr>
            </w:pPr>
            <w:r>
              <w:rPr>
                <w:rFonts w:hint="eastAsia" w:ascii="宋体" w:hAnsi="宋体" w:cs="宋体"/>
                <w:sz w:val="24"/>
              </w:rPr>
              <w:t>2021年1月1日至今（以合同签订时间为准），投标人承担过类似运维管理服务业绩的每个得1分，最高3分。</w:t>
            </w:r>
          </w:p>
          <w:p>
            <w:pPr>
              <w:jc w:val="left"/>
              <w:rPr>
                <w:rFonts w:ascii="宋体" w:hAnsi="宋体" w:cs="宋体"/>
                <w:sz w:val="24"/>
              </w:rPr>
            </w:pPr>
            <w:r>
              <w:rPr>
                <w:rFonts w:ascii="宋体" w:hAnsi="宋体" w:cs="宋体"/>
                <w:sz w:val="24"/>
              </w:rPr>
              <w:t>备注：</w:t>
            </w:r>
          </w:p>
          <w:p>
            <w:pPr>
              <w:jc w:val="left"/>
              <w:rPr>
                <w:rFonts w:ascii="宋体" w:hAnsi="宋体" w:cs="宋体"/>
                <w:sz w:val="24"/>
              </w:rPr>
            </w:pPr>
            <w:r>
              <w:rPr>
                <w:rFonts w:ascii="宋体" w:hAnsi="宋体" w:cs="宋体"/>
                <w:sz w:val="24"/>
              </w:rPr>
              <w:t>1、合同业绩须为本次投标人的业绩，投标人的独立法人子公司、参股公司的业绩均不予认可。</w:t>
            </w:r>
          </w:p>
          <w:p>
            <w:pPr>
              <w:jc w:val="left"/>
              <w:rPr>
                <w:rFonts w:ascii="宋体" w:hAnsi="宋体" w:cs="宋体"/>
                <w:sz w:val="24"/>
              </w:rPr>
            </w:pPr>
            <w:r>
              <w:rPr>
                <w:rFonts w:ascii="宋体" w:hAnsi="宋体" w:cs="宋体"/>
                <w:sz w:val="24"/>
              </w:rPr>
              <w:t>2、投标文件中须提供清晰可辨的合同并加盖投标人公章</w:t>
            </w:r>
            <w:r>
              <w:rPr>
                <w:rFonts w:hint="eastAsia" w:ascii="宋体" w:hAnsi="宋体" w:cs="宋体"/>
                <w:sz w:val="24"/>
              </w:rPr>
              <w:t>，否则业绩不予认可</w:t>
            </w:r>
            <w:r>
              <w:rPr>
                <w:rFonts w:ascii="宋体" w:hAnsi="宋体" w:cs="宋体"/>
                <w:sz w:val="24"/>
              </w:rPr>
              <w:t>。</w:t>
            </w:r>
          </w:p>
          <w:p>
            <w:pPr>
              <w:jc w:val="left"/>
            </w:pPr>
            <w:r>
              <w:rPr>
                <w:rFonts w:ascii="宋体" w:hAnsi="宋体" w:cs="宋体"/>
                <w:sz w:val="24"/>
              </w:rPr>
              <w:t>3、如投标人提供的合同扫描件因模糊不清而造成评标委员会在评审时做出对投标人不利的评审由投标人自行承担。</w:t>
            </w:r>
          </w:p>
        </w:tc>
        <w:tc>
          <w:tcPr>
            <w:tcW w:w="768" w:type="dxa"/>
            <w:noWrap/>
            <w:vAlign w:val="center"/>
          </w:tcPr>
          <w:p>
            <w:pPr>
              <w:jc w:val="center"/>
              <w:rPr>
                <w:rFonts w:ascii="宋体" w:hAnsi="宋体" w:cs="宋体"/>
                <w:sz w:val="24"/>
              </w:rPr>
            </w:pPr>
            <w:r>
              <w:rPr>
                <w:rFonts w:hint="eastAsia" w:ascii="宋体" w:hAnsi="宋体" w:cs="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676" w:type="dxa"/>
            <w:noWrap/>
            <w:vAlign w:val="center"/>
          </w:tcPr>
          <w:p>
            <w:pPr>
              <w:jc w:val="center"/>
              <w:rPr>
                <w:rFonts w:ascii="宋体" w:hAnsi="宋体" w:cs="宋体"/>
                <w:sz w:val="24"/>
              </w:rPr>
            </w:pPr>
            <w:bookmarkStart w:id="44" w:name="OLE_LINK2" w:colFirst="3" w:colLast="3"/>
            <w:bookmarkStart w:id="45" w:name="_Hlk392749880"/>
            <w:bookmarkStart w:id="46" w:name="OLE_LINK3" w:colFirst="3" w:colLast="3"/>
            <w:r>
              <w:rPr>
                <w:rFonts w:hint="eastAsia" w:ascii="宋体" w:hAnsi="宋体" w:cs="宋体"/>
                <w:sz w:val="24"/>
              </w:rPr>
              <w:t>4</w:t>
            </w:r>
          </w:p>
        </w:tc>
        <w:tc>
          <w:tcPr>
            <w:tcW w:w="1453" w:type="dxa"/>
            <w:noWrap/>
            <w:vAlign w:val="center"/>
          </w:tcPr>
          <w:p>
            <w:pPr>
              <w:jc w:val="center"/>
              <w:rPr>
                <w:rFonts w:ascii="宋体" w:hAnsi="宋体" w:cs="宋体"/>
                <w:sz w:val="24"/>
              </w:rPr>
            </w:pPr>
            <w:r>
              <w:rPr>
                <w:rFonts w:hint="eastAsia" w:ascii="宋体" w:hAnsi="宋体" w:cs="宋体"/>
                <w:sz w:val="24"/>
              </w:rPr>
              <w:t>项目团队</w:t>
            </w:r>
          </w:p>
        </w:tc>
        <w:tc>
          <w:tcPr>
            <w:tcW w:w="6017" w:type="dxa"/>
            <w:noWrap/>
            <w:vAlign w:val="center"/>
          </w:tcPr>
          <w:p>
            <w:pPr>
              <w:pStyle w:val="20"/>
              <w:rPr>
                <w:rFonts w:ascii="宋体" w:hAnsi="宋体" w:cs="宋体"/>
                <w:sz w:val="24"/>
              </w:rPr>
            </w:pPr>
            <w:r>
              <w:rPr>
                <w:rFonts w:hint="eastAsia" w:ascii="宋体" w:hAnsi="宋体" w:cs="宋体"/>
                <w:sz w:val="24"/>
              </w:rPr>
              <w:t>拟投入本项目服务团队实施人员，具有电工证的每人得1分，最多得2分；具有机电工程或电子与智能化工程相关专业工程师及以上职称的每人得1分，最多得2分；</w:t>
            </w:r>
          </w:p>
          <w:p>
            <w:pPr>
              <w:pStyle w:val="20"/>
            </w:pPr>
            <w:r>
              <w:rPr>
                <w:rFonts w:hint="eastAsia" w:ascii="宋体" w:hAnsi="宋体" w:cs="宋体"/>
                <w:sz w:val="24"/>
              </w:rPr>
              <w:t>注：提供相关证书扫描件和在本单位缴纳的近三个月的社保证明扫描件，未提供不得分。</w:t>
            </w:r>
          </w:p>
        </w:tc>
        <w:tc>
          <w:tcPr>
            <w:tcW w:w="768" w:type="dxa"/>
            <w:noWrap/>
            <w:vAlign w:val="center"/>
          </w:tcPr>
          <w:p>
            <w:pPr>
              <w:jc w:val="center"/>
              <w:rPr>
                <w:rFonts w:ascii="宋体" w:hAnsi="宋体" w:cs="宋体"/>
                <w:sz w:val="24"/>
                <w:lang w:val="zh-CN"/>
              </w:rPr>
            </w:pPr>
            <w:r>
              <w:rPr>
                <w:rFonts w:hint="eastAsia" w:ascii="宋体" w:hAnsi="宋体" w:cs="宋体"/>
                <w:sz w:val="24"/>
              </w:rPr>
              <w:t>4</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76" w:type="dxa"/>
            <w:noWrap/>
            <w:vAlign w:val="center"/>
          </w:tcPr>
          <w:p>
            <w:pPr>
              <w:jc w:val="center"/>
              <w:rPr>
                <w:rFonts w:ascii="宋体" w:hAnsi="宋体" w:cs="宋体"/>
                <w:sz w:val="24"/>
              </w:rPr>
            </w:pPr>
            <w:r>
              <w:rPr>
                <w:rFonts w:hint="eastAsia" w:ascii="宋体" w:hAnsi="宋体" w:cs="宋体"/>
                <w:sz w:val="24"/>
              </w:rPr>
              <w:t>5</w:t>
            </w:r>
          </w:p>
        </w:tc>
        <w:tc>
          <w:tcPr>
            <w:tcW w:w="1453" w:type="dxa"/>
            <w:noWrap/>
            <w:vAlign w:val="center"/>
          </w:tcPr>
          <w:p>
            <w:pPr>
              <w:jc w:val="center"/>
              <w:rPr>
                <w:rFonts w:ascii="宋体" w:hAnsi="宋体" w:cs="宋体"/>
                <w:sz w:val="24"/>
              </w:rPr>
            </w:pPr>
            <w:r>
              <w:rPr>
                <w:rFonts w:hint="eastAsia" w:ascii="宋体" w:hAnsi="宋体" w:cs="宋体"/>
                <w:sz w:val="24"/>
              </w:rPr>
              <w:t>前期调研</w:t>
            </w:r>
          </w:p>
        </w:tc>
        <w:tc>
          <w:tcPr>
            <w:tcW w:w="6017" w:type="dxa"/>
            <w:noWrap/>
            <w:vAlign w:val="center"/>
          </w:tcPr>
          <w:p>
            <w:pPr>
              <w:rPr>
                <w:rFonts w:ascii="宋体" w:hAnsi="宋体" w:cs="宋体"/>
                <w:sz w:val="24"/>
              </w:rPr>
            </w:pPr>
            <w:r>
              <w:rPr>
                <w:rFonts w:hint="eastAsia" w:ascii="宋体" w:hAnsi="宋体" w:cs="宋体"/>
                <w:sz w:val="24"/>
              </w:rPr>
              <w:t>根据投标人对本项目相关系统现状调研分析以及本项目服务需求的了解情况进行综合评分。（0-4分）</w:t>
            </w:r>
          </w:p>
        </w:tc>
        <w:tc>
          <w:tcPr>
            <w:tcW w:w="768" w:type="dxa"/>
            <w:noWrap/>
            <w:vAlign w:val="center"/>
          </w:tcPr>
          <w:p>
            <w:pPr>
              <w:jc w:val="center"/>
              <w:rPr>
                <w:rFonts w:ascii="宋体" w:hAnsi="宋体" w:cs="宋体"/>
                <w:sz w:val="24"/>
              </w:rPr>
            </w:pPr>
            <w:r>
              <w:rPr>
                <w:rFonts w:hint="eastAsia" w:ascii="宋体" w:hAnsi="宋体" w:cs="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676" w:type="dxa"/>
            <w:vMerge w:val="restart"/>
            <w:noWrap/>
            <w:vAlign w:val="center"/>
          </w:tcPr>
          <w:p>
            <w:pPr>
              <w:jc w:val="center"/>
              <w:rPr>
                <w:rFonts w:ascii="宋体" w:hAnsi="宋体" w:cs="宋体"/>
                <w:sz w:val="24"/>
              </w:rPr>
            </w:pPr>
            <w:r>
              <w:rPr>
                <w:rFonts w:hint="eastAsia" w:ascii="宋体" w:hAnsi="宋体" w:cs="宋体"/>
                <w:sz w:val="24"/>
              </w:rPr>
              <w:t>6</w:t>
            </w:r>
          </w:p>
        </w:tc>
        <w:tc>
          <w:tcPr>
            <w:tcW w:w="1453" w:type="dxa"/>
            <w:vMerge w:val="restart"/>
            <w:noWrap/>
            <w:vAlign w:val="center"/>
          </w:tcPr>
          <w:p>
            <w:pPr>
              <w:jc w:val="center"/>
              <w:rPr>
                <w:rFonts w:ascii="宋体" w:hAnsi="宋体" w:cs="宋体"/>
                <w:sz w:val="24"/>
              </w:rPr>
            </w:pPr>
            <w:r>
              <w:rPr>
                <w:rFonts w:hint="eastAsia" w:ascii="宋体" w:hAnsi="宋体" w:cs="宋体"/>
                <w:sz w:val="24"/>
              </w:rPr>
              <w:t>运行维护管理方案</w:t>
            </w:r>
          </w:p>
        </w:tc>
        <w:tc>
          <w:tcPr>
            <w:tcW w:w="6017" w:type="dxa"/>
            <w:noWrap/>
            <w:vAlign w:val="center"/>
          </w:tcPr>
          <w:p>
            <w:pPr>
              <w:rPr>
                <w:rFonts w:ascii="宋体" w:hAnsi="宋体" w:cs="宋体"/>
                <w:sz w:val="24"/>
              </w:rPr>
            </w:pPr>
            <w:r>
              <w:rPr>
                <w:rFonts w:hint="eastAsia" w:ascii="宋体" w:hAnsi="宋体" w:cs="宋体"/>
                <w:sz w:val="24"/>
              </w:rPr>
              <w:t>根据投标人针对本项目的具体实施方案（是否符合相关的国家、地方法律及电子政务相关管理制度要求、管理体系建设、服务设计、服务流程、服务整体方案与采购需求是否吻合。）（0-6分）</w:t>
            </w:r>
          </w:p>
        </w:tc>
        <w:tc>
          <w:tcPr>
            <w:tcW w:w="768" w:type="dxa"/>
            <w:noWrap/>
            <w:vAlign w:val="center"/>
          </w:tcPr>
          <w:p>
            <w:pPr>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676" w:type="dxa"/>
            <w:vMerge w:val="continue"/>
            <w:noWrap/>
            <w:vAlign w:val="center"/>
          </w:tcPr>
          <w:p>
            <w:pPr>
              <w:jc w:val="center"/>
              <w:rPr>
                <w:rFonts w:ascii="宋体" w:hAnsi="宋体" w:cs="宋体"/>
                <w:sz w:val="24"/>
              </w:rPr>
            </w:pPr>
          </w:p>
        </w:tc>
        <w:tc>
          <w:tcPr>
            <w:tcW w:w="1453" w:type="dxa"/>
            <w:vMerge w:val="continue"/>
            <w:noWrap/>
            <w:vAlign w:val="center"/>
          </w:tcPr>
          <w:p>
            <w:pPr>
              <w:jc w:val="center"/>
              <w:rPr>
                <w:rFonts w:ascii="宋体" w:hAnsi="宋体" w:cs="宋体"/>
                <w:sz w:val="24"/>
              </w:rPr>
            </w:pPr>
          </w:p>
        </w:tc>
        <w:tc>
          <w:tcPr>
            <w:tcW w:w="6017" w:type="dxa"/>
            <w:noWrap/>
            <w:vAlign w:val="center"/>
          </w:tcPr>
          <w:p>
            <w:pPr>
              <w:rPr>
                <w:rFonts w:ascii="宋体" w:hAnsi="宋体" w:cs="宋体"/>
                <w:sz w:val="24"/>
              </w:rPr>
            </w:pPr>
            <w:r>
              <w:rPr>
                <w:rFonts w:hint="eastAsia" w:ascii="宋体" w:hAnsi="宋体" w:cs="宋体"/>
                <w:sz w:val="24"/>
              </w:rPr>
              <w:t>根据投标人对本项目运维服务的组织措施、质量把控等，进行进行综合评分（0-6分）</w:t>
            </w:r>
          </w:p>
        </w:tc>
        <w:tc>
          <w:tcPr>
            <w:tcW w:w="768" w:type="dxa"/>
            <w:noWrap/>
            <w:vAlign w:val="center"/>
          </w:tcPr>
          <w:p>
            <w:pPr>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676" w:type="dxa"/>
            <w:vMerge w:val="continue"/>
            <w:noWrap/>
            <w:vAlign w:val="center"/>
          </w:tcPr>
          <w:p>
            <w:pPr>
              <w:jc w:val="center"/>
              <w:rPr>
                <w:rFonts w:ascii="宋体" w:hAnsi="宋体" w:cs="宋体"/>
                <w:sz w:val="24"/>
              </w:rPr>
            </w:pPr>
          </w:p>
        </w:tc>
        <w:tc>
          <w:tcPr>
            <w:tcW w:w="1453" w:type="dxa"/>
            <w:vMerge w:val="continue"/>
            <w:noWrap/>
            <w:vAlign w:val="center"/>
          </w:tcPr>
          <w:p>
            <w:pPr>
              <w:jc w:val="center"/>
              <w:rPr>
                <w:rFonts w:ascii="宋体" w:hAnsi="宋体" w:cs="宋体"/>
                <w:sz w:val="24"/>
              </w:rPr>
            </w:pPr>
          </w:p>
        </w:tc>
        <w:tc>
          <w:tcPr>
            <w:tcW w:w="6017" w:type="dxa"/>
            <w:noWrap/>
            <w:vAlign w:val="center"/>
          </w:tcPr>
          <w:p>
            <w:pPr>
              <w:rPr>
                <w:rFonts w:ascii="宋体" w:hAnsi="宋体" w:cs="宋体"/>
                <w:sz w:val="24"/>
              </w:rPr>
            </w:pPr>
            <w:r>
              <w:rPr>
                <w:rFonts w:hint="eastAsia" w:ascii="宋体" w:hAnsi="宋体" w:cs="宋体"/>
                <w:sz w:val="24"/>
              </w:rPr>
              <w:t>根据投标人对本项目的物资供应、后勤服务、后期运维的保障措施等情况，进行进行综合评分（0-6分）</w:t>
            </w:r>
          </w:p>
        </w:tc>
        <w:tc>
          <w:tcPr>
            <w:tcW w:w="768" w:type="dxa"/>
            <w:noWrap/>
            <w:vAlign w:val="center"/>
          </w:tcPr>
          <w:p>
            <w:pPr>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676" w:type="dxa"/>
            <w:vMerge w:val="continue"/>
            <w:noWrap/>
            <w:vAlign w:val="center"/>
          </w:tcPr>
          <w:p>
            <w:pPr>
              <w:jc w:val="center"/>
              <w:rPr>
                <w:rFonts w:ascii="宋体" w:hAnsi="宋体" w:cs="宋体"/>
                <w:sz w:val="24"/>
              </w:rPr>
            </w:pPr>
          </w:p>
        </w:tc>
        <w:tc>
          <w:tcPr>
            <w:tcW w:w="1453" w:type="dxa"/>
            <w:vMerge w:val="continue"/>
            <w:noWrap/>
            <w:vAlign w:val="center"/>
          </w:tcPr>
          <w:p>
            <w:pPr>
              <w:jc w:val="center"/>
              <w:rPr>
                <w:rFonts w:ascii="宋体" w:hAnsi="宋体" w:cs="宋体"/>
                <w:sz w:val="24"/>
              </w:rPr>
            </w:pPr>
          </w:p>
        </w:tc>
        <w:tc>
          <w:tcPr>
            <w:tcW w:w="6017" w:type="dxa"/>
            <w:noWrap/>
            <w:vAlign w:val="center"/>
          </w:tcPr>
          <w:p>
            <w:pPr>
              <w:rPr>
                <w:rFonts w:ascii="宋体" w:hAnsi="宋体" w:cs="宋体"/>
                <w:sz w:val="24"/>
              </w:rPr>
            </w:pPr>
            <w:r>
              <w:rPr>
                <w:rFonts w:ascii="宋体" w:hAnsi="宋体" w:cs="宋体"/>
                <w:sz w:val="24"/>
              </w:rPr>
              <w:t>投标人提供的岗位责任考核制度</w:t>
            </w:r>
            <w:r>
              <w:rPr>
                <w:rFonts w:hint="eastAsia" w:ascii="宋体" w:hAnsi="宋体" w:cs="宋体"/>
                <w:sz w:val="24"/>
              </w:rPr>
              <w:t>、</w:t>
            </w:r>
            <w:r>
              <w:rPr>
                <w:rFonts w:ascii="宋体" w:hAnsi="宋体" w:cs="宋体"/>
                <w:sz w:val="24"/>
              </w:rPr>
              <w:t>安全管理制度、保密管理制度</w:t>
            </w:r>
            <w:r>
              <w:rPr>
                <w:rFonts w:hint="eastAsia" w:ascii="宋体" w:hAnsi="宋体" w:cs="宋体"/>
                <w:sz w:val="24"/>
              </w:rPr>
              <w:t>等</w:t>
            </w:r>
            <w:r>
              <w:rPr>
                <w:rFonts w:ascii="宋体" w:hAnsi="宋体" w:cs="宋体"/>
                <w:sz w:val="24"/>
              </w:rPr>
              <w:t>，是否科学合理、利于运维工作的开展、符合采购人需求等进行综合</w:t>
            </w:r>
            <w:r>
              <w:rPr>
                <w:rFonts w:hint="eastAsia" w:ascii="宋体" w:hAnsi="宋体" w:cs="宋体"/>
                <w:sz w:val="24"/>
              </w:rPr>
              <w:t>评分</w:t>
            </w:r>
            <w:r>
              <w:rPr>
                <w:rFonts w:ascii="宋体" w:hAnsi="宋体" w:cs="宋体"/>
                <w:sz w:val="24"/>
              </w:rPr>
              <w:t>。</w:t>
            </w:r>
            <w:r>
              <w:rPr>
                <w:rFonts w:hint="eastAsia" w:ascii="宋体" w:hAnsi="宋体" w:cs="宋体"/>
                <w:sz w:val="24"/>
              </w:rPr>
              <w:t>（0-4分）</w:t>
            </w:r>
          </w:p>
        </w:tc>
        <w:tc>
          <w:tcPr>
            <w:tcW w:w="768" w:type="dxa"/>
            <w:noWrap/>
            <w:vAlign w:val="center"/>
          </w:tcPr>
          <w:p>
            <w:pPr>
              <w:jc w:val="center"/>
              <w:rPr>
                <w:rFonts w:ascii="宋体" w:hAnsi="宋体" w:cs="宋体"/>
                <w:sz w:val="24"/>
              </w:rPr>
            </w:pPr>
            <w:r>
              <w:rPr>
                <w:rFonts w:hint="eastAsia" w:ascii="宋体" w:hAnsi="宋体" w:cs="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76" w:type="dxa"/>
            <w:vMerge w:val="continue"/>
            <w:noWrap/>
            <w:vAlign w:val="center"/>
          </w:tcPr>
          <w:p>
            <w:pPr>
              <w:jc w:val="center"/>
              <w:rPr>
                <w:rFonts w:ascii="宋体" w:hAnsi="宋体" w:cs="宋体"/>
                <w:sz w:val="24"/>
              </w:rPr>
            </w:pPr>
          </w:p>
        </w:tc>
        <w:tc>
          <w:tcPr>
            <w:tcW w:w="1453" w:type="dxa"/>
            <w:vMerge w:val="continue"/>
            <w:noWrap/>
            <w:vAlign w:val="center"/>
          </w:tcPr>
          <w:p>
            <w:pPr>
              <w:jc w:val="center"/>
              <w:rPr>
                <w:rFonts w:ascii="宋体" w:hAnsi="宋体" w:cs="宋体"/>
                <w:sz w:val="24"/>
              </w:rPr>
            </w:pPr>
          </w:p>
        </w:tc>
        <w:tc>
          <w:tcPr>
            <w:tcW w:w="6017" w:type="dxa"/>
            <w:noWrap/>
            <w:vAlign w:val="center"/>
          </w:tcPr>
          <w:p>
            <w:pPr>
              <w:rPr>
                <w:rFonts w:ascii="宋体" w:hAnsi="宋体" w:cs="宋体"/>
                <w:sz w:val="24"/>
              </w:rPr>
            </w:pPr>
            <w:r>
              <w:rPr>
                <w:rFonts w:ascii="宋体" w:hAnsi="宋体" w:cs="宋体"/>
                <w:sz w:val="24"/>
              </w:rPr>
              <w:t>投标人根据采购人需求提出的服务制度：1、日常维护、维修、校准、运行工作制度</w:t>
            </w:r>
            <w:r>
              <w:rPr>
                <w:rFonts w:hint="eastAsia" w:ascii="宋体" w:hAnsi="宋体" w:cs="宋体"/>
                <w:sz w:val="24"/>
              </w:rPr>
              <w:t>；2</w:t>
            </w:r>
            <w:r>
              <w:rPr>
                <w:rFonts w:ascii="宋体" w:hAnsi="宋体" w:cs="宋体"/>
                <w:sz w:val="24"/>
              </w:rPr>
              <w:t>、建立日常运行记录和设备台帐</w:t>
            </w:r>
            <w:r>
              <w:rPr>
                <w:rFonts w:hint="eastAsia" w:ascii="宋体" w:hAnsi="宋体" w:cs="宋体"/>
                <w:sz w:val="24"/>
              </w:rPr>
              <w:t>；3</w:t>
            </w:r>
            <w:r>
              <w:rPr>
                <w:rFonts w:ascii="宋体" w:hAnsi="宋体" w:cs="宋体"/>
                <w:sz w:val="24"/>
              </w:rPr>
              <w:t>、每月设备运维月报制度。是否符合采购人需求进行</w:t>
            </w:r>
            <w:r>
              <w:rPr>
                <w:rFonts w:hint="eastAsia" w:ascii="宋体" w:hAnsi="宋体" w:cs="宋体"/>
                <w:sz w:val="24"/>
              </w:rPr>
              <w:t>评分</w:t>
            </w:r>
            <w:r>
              <w:rPr>
                <w:rFonts w:ascii="宋体" w:hAnsi="宋体" w:cs="宋体"/>
                <w:sz w:val="24"/>
              </w:rPr>
              <w:t>。</w:t>
            </w:r>
            <w:r>
              <w:rPr>
                <w:rFonts w:hint="eastAsia" w:ascii="宋体" w:hAnsi="宋体" w:cs="宋体"/>
                <w:sz w:val="24"/>
              </w:rPr>
              <w:t>（0-4分）</w:t>
            </w:r>
          </w:p>
        </w:tc>
        <w:tc>
          <w:tcPr>
            <w:tcW w:w="768" w:type="dxa"/>
            <w:noWrap/>
            <w:vAlign w:val="center"/>
          </w:tcPr>
          <w:p>
            <w:pPr>
              <w:jc w:val="center"/>
              <w:rPr>
                <w:rFonts w:ascii="宋体" w:hAnsi="宋体" w:cs="宋体"/>
                <w:sz w:val="24"/>
              </w:rPr>
            </w:pPr>
            <w:r>
              <w:rPr>
                <w:rFonts w:hint="eastAsia" w:ascii="宋体" w:hAnsi="宋体" w:cs="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76" w:type="dxa"/>
            <w:vMerge w:val="restart"/>
            <w:noWrap/>
            <w:vAlign w:val="center"/>
          </w:tcPr>
          <w:p>
            <w:pPr>
              <w:jc w:val="center"/>
              <w:rPr>
                <w:rFonts w:ascii="宋体" w:hAnsi="宋体" w:cs="宋体"/>
                <w:sz w:val="24"/>
              </w:rPr>
            </w:pPr>
            <w:r>
              <w:rPr>
                <w:rFonts w:hint="eastAsia" w:ascii="宋体" w:hAnsi="宋体" w:cs="宋体"/>
                <w:sz w:val="24"/>
              </w:rPr>
              <w:t>7</w:t>
            </w:r>
          </w:p>
        </w:tc>
        <w:tc>
          <w:tcPr>
            <w:tcW w:w="1453" w:type="dxa"/>
            <w:vMerge w:val="restart"/>
            <w:noWrap/>
            <w:vAlign w:val="center"/>
          </w:tcPr>
          <w:p>
            <w:pPr>
              <w:jc w:val="center"/>
              <w:rPr>
                <w:rFonts w:ascii="宋体" w:hAnsi="宋体" w:cs="宋体"/>
                <w:sz w:val="24"/>
              </w:rPr>
            </w:pPr>
            <w:r>
              <w:rPr>
                <w:rFonts w:hint="eastAsia" w:ascii="宋体" w:hAnsi="宋体" w:cs="宋体"/>
                <w:sz w:val="24"/>
              </w:rPr>
              <w:t>售后服务</w:t>
            </w:r>
          </w:p>
          <w:p>
            <w:pPr>
              <w:jc w:val="center"/>
              <w:rPr>
                <w:rFonts w:ascii="宋体" w:hAnsi="宋体" w:cs="宋体"/>
                <w:sz w:val="24"/>
              </w:rPr>
            </w:pPr>
            <w:r>
              <w:rPr>
                <w:rFonts w:hint="eastAsia" w:ascii="宋体" w:hAnsi="宋体" w:cs="宋体"/>
                <w:sz w:val="24"/>
              </w:rPr>
              <w:t>能力</w:t>
            </w:r>
          </w:p>
        </w:tc>
        <w:tc>
          <w:tcPr>
            <w:tcW w:w="6017" w:type="dxa"/>
            <w:noWrap/>
            <w:vAlign w:val="center"/>
          </w:tcPr>
          <w:p>
            <w:pPr>
              <w:rPr>
                <w:rFonts w:ascii="宋体" w:hAnsi="宋体" w:cs="宋体"/>
                <w:sz w:val="24"/>
              </w:rPr>
            </w:pPr>
            <w:r>
              <w:rPr>
                <w:rFonts w:ascii="宋体" w:hAnsi="宋体" w:cs="宋体"/>
                <w:sz w:val="24"/>
              </w:rPr>
              <w:t>投标人能否提供快速的服务响应，承诺在维护期间，根据采购人要求的时间及时响应、到达现场、排除故障</w:t>
            </w:r>
            <w:r>
              <w:rPr>
                <w:rFonts w:hint="eastAsia" w:ascii="宋体" w:hAnsi="宋体" w:cs="宋体"/>
                <w:sz w:val="24"/>
              </w:rPr>
              <w:t>等</w:t>
            </w:r>
            <w:r>
              <w:rPr>
                <w:rFonts w:ascii="宋体" w:hAnsi="宋体" w:cs="宋体"/>
                <w:sz w:val="24"/>
              </w:rPr>
              <w:t>，进行综合评分。（0-6分</w:t>
            </w:r>
            <w:r>
              <w:rPr>
                <w:rFonts w:hint="eastAsia" w:ascii="宋体" w:hAnsi="宋体" w:cs="宋体"/>
                <w:sz w:val="24"/>
              </w:rPr>
              <w:t>）</w:t>
            </w:r>
          </w:p>
        </w:tc>
        <w:tc>
          <w:tcPr>
            <w:tcW w:w="768" w:type="dxa"/>
            <w:noWrap/>
            <w:vAlign w:val="center"/>
          </w:tcPr>
          <w:p>
            <w:pPr>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76" w:type="dxa"/>
            <w:vMerge w:val="continue"/>
            <w:noWrap/>
            <w:vAlign w:val="center"/>
          </w:tcPr>
          <w:p>
            <w:pPr>
              <w:jc w:val="center"/>
              <w:rPr>
                <w:rFonts w:ascii="宋体" w:hAnsi="宋体" w:cs="宋体"/>
                <w:sz w:val="24"/>
              </w:rPr>
            </w:pPr>
          </w:p>
        </w:tc>
        <w:tc>
          <w:tcPr>
            <w:tcW w:w="1453" w:type="dxa"/>
            <w:vMerge w:val="continue"/>
            <w:noWrap/>
            <w:vAlign w:val="center"/>
          </w:tcPr>
          <w:p>
            <w:pPr>
              <w:jc w:val="center"/>
              <w:rPr>
                <w:rFonts w:ascii="宋体" w:hAnsi="宋体" w:cs="宋体"/>
                <w:sz w:val="24"/>
              </w:rPr>
            </w:pPr>
          </w:p>
        </w:tc>
        <w:tc>
          <w:tcPr>
            <w:tcW w:w="6017" w:type="dxa"/>
            <w:noWrap/>
          </w:tcPr>
          <w:p>
            <w:pPr>
              <w:rPr>
                <w:rFonts w:ascii="宋体" w:hAnsi="宋体" w:cs="宋体"/>
                <w:sz w:val="24"/>
              </w:rPr>
            </w:pPr>
            <w:r>
              <w:rPr>
                <w:rFonts w:hint="eastAsia" w:ascii="宋体" w:hAnsi="宋体" w:cs="宋体"/>
                <w:sz w:val="24"/>
              </w:rPr>
              <w:t>根据投标人提供的本地化服务承诺、有利于本项目运维服务要求的特别服务承诺和优惠条件等进行综合评分</w:t>
            </w:r>
            <w:r>
              <w:rPr>
                <w:rFonts w:ascii="宋体" w:hAnsi="宋体" w:cs="宋体"/>
                <w:sz w:val="24"/>
              </w:rPr>
              <w:t>。</w:t>
            </w:r>
            <w:r>
              <w:rPr>
                <w:rFonts w:hint="eastAsia" w:ascii="宋体" w:hAnsi="宋体" w:cs="宋体"/>
                <w:sz w:val="24"/>
              </w:rPr>
              <w:t>（0-4分）</w:t>
            </w:r>
          </w:p>
        </w:tc>
        <w:tc>
          <w:tcPr>
            <w:tcW w:w="768" w:type="dxa"/>
            <w:noWrap/>
            <w:vAlign w:val="center"/>
          </w:tcPr>
          <w:p>
            <w:pPr>
              <w:jc w:val="center"/>
              <w:rPr>
                <w:rFonts w:ascii="宋体" w:hAnsi="宋体" w:cs="宋体"/>
                <w:sz w:val="24"/>
              </w:rPr>
            </w:pPr>
            <w:r>
              <w:rPr>
                <w:rFonts w:hint="eastAsia" w:ascii="宋体" w:hAnsi="宋体" w:cs="宋体"/>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76" w:type="dxa"/>
            <w:noWrap/>
            <w:vAlign w:val="center"/>
          </w:tcPr>
          <w:p>
            <w:pPr>
              <w:jc w:val="center"/>
              <w:rPr>
                <w:rFonts w:ascii="宋体" w:hAnsi="宋体" w:cs="宋体"/>
                <w:sz w:val="24"/>
              </w:rPr>
            </w:pPr>
            <w:r>
              <w:rPr>
                <w:rFonts w:hint="eastAsia" w:ascii="宋体" w:hAnsi="宋体" w:cs="宋体"/>
                <w:sz w:val="24"/>
              </w:rPr>
              <w:t>8</w:t>
            </w:r>
          </w:p>
        </w:tc>
        <w:tc>
          <w:tcPr>
            <w:tcW w:w="1453" w:type="dxa"/>
            <w:noWrap/>
            <w:vAlign w:val="center"/>
          </w:tcPr>
          <w:p>
            <w:pPr>
              <w:jc w:val="center"/>
              <w:rPr>
                <w:rFonts w:ascii="宋体" w:hAnsi="宋体" w:cs="宋体"/>
                <w:sz w:val="24"/>
              </w:rPr>
            </w:pPr>
            <w:r>
              <w:rPr>
                <w:rFonts w:hint="eastAsia" w:ascii="宋体" w:hAnsi="宋体" w:cs="宋体"/>
                <w:sz w:val="24"/>
              </w:rPr>
              <w:t>应急服务</w:t>
            </w:r>
          </w:p>
          <w:p>
            <w:pPr>
              <w:jc w:val="center"/>
              <w:rPr>
                <w:rFonts w:ascii="宋体" w:hAnsi="宋体" w:cs="宋体"/>
                <w:sz w:val="24"/>
              </w:rPr>
            </w:pPr>
            <w:r>
              <w:rPr>
                <w:rFonts w:hint="eastAsia" w:ascii="宋体" w:hAnsi="宋体" w:cs="宋体"/>
                <w:sz w:val="24"/>
              </w:rPr>
              <w:t>方案</w:t>
            </w:r>
          </w:p>
        </w:tc>
        <w:tc>
          <w:tcPr>
            <w:tcW w:w="6017" w:type="dxa"/>
            <w:noWrap/>
            <w:vAlign w:val="center"/>
          </w:tcPr>
          <w:p>
            <w:pPr>
              <w:rPr>
                <w:rFonts w:ascii="宋体" w:hAnsi="宋体" w:cs="宋体"/>
                <w:sz w:val="24"/>
              </w:rPr>
            </w:pPr>
            <w:r>
              <w:rPr>
                <w:rFonts w:ascii="宋体" w:hAnsi="宋体" w:cs="宋体"/>
                <w:sz w:val="24"/>
              </w:rPr>
              <w:t>投标人针对本项目的突发应急事件（</w:t>
            </w:r>
            <w:r>
              <w:rPr>
                <w:rFonts w:hint="eastAsia" w:ascii="宋体" w:hAnsi="宋体" w:cs="宋体"/>
                <w:sz w:val="24"/>
              </w:rPr>
              <w:t>重大事故，</w:t>
            </w:r>
            <w:r>
              <w:rPr>
                <w:rFonts w:ascii="宋体" w:hAnsi="宋体" w:cs="宋体"/>
                <w:sz w:val="24"/>
              </w:rPr>
              <w:t>突发地质灾害，停水，停电情况处理，设备故</w:t>
            </w:r>
            <w:r>
              <w:rPr>
                <w:rFonts w:hint="eastAsia" w:ascii="宋体" w:hAnsi="宋体" w:cs="宋体"/>
                <w:sz w:val="24"/>
                <w:lang w:val="en-US" w:eastAsia="zh-CN"/>
              </w:rPr>
              <w:t>6</w:t>
            </w:r>
            <w:r>
              <w:rPr>
                <w:rFonts w:ascii="宋体" w:hAnsi="宋体" w:cs="宋体"/>
                <w:sz w:val="24"/>
              </w:rPr>
              <w:t>障应急处理，水质超标紧急处理等）的处理预案是否合理，及时有效等进行综合评</w:t>
            </w:r>
            <w:r>
              <w:rPr>
                <w:rFonts w:hint="eastAsia" w:ascii="宋体" w:hAnsi="宋体" w:cs="宋体"/>
                <w:sz w:val="24"/>
              </w:rPr>
              <w:t>分</w:t>
            </w:r>
            <w:r>
              <w:rPr>
                <w:rFonts w:ascii="宋体" w:hAnsi="宋体" w:cs="宋体"/>
                <w:sz w:val="24"/>
              </w:rPr>
              <w:t>。</w:t>
            </w:r>
            <w:r>
              <w:rPr>
                <w:rFonts w:hint="eastAsia" w:ascii="宋体" w:hAnsi="宋体" w:cs="宋体"/>
                <w:sz w:val="24"/>
              </w:rPr>
              <w:t>（0-6分）</w:t>
            </w:r>
          </w:p>
        </w:tc>
        <w:tc>
          <w:tcPr>
            <w:tcW w:w="768" w:type="dxa"/>
            <w:noWrap/>
            <w:vAlign w:val="center"/>
          </w:tcPr>
          <w:p>
            <w:pPr>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76" w:type="dxa"/>
            <w:noWrap/>
            <w:vAlign w:val="center"/>
          </w:tcPr>
          <w:p>
            <w:pPr>
              <w:jc w:val="center"/>
              <w:rPr>
                <w:rFonts w:ascii="宋体" w:hAnsi="宋体" w:cs="宋体"/>
                <w:sz w:val="24"/>
              </w:rPr>
            </w:pPr>
            <w:r>
              <w:rPr>
                <w:rFonts w:hint="eastAsia" w:ascii="宋体" w:hAnsi="宋体" w:cs="宋体"/>
                <w:sz w:val="24"/>
              </w:rPr>
              <w:t>9</w:t>
            </w:r>
          </w:p>
        </w:tc>
        <w:tc>
          <w:tcPr>
            <w:tcW w:w="1453" w:type="dxa"/>
            <w:noWrap/>
            <w:vAlign w:val="center"/>
          </w:tcPr>
          <w:p>
            <w:pPr>
              <w:jc w:val="center"/>
              <w:rPr>
                <w:rFonts w:ascii="宋体" w:hAnsi="宋体" w:cs="宋体"/>
                <w:sz w:val="24"/>
              </w:rPr>
            </w:pPr>
            <w:r>
              <w:rPr>
                <w:rFonts w:hint="eastAsia" w:ascii="宋体" w:hAnsi="宋体" w:cs="宋体"/>
                <w:sz w:val="24"/>
              </w:rPr>
              <w:t>重难点分析</w:t>
            </w:r>
          </w:p>
        </w:tc>
        <w:tc>
          <w:tcPr>
            <w:tcW w:w="6017" w:type="dxa"/>
            <w:noWrap/>
            <w:vAlign w:val="center"/>
          </w:tcPr>
          <w:p>
            <w:pPr>
              <w:rPr>
                <w:rFonts w:ascii="宋体" w:hAnsi="宋体" w:cs="宋体"/>
                <w:sz w:val="24"/>
              </w:rPr>
            </w:pPr>
            <w:r>
              <w:rPr>
                <w:rFonts w:ascii="宋体" w:hAnsi="宋体" w:cs="宋体"/>
                <w:sz w:val="24"/>
              </w:rPr>
              <w:t>根据服务方案中，针对本项目特点、难点、重点及关键性技术问题的分析研究，以及相应的对策措施的构思进行综合评定：（0-</w:t>
            </w:r>
            <w:r>
              <w:rPr>
                <w:rFonts w:hint="eastAsia" w:ascii="宋体" w:hAnsi="宋体" w:cs="宋体"/>
                <w:sz w:val="24"/>
              </w:rPr>
              <w:t>6</w:t>
            </w:r>
            <w:r>
              <w:rPr>
                <w:rFonts w:ascii="宋体" w:hAnsi="宋体" w:cs="宋体"/>
                <w:sz w:val="24"/>
              </w:rPr>
              <w:t>分）</w:t>
            </w:r>
          </w:p>
        </w:tc>
        <w:tc>
          <w:tcPr>
            <w:tcW w:w="768" w:type="dxa"/>
            <w:noWrap/>
            <w:vAlign w:val="center"/>
          </w:tcPr>
          <w:p>
            <w:pPr>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676" w:type="dxa"/>
            <w:noWrap/>
            <w:vAlign w:val="center"/>
          </w:tcPr>
          <w:p>
            <w:pPr>
              <w:jc w:val="center"/>
              <w:rPr>
                <w:rFonts w:ascii="宋体" w:hAnsi="宋体" w:cs="宋体"/>
                <w:sz w:val="24"/>
              </w:rPr>
            </w:pPr>
            <w:r>
              <w:rPr>
                <w:rFonts w:hint="eastAsia" w:ascii="宋体" w:hAnsi="宋体" w:cs="宋体"/>
                <w:sz w:val="24"/>
              </w:rPr>
              <w:t>10</w:t>
            </w:r>
          </w:p>
        </w:tc>
        <w:tc>
          <w:tcPr>
            <w:tcW w:w="1453" w:type="dxa"/>
            <w:noWrap/>
            <w:vAlign w:val="center"/>
          </w:tcPr>
          <w:p>
            <w:pPr>
              <w:jc w:val="center"/>
              <w:rPr>
                <w:rFonts w:ascii="宋体" w:hAnsi="宋体" w:cs="宋体"/>
                <w:sz w:val="24"/>
              </w:rPr>
            </w:pPr>
            <w:r>
              <w:rPr>
                <w:rFonts w:hint="eastAsia" w:ascii="宋体" w:hAnsi="宋体" w:cs="宋体"/>
                <w:sz w:val="24"/>
              </w:rPr>
              <w:t>合理化建议</w:t>
            </w:r>
          </w:p>
        </w:tc>
        <w:tc>
          <w:tcPr>
            <w:tcW w:w="6017" w:type="dxa"/>
            <w:noWrap/>
            <w:vAlign w:val="center"/>
          </w:tcPr>
          <w:p>
            <w:pPr>
              <w:rPr>
                <w:rFonts w:ascii="宋体" w:hAnsi="宋体" w:cs="宋体"/>
                <w:sz w:val="24"/>
              </w:rPr>
            </w:pPr>
            <w:r>
              <w:rPr>
                <w:rFonts w:ascii="宋体" w:hAnsi="宋体" w:cs="宋体"/>
                <w:sz w:val="24"/>
              </w:rPr>
              <w:t>根据投标人针对采购需求提出的合理化且具有建设性内容进行</w:t>
            </w:r>
            <w:r>
              <w:rPr>
                <w:rFonts w:hint="eastAsia" w:ascii="宋体" w:hAnsi="宋体" w:cs="宋体"/>
                <w:sz w:val="24"/>
              </w:rPr>
              <w:t>评分</w:t>
            </w:r>
            <w:r>
              <w:rPr>
                <w:rFonts w:ascii="宋体" w:hAnsi="宋体" w:cs="宋体"/>
                <w:sz w:val="24"/>
              </w:rPr>
              <w:t>。0-3分</w:t>
            </w:r>
          </w:p>
        </w:tc>
        <w:tc>
          <w:tcPr>
            <w:tcW w:w="768" w:type="dxa"/>
            <w:noWrap/>
            <w:vAlign w:val="center"/>
          </w:tcPr>
          <w:p>
            <w:pPr>
              <w:jc w:val="center"/>
              <w:rPr>
                <w:rFonts w:ascii="宋体" w:hAnsi="宋体" w:cs="宋体"/>
                <w:sz w:val="24"/>
              </w:rPr>
            </w:pPr>
            <w:r>
              <w:rPr>
                <w:rFonts w:hint="eastAsia" w:ascii="宋体" w:hAnsi="宋体" w:cs="宋体"/>
                <w:sz w:val="24"/>
              </w:rPr>
              <w:t>3分</w:t>
            </w:r>
          </w:p>
        </w:tc>
      </w:tr>
      <w:bookmarkEnd w:id="44"/>
      <w:bookmarkEnd w:id="45"/>
      <w:bookmarkEnd w:id="46"/>
    </w:tbl>
    <w:p>
      <w:pPr>
        <w:spacing w:line="400" w:lineRule="exact"/>
        <w:rPr>
          <w:rFonts w:asciiTheme="minorEastAsia" w:hAnsiTheme="minorEastAsia" w:eastAsiaTheme="minorEastAsia" w:cstheme="minorEastAsia"/>
          <w:b/>
          <w:bCs/>
          <w:sz w:val="24"/>
        </w:rPr>
      </w:pPr>
    </w:p>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提示：</w:t>
      </w:r>
    </w:p>
    <w:p>
      <w:pPr>
        <w:spacing w:line="400" w:lineRule="exac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u w:val="single"/>
        </w:rPr>
        <w:t>1、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pPr>
        <w:spacing w:line="400" w:lineRule="exac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u w:val="single"/>
        </w:rPr>
        <w:t>2、投标人提交的所有投标文件、资料（包括所有证书、合同、报告等）都是准确、真实、合规的，如提供虚假资料，投标人需承担一切后果。</w:t>
      </w:r>
    </w:p>
    <w:p>
      <w:pPr>
        <w:spacing w:line="400" w:lineRule="exac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u w:val="single"/>
        </w:rPr>
        <w:t>3、▲为了评审工作更加优质、高效，商务技术标投标文件张数不得超过200页（不包括封面、目录及封底），否则作无效标处理。</w:t>
      </w:r>
    </w:p>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u w:val="single"/>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before="120" w:beforeLines="50" w:after="120" w:afterLines="50" w:line="400" w:lineRule="exact"/>
        <w:ind w:right="480" w:firstLine="361" w:firstLineChars="15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（三）商务技术分的计算方式</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商务技术分按照评标委员会成员的独立评分结果汇总后，取全部评标委员会成员评分值的算术平均分，计算公式为：</w:t>
      </w:r>
    </w:p>
    <w:p>
      <w:pPr>
        <w:spacing w:line="360" w:lineRule="exact"/>
        <w:ind w:firstLine="49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商务技术分=（评标委员会所有成员评分合计数）/（评标委员会组成人员数）</w:t>
      </w:r>
    </w:p>
    <w:p>
      <w:pPr>
        <w:pStyle w:val="21"/>
        <w:spacing w:before="120" w:beforeLines="50" w:after="120" w:afterLines="50" w:line="360" w:lineRule="auto"/>
        <w:ind w:firstLine="466"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三、投标人义务</w:t>
      </w:r>
    </w:p>
    <w:p>
      <w:pPr>
        <w:pStyle w:val="21"/>
        <w:spacing w:before="120" w:beforeLines="50" w:after="120" w:afterLines="50" w:line="360" w:lineRule="auto"/>
        <w:ind w:firstLine="464" w:firstLineChars="200"/>
        <w:rPr>
          <w:rFonts w:asciiTheme="minorEastAsia" w:hAnsiTheme="minorEastAsia" w:eastAsiaTheme="minorEastAsia" w:cstheme="minorEastAsia"/>
          <w:b/>
          <w:sz w:val="24"/>
          <w:lang w:val="zh-CN"/>
        </w:rPr>
      </w:pPr>
      <w:r>
        <w:rPr>
          <w:rFonts w:hint="eastAsia" w:asciiTheme="minorEastAsia" w:hAnsiTheme="minorEastAsia" w:eastAsiaTheme="minorEastAsia" w:cstheme="minorEastAsia"/>
          <w:bCs/>
          <w:sz w:val="24"/>
          <w:szCs w:val="24"/>
        </w:rPr>
        <w:t>评标期间，投标人应随时随地答复评标委员会的询标，解答包括有关的商务、技术问题等。</w:t>
      </w:r>
    </w:p>
    <w:p>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30"/>
          <w:szCs w:val="30"/>
        </w:rPr>
        <w:t>采购项目评分索引表</w:t>
      </w:r>
    </w:p>
    <w:p>
      <w:pPr>
        <w:snapToGrid w:val="0"/>
        <w:spacing w:before="100" w:beforeAutospacing="1" w:after="100" w:afterAutospacing="1" w:line="400" w:lineRule="exact"/>
        <w:rPr>
          <w:rFonts w:asciiTheme="minorEastAsia" w:hAnsiTheme="minorEastAsia" w:eastAsiaTheme="minorEastAsia" w:cstheme="minorEastAsia"/>
          <w:b/>
          <w:spacing w:val="-4"/>
          <w:sz w:val="24"/>
          <w:shd w:val="pct10" w:color="auto" w:fill="FFFFFF"/>
        </w:rPr>
      </w:pP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pacing w:val="-4"/>
          <w:sz w:val="24"/>
          <w:shd w:val="pct10" w:color="auto" w:fill="FFFFFF"/>
        </w:rPr>
        <w:t>重要提示：本采购项目评分索引表放在商务技术文件目录的前页，</w:t>
      </w:r>
      <w:r>
        <w:rPr>
          <w:rFonts w:hint="eastAsia" w:asciiTheme="minorEastAsia" w:hAnsiTheme="minorEastAsia" w:eastAsiaTheme="minorEastAsia" w:cstheme="minorEastAsia"/>
          <w:b/>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Theme="minorEastAsia" w:hAnsiTheme="minorEastAsia" w:eastAsiaTheme="minorEastAsia" w:cstheme="minorEastAsia"/>
          <w:b/>
          <w:spacing w:val="-4"/>
          <w:sz w:val="24"/>
          <w:shd w:val="pct10" w:color="auto" w:fill="FFFFFF"/>
        </w:rPr>
        <w:t>)</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项目名称：                                 投标人名称：</w:t>
      </w:r>
    </w:p>
    <w:p>
      <w:pPr>
        <w:snapToGrid w:val="0"/>
        <w:spacing w:before="100" w:beforeAutospacing="1" w:after="100" w:afterAutospacing="1" w:line="400" w:lineRule="exact"/>
        <w:jc w:val="left"/>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b/>
          <w:spacing w:val="-4"/>
          <w:sz w:val="24"/>
        </w:rPr>
        <w:t>（本评分索引表放在商务技术文件目录的前页，以方便评委进行评审)</w:t>
      </w:r>
    </w:p>
    <w:tbl>
      <w:tblPr>
        <w:tblStyle w:val="51"/>
        <w:tblW w:w="92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025"/>
        <w:gridCol w:w="1075"/>
        <w:gridCol w:w="1250"/>
        <w:gridCol w:w="272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32" w:type="dxa"/>
            <w:gridSpan w:val="2"/>
            <w:vAlign w:val="center"/>
          </w:tcPr>
          <w:p>
            <w:pPr>
              <w:widowControl/>
              <w:jc w:val="center"/>
              <w:rPr>
                <w:rFonts w:ascii="宋体" w:hAnsi="宋体"/>
                <w:szCs w:val="21"/>
              </w:rPr>
            </w:pPr>
            <w:r>
              <w:rPr>
                <w:rFonts w:hint="eastAsia" w:ascii="宋体" w:hAnsi="宋体"/>
                <w:szCs w:val="21"/>
              </w:rPr>
              <w:t>评标内容</w:t>
            </w:r>
          </w:p>
        </w:tc>
        <w:tc>
          <w:tcPr>
            <w:tcW w:w="1075" w:type="dxa"/>
            <w:vAlign w:val="center"/>
          </w:tcPr>
          <w:p>
            <w:pPr>
              <w:widowControl/>
              <w:jc w:val="center"/>
              <w:rPr>
                <w:rFonts w:ascii="宋体"/>
                <w:szCs w:val="21"/>
              </w:rPr>
            </w:pPr>
            <w:r>
              <w:rPr>
                <w:rFonts w:hint="eastAsia" w:ascii="宋体"/>
                <w:szCs w:val="21"/>
              </w:rPr>
              <w:t>分值</w:t>
            </w:r>
          </w:p>
        </w:tc>
        <w:tc>
          <w:tcPr>
            <w:tcW w:w="1250" w:type="dxa"/>
            <w:vAlign w:val="center"/>
          </w:tcPr>
          <w:p>
            <w:pPr>
              <w:widowControl/>
              <w:jc w:val="center"/>
              <w:rPr>
                <w:rFonts w:ascii="宋体"/>
                <w:szCs w:val="21"/>
              </w:rPr>
            </w:pPr>
            <w:r>
              <w:rPr>
                <w:rFonts w:hint="eastAsia" w:ascii="宋体" w:hAnsi="宋体"/>
                <w:szCs w:val="21"/>
              </w:rPr>
              <w:t>投标文件响应页码</w:t>
            </w:r>
          </w:p>
        </w:tc>
        <w:tc>
          <w:tcPr>
            <w:tcW w:w="2725" w:type="dxa"/>
            <w:vAlign w:val="center"/>
          </w:tcPr>
          <w:p>
            <w:pPr>
              <w:widowControl/>
              <w:jc w:val="center"/>
              <w:rPr>
                <w:rFonts w:ascii="宋体" w:hAnsi="宋体"/>
                <w:b/>
                <w:bCs/>
                <w:sz w:val="24"/>
                <w:u w:val="single"/>
              </w:rPr>
            </w:pPr>
            <w:r>
              <w:rPr>
                <w:rFonts w:hint="eastAsia" w:ascii="宋体" w:hAnsi="宋体"/>
                <w:b/>
                <w:bCs/>
                <w:sz w:val="24"/>
                <w:u w:val="single"/>
                <w:shd w:val="pct10" w:color="auto" w:fill="FFFFFF"/>
              </w:rPr>
              <w:t>需要说明内容</w:t>
            </w:r>
          </w:p>
        </w:tc>
        <w:tc>
          <w:tcPr>
            <w:tcW w:w="1706" w:type="dxa"/>
            <w:vAlign w:val="center"/>
          </w:tcPr>
          <w:p>
            <w:pPr>
              <w:widowControl/>
              <w:jc w:val="center"/>
              <w:rPr>
                <w:rFonts w:ascii="宋体" w:hAnsi="宋体"/>
                <w:b/>
                <w:bCs/>
                <w:sz w:val="24"/>
                <w:u w:val="single"/>
                <w:shd w:val="pct10" w:color="auto" w:fill="FFFFFF"/>
              </w:rPr>
            </w:pPr>
            <w:r>
              <w:rPr>
                <w:rFonts w:hint="eastAsia" w:ascii="宋体" w:hAnsi="宋体" w:cs="宋体"/>
                <w:b/>
                <w:bCs/>
                <w:kern w:val="0"/>
                <w:sz w:val="24"/>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7" w:type="dxa"/>
            <w:vAlign w:val="center"/>
          </w:tcPr>
          <w:p>
            <w:pPr>
              <w:jc w:val="center"/>
              <w:rPr>
                <w:rFonts w:ascii="宋体" w:hAnsi="宋体"/>
                <w:bCs/>
                <w:sz w:val="24"/>
              </w:rPr>
            </w:pPr>
            <w:r>
              <w:rPr>
                <w:rFonts w:hint="eastAsia" w:ascii="宋体" w:hAnsi="宋体" w:cs="宋体"/>
                <w:sz w:val="24"/>
              </w:rPr>
              <w:t>1</w:t>
            </w:r>
          </w:p>
        </w:tc>
        <w:tc>
          <w:tcPr>
            <w:tcW w:w="2025" w:type="dxa"/>
            <w:vAlign w:val="center"/>
          </w:tcPr>
          <w:p>
            <w:pPr>
              <w:snapToGrid w:val="0"/>
              <w:spacing w:line="380" w:lineRule="exact"/>
              <w:jc w:val="center"/>
              <w:rPr>
                <w:sz w:val="24"/>
              </w:rPr>
            </w:pPr>
            <w:r>
              <w:rPr>
                <w:rFonts w:hint="eastAsia" w:ascii="宋体" w:hAnsi="宋体" w:cs="宋体"/>
                <w:sz w:val="24"/>
              </w:rPr>
              <w:t>投标人综合实力</w:t>
            </w:r>
          </w:p>
        </w:tc>
        <w:tc>
          <w:tcPr>
            <w:tcW w:w="1075" w:type="dxa"/>
            <w:vAlign w:val="center"/>
          </w:tcPr>
          <w:p>
            <w:pPr>
              <w:snapToGrid w:val="0"/>
              <w:spacing w:line="380" w:lineRule="exact"/>
              <w:jc w:val="center"/>
              <w:rPr>
                <w:rFonts w:ascii="宋体"/>
                <w:sz w:val="24"/>
              </w:rPr>
            </w:pPr>
            <w:r>
              <w:rPr>
                <w:rFonts w:hint="eastAsia" w:ascii="宋体" w:hAnsi="宋体"/>
                <w:bCs/>
                <w:sz w:val="24"/>
              </w:rPr>
              <w:t>5</w:t>
            </w:r>
          </w:p>
        </w:tc>
        <w:tc>
          <w:tcPr>
            <w:tcW w:w="1250" w:type="dxa"/>
            <w:vAlign w:val="center"/>
          </w:tcPr>
          <w:p>
            <w:pPr>
              <w:jc w:val="center"/>
              <w:rPr>
                <w:rFonts w:ascii="宋体"/>
                <w:bCs/>
                <w:szCs w:val="21"/>
              </w:rPr>
            </w:pPr>
          </w:p>
        </w:tc>
        <w:tc>
          <w:tcPr>
            <w:tcW w:w="2725" w:type="dxa"/>
          </w:tcPr>
          <w:p>
            <w:pPr>
              <w:rPr>
                <w:rFonts w:ascii="宋体"/>
                <w:bCs/>
                <w:szCs w:val="21"/>
              </w:rPr>
            </w:pPr>
          </w:p>
        </w:tc>
        <w:tc>
          <w:tcPr>
            <w:tcW w:w="1706" w:type="dxa"/>
            <w:vAlign w:val="center"/>
          </w:tcPr>
          <w:p>
            <w:pPr>
              <w:jc w:val="center"/>
              <w:rPr>
                <w:rFonts w:ascii="宋体"/>
                <w:bCs/>
                <w:szCs w:val="21"/>
              </w:rPr>
            </w:pPr>
            <w:r>
              <w:rPr>
                <w:rFonts w:hint="eastAsia" w:asci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7" w:type="dxa"/>
            <w:vAlign w:val="center"/>
          </w:tcPr>
          <w:p>
            <w:pPr>
              <w:jc w:val="center"/>
              <w:rPr>
                <w:rFonts w:ascii="宋体" w:hAnsi="宋体"/>
                <w:bCs/>
                <w:sz w:val="24"/>
              </w:rPr>
            </w:pPr>
            <w:r>
              <w:rPr>
                <w:rFonts w:hint="eastAsia" w:ascii="宋体" w:hAnsi="宋体" w:cs="宋体"/>
                <w:sz w:val="24"/>
              </w:rPr>
              <w:t>2</w:t>
            </w:r>
          </w:p>
        </w:tc>
        <w:tc>
          <w:tcPr>
            <w:tcW w:w="2025" w:type="dxa"/>
            <w:vAlign w:val="center"/>
          </w:tcPr>
          <w:p>
            <w:pPr>
              <w:snapToGrid w:val="0"/>
              <w:spacing w:line="380" w:lineRule="exact"/>
              <w:jc w:val="center"/>
              <w:rPr>
                <w:rFonts w:ascii="宋体" w:hAnsi="宋体" w:cs="宋体"/>
                <w:kern w:val="0"/>
                <w:sz w:val="24"/>
              </w:rPr>
            </w:pPr>
            <w:r>
              <w:rPr>
                <w:rFonts w:hint="eastAsia" w:ascii="宋体" w:hAnsi="宋体"/>
                <w:bCs/>
                <w:sz w:val="24"/>
              </w:rPr>
              <w:t>企业认证</w:t>
            </w:r>
          </w:p>
        </w:tc>
        <w:tc>
          <w:tcPr>
            <w:tcW w:w="1075" w:type="dxa"/>
            <w:vAlign w:val="center"/>
          </w:tcPr>
          <w:p>
            <w:pPr>
              <w:snapToGrid w:val="0"/>
              <w:spacing w:line="380" w:lineRule="exact"/>
              <w:jc w:val="center"/>
              <w:rPr>
                <w:rFonts w:ascii="宋体" w:hAnsi="宋体"/>
                <w:sz w:val="24"/>
              </w:rPr>
            </w:pPr>
            <w:r>
              <w:rPr>
                <w:rFonts w:hint="eastAsia" w:ascii="宋体" w:hAnsi="宋体"/>
                <w:bCs/>
                <w:sz w:val="24"/>
              </w:rPr>
              <w:t>3</w:t>
            </w:r>
          </w:p>
        </w:tc>
        <w:tc>
          <w:tcPr>
            <w:tcW w:w="1250" w:type="dxa"/>
            <w:vAlign w:val="center"/>
          </w:tcPr>
          <w:p>
            <w:pPr>
              <w:jc w:val="center"/>
              <w:rPr>
                <w:rFonts w:ascii="宋体"/>
                <w:bCs/>
                <w:szCs w:val="21"/>
              </w:rPr>
            </w:pPr>
          </w:p>
        </w:tc>
        <w:tc>
          <w:tcPr>
            <w:tcW w:w="2725" w:type="dxa"/>
          </w:tcPr>
          <w:p>
            <w:pPr>
              <w:jc w:val="left"/>
              <w:rPr>
                <w:rFonts w:ascii="宋体"/>
                <w:bCs/>
                <w:szCs w:val="21"/>
              </w:rPr>
            </w:pPr>
            <w:r>
              <w:rPr>
                <w:rFonts w:hint="eastAsia" w:ascii="宋体"/>
                <w:b/>
                <w:bCs/>
                <w:szCs w:val="21"/>
                <w:shd w:val="pct10" w:color="auto" w:fill="FFFFFF"/>
              </w:rPr>
              <w:t>投标人务必将证书详细内容及应得分值填写上，以方便评委进行更加优质、高效的评审</w:t>
            </w:r>
          </w:p>
        </w:tc>
        <w:tc>
          <w:tcPr>
            <w:tcW w:w="1706" w:type="dxa"/>
          </w:tcPr>
          <w:p>
            <w:pPr>
              <w:jc w:val="left"/>
              <w:rPr>
                <w:rFonts w:ascii="宋体"/>
                <w:b/>
                <w:bCs/>
                <w:szCs w:val="21"/>
                <w:shd w:val="pct10" w:color="auto" w:fill="FFFFFF"/>
              </w:rPr>
            </w:pPr>
            <w:r>
              <w:rPr>
                <w:rFonts w:hint="eastAsia" w:ascii="宋体" w:hAnsi="宋体" w:cs="宋体"/>
                <w:b/>
                <w:bCs/>
                <w:kern w:val="0"/>
                <w:sz w:val="24"/>
                <w:shd w:val="pct10" w:color="auto" w:fill="FFFFFF"/>
              </w:rPr>
              <w:t>投标人将应得分值填写上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vAlign w:val="center"/>
          </w:tcPr>
          <w:p>
            <w:pPr>
              <w:jc w:val="center"/>
              <w:rPr>
                <w:rFonts w:ascii="宋体" w:hAnsi="宋体"/>
                <w:bCs/>
                <w:sz w:val="24"/>
              </w:rPr>
            </w:pPr>
            <w:r>
              <w:rPr>
                <w:rFonts w:hint="eastAsia" w:ascii="宋体" w:hAnsi="宋体" w:cs="宋体"/>
                <w:sz w:val="24"/>
              </w:rPr>
              <w:t>3</w:t>
            </w:r>
          </w:p>
        </w:tc>
        <w:tc>
          <w:tcPr>
            <w:tcW w:w="2025" w:type="dxa"/>
            <w:vAlign w:val="center"/>
          </w:tcPr>
          <w:p>
            <w:pPr>
              <w:pStyle w:val="30"/>
              <w:spacing w:before="120" w:after="120" w:line="360" w:lineRule="exact"/>
              <w:jc w:val="center"/>
            </w:pPr>
            <w:r>
              <w:rPr>
                <w:rFonts w:hint="eastAsia"/>
              </w:rPr>
              <w:t>投标人业绩</w:t>
            </w:r>
          </w:p>
        </w:tc>
        <w:tc>
          <w:tcPr>
            <w:tcW w:w="1075" w:type="dxa"/>
            <w:vAlign w:val="center"/>
          </w:tcPr>
          <w:p>
            <w:pPr>
              <w:spacing w:line="360" w:lineRule="exact"/>
              <w:jc w:val="center"/>
              <w:rPr>
                <w:rFonts w:ascii="宋体"/>
                <w:sz w:val="24"/>
              </w:rPr>
            </w:pPr>
            <w:r>
              <w:rPr>
                <w:rFonts w:hint="eastAsia" w:ascii="宋体" w:hAnsi="宋体"/>
                <w:bCs/>
                <w:sz w:val="24"/>
              </w:rPr>
              <w:t>3</w:t>
            </w:r>
          </w:p>
        </w:tc>
        <w:tc>
          <w:tcPr>
            <w:tcW w:w="1250" w:type="dxa"/>
            <w:vAlign w:val="center"/>
          </w:tcPr>
          <w:p>
            <w:pPr>
              <w:jc w:val="center"/>
              <w:rPr>
                <w:rFonts w:ascii="宋体"/>
                <w:bCs/>
                <w:szCs w:val="21"/>
              </w:rPr>
            </w:pPr>
          </w:p>
        </w:tc>
        <w:tc>
          <w:tcPr>
            <w:tcW w:w="2725" w:type="dxa"/>
          </w:tcPr>
          <w:p>
            <w:pPr>
              <w:jc w:val="left"/>
              <w:rPr>
                <w:rFonts w:ascii="宋体"/>
                <w:bCs/>
                <w:szCs w:val="21"/>
              </w:rPr>
            </w:pPr>
            <w:r>
              <w:rPr>
                <w:rFonts w:hint="eastAsia" w:ascii="宋体"/>
                <w:b/>
                <w:bCs/>
                <w:szCs w:val="21"/>
                <w:shd w:val="pct10" w:color="auto" w:fill="FFFFFF"/>
              </w:rPr>
              <w:t>投标人务必将证书详细内容及应得分值填写上，以方便评委进行更加优质、高效的评审</w:t>
            </w:r>
          </w:p>
        </w:tc>
        <w:tc>
          <w:tcPr>
            <w:tcW w:w="1706" w:type="dxa"/>
          </w:tcPr>
          <w:p>
            <w:pPr>
              <w:jc w:val="left"/>
              <w:rPr>
                <w:rFonts w:ascii="宋体"/>
                <w:b/>
                <w:bCs/>
                <w:szCs w:val="21"/>
                <w:shd w:val="pct10" w:color="auto" w:fill="FFFFFF"/>
              </w:rPr>
            </w:pPr>
            <w:r>
              <w:rPr>
                <w:rFonts w:hint="eastAsia" w:ascii="宋体" w:hAnsi="宋体" w:cs="宋体"/>
                <w:b/>
                <w:bCs/>
                <w:kern w:val="0"/>
                <w:sz w:val="24"/>
                <w:shd w:val="pct10" w:color="auto" w:fill="FFFFFF"/>
              </w:rPr>
              <w:t>投标人将应得分值填写上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7" w:type="dxa"/>
            <w:vAlign w:val="center"/>
          </w:tcPr>
          <w:p>
            <w:pPr>
              <w:jc w:val="center"/>
              <w:rPr>
                <w:rFonts w:ascii="宋体"/>
                <w:bCs/>
                <w:sz w:val="24"/>
              </w:rPr>
            </w:pPr>
            <w:r>
              <w:rPr>
                <w:rFonts w:hint="eastAsia" w:ascii="宋体" w:hAnsi="宋体" w:cs="宋体"/>
                <w:sz w:val="24"/>
              </w:rPr>
              <w:t>4</w:t>
            </w:r>
          </w:p>
        </w:tc>
        <w:tc>
          <w:tcPr>
            <w:tcW w:w="2025" w:type="dxa"/>
            <w:vAlign w:val="center"/>
          </w:tcPr>
          <w:p>
            <w:pPr>
              <w:pStyle w:val="30"/>
              <w:spacing w:before="120" w:after="120" w:line="360" w:lineRule="exact"/>
              <w:jc w:val="center"/>
            </w:pPr>
            <w:r>
              <w:rPr>
                <w:rFonts w:hint="eastAsia"/>
              </w:rPr>
              <w:t>项目团队</w:t>
            </w:r>
          </w:p>
        </w:tc>
        <w:tc>
          <w:tcPr>
            <w:tcW w:w="1075" w:type="dxa"/>
            <w:vAlign w:val="center"/>
          </w:tcPr>
          <w:p>
            <w:pPr>
              <w:pStyle w:val="30"/>
              <w:spacing w:before="120" w:after="120" w:line="360" w:lineRule="exact"/>
              <w:jc w:val="center"/>
            </w:pPr>
            <w:r>
              <w:rPr>
                <w:rFonts w:hint="eastAsia"/>
              </w:rPr>
              <w:t>4</w:t>
            </w:r>
          </w:p>
        </w:tc>
        <w:tc>
          <w:tcPr>
            <w:tcW w:w="1250" w:type="dxa"/>
            <w:vAlign w:val="center"/>
          </w:tcPr>
          <w:p>
            <w:pPr>
              <w:jc w:val="center"/>
              <w:rPr>
                <w:rFonts w:ascii="宋体"/>
                <w:bCs/>
                <w:szCs w:val="21"/>
              </w:rPr>
            </w:pPr>
          </w:p>
        </w:tc>
        <w:tc>
          <w:tcPr>
            <w:tcW w:w="2725" w:type="dxa"/>
          </w:tcPr>
          <w:p>
            <w:pPr>
              <w:jc w:val="left"/>
              <w:rPr>
                <w:rFonts w:ascii="宋体"/>
                <w:bCs/>
                <w:szCs w:val="21"/>
                <w:u w:val="single"/>
              </w:rPr>
            </w:pPr>
            <w:r>
              <w:rPr>
                <w:rFonts w:hint="eastAsia" w:ascii="宋体"/>
                <w:b/>
                <w:bCs/>
                <w:szCs w:val="21"/>
                <w:shd w:val="pct10" w:color="auto" w:fill="FFFFFF"/>
              </w:rPr>
              <w:t>投标人务必将证书详细内容及应得分值填写上，以方便评委进行更加优质、高效的评审</w:t>
            </w:r>
          </w:p>
        </w:tc>
        <w:tc>
          <w:tcPr>
            <w:tcW w:w="1706" w:type="dxa"/>
          </w:tcPr>
          <w:p>
            <w:pPr>
              <w:jc w:val="left"/>
              <w:rPr>
                <w:rFonts w:ascii="宋体"/>
                <w:b/>
                <w:bCs/>
                <w:szCs w:val="21"/>
                <w:shd w:val="pct10" w:color="auto" w:fill="FFFFFF"/>
              </w:rPr>
            </w:pPr>
            <w:r>
              <w:rPr>
                <w:rFonts w:hint="eastAsia" w:ascii="宋体" w:hAnsi="宋体" w:cs="宋体"/>
                <w:b/>
                <w:bCs/>
                <w:kern w:val="0"/>
                <w:sz w:val="24"/>
                <w:shd w:val="pct10" w:color="auto" w:fill="FFFFFF"/>
              </w:rPr>
              <w:t>投标人将应得分值填写上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07" w:type="dxa"/>
            <w:vAlign w:val="center"/>
          </w:tcPr>
          <w:p>
            <w:pPr>
              <w:jc w:val="center"/>
              <w:rPr>
                <w:rFonts w:ascii="宋体" w:hAnsi="宋体" w:cs="宋体"/>
                <w:kern w:val="0"/>
                <w:sz w:val="24"/>
              </w:rPr>
            </w:pPr>
            <w:r>
              <w:rPr>
                <w:rFonts w:hint="eastAsia" w:ascii="宋体" w:hAnsi="宋体" w:cs="宋体"/>
                <w:sz w:val="24"/>
              </w:rPr>
              <w:t>5</w:t>
            </w:r>
          </w:p>
        </w:tc>
        <w:tc>
          <w:tcPr>
            <w:tcW w:w="2025" w:type="dxa"/>
            <w:vAlign w:val="center"/>
          </w:tcPr>
          <w:p>
            <w:pPr>
              <w:pStyle w:val="30"/>
              <w:spacing w:before="120" w:after="120" w:line="360" w:lineRule="exact"/>
              <w:jc w:val="center"/>
              <w:rPr>
                <w:rFonts w:hAnsi="宋体"/>
              </w:rPr>
            </w:pPr>
            <w:r>
              <w:rPr>
                <w:rFonts w:hint="eastAsia" w:hAnsi="宋体"/>
              </w:rPr>
              <w:t>前期调研</w:t>
            </w:r>
          </w:p>
        </w:tc>
        <w:tc>
          <w:tcPr>
            <w:tcW w:w="1075" w:type="dxa"/>
            <w:vAlign w:val="center"/>
          </w:tcPr>
          <w:p>
            <w:pPr>
              <w:pStyle w:val="30"/>
              <w:spacing w:before="120" w:after="120" w:line="360" w:lineRule="exact"/>
              <w:jc w:val="center"/>
              <w:rPr>
                <w:rFonts w:hAnsi="宋体"/>
              </w:rPr>
            </w:pPr>
            <w:r>
              <w:rPr>
                <w:rFonts w:hint="eastAsia"/>
              </w:rPr>
              <w:t>4</w:t>
            </w:r>
          </w:p>
        </w:tc>
        <w:tc>
          <w:tcPr>
            <w:tcW w:w="1250" w:type="dxa"/>
            <w:vAlign w:val="center"/>
          </w:tcPr>
          <w:p>
            <w:pPr>
              <w:jc w:val="center"/>
              <w:rPr>
                <w:rFonts w:ascii="宋体"/>
                <w:bCs/>
                <w:szCs w:val="21"/>
              </w:rPr>
            </w:pPr>
          </w:p>
        </w:tc>
        <w:tc>
          <w:tcPr>
            <w:tcW w:w="2725" w:type="dxa"/>
            <w:vAlign w:val="center"/>
          </w:tcPr>
          <w:p>
            <w:pPr>
              <w:jc w:val="center"/>
              <w:rPr>
                <w:rFonts w:ascii="宋体"/>
                <w:b/>
                <w:bCs/>
                <w:szCs w:val="21"/>
                <w:shd w:val="pct10" w:color="auto" w:fill="FFFFFF"/>
              </w:rPr>
            </w:pPr>
            <w:r>
              <w:rPr>
                <w:rFonts w:hint="eastAsia" w:ascii="宋体"/>
                <w:b/>
                <w:bCs/>
                <w:szCs w:val="21"/>
                <w:shd w:val="pct10" w:color="auto" w:fill="FFFFFF"/>
              </w:rPr>
              <w:t>/</w:t>
            </w:r>
          </w:p>
        </w:tc>
        <w:tc>
          <w:tcPr>
            <w:tcW w:w="1706" w:type="dxa"/>
            <w:vAlign w:val="center"/>
          </w:tcPr>
          <w:p>
            <w:pPr>
              <w:jc w:val="center"/>
              <w:rPr>
                <w:rFonts w:ascii="宋体"/>
                <w:b/>
                <w:bCs/>
                <w:szCs w:val="21"/>
                <w:shd w:val="pct10" w:color="auto" w:fill="FFFFFF"/>
              </w:rPr>
            </w:pPr>
            <w:r>
              <w:rPr>
                <w:rFonts w:hint="eastAsia" w:ascii="宋体"/>
                <w:b/>
                <w:bCs/>
                <w:szCs w:val="21"/>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7" w:type="dxa"/>
            <w:vAlign w:val="center"/>
          </w:tcPr>
          <w:p>
            <w:pPr>
              <w:jc w:val="center"/>
              <w:rPr>
                <w:rFonts w:ascii="宋体" w:cs="宋体"/>
                <w:kern w:val="0"/>
                <w:sz w:val="24"/>
              </w:rPr>
            </w:pPr>
            <w:r>
              <w:rPr>
                <w:rFonts w:hint="eastAsia" w:ascii="宋体" w:hAnsi="宋体" w:cs="宋体"/>
                <w:sz w:val="24"/>
              </w:rPr>
              <w:t>6</w:t>
            </w:r>
          </w:p>
        </w:tc>
        <w:tc>
          <w:tcPr>
            <w:tcW w:w="2025" w:type="dxa"/>
            <w:vAlign w:val="center"/>
          </w:tcPr>
          <w:p>
            <w:pPr>
              <w:widowControl/>
              <w:spacing w:line="360" w:lineRule="exact"/>
              <w:jc w:val="center"/>
              <w:rPr>
                <w:sz w:val="24"/>
              </w:rPr>
            </w:pPr>
            <w:r>
              <w:rPr>
                <w:rFonts w:hint="eastAsia"/>
                <w:sz w:val="24"/>
              </w:rPr>
              <w:t>运行维护管理方案</w:t>
            </w:r>
          </w:p>
        </w:tc>
        <w:tc>
          <w:tcPr>
            <w:tcW w:w="1075" w:type="dxa"/>
            <w:vAlign w:val="center"/>
          </w:tcPr>
          <w:p>
            <w:pPr>
              <w:pStyle w:val="30"/>
              <w:spacing w:before="120" w:after="120" w:line="360" w:lineRule="exact"/>
              <w:jc w:val="center"/>
              <w:rPr>
                <w:rFonts w:hAnsi="宋体"/>
              </w:rPr>
            </w:pPr>
            <w:r>
              <w:rPr>
                <w:rFonts w:hint="eastAsia"/>
                <w:bCs/>
              </w:rPr>
              <w:t>26</w:t>
            </w:r>
          </w:p>
        </w:tc>
        <w:tc>
          <w:tcPr>
            <w:tcW w:w="1250" w:type="dxa"/>
            <w:vAlign w:val="center"/>
          </w:tcPr>
          <w:p>
            <w:pPr>
              <w:jc w:val="center"/>
              <w:rPr>
                <w:rFonts w:ascii="宋体"/>
                <w:bCs/>
                <w:szCs w:val="21"/>
              </w:rPr>
            </w:pPr>
          </w:p>
        </w:tc>
        <w:tc>
          <w:tcPr>
            <w:tcW w:w="2725" w:type="dxa"/>
            <w:vAlign w:val="center"/>
          </w:tcPr>
          <w:p>
            <w:pPr>
              <w:jc w:val="center"/>
              <w:rPr>
                <w:rFonts w:ascii="宋体"/>
                <w:b/>
                <w:bCs/>
                <w:szCs w:val="21"/>
                <w:shd w:val="pct10" w:color="auto" w:fill="FFFFFF"/>
              </w:rPr>
            </w:pPr>
            <w:r>
              <w:rPr>
                <w:rFonts w:hint="eastAsia" w:ascii="宋体"/>
                <w:b/>
                <w:bCs/>
                <w:szCs w:val="21"/>
                <w:shd w:val="pct10" w:color="auto" w:fill="FFFFFF"/>
              </w:rPr>
              <w:t>/</w:t>
            </w:r>
          </w:p>
        </w:tc>
        <w:tc>
          <w:tcPr>
            <w:tcW w:w="1706" w:type="dxa"/>
            <w:vAlign w:val="center"/>
          </w:tcPr>
          <w:p>
            <w:pPr>
              <w:jc w:val="center"/>
              <w:rPr>
                <w:rFonts w:ascii="宋体"/>
                <w:b/>
                <w:bCs/>
                <w:szCs w:val="21"/>
                <w:shd w:val="pct10" w:color="auto" w:fill="FFFFFF"/>
              </w:rPr>
            </w:pPr>
            <w:r>
              <w:rPr>
                <w:rFonts w:hint="eastAsia" w:ascii="宋体"/>
                <w:b/>
                <w:bCs/>
                <w:szCs w:val="21"/>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7" w:type="dxa"/>
            <w:vAlign w:val="center"/>
          </w:tcPr>
          <w:p>
            <w:pPr>
              <w:jc w:val="center"/>
              <w:rPr>
                <w:rFonts w:ascii="宋体" w:hAnsi="宋体" w:cs="宋体"/>
                <w:kern w:val="0"/>
                <w:sz w:val="24"/>
              </w:rPr>
            </w:pPr>
            <w:r>
              <w:rPr>
                <w:rFonts w:hint="eastAsia" w:ascii="宋体" w:hAnsi="宋体" w:cs="宋体"/>
                <w:sz w:val="24"/>
              </w:rPr>
              <w:t>7</w:t>
            </w:r>
          </w:p>
        </w:tc>
        <w:tc>
          <w:tcPr>
            <w:tcW w:w="2025"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售后服务</w:t>
            </w:r>
          </w:p>
          <w:p>
            <w:pPr>
              <w:widowControl/>
              <w:spacing w:line="360" w:lineRule="exact"/>
              <w:jc w:val="center"/>
              <w:rPr>
                <w:rFonts w:ascii="宋体" w:hAnsi="宋体" w:cs="宋体"/>
                <w:kern w:val="0"/>
                <w:sz w:val="24"/>
              </w:rPr>
            </w:pPr>
            <w:r>
              <w:rPr>
                <w:rFonts w:hint="eastAsia" w:ascii="宋体" w:hAnsi="宋体" w:cs="宋体"/>
                <w:kern w:val="0"/>
                <w:sz w:val="24"/>
              </w:rPr>
              <w:t>能力</w:t>
            </w:r>
          </w:p>
        </w:tc>
        <w:tc>
          <w:tcPr>
            <w:tcW w:w="1075" w:type="dxa"/>
            <w:vAlign w:val="center"/>
          </w:tcPr>
          <w:p>
            <w:pPr>
              <w:spacing w:line="360" w:lineRule="exact"/>
              <w:jc w:val="center"/>
              <w:rPr>
                <w:rFonts w:ascii="宋体" w:hAnsi="宋体"/>
                <w:sz w:val="24"/>
              </w:rPr>
            </w:pPr>
            <w:r>
              <w:rPr>
                <w:rFonts w:hint="eastAsia" w:ascii="宋体" w:hAnsi="宋体"/>
                <w:bCs/>
                <w:sz w:val="24"/>
              </w:rPr>
              <w:t>10</w:t>
            </w:r>
          </w:p>
        </w:tc>
        <w:tc>
          <w:tcPr>
            <w:tcW w:w="1250" w:type="dxa"/>
            <w:vAlign w:val="center"/>
          </w:tcPr>
          <w:p>
            <w:pPr>
              <w:jc w:val="center"/>
              <w:rPr>
                <w:rFonts w:ascii="宋体"/>
                <w:bCs/>
                <w:szCs w:val="21"/>
              </w:rPr>
            </w:pPr>
          </w:p>
        </w:tc>
        <w:tc>
          <w:tcPr>
            <w:tcW w:w="2725" w:type="dxa"/>
            <w:vAlign w:val="center"/>
          </w:tcPr>
          <w:p>
            <w:pPr>
              <w:jc w:val="center"/>
              <w:rPr>
                <w:rFonts w:ascii="宋体"/>
                <w:b/>
                <w:bCs/>
                <w:szCs w:val="21"/>
                <w:shd w:val="pct10" w:color="auto" w:fill="FFFFFF"/>
              </w:rPr>
            </w:pPr>
            <w:r>
              <w:rPr>
                <w:rFonts w:hint="eastAsia" w:ascii="宋体"/>
                <w:b/>
                <w:bCs/>
                <w:szCs w:val="21"/>
                <w:shd w:val="pct10" w:color="auto" w:fill="FFFFFF"/>
              </w:rPr>
              <w:t>/</w:t>
            </w:r>
          </w:p>
        </w:tc>
        <w:tc>
          <w:tcPr>
            <w:tcW w:w="1706" w:type="dxa"/>
            <w:vAlign w:val="center"/>
          </w:tcPr>
          <w:p>
            <w:pPr>
              <w:jc w:val="center"/>
              <w:rPr>
                <w:rFonts w:ascii="宋体"/>
                <w:b/>
                <w:bCs/>
                <w:szCs w:val="21"/>
                <w:shd w:val="pct10" w:color="auto" w:fill="FFFFFF"/>
              </w:rPr>
            </w:pPr>
            <w:r>
              <w:rPr>
                <w:rFonts w:hint="eastAsia" w:ascii="宋体"/>
                <w:b/>
                <w:bCs/>
                <w:szCs w:val="21"/>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07" w:type="dxa"/>
            <w:vAlign w:val="center"/>
          </w:tcPr>
          <w:p>
            <w:pPr>
              <w:jc w:val="center"/>
              <w:rPr>
                <w:rFonts w:ascii="宋体" w:hAnsi="宋体" w:cs="宋体"/>
                <w:sz w:val="24"/>
              </w:rPr>
            </w:pPr>
            <w:r>
              <w:rPr>
                <w:rFonts w:hint="eastAsia" w:ascii="宋体" w:hAnsi="宋体" w:cs="宋体"/>
                <w:sz w:val="24"/>
              </w:rPr>
              <w:t>8</w:t>
            </w:r>
          </w:p>
        </w:tc>
        <w:tc>
          <w:tcPr>
            <w:tcW w:w="2025" w:type="dxa"/>
            <w:vAlign w:val="center"/>
          </w:tcPr>
          <w:p>
            <w:pPr>
              <w:jc w:val="center"/>
              <w:rPr>
                <w:rFonts w:ascii="宋体" w:hAnsi="宋体" w:cs="宋体"/>
                <w:sz w:val="24"/>
              </w:rPr>
            </w:pPr>
            <w:r>
              <w:rPr>
                <w:rFonts w:hint="eastAsia" w:ascii="宋体" w:hAnsi="宋体" w:cs="宋体"/>
                <w:sz w:val="24"/>
              </w:rPr>
              <w:t>应急服务</w:t>
            </w:r>
          </w:p>
          <w:p>
            <w:pPr>
              <w:jc w:val="center"/>
              <w:rPr>
                <w:rFonts w:ascii="宋体" w:hAnsi="宋体" w:cs="宋体"/>
                <w:kern w:val="0"/>
                <w:sz w:val="24"/>
              </w:rPr>
            </w:pPr>
            <w:r>
              <w:rPr>
                <w:rFonts w:hint="eastAsia" w:ascii="宋体" w:hAnsi="宋体" w:cs="宋体"/>
                <w:sz w:val="24"/>
              </w:rPr>
              <w:t>方案</w:t>
            </w:r>
          </w:p>
        </w:tc>
        <w:tc>
          <w:tcPr>
            <w:tcW w:w="1075" w:type="dxa"/>
            <w:vAlign w:val="center"/>
          </w:tcPr>
          <w:p>
            <w:pPr>
              <w:spacing w:line="360" w:lineRule="exact"/>
              <w:jc w:val="center"/>
              <w:rPr>
                <w:rFonts w:ascii="宋体" w:hAnsi="宋体"/>
                <w:bCs/>
                <w:sz w:val="24"/>
              </w:rPr>
            </w:pPr>
            <w:r>
              <w:rPr>
                <w:rFonts w:hint="eastAsia" w:ascii="宋体" w:hAnsi="宋体"/>
                <w:bCs/>
                <w:sz w:val="24"/>
              </w:rPr>
              <w:t>6</w:t>
            </w:r>
          </w:p>
        </w:tc>
        <w:tc>
          <w:tcPr>
            <w:tcW w:w="1250" w:type="dxa"/>
            <w:vAlign w:val="center"/>
          </w:tcPr>
          <w:p>
            <w:pPr>
              <w:jc w:val="center"/>
              <w:rPr>
                <w:rFonts w:ascii="宋体"/>
                <w:bCs/>
                <w:szCs w:val="21"/>
              </w:rPr>
            </w:pPr>
          </w:p>
        </w:tc>
        <w:tc>
          <w:tcPr>
            <w:tcW w:w="2725" w:type="dxa"/>
            <w:vAlign w:val="center"/>
          </w:tcPr>
          <w:p>
            <w:pPr>
              <w:jc w:val="center"/>
              <w:rPr>
                <w:rFonts w:ascii="宋体"/>
                <w:b/>
                <w:bCs/>
                <w:szCs w:val="21"/>
                <w:shd w:val="pct10" w:color="auto" w:fill="FFFFFF"/>
              </w:rPr>
            </w:pPr>
            <w:r>
              <w:rPr>
                <w:rFonts w:hint="eastAsia" w:ascii="宋体"/>
                <w:b/>
                <w:bCs/>
                <w:szCs w:val="21"/>
                <w:shd w:val="pct10" w:color="auto" w:fill="FFFFFF"/>
              </w:rPr>
              <w:t>/</w:t>
            </w:r>
          </w:p>
        </w:tc>
        <w:tc>
          <w:tcPr>
            <w:tcW w:w="1706" w:type="dxa"/>
            <w:vAlign w:val="center"/>
          </w:tcPr>
          <w:p>
            <w:pPr>
              <w:jc w:val="center"/>
              <w:rPr>
                <w:rFonts w:ascii="宋体"/>
                <w:b/>
                <w:bCs/>
                <w:szCs w:val="21"/>
                <w:shd w:val="pct10" w:color="auto" w:fill="FFFFFF"/>
              </w:rPr>
            </w:pPr>
            <w:r>
              <w:rPr>
                <w:rFonts w:hint="eastAsia" w:ascii="宋体"/>
                <w:b/>
                <w:bCs/>
                <w:szCs w:val="21"/>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07" w:type="dxa"/>
            <w:vAlign w:val="center"/>
          </w:tcPr>
          <w:p>
            <w:pPr>
              <w:jc w:val="center"/>
              <w:rPr>
                <w:rFonts w:ascii="宋体" w:hAnsi="宋体" w:cs="宋体"/>
                <w:sz w:val="24"/>
              </w:rPr>
            </w:pPr>
            <w:r>
              <w:rPr>
                <w:rFonts w:hint="eastAsia" w:ascii="宋体" w:hAnsi="宋体" w:cs="宋体"/>
                <w:sz w:val="24"/>
              </w:rPr>
              <w:t>9</w:t>
            </w:r>
          </w:p>
        </w:tc>
        <w:tc>
          <w:tcPr>
            <w:tcW w:w="2025" w:type="dxa"/>
            <w:vAlign w:val="center"/>
          </w:tcPr>
          <w:p>
            <w:pPr>
              <w:jc w:val="center"/>
              <w:rPr>
                <w:rFonts w:ascii="宋体" w:hAnsi="宋体" w:cs="宋体"/>
                <w:kern w:val="0"/>
                <w:sz w:val="24"/>
              </w:rPr>
            </w:pPr>
            <w:r>
              <w:rPr>
                <w:rFonts w:hint="eastAsia" w:ascii="宋体" w:hAnsi="宋体" w:cs="宋体"/>
                <w:sz w:val="24"/>
              </w:rPr>
              <w:t>重难点分析</w:t>
            </w:r>
          </w:p>
        </w:tc>
        <w:tc>
          <w:tcPr>
            <w:tcW w:w="1075" w:type="dxa"/>
            <w:vAlign w:val="center"/>
          </w:tcPr>
          <w:p>
            <w:pPr>
              <w:spacing w:line="360" w:lineRule="exact"/>
              <w:jc w:val="center"/>
              <w:rPr>
                <w:rFonts w:ascii="宋体" w:hAnsi="宋体"/>
                <w:bCs/>
                <w:sz w:val="24"/>
              </w:rPr>
            </w:pPr>
            <w:r>
              <w:rPr>
                <w:rFonts w:hint="eastAsia" w:ascii="宋体" w:hAnsi="宋体"/>
                <w:bCs/>
                <w:sz w:val="24"/>
              </w:rPr>
              <w:t>6</w:t>
            </w:r>
          </w:p>
        </w:tc>
        <w:tc>
          <w:tcPr>
            <w:tcW w:w="1250" w:type="dxa"/>
            <w:vAlign w:val="center"/>
          </w:tcPr>
          <w:p>
            <w:pPr>
              <w:jc w:val="center"/>
              <w:rPr>
                <w:rFonts w:ascii="宋体"/>
                <w:bCs/>
                <w:szCs w:val="21"/>
              </w:rPr>
            </w:pPr>
          </w:p>
        </w:tc>
        <w:tc>
          <w:tcPr>
            <w:tcW w:w="2725" w:type="dxa"/>
            <w:vAlign w:val="center"/>
          </w:tcPr>
          <w:p>
            <w:pPr>
              <w:jc w:val="center"/>
              <w:rPr>
                <w:rFonts w:ascii="宋体"/>
                <w:b/>
                <w:bCs/>
                <w:szCs w:val="21"/>
                <w:shd w:val="pct10" w:color="auto" w:fill="FFFFFF"/>
              </w:rPr>
            </w:pPr>
            <w:r>
              <w:rPr>
                <w:rFonts w:hint="eastAsia" w:ascii="宋体"/>
                <w:b/>
                <w:bCs/>
                <w:szCs w:val="21"/>
                <w:shd w:val="pct10" w:color="auto" w:fill="FFFFFF"/>
              </w:rPr>
              <w:t>/</w:t>
            </w:r>
          </w:p>
        </w:tc>
        <w:tc>
          <w:tcPr>
            <w:tcW w:w="1706" w:type="dxa"/>
            <w:vAlign w:val="center"/>
          </w:tcPr>
          <w:p>
            <w:pPr>
              <w:jc w:val="center"/>
              <w:rPr>
                <w:rFonts w:ascii="宋体"/>
                <w:b/>
                <w:bCs/>
                <w:szCs w:val="21"/>
                <w:shd w:val="pct10" w:color="auto" w:fill="FFFFFF"/>
              </w:rPr>
            </w:pPr>
            <w:r>
              <w:rPr>
                <w:rFonts w:hint="eastAsia" w:ascii="宋体"/>
                <w:b/>
                <w:bCs/>
                <w:szCs w:val="21"/>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07" w:type="dxa"/>
            <w:vAlign w:val="center"/>
          </w:tcPr>
          <w:p>
            <w:pPr>
              <w:jc w:val="center"/>
              <w:rPr>
                <w:rFonts w:ascii="宋体" w:hAnsi="宋体" w:cs="宋体"/>
                <w:sz w:val="24"/>
              </w:rPr>
            </w:pPr>
            <w:r>
              <w:rPr>
                <w:rFonts w:hint="eastAsia" w:ascii="宋体" w:hAnsi="宋体" w:cs="宋体"/>
                <w:sz w:val="24"/>
              </w:rPr>
              <w:t>10</w:t>
            </w:r>
          </w:p>
        </w:tc>
        <w:tc>
          <w:tcPr>
            <w:tcW w:w="2025" w:type="dxa"/>
            <w:vAlign w:val="center"/>
          </w:tcPr>
          <w:p>
            <w:pPr>
              <w:jc w:val="center"/>
              <w:rPr>
                <w:rFonts w:ascii="宋体" w:hAnsi="宋体" w:cs="宋体"/>
                <w:kern w:val="0"/>
                <w:sz w:val="24"/>
              </w:rPr>
            </w:pPr>
            <w:r>
              <w:rPr>
                <w:rFonts w:hint="eastAsia" w:ascii="宋体" w:hAnsi="宋体" w:cs="宋体"/>
                <w:sz w:val="24"/>
              </w:rPr>
              <w:t>合理化建议</w:t>
            </w:r>
          </w:p>
        </w:tc>
        <w:tc>
          <w:tcPr>
            <w:tcW w:w="1075" w:type="dxa"/>
            <w:vAlign w:val="center"/>
          </w:tcPr>
          <w:p>
            <w:pPr>
              <w:spacing w:line="360" w:lineRule="exact"/>
              <w:jc w:val="center"/>
              <w:rPr>
                <w:rFonts w:ascii="宋体" w:hAnsi="宋体"/>
                <w:bCs/>
                <w:sz w:val="24"/>
              </w:rPr>
            </w:pPr>
            <w:r>
              <w:rPr>
                <w:rFonts w:hint="eastAsia" w:ascii="宋体" w:hAnsi="宋体"/>
                <w:bCs/>
                <w:sz w:val="24"/>
              </w:rPr>
              <w:t>3</w:t>
            </w:r>
          </w:p>
        </w:tc>
        <w:tc>
          <w:tcPr>
            <w:tcW w:w="1250" w:type="dxa"/>
            <w:vAlign w:val="center"/>
          </w:tcPr>
          <w:p>
            <w:pPr>
              <w:jc w:val="center"/>
              <w:rPr>
                <w:rFonts w:ascii="宋体"/>
                <w:bCs/>
                <w:szCs w:val="21"/>
              </w:rPr>
            </w:pPr>
          </w:p>
        </w:tc>
        <w:tc>
          <w:tcPr>
            <w:tcW w:w="2725" w:type="dxa"/>
            <w:vAlign w:val="center"/>
          </w:tcPr>
          <w:p>
            <w:pPr>
              <w:jc w:val="center"/>
              <w:rPr>
                <w:rFonts w:ascii="宋体"/>
                <w:b/>
                <w:bCs/>
                <w:szCs w:val="21"/>
                <w:shd w:val="pct10" w:color="auto" w:fill="FFFFFF"/>
              </w:rPr>
            </w:pPr>
            <w:r>
              <w:rPr>
                <w:rFonts w:hint="eastAsia" w:ascii="宋体"/>
                <w:b/>
                <w:bCs/>
                <w:szCs w:val="21"/>
                <w:shd w:val="pct10" w:color="auto" w:fill="FFFFFF"/>
              </w:rPr>
              <w:t>/</w:t>
            </w:r>
          </w:p>
        </w:tc>
        <w:tc>
          <w:tcPr>
            <w:tcW w:w="1706" w:type="dxa"/>
            <w:vAlign w:val="center"/>
          </w:tcPr>
          <w:p>
            <w:pPr>
              <w:jc w:val="center"/>
              <w:rPr>
                <w:rFonts w:ascii="宋体"/>
                <w:b/>
                <w:bCs/>
                <w:szCs w:val="21"/>
                <w:shd w:val="pct10" w:color="auto" w:fill="FFFFFF"/>
              </w:rPr>
            </w:pPr>
            <w:r>
              <w:rPr>
                <w:rFonts w:hint="eastAsia" w:ascii="宋体"/>
                <w:b/>
                <w:bCs/>
                <w:szCs w:val="21"/>
                <w:shd w:val="pct10"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32" w:type="dxa"/>
            <w:gridSpan w:val="2"/>
            <w:vAlign w:val="center"/>
          </w:tcPr>
          <w:p>
            <w:pPr>
              <w:jc w:val="center"/>
              <w:rPr>
                <w:rFonts w:ascii="宋体"/>
                <w:sz w:val="24"/>
              </w:rPr>
            </w:pPr>
            <w:r>
              <w:rPr>
                <w:rFonts w:hint="eastAsia" w:ascii="宋体" w:hAnsi="宋体"/>
                <w:sz w:val="24"/>
              </w:rPr>
              <w:t>合计</w:t>
            </w:r>
          </w:p>
        </w:tc>
        <w:tc>
          <w:tcPr>
            <w:tcW w:w="1075" w:type="dxa"/>
            <w:vAlign w:val="center"/>
          </w:tcPr>
          <w:p>
            <w:pPr>
              <w:jc w:val="center"/>
              <w:rPr>
                <w:rFonts w:ascii="宋体"/>
                <w:sz w:val="24"/>
              </w:rPr>
            </w:pPr>
            <w:r>
              <w:rPr>
                <w:rFonts w:hint="eastAsia" w:ascii="宋体"/>
                <w:sz w:val="24"/>
              </w:rPr>
              <w:t>70</w:t>
            </w:r>
          </w:p>
        </w:tc>
        <w:tc>
          <w:tcPr>
            <w:tcW w:w="1250" w:type="dxa"/>
            <w:vAlign w:val="center"/>
          </w:tcPr>
          <w:p>
            <w:pPr>
              <w:jc w:val="center"/>
              <w:rPr>
                <w:rFonts w:ascii="宋体"/>
                <w:bCs/>
                <w:szCs w:val="21"/>
                <w:lang w:val="zh-CN"/>
              </w:rPr>
            </w:pPr>
          </w:p>
        </w:tc>
        <w:tc>
          <w:tcPr>
            <w:tcW w:w="2725" w:type="dxa"/>
          </w:tcPr>
          <w:p>
            <w:pPr>
              <w:snapToGrid w:val="0"/>
              <w:rPr>
                <w:rFonts w:ascii="宋体"/>
                <w:bCs/>
                <w:szCs w:val="21"/>
                <w:lang w:val="zh-CN"/>
              </w:rPr>
            </w:pPr>
          </w:p>
        </w:tc>
        <w:tc>
          <w:tcPr>
            <w:tcW w:w="1706" w:type="dxa"/>
          </w:tcPr>
          <w:p>
            <w:pPr>
              <w:snapToGrid w:val="0"/>
              <w:rPr>
                <w:rFonts w:ascii="宋体"/>
                <w:bCs/>
                <w:szCs w:val="21"/>
                <w:lang w:val="zh-CN"/>
              </w:rPr>
            </w:pPr>
          </w:p>
        </w:tc>
      </w:tr>
    </w:tbl>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pPr>
        <w:adjustRightInd w:val="0"/>
        <w:spacing w:line="240" w:lineRule="atLeast"/>
        <w:jc w:val="center"/>
        <w:outlineLvl w:val="0"/>
        <w:rPr>
          <w:rFonts w:asciiTheme="minorEastAsia" w:hAnsiTheme="minorEastAsia" w:eastAsiaTheme="minorEastAsia" w:cstheme="minorEastAsia"/>
          <w:b/>
          <w:sz w:val="30"/>
          <w:szCs w:val="30"/>
        </w:rPr>
      </w:pPr>
      <w:bookmarkStart w:id="47" w:name="_Toc12005"/>
      <w:r>
        <w:rPr>
          <w:rFonts w:hint="eastAsia" w:asciiTheme="minorEastAsia" w:hAnsiTheme="minorEastAsia" w:eastAsiaTheme="minorEastAsia" w:cstheme="minorEastAsia"/>
          <w:b/>
          <w:sz w:val="30"/>
          <w:szCs w:val="30"/>
        </w:rPr>
        <w:t>第五章  合同主要条款</w:t>
      </w:r>
      <w:bookmarkEnd w:id="47"/>
    </w:p>
    <w:p>
      <w:pPr>
        <w:snapToGrid w:val="0"/>
        <w:spacing w:line="440" w:lineRule="exact"/>
        <w:rPr>
          <w:rFonts w:ascii="宋体" w:hAnsi="宋体"/>
          <w:kern w:val="0"/>
          <w:sz w:val="24"/>
        </w:rPr>
      </w:pPr>
      <w:bookmarkStart w:id="48" w:name="_Hlk53062102"/>
      <w:bookmarkStart w:id="49" w:name="_Toc466534751"/>
    </w:p>
    <w:p>
      <w:pPr>
        <w:snapToGrid w:val="0"/>
        <w:spacing w:line="440" w:lineRule="exact"/>
        <w:rPr>
          <w:rFonts w:ascii="宋体" w:hAnsi="宋体"/>
          <w:kern w:val="0"/>
          <w:sz w:val="24"/>
        </w:rPr>
      </w:pPr>
      <w:r>
        <w:rPr>
          <w:rFonts w:hint="eastAsia" w:ascii="宋体" w:hAnsi="宋体"/>
          <w:kern w:val="0"/>
          <w:sz w:val="24"/>
        </w:rPr>
        <w:t xml:space="preserve">项目名称：                                  </w:t>
      </w:r>
    </w:p>
    <w:p>
      <w:pPr>
        <w:snapToGrid w:val="0"/>
        <w:spacing w:line="440" w:lineRule="exact"/>
        <w:rPr>
          <w:rFonts w:ascii="宋体" w:hAnsi="宋体"/>
          <w:kern w:val="0"/>
          <w:sz w:val="24"/>
        </w:rPr>
      </w:pPr>
      <w:r>
        <w:rPr>
          <w:rFonts w:hint="eastAsia" w:ascii="宋体" w:hAnsi="宋体"/>
          <w:kern w:val="0"/>
          <w:sz w:val="24"/>
        </w:rPr>
        <w:t>甲方：（采购方）                              乙方：（供应商）</w:t>
      </w:r>
    </w:p>
    <w:p>
      <w:pPr>
        <w:snapToGrid w:val="0"/>
        <w:spacing w:line="440" w:lineRule="exact"/>
        <w:rPr>
          <w:rFonts w:ascii="宋体" w:hAnsi="宋体"/>
          <w:kern w:val="0"/>
          <w:sz w:val="24"/>
        </w:rPr>
      </w:pPr>
      <w:r>
        <w:rPr>
          <w:rFonts w:hint="eastAsia" w:ascii="宋体" w:hAnsi="宋体"/>
          <w:kern w:val="0"/>
          <w:sz w:val="24"/>
        </w:rPr>
        <w:t>鉴证方：采购代理机构</w:t>
      </w:r>
    </w:p>
    <w:p>
      <w:pPr>
        <w:snapToGrid w:val="0"/>
        <w:spacing w:line="440" w:lineRule="exact"/>
        <w:ind w:firstLine="480" w:firstLineChars="200"/>
        <w:rPr>
          <w:rFonts w:ascii="宋体" w:hAnsi="宋体"/>
          <w:b/>
          <w:kern w:val="0"/>
          <w:sz w:val="24"/>
        </w:rPr>
      </w:pPr>
      <w:r>
        <w:rPr>
          <w:rFonts w:hint="eastAsia" w:ascii="宋体" w:hAnsi="宋体"/>
          <w:kern w:val="0"/>
          <w:sz w:val="24"/>
        </w:rPr>
        <w:t>甲、乙双方根据《中华人民共和国政府采购法》、《中华人民共和国民法典》和_______________________项目招标文件的相关规定，双方达成一致签署本合同。</w:t>
      </w:r>
    </w:p>
    <w:p>
      <w:pPr>
        <w:numPr>
          <w:ilvl w:val="0"/>
          <w:numId w:val="4"/>
        </w:numPr>
        <w:snapToGrid w:val="0"/>
        <w:spacing w:line="480" w:lineRule="exact"/>
        <w:rPr>
          <w:rFonts w:ascii="宋体" w:hAnsi="宋体" w:cs="宋体"/>
          <w:b/>
          <w:bCs/>
          <w:sz w:val="24"/>
        </w:rPr>
      </w:pPr>
      <w:r>
        <w:rPr>
          <w:rFonts w:hint="eastAsia" w:ascii="宋体" w:hAnsi="宋体" w:cs="宋体"/>
          <w:b/>
          <w:bCs/>
          <w:sz w:val="24"/>
        </w:rPr>
        <w:t>服务内容及标准</w:t>
      </w:r>
    </w:p>
    <w:p>
      <w:pPr>
        <w:snapToGrid w:val="0"/>
        <w:spacing w:line="480" w:lineRule="exact"/>
        <w:ind w:left="480"/>
        <w:rPr>
          <w:rFonts w:ascii="宋体" w:hAnsi="宋体" w:cs="宋体"/>
          <w:sz w:val="24"/>
        </w:rPr>
      </w:pPr>
      <w:r>
        <w:rPr>
          <w:rFonts w:hint="eastAsia" w:ascii="宋体" w:hAnsi="宋体" w:cs="宋体"/>
          <w:sz w:val="24"/>
        </w:rPr>
        <w:t>（按采购需求及投标文件的内容填写）</w:t>
      </w:r>
    </w:p>
    <w:p>
      <w:pPr>
        <w:numPr>
          <w:ilvl w:val="0"/>
          <w:numId w:val="4"/>
        </w:numPr>
        <w:snapToGrid w:val="0"/>
        <w:spacing w:line="480" w:lineRule="exact"/>
        <w:rPr>
          <w:rFonts w:ascii="宋体" w:hAnsi="宋体" w:cs="宋体"/>
          <w:b/>
          <w:bCs/>
          <w:sz w:val="24"/>
        </w:rPr>
      </w:pPr>
      <w:r>
        <w:rPr>
          <w:rFonts w:hint="eastAsia" w:ascii="宋体" w:hAnsi="宋体" w:cs="宋体"/>
          <w:b/>
          <w:bCs/>
          <w:sz w:val="24"/>
        </w:rPr>
        <w:t>服务价格</w:t>
      </w:r>
    </w:p>
    <w:p>
      <w:pPr>
        <w:snapToGrid w:val="0"/>
        <w:spacing w:line="480" w:lineRule="exact"/>
        <w:ind w:left="480"/>
        <w:rPr>
          <w:rFonts w:ascii="宋体" w:hAnsi="宋体" w:cs="宋体"/>
          <w:sz w:val="24"/>
        </w:rPr>
      </w:pPr>
      <w:r>
        <w:rPr>
          <w:rFonts w:hint="eastAsia" w:ascii="宋体" w:hAnsi="宋体" w:cs="宋体"/>
          <w:sz w:val="24"/>
        </w:rPr>
        <w:t>（有服务分项的，需报分项价格和总价）</w:t>
      </w:r>
    </w:p>
    <w:p>
      <w:pPr>
        <w:numPr>
          <w:ilvl w:val="0"/>
          <w:numId w:val="4"/>
        </w:numPr>
        <w:snapToGrid w:val="0"/>
        <w:spacing w:line="480" w:lineRule="exact"/>
        <w:rPr>
          <w:b/>
          <w:sz w:val="24"/>
        </w:rPr>
      </w:pPr>
      <w:r>
        <w:rPr>
          <w:rFonts w:hint="eastAsia"/>
          <w:b/>
          <w:sz w:val="24"/>
        </w:rPr>
        <w:t>组成合同的文件</w:t>
      </w:r>
    </w:p>
    <w:p>
      <w:pPr>
        <w:spacing w:line="360" w:lineRule="auto"/>
        <w:ind w:firstLine="480" w:firstLineChars="200"/>
        <w:rPr>
          <w:rFonts w:ascii="宋体" w:hAnsi="宋体"/>
          <w:sz w:val="24"/>
        </w:rPr>
      </w:pPr>
      <w:r>
        <w:rPr>
          <w:rFonts w:hint="eastAsia" w:ascii="宋体" w:hAnsi="宋体"/>
          <w:sz w:val="24"/>
        </w:rPr>
        <w:t>1、本合同协议书</w:t>
      </w:r>
    </w:p>
    <w:p>
      <w:pPr>
        <w:spacing w:line="360" w:lineRule="auto"/>
        <w:ind w:firstLine="480" w:firstLineChars="200"/>
        <w:rPr>
          <w:rFonts w:ascii="宋体" w:hAnsi="宋体"/>
          <w:sz w:val="24"/>
        </w:rPr>
      </w:pPr>
      <w:r>
        <w:rPr>
          <w:rFonts w:hint="eastAsia" w:ascii="宋体" w:hAnsi="宋体"/>
          <w:sz w:val="24"/>
        </w:rPr>
        <w:t>2、成交通知书</w:t>
      </w:r>
    </w:p>
    <w:p>
      <w:pPr>
        <w:spacing w:line="360" w:lineRule="auto"/>
        <w:ind w:firstLine="480" w:firstLineChars="200"/>
        <w:rPr>
          <w:rFonts w:ascii="宋体" w:hAnsi="宋体"/>
          <w:sz w:val="24"/>
        </w:rPr>
      </w:pPr>
      <w:r>
        <w:rPr>
          <w:rFonts w:hint="eastAsia" w:ascii="宋体" w:hAnsi="宋体"/>
          <w:sz w:val="24"/>
        </w:rPr>
        <w:t>3、招标文件</w:t>
      </w:r>
    </w:p>
    <w:p>
      <w:pPr>
        <w:spacing w:line="360" w:lineRule="auto"/>
        <w:ind w:firstLine="480" w:firstLineChars="200"/>
        <w:rPr>
          <w:rFonts w:ascii="宋体" w:hAnsi="宋体"/>
          <w:sz w:val="24"/>
        </w:rPr>
      </w:pPr>
      <w:r>
        <w:rPr>
          <w:rFonts w:hint="eastAsia" w:ascii="宋体" w:hAnsi="宋体"/>
          <w:sz w:val="24"/>
        </w:rPr>
        <w:t>4、投标书及其附件</w:t>
      </w:r>
    </w:p>
    <w:p>
      <w:pPr>
        <w:spacing w:line="360" w:lineRule="auto"/>
        <w:ind w:firstLine="480" w:firstLineChars="200"/>
        <w:rPr>
          <w:rFonts w:ascii="宋体" w:hAnsi="宋体"/>
          <w:sz w:val="24"/>
        </w:rPr>
      </w:pPr>
      <w:r>
        <w:rPr>
          <w:rFonts w:hint="eastAsia" w:ascii="宋体" w:hAnsi="宋体"/>
          <w:sz w:val="24"/>
        </w:rPr>
        <w:t>5、本合同附录（如有）</w:t>
      </w:r>
    </w:p>
    <w:p>
      <w:pPr>
        <w:spacing w:line="360" w:lineRule="auto"/>
        <w:ind w:firstLine="480" w:firstLineChars="200"/>
        <w:rPr>
          <w:rFonts w:ascii="宋体" w:hAnsi="宋体"/>
          <w:sz w:val="24"/>
        </w:rPr>
      </w:pPr>
      <w:r>
        <w:rPr>
          <w:rFonts w:hint="eastAsia" w:ascii="宋体" w:hAnsi="宋体"/>
          <w:sz w:val="24"/>
        </w:rPr>
        <w:t>6、标准、规范及有关技术文件</w:t>
      </w:r>
    </w:p>
    <w:p>
      <w:pPr>
        <w:spacing w:line="360" w:lineRule="auto"/>
        <w:ind w:firstLine="480" w:firstLineChars="200"/>
        <w:rPr>
          <w:rFonts w:ascii="宋体" w:hAnsi="宋体"/>
          <w:sz w:val="24"/>
        </w:rPr>
      </w:pPr>
      <w:r>
        <w:rPr>
          <w:rFonts w:hint="eastAsia" w:ascii="宋体" w:hAnsi="宋体"/>
          <w:sz w:val="24"/>
        </w:rPr>
        <w:t>7、报价单或预算书</w:t>
      </w:r>
    </w:p>
    <w:p>
      <w:pPr>
        <w:snapToGrid w:val="0"/>
        <w:spacing w:line="480" w:lineRule="exact"/>
        <w:ind w:left="480"/>
        <w:rPr>
          <w:rFonts w:ascii="宋体" w:hAnsi="宋体" w:cs="宋体"/>
          <w:sz w:val="24"/>
        </w:rPr>
      </w:pPr>
      <w:r>
        <w:rPr>
          <w:rFonts w:hint="eastAsia" w:ascii="宋体" w:hAnsi="宋体" w:cs="宋体"/>
          <w:sz w:val="24"/>
        </w:rPr>
        <w:t>双方有关事项的洽商、变更等书面协议或文件视为本合同的组成部分。</w:t>
      </w:r>
    </w:p>
    <w:p>
      <w:pPr>
        <w:snapToGrid w:val="0"/>
        <w:spacing w:line="480" w:lineRule="exact"/>
        <w:ind w:firstLine="482" w:firstLineChars="200"/>
        <w:rPr>
          <w:rFonts w:ascii="宋体" w:hAnsi="宋体" w:cs="宋体"/>
          <w:b/>
          <w:bCs/>
          <w:sz w:val="24"/>
        </w:rPr>
      </w:pPr>
      <w:r>
        <w:rPr>
          <w:rFonts w:hint="eastAsia" w:ascii="宋体" w:hAnsi="宋体" w:cs="宋体"/>
          <w:b/>
          <w:bCs/>
          <w:sz w:val="24"/>
        </w:rPr>
        <w:t>四、技术资料</w:t>
      </w:r>
    </w:p>
    <w:p>
      <w:pPr>
        <w:snapToGrid w:val="0"/>
        <w:spacing w:line="480" w:lineRule="exact"/>
        <w:ind w:firstLine="480" w:firstLineChars="200"/>
        <w:rPr>
          <w:rFonts w:ascii="宋体" w:hAnsi="宋体" w:cs="宋体"/>
          <w:sz w:val="24"/>
        </w:rPr>
      </w:pPr>
      <w:r>
        <w:rPr>
          <w:rFonts w:hint="eastAsia" w:ascii="宋体" w:hAnsi="宋体" w:cs="宋体"/>
          <w:sz w:val="24"/>
        </w:rPr>
        <w:t>1.乙方应按采购文件规定的时间向甲方提供与本项目有关的技术资料。</w:t>
      </w:r>
    </w:p>
    <w:p>
      <w:pPr>
        <w:snapToGrid w:val="0"/>
        <w:spacing w:line="480" w:lineRule="exact"/>
        <w:ind w:firstLine="480" w:firstLineChars="200"/>
        <w:rPr>
          <w:rFonts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80" w:lineRule="exact"/>
        <w:ind w:firstLine="482" w:firstLineChars="200"/>
        <w:rPr>
          <w:rFonts w:ascii="宋体" w:hAnsi="宋体" w:cs="宋体"/>
          <w:b/>
          <w:bCs/>
          <w:sz w:val="24"/>
        </w:rPr>
      </w:pPr>
      <w:r>
        <w:rPr>
          <w:rFonts w:hint="eastAsia" w:ascii="宋体" w:hAnsi="宋体" w:cs="宋体"/>
          <w:b/>
          <w:bCs/>
          <w:sz w:val="24"/>
        </w:rPr>
        <w:t>五、知识产权</w:t>
      </w:r>
    </w:p>
    <w:p>
      <w:pPr>
        <w:snapToGrid w:val="0"/>
        <w:spacing w:line="480" w:lineRule="exact"/>
        <w:ind w:firstLine="480" w:firstLineChars="200"/>
        <w:rPr>
          <w:rFonts w:ascii="宋体" w:hAnsi="宋体" w:cs="宋体"/>
          <w:sz w:val="24"/>
        </w:rPr>
      </w:pPr>
      <w:r>
        <w:rPr>
          <w:rFonts w:hint="eastAsia" w:ascii="宋体" w:hAnsi="宋体" w:cs="宋体"/>
          <w:sz w:val="24"/>
        </w:rPr>
        <w:t>1、乙方应保证所提供的货物与服务均不会侵犯任何第三方的知识产权。</w:t>
      </w:r>
      <w:r>
        <w:rPr>
          <w:rFonts w:ascii="宋体" w:hAnsi="宋体" w:cs="宋体"/>
          <w:sz w:val="24"/>
        </w:rPr>
        <w:t>任何因侵犯他人知识产权所引起的责任，均由乙方自行承担</w:t>
      </w:r>
      <w:r>
        <w:rPr>
          <w:rFonts w:hint="eastAsia" w:ascii="宋体" w:hAnsi="宋体" w:cs="宋体"/>
          <w:sz w:val="24"/>
        </w:rPr>
        <w:t>。</w:t>
      </w:r>
    </w:p>
    <w:p>
      <w:pPr>
        <w:snapToGrid w:val="0"/>
        <w:spacing w:line="480" w:lineRule="exact"/>
        <w:ind w:firstLine="480" w:firstLineChars="200"/>
        <w:rPr>
          <w:rFonts w:ascii="宋体" w:hAnsi="宋体" w:cs="宋体"/>
          <w:sz w:val="24"/>
        </w:rPr>
      </w:pPr>
      <w:r>
        <w:rPr>
          <w:rFonts w:hint="eastAsia" w:ascii="宋体" w:hAnsi="宋体" w:cs="宋体"/>
          <w:sz w:val="24"/>
        </w:rPr>
        <w:t>2、乙方保证所交付的服务的所有权完全属于乙方且无任何抵押、查封等产权瑕疵。</w:t>
      </w:r>
    </w:p>
    <w:p>
      <w:pPr>
        <w:snapToGrid w:val="0"/>
        <w:spacing w:line="48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研究成果归</w:t>
      </w:r>
      <w:r>
        <w:rPr>
          <w:rFonts w:hint="eastAsia" w:ascii="宋体" w:hAnsi="宋体" w:cs="宋体"/>
          <w:sz w:val="24"/>
        </w:rPr>
        <w:t>甲方</w:t>
      </w:r>
      <w:r>
        <w:rPr>
          <w:rFonts w:ascii="宋体" w:hAnsi="宋体" w:cs="宋体"/>
          <w:sz w:val="24"/>
        </w:rPr>
        <w:t>与乙方共有，未经</w:t>
      </w:r>
      <w:r>
        <w:rPr>
          <w:rFonts w:hint="eastAsia" w:ascii="宋体" w:hAnsi="宋体" w:cs="宋体"/>
          <w:sz w:val="24"/>
        </w:rPr>
        <w:t>甲方</w:t>
      </w:r>
      <w:r>
        <w:rPr>
          <w:rFonts w:ascii="宋体" w:hAnsi="宋体" w:cs="宋体"/>
          <w:sz w:val="24"/>
        </w:rPr>
        <w:t>允许，</w:t>
      </w:r>
      <w:r>
        <w:rPr>
          <w:rFonts w:hint="eastAsia" w:ascii="宋体" w:hAnsi="宋体" w:cs="宋体"/>
          <w:sz w:val="24"/>
        </w:rPr>
        <w:t>乙方</w:t>
      </w:r>
      <w:r>
        <w:rPr>
          <w:rFonts w:ascii="宋体" w:hAnsi="宋体" w:cs="宋体"/>
          <w:sz w:val="24"/>
        </w:rPr>
        <w:t>（包括本项目技术团队所有成员）不得在国内外专业期刊上发表涉及本项目相关数据的论文著作，</w:t>
      </w:r>
      <w:r>
        <w:rPr>
          <w:rFonts w:hint="eastAsia" w:ascii="宋体" w:hAnsi="宋体" w:cs="宋体"/>
          <w:sz w:val="24"/>
        </w:rPr>
        <w:t>不得将本合同成果复制、转让或用于本合同外的其他项目，</w:t>
      </w:r>
      <w:r>
        <w:rPr>
          <w:rFonts w:ascii="宋体" w:hAnsi="宋体" w:cs="宋体"/>
          <w:sz w:val="24"/>
        </w:rPr>
        <w:t>否则</w:t>
      </w:r>
      <w:r>
        <w:rPr>
          <w:rFonts w:hint="eastAsia" w:ascii="宋体" w:hAnsi="宋体" w:cs="宋体"/>
          <w:sz w:val="24"/>
        </w:rPr>
        <w:t>甲方</w:t>
      </w:r>
      <w:r>
        <w:rPr>
          <w:rFonts w:ascii="宋体" w:hAnsi="宋体" w:cs="宋体"/>
          <w:sz w:val="24"/>
        </w:rPr>
        <w:t>有权起诉相关单位及个人</w:t>
      </w:r>
      <w:r>
        <w:rPr>
          <w:rFonts w:hint="eastAsia" w:ascii="宋体" w:hAnsi="宋体" w:cs="宋体"/>
          <w:sz w:val="24"/>
        </w:rPr>
        <w:t>并乙方应支付甲方违约金</w:t>
      </w:r>
      <w:r>
        <w:rPr>
          <w:rFonts w:hint="eastAsia" w:ascii="宋体" w:hAnsi="宋体" w:cs="宋体"/>
          <w:sz w:val="24"/>
          <w:u w:val="single"/>
        </w:rPr>
        <w:t xml:space="preserve">    </w:t>
      </w:r>
      <w:r>
        <w:rPr>
          <w:rFonts w:hint="eastAsia" w:ascii="宋体" w:hAnsi="宋体" w:cs="宋体"/>
          <w:sz w:val="24"/>
        </w:rPr>
        <w:t>元。</w:t>
      </w:r>
    </w:p>
    <w:p>
      <w:pPr>
        <w:snapToGrid w:val="0"/>
        <w:spacing w:line="480" w:lineRule="exact"/>
        <w:ind w:firstLine="482" w:firstLineChars="200"/>
        <w:rPr>
          <w:rFonts w:ascii="宋体" w:hAnsi="宋体" w:cs="宋体"/>
          <w:b/>
          <w:bCs/>
          <w:sz w:val="24"/>
        </w:rPr>
      </w:pPr>
      <w:r>
        <w:rPr>
          <w:rFonts w:hint="eastAsia" w:ascii="宋体" w:hAnsi="宋体" w:cs="宋体"/>
          <w:b/>
          <w:bCs/>
          <w:sz w:val="24"/>
        </w:rPr>
        <w:t>六、转包或分包</w:t>
      </w:r>
    </w:p>
    <w:p>
      <w:pPr>
        <w:snapToGrid w:val="0"/>
        <w:spacing w:line="480" w:lineRule="exact"/>
        <w:ind w:firstLine="480" w:firstLineChars="200"/>
        <w:rPr>
          <w:rFonts w:ascii="宋体" w:hAnsi="宋体" w:cs="宋体"/>
          <w:sz w:val="24"/>
        </w:rPr>
      </w:pPr>
      <w:r>
        <w:rPr>
          <w:rFonts w:hint="eastAsia" w:ascii="宋体" w:hAnsi="宋体" w:cs="宋体"/>
          <w:sz w:val="24"/>
        </w:rPr>
        <w:t>不允许转包。</w:t>
      </w:r>
    </w:p>
    <w:p>
      <w:pPr>
        <w:snapToGrid w:val="0"/>
        <w:spacing w:line="480" w:lineRule="exact"/>
        <w:ind w:firstLine="480" w:firstLineChars="200"/>
        <w:rPr>
          <w:rFonts w:ascii="宋体" w:hAnsi="宋体" w:cs="宋体"/>
          <w:sz w:val="24"/>
        </w:rPr>
      </w:pPr>
      <w:r>
        <w:rPr>
          <w:rFonts w:hint="eastAsia" w:ascii="宋体" w:hAnsi="宋体" w:cs="宋体"/>
          <w:sz w:val="24"/>
        </w:rPr>
        <w:t>如乙方将项目转包或</w:t>
      </w:r>
      <w:r>
        <w:rPr>
          <w:rFonts w:ascii="宋体" w:hAnsi="宋体" w:cs="宋体"/>
          <w:sz w:val="24"/>
        </w:rPr>
        <w:t>将不允许分包部分分包</w:t>
      </w:r>
      <w:r>
        <w:rPr>
          <w:rFonts w:hint="eastAsia" w:ascii="宋体" w:hAnsi="宋体" w:cs="宋体"/>
          <w:sz w:val="24"/>
        </w:rPr>
        <w:t>、未经甲方同意分包，甲方有权解除合同，并追究乙方的违约责任。</w:t>
      </w:r>
    </w:p>
    <w:p>
      <w:pPr>
        <w:snapToGrid w:val="0"/>
        <w:spacing w:line="480" w:lineRule="exact"/>
        <w:ind w:firstLine="482" w:firstLineChars="200"/>
        <w:rPr>
          <w:rFonts w:ascii="宋体" w:hAnsi="宋体" w:cs="宋体"/>
          <w:b/>
          <w:bCs/>
          <w:sz w:val="24"/>
        </w:rPr>
      </w:pPr>
      <w:r>
        <w:rPr>
          <w:rFonts w:hint="eastAsia" w:ascii="宋体" w:hAnsi="宋体" w:cs="宋体"/>
          <w:b/>
          <w:bCs/>
          <w:sz w:val="24"/>
        </w:rPr>
        <w:t>七、履约保证金</w:t>
      </w:r>
    </w:p>
    <w:p>
      <w:pPr>
        <w:snapToGrid w:val="0"/>
        <w:spacing w:line="480" w:lineRule="exact"/>
        <w:ind w:firstLine="480" w:firstLineChars="200"/>
        <w:rPr>
          <w:rFonts w:ascii="宋体" w:hAnsi="宋体" w:cs="宋体"/>
          <w:sz w:val="24"/>
        </w:rPr>
      </w:pPr>
      <w:r>
        <w:rPr>
          <w:rFonts w:hint="eastAsia" w:ascii="宋体" w:hAnsi="宋体" w:cs="宋体"/>
          <w:sz w:val="24"/>
        </w:rPr>
        <w:t>1.履约保证金</w:t>
      </w:r>
      <w:r>
        <w:rPr>
          <w:rFonts w:hint="eastAsia" w:ascii="宋体" w:hAnsi="宋体" w:cs="宋体"/>
          <w:sz w:val="24"/>
          <w:u w:val="single"/>
        </w:rPr>
        <w:t xml:space="preserve">         </w:t>
      </w:r>
      <w:r>
        <w:rPr>
          <w:rFonts w:hint="eastAsia" w:ascii="宋体" w:hAnsi="宋体" w:cs="宋体"/>
          <w:sz w:val="24"/>
        </w:rPr>
        <w:t>元。</w:t>
      </w:r>
    </w:p>
    <w:p>
      <w:pPr>
        <w:snapToGrid w:val="0"/>
        <w:spacing w:line="480" w:lineRule="exact"/>
        <w:ind w:firstLine="482" w:firstLineChars="200"/>
        <w:rPr>
          <w:rFonts w:ascii="宋体" w:hAnsi="宋体" w:cs="宋体"/>
          <w:b/>
          <w:bCs/>
          <w:sz w:val="24"/>
        </w:rPr>
      </w:pPr>
      <w:r>
        <w:rPr>
          <w:rFonts w:hint="eastAsia" w:ascii="宋体" w:hAnsi="宋体" w:cs="宋体"/>
          <w:b/>
          <w:bCs/>
          <w:sz w:val="24"/>
        </w:rPr>
        <w:t>八、项目服务期限及实施地点</w:t>
      </w:r>
    </w:p>
    <w:p>
      <w:pPr>
        <w:snapToGrid w:val="0"/>
        <w:spacing w:line="480" w:lineRule="exact"/>
        <w:ind w:firstLine="480" w:firstLineChars="200"/>
        <w:rPr>
          <w:rFonts w:ascii="宋体" w:hAnsi="宋体" w:cs="宋体"/>
          <w:sz w:val="24"/>
        </w:rPr>
      </w:pPr>
      <w:r>
        <w:rPr>
          <w:rFonts w:hint="eastAsia" w:ascii="宋体" w:hAnsi="宋体" w:cs="宋体"/>
          <w:sz w:val="24"/>
        </w:rPr>
        <w:t>1.服务期限：</w:t>
      </w:r>
    </w:p>
    <w:p>
      <w:pPr>
        <w:snapToGrid w:val="0"/>
        <w:spacing w:line="480" w:lineRule="exact"/>
        <w:ind w:firstLine="480" w:firstLineChars="200"/>
        <w:rPr>
          <w:rFonts w:ascii="宋体" w:hAnsi="宋体" w:cs="宋体"/>
          <w:sz w:val="24"/>
        </w:rPr>
      </w:pPr>
      <w:r>
        <w:rPr>
          <w:rFonts w:hint="eastAsia" w:ascii="宋体" w:hAnsi="宋体" w:cs="宋体"/>
          <w:sz w:val="24"/>
        </w:rPr>
        <w:t>2.实施地点：</w:t>
      </w:r>
    </w:p>
    <w:p>
      <w:pPr>
        <w:snapToGrid w:val="0"/>
        <w:spacing w:line="480" w:lineRule="exact"/>
        <w:ind w:firstLine="482" w:firstLineChars="200"/>
        <w:rPr>
          <w:rFonts w:ascii="宋体" w:hAnsi="宋体" w:cs="宋体"/>
          <w:sz w:val="24"/>
        </w:rPr>
      </w:pPr>
      <w:r>
        <w:rPr>
          <w:rFonts w:hint="eastAsia" w:ascii="宋体" w:hAnsi="宋体" w:cs="宋体"/>
          <w:b/>
          <w:bCs/>
          <w:sz w:val="24"/>
        </w:rPr>
        <w:t>九、付款</w:t>
      </w:r>
    </w:p>
    <w:p>
      <w:pPr>
        <w:snapToGrid w:val="0"/>
        <w:spacing w:line="480" w:lineRule="exact"/>
        <w:ind w:firstLine="480" w:firstLineChars="200"/>
        <w:rPr>
          <w:rFonts w:ascii="宋体" w:hAnsi="宋体" w:cs="宋体"/>
          <w:sz w:val="24"/>
        </w:rPr>
      </w:pPr>
      <w:r>
        <w:rPr>
          <w:rFonts w:hint="eastAsia" w:ascii="宋体" w:hAnsi="宋体" w:cs="宋体"/>
          <w:sz w:val="24"/>
        </w:rPr>
        <w:t>1.付款方式：</w:t>
      </w:r>
    </w:p>
    <w:p>
      <w:pPr>
        <w:snapToGrid w:val="0"/>
        <w:spacing w:line="480" w:lineRule="exact"/>
        <w:ind w:firstLine="480" w:firstLineChars="200"/>
        <w:rPr>
          <w:rFonts w:ascii="宋体" w:hAnsi="宋体" w:cs="宋体"/>
          <w:sz w:val="24"/>
        </w:rPr>
      </w:pPr>
      <w:r>
        <w:rPr>
          <w:rFonts w:hint="eastAsia" w:ascii="宋体" w:hAnsi="宋体" w:cs="宋体"/>
          <w:sz w:val="24"/>
        </w:rPr>
        <w:t>2.本合同下的所有款项，乙方均需先提供相应的等额发票，否则甲方有权拒绝付款。</w:t>
      </w:r>
    </w:p>
    <w:p>
      <w:pPr>
        <w:snapToGrid w:val="0"/>
        <w:spacing w:line="480" w:lineRule="exact"/>
        <w:ind w:firstLine="480" w:firstLineChars="200"/>
        <w:rPr>
          <w:sz w:val="24"/>
        </w:rPr>
      </w:pPr>
      <w:r>
        <w:rPr>
          <w:rFonts w:hint="eastAsia" w:ascii="宋体" w:hAnsi="宋体" w:cs="宋体"/>
          <w:sz w:val="24"/>
        </w:rPr>
        <w:t>3.若在甲方付款前发生乙方应付甲方的款项（包括但不限于违约金、应由乙方承担的损失赔偿金），甲方有权直接扣除相应款项后支付。</w:t>
      </w:r>
    </w:p>
    <w:p>
      <w:pPr>
        <w:snapToGrid w:val="0"/>
        <w:spacing w:line="480" w:lineRule="exact"/>
        <w:ind w:firstLine="482" w:firstLineChars="200"/>
        <w:rPr>
          <w:rFonts w:ascii="宋体" w:hAnsi="宋体" w:cs="宋体"/>
          <w:b/>
          <w:bCs/>
          <w:sz w:val="24"/>
        </w:rPr>
      </w:pPr>
      <w:r>
        <w:rPr>
          <w:rFonts w:hint="eastAsia" w:ascii="宋体" w:hAnsi="宋体" w:cs="宋体"/>
          <w:b/>
          <w:bCs/>
          <w:sz w:val="24"/>
        </w:rPr>
        <w:t>十、税费</w:t>
      </w:r>
    </w:p>
    <w:p>
      <w:pPr>
        <w:snapToGrid w:val="0"/>
        <w:spacing w:line="480" w:lineRule="exact"/>
        <w:ind w:firstLine="480" w:firstLineChars="200"/>
        <w:rPr>
          <w:ins w:id="0" w:author="Yess" w:date="2023-11-28T14:36:00Z"/>
          <w:rFonts w:ascii="宋体" w:hAnsi="宋体" w:cs="宋体"/>
          <w:sz w:val="24"/>
        </w:rPr>
      </w:pPr>
      <w:r>
        <w:rPr>
          <w:rFonts w:hint="eastAsia" w:ascii="宋体" w:hAnsi="宋体" w:cs="宋体"/>
          <w:sz w:val="24"/>
        </w:rPr>
        <w:t>本合同执行中相关的一切税费均由乙方负担。</w:t>
      </w:r>
    </w:p>
    <w:p>
      <w:pPr>
        <w:snapToGrid w:val="0"/>
        <w:spacing w:line="480" w:lineRule="exact"/>
        <w:ind w:firstLine="482" w:firstLineChars="200"/>
        <w:rPr>
          <w:rFonts w:ascii="宋体" w:hAnsi="宋体" w:cs="宋体"/>
          <w:b/>
          <w:bCs/>
          <w:sz w:val="24"/>
        </w:rPr>
      </w:pPr>
      <w:r>
        <w:rPr>
          <w:rFonts w:hint="eastAsia" w:ascii="宋体" w:hAnsi="宋体" w:cs="宋体"/>
          <w:b/>
          <w:bCs/>
          <w:sz w:val="24"/>
        </w:rPr>
        <w:t>十一、质量保证及后续服务</w:t>
      </w:r>
    </w:p>
    <w:p>
      <w:pPr>
        <w:snapToGrid w:val="0"/>
        <w:spacing w:line="480" w:lineRule="exact"/>
        <w:ind w:firstLine="480" w:firstLineChars="200"/>
        <w:rPr>
          <w:sz w:val="24"/>
        </w:rPr>
      </w:pPr>
      <w:r>
        <w:rPr>
          <w:rFonts w:hint="eastAsia"/>
          <w:sz w:val="24"/>
        </w:rPr>
        <w:t>1.乙方应按招标文件规定向甲方提供服务。</w:t>
      </w:r>
    </w:p>
    <w:p>
      <w:pPr>
        <w:snapToGrid w:val="0"/>
        <w:spacing w:line="480" w:lineRule="exact"/>
        <w:ind w:firstLine="480" w:firstLineChars="200"/>
        <w:rPr>
          <w:sz w:val="24"/>
        </w:rPr>
      </w:pPr>
      <w:r>
        <w:rPr>
          <w:rFonts w:hint="eastAsia"/>
          <w:sz w:val="24"/>
        </w:rPr>
        <w:t>2.服务质量保证期为</w:t>
      </w:r>
      <w:r>
        <w:rPr>
          <w:rFonts w:hint="eastAsia"/>
          <w:sz w:val="24"/>
          <w:u w:val="single"/>
        </w:rPr>
        <w:t xml:space="preserve">    </w:t>
      </w:r>
      <w:r>
        <w:rPr>
          <w:rFonts w:hint="eastAsia"/>
          <w:sz w:val="24"/>
        </w:rPr>
        <w:t>年。乙方提供的服务在服务质量保证期内发生故障的，乙方负责处理并承担一切费用。</w:t>
      </w:r>
    </w:p>
    <w:p>
      <w:pPr>
        <w:snapToGrid w:val="0"/>
        <w:spacing w:line="480" w:lineRule="exact"/>
        <w:ind w:firstLine="480" w:firstLineChars="200"/>
        <w:rPr>
          <w:rFonts w:ascii="宋体" w:hAnsi="宋体" w:cs="宋体"/>
          <w:b/>
          <w:bCs/>
          <w:sz w:val="24"/>
        </w:rPr>
      </w:pPr>
      <w:r>
        <w:rPr>
          <w:rFonts w:hint="eastAsia"/>
          <w:sz w:val="24"/>
        </w:rPr>
        <w:t>3.在使用过程中发生问题，乙方应在接到甲方通知后</w:t>
      </w:r>
      <w:r>
        <w:rPr>
          <w:rFonts w:hint="eastAsia"/>
          <w:sz w:val="24"/>
          <w:u w:val="single"/>
        </w:rPr>
        <w:t xml:space="preserve">  </w:t>
      </w:r>
      <w:r>
        <w:rPr>
          <w:rFonts w:hint="eastAsia"/>
          <w:sz w:val="24"/>
        </w:rPr>
        <w:t>小时内到达甲方现场。</w:t>
      </w:r>
    </w:p>
    <w:p>
      <w:pPr>
        <w:snapToGrid w:val="0"/>
        <w:spacing w:line="480" w:lineRule="exact"/>
        <w:ind w:firstLine="482" w:firstLineChars="200"/>
        <w:rPr>
          <w:rFonts w:ascii="宋体" w:hAnsi="宋体" w:cs="宋体"/>
          <w:b/>
          <w:bCs/>
          <w:sz w:val="24"/>
        </w:rPr>
      </w:pPr>
      <w:r>
        <w:rPr>
          <w:rFonts w:hint="eastAsia" w:ascii="宋体" w:hAnsi="宋体" w:cs="宋体"/>
          <w:b/>
          <w:bCs/>
          <w:sz w:val="24"/>
        </w:rPr>
        <w:t>十二、违约责任</w:t>
      </w:r>
    </w:p>
    <w:p>
      <w:pPr>
        <w:snapToGrid w:val="0"/>
        <w:spacing w:line="480" w:lineRule="exact"/>
        <w:ind w:firstLine="480" w:firstLineChars="200"/>
        <w:rPr>
          <w:rFonts w:ascii="宋体" w:hAnsi="宋体" w:cs="宋体"/>
          <w:sz w:val="24"/>
        </w:rPr>
      </w:pPr>
      <w:r>
        <w:rPr>
          <w:rFonts w:hint="eastAsia" w:ascii="宋体" w:hAnsi="宋体" w:cs="宋体"/>
          <w:sz w:val="24"/>
        </w:rPr>
        <w:t>1、乙方未按要求进行每周巡检并做好巡检记录及相关台账的，每发现一次扣除5000元违约金。</w:t>
      </w:r>
    </w:p>
    <w:p>
      <w:pPr>
        <w:snapToGrid w:val="0"/>
        <w:spacing w:line="480" w:lineRule="exact"/>
        <w:ind w:firstLine="480" w:firstLineChars="200"/>
        <w:rPr>
          <w:rFonts w:ascii="宋体" w:hAnsi="宋体" w:cs="宋体"/>
          <w:sz w:val="24"/>
        </w:rPr>
      </w:pPr>
      <w:r>
        <w:rPr>
          <w:rFonts w:hint="eastAsia" w:ascii="宋体" w:hAnsi="宋体" w:cs="宋体"/>
          <w:sz w:val="24"/>
        </w:rPr>
        <w:t>2、乙方驻场值守人员擅离职守的，每发现一次扣除1000元违约金。</w:t>
      </w:r>
    </w:p>
    <w:p>
      <w:pPr>
        <w:snapToGrid w:val="0"/>
        <w:spacing w:line="480" w:lineRule="exact"/>
        <w:ind w:firstLine="480" w:firstLineChars="200"/>
        <w:rPr>
          <w:rFonts w:ascii="宋体" w:hAnsi="宋体" w:cs="宋体"/>
          <w:sz w:val="24"/>
        </w:rPr>
      </w:pPr>
      <w:r>
        <w:rPr>
          <w:rFonts w:hint="eastAsia" w:ascii="宋体" w:hAnsi="宋体" w:cs="宋体"/>
          <w:sz w:val="24"/>
        </w:rPr>
        <w:t>3、乙方接到保障通知后，未在规定时间内到达现场的，每次扣除1000元违约金。</w:t>
      </w:r>
    </w:p>
    <w:p>
      <w:pPr>
        <w:snapToGrid w:val="0"/>
        <w:spacing w:line="480" w:lineRule="exact"/>
        <w:ind w:firstLine="480" w:firstLineChars="200"/>
        <w:rPr>
          <w:rFonts w:ascii="宋体" w:hAnsi="宋体" w:cs="宋体"/>
          <w:sz w:val="24"/>
        </w:rPr>
      </w:pPr>
      <w:r>
        <w:rPr>
          <w:rFonts w:hint="eastAsia" w:ascii="宋体" w:hAnsi="宋体" w:cs="宋体"/>
          <w:sz w:val="24"/>
        </w:rPr>
        <w:t>4.甲方无正当理由拒绝验收项目的，甲方向乙方偿付拒收合同总价的百分之一违约金。</w:t>
      </w:r>
    </w:p>
    <w:p>
      <w:pPr>
        <w:snapToGrid w:val="0"/>
        <w:spacing w:line="480" w:lineRule="exact"/>
        <w:ind w:firstLine="480" w:firstLineChars="200"/>
        <w:rPr>
          <w:rFonts w:ascii="宋体" w:hAnsi="宋体" w:cs="宋体"/>
          <w:sz w:val="24"/>
        </w:rPr>
      </w:pPr>
      <w:r>
        <w:rPr>
          <w:rFonts w:hint="eastAsia" w:ascii="宋体" w:hAnsi="宋体" w:cs="宋体"/>
          <w:sz w:val="24"/>
        </w:rPr>
        <w:t>5.甲方无故逾期验收和办理合同款项支付手续的,甲方应按逾期付款总额每日万分之五向乙方支付违约金。</w:t>
      </w:r>
    </w:p>
    <w:p>
      <w:pPr>
        <w:snapToGrid w:val="0"/>
        <w:spacing w:line="480" w:lineRule="exact"/>
        <w:ind w:firstLine="480" w:firstLineChars="200"/>
        <w:rPr>
          <w:rFonts w:ascii="宋体" w:hAnsi="宋体" w:cs="宋体"/>
          <w:sz w:val="24"/>
        </w:rPr>
      </w:pPr>
      <w:r>
        <w:rPr>
          <w:rFonts w:hint="eastAsia" w:ascii="宋体" w:hAnsi="宋体" w:cs="宋体"/>
          <w:sz w:val="24"/>
        </w:rPr>
        <w:t xml:space="preserve">6.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相应的履约保证金不予退回，乙方应向甲方支付合同总值5%的违约金，如造成甲方损失超过违约金的，超出部分由乙方继续承担赔偿责任。 </w:t>
      </w:r>
    </w:p>
    <w:p>
      <w:pPr>
        <w:snapToGrid w:val="0"/>
        <w:spacing w:line="480" w:lineRule="exact"/>
        <w:ind w:firstLine="480" w:firstLineChars="200"/>
        <w:rPr>
          <w:rFonts w:ascii="宋体" w:hAnsi="宋体" w:cs="宋体"/>
          <w:sz w:val="24"/>
        </w:rPr>
      </w:pPr>
      <w:r>
        <w:rPr>
          <w:rFonts w:hint="eastAsia" w:ascii="宋体" w:hAnsi="宋体" w:cs="宋体"/>
          <w:sz w:val="24"/>
        </w:rPr>
        <w:t>7.乙方所履行的服务质量或服务数量等不符合合同规定及采购文件规定的，甲方有权中止接受服务，单方面解除合同，且相关损失由乙方承担。</w:t>
      </w:r>
    </w:p>
    <w:p>
      <w:pPr>
        <w:spacing w:line="324" w:lineRule="auto"/>
        <w:ind w:firstLine="480" w:firstLineChars="200"/>
        <w:rPr>
          <w:sz w:val="24"/>
        </w:rPr>
      </w:pPr>
      <w:r>
        <w:rPr>
          <w:rFonts w:hint="eastAsia"/>
          <w:sz w:val="24"/>
        </w:rPr>
        <w:t>8、</w:t>
      </w:r>
      <w:r>
        <w:rPr>
          <w:sz w:val="24"/>
        </w:rPr>
        <w:t>因</w:t>
      </w:r>
      <w:r>
        <w:rPr>
          <w:rFonts w:hint="eastAsia"/>
          <w:sz w:val="24"/>
        </w:rPr>
        <w:t>乙方</w:t>
      </w:r>
      <w:r>
        <w:rPr>
          <w:sz w:val="24"/>
        </w:rPr>
        <w:t>原因，项目达不到约定的验收标准，或</w:t>
      </w:r>
      <w:r>
        <w:rPr>
          <w:rFonts w:hint="eastAsia"/>
          <w:sz w:val="24"/>
        </w:rPr>
        <w:t xml:space="preserve">未能通过“ </w:t>
      </w:r>
      <w:r>
        <w:rPr>
          <w:rFonts w:hint="eastAsia"/>
          <w:sz w:val="24"/>
          <w:u w:val="single"/>
        </w:rPr>
        <w:t xml:space="preserve">            </w:t>
      </w:r>
      <w:r>
        <w:rPr>
          <w:rFonts w:hint="eastAsia"/>
          <w:sz w:val="24"/>
        </w:rPr>
        <w:t>”</w:t>
      </w:r>
      <w:r>
        <w:rPr>
          <w:sz w:val="24"/>
        </w:rPr>
        <w:t>审查的，</w:t>
      </w:r>
      <w:r>
        <w:rPr>
          <w:rFonts w:hint="eastAsia"/>
          <w:sz w:val="24"/>
        </w:rPr>
        <w:t>乙方</w:t>
      </w:r>
      <w:r>
        <w:rPr>
          <w:sz w:val="24"/>
        </w:rPr>
        <w:t>应负责返工，使其达到通过审查的质量标准。如果返工后仍无法达到验收标准的，</w:t>
      </w:r>
      <w:r>
        <w:rPr>
          <w:rFonts w:hint="eastAsia"/>
          <w:sz w:val="24"/>
        </w:rPr>
        <w:t>甲方有权解除合同，</w:t>
      </w:r>
      <w:r>
        <w:rPr>
          <w:sz w:val="24"/>
        </w:rPr>
        <w:t>委托他人重新实施，所需费用由</w:t>
      </w:r>
      <w:r>
        <w:rPr>
          <w:rFonts w:hint="eastAsia"/>
          <w:sz w:val="24"/>
        </w:rPr>
        <w:t>乙方</w:t>
      </w:r>
      <w:r>
        <w:rPr>
          <w:sz w:val="24"/>
        </w:rPr>
        <w:t>承担，并由</w:t>
      </w:r>
      <w:r>
        <w:rPr>
          <w:rFonts w:hint="eastAsia"/>
          <w:sz w:val="24"/>
        </w:rPr>
        <w:t>乙方</w:t>
      </w:r>
      <w:r>
        <w:rPr>
          <w:sz w:val="24"/>
        </w:rPr>
        <w:t>向</w:t>
      </w:r>
      <w:r>
        <w:rPr>
          <w:rFonts w:hint="eastAsia"/>
          <w:sz w:val="24"/>
        </w:rPr>
        <w:t>甲方</w:t>
      </w:r>
      <w:r>
        <w:rPr>
          <w:sz w:val="24"/>
        </w:rPr>
        <w:t>支付合同金额20%的违约金。</w:t>
      </w:r>
    </w:p>
    <w:p>
      <w:pPr>
        <w:snapToGrid w:val="0"/>
        <w:spacing w:line="480" w:lineRule="exact"/>
        <w:ind w:firstLine="482" w:firstLineChars="200"/>
        <w:rPr>
          <w:rFonts w:ascii="宋体" w:hAnsi="宋体" w:cs="宋体"/>
          <w:b/>
          <w:bCs/>
          <w:sz w:val="24"/>
        </w:rPr>
      </w:pPr>
      <w:r>
        <w:rPr>
          <w:rFonts w:hint="eastAsia" w:ascii="宋体" w:hAnsi="宋体" w:cs="宋体"/>
          <w:b/>
          <w:bCs/>
          <w:sz w:val="24"/>
        </w:rPr>
        <w:t>十三、不可抗力事件处理</w:t>
      </w:r>
    </w:p>
    <w:p>
      <w:pPr>
        <w:snapToGrid w:val="0"/>
        <w:spacing w:line="480" w:lineRule="exact"/>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napToGrid w:val="0"/>
        <w:spacing w:line="480" w:lineRule="exact"/>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snapToGrid w:val="0"/>
        <w:spacing w:line="480" w:lineRule="exact"/>
        <w:ind w:firstLine="480" w:firstLineChars="200"/>
        <w:rPr>
          <w:rFonts w:ascii="宋体" w:hAnsi="宋体" w:cs="宋体"/>
          <w:sz w:val="24"/>
        </w:rPr>
      </w:pPr>
      <w:r>
        <w:rPr>
          <w:rFonts w:hint="eastAsia" w:ascii="宋体" w:hAnsi="宋体" w:cs="宋体"/>
          <w:sz w:val="24"/>
        </w:rPr>
        <w:t>3.不可抗力事件延续120天以上，双方应通过友好协商，确定是否继续履行合同。</w:t>
      </w:r>
    </w:p>
    <w:p>
      <w:pPr>
        <w:snapToGrid w:val="0"/>
        <w:spacing w:line="480" w:lineRule="exact"/>
        <w:ind w:firstLine="482" w:firstLineChars="200"/>
        <w:rPr>
          <w:rFonts w:ascii="宋体" w:hAnsi="宋体" w:cs="宋体"/>
          <w:b/>
          <w:bCs/>
          <w:sz w:val="24"/>
        </w:rPr>
      </w:pPr>
      <w:r>
        <w:rPr>
          <w:rFonts w:hint="eastAsia" w:ascii="宋体" w:hAnsi="宋体" w:cs="宋体"/>
          <w:b/>
          <w:bCs/>
          <w:sz w:val="24"/>
        </w:rPr>
        <w:t>十四、诉讼</w:t>
      </w:r>
    </w:p>
    <w:p>
      <w:pPr>
        <w:snapToGrid w:val="0"/>
        <w:spacing w:line="480" w:lineRule="exact"/>
        <w:ind w:firstLine="480" w:firstLineChars="200"/>
        <w:rPr>
          <w:rFonts w:ascii="宋体" w:hAnsi="宋体" w:cs="宋体"/>
          <w:sz w:val="24"/>
        </w:rPr>
      </w:pPr>
      <w:r>
        <w:rPr>
          <w:rFonts w:hint="eastAsia" w:ascii="宋体" w:hAnsi="宋体" w:cs="宋体"/>
          <w:sz w:val="24"/>
        </w:rPr>
        <w:t>双方在执行合同中所发生的一切争议，应通过协商解决。如协商不成，可向甲方所在地法院起诉。</w:t>
      </w:r>
    </w:p>
    <w:p>
      <w:pPr>
        <w:snapToGrid w:val="0"/>
        <w:spacing w:line="480" w:lineRule="exact"/>
        <w:ind w:firstLine="482" w:firstLineChars="200"/>
        <w:rPr>
          <w:rFonts w:ascii="宋体" w:hAnsi="宋体" w:cs="宋体"/>
          <w:b/>
          <w:bCs/>
          <w:sz w:val="24"/>
        </w:rPr>
      </w:pPr>
      <w:r>
        <w:rPr>
          <w:rFonts w:hint="eastAsia" w:ascii="宋体" w:hAnsi="宋体" w:cs="宋体"/>
          <w:b/>
          <w:bCs/>
          <w:sz w:val="24"/>
        </w:rPr>
        <w:t>十五、合同生效及其他</w:t>
      </w:r>
    </w:p>
    <w:p>
      <w:pPr>
        <w:snapToGrid w:val="0"/>
        <w:spacing w:line="480" w:lineRule="exact"/>
        <w:ind w:firstLine="480" w:firstLineChars="200"/>
        <w:rPr>
          <w:rFonts w:ascii="宋体" w:hAnsi="宋体" w:cs="宋体"/>
          <w:sz w:val="24"/>
        </w:rPr>
      </w:pPr>
      <w:r>
        <w:rPr>
          <w:rFonts w:hint="eastAsia" w:ascii="宋体" w:hAnsi="宋体" w:cs="宋体"/>
          <w:sz w:val="24"/>
        </w:rPr>
        <w:t>1.合同经甲、乙双方签名并加盖单位公章后生效。</w:t>
      </w:r>
    </w:p>
    <w:p>
      <w:pPr>
        <w:snapToGrid w:val="0"/>
        <w:spacing w:line="480" w:lineRule="exact"/>
        <w:ind w:firstLine="480" w:firstLineChars="200"/>
        <w:rPr>
          <w:rFonts w:ascii="宋体" w:hAnsi="宋体" w:cs="宋体"/>
          <w:sz w:val="24"/>
        </w:rPr>
      </w:pPr>
      <w:r>
        <w:rPr>
          <w:rFonts w:hint="eastAsia" w:ascii="宋体" w:hAnsi="宋体" w:cs="宋体"/>
          <w:sz w:val="24"/>
        </w:rPr>
        <w:t>2.采购文件、投标文件与本合同具有同等法律效力。</w:t>
      </w:r>
    </w:p>
    <w:p>
      <w:pPr>
        <w:snapToGrid w:val="0"/>
        <w:spacing w:line="480" w:lineRule="exact"/>
        <w:ind w:firstLine="480" w:firstLineChars="200"/>
        <w:rPr>
          <w:rFonts w:ascii="宋体" w:hAnsi="宋体" w:cs="宋体"/>
          <w:sz w:val="24"/>
        </w:rPr>
      </w:pPr>
      <w:r>
        <w:rPr>
          <w:rFonts w:hint="eastAsia" w:ascii="宋体" w:hAnsi="宋体" w:cs="宋体"/>
          <w:sz w:val="24"/>
        </w:rPr>
        <w:t>3.本合同未尽事宜，遵照《民法典》有关条文执行。</w:t>
      </w:r>
    </w:p>
    <w:p>
      <w:pPr>
        <w:pStyle w:val="30"/>
        <w:snapToGrid w:val="0"/>
        <w:spacing w:beforeLines="0" w:afterLines="0"/>
        <w:ind w:firstLine="480" w:firstLineChars="200"/>
        <w:rPr>
          <w:rFonts w:hAnsi="宋体"/>
          <w:b/>
          <w:bCs/>
          <w:u w:val="single"/>
          <w:shd w:val="pct10" w:color="auto" w:fill="FFFFFF"/>
        </w:rPr>
      </w:pPr>
      <w:r>
        <w:rPr>
          <w:rFonts w:hint="eastAsia" w:hAnsi="宋体" w:cs="宋体"/>
        </w:rPr>
        <w:t>4.本合同一式六份，双方各执叁份，具有同等法律效力。</w:t>
      </w:r>
    </w:p>
    <w:p>
      <w:pPr>
        <w:pStyle w:val="30"/>
        <w:snapToGrid w:val="0"/>
        <w:spacing w:beforeLines="0" w:afterLines="0" w:line="480" w:lineRule="exact"/>
        <w:ind w:firstLine="241" w:firstLineChars="100"/>
        <w:rPr>
          <w:rFonts w:hAnsi="宋体"/>
          <w:b/>
          <w:bCs/>
          <w:u w:val="single"/>
          <w:shd w:val="pct10" w:color="auto" w:fill="FFFFFF"/>
        </w:rPr>
      </w:pPr>
    </w:p>
    <w:p>
      <w:pPr>
        <w:pStyle w:val="30"/>
        <w:snapToGrid w:val="0"/>
        <w:spacing w:beforeLines="0" w:afterLines="0" w:line="480" w:lineRule="exact"/>
        <w:ind w:firstLine="240" w:firstLineChars="100"/>
        <w:rPr>
          <w:rFonts w:hAnsi="宋体"/>
        </w:rPr>
      </w:pPr>
      <w:r>
        <w:rPr>
          <w:rFonts w:hint="eastAsia" w:hAnsi="宋体"/>
        </w:rPr>
        <w:t xml:space="preserve">甲方：                                   乙方： </w:t>
      </w:r>
    </w:p>
    <w:p>
      <w:pPr>
        <w:pStyle w:val="30"/>
        <w:snapToGrid w:val="0"/>
        <w:spacing w:beforeLines="0" w:afterLines="0" w:line="480" w:lineRule="exact"/>
        <w:rPr>
          <w:rFonts w:hAnsi="宋体"/>
        </w:rPr>
      </w:pPr>
      <w:r>
        <w:rPr>
          <w:rFonts w:hint="eastAsia" w:hAnsi="宋体"/>
        </w:rPr>
        <w:t xml:space="preserve">  地址：                                   地址： </w:t>
      </w:r>
    </w:p>
    <w:p>
      <w:pPr>
        <w:pStyle w:val="30"/>
        <w:snapToGrid w:val="0"/>
        <w:spacing w:beforeLines="0" w:afterLines="0" w:line="480" w:lineRule="exact"/>
        <w:rPr>
          <w:rFonts w:hAnsi="宋体"/>
        </w:rPr>
      </w:pPr>
      <w:r>
        <w:rPr>
          <w:rFonts w:hint="eastAsia" w:hAnsi="宋体"/>
        </w:rPr>
        <w:t xml:space="preserve">  法定（授权）代表人：                     法定（授权）代表人：</w:t>
      </w:r>
    </w:p>
    <w:p>
      <w:pPr>
        <w:pStyle w:val="30"/>
        <w:snapToGrid w:val="0"/>
        <w:spacing w:beforeLines="0" w:afterLines="0" w:line="480" w:lineRule="exact"/>
        <w:ind w:firstLine="240" w:firstLineChars="100"/>
        <w:rPr>
          <w:rFonts w:hAnsi="宋体"/>
        </w:rPr>
      </w:pPr>
      <w:r>
        <w:rPr>
          <w:rFonts w:hint="eastAsia" w:hAnsi="宋体"/>
        </w:rPr>
        <w:t>签订日期：     年　  月　 日            签订日期：     年　  月　 日</w:t>
      </w:r>
    </w:p>
    <w:bookmarkEnd w:id="48"/>
    <w:p>
      <w:pPr>
        <w:pStyle w:val="30"/>
        <w:snapToGrid w:val="0"/>
        <w:spacing w:beforeLines="0" w:afterLines="0" w:line="480" w:lineRule="exact"/>
        <w:ind w:firstLine="360" w:firstLineChars="150"/>
        <w:rPr>
          <w:rFonts w:hAnsi="宋体"/>
        </w:rPr>
      </w:pPr>
    </w:p>
    <w:p>
      <w:pPr>
        <w:pStyle w:val="30"/>
        <w:snapToGrid w:val="0"/>
        <w:spacing w:beforeLines="0" w:afterLines="0" w:line="480" w:lineRule="exact"/>
        <w:ind w:firstLine="240" w:firstLineChars="100"/>
        <w:rPr>
          <w:rFonts w:hAnsi="宋体"/>
        </w:rPr>
      </w:pPr>
      <w:r>
        <w:rPr>
          <w:rFonts w:hint="eastAsia" w:hAnsi="宋体"/>
        </w:rPr>
        <w:t xml:space="preserve">见证方：（盖章） </w:t>
      </w:r>
    </w:p>
    <w:p>
      <w:pPr>
        <w:pStyle w:val="30"/>
        <w:spacing w:beforeLines="0" w:afterLines="0" w:line="360" w:lineRule="auto"/>
        <w:ind w:firstLine="240" w:firstLineChars="100"/>
        <w:rPr>
          <w:b/>
          <w:bCs/>
          <w:sz w:val="28"/>
          <w:szCs w:val="28"/>
        </w:rPr>
      </w:pPr>
      <w:r>
        <w:rPr>
          <w:rFonts w:hint="eastAsia" w:hAnsi="宋体"/>
        </w:rPr>
        <w:t xml:space="preserve">         </w:t>
      </w:r>
    </w:p>
    <w:p>
      <w:pPr>
        <w:widowControl/>
        <w:jc w:val="left"/>
        <w:rPr>
          <w:rFonts w:ascii="宋体" w:hAnsi="宋体" w:cs="宋体"/>
          <w:b/>
          <w:bCs/>
          <w:sz w:val="28"/>
          <w:szCs w:val="28"/>
          <w:lang w:val="zh-TW" w:eastAsia="zh-TW" w:bidi="zh-TW"/>
        </w:rPr>
      </w:pPr>
    </w:p>
    <w:p>
      <w:pPr>
        <w:pStyle w:val="30"/>
        <w:snapToGrid w:val="0"/>
        <w:spacing w:before="120" w:after="120" w:line="420" w:lineRule="exact"/>
        <w:jc w:val="center"/>
        <w:outlineLvl w:val="0"/>
        <w:rPr>
          <w:rFonts w:asciiTheme="minorEastAsia" w:hAnsiTheme="minorEastAsia" w:eastAsiaTheme="minorEastAsia" w:cstheme="minorEastAsia"/>
          <w:sz w:val="30"/>
          <w:szCs w:val="30"/>
        </w:rPr>
      </w:pPr>
    </w:p>
    <w:p>
      <w:pPr>
        <w:rPr>
          <w:rFonts w:asciiTheme="minorEastAsia" w:hAnsiTheme="minorEastAsia" w:eastAsiaTheme="minorEastAsia" w:cstheme="minorEastAsia"/>
          <w:b/>
          <w:sz w:val="30"/>
          <w:szCs w:val="30"/>
        </w:rPr>
      </w:pPr>
      <w:bookmarkStart w:id="50" w:name="_Toc14350"/>
      <w:bookmarkStart w:id="51" w:name="_Toc24427"/>
      <w:r>
        <w:rPr>
          <w:rFonts w:hint="eastAsia" w:asciiTheme="minorEastAsia" w:hAnsiTheme="minorEastAsia" w:eastAsiaTheme="minorEastAsia" w:cstheme="minorEastAsia"/>
          <w:b/>
          <w:sz w:val="30"/>
          <w:szCs w:val="30"/>
        </w:rPr>
        <w:br w:type="page"/>
      </w:r>
    </w:p>
    <w:p>
      <w:pPr>
        <w:pStyle w:val="30"/>
        <w:snapToGrid w:val="0"/>
        <w:spacing w:beforeLines="0" w:afterLines="0"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第六章　投标文件格式</w:t>
      </w:r>
      <w:bookmarkEnd w:id="49"/>
      <w:bookmarkEnd w:id="50"/>
      <w:bookmarkEnd w:id="51"/>
    </w:p>
    <w:p>
      <w:pPr>
        <w:pStyle w:val="30"/>
        <w:snapToGrid w:val="0"/>
        <w:spacing w:beforeLines="0" w:afterLines="0" w:line="420" w:lineRule="exact"/>
        <w:jc w:val="center"/>
        <w:rPr>
          <w:rFonts w:asciiTheme="minorEastAsia" w:hAnsiTheme="minorEastAsia" w:eastAsiaTheme="minorEastAsia" w:cstheme="minorEastAsia"/>
          <w:sz w:val="30"/>
          <w:szCs w:val="30"/>
        </w:rPr>
      </w:pPr>
    </w:p>
    <w:p>
      <w:pPr>
        <w:snapToGrid w:val="0"/>
        <w:spacing w:before="120" w:beforeLines="50" w:after="50"/>
        <w:jc w:val="center"/>
        <w:outlineLvl w:val="1"/>
        <w:rPr>
          <w:rFonts w:asciiTheme="minorEastAsia" w:hAnsiTheme="minorEastAsia" w:eastAsiaTheme="minorEastAsia" w:cstheme="minorEastAsia"/>
          <w:b/>
          <w:bCs/>
          <w:sz w:val="28"/>
          <w:szCs w:val="28"/>
        </w:rPr>
      </w:pPr>
      <w:bookmarkStart w:id="52" w:name="_Toc29949"/>
      <w:bookmarkStart w:id="53" w:name="_Toc30690"/>
      <w:bookmarkStart w:id="54" w:name="_Toc265669850"/>
      <w:r>
        <w:rPr>
          <w:rFonts w:hint="eastAsia" w:asciiTheme="minorEastAsia" w:hAnsiTheme="minorEastAsia" w:eastAsiaTheme="minorEastAsia" w:cstheme="minorEastAsia"/>
          <w:b/>
          <w:bCs/>
          <w:sz w:val="28"/>
          <w:szCs w:val="28"/>
        </w:rPr>
        <w:t>一、资格响应文件格式</w:t>
      </w:r>
      <w:bookmarkEnd w:id="52"/>
      <w:bookmarkEnd w:id="53"/>
    </w:p>
    <w:p>
      <w:pPr>
        <w:snapToGrid w:val="0"/>
        <w:spacing w:before="120" w:beforeLines="50" w:after="50"/>
        <w:jc w:val="center"/>
        <w:rPr>
          <w:rFonts w:asciiTheme="minorEastAsia" w:hAnsiTheme="minorEastAsia" w:eastAsiaTheme="minorEastAsia" w:cstheme="minorEastAsia"/>
          <w:sz w:val="28"/>
          <w:szCs w:val="28"/>
        </w:rPr>
      </w:pPr>
    </w:p>
    <w:p>
      <w:pPr>
        <w:snapToGrid w:val="0"/>
        <w:spacing w:before="120" w:beforeLines="50" w:after="50"/>
        <w:jc w:val="center"/>
        <w:rPr>
          <w:rFonts w:asciiTheme="minorEastAsia" w:hAnsiTheme="minorEastAsia" w:eastAsiaTheme="minorEastAsia" w:cstheme="minorEastAsia"/>
          <w:sz w:val="28"/>
          <w:szCs w:val="28"/>
        </w:rPr>
      </w:pPr>
    </w:p>
    <w:p>
      <w:pPr>
        <w:snapToGrid w:val="0"/>
        <w:spacing w:before="120" w:beforeLines="50" w:after="5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1.资格响应文件封面格式： </w:t>
      </w:r>
    </w:p>
    <w:p>
      <w:pPr>
        <w:snapToGrid w:val="0"/>
        <w:spacing w:before="120" w:beforeLines="50" w:after="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p>
    <w:p>
      <w:pPr>
        <w:snapToGrid w:val="0"/>
        <w:spacing w:before="120" w:beforeLines="50" w:after="50"/>
        <w:rPr>
          <w:rFonts w:asciiTheme="minorEastAsia" w:hAnsiTheme="minorEastAsia" w:eastAsiaTheme="minorEastAsia" w:cstheme="minorEastAsia"/>
          <w:sz w:val="28"/>
          <w:szCs w:val="28"/>
        </w:rPr>
      </w:pPr>
    </w:p>
    <w:p>
      <w:pPr>
        <w:snapToGrid w:val="0"/>
        <w:spacing w:before="120" w:beforeLines="50" w:after="50"/>
        <w:jc w:val="center"/>
        <w:rPr>
          <w:rFonts w:asciiTheme="minorEastAsia" w:hAnsiTheme="minorEastAsia" w:eastAsiaTheme="minorEastAsia" w:cstheme="minorEastAsia"/>
          <w:bCs/>
          <w:sz w:val="28"/>
          <w:szCs w:val="28"/>
        </w:rPr>
      </w:pPr>
    </w:p>
    <w:p>
      <w:pPr>
        <w:snapToGrid w:val="0"/>
        <w:spacing w:before="120" w:beforeLines="50" w:after="50"/>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资格响应文件</w:t>
      </w:r>
    </w:p>
    <w:p>
      <w:pPr>
        <w:snapToGrid w:val="0"/>
        <w:spacing w:before="120" w:beforeLines="50" w:after="50" w:line="360" w:lineRule="auto"/>
        <w:jc w:val="center"/>
        <w:rPr>
          <w:rFonts w:asciiTheme="minorEastAsia" w:hAnsiTheme="minorEastAsia" w:eastAsiaTheme="minorEastAsia" w:cstheme="minorEastAsia"/>
          <w:bCs/>
          <w:sz w:val="28"/>
          <w:szCs w:val="28"/>
        </w:rPr>
      </w:pPr>
    </w:p>
    <w:p>
      <w:pPr>
        <w:snapToGrid w:val="0"/>
        <w:spacing w:before="120" w:beforeLines="50" w:after="50" w:line="360" w:lineRule="auto"/>
        <w:jc w:val="center"/>
        <w:rPr>
          <w:rFonts w:asciiTheme="minorEastAsia" w:hAnsiTheme="minorEastAsia" w:eastAsiaTheme="minorEastAsia" w:cstheme="minorEastAsia"/>
          <w:bCs/>
          <w:sz w:val="28"/>
          <w:szCs w:val="28"/>
        </w:rPr>
      </w:pPr>
    </w:p>
    <w:p>
      <w:pPr>
        <w:snapToGrid w:val="0"/>
        <w:spacing w:before="120" w:beforeLines="50" w:after="50" w:line="360" w:lineRule="auto"/>
        <w:ind w:firstLine="1246" w:firstLineChars="44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项目名称：</w:t>
      </w:r>
    </w:p>
    <w:p>
      <w:pPr>
        <w:snapToGrid w:val="0"/>
        <w:spacing w:before="120" w:beforeLines="50" w:after="5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项目编号：    </w:t>
      </w: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投标人名称：</w:t>
      </w: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投标人地址：</w:t>
      </w:r>
    </w:p>
    <w:p>
      <w:pPr>
        <w:pStyle w:val="13"/>
        <w:snapToGrid w:val="0"/>
        <w:spacing w:before="50" w:after="50"/>
        <w:ind w:firstLine="1120" w:firstLineChars="400"/>
        <w:rPr>
          <w:rFonts w:asciiTheme="minorEastAsia" w:hAnsiTheme="minorEastAsia" w:eastAsiaTheme="minorEastAsia" w:cstheme="minorEastAsia"/>
          <w:bCs/>
          <w:sz w:val="28"/>
          <w:szCs w:val="28"/>
        </w:rPr>
      </w:pPr>
    </w:p>
    <w:p>
      <w:pPr>
        <w:snapToGrid w:val="0"/>
        <w:spacing w:line="360" w:lineRule="auto"/>
        <w:ind w:firstLine="3360" w:firstLineChars="1200"/>
        <w:jc w:val="left"/>
        <w:rPr>
          <w:rFonts w:asciiTheme="minorEastAsia" w:hAnsiTheme="minorEastAsia" w:eastAsiaTheme="minorEastAsia" w:cstheme="minorEastAsia"/>
          <w:sz w:val="28"/>
          <w:szCs w:val="28"/>
        </w:rPr>
      </w:pPr>
    </w:p>
    <w:p>
      <w:pPr>
        <w:snapToGrid w:val="0"/>
        <w:spacing w:line="360" w:lineRule="auto"/>
        <w:ind w:firstLine="3640" w:firstLineChars="13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年  月  日</w:t>
      </w:r>
      <w:r>
        <w:rPr>
          <w:rFonts w:hint="eastAsia" w:asciiTheme="minorEastAsia" w:hAnsiTheme="minorEastAsia" w:eastAsiaTheme="minorEastAsia" w:cstheme="minorEastAsia"/>
          <w:sz w:val="28"/>
          <w:szCs w:val="28"/>
        </w:rPr>
        <w:br w:type="page"/>
      </w:r>
      <w:bookmarkStart w:id="55" w:name="_Hlk60757343"/>
      <w:r>
        <w:rPr>
          <w:rFonts w:hint="eastAsia" w:asciiTheme="minorEastAsia" w:hAnsiTheme="minorEastAsia" w:eastAsiaTheme="minorEastAsia" w:cstheme="minorEastAsia"/>
          <w:sz w:val="24"/>
        </w:rPr>
        <w:t>2.营业执照等：</w:t>
      </w:r>
      <w:bookmarkEnd w:id="55"/>
    </w:p>
    <w:p>
      <w:pPr>
        <w:snapToGrid w:val="0"/>
        <w:spacing w:line="360" w:lineRule="auto"/>
        <w:jc w:val="center"/>
        <w:rPr>
          <w:rFonts w:asciiTheme="minorEastAsia" w:hAnsiTheme="minorEastAsia" w:eastAsiaTheme="minorEastAsia" w:cstheme="minorEastAsia"/>
          <w:b/>
          <w:kern w:val="0"/>
          <w:sz w:val="32"/>
          <w:szCs w:val="32"/>
          <w:lang w:val="zh-CN"/>
        </w:rPr>
      </w:pPr>
    </w:p>
    <w:p>
      <w:pPr>
        <w:snapToGrid w:val="0"/>
        <w:spacing w:line="360" w:lineRule="auto"/>
        <w:jc w:val="center"/>
        <w:rPr>
          <w:rFonts w:asciiTheme="minorEastAsia" w:hAnsiTheme="minorEastAsia" w:eastAsiaTheme="minorEastAsia" w:cstheme="minorEastAsia"/>
          <w:b/>
          <w:kern w:val="0"/>
          <w:sz w:val="32"/>
          <w:szCs w:val="32"/>
          <w:lang w:val="zh-CN"/>
        </w:rPr>
      </w:pPr>
    </w:p>
    <w:p>
      <w:pPr>
        <w:snapToGrid w:val="0"/>
        <w:spacing w:line="360" w:lineRule="auto"/>
        <w:jc w:val="center"/>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营业执照（推荐使用电子营业执照）</w:t>
      </w:r>
    </w:p>
    <w:p>
      <w:pPr>
        <w:snapToGrid w:val="0"/>
        <w:spacing w:line="360" w:lineRule="auto"/>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或事业法人登记证或其他工商等登记证明材料原件扫描件或复印件</w:t>
      </w:r>
    </w:p>
    <w:p>
      <w:pPr>
        <w:snapToGrid w:val="0"/>
        <w:spacing w:line="360" w:lineRule="auto"/>
        <w:rPr>
          <w:rFonts w:asciiTheme="minorEastAsia" w:hAnsiTheme="minorEastAsia" w:eastAsiaTheme="minorEastAsia" w:cstheme="minorEastAsia"/>
          <w:bCs/>
          <w:kern w:val="0"/>
          <w:sz w:val="28"/>
          <w:szCs w:val="28"/>
          <w:lang w:val="zh-CN"/>
        </w:rPr>
      </w:pPr>
      <w:r>
        <w:rPr>
          <w:rFonts w:hint="eastAsia" w:asciiTheme="minorEastAsia" w:hAnsiTheme="minorEastAsia" w:eastAsiaTheme="minorEastAsia" w:cstheme="minorEastAsia"/>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napToGrid w:val="0"/>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b/>
          <w:sz w:val="32"/>
          <w:szCs w:val="32"/>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特定资格条件要求的资质文件复印件（如有）</w:t>
      </w:r>
    </w:p>
    <w:p>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（由投标人根据招标公告合格的投标人应具备的特定资格要求编制，如果本项目没有设置特定资格条件，则不需要提供）</w:t>
      </w:r>
    </w:p>
    <w:p>
      <w:pPr>
        <w:spacing w:line="360" w:lineRule="auto"/>
        <w:jc w:val="center"/>
        <w:rPr>
          <w:rFonts w:asciiTheme="minorEastAsia" w:hAnsiTheme="minorEastAsia" w:eastAsiaTheme="minorEastAsia" w:cstheme="minorEastAsia"/>
          <w:b/>
          <w:bCs/>
          <w:sz w:val="32"/>
          <w:szCs w:val="32"/>
        </w:rPr>
      </w:pPr>
    </w:p>
    <w:p>
      <w:pPr>
        <w:spacing w:line="360" w:lineRule="auto"/>
        <w:jc w:val="center"/>
        <w:rPr>
          <w:rFonts w:asciiTheme="minorEastAsia" w:hAnsiTheme="minorEastAsia" w:eastAsiaTheme="minorEastAsia" w:cstheme="minorEastAsia"/>
          <w:b/>
          <w:bCs/>
          <w:sz w:val="32"/>
          <w:szCs w:val="32"/>
        </w:rPr>
      </w:pP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8"/>
          <w:szCs w:val="28"/>
        </w:rPr>
        <w:br w:type="pag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没有重大违法记录的承诺函格式：</w:t>
      </w:r>
    </w:p>
    <w:p>
      <w:pPr>
        <w:spacing w:line="360" w:lineRule="auto"/>
        <w:jc w:val="center"/>
        <w:rPr>
          <w:rFonts w:asciiTheme="minorEastAsia" w:hAnsiTheme="minorEastAsia" w:eastAsiaTheme="minorEastAsia" w:cstheme="minorEastAsia"/>
          <w:b/>
          <w:kern w:val="0"/>
          <w:sz w:val="32"/>
          <w:szCs w:val="32"/>
        </w:rPr>
      </w:pPr>
    </w:p>
    <w:p>
      <w:pPr>
        <w:spacing w:line="52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参加本次采购项目前三年内在经营活动中</w:t>
      </w:r>
    </w:p>
    <w:p>
      <w:pPr>
        <w:spacing w:line="52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没有重大违法记录的承诺函</w:t>
      </w:r>
    </w:p>
    <w:p>
      <w:pPr>
        <w:spacing w:line="520" w:lineRule="exact"/>
        <w:jc w:val="center"/>
        <w:rPr>
          <w:rFonts w:asciiTheme="minorEastAsia" w:hAnsiTheme="minorEastAsia" w:eastAsiaTheme="minorEastAsia" w:cstheme="minorEastAsia"/>
          <w:bCs/>
          <w:sz w:val="24"/>
        </w:rPr>
      </w:pPr>
    </w:p>
    <w:p>
      <w:pPr>
        <w:ind w:firstLine="420"/>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（招标人名称）</w:t>
      </w: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sz w:val="24"/>
        </w:rPr>
        <w:t>：</w:t>
      </w:r>
    </w:p>
    <w:p>
      <w:pPr>
        <w:snapToGrid w:val="0"/>
        <w:spacing w:before="120" w:beforeLines="50" w:after="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我方郑重承诺，我方在参加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采购活动，没有因违法经营被禁止参加活动的期限未满情形）。如有虚假或隐瞒，招标人可取消我方任何资格（投标/谈判/中标（成交）/签订合同），我方对此无任何异议，并愿意承担一切后果和责任。</w:t>
      </w:r>
    </w:p>
    <w:p>
      <w:pPr>
        <w:ind w:firstLine="420"/>
        <w:rPr>
          <w:rFonts w:asciiTheme="minorEastAsia" w:hAnsiTheme="minorEastAsia" w:eastAsiaTheme="minorEastAsia" w:cstheme="minorEastAsia"/>
          <w:sz w:val="24"/>
        </w:rPr>
      </w:pPr>
    </w:p>
    <w:p>
      <w:pPr>
        <w:snapToGrid w:val="0"/>
        <w:spacing w:before="120" w:beforeLines="50" w:after="50"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w:t>
      </w:r>
      <w:r>
        <w:rPr>
          <w:rFonts w:hint="eastAsia" w:asciiTheme="minorEastAsia" w:hAnsiTheme="minorEastAsia" w:eastAsiaTheme="minorEastAsia" w:cstheme="minorEastAsia"/>
          <w:kern w:val="0"/>
          <w:sz w:val="24"/>
        </w:rPr>
        <w:t>承诺</w:t>
      </w:r>
      <w:r>
        <w:rPr>
          <w:rFonts w:hint="eastAsia" w:asciiTheme="minorEastAsia" w:hAnsiTheme="minorEastAsia" w:eastAsiaTheme="minorEastAsia" w:cstheme="minorEastAsia"/>
          <w:sz w:val="24"/>
        </w:rPr>
        <w:t>！</w:t>
      </w:r>
    </w:p>
    <w:p>
      <w:pPr>
        <w:snapToGrid w:val="0"/>
        <w:spacing w:before="50" w:after="120" w:afterLines="50"/>
        <w:jc w:val="left"/>
        <w:rPr>
          <w:rFonts w:asciiTheme="minorEastAsia" w:hAnsiTheme="minorEastAsia" w:eastAsiaTheme="minorEastAsia" w:cstheme="minorEastAsia"/>
          <w:kern w:val="0"/>
          <w:sz w:val="24"/>
          <w:lang w:val="zh-CN"/>
        </w:rPr>
      </w:pPr>
    </w:p>
    <w:p>
      <w:pPr>
        <w:snapToGrid w:val="0"/>
        <w:spacing w:before="50" w:after="120" w:afterLines="50"/>
        <w:jc w:val="left"/>
        <w:rPr>
          <w:rFonts w:asciiTheme="minorEastAsia" w:hAnsiTheme="minorEastAsia" w:eastAsiaTheme="minorEastAsia" w:cstheme="minorEastAsia"/>
          <w:kern w:val="0"/>
          <w:sz w:val="24"/>
          <w:lang w:val="zh-CN"/>
        </w:rPr>
      </w:pPr>
    </w:p>
    <w:p>
      <w:pPr>
        <w:snapToGrid w:val="0"/>
        <w:spacing w:before="50" w:after="120" w:afterLines="50"/>
        <w:jc w:val="left"/>
        <w:rPr>
          <w:rFonts w:asciiTheme="minorEastAsia" w:hAnsiTheme="minorEastAsia" w:eastAsiaTheme="minorEastAsia" w:cstheme="minorEastAsia"/>
          <w:kern w:val="0"/>
          <w:sz w:val="24"/>
          <w:lang w:val="zh-CN"/>
        </w:rPr>
      </w:pPr>
    </w:p>
    <w:p>
      <w:pPr>
        <w:snapToGrid w:val="0"/>
        <w:spacing w:before="50" w:after="120" w:afterLines="50"/>
        <w:jc w:val="left"/>
        <w:rPr>
          <w:rFonts w:asciiTheme="minorEastAsia" w:hAnsiTheme="minorEastAsia" w:eastAsiaTheme="minorEastAsia" w:cstheme="minorEastAsia"/>
          <w:b/>
          <w:spacing w:val="20"/>
          <w:sz w:val="24"/>
        </w:rPr>
      </w:pPr>
      <w:r>
        <w:rPr>
          <w:rFonts w:hint="eastAsia" w:asciiTheme="minorEastAsia" w:hAnsiTheme="minorEastAsia" w:eastAsiaTheme="minorEastAsia" w:cstheme="minorEastAsia"/>
          <w:b/>
          <w:spacing w:val="20"/>
          <w:sz w:val="24"/>
        </w:rPr>
        <w:t>法定代表人签字（或盖章）：         投标人（盖章）：</w:t>
      </w:r>
    </w:p>
    <w:p>
      <w:pPr>
        <w:snapToGrid w:val="0"/>
        <w:spacing w:before="50" w:after="120" w:afterLines="50"/>
        <w:jc w:val="left"/>
        <w:rPr>
          <w:rFonts w:asciiTheme="minorEastAsia" w:hAnsiTheme="minorEastAsia" w:eastAsiaTheme="minorEastAsia" w:cstheme="minorEastAsia"/>
          <w:b/>
          <w:sz w:val="24"/>
        </w:rPr>
      </w:pPr>
    </w:p>
    <w:p>
      <w:pPr>
        <w:snapToGrid w:val="0"/>
        <w:spacing w:before="50" w:after="120" w:afterLines="50"/>
        <w:jc w:val="left"/>
        <w:rPr>
          <w:rFonts w:asciiTheme="minorEastAsia" w:hAnsiTheme="minorEastAsia" w:eastAsiaTheme="minorEastAsia" w:cstheme="minorEastAsia"/>
          <w:b/>
          <w:sz w:val="24"/>
        </w:rPr>
      </w:pPr>
    </w:p>
    <w:p>
      <w:pPr>
        <w:snapToGrid w:val="0"/>
        <w:spacing w:before="50" w:after="120" w:afterLines="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日期：  _____年___月___日</w:t>
      </w:r>
    </w:p>
    <w:p>
      <w:pPr>
        <w:snapToGrid w:val="0"/>
        <w:spacing w:before="50" w:after="120" w:afterLines="50"/>
        <w:jc w:val="left"/>
        <w:rPr>
          <w:rFonts w:asciiTheme="minorEastAsia" w:hAnsiTheme="minorEastAsia" w:eastAsiaTheme="minorEastAsia" w:cstheme="minorEastAsia"/>
          <w:sz w:val="28"/>
          <w:szCs w:val="28"/>
        </w:rPr>
      </w:pPr>
    </w:p>
    <w:p>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br w:type="page"/>
      </w:r>
    </w:p>
    <w:p>
      <w:pPr>
        <w:snapToGrid w:val="0"/>
        <w:spacing w:before="120" w:beforeLines="50" w:after="50"/>
        <w:jc w:val="center"/>
        <w:outlineLvl w:val="1"/>
        <w:rPr>
          <w:rFonts w:asciiTheme="minorEastAsia" w:hAnsiTheme="minorEastAsia" w:eastAsiaTheme="minorEastAsia" w:cstheme="minorEastAsia"/>
          <w:b/>
          <w:bCs/>
          <w:sz w:val="28"/>
          <w:szCs w:val="28"/>
        </w:rPr>
      </w:pPr>
      <w:bookmarkStart w:id="56" w:name="_Toc18185"/>
      <w:bookmarkStart w:id="57" w:name="_Toc15805"/>
      <w:bookmarkStart w:id="58" w:name="_Toc466534753"/>
      <w:r>
        <w:rPr>
          <w:rFonts w:hint="eastAsia" w:asciiTheme="minorEastAsia" w:hAnsiTheme="minorEastAsia" w:eastAsiaTheme="minorEastAsia" w:cstheme="minorEastAsia"/>
          <w:b/>
          <w:bCs/>
          <w:sz w:val="28"/>
          <w:szCs w:val="28"/>
        </w:rPr>
        <w:t>二、商务技术文件格式</w:t>
      </w:r>
      <w:bookmarkEnd w:id="54"/>
      <w:bookmarkEnd w:id="56"/>
      <w:bookmarkEnd w:id="57"/>
      <w:bookmarkEnd w:id="58"/>
    </w:p>
    <w:p>
      <w:pPr>
        <w:snapToGrid w:val="0"/>
        <w:spacing w:before="120" w:beforeLines="50" w:after="50"/>
        <w:jc w:val="center"/>
        <w:rPr>
          <w:rFonts w:asciiTheme="minorEastAsia" w:hAnsiTheme="minorEastAsia" w:eastAsiaTheme="minorEastAsia" w:cstheme="minorEastAsia"/>
          <w:sz w:val="28"/>
          <w:szCs w:val="28"/>
        </w:rPr>
      </w:pPr>
    </w:p>
    <w:p>
      <w:pPr>
        <w:snapToGrid w:val="0"/>
        <w:spacing w:before="120" w:beforeLines="50" w:after="50"/>
        <w:jc w:val="center"/>
        <w:rPr>
          <w:rFonts w:asciiTheme="minorEastAsia" w:hAnsiTheme="minorEastAsia" w:eastAsiaTheme="minorEastAsia" w:cstheme="minorEastAsia"/>
          <w:sz w:val="28"/>
          <w:szCs w:val="28"/>
        </w:rPr>
      </w:pPr>
    </w:p>
    <w:p>
      <w:pPr>
        <w:snapToGrid w:val="0"/>
        <w:spacing w:before="120" w:beforeLines="50" w:after="5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4.商务技术文件封面格式： </w:t>
      </w:r>
    </w:p>
    <w:p>
      <w:pPr>
        <w:snapToGrid w:val="0"/>
        <w:spacing w:before="120" w:beforeLines="50" w:after="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p>
    <w:p>
      <w:pPr>
        <w:snapToGrid w:val="0"/>
        <w:spacing w:before="120" w:beforeLines="50" w:after="50"/>
        <w:rPr>
          <w:rFonts w:asciiTheme="minorEastAsia" w:hAnsiTheme="minorEastAsia" w:eastAsiaTheme="minorEastAsia" w:cstheme="minorEastAsia"/>
          <w:sz w:val="28"/>
          <w:szCs w:val="28"/>
        </w:rPr>
      </w:pPr>
    </w:p>
    <w:p>
      <w:pPr>
        <w:snapToGrid w:val="0"/>
        <w:spacing w:before="120" w:beforeLines="50" w:after="50"/>
        <w:jc w:val="center"/>
        <w:rPr>
          <w:rFonts w:asciiTheme="minorEastAsia" w:hAnsiTheme="minorEastAsia" w:eastAsiaTheme="minorEastAsia" w:cstheme="minorEastAsia"/>
          <w:bCs/>
          <w:sz w:val="28"/>
          <w:szCs w:val="28"/>
        </w:rPr>
      </w:pPr>
    </w:p>
    <w:p>
      <w:pPr>
        <w:snapToGrid w:val="0"/>
        <w:spacing w:before="120" w:beforeLines="50" w:after="50"/>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商务技术文件</w:t>
      </w:r>
    </w:p>
    <w:p>
      <w:pPr>
        <w:snapToGrid w:val="0"/>
        <w:spacing w:before="120" w:beforeLines="50" w:after="50" w:line="360" w:lineRule="auto"/>
        <w:jc w:val="center"/>
        <w:rPr>
          <w:rFonts w:asciiTheme="minorEastAsia" w:hAnsiTheme="minorEastAsia" w:eastAsiaTheme="minorEastAsia" w:cstheme="minorEastAsia"/>
          <w:bCs/>
          <w:sz w:val="28"/>
          <w:szCs w:val="28"/>
        </w:rPr>
      </w:pPr>
    </w:p>
    <w:p>
      <w:pPr>
        <w:snapToGrid w:val="0"/>
        <w:spacing w:before="120" w:beforeLines="50" w:after="50" w:line="360" w:lineRule="auto"/>
        <w:jc w:val="center"/>
        <w:rPr>
          <w:rFonts w:asciiTheme="minorEastAsia" w:hAnsiTheme="minorEastAsia" w:eastAsiaTheme="minorEastAsia" w:cstheme="minorEastAsia"/>
          <w:bCs/>
          <w:sz w:val="28"/>
          <w:szCs w:val="28"/>
        </w:rPr>
      </w:pPr>
    </w:p>
    <w:p>
      <w:pPr>
        <w:snapToGrid w:val="0"/>
        <w:spacing w:before="120" w:beforeLines="50" w:after="50" w:line="360" w:lineRule="auto"/>
        <w:ind w:firstLine="1246" w:firstLineChars="44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项目名称：</w:t>
      </w:r>
    </w:p>
    <w:p>
      <w:pPr>
        <w:snapToGrid w:val="0"/>
        <w:spacing w:before="120" w:beforeLines="50" w:after="5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项目编号：    </w:t>
      </w: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投标人名称：</w:t>
      </w: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投标人地址：</w:t>
      </w:r>
    </w:p>
    <w:p>
      <w:pPr>
        <w:pStyle w:val="13"/>
        <w:snapToGrid w:val="0"/>
        <w:spacing w:before="50" w:after="50"/>
        <w:ind w:firstLine="1120" w:firstLineChars="400"/>
        <w:rPr>
          <w:rFonts w:asciiTheme="minorEastAsia" w:hAnsiTheme="minorEastAsia" w:eastAsiaTheme="minorEastAsia" w:cstheme="minorEastAsia"/>
          <w:bCs/>
          <w:sz w:val="28"/>
          <w:szCs w:val="28"/>
        </w:rPr>
      </w:pPr>
    </w:p>
    <w:p>
      <w:pPr>
        <w:snapToGrid w:val="0"/>
        <w:spacing w:before="120" w:beforeLines="50" w:after="50"/>
        <w:ind w:firstLine="64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 xml:space="preserve">                        年  月  日</w:t>
      </w:r>
      <w:r>
        <w:rPr>
          <w:rFonts w:hint="eastAsia" w:asciiTheme="minorEastAsia" w:hAnsiTheme="minorEastAsia" w:eastAsiaTheme="minorEastAsia" w:cstheme="minorEastAsia"/>
          <w:sz w:val="24"/>
        </w:rPr>
        <w:br w:type="page"/>
      </w:r>
      <w:bookmarkStart w:id="59" w:name="_Hlk60757098"/>
      <w:r>
        <w:rPr>
          <w:rFonts w:hint="eastAsia" w:asciiTheme="minorEastAsia" w:hAnsiTheme="minorEastAsia" w:eastAsiaTheme="minorEastAsia" w:cstheme="minorEastAsia"/>
          <w:sz w:val="24"/>
        </w:rPr>
        <w:t>5.投标函格式：</w:t>
      </w:r>
      <w:bookmarkEnd w:id="59"/>
    </w:p>
    <w:p>
      <w:pPr>
        <w:snapToGrid w:val="0"/>
        <w:spacing w:before="120" w:beforeLines="50" w:after="5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投 标 函</w:t>
      </w:r>
    </w:p>
    <w:p>
      <w:pPr>
        <w:snapToGrid w:val="0"/>
        <w:spacing w:before="120" w:beforeLines="50" w:after="50" w:line="380" w:lineRule="exac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（招标人名称）：</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1、我方自愿参加贵方组织的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）的投标，并按采购文件的要求提交商务技术文件、报价文件。</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2、我方完全理解并接受招标文件（包括修改补充文件）的各项规定和要求，不再对招标文件的合理性、合法性等相关内容提出质疑或投诉。</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3、我方不是招标人的附属机构以及其它法律法规所规定的限制投标单位。</w:t>
      </w:r>
    </w:p>
    <w:p>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4.、我方向贵方提交的所有投标文件、资料（包括所有</w:t>
      </w:r>
      <w:bookmarkStart w:id="60" w:name="_Hlk59707887"/>
      <w:r>
        <w:rPr>
          <w:rFonts w:hint="eastAsia" w:asciiTheme="minorEastAsia" w:hAnsiTheme="minorEastAsia" w:eastAsiaTheme="minorEastAsia" w:cstheme="minorEastAsia"/>
          <w:b/>
          <w:bCs/>
          <w:sz w:val="24"/>
        </w:rPr>
        <w:t>证书、合同、报告等</w:t>
      </w:r>
      <w:bookmarkEnd w:id="60"/>
      <w:r>
        <w:rPr>
          <w:rFonts w:hint="eastAsia" w:asciiTheme="minorEastAsia" w:hAnsiTheme="minorEastAsia" w:eastAsiaTheme="minorEastAsia" w:cstheme="minorEastAsia"/>
          <w:b/>
          <w:bCs/>
          <w:sz w:val="24"/>
        </w:rPr>
        <w:t>）都是准确、真实、合规的，如有虚假或隐瞒，我方愿意承担一切后果。</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5、自投标截止日起 90天内有效。</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6、如中标，本投标文件至本项目合同履行完毕均保持有效，同意按照贵方要求提供与投标有关的一切数据或资料，并按“招标文件”及相关法律、法规的规定履行合同责任和义务。</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7、以上事项如有虚假或隐瞒，我方愿意承担一切后果，并不再寻求任何旨在减轻或免除法律责任的辩解，同意我方的履约保证金不予退回，并对招标人因此引起的损失予以赔偿。</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8、我方全权授权被授权人办理针对上述项目的投标、开标、评标、签约等具体事务和签署相关文件，对被授权的各项行为负全部责任，在撤销授权的书面通知以前，本授权书一直有效，被授权人无转委托权。</w:t>
      </w:r>
    </w:p>
    <w:p>
      <w:pPr>
        <w:snapToGrid w:val="0"/>
        <w:spacing w:line="360" w:lineRule="auto"/>
        <w:ind w:firstLine="361" w:firstLineChars="150"/>
        <w:rPr>
          <w:rFonts w:asciiTheme="minorEastAsia" w:hAnsiTheme="minorEastAsia" w:eastAsiaTheme="minorEastAsia" w:cstheme="minorEastAsia"/>
          <w:b/>
          <w:bCs/>
          <w:sz w:val="24"/>
          <w:u w:val="single"/>
        </w:rPr>
      </w:pPr>
      <w:bookmarkStart w:id="61" w:name="_Hlk36048718"/>
      <w:r>
        <w:rPr>
          <w:rFonts w:hint="eastAsia" w:asciiTheme="minorEastAsia" w:hAnsiTheme="minorEastAsia" w:eastAsiaTheme="minorEastAsia" w:cstheme="minorEastAsia"/>
          <w:b/>
          <w:bCs/>
          <w:sz w:val="24"/>
        </w:rPr>
        <w:t>与本投标有关的一切正式往来信函、传真或邮件</w:t>
      </w:r>
      <w:r>
        <w:rPr>
          <w:rFonts w:hint="eastAsia" w:asciiTheme="minorEastAsia" w:hAnsiTheme="minorEastAsia" w:eastAsiaTheme="minorEastAsia" w:cstheme="minorEastAsia"/>
          <w:b/>
          <w:bCs/>
          <w:sz w:val="24"/>
          <w:u w:val="single"/>
        </w:rPr>
        <w:t>（例如质疑回复函、中标通知书、采购合同等）请采用如下联系方式送达，我方确保能够及时、准确收悉。</w:t>
      </w:r>
    </w:p>
    <w:p>
      <w:pPr>
        <w:snapToGrid w:val="0"/>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邮寄详细地址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邮编：__________</w:t>
      </w:r>
    </w:p>
    <w:p>
      <w:pPr>
        <w:snapToGrid w:val="0"/>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收件人姓名：_______</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联系手机：</w:t>
      </w:r>
      <w:bookmarkStart w:id="62" w:name="_Hlk59370410"/>
      <w:r>
        <w:rPr>
          <w:rFonts w:hint="eastAsia" w:asciiTheme="minorEastAsia" w:hAnsiTheme="minorEastAsia" w:eastAsiaTheme="minorEastAsia" w:cstheme="minorEastAsia"/>
          <w:sz w:val="24"/>
        </w:rPr>
        <w:t>_______</w:t>
      </w:r>
      <w:r>
        <w:rPr>
          <w:rFonts w:hint="eastAsia" w:asciiTheme="minorEastAsia" w:hAnsiTheme="minorEastAsia" w:eastAsiaTheme="minorEastAsia" w:cstheme="minorEastAsia"/>
          <w:sz w:val="24"/>
          <w:u w:val="single"/>
        </w:rPr>
        <w:t xml:space="preserve">_       </w:t>
      </w:r>
      <w:bookmarkEnd w:id="62"/>
      <w:r>
        <w:rPr>
          <w:rFonts w:hint="eastAsia" w:asciiTheme="minorEastAsia" w:hAnsiTheme="minorEastAsia" w:eastAsiaTheme="minorEastAsia" w:cstheme="minorEastAsia"/>
          <w:sz w:val="24"/>
        </w:rPr>
        <w:t>公司电子邮箱</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sz w:val="24"/>
          <w:u w:val="single"/>
        </w:rPr>
        <w:t xml:space="preserve"> _     __ </w:t>
      </w:r>
      <w:r>
        <w:rPr>
          <w:rFonts w:hint="eastAsia" w:asciiTheme="minorEastAsia" w:hAnsiTheme="minorEastAsia" w:eastAsiaTheme="minorEastAsia" w:cstheme="minorEastAsia"/>
          <w:sz w:val="24"/>
        </w:rPr>
        <w:t xml:space="preserve"> </w:t>
      </w:r>
    </w:p>
    <w:p>
      <w:pPr>
        <w:snapToGrid w:val="0"/>
        <w:spacing w:line="360" w:lineRule="auto"/>
        <w:ind w:firstLine="361" w:firstLineChars="150"/>
        <w:jc w:val="left"/>
        <w:rPr>
          <w:rFonts w:asciiTheme="minorEastAsia" w:hAnsiTheme="minorEastAsia" w:eastAsiaTheme="minorEastAsia" w:cstheme="minorEastAsia"/>
          <w:b/>
          <w:bCs/>
          <w:sz w:val="24"/>
        </w:rPr>
      </w:pPr>
      <w:bookmarkStart w:id="63" w:name="_Hlk59370586"/>
      <w:r>
        <w:rPr>
          <w:rFonts w:hint="eastAsia" w:asciiTheme="minorEastAsia" w:hAnsiTheme="minorEastAsia" w:eastAsiaTheme="minorEastAsia" w:cstheme="minorEastAsia"/>
          <w:b/>
          <w:bCs/>
          <w:sz w:val="24"/>
        </w:rPr>
        <w:t>为了方便评标委员会在必要时对投标人进行询标，请投标人填写以下投标文件编制人信息，以便及时、准确进行询标，投标文件编制人信息可不限于1人。</w:t>
      </w:r>
    </w:p>
    <w:p>
      <w:pPr>
        <w:snapToGrid w:val="0"/>
        <w:spacing w:line="360" w:lineRule="auto"/>
        <w:ind w:firstLine="361" w:firstLineChars="150"/>
        <w:jc w:val="left"/>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b/>
          <w:bCs/>
          <w:sz w:val="24"/>
        </w:rPr>
        <w:t>投标文件编制人</w:t>
      </w:r>
      <w:bookmarkEnd w:id="63"/>
      <w:r>
        <w:rPr>
          <w:rFonts w:hint="eastAsia" w:asciiTheme="minorEastAsia" w:hAnsiTheme="minorEastAsia" w:eastAsiaTheme="minorEastAsia" w:cstheme="minorEastAsia"/>
          <w:b/>
          <w:bCs/>
          <w:sz w:val="24"/>
        </w:rPr>
        <w:t>姓名：</w:t>
      </w:r>
      <w:r>
        <w:rPr>
          <w:rFonts w:hint="eastAsia" w:asciiTheme="minorEastAsia" w:hAnsiTheme="minorEastAsia" w:eastAsiaTheme="minorEastAsia" w:cstheme="minorEastAsia"/>
          <w:b/>
          <w:bCs/>
          <w:sz w:val="24"/>
          <w:u w:val="single"/>
        </w:rPr>
        <w:t xml:space="preserve">          </w:t>
      </w:r>
      <w:r>
        <w:rPr>
          <w:rFonts w:hint="eastAsia" w:asciiTheme="minorEastAsia" w:hAnsiTheme="minorEastAsia" w:eastAsiaTheme="minorEastAsia" w:cstheme="minorEastAsia"/>
          <w:b/>
          <w:bCs/>
          <w:sz w:val="24"/>
        </w:rPr>
        <w:t xml:space="preserve">   手机号码：</w:t>
      </w:r>
      <w:r>
        <w:rPr>
          <w:rFonts w:hint="eastAsia" w:asciiTheme="minorEastAsia" w:hAnsiTheme="minorEastAsia" w:eastAsiaTheme="minorEastAsia" w:cstheme="minorEastAsia"/>
          <w:b/>
          <w:bCs/>
          <w:sz w:val="24"/>
          <w:u w:val="single"/>
        </w:rPr>
        <w:t xml:space="preserve">                    </w:t>
      </w:r>
    </w:p>
    <w:p>
      <w:pPr>
        <w:snapToGrid w:val="0"/>
        <w:spacing w:line="360" w:lineRule="auto"/>
        <w:ind w:firstLine="361" w:firstLineChars="150"/>
        <w:jc w:val="lef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法定代表人（签字或盖章）：</w:t>
      </w:r>
    </w:p>
    <w:p>
      <w:pPr>
        <w:snapToGrid w:val="0"/>
        <w:spacing w:line="360" w:lineRule="auto"/>
        <w:ind w:firstLine="361" w:firstLineChars="15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被授权人（签字）:</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4"/>
        </w:rPr>
        <w:t>被授权人手机号码：</w:t>
      </w:r>
      <w:r>
        <w:rPr>
          <w:rFonts w:hint="eastAsia" w:asciiTheme="minorEastAsia" w:hAnsiTheme="minorEastAsia" w:eastAsiaTheme="minorEastAsia" w:cstheme="minorEastAsia"/>
          <w:b/>
          <w:sz w:val="24"/>
          <w:u w:val="single"/>
        </w:rPr>
        <w:t xml:space="preserve">                 </w:t>
      </w:r>
    </w:p>
    <w:bookmarkEnd w:id="61"/>
    <w:p>
      <w:pPr>
        <w:snapToGrid w:val="0"/>
        <w:spacing w:line="360" w:lineRule="auto"/>
        <w:jc w:val="left"/>
        <w:rPr>
          <w:rFonts w:asciiTheme="minorEastAsia" w:hAnsiTheme="minorEastAsia" w:eastAsiaTheme="minorEastAsia" w:cstheme="minorEastAsia"/>
          <w:sz w:val="24"/>
        </w:rPr>
      </w:pPr>
    </w:p>
    <w:p>
      <w:pPr>
        <w:snapToGrid w:val="0"/>
        <w:spacing w:line="360" w:lineRule="auto"/>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 xml:space="preserve">投标人:(公章)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24"/>
        </w:rPr>
        <w:t>日期:_____年___月___日</w:t>
      </w:r>
    </w:p>
    <w:p>
      <w:pPr>
        <w:snapToGrid w:val="0"/>
        <w:spacing w:before="120" w:beforeLines="50" w:after="5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rPr>
        <w:t>6.法定代表人授权委托书格式：</w:t>
      </w:r>
    </w:p>
    <w:p>
      <w:pPr>
        <w:snapToGrid w:val="0"/>
        <w:spacing w:before="120" w:beforeLines="50" w:after="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法定代表人授权委托书</w:t>
      </w:r>
    </w:p>
    <w:p>
      <w:pPr>
        <w:snapToGrid w:val="0"/>
        <w:spacing w:before="120" w:beforeLines="50" w:after="50" w:line="460" w:lineRule="exact"/>
        <w:rPr>
          <w:rFonts w:asciiTheme="minorEastAsia" w:hAnsiTheme="minorEastAsia" w:eastAsiaTheme="minorEastAsia" w:cstheme="minorEastAsia"/>
          <w:b/>
          <w:bCs/>
          <w:sz w:val="24"/>
          <w:szCs w:val="20"/>
        </w:rPr>
      </w:pPr>
      <w:r>
        <w:rPr>
          <w:rFonts w:hint="eastAsia" w:asciiTheme="minorEastAsia" w:hAnsiTheme="minorEastAsia" w:eastAsiaTheme="minorEastAsia" w:cstheme="minorEastAsia"/>
          <w:bCs/>
          <w:sz w:val="24"/>
        </w:rPr>
        <w:t>致：</w:t>
      </w:r>
      <w:r>
        <w:rPr>
          <w:rFonts w:hint="eastAsia" w:asciiTheme="minorEastAsia" w:hAnsiTheme="minorEastAsia" w:eastAsiaTheme="minorEastAsia" w:cstheme="minorEastAsia"/>
          <w:sz w:val="24"/>
        </w:rPr>
        <w:t>______</w:t>
      </w:r>
      <w:r>
        <w:rPr>
          <w:rFonts w:hint="eastAsia" w:asciiTheme="minorEastAsia" w:hAnsiTheme="minorEastAsia" w:eastAsiaTheme="minorEastAsia" w:cstheme="minorEastAsia"/>
          <w:sz w:val="24"/>
          <w:u w:val="single"/>
        </w:rPr>
        <w:t>_     _</w:t>
      </w:r>
      <w:r>
        <w:rPr>
          <w:rFonts w:hint="eastAsia" w:asciiTheme="minorEastAsia" w:hAnsiTheme="minorEastAsia" w:eastAsiaTheme="minorEastAsia" w:cstheme="minorEastAsia"/>
          <w:sz w:val="24"/>
        </w:rPr>
        <w:t>_（招标人名称）：</w:t>
      </w:r>
    </w:p>
    <w:p>
      <w:pPr>
        <w:snapToGrid w:val="0"/>
        <w:spacing w:before="120" w:beforeLines="50" w:after="50" w:line="46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我</w:t>
      </w:r>
      <w:bookmarkStart w:id="64" w:name="_Hlk12177807"/>
      <w:r>
        <w:rPr>
          <w:rFonts w:hint="eastAsia" w:asciiTheme="minorEastAsia" w:hAnsiTheme="minorEastAsia" w:eastAsiaTheme="minorEastAsia" w:cstheme="minorEastAsia"/>
          <w:sz w:val="24"/>
        </w:rPr>
        <w:t>______</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sz w:val="24"/>
        </w:rPr>
        <w:t>_</w:t>
      </w:r>
      <w:bookmarkEnd w:id="64"/>
      <w:r>
        <w:rPr>
          <w:rFonts w:hint="eastAsia" w:asciiTheme="minorEastAsia" w:hAnsiTheme="minorEastAsia" w:eastAsiaTheme="minorEastAsia" w:cstheme="minorEastAsia"/>
          <w:sz w:val="24"/>
        </w:rPr>
        <w:t>（姓名）系______</w:t>
      </w:r>
      <w:r>
        <w:rPr>
          <w:rFonts w:hint="eastAsia" w:asciiTheme="minorEastAsia" w:hAnsiTheme="minorEastAsia" w:eastAsiaTheme="minorEastAsia" w:cstheme="minorEastAsia"/>
          <w:sz w:val="24"/>
          <w:u w:val="single"/>
        </w:rPr>
        <w:t>_     _</w:t>
      </w:r>
      <w:r>
        <w:rPr>
          <w:rFonts w:hint="eastAsia" w:asciiTheme="minorEastAsia" w:hAnsiTheme="minorEastAsia" w:eastAsiaTheme="minorEastAsia" w:cstheme="minorEastAsia"/>
          <w:sz w:val="24"/>
        </w:rPr>
        <w:t xml:space="preserve">_（投标单位名称）的法定代表人，现授权委托本单位职工 </w:t>
      </w:r>
      <w:bookmarkStart w:id="65" w:name="_Hlk12177819"/>
      <w:r>
        <w:rPr>
          <w:rFonts w:hint="eastAsia" w:asciiTheme="minorEastAsia" w:hAnsiTheme="minorEastAsia" w:eastAsiaTheme="minorEastAsia" w:cstheme="minorEastAsia"/>
          <w:sz w:val="24"/>
        </w:rPr>
        <w:t>______</w:t>
      </w:r>
      <w:r>
        <w:rPr>
          <w:rFonts w:hint="eastAsia" w:asciiTheme="minorEastAsia" w:hAnsiTheme="minorEastAsia" w:eastAsiaTheme="minorEastAsia" w:cstheme="minorEastAsia"/>
          <w:sz w:val="24"/>
          <w:u w:val="single"/>
        </w:rPr>
        <w:t xml:space="preserve">_ </w:t>
      </w:r>
      <w:bookmarkEnd w:id="65"/>
      <w:r>
        <w:rPr>
          <w:rFonts w:hint="eastAsia" w:asciiTheme="minorEastAsia" w:hAnsiTheme="minorEastAsia" w:eastAsiaTheme="minorEastAsia" w:cstheme="minorEastAsia"/>
          <w:sz w:val="24"/>
        </w:rPr>
        <w:t>（姓名）以我方的名义参加______</w:t>
      </w:r>
      <w:r>
        <w:rPr>
          <w:rFonts w:hint="eastAsia" w:asciiTheme="minorEastAsia" w:hAnsiTheme="minorEastAsia" w:eastAsiaTheme="minorEastAsia" w:cstheme="minorEastAsia"/>
          <w:sz w:val="24"/>
          <w:u w:val="single"/>
        </w:rPr>
        <w:t xml:space="preserve">_          </w:t>
      </w:r>
      <w:r>
        <w:rPr>
          <w:rFonts w:hint="eastAsia" w:asciiTheme="minorEastAsia" w:hAnsiTheme="minorEastAsia" w:eastAsiaTheme="minorEastAsia" w:cstheme="minorEastAsia"/>
          <w:sz w:val="24"/>
        </w:rPr>
        <w:t>项目的投标活动，并代表我方全权办理针对上述项目的投标、开标、评标、签约等具体事务和签署相关文件。</w:t>
      </w:r>
    </w:p>
    <w:p>
      <w:pPr>
        <w:snapToGrid w:val="0"/>
        <w:spacing w:before="120" w:beforeLines="50" w:after="50" w:line="460" w:lineRule="exac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 xml:space="preserve">    我方对被授权人的签名事项负全部责任。</w:t>
      </w:r>
    </w:p>
    <w:p>
      <w:pPr>
        <w:snapToGrid w:val="0"/>
        <w:spacing w:before="120" w:beforeLines="50" w:after="50" w:line="46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u w:val="single"/>
        </w:rPr>
        <w:t>在撤销授权的书面通知以前，本授权书一直有效。</w:t>
      </w:r>
      <w:r>
        <w:rPr>
          <w:rFonts w:hint="eastAsia" w:asciiTheme="minorEastAsia" w:hAnsiTheme="minorEastAsia" w:eastAsiaTheme="minorEastAsia" w:cstheme="minorEastAsia"/>
          <w:sz w:val="24"/>
        </w:rPr>
        <w:t>被授权人在授权书有效期内签署的所有文件不因授权的撤销而失效。</w:t>
      </w:r>
    </w:p>
    <w:p>
      <w:pPr>
        <w:snapToGrid w:val="0"/>
        <w:spacing w:before="120" w:beforeLines="50" w:after="50" w:line="46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被授权人无转委托权，特此委托。</w:t>
      </w:r>
    </w:p>
    <w:p>
      <w:pPr>
        <w:snapToGrid w:val="0"/>
        <w:spacing w:before="120" w:beforeLines="50" w:after="50" w:line="4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u w:val="single"/>
        </w:rPr>
        <w:t>法定代表人签名或盖章：</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u w:val="single"/>
        </w:rPr>
        <w:t xml:space="preserve">被授权人签字： </w:t>
      </w:r>
      <w:r>
        <w:rPr>
          <w:rFonts w:hint="eastAsia" w:asciiTheme="minorEastAsia" w:hAnsiTheme="minorEastAsia" w:eastAsiaTheme="minorEastAsia" w:cstheme="minorEastAsia"/>
          <w:sz w:val="28"/>
          <w:szCs w:val="28"/>
        </w:rPr>
        <w:t xml:space="preserve">               </w:t>
      </w:r>
    </w:p>
    <w:p>
      <w:pPr>
        <w:snapToGrid w:val="0"/>
        <w:spacing w:before="120" w:beforeLines="50" w:after="50" w:line="460" w:lineRule="exact"/>
        <w:rPr>
          <w:rFonts w:asciiTheme="minorEastAsia" w:hAnsiTheme="minorEastAsia" w:eastAsiaTheme="minorEastAsia" w:cstheme="minorEastAsia"/>
          <w:sz w:val="24"/>
          <w:szCs w:val="20"/>
          <w:u w:val="single"/>
        </w:rPr>
      </w:pPr>
    </w:p>
    <w:p>
      <w:pPr>
        <w:snapToGrid w:val="0"/>
        <w:spacing w:before="120" w:beforeLines="50" w:after="50" w:line="46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法定代表人身份证复印件            被授权人身份证复印件</w:t>
      </w:r>
    </w:p>
    <w:tbl>
      <w:tblPr>
        <w:tblStyle w:val="51"/>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身份证复印件粘贴处，正反两面均复印，复印件清晰可认。</w:t>
            </w:r>
          </w:p>
        </w:tc>
        <w:tc>
          <w:tcPr>
            <w:tcW w:w="4961" w:type="dxa"/>
          </w:tcPr>
          <w:p>
            <w:pPr>
              <w:spacing w:line="36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rFonts w:asciiTheme="minorEastAsia" w:hAnsiTheme="minorEastAsia" w:eastAsiaTheme="minorEastAsia" w:cstheme="minorEastAsia"/>
                <w:sz w:val="30"/>
                <w:szCs w:val="30"/>
              </w:rPr>
            </w:pPr>
          </w:p>
        </w:tc>
        <w:tc>
          <w:tcPr>
            <w:tcW w:w="4961" w:type="dxa"/>
          </w:tcPr>
          <w:p>
            <w:pPr>
              <w:spacing w:line="360" w:lineRule="auto"/>
              <w:rPr>
                <w:rFonts w:asciiTheme="minorEastAsia" w:hAnsiTheme="minorEastAsia" w:eastAsiaTheme="minorEastAsia" w:cstheme="minorEastAsia"/>
                <w:sz w:val="30"/>
                <w:szCs w:val="30"/>
              </w:rPr>
            </w:pPr>
          </w:p>
        </w:tc>
      </w:tr>
    </w:tbl>
    <w:p>
      <w:pPr>
        <w:snapToGrid w:val="0"/>
        <w:spacing w:before="120" w:beforeLines="50" w:after="50" w:line="46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4"/>
        </w:rPr>
        <w:t>投标人:(公章)</w:t>
      </w:r>
    </w:p>
    <w:p>
      <w:pPr>
        <w:snapToGrid w:val="0"/>
        <w:spacing w:before="120" w:beforeLines="50" w:after="50"/>
        <w:jc w:val="cente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t xml:space="preserve">                                        日期：  _____年___月___日</w:t>
      </w:r>
    </w:p>
    <w:p>
      <w:pPr>
        <w:snapToGrid w:val="0"/>
        <w:spacing w:before="50" w:after="120" w:afterLine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7.项目负责人简历：</w:t>
      </w:r>
    </w:p>
    <w:p>
      <w:pPr>
        <w:snapToGrid w:val="0"/>
        <w:spacing w:before="50" w:after="120" w:afterLines="50"/>
        <w:jc w:val="left"/>
        <w:rPr>
          <w:rFonts w:asciiTheme="minorEastAsia" w:hAnsiTheme="minorEastAsia" w:eastAsiaTheme="minorEastAsia" w:cstheme="minorEastAsia"/>
          <w:sz w:val="24"/>
          <w:szCs w:val="20"/>
        </w:rPr>
      </w:pPr>
    </w:p>
    <w:p>
      <w:pPr>
        <w:jc w:val="center"/>
        <w:rPr>
          <w:rFonts w:asciiTheme="minorEastAsia" w:hAnsiTheme="minorEastAsia" w:eastAsiaTheme="minorEastAsia" w:cstheme="minorEastAsia"/>
          <w:snapToGrid w:val="0"/>
          <w:sz w:val="28"/>
        </w:rPr>
      </w:pPr>
      <w:r>
        <w:rPr>
          <w:rFonts w:hint="eastAsia" w:asciiTheme="minorEastAsia" w:hAnsiTheme="minorEastAsia" w:eastAsiaTheme="minorEastAsia" w:cstheme="minorEastAsia"/>
          <w:snapToGrid w:val="0"/>
          <w:sz w:val="28"/>
        </w:rPr>
        <w:t>项目负责人简历表</w:t>
      </w:r>
    </w:p>
    <w:p>
      <w:pPr>
        <w:snapToGrid w:val="0"/>
        <w:spacing w:before="120" w:beforeLines="50" w:after="50" w:line="360" w:lineRule="auto"/>
        <w:jc w:val="center"/>
        <w:rPr>
          <w:rFonts w:asciiTheme="minorEastAsia" w:hAnsiTheme="minorEastAsia" w:eastAsiaTheme="minorEastAsia" w:cstheme="minorEastAsia"/>
          <w:bCs/>
          <w:sz w:val="24"/>
        </w:rPr>
      </w:pPr>
    </w:p>
    <w:p>
      <w:pPr>
        <w:snapToGrid w:val="0"/>
        <w:spacing w:before="120" w:beforeLines="50" w:after="50"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项目名称：</w:t>
      </w:r>
    </w:p>
    <w:p>
      <w:pPr>
        <w:snapToGrid w:val="0"/>
        <w:spacing w:before="120" w:beforeLines="50" w:after="50" w:line="480" w:lineRule="auto"/>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项目编号：</w:t>
      </w:r>
    </w:p>
    <w:tbl>
      <w:tblPr>
        <w:tblStyle w:val="51"/>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Theme="minorEastAsia" w:hAnsiTheme="minorEastAsia" w:eastAsiaTheme="minorEastAsia" w:cstheme="minorEastAsia"/>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Theme="minorEastAsia" w:hAnsiTheme="minorEastAsia" w:eastAsiaTheme="minorEastAsia" w:cstheme="minorEastAsia"/>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Theme="minorEastAsia" w:hAnsiTheme="minorEastAsia" w:eastAsiaTheme="minorEastAsia" w:cstheme="minorEastAsia"/>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Theme="minorEastAsia" w:hAnsiTheme="minorEastAsia" w:eastAsiaTheme="minorEastAsia" w:cstheme="minorEastAsia"/>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Theme="minorEastAsia" w:hAnsiTheme="minorEastAsia" w:eastAsiaTheme="minorEastAsia" w:cstheme="minorEastAsia"/>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Theme="minorEastAsia" w:hAnsiTheme="minorEastAsia" w:eastAsiaTheme="minorEastAsia" w:cstheme="minorEastAsia"/>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Theme="minorEastAsia" w:hAnsiTheme="minorEastAsia" w:eastAsiaTheme="minorEastAsia" w:cstheme="minorEastAsia"/>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Theme="minorEastAsia" w:hAnsiTheme="minorEastAsia" w:eastAsiaTheme="minorEastAsia" w:cstheme="minorEastAsia"/>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Theme="minorEastAsia" w:hAnsiTheme="minorEastAsia" w:eastAsiaTheme="minorEastAsia" w:cstheme="minorEastAsia"/>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Theme="minorEastAsia" w:hAnsiTheme="minorEastAsia" w:eastAsiaTheme="minorEastAsia" w:cstheme="minorEastAsia"/>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Theme="minorEastAsia" w:hAnsiTheme="minorEastAsia" w:eastAsiaTheme="minorEastAsia" w:cstheme="minorEastAsia"/>
                <w:sz w:val="28"/>
                <w:u w:color="000000"/>
              </w:rPr>
            </w:pPr>
            <w:r>
              <w:rPr>
                <w:rFonts w:hint="eastAsia" w:asciiTheme="minorEastAsia" w:hAnsiTheme="minorEastAsia" w:eastAsiaTheme="minorEastAsia" w:cstheme="minorEastAsia"/>
                <w:sz w:val="28"/>
              </w:rPr>
              <w:t>简</w:t>
            </w:r>
          </w:p>
          <w:p>
            <w:pPr>
              <w:jc w:val="center"/>
              <w:rPr>
                <w:rFonts w:asciiTheme="minorEastAsia" w:hAnsiTheme="minorEastAsia" w:eastAsiaTheme="minorEastAsia" w:cstheme="minorEastAsia"/>
                <w:sz w:val="28"/>
              </w:rPr>
            </w:pPr>
          </w:p>
          <w:p>
            <w:pPr>
              <w:jc w:val="center"/>
              <w:rPr>
                <w:rFonts w:asciiTheme="minorEastAsia" w:hAnsiTheme="minorEastAsia" w:eastAsiaTheme="minorEastAsia" w:cstheme="minorEastAsia"/>
                <w:sz w:val="28"/>
              </w:rPr>
            </w:pPr>
          </w:p>
          <w:p>
            <w:pPr>
              <w:spacing w:line="351" w:lineRule="atLeast"/>
              <w:jc w:val="center"/>
              <w:rPr>
                <w:rFonts w:asciiTheme="minorEastAsia" w:hAnsiTheme="minorEastAsia" w:eastAsiaTheme="minorEastAsia" w:cstheme="minorEastAsia"/>
                <w:u w:color="000000"/>
              </w:rPr>
            </w:pPr>
            <w:r>
              <w:rPr>
                <w:rFonts w:hint="eastAsia" w:asciiTheme="minorEastAsia" w:hAnsiTheme="minorEastAsia" w:eastAsiaTheme="minorEastAsia" w:cstheme="minorEastAsia"/>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Theme="minorEastAsia" w:hAnsiTheme="minorEastAsia" w:eastAsiaTheme="minorEastAsia" w:cstheme="minorEastAsia"/>
                <w:u w:color="000000"/>
              </w:rPr>
            </w:pPr>
          </w:p>
        </w:tc>
      </w:tr>
    </w:tbl>
    <w:p>
      <w:pPr>
        <w:rPr>
          <w:rFonts w:asciiTheme="minorEastAsia" w:hAnsiTheme="minorEastAsia" w:eastAsiaTheme="minorEastAsia" w:cstheme="minorEastAsia"/>
          <w:bCs/>
          <w:snapToGrid w:val="0"/>
        </w:rPr>
      </w:pPr>
    </w:p>
    <w:p>
      <w:pPr>
        <w:snapToGrid w:val="0"/>
        <w:spacing w:before="50" w:after="120" w:afterLines="50"/>
        <w:jc w:val="left"/>
        <w:rPr>
          <w:rFonts w:asciiTheme="minorEastAsia" w:hAnsiTheme="minorEastAsia" w:eastAsiaTheme="minorEastAsia" w:cstheme="minorEastAsia"/>
          <w:b/>
          <w:spacing w:val="20"/>
          <w:sz w:val="24"/>
        </w:rPr>
      </w:pPr>
      <w:bookmarkStart w:id="66" w:name="_Hlk60757472"/>
      <w:r>
        <w:rPr>
          <w:rFonts w:hint="eastAsia" w:asciiTheme="minorEastAsia" w:hAnsiTheme="minorEastAsia" w:eastAsiaTheme="minorEastAsia" w:cstheme="minorEastAsia"/>
          <w:b/>
          <w:spacing w:val="20"/>
          <w:sz w:val="24"/>
        </w:rPr>
        <w:t>法定代表人签字（或盖章）：            投标人（盖章）：</w:t>
      </w:r>
    </w:p>
    <w:p>
      <w:pPr>
        <w:snapToGrid w:val="0"/>
        <w:spacing w:before="50" w:after="120" w:afterLines="50"/>
        <w:jc w:val="left"/>
        <w:rPr>
          <w:rFonts w:asciiTheme="minorEastAsia" w:hAnsiTheme="minorEastAsia" w:eastAsiaTheme="minorEastAsia" w:cstheme="minorEastAsia"/>
          <w:b/>
          <w:sz w:val="24"/>
        </w:rPr>
      </w:pPr>
    </w:p>
    <w:p>
      <w:pPr>
        <w:snapToGrid w:val="0"/>
        <w:spacing w:before="50" w:after="120" w:afterLine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日期：  _____年___月___日</w:t>
      </w:r>
      <w:r>
        <w:rPr>
          <w:rFonts w:hint="eastAsia" w:asciiTheme="minorEastAsia" w:hAnsiTheme="minorEastAsia" w:eastAsiaTheme="minorEastAsia" w:cstheme="minorEastAsia"/>
          <w:b/>
          <w:sz w:val="24"/>
        </w:rPr>
        <w:br w:type="page"/>
      </w:r>
      <w:bookmarkEnd w:id="66"/>
      <w:r>
        <w:rPr>
          <w:rFonts w:hint="eastAsia" w:asciiTheme="minorEastAsia" w:hAnsiTheme="minorEastAsia" w:eastAsiaTheme="minorEastAsia" w:cstheme="minorEastAsia"/>
          <w:sz w:val="24"/>
        </w:rPr>
        <w:t>8、项目实施人员一览表格式</w:t>
      </w:r>
    </w:p>
    <w:p>
      <w:pPr>
        <w:snapToGrid w:val="0"/>
        <w:spacing w:before="50" w:after="120" w:afterLines="50"/>
        <w:jc w:val="left"/>
        <w:rPr>
          <w:rFonts w:asciiTheme="minorEastAsia" w:hAnsiTheme="minorEastAsia" w:eastAsiaTheme="minorEastAsia" w:cstheme="minorEastAsia"/>
          <w:sz w:val="24"/>
          <w:szCs w:val="20"/>
        </w:rPr>
      </w:pPr>
    </w:p>
    <w:p>
      <w:pPr>
        <w:snapToGrid w:val="0"/>
        <w:spacing w:before="120" w:beforeLines="50" w:after="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项目实施人员（主要从业人员及其技术资格）一览表</w:t>
      </w:r>
    </w:p>
    <w:p>
      <w:pPr>
        <w:snapToGrid w:val="0"/>
        <w:spacing w:before="120" w:beforeLines="50" w:after="50"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项目名称：</w:t>
      </w:r>
    </w:p>
    <w:p>
      <w:pPr>
        <w:snapToGrid w:val="0"/>
        <w:spacing w:before="120" w:beforeLines="50" w:after="50"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tbl>
      <w:tblPr>
        <w:tblStyle w:val="51"/>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pStyle w:val="31"/>
              <w:snapToGrid w:val="0"/>
              <w:spacing w:before="120" w:beforeLines="50" w:after="50" w:line="360" w:lineRule="auto"/>
              <w:ind w:left="5250"/>
              <w:rPr>
                <w:rFonts w:asciiTheme="minorEastAsia" w:hAnsiTheme="minorEastAsia" w:eastAsiaTheme="minorEastAsia" w:cstheme="minorEastAsia"/>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Theme="minorEastAsia" w:hAnsiTheme="minorEastAsia" w:eastAsiaTheme="minorEastAsia" w:cstheme="minorEastAsia"/>
                <w:sz w:val="24"/>
              </w:rPr>
            </w:pPr>
          </w:p>
        </w:tc>
      </w:tr>
    </w:tbl>
    <w:p>
      <w:pPr>
        <w:snapToGrid w:val="0"/>
        <w:spacing w:before="120" w:beforeLines="50" w:after="50" w:line="480" w:lineRule="auto"/>
        <w:rPr>
          <w:rFonts w:asciiTheme="minorEastAsia" w:hAnsiTheme="minorEastAsia" w:eastAsiaTheme="minorEastAsia" w:cstheme="minorEastAsia"/>
          <w:bCs/>
          <w:sz w:val="24"/>
        </w:rPr>
      </w:pPr>
    </w:p>
    <w:p>
      <w:pPr>
        <w:snapToGrid w:val="0"/>
        <w:spacing w:before="50" w:after="120" w:afterLines="5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注：在填写时，如本表格不适合投标人的实际情况，可根据本表格式自行划表填写。</w:t>
      </w:r>
    </w:p>
    <w:p>
      <w:pPr>
        <w:snapToGrid w:val="0"/>
        <w:spacing w:before="50" w:after="120" w:afterLines="50" w:line="360" w:lineRule="auto"/>
        <w:jc w:val="left"/>
        <w:rPr>
          <w:rFonts w:asciiTheme="minorEastAsia" w:hAnsiTheme="minorEastAsia" w:eastAsiaTheme="minorEastAsia" w:cstheme="minorEastAsia"/>
          <w:sz w:val="24"/>
          <w:szCs w:val="20"/>
        </w:rPr>
      </w:pPr>
    </w:p>
    <w:p>
      <w:pPr>
        <w:snapToGrid w:val="0"/>
        <w:spacing w:before="50" w:after="120" w:afterLines="50" w:line="360" w:lineRule="auto"/>
        <w:jc w:val="left"/>
        <w:rPr>
          <w:rFonts w:asciiTheme="minorEastAsia" w:hAnsiTheme="minorEastAsia" w:eastAsiaTheme="minorEastAsia" w:cstheme="minorEastAsia"/>
          <w:sz w:val="24"/>
          <w:szCs w:val="20"/>
        </w:rPr>
      </w:pPr>
    </w:p>
    <w:p>
      <w:pPr>
        <w:snapToGrid w:val="0"/>
        <w:spacing w:before="50" w:after="50" w:line="360" w:lineRule="auto"/>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pacing w:val="20"/>
          <w:sz w:val="24"/>
        </w:rPr>
        <w:t xml:space="preserve">法定代表人签字（或盖章）：            投标人（盖章）：          </w:t>
      </w:r>
    </w:p>
    <w:p>
      <w:pPr>
        <w:pStyle w:val="30"/>
        <w:snapToGrid w:val="0"/>
        <w:spacing w:beforeLines="0" w:afterLines="0" w:line="240" w:lineRule="auto"/>
        <w:rPr>
          <w:rFonts w:asciiTheme="minorEastAsia" w:hAnsiTheme="minorEastAsia" w:eastAsiaTheme="minorEastAsia" w:cstheme="minorEastAsia"/>
          <w:b/>
        </w:rPr>
      </w:pPr>
    </w:p>
    <w:p>
      <w:pPr>
        <w:pStyle w:val="30"/>
        <w:snapToGrid w:val="0"/>
        <w:spacing w:beforeLines="0" w:afterLines="0" w:line="24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日期：  _____年___月___日</w:t>
      </w:r>
    </w:p>
    <w:p>
      <w:pPr>
        <w:pStyle w:val="30"/>
        <w:snapToGrid w:val="0"/>
        <w:spacing w:beforeLines="0" w:afterLines="0" w:line="240" w:lineRule="auto"/>
        <w:rPr>
          <w:rFonts w:asciiTheme="minorEastAsia" w:hAnsiTheme="minorEastAsia" w:eastAsiaTheme="minorEastAsia" w:cstheme="minorEastAsia"/>
        </w:rPr>
      </w:pPr>
    </w:p>
    <w:p>
      <w:pPr>
        <w:pStyle w:val="30"/>
        <w:snapToGrid w:val="0"/>
        <w:spacing w:beforeLines="0" w:afterLines="0" w:line="240" w:lineRule="auto"/>
        <w:rPr>
          <w:rFonts w:asciiTheme="minorEastAsia" w:hAnsiTheme="minorEastAsia" w:eastAsiaTheme="minorEastAsia" w:cstheme="minorEastAsia"/>
        </w:rPr>
        <w:sectPr>
          <w:footerReference r:id="rId7" w:type="default"/>
          <w:pgSz w:w="11906" w:h="16838"/>
          <w:pgMar w:top="1021" w:right="1588" w:bottom="851" w:left="1588" w:header="567" w:footer="454" w:gutter="0"/>
          <w:cols w:space="720" w:num="1"/>
          <w:docGrid w:linePitch="286" w:charSpace="0"/>
        </w:sectPr>
      </w:pPr>
    </w:p>
    <w:p>
      <w:pPr>
        <w:snapToGrid w:val="0"/>
        <w:spacing w:before="50" w:after="120" w:afterLines="50"/>
        <w:ind w:firstLine="360" w:firstLine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9.投标人类似合同案例一览表格式：</w:t>
      </w:r>
    </w:p>
    <w:p>
      <w:pPr>
        <w:snapToGrid w:val="0"/>
        <w:spacing w:before="50" w:after="120" w:afterLine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投标人类似合同案例一览表</w:t>
      </w:r>
    </w:p>
    <w:p>
      <w:pPr>
        <w:snapToGrid w:val="0"/>
        <w:spacing w:before="120" w:beforeLines="50" w:after="50" w:line="480" w:lineRule="auto"/>
        <w:ind w:firstLine="1068" w:firstLineChars="445"/>
        <w:rPr>
          <w:rFonts w:asciiTheme="minorEastAsia" w:hAnsiTheme="minorEastAsia" w:eastAsiaTheme="minorEastAsia" w:cstheme="minorEastAsia"/>
          <w:bCs/>
          <w:sz w:val="24"/>
        </w:rPr>
      </w:pPr>
    </w:p>
    <w:p>
      <w:pPr>
        <w:snapToGrid w:val="0"/>
        <w:spacing w:before="120" w:beforeLines="50" w:after="50" w:line="480" w:lineRule="auto"/>
        <w:ind w:firstLine="1068" w:firstLineChars="445"/>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 xml:space="preserve">项目名称：                                            </w:t>
      </w:r>
      <w:r>
        <w:rPr>
          <w:rFonts w:hint="eastAsia" w:asciiTheme="minorEastAsia" w:hAnsiTheme="minorEastAsia" w:eastAsiaTheme="minorEastAsia" w:cstheme="minorEastAsia"/>
          <w:sz w:val="24"/>
        </w:rPr>
        <w:t>项目编号：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合同金额（万元）</w:t>
            </w:r>
          </w:p>
        </w:tc>
        <w:tc>
          <w:tcPr>
            <w:tcW w:w="1843" w:type="dxa"/>
            <w:tcBorders>
              <w:top w:val="single" w:color="auto" w:sz="4" w:space="0"/>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合同签订时间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招标人联系人</w:t>
            </w: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cstheme="minorEastAsia"/>
                <w:sz w:val="24"/>
                <w:szCs w:val="20"/>
              </w:rPr>
            </w:pPr>
          </w:p>
        </w:tc>
      </w:tr>
    </w:tbl>
    <w:p>
      <w:pPr>
        <w:pStyle w:val="14"/>
        <w:snapToGrid w:val="0"/>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14"/>
        <w:snapToGrid w:val="0"/>
        <w:ind w:firstLine="361" w:firstLineChars="150"/>
        <w:rPr>
          <w:rFonts w:asciiTheme="minorEastAsia" w:hAnsiTheme="minorEastAsia" w:eastAsiaTheme="minorEastAsia" w:cstheme="minorEastAsia"/>
          <w:b/>
          <w:sz w:val="24"/>
          <w:szCs w:val="24"/>
        </w:rPr>
      </w:pPr>
    </w:p>
    <w:p>
      <w:pPr>
        <w:pStyle w:val="14"/>
        <w:snapToGrid w:val="0"/>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法定代表人签字（或盖章）：                            投标人（盖章）：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日期：  _____年___月___日</w:t>
      </w:r>
    </w:p>
    <w:p>
      <w:pPr>
        <w:pStyle w:val="14"/>
        <w:snapToGrid w:val="0"/>
        <w:rPr>
          <w:rFonts w:asciiTheme="minorEastAsia" w:hAnsiTheme="minorEastAsia" w:eastAsiaTheme="minorEastAsia" w:cstheme="minorEastAsia"/>
          <w:sz w:val="24"/>
          <w:szCs w:val="24"/>
        </w:rPr>
        <w:sectPr>
          <w:pgSz w:w="16838" w:h="11906" w:orient="landscape"/>
          <w:pgMar w:top="1588" w:right="1021" w:bottom="1588" w:left="851" w:header="851" w:footer="851" w:gutter="0"/>
          <w:cols w:space="720" w:num="1"/>
        </w:sectPr>
      </w:pPr>
    </w:p>
    <w:p>
      <w:pPr>
        <w:snapToGrid w:val="0"/>
        <w:spacing w:before="50" w:after="120" w:afterLines="50"/>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10.售后服务网点情况表格式：</w:t>
      </w:r>
    </w:p>
    <w:p>
      <w:pPr>
        <w:snapToGrid w:val="0"/>
        <w:spacing w:before="50" w:after="120" w:afterLines="50"/>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 </w:t>
      </w:r>
    </w:p>
    <w:p>
      <w:pPr>
        <w:pStyle w:val="39"/>
        <w:snapToGrid w:val="0"/>
        <w:ind w:left="480" w:hanging="480"/>
        <w:rPr>
          <w:rFonts w:asciiTheme="minorEastAsia" w:hAnsiTheme="minorEastAsia" w:eastAsiaTheme="minorEastAsia" w:cstheme="minorEastAsia"/>
          <w:sz w:val="24"/>
        </w:rPr>
      </w:pPr>
    </w:p>
    <w:p>
      <w:pPr>
        <w:pStyle w:val="39"/>
        <w:snapToGrid w:val="0"/>
        <w:ind w:left="482" w:hanging="48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售后服务网点情况表</w:t>
      </w:r>
    </w:p>
    <w:p>
      <w:pPr>
        <w:snapToGrid w:val="0"/>
        <w:spacing w:before="120" w:beforeLines="50" w:after="50" w:line="360" w:lineRule="auto"/>
        <w:jc w:val="center"/>
        <w:rPr>
          <w:rFonts w:asciiTheme="minorEastAsia" w:hAnsiTheme="minorEastAsia" w:eastAsiaTheme="minorEastAsia" w:cstheme="minorEastAsia"/>
          <w:bCs/>
          <w:sz w:val="24"/>
        </w:rPr>
      </w:pPr>
    </w:p>
    <w:p>
      <w:pPr>
        <w:snapToGrid w:val="0"/>
        <w:spacing w:before="120" w:beforeLines="50" w:after="50" w:line="480" w:lineRule="auto"/>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项目名称：</w:t>
      </w:r>
    </w:p>
    <w:p>
      <w:pPr>
        <w:snapToGrid w:val="0"/>
        <w:spacing w:before="120" w:beforeLines="50" w:after="50" w:line="48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项目编号：</w:t>
      </w:r>
    </w:p>
    <w:tbl>
      <w:tblPr>
        <w:tblStyle w:val="51"/>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其中：投标人出资比例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120"/>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Theme="minorEastAsia" w:hAnsiTheme="minorEastAsia" w:eastAsiaTheme="minorEastAsia" w:cstheme="minorEastAsia"/>
                <w:sz w:val="24"/>
                <w:szCs w:val="20"/>
              </w:rPr>
            </w:pPr>
          </w:p>
        </w:tc>
      </w:tr>
    </w:tbl>
    <w:p>
      <w:pPr>
        <w:pStyle w:val="39"/>
        <w:snapToGrid w:val="0"/>
        <w:ind w:left="199" w:hanging="199" w:hangingChars="83"/>
        <w:rPr>
          <w:rFonts w:asciiTheme="minorEastAsia" w:hAnsiTheme="minorEastAsia" w:eastAsiaTheme="minorEastAsia" w:cstheme="minorEastAsia"/>
          <w:sz w:val="24"/>
        </w:rPr>
      </w:pPr>
    </w:p>
    <w:p>
      <w:pPr>
        <w:pStyle w:val="14"/>
        <w:snapToGrid w:val="0"/>
        <w:rPr>
          <w:rFonts w:asciiTheme="minorEastAsia" w:hAnsiTheme="minorEastAsia" w:eastAsiaTheme="minorEastAsia" w:cstheme="minorEastAsia"/>
          <w:sz w:val="24"/>
        </w:rPr>
      </w:pPr>
    </w:p>
    <w:p>
      <w:pPr>
        <w:pStyle w:val="20"/>
        <w:snapToGrid w:val="0"/>
        <w:rPr>
          <w:rFonts w:asciiTheme="minorEastAsia" w:hAnsiTheme="minorEastAsia" w:eastAsiaTheme="minorEastAsia" w:cstheme="minorEastAsia"/>
          <w:b/>
          <w:sz w:val="24"/>
        </w:rPr>
      </w:pPr>
      <w:r>
        <w:rPr>
          <w:rFonts w:hint="eastAsia" w:asciiTheme="minorEastAsia" w:hAnsiTheme="minorEastAsia" w:eastAsiaTheme="minorEastAsia" w:cstheme="minorEastAsia"/>
          <w:b/>
          <w:spacing w:val="20"/>
          <w:sz w:val="24"/>
        </w:rPr>
        <w:t xml:space="preserve">法定代表人签字（或盖章）：            投标人（盖章）： </w:t>
      </w:r>
      <w:r>
        <w:rPr>
          <w:rFonts w:hint="eastAsia" w:asciiTheme="minorEastAsia" w:hAnsiTheme="minorEastAsia" w:eastAsiaTheme="minorEastAsia" w:cstheme="minorEastAsia"/>
          <w:b/>
          <w:sz w:val="24"/>
        </w:rPr>
        <w:t xml:space="preserve">           　 </w:t>
      </w:r>
    </w:p>
    <w:p>
      <w:pPr>
        <w:pStyle w:val="20"/>
        <w:snapToGrid w:val="0"/>
        <w:rPr>
          <w:rFonts w:asciiTheme="minorEastAsia" w:hAnsiTheme="minorEastAsia" w:eastAsiaTheme="minorEastAsia" w:cstheme="minorEastAsia"/>
          <w:b/>
          <w:sz w:val="24"/>
        </w:rPr>
      </w:pPr>
    </w:p>
    <w:p>
      <w:pPr>
        <w:snapToGrid w:val="0"/>
        <w:spacing w:before="50" w:after="120" w:afterLines="50"/>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kern w:val="0"/>
          <w:sz w:val="24"/>
        </w:rPr>
        <w:t>日期：  _____年___月___日</w:t>
      </w:r>
    </w:p>
    <w:p>
      <w:pPr>
        <w:snapToGrid w:val="0"/>
        <w:spacing w:before="50"/>
        <w:jc w:val="left"/>
        <w:rPr>
          <w:rFonts w:asciiTheme="minorEastAsia" w:hAnsiTheme="minorEastAsia" w:eastAsiaTheme="minorEastAsia" w:cstheme="minorEastAsia"/>
          <w:sz w:val="24"/>
        </w:rPr>
      </w:pPr>
    </w:p>
    <w:p>
      <w:pPr>
        <w:snapToGrid w:val="0"/>
        <w:spacing w:before="50"/>
        <w:jc w:val="left"/>
        <w:rPr>
          <w:rFonts w:asciiTheme="minorEastAsia" w:hAnsiTheme="minorEastAsia" w:eastAsiaTheme="minorEastAsia" w:cstheme="minorEastAsia"/>
          <w:sz w:val="24"/>
        </w:rPr>
      </w:pPr>
    </w:p>
    <w:p>
      <w:pPr>
        <w:snapToGrid w:val="0"/>
        <w:spacing w:before="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bookmarkStart w:id="67" w:name="_Hlk77588362"/>
      <w:r>
        <w:rPr>
          <w:rFonts w:hint="eastAsia" w:asciiTheme="minorEastAsia" w:hAnsiTheme="minorEastAsia" w:eastAsiaTheme="minorEastAsia" w:cstheme="minorEastAsia"/>
          <w:sz w:val="24"/>
        </w:rPr>
        <w:t>11.商务及技术响应表格式：</w:t>
      </w:r>
      <w:bookmarkEnd w:id="67"/>
    </w:p>
    <w:p>
      <w:pPr>
        <w:snapToGrid w:val="0"/>
        <w:spacing w:before="50"/>
        <w:jc w:val="left"/>
        <w:rPr>
          <w:rFonts w:asciiTheme="minorEastAsia" w:hAnsiTheme="minorEastAsia" w:eastAsiaTheme="minorEastAsia" w:cstheme="minorEastAsia"/>
          <w:sz w:val="24"/>
        </w:rPr>
      </w:pPr>
    </w:p>
    <w:p>
      <w:pPr>
        <w:snapToGrid w:val="0"/>
        <w:spacing w:before="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商务及技术响应表</w:t>
      </w:r>
    </w:p>
    <w:p>
      <w:pPr>
        <w:snapToGrid w:val="0"/>
        <w:spacing w:before="120" w:beforeLines="50" w:after="50" w:line="360" w:lineRule="auto"/>
        <w:jc w:val="center"/>
        <w:rPr>
          <w:rFonts w:asciiTheme="minorEastAsia" w:hAnsiTheme="minorEastAsia" w:eastAsiaTheme="minorEastAsia" w:cstheme="minorEastAsia"/>
          <w:bCs/>
          <w:sz w:val="24"/>
        </w:rPr>
      </w:pPr>
    </w:p>
    <w:p>
      <w:pPr>
        <w:snapToGrid w:val="0"/>
        <w:spacing w:before="120" w:beforeLines="50" w:after="50"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项目名称：</w:t>
      </w:r>
    </w:p>
    <w:p>
      <w:pPr>
        <w:snapToGrid w:val="0"/>
        <w:spacing w:before="120" w:beforeLines="50" w:after="50" w:line="48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项目编号：</w:t>
      </w:r>
    </w:p>
    <w:tbl>
      <w:tblPr>
        <w:tblStyle w:val="51"/>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w:t>
            </w:r>
          </w:p>
          <w:p>
            <w:pPr>
              <w:snapToGrid w:val="0"/>
              <w:spacing w:before="120" w:beforeLines="50" w:line="360" w:lineRule="exact"/>
              <w:jc w:val="cente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t>响应</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相应内容在投标文件中页码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Theme="minorEastAsia" w:hAnsiTheme="minorEastAsia" w:eastAsiaTheme="minorEastAsia" w:cstheme="minorEastAsia"/>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Theme="minorEastAsia" w:hAnsiTheme="minorEastAsia" w:eastAsiaTheme="minorEastAsia" w:cstheme="minorEastAsia"/>
                <w:sz w:val="24"/>
                <w:szCs w:val="20"/>
              </w:rPr>
            </w:pPr>
          </w:p>
        </w:tc>
      </w:tr>
    </w:tbl>
    <w:p>
      <w:pPr>
        <w:snapToGrid w:val="0"/>
        <w:spacing w:line="400" w:lineRule="exact"/>
        <w:rPr>
          <w:rFonts w:asciiTheme="minorEastAsia" w:hAnsiTheme="minorEastAsia" w:eastAsiaTheme="minorEastAsia" w:cstheme="minorEastAsia"/>
          <w:b/>
          <w:sz w:val="24"/>
          <w:szCs w:val="20"/>
          <w:u w:val="single"/>
        </w:rPr>
      </w:pPr>
      <w:r>
        <w:rPr>
          <w:rFonts w:hint="eastAsia" w:asciiTheme="minorEastAsia" w:hAnsiTheme="minorEastAsia" w:eastAsiaTheme="minorEastAsia" w:cstheme="minorEastAsia"/>
          <w:b/>
          <w:sz w:val="24"/>
          <w:szCs w:val="20"/>
          <w:u w:val="single"/>
        </w:rPr>
        <w:t>特别说明：</w:t>
      </w:r>
    </w:p>
    <w:p>
      <w:pPr>
        <w:snapToGrid w:val="0"/>
        <w:spacing w:line="400" w:lineRule="exac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u w:val="single"/>
        </w:rPr>
        <w:t>1、投标人应在此表中将招标文件中列明</w:t>
      </w:r>
      <w:bookmarkStart w:id="68" w:name="_Hlk535995896"/>
      <w:r>
        <w:rPr>
          <w:rFonts w:hint="eastAsia" w:asciiTheme="minorEastAsia" w:hAnsiTheme="minorEastAsia" w:eastAsiaTheme="minorEastAsia" w:cstheme="minorEastAsia"/>
          <w:b/>
          <w:sz w:val="24"/>
          <w:u w:val="single"/>
        </w:rPr>
        <w:t>的商务要求和技术参数要求的正偏离或负偏离的应标内容详细写明，</w:t>
      </w:r>
      <w:bookmarkEnd w:id="68"/>
      <w:r>
        <w:rPr>
          <w:rFonts w:hint="eastAsia" w:asciiTheme="minorEastAsia" w:hAnsiTheme="minorEastAsia" w:eastAsiaTheme="minorEastAsia" w:cstheme="minorEastAsia"/>
          <w:b/>
          <w:sz w:val="24"/>
          <w:u w:val="single"/>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pPr>
        <w:snapToGrid w:val="0"/>
        <w:spacing w:line="400" w:lineRule="exac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u w:val="single"/>
        </w:rPr>
        <w:t>2、如果在本表格中仅填写完全响应而不列出详细的应标内容，不予认可该商务及技术条款已作响应。</w:t>
      </w:r>
    </w:p>
    <w:p>
      <w:pPr>
        <w:pStyle w:val="30"/>
        <w:snapToGrid w:val="0"/>
        <w:spacing w:beforeLines="0" w:afterLines="0" w:line="240" w:lineRule="auto"/>
        <w:rPr>
          <w:rFonts w:asciiTheme="minorEastAsia" w:hAnsiTheme="minorEastAsia" w:eastAsiaTheme="minorEastAsia" w:cstheme="minorEastAsia"/>
          <w:spacing w:val="20"/>
        </w:rPr>
      </w:pPr>
    </w:p>
    <w:p>
      <w:pPr>
        <w:pStyle w:val="30"/>
        <w:snapToGrid w:val="0"/>
        <w:spacing w:beforeLines="0" w:afterLines="0" w:line="240" w:lineRule="auto"/>
        <w:rPr>
          <w:rFonts w:asciiTheme="minorEastAsia" w:hAnsiTheme="minorEastAsia" w:eastAsiaTheme="minorEastAsia" w:cstheme="minorEastAsia"/>
          <w:b/>
        </w:rPr>
      </w:pPr>
      <w:r>
        <w:rPr>
          <w:rFonts w:hint="eastAsia" w:asciiTheme="minorEastAsia" w:hAnsiTheme="minorEastAsia" w:eastAsiaTheme="minorEastAsia" w:cstheme="minorEastAsia"/>
          <w:b/>
          <w:spacing w:val="20"/>
        </w:rPr>
        <w:t>法定代表人签字（或盖章）：            投标人（盖章）：</w:t>
      </w:r>
    </w:p>
    <w:p>
      <w:pPr>
        <w:widowControl/>
        <w:jc w:val="left"/>
        <w:rPr>
          <w:rFonts w:asciiTheme="minorEastAsia" w:hAnsiTheme="minorEastAsia" w:eastAsiaTheme="minorEastAsia" w:cstheme="minorEastAsia"/>
          <w:b/>
          <w:sz w:val="24"/>
        </w:rPr>
      </w:pPr>
    </w:p>
    <w:p>
      <w:pPr>
        <w:snapToGrid w:val="0"/>
        <w:spacing w:before="50" w:after="120" w:afterLines="50"/>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kern w:val="0"/>
          <w:sz w:val="24"/>
        </w:rPr>
        <w:t>日期：  _____年___月___日</w:t>
      </w:r>
    </w:p>
    <w:p>
      <w:pPr>
        <w:snapToGrid w:val="0"/>
        <w:spacing w:line="400" w:lineRule="exact"/>
        <w:jc w:val="left"/>
        <w:rPr>
          <w:rFonts w:asciiTheme="minorEastAsia" w:hAnsiTheme="minorEastAsia" w:eastAsiaTheme="minorEastAsia" w:cstheme="minorEastAsia"/>
          <w:b/>
          <w:bCs/>
          <w:sz w:val="24"/>
        </w:rPr>
      </w:pPr>
      <w:bookmarkStart w:id="69" w:name="_Toc265669851"/>
    </w:p>
    <w:p>
      <w:pPr>
        <w:snapToGrid w:val="0"/>
        <w:spacing w:line="400" w:lineRule="exact"/>
        <w:ind w:firstLine="472" w:firstLineChars="196"/>
        <w:jc w:val="left"/>
        <w:rPr>
          <w:rFonts w:asciiTheme="minorEastAsia" w:hAnsiTheme="minorEastAsia" w:eastAsiaTheme="minorEastAsia" w:cstheme="minorEastAsia"/>
          <w:b/>
          <w:bCs/>
          <w:sz w:val="24"/>
        </w:rPr>
      </w:pPr>
    </w:p>
    <w:p>
      <w:pPr>
        <w:widowControl/>
        <w:jc w:val="left"/>
        <w:rPr>
          <w:rFonts w:asciiTheme="minorEastAsia" w:hAnsiTheme="minorEastAsia" w:eastAsiaTheme="minorEastAsia" w:cstheme="minorEastAsia"/>
          <w:b/>
          <w:sz w:val="24"/>
        </w:rPr>
      </w:pPr>
    </w:p>
    <w:p>
      <w:pPr>
        <w:snapToGrid w:val="0"/>
        <w:spacing w:before="50" w:after="120" w:afterLines="50"/>
        <w:jc w:val="center"/>
        <w:outlineLvl w:val="1"/>
        <w:rPr>
          <w:rFonts w:asciiTheme="minorEastAsia" w:hAnsiTheme="minorEastAsia" w:eastAsiaTheme="minorEastAsia" w:cstheme="minorEastAsia"/>
          <w:b/>
          <w:sz w:val="24"/>
        </w:rPr>
      </w:pPr>
    </w:p>
    <w:p>
      <w:pPr>
        <w:snapToGrid w:val="0"/>
        <w:spacing w:before="50" w:after="120" w:afterLines="50"/>
        <w:jc w:val="center"/>
        <w:outlineLvl w:val="1"/>
        <w:rPr>
          <w:rFonts w:asciiTheme="minorEastAsia" w:hAnsiTheme="minorEastAsia" w:eastAsiaTheme="minorEastAsia" w:cstheme="minorEastAsia"/>
          <w:b/>
          <w:sz w:val="30"/>
          <w:szCs w:val="30"/>
        </w:rPr>
      </w:pPr>
      <w:bookmarkStart w:id="70" w:name="_Toc466534754"/>
      <w:bookmarkStart w:id="71" w:name="_Toc11354"/>
      <w:bookmarkStart w:id="72" w:name="_Toc16395"/>
      <w:r>
        <w:rPr>
          <w:rFonts w:hint="eastAsia" w:asciiTheme="minorEastAsia" w:hAnsiTheme="minorEastAsia" w:eastAsiaTheme="minorEastAsia" w:cstheme="minorEastAsia"/>
          <w:b/>
          <w:sz w:val="30"/>
          <w:szCs w:val="30"/>
        </w:rPr>
        <w:t>三、报价文件格式</w:t>
      </w:r>
      <w:bookmarkEnd w:id="69"/>
      <w:bookmarkEnd w:id="70"/>
      <w:bookmarkEnd w:id="71"/>
      <w:bookmarkEnd w:id="72"/>
    </w:p>
    <w:p>
      <w:pPr>
        <w:snapToGrid w:val="0"/>
        <w:spacing w:before="120" w:beforeLines="50" w:after="50"/>
        <w:ind w:firstLine="645"/>
        <w:jc w:val="center"/>
        <w:rPr>
          <w:rFonts w:asciiTheme="minorEastAsia" w:hAnsiTheme="minorEastAsia" w:eastAsiaTheme="minorEastAsia" w:cstheme="minorEastAsia"/>
          <w:sz w:val="24"/>
          <w:szCs w:val="20"/>
        </w:rPr>
      </w:pPr>
      <w:r>
        <w:rPr>
          <w:rFonts w:hint="eastAsia" w:asciiTheme="minorEastAsia" w:hAnsiTheme="minorEastAsia" w:eastAsiaTheme="minorEastAsia" w:cstheme="minorEastAsia"/>
          <w:bCs/>
          <w:sz w:val="24"/>
        </w:rPr>
        <w:t xml:space="preserve"> </w:t>
      </w:r>
    </w:p>
    <w:p>
      <w:pPr>
        <w:snapToGrid w:val="0"/>
        <w:spacing w:before="120" w:beforeLines="50" w:after="50"/>
        <w:rPr>
          <w:rFonts w:asciiTheme="minorEastAsia" w:hAnsiTheme="minorEastAsia" w:eastAsiaTheme="minorEastAsia" w:cstheme="minorEastAsia"/>
          <w:sz w:val="24"/>
          <w:szCs w:val="20"/>
        </w:rPr>
      </w:pPr>
    </w:p>
    <w:p>
      <w:pPr>
        <w:snapToGrid w:val="0"/>
        <w:spacing w:before="120" w:beforeLines="50" w:after="50"/>
        <w:rPr>
          <w:rFonts w:asciiTheme="minorEastAsia" w:hAnsiTheme="minorEastAsia" w:eastAsiaTheme="minorEastAsia" w:cstheme="minorEastAsia"/>
          <w:sz w:val="24"/>
          <w:szCs w:val="20"/>
        </w:rPr>
      </w:pPr>
    </w:p>
    <w:p>
      <w:pPr>
        <w:snapToGrid w:val="0"/>
        <w:spacing w:before="120" w:beforeLines="50" w:after="5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12.报价文件封面格式： </w:t>
      </w:r>
    </w:p>
    <w:p>
      <w:pPr>
        <w:snapToGrid w:val="0"/>
        <w:spacing w:before="120" w:beforeLines="50" w:after="50"/>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报 价 文 件</w:t>
      </w:r>
    </w:p>
    <w:p>
      <w:pPr>
        <w:snapToGrid w:val="0"/>
        <w:spacing w:before="120" w:beforeLines="50" w:after="5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p>
    <w:p>
      <w:pPr>
        <w:snapToGrid w:val="0"/>
        <w:spacing w:before="120" w:beforeLines="50" w:after="50" w:line="360" w:lineRule="auto"/>
        <w:jc w:val="center"/>
        <w:rPr>
          <w:rFonts w:asciiTheme="minorEastAsia" w:hAnsiTheme="minorEastAsia" w:eastAsiaTheme="minorEastAsia" w:cstheme="minorEastAsia"/>
          <w:bCs/>
          <w:sz w:val="28"/>
          <w:szCs w:val="28"/>
        </w:rPr>
      </w:pPr>
    </w:p>
    <w:p>
      <w:pPr>
        <w:snapToGrid w:val="0"/>
        <w:spacing w:before="120" w:beforeLines="50" w:after="50" w:line="360" w:lineRule="auto"/>
        <w:ind w:firstLine="1246" w:firstLineChars="44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项目名称：</w:t>
      </w:r>
    </w:p>
    <w:p>
      <w:pPr>
        <w:snapToGrid w:val="0"/>
        <w:spacing w:before="120" w:beforeLines="50" w:after="50"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项目编号：</w:t>
      </w: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投标人名称：</w:t>
      </w:r>
    </w:p>
    <w:p>
      <w:pPr>
        <w:pStyle w:val="13"/>
        <w:snapToGrid w:val="0"/>
        <w:spacing w:before="50" w:after="50" w:line="360" w:lineRule="auto"/>
        <w:ind w:firstLine="1164" w:firstLineChars="416"/>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投标人地址：</w:t>
      </w:r>
    </w:p>
    <w:p>
      <w:pPr>
        <w:snapToGrid w:val="0"/>
        <w:spacing w:before="120" w:beforeLines="50" w:after="5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napToGrid w:val="0"/>
        <w:spacing w:before="120" w:beforeLines="50" w:after="50"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pStyle w:val="30"/>
        <w:snapToGrid w:val="0"/>
        <w:spacing w:beforeLines="0" w:afterLines="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13.开标一览表格式：</w:t>
      </w:r>
    </w:p>
    <w:p>
      <w:pPr>
        <w:pStyle w:val="30"/>
        <w:snapToGrid w:val="0"/>
        <w:spacing w:beforeLines="0" w:afterLines="0" w:line="24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开标一览表</w:t>
      </w:r>
    </w:p>
    <w:p>
      <w:pPr>
        <w:snapToGrid w:val="0"/>
        <w:spacing w:before="120" w:beforeLines="50" w:after="50" w:line="480" w:lineRule="auto"/>
        <w:rPr>
          <w:rFonts w:asciiTheme="minorEastAsia" w:hAnsiTheme="minorEastAsia" w:eastAsiaTheme="minorEastAsia" w:cstheme="minorEastAsia"/>
          <w:b/>
          <w:sz w:val="24"/>
        </w:rPr>
      </w:pPr>
    </w:p>
    <w:p>
      <w:pPr>
        <w:snapToGrid w:val="0"/>
        <w:spacing w:before="120" w:beforeLines="50" w:after="50" w:line="480" w:lineRule="auto"/>
        <w:ind w:firstLine="480" w:firstLineChars="200"/>
        <w:rPr>
          <w:rFonts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项目名称：</w:t>
      </w:r>
    </w:p>
    <w:p>
      <w:pPr>
        <w:snapToGrid w:val="0"/>
        <w:spacing w:before="120" w:beforeLines="50" w:after="50" w:line="48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pPr>
              <w:pStyle w:val="30"/>
              <w:snapToGrid w:val="0"/>
              <w:spacing w:beforeLines="0" w:afterLines="0" w:line="240" w:lineRule="auto"/>
              <w:jc w:val="center"/>
              <w:rPr>
                <w:rFonts w:hAnsi="宋体"/>
                <w:b/>
              </w:rPr>
            </w:pPr>
            <w:r>
              <w:rPr>
                <w:rFonts w:hint="eastAsia" w:hAnsi="宋体"/>
                <w:b/>
              </w:rPr>
              <w:t>名称</w:t>
            </w:r>
          </w:p>
        </w:tc>
        <w:tc>
          <w:tcPr>
            <w:tcW w:w="5760" w:type="dxa"/>
            <w:vAlign w:val="center"/>
          </w:tcPr>
          <w:p>
            <w:pPr>
              <w:pStyle w:val="30"/>
              <w:snapToGrid w:val="0"/>
              <w:spacing w:beforeLines="0" w:afterLines="0" w:line="240" w:lineRule="auto"/>
              <w:jc w:val="center"/>
              <w:rPr>
                <w:rFonts w:hAnsi="宋体"/>
                <w:b/>
              </w:rPr>
            </w:pPr>
            <w:r>
              <w:rPr>
                <w:rFonts w:hint="eastAsia" w:hAnsi="宋体"/>
                <w:b/>
              </w:rPr>
              <w:t>内容</w:t>
            </w:r>
          </w:p>
        </w:tc>
        <w:tc>
          <w:tcPr>
            <w:tcW w:w="1620" w:type="dxa"/>
            <w:vAlign w:val="center"/>
          </w:tcPr>
          <w:p>
            <w:pPr>
              <w:pStyle w:val="30"/>
              <w:snapToGrid w:val="0"/>
              <w:spacing w:beforeLines="0" w:afterLines="0" w:line="240" w:lineRule="auto"/>
              <w:jc w:val="center"/>
              <w:rPr>
                <w:rFonts w:hAnsi="宋体"/>
                <w:b/>
              </w:rPr>
            </w:pPr>
            <w:r>
              <w:rPr>
                <w:rFonts w:hint="eastAsia"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pPr>
              <w:pStyle w:val="30"/>
              <w:snapToGrid w:val="0"/>
              <w:spacing w:beforeLines="0" w:afterLines="0" w:line="240" w:lineRule="auto"/>
              <w:jc w:val="center"/>
              <w:rPr>
                <w:rFonts w:hAnsi="宋体"/>
                <w:b/>
              </w:rPr>
            </w:pPr>
          </w:p>
          <w:p>
            <w:pPr>
              <w:pStyle w:val="30"/>
              <w:snapToGrid w:val="0"/>
              <w:spacing w:beforeLines="0" w:afterLines="0" w:line="240" w:lineRule="auto"/>
              <w:jc w:val="center"/>
              <w:rPr>
                <w:rFonts w:hAnsi="宋体"/>
              </w:rPr>
            </w:pPr>
            <w:r>
              <w:rPr>
                <w:rFonts w:hint="eastAsia" w:hAnsi="宋体"/>
              </w:rPr>
              <w:t>投标报价</w:t>
            </w:r>
          </w:p>
          <w:p>
            <w:pPr>
              <w:pStyle w:val="30"/>
              <w:snapToGrid w:val="0"/>
              <w:spacing w:beforeLines="0" w:afterLines="0" w:line="240" w:lineRule="auto"/>
              <w:jc w:val="center"/>
              <w:rPr>
                <w:rFonts w:hAnsi="宋体"/>
                <w:b/>
              </w:rPr>
            </w:pPr>
          </w:p>
          <w:p>
            <w:pPr>
              <w:pStyle w:val="30"/>
              <w:snapToGrid w:val="0"/>
              <w:spacing w:beforeLines="0" w:afterLines="0" w:line="240" w:lineRule="auto"/>
              <w:jc w:val="center"/>
              <w:rPr>
                <w:rFonts w:hAnsi="宋体"/>
                <w:b/>
              </w:rPr>
            </w:pPr>
          </w:p>
          <w:p>
            <w:pPr>
              <w:pStyle w:val="30"/>
              <w:snapToGrid w:val="0"/>
              <w:spacing w:beforeLines="0" w:afterLines="0" w:line="240" w:lineRule="auto"/>
              <w:jc w:val="center"/>
              <w:rPr>
                <w:rFonts w:hAnsi="宋体"/>
                <w:b/>
              </w:rPr>
            </w:pPr>
          </w:p>
        </w:tc>
        <w:tc>
          <w:tcPr>
            <w:tcW w:w="5760" w:type="dxa"/>
            <w:vAlign w:val="center"/>
          </w:tcPr>
          <w:p>
            <w:pPr>
              <w:pStyle w:val="30"/>
              <w:snapToGrid w:val="0"/>
              <w:spacing w:beforeLines="0" w:afterLines="0" w:line="240" w:lineRule="auto"/>
              <w:rPr>
                <w:rFonts w:hAnsi="宋体"/>
              </w:rPr>
            </w:pPr>
          </w:p>
          <w:p>
            <w:pPr>
              <w:pStyle w:val="30"/>
              <w:snapToGrid w:val="0"/>
              <w:spacing w:beforeLines="0" w:afterLines="0" w:line="240" w:lineRule="auto"/>
              <w:ind w:left="240" w:hanging="240" w:hangingChars="100"/>
              <w:rPr>
                <w:rFonts w:hAnsi="宋体"/>
              </w:rPr>
            </w:pPr>
            <w:r>
              <w:rPr>
                <w:rFonts w:hint="eastAsia" w:hAnsi="宋体"/>
              </w:rPr>
              <w:t xml:space="preserve">大写：人民币 </w:t>
            </w:r>
            <w:r>
              <w:rPr>
                <w:rFonts w:hint="eastAsia" w:hAnsi="宋体"/>
                <w:u w:val="single"/>
              </w:rPr>
              <w:t xml:space="preserve"> </w:t>
            </w:r>
            <w:r>
              <w:rPr>
                <w:rFonts w:hAnsi="宋体"/>
                <w:u w:val="single"/>
              </w:rPr>
              <w:t xml:space="preserve">   </w:t>
            </w:r>
            <w:r>
              <w:rPr>
                <w:rFonts w:hint="eastAsia" w:hAnsi="宋体"/>
              </w:rPr>
              <w:t>拾</w:t>
            </w:r>
            <w:r>
              <w:rPr>
                <w:rFonts w:hint="eastAsia" w:hAnsi="宋体"/>
                <w:u w:val="single"/>
              </w:rPr>
              <w:t xml:space="preserve"> </w:t>
            </w:r>
            <w:r>
              <w:rPr>
                <w:rFonts w:hAnsi="宋体"/>
                <w:u w:val="single"/>
              </w:rPr>
              <w:t xml:space="preserve">  </w:t>
            </w:r>
            <w:r>
              <w:rPr>
                <w:rFonts w:hint="eastAsia" w:hAnsi="宋体"/>
              </w:rPr>
              <w:t>万</w:t>
            </w:r>
            <w:r>
              <w:rPr>
                <w:rFonts w:hint="eastAsia" w:hAnsi="宋体"/>
                <w:u w:val="single"/>
              </w:rPr>
              <w:t xml:space="preserve"> </w:t>
            </w:r>
            <w:r>
              <w:rPr>
                <w:rFonts w:hAnsi="宋体"/>
                <w:u w:val="single"/>
              </w:rPr>
              <w:t xml:space="preserve">  </w:t>
            </w:r>
            <w:r>
              <w:rPr>
                <w:rFonts w:hint="eastAsia" w:hAnsi="宋体"/>
              </w:rPr>
              <w:t>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佰</w:t>
            </w:r>
            <w:r>
              <w:rPr>
                <w:rFonts w:hint="eastAsia" w:hAnsi="宋体"/>
                <w:u w:val="single"/>
              </w:rPr>
              <w:t xml:space="preserve">    </w:t>
            </w:r>
            <w:r>
              <w:rPr>
                <w:rFonts w:hint="eastAsia" w:hAnsi="宋体"/>
              </w:rPr>
              <w:t>拾</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rPr>
              <w:t>元整</w:t>
            </w:r>
          </w:p>
          <w:p>
            <w:pPr>
              <w:pStyle w:val="30"/>
              <w:snapToGrid w:val="0"/>
              <w:spacing w:beforeLines="0" w:afterLines="0" w:line="240" w:lineRule="auto"/>
              <w:rPr>
                <w:rFonts w:hAnsi="宋体"/>
              </w:rPr>
            </w:pPr>
          </w:p>
          <w:p>
            <w:pPr>
              <w:pStyle w:val="30"/>
              <w:snapToGrid w:val="0"/>
              <w:spacing w:beforeLines="0" w:afterLines="0" w:line="240" w:lineRule="auto"/>
              <w:rPr>
                <w:rFonts w:hAnsi="宋体"/>
              </w:rPr>
            </w:pPr>
            <w:r>
              <w:rPr>
                <w:rFonts w:hint="eastAsia" w:hAnsi="宋体"/>
              </w:rPr>
              <w:t>小写（￥）：_______________________元整</w:t>
            </w:r>
          </w:p>
          <w:p>
            <w:pPr>
              <w:pStyle w:val="30"/>
              <w:snapToGrid w:val="0"/>
              <w:spacing w:beforeLines="0" w:afterLines="0" w:line="240" w:lineRule="auto"/>
              <w:rPr>
                <w:rFonts w:hAnsi="宋体"/>
                <w:b/>
              </w:rPr>
            </w:pPr>
          </w:p>
        </w:tc>
        <w:tc>
          <w:tcPr>
            <w:tcW w:w="1620" w:type="dxa"/>
          </w:tcPr>
          <w:p>
            <w:pPr>
              <w:pStyle w:val="30"/>
              <w:snapToGrid w:val="0"/>
              <w:spacing w:beforeLines="0" w:afterLines="0" w:line="240" w:lineRule="auto"/>
              <w:rPr>
                <w:rFonts w:hAnsi="宋体"/>
                <w:b/>
              </w:rPr>
            </w:pPr>
          </w:p>
        </w:tc>
      </w:tr>
    </w:tbl>
    <w:p>
      <w:pPr>
        <w:pStyle w:val="30"/>
        <w:spacing w:before="120" w:after="120"/>
      </w:pPr>
      <w:r>
        <w:rPr>
          <w:rFonts w:hint="eastAsia" w:asciiTheme="minorEastAsia" w:hAnsiTheme="minorEastAsia" w:eastAsiaTheme="minorEastAsia" w:cstheme="minorEastAsia"/>
          <w:b/>
        </w:rPr>
        <w:t>注：</w:t>
      </w:r>
      <w:r>
        <w:t>1、投标人可以提出更优惠的承诺。</w:t>
      </w:r>
    </w:p>
    <w:p>
      <w:pPr>
        <w:pStyle w:val="30"/>
        <w:snapToGrid w:val="0"/>
        <w:spacing w:before="120" w:beforeLines="0" w:after="120" w:afterLines="0" w:line="240" w:lineRule="auto"/>
        <w:rPr>
          <w:rFonts w:asciiTheme="minorEastAsia" w:hAnsiTheme="minorEastAsia" w:eastAsiaTheme="minorEastAsia" w:cstheme="minorEastAsia"/>
          <w:b/>
        </w:rPr>
      </w:pPr>
      <w:r>
        <w:rPr>
          <w:rFonts w:hint="eastAsia"/>
        </w:rPr>
        <w:t>2、</w:t>
      </w:r>
      <w:r>
        <w:rPr>
          <w:rFonts w:hint="eastAsia" w:hAnsi="宋体"/>
        </w:rPr>
        <w:t>投标报价是履行合同的最终价格，应包括货款、标准附件、专用工具、包装、运输、装卸、保险、税金、货到就位、保修、第三方检测等一切费用和税金等一切费用。</w:t>
      </w:r>
    </w:p>
    <w:p>
      <w:pPr>
        <w:pStyle w:val="30"/>
        <w:snapToGrid w:val="0"/>
        <w:spacing w:before="120" w:beforeLines="0" w:after="120" w:afterLines="0" w:line="240" w:lineRule="auto"/>
        <w:rPr>
          <w:rFonts w:asciiTheme="minorEastAsia" w:hAnsiTheme="minorEastAsia" w:eastAsiaTheme="minorEastAsia" w:cstheme="minorEastAsia"/>
          <w:b/>
        </w:rPr>
      </w:pPr>
    </w:p>
    <w:p>
      <w:pPr>
        <w:pStyle w:val="30"/>
        <w:snapToGrid w:val="0"/>
        <w:spacing w:beforeLines="0" w:afterLines="0" w:line="240" w:lineRule="auto"/>
        <w:rPr>
          <w:rFonts w:asciiTheme="minorEastAsia" w:hAnsiTheme="minorEastAsia" w:eastAsiaTheme="minorEastAsia" w:cstheme="minorEastAsia"/>
          <w:spacing w:val="20"/>
        </w:rPr>
      </w:pPr>
    </w:p>
    <w:p>
      <w:pPr>
        <w:pStyle w:val="30"/>
        <w:snapToGrid w:val="0"/>
        <w:spacing w:beforeLines="0" w:afterLines="0" w:line="240" w:lineRule="auto"/>
        <w:rPr>
          <w:rFonts w:asciiTheme="minorEastAsia" w:hAnsiTheme="minorEastAsia" w:eastAsiaTheme="minorEastAsia" w:cstheme="minorEastAsia"/>
          <w:spacing w:val="20"/>
        </w:rPr>
      </w:pPr>
    </w:p>
    <w:p>
      <w:pPr>
        <w:pStyle w:val="30"/>
        <w:snapToGrid w:val="0"/>
        <w:spacing w:beforeLines="0" w:afterLines="0" w:line="240" w:lineRule="auto"/>
        <w:rPr>
          <w:rFonts w:asciiTheme="minorEastAsia" w:hAnsiTheme="minorEastAsia" w:eastAsiaTheme="minorEastAsia" w:cstheme="minorEastAsia"/>
          <w:b/>
          <w:spacing w:val="20"/>
        </w:rPr>
      </w:pPr>
      <w:r>
        <w:rPr>
          <w:rFonts w:hint="eastAsia" w:asciiTheme="minorEastAsia" w:hAnsiTheme="minorEastAsia" w:eastAsiaTheme="minorEastAsia" w:cstheme="minorEastAsia"/>
          <w:b/>
          <w:spacing w:val="20"/>
        </w:rPr>
        <w:t xml:space="preserve">法定代表人签字（或盖章）：            投标人（盖章）：  </w:t>
      </w:r>
    </w:p>
    <w:p>
      <w:pPr>
        <w:pStyle w:val="30"/>
        <w:snapToGrid w:val="0"/>
        <w:spacing w:beforeLines="0" w:afterLines="0" w:line="240" w:lineRule="auto"/>
        <w:rPr>
          <w:rFonts w:asciiTheme="minorEastAsia" w:hAnsiTheme="minorEastAsia" w:eastAsiaTheme="minorEastAsia" w:cstheme="minorEastAsia"/>
          <w:b/>
        </w:rPr>
      </w:pPr>
    </w:p>
    <w:p>
      <w:pPr>
        <w:snapToGrid w:val="0"/>
        <w:spacing w:before="50" w:after="120" w:afterLines="50"/>
        <w:jc w:val="left"/>
        <w:rPr>
          <w:rFonts w:asciiTheme="minorEastAsia" w:hAnsiTheme="minorEastAsia" w:eastAsiaTheme="minorEastAsia" w:cstheme="minorEastAsia"/>
          <w:b/>
          <w:kern w:val="0"/>
          <w:sz w:val="24"/>
        </w:rPr>
      </w:pPr>
    </w:p>
    <w:p>
      <w:pPr>
        <w:snapToGrid w:val="0"/>
        <w:spacing w:before="50" w:after="120" w:afterLines="50"/>
        <w:jc w:val="left"/>
        <w:rPr>
          <w:rFonts w:asciiTheme="minorEastAsia" w:hAnsiTheme="minorEastAsia" w:eastAsiaTheme="minorEastAsia" w:cstheme="minorEastAsia"/>
          <w:b/>
          <w:sz w:val="24"/>
          <w:szCs w:val="20"/>
        </w:rPr>
      </w:pPr>
      <w:r>
        <w:rPr>
          <w:rFonts w:hint="eastAsia" w:asciiTheme="minorEastAsia" w:hAnsiTheme="minorEastAsia" w:eastAsiaTheme="minorEastAsia" w:cstheme="minorEastAsia"/>
          <w:b/>
          <w:kern w:val="0"/>
          <w:sz w:val="24"/>
        </w:rPr>
        <w:t>日期：  _____年___月___日</w:t>
      </w:r>
    </w:p>
    <w:p>
      <w:pPr>
        <w:pStyle w:val="30"/>
        <w:snapToGrid w:val="0"/>
        <w:spacing w:beforeLines="0" w:afterLines="0" w:line="240" w:lineRule="auto"/>
        <w:rPr>
          <w:rFonts w:asciiTheme="minorEastAsia" w:hAnsiTheme="minorEastAsia" w:eastAsiaTheme="minorEastAsia" w:cstheme="minorEastAsia"/>
        </w:rPr>
      </w:pPr>
    </w:p>
    <w:p>
      <w:pPr>
        <w:pStyle w:val="30"/>
        <w:snapToGrid w:val="0"/>
        <w:spacing w:beforeLines="0" w:afterLines="0" w:line="240" w:lineRule="auto"/>
        <w:rPr>
          <w:rFonts w:asciiTheme="minorEastAsia" w:hAnsiTheme="minorEastAsia" w:eastAsiaTheme="minorEastAsia" w:cstheme="minorEastAsia"/>
        </w:rPr>
      </w:pPr>
    </w:p>
    <w:p>
      <w:pPr>
        <w:pStyle w:val="30"/>
        <w:snapToGrid w:val="0"/>
        <w:spacing w:beforeLines="0" w:afterLines="0" w:line="240" w:lineRule="auto"/>
        <w:rPr>
          <w:rFonts w:asciiTheme="minorEastAsia" w:hAnsiTheme="minorEastAsia" w:eastAsiaTheme="minorEastAsia" w:cstheme="minorEastAsia"/>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rPr>
        <w:br w:type="page"/>
      </w:r>
    </w:p>
    <w:p>
      <w:pPr>
        <w:snapToGrid w:val="0"/>
        <w:spacing w:line="360" w:lineRule="auto"/>
        <w:rPr>
          <w:rFonts w:hAnsi="宋体"/>
          <w:sz w:val="24"/>
        </w:rPr>
      </w:pPr>
      <w:r>
        <w:rPr>
          <w:rFonts w:hint="eastAsia" w:hAnsi="宋体"/>
          <w:sz w:val="24"/>
        </w:rPr>
        <w:t>14.投标活动现场确认声明书</w:t>
      </w:r>
    </w:p>
    <w:p>
      <w:pPr>
        <w:snapToGrid w:val="0"/>
        <w:spacing w:line="500" w:lineRule="exact"/>
        <w:jc w:val="center"/>
        <w:rPr>
          <w:rFonts w:ascii="方正小标宋简体" w:hAnsi="方正小标宋简体" w:eastAsia="方正小标宋简体" w:cs="方正小标宋简体"/>
          <w:sz w:val="44"/>
          <w:szCs w:val="44"/>
        </w:rPr>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投标活动现场确认声明书</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b/>
          <w:sz w:val="24"/>
        </w:rPr>
      </w:pPr>
      <w:r>
        <w:rPr>
          <w:rFonts w:hint="eastAsia" w:ascii="仿宋" w:hAnsi="仿宋"/>
          <w:kern w:val="0"/>
          <w:sz w:val="24"/>
          <w:u w:val="single"/>
        </w:rPr>
        <w:t xml:space="preserve"> </w:t>
      </w:r>
      <w:r>
        <w:rPr>
          <w:rFonts w:ascii="仿宋" w:hAnsi="仿宋"/>
          <w:kern w:val="0"/>
          <w:sz w:val="24"/>
          <w:u w:val="single"/>
        </w:rPr>
        <w:t xml:space="preserve">               </w:t>
      </w:r>
      <w:r>
        <w:rPr>
          <w:rFonts w:hint="eastAsia" w:ascii="仿宋" w:hAnsi="仿宋"/>
          <w:kern w:val="0"/>
          <w:sz w:val="24"/>
          <w:u w:val="single"/>
        </w:rPr>
        <w:t xml:space="preserve"> </w:t>
      </w:r>
      <w:r>
        <w:rPr>
          <w:rFonts w:hint="eastAsia" w:ascii="仿宋" w:hAnsi="仿宋"/>
          <w:kern w:val="0"/>
          <w:sz w:val="24"/>
        </w:rPr>
        <w:t>（代理机构名称）：</w:t>
      </w:r>
    </w:p>
    <w:p>
      <w:pPr>
        <w:keepNext w:val="0"/>
        <w:keepLines w:val="0"/>
        <w:pageBreakBefore w:val="0"/>
        <w:widowControl/>
        <w:kinsoku/>
        <w:wordWrap/>
        <w:overflowPunct/>
        <w:topLinePunct w:val="0"/>
        <w:autoSpaceDE/>
        <w:autoSpaceDN/>
        <w:bidi w:val="0"/>
        <w:adjustRightInd/>
        <w:spacing w:line="400" w:lineRule="exact"/>
        <w:ind w:firstLine="504" w:firstLineChars="200"/>
        <w:jc w:val="left"/>
        <w:textAlignment w:val="auto"/>
        <w:rPr>
          <w:rFonts w:ascii="宋体" w:hAnsi="宋体"/>
          <w:kern w:val="0"/>
          <w:sz w:val="24"/>
        </w:rPr>
      </w:pPr>
      <w:r>
        <w:rPr>
          <w:rFonts w:hint="eastAsia" w:ascii="仿宋" w:hAnsi="仿宋"/>
          <w:spacing w:val="6"/>
          <w:kern w:val="0"/>
          <w:sz w:val="24"/>
        </w:rPr>
        <w:t>本人经由</w:t>
      </w:r>
      <w:r>
        <w:rPr>
          <w:rFonts w:hint="eastAsia" w:ascii="仿宋" w:hAnsi="仿宋"/>
          <w:spacing w:val="6"/>
          <w:kern w:val="0"/>
          <w:sz w:val="24"/>
          <w:u w:val="single"/>
        </w:rPr>
        <w:t xml:space="preserve">                   </w:t>
      </w:r>
      <w:r>
        <w:rPr>
          <w:rFonts w:ascii="仿宋" w:hAnsi="仿宋"/>
          <w:spacing w:val="6"/>
          <w:kern w:val="0"/>
          <w:sz w:val="24"/>
          <w:u w:val="single"/>
        </w:rPr>
        <w:t xml:space="preserve">          </w:t>
      </w:r>
      <w:r>
        <w:rPr>
          <w:rFonts w:hint="eastAsia" w:ascii="仿宋" w:hAnsi="仿宋"/>
          <w:spacing w:val="6"/>
          <w:kern w:val="0"/>
          <w:sz w:val="24"/>
        </w:rPr>
        <w:t>单位</w:t>
      </w:r>
      <w:r>
        <w:rPr>
          <w:rFonts w:hint="eastAsia" w:ascii="仿宋" w:hAnsi="仿宋"/>
          <w:spacing w:val="6"/>
          <w:kern w:val="0"/>
          <w:sz w:val="24"/>
          <w:u w:val="single"/>
        </w:rPr>
        <w:t xml:space="preserve">         (法人代表)</w:t>
      </w:r>
      <w:r>
        <w:rPr>
          <w:rFonts w:hint="eastAsia" w:ascii="仿宋" w:hAnsi="仿宋"/>
          <w:spacing w:val="6"/>
          <w:kern w:val="0"/>
          <w:sz w:val="24"/>
        </w:rPr>
        <w:t>合法授权参加</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采购</w:t>
      </w:r>
      <w:r>
        <w:rPr>
          <w:rFonts w:hint="eastAsia" w:ascii="仿宋" w:hAnsi="仿宋"/>
          <w:spacing w:val="6"/>
          <w:kern w:val="0"/>
          <w:sz w:val="24"/>
          <w:u w:val="single"/>
        </w:rPr>
        <w:t xml:space="preserve">（编号： </w:t>
      </w:r>
      <w:r>
        <w:rPr>
          <w:rFonts w:ascii="仿宋" w:hAnsi="仿宋"/>
          <w:spacing w:val="6"/>
          <w:kern w:val="0"/>
          <w:sz w:val="24"/>
          <w:u w:val="single"/>
        </w:rPr>
        <w:t xml:space="preserve">      ）</w:t>
      </w:r>
      <w:r>
        <w:rPr>
          <w:rFonts w:hint="eastAsia" w:ascii="仿宋" w:hAnsi="仿宋"/>
          <w:spacing w:val="6"/>
          <w:kern w:val="0"/>
          <w:sz w:val="24"/>
        </w:rPr>
        <w:t>投标活动，经与本单位法人代表（负责人）联系确认，现就有关公平竞争事项郑重声明如下：</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eastAsia="仿宋"/>
          <w:kern w:val="0"/>
          <w:sz w:val="24"/>
        </w:rPr>
      </w:pPr>
      <w:r>
        <w:rPr>
          <w:rFonts w:hint="eastAsia" w:ascii="仿宋" w:hAnsi="仿宋"/>
          <w:kern w:val="0"/>
          <w:sz w:val="24"/>
        </w:rPr>
        <w:t>一、本单位与招标人之间</w:t>
      </w:r>
    </w:p>
    <w:p>
      <w:pPr>
        <w:keepNext w:val="0"/>
        <w:keepLines w:val="0"/>
        <w:pageBreakBefore w:val="0"/>
        <w:widowControl/>
        <w:kinsoku/>
        <w:wordWrap/>
        <w:overflowPunct/>
        <w:topLinePunct w:val="0"/>
        <w:autoSpaceDE/>
        <w:autoSpaceDN/>
        <w:bidi w:val="0"/>
        <w:adjustRightInd/>
        <w:snapToGrid w:val="0"/>
        <w:spacing w:line="400" w:lineRule="exact"/>
        <w:ind w:left="454"/>
        <w:textAlignment w:val="auto"/>
        <w:rPr>
          <w:rFonts w:ascii="仿宋" w:eastAsia="仿宋"/>
          <w:kern w:val="0"/>
          <w:sz w:val="24"/>
        </w:rPr>
      </w:pPr>
      <w:r>
        <w:rPr>
          <w:rFonts w:hint="eastAsia" w:ascii="宋体" w:hAnsi="宋体" w:cs="宋体"/>
          <w:kern w:val="0"/>
          <w:sz w:val="24"/>
        </w:rPr>
        <w:t>□</w:t>
      </w:r>
      <w:r>
        <w:rPr>
          <w:rFonts w:hint="eastAsia" w:ascii="仿宋" w:hAnsi="仿宋"/>
          <w:kern w:val="0"/>
          <w:sz w:val="24"/>
        </w:rPr>
        <w:t>不存在利害关系</w:t>
      </w:r>
    </w:p>
    <w:p>
      <w:pPr>
        <w:keepNext w:val="0"/>
        <w:keepLines w:val="0"/>
        <w:pageBreakBefore w:val="0"/>
        <w:widowControl/>
        <w:kinsoku/>
        <w:wordWrap/>
        <w:overflowPunct/>
        <w:topLinePunct w:val="0"/>
        <w:autoSpaceDE/>
        <w:autoSpaceDN/>
        <w:bidi w:val="0"/>
        <w:adjustRightInd/>
        <w:snapToGrid w:val="0"/>
        <w:spacing w:line="400" w:lineRule="exact"/>
        <w:ind w:left="454"/>
        <w:textAlignment w:val="auto"/>
        <w:rPr>
          <w:rFonts w:ascii="仿宋" w:eastAsia="仿宋"/>
          <w:kern w:val="0"/>
          <w:sz w:val="24"/>
        </w:rPr>
      </w:pPr>
      <w:r>
        <w:rPr>
          <w:rFonts w:hint="eastAsia" w:ascii="宋体" w:hAnsi="宋体" w:cs="宋体"/>
          <w:kern w:val="0"/>
          <w:sz w:val="24"/>
        </w:rPr>
        <w:t>□</w:t>
      </w:r>
      <w:r>
        <w:rPr>
          <w:rFonts w:hint="eastAsia" w:ascii="仿宋" w:hAnsi="仿宋"/>
          <w:kern w:val="0"/>
          <w:sz w:val="24"/>
        </w:rPr>
        <w:t>存在下列利害关系：</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eastAsia="仿宋"/>
          <w:kern w:val="0"/>
          <w:sz w:val="24"/>
        </w:rPr>
      </w:pPr>
      <w:r>
        <w:rPr>
          <w:rFonts w:ascii="仿宋" w:hAnsi="仿宋"/>
          <w:kern w:val="0"/>
          <w:sz w:val="24"/>
        </w:rPr>
        <w:t xml:space="preserve">  A.</w:t>
      </w:r>
      <w:r>
        <w:rPr>
          <w:rFonts w:hint="eastAsia" w:ascii="仿宋" w:hAnsi="仿宋"/>
          <w:kern w:val="0"/>
          <w:sz w:val="24"/>
        </w:rPr>
        <w:t>投资关系</w:t>
      </w:r>
      <w:r>
        <w:rPr>
          <w:rFonts w:ascii="仿宋" w:hAnsi="仿宋"/>
          <w:kern w:val="0"/>
          <w:sz w:val="24"/>
        </w:rPr>
        <w:t xml:space="preserve">    B.</w:t>
      </w:r>
      <w:r>
        <w:rPr>
          <w:rFonts w:hint="eastAsia" w:ascii="仿宋" w:hAnsi="仿宋"/>
          <w:kern w:val="0"/>
          <w:sz w:val="24"/>
        </w:rPr>
        <w:t>行政隶属关系</w:t>
      </w:r>
      <w:r>
        <w:rPr>
          <w:rFonts w:ascii="仿宋" w:hAnsi="仿宋"/>
          <w:kern w:val="0"/>
          <w:sz w:val="24"/>
        </w:rPr>
        <w:t xml:space="preserve">    C.</w:t>
      </w:r>
      <w:r>
        <w:rPr>
          <w:rFonts w:hint="eastAsia" w:ascii="仿宋" w:hAnsi="仿宋"/>
          <w:kern w:val="0"/>
          <w:sz w:val="24"/>
        </w:rPr>
        <w:t>业务指导关系</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eastAsia="仿宋"/>
          <w:kern w:val="0"/>
          <w:sz w:val="24"/>
        </w:rPr>
      </w:pPr>
      <w:r>
        <w:rPr>
          <w:rFonts w:ascii="仿宋" w:hAnsi="仿宋"/>
          <w:kern w:val="0"/>
          <w:sz w:val="24"/>
        </w:rPr>
        <w:t xml:space="preserve">  D.</w:t>
      </w:r>
      <w:r>
        <w:rPr>
          <w:rFonts w:hint="eastAsia" w:ascii="仿宋" w:hAnsi="仿宋"/>
          <w:kern w:val="0"/>
          <w:sz w:val="24"/>
        </w:rPr>
        <w:t>其他可能</w:t>
      </w:r>
      <w:r>
        <w:rPr>
          <w:rFonts w:hint="eastAsia" w:ascii="仿宋" w:hAnsi="仿宋"/>
          <w:sz w:val="24"/>
        </w:rPr>
        <w:t>影响采购公正的</w:t>
      </w:r>
      <w:r>
        <w:rPr>
          <w:rFonts w:hint="eastAsia" w:ascii="仿宋" w:hAnsi="仿宋"/>
          <w:kern w:val="0"/>
          <w:sz w:val="24"/>
        </w:rPr>
        <w:t>利害关系。</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eastAsia="仿宋"/>
          <w:kern w:val="0"/>
          <w:sz w:val="24"/>
        </w:rPr>
      </w:pPr>
      <w:r>
        <w:rPr>
          <w:rFonts w:hint="eastAsia" w:ascii="仿宋" w:hAnsi="仿宋"/>
          <w:spacing w:val="6"/>
          <w:sz w:val="24"/>
        </w:rPr>
        <w:t>二、</w:t>
      </w:r>
      <w:r>
        <w:rPr>
          <w:rFonts w:hint="eastAsia" w:ascii="仿宋" w:hAnsi="仿宋"/>
          <w:kern w:val="0"/>
          <w:sz w:val="24"/>
        </w:rPr>
        <w:t>现已清楚知道参加本项目投标活动的其他投标人名称，本单位</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仿宋" w:eastAsia="仿宋"/>
          <w:kern w:val="0"/>
          <w:sz w:val="24"/>
        </w:rPr>
      </w:pPr>
      <w:r>
        <w:rPr>
          <w:rFonts w:hint="eastAsia" w:ascii="宋体" w:hAnsi="宋体" w:cs="宋体"/>
          <w:kern w:val="0"/>
          <w:sz w:val="24"/>
        </w:rPr>
        <w:t>□与其他所有投标人之间均</w:t>
      </w:r>
      <w:r>
        <w:rPr>
          <w:rFonts w:hint="eastAsia" w:ascii="仿宋" w:hAnsi="仿宋"/>
          <w:kern w:val="0"/>
          <w:sz w:val="24"/>
        </w:rPr>
        <w:t>不存在利害关系</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仿宋" w:eastAsia="仿宋"/>
          <w:kern w:val="0"/>
          <w:sz w:val="24"/>
        </w:rPr>
      </w:pPr>
      <w:r>
        <w:rPr>
          <w:rFonts w:hint="eastAsia" w:ascii="宋体" w:hAnsi="宋体" w:cs="宋体"/>
          <w:kern w:val="0"/>
          <w:sz w:val="24"/>
        </w:rPr>
        <w:t>□与之间</w:t>
      </w:r>
      <w:r>
        <w:rPr>
          <w:rFonts w:hint="eastAsia" w:ascii="仿宋" w:hAnsi="仿宋"/>
          <w:kern w:val="0"/>
          <w:sz w:val="24"/>
        </w:rPr>
        <w:t>存在下列利害关系：</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kern w:val="0"/>
          <w:sz w:val="24"/>
        </w:rPr>
      </w:pPr>
      <w:r>
        <w:rPr>
          <w:rFonts w:ascii="仿宋" w:hAnsi="仿宋"/>
          <w:kern w:val="0"/>
          <w:sz w:val="24"/>
        </w:rPr>
        <w:t xml:space="preserve">  A.</w:t>
      </w:r>
      <w:r>
        <w:rPr>
          <w:rFonts w:hint="eastAsia" w:ascii="仿宋" w:hAnsi="仿宋"/>
          <w:kern w:val="0"/>
          <w:sz w:val="24"/>
        </w:rPr>
        <w:t>法定代表人或负责人或实际控制人是同一人</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spacing w:val="6"/>
          <w:sz w:val="24"/>
        </w:rPr>
      </w:pPr>
      <w:r>
        <w:rPr>
          <w:rFonts w:ascii="仿宋" w:hAnsi="仿宋"/>
          <w:kern w:val="0"/>
          <w:sz w:val="24"/>
        </w:rPr>
        <w:t xml:space="preserve">  B.</w:t>
      </w:r>
      <w:r>
        <w:rPr>
          <w:rFonts w:hint="eastAsia" w:ascii="仿宋" w:hAnsi="仿宋"/>
          <w:kern w:val="0"/>
          <w:sz w:val="24"/>
        </w:rPr>
        <w:t>法定代表人或负责人或实际控制人是夫妻关系</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spacing w:val="6"/>
          <w:sz w:val="24"/>
        </w:rPr>
      </w:pPr>
      <w:r>
        <w:rPr>
          <w:rFonts w:ascii="仿宋" w:hAnsi="仿宋"/>
          <w:kern w:val="0"/>
          <w:sz w:val="24"/>
        </w:rPr>
        <w:t xml:space="preserve">  C.</w:t>
      </w:r>
      <w:r>
        <w:rPr>
          <w:rFonts w:hint="eastAsia" w:ascii="仿宋" w:hAnsi="仿宋"/>
          <w:kern w:val="0"/>
          <w:sz w:val="24"/>
        </w:rPr>
        <w:t>法定代表人或负责人或实际控制人是直系血亲关系</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spacing w:val="6"/>
          <w:sz w:val="24"/>
        </w:rPr>
      </w:pPr>
      <w:r>
        <w:rPr>
          <w:rFonts w:ascii="仿宋" w:hAnsi="仿宋"/>
          <w:kern w:val="0"/>
          <w:sz w:val="24"/>
        </w:rPr>
        <w:t xml:space="preserve">  D.</w:t>
      </w:r>
      <w:r>
        <w:rPr>
          <w:rFonts w:hint="eastAsia" w:ascii="仿宋" w:hAnsi="仿宋"/>
          <w:kern w:val="0"/>
          <w:sz w:val="24"/>
        </w:rPr>
        <w:t>法定代表人或负责人或实际控制人存在三代以内旁系血亲关系</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kern w:val="0"/>
          <w:sz w:val="24"/>
        </w:rPr>
      </w:pPr>
      <w:r>
        <w:rPr>
          <w:rFonts w:ascii="仿宋" w:hAnsi="仿宋"/>
          <w:kern w:val="0"/>
          <w:sz w:val="24"/>
        </w:rPr>
        <w:t xml:space="preserve">  E.</w:t>
      </w:r>
      <w:r>
        <w:rPr>
          <w:rFonts w:hint="eastAsia" w:ascii="仿宋" w:hAnsi="仿宋"/>
          <w:kern w:val="0"/>
          <w:sz w:val="24"/>
        </w:rPr>
        <w:t>法定代表人或负责人或实际控制人存在近姻亲关系</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kern w:val="0"/>
          <w:sz w:val="24"/>
        </w:rPr>
      </w:pPr>
      <w:r>
        <w:rPr>
          <w:rFonts w:ascii="仿宋" w:hAnsi="仿宋"/>
          <w:kern w:val="0"/>
          <w:sz w:val="24"/>
        </w:rPr>
        <w:t xml:space="preserve">  F.</w:t>
      </w:r>
      <w:r>
        <w:rPr>
          <w:rFonts w:hint="eastAsia" w:ascii="仿宋" w:hAnsi="仿宋"/>
          <w:kern w:val="0"/>
          <w:sz w:val="24"/>
        </w:rPr>
        <w:t>法定代表人或负责人或实际控制人存在股份控制或实际控制关系</w:t>
      </w:r>
    </w:p>
    <w:p>
      <w:pPr>
        <w:keepNext w:val="0"/>
        <w:keepLines w:val="0"/>
        <w:pageBreakBefore w:val="0"/>
        <w:kinsoku/>
        <w:wordWrap/>
        <w:overflowPunct/>
        <w:topLinePunct w:val="0"/>
        <w:autoSpaceDE/>
        <w:autoSpaceDN/>
        <w:bidi w:val="0"/>
        <w:adjustRightInd/>
        <w:snapToGrid w:val="0"/>
        <w:spacing w:line="400" w:lineRule="exact"/>
        <w:textAlignment w:val="auto"/>
        <w:outlineLvl w:val="0"/>
        <w:rPr>
          <w:rFonts w:ascii="仿宋" w:hAnsi="Courier New" w:eastAsia="仿宋"/>
          <w:kern w:val="0"/>
          <w:sz w:val="24"/>
        </w:rPr>
      </w:pPr>
      <w:r>
        <w:rPr>
          <w:rFonts w:ascii="仿宋" w:hAnsi="仿宋"/>
          <w:kern w:val="0"/>
          <w:sz w:val="24"/>
        </w:rPr>
        <w:t xml:space="preserve">  G.</w:t>
      </w:r>
      <w:r>
        <w:rPr>
          <w:rFonts w:hint="eastAsia" w:ascii="仿宋" w:hAnsi="仿宋"/>
          <w:kern w:val="0"/>
          <w:sz w:val="24"/>
        </w:rPr>
        <w:t>存在共同直接或间接投资设立子公司、联营企业和合营企业情况</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sz w:val="24"/>
        </w:rPr>
      </w:pPr>
      <w:r>
        <w:rPr>
          <w:rFonts w:ascii="仿宋" w:hAnsi="仿宋"/>
          <w:kern w:val="0"/>
          <w:sz w:val="24"/>
        </w:rPr>
        <w:t xml:space="preserve">  H.</w:t>
      </w:r>
      <w:r>
        <w:rPr>
          <w:rFonts w:hint="eastAsia" w:ascii="仿宋" w:hAnsi="仿宋"/>
          <w:kern w:val="0"/>
          <w:sz w:val="24"/>
        </w:rPr>
        <w:t>存在分级代理或代销关系、同一生产制造商关系、</w:t>
      </w:r>
      <w:r>
        <w:rPr>
          <w:rFonts w:hint="eastAsia" w:ascii="仿宋" w:hAnsi="仿宋"/>
          <w:sz w:val="24"/>
        </w:rPr>
        <w:t>管理关系、重要业务（占主营业务收入</w:t>
      </w:r>
      <w:r>
        <w:rPr>
          <w:rFonts w:ascii="仿宋" w:hAnsi="仿宋"/>
          <w:sz w:val="24"/>
        </w:rPr>
        <w:t>50%</w:t>
      </w:r>
      <w:r>
        <w:rPr>
          <w:rFonts w:hint="eastAsia" w:ascii="仿宋" w:hAnsi="仿宋"/>
          <w:sz w:val="24"/>
        </w:rPr>
        <w:t>以上）或重要财务往来关系（如融资）等其他实质性控制关系</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Courier New" w:eastAsia="仿宋"/>
          <w:spacing w:val="6"/>
          <w:sz w:val="24"/>
        </w:rPr>
      </w:pPr>
      <w:r>
        <w:rPr>
          <w:rFonts w:ascii="仿宋" w:hAnsi="仿宋"/>
          <w:sz w:val="24"/>
        </w:rPr>
        <w:t>I</w:t>
      </w:r>
      <w:r>
        <w:rPr>
          <w:rFonts w:ascii="仿宋" w:hAnsi="Courier New" w:eastAsia="仿宋"/>
          <w:kern w:val="0"/>
          <w:sz w:val="24"/>
        </w:rPr>
        <w:t>.</w:t>
      </w:r>
      <w:r>
        <w:rPr>
          <w:rFonts w:hint="eastAsia" w:ascii="仿宋" w:hAnsi="仿宋"/>
          <w:sz w:val="24"/>
        </w:rPr>
        <w:t>其他利害关系情况</w:t>
      </w:r>
      <w:r>
        <w:rPr>
          <w:rFonts w:hint="eastAsia" w:ascii="仿宋" w:hAnsi="仿宋"/>
          <w:kern w:val="0"/>
          <w:sz w:val="24"/>
        </w:rPr>
        <w:t>。</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eastAsia="仿宋"/>
          <w:kern w:val="0"/>
          <w:sz w:val="24"/>
        </w:rPr>
      </w:pPr>
      <w:r>
        <w:rPr>
          <w:rFonts w:hint="eastAsia" w:ascii="仿宋" w:hAnsi="仿宋"/>
          <w:sz w:val="24"/>
        </w:rPr>
        <w:t>三、现已清楚知道并</w:t>
      </w:r>
      <w:r>
        <w:rPr>
          <w:rFonts w:hint="eastAsia" w:ascii="仿宋" w:hAnsi="仿宋"/>
          <w:kern w:val="0"/>
          <w:sz w:val="24"/>
        </w:rPr>
        <w:t>严格遵守招投标相关法律法规和现场纪律。</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仿宋" w:hAnsi="仿宋"/>
          <w:kern w:val="0"/>
          <w:sz w:val="24"/>
        </w:rPr>
      </w:pPr>
      <w:r>
        <w:rPr>
          <w:rFonts w:hint="eastAsia" w:ascii="仿宋" w:hAnsi="仿宋"/>
          <w:kern w:val="0"/>
          <w:sz w:val="24"/>
        </w:rPr>
        <w:t>四、我发现投标人之间存在或可能存在上述第二条第项利害关系。</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kern w:val="0"/>
          <w:sz w:val="24"/>
        </w:rPr>
      </w:pPr>
      <w:r>
        <w:rPr>
          <w:rFonts w:hint="eastAsia" w:ascii="宋体" w:hAnsi="宋体"/>
          <w:kern w:val="0"/>
          <w:sz w:val="24"/>
        </w:rPr>
        <w:t>□不存在利害关系</w:t>
      </w:r>
    </w:p>
    <w:p>
      <w:pPr>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kern w:val="0"/>
          <w:sz w:val="24"/>
        </w:rPr>
      </w:pPr>
      <w:r>
        <w:rPr>
          <w:rFonts w:hint="eastAsia" w:ascii="宋体" w:hAnsi="宋体"/>
          <w:kern w:val="0"/>
          <w:sz w:val="24"/>
        </w:rPr>
        <w:t>□存在下列利害关系</w:t>
      </w:r>
    </w:p>
    <w:p>
      <w:pPr>
        <w:snapToGrid w:val="0"/>
        <w:spacing w:line="500" w:lineRule="exact"/>
        <w:ind w:firstLine="480" w:firstLineChars="200"/>
        <w:rPr>
          <w:rFonts w:ascii="仿宋" w:hAnsi="仿宋"/>
          <w:sz w:val="24"/>
        </w:rPr>
      </w:pPr>
    </w:p>
    <w:p>
      <w:pPr>
        <w:snapToGrid w:val="0"/>
        <w:spacing w:line="500" w:lineRule="exact"/>
        <w:ind w:firstLine="482" w:firstLineChars="200"/>
        <w:rPr>
          <w:rFonts w:hint="eastAsia" w:ascii="仿宋" w:hAnsi="仿宋"/>
          <w:b/>
          <w:sz w:val="24"/>
        </w:rPr>
      </w:pPr>
      <w:r>
        <w:rPr>
          <w:rFonts w:hint="eastAsia" w:ascii="仿宋" w:hAnsi="仿宋"/>
          <w:b/>
          <w:sz w:val="24"/>
        </w:rPr>
        <w:t>投标人代表签名：</w:t>
      </w:r>
    </w:p>
    <w:p>
      <w:pPr>
        <w:snapToGrid w:val="0"/>
        <w:spacing w:line="500" w:lineRule="exact"/>
        <w:ind w:firstLine="480" w:firstLineChars="200"/>
        <w:jc w:val="right"/>
      </w:pPr>
      <w:r>
        <w:rPr>
          <w:rFonts w:hint="eastAsia" w:ascii="仿宋" w:hAnsi="仿宋"/>
          <w:sz w:val="24"/>
        </w:rPr>
        <w:t>年</w:t>
      </w:r>
      <w:r>
        <w:rPr>
          <w:rFonts w:ascii="仿宋" w:hAnsi="仿宋"/>
          <w:sz w:val="24"/>
        </w:rPr>
        <w:t xml:space="preserve"> </w:t>
      </w:r>
      <w:r>
        <w:rPr>
          <w:rFonts w:hint="eastAsia" w:ascii="仿宋" w:hAnsi="仿宋"/>
          <w:sz w:val="24"/>
        </w:rPr>
        <w:t xml:space="preserve">   </w:t>
      </w:r>
      <w:r>
        <w:rPr>
          <w:rFonts w:ascii="仿宋" w:hAnsi="仿宋"/>
          <w:sz w:val="24"/>
        </w:rPr>
        <w:t xml:space="preserve"> </w:t>
      </w:r>
      <w:r>
        <w:rPr>
          <w:rFonts w:hint="eastAsia" w:ascii="仿宋" w:hAnsi="仿宋"/>
          <w:sz w:val="24"/>
        </w:rPr>
        <w:t>月</w:t>
      </w:r>
      <w:r>
        <w:rPr>
          <w:rFonts w:ascii="仿宋" w:hAnsi="仿宋"/>
          <w:sz w:val="24"/>
        </w:rPr>
        <w:t xml:space="preserve"> </w:t>
      </w:r>
      <w:r>
        <w:rPr>
          <w:rFonts w:hint="eastAsia" w:ascii="仿宋" w:hAnsi="仿宋"/>
          <w:sz w:val="24"/>
        </w:rPr>
        <w:t xml:space="preserve"> </w:t>
      </w:r>
      <w:r>
        <w:rPr>
          <w:rFonts w:ascii="仿宋" w:hAnsi="仿宋"/>
          <w:sz w:val="24"/>
        </w:rPr>
        <w:t xml:space="preserve">  </w:t>
      </w:r>
      <w:r>
        <w:rPr>
          <w:rFonts w:hint="eastAsia" w:ascii="仿宋" w:hAnsi="仿宋"/>
          <w:sz w:val="24"/>
        </w:rPr>
        <w:t>日</w:t>
      </w:r>
    </w:p>
    <w:sectPr>
      <w:footerReference r:id="rId8" w:type="default"/>
      <w:footerReference r:id="rId9"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HelveticaNeueLT Std Lt">
    <w:altName w:val="新宋体"/>
    <w:panose1 w:val="00000000000000000000"/>
    <w:charset w:val="86"/>
    <w:family w:val="auto"/>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Swis721 Lt BT">
    <w:altName w:val="Segoe Print"/>
    <w:panose1 w:val="020B0403020202020204"/>
    <w:charset w:val="00"/>
    <w:family w:val="swiss"/>
    <w:pitch w:val="default"/>
    <w:sig w:usb0="00000000" w:usb1="00000000" w:usb2="00000000" w:usb3="00000000" w:csb0="0000001B" w:csb1="00000000"/>
  </w:font>
  <w:font w:name="Garamond">
    <w:altName w:val="PMingLiU-ExtB"/>
    <w:panose1 w:val="02020404030301010803"/>
    <w:charset w:val="00"/>
    <w:family w:val="roman"/>
    <w:pitch w:val="default"/>
    <w:sig w:usb0="00000000" w:usb1="00000000" w:usb2="00000000" w:usb3="00000000" w:csb0="0000009F" w:csb1="DFD70000"/>
  </w:font>
  <w:font w:name="EtGsHeiBol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fldChar w:fldCharType="begin"/>
    </w:r>
    <w:r>
      <w:instrText xml:space="preserve">PAGE   \* MERGEFORMAT</w:instrText>
    </w:r>
    <w:r>
      <w:fldChar w:fldCharType="separate"/>
    </w:r>
    <w:r>
      <w:rPr>
        <w:lang w:val="zh-CN"/>
      </w:rPr>
      <w:t>2</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5"/>
      </w:rPr>
    </w:pPr>
    <w:r>
      <w:fldChar w:fldCharType="begin"/>
    </w:r>
    <w:r>
      <w:rPr>
        <w:rStyle w:val="55"/>
      </w:rPr>
      <w:instrText xml:space="preserve">PAGE  </w:instrText>
    </w:r>
    <w: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eastAsia="宋体"/>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ugv/bakBAABCAwAADgAA&#10;AAAAAAABACAAAAAeAQAAZHJzL2Uyb0RvYy54bWxQSwUGAAAAAAYABgBZAQAAOQUAAAAA&#10;">
              <v:fill on="f" focussize="0,0"/>
              <v:stroke on="f"/>
              <v:imagedata o:title=""/>
              <o:lock v:ext="edit" aspectratio="f"/>
              <v:textbox inset="0mm,0mm,0mm,0mm" style="mso-fit-shape-to-text:t;">
                <w:txbxContent>
                  <w:p>
                    <w:pPr>
                      <w:pStyle w:val="35"/>
                      <w:rPr>
                        <w:rFonts w:eastAsia="宋体"/>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5"/>
      </w:rPr>
    </w:pPr>
    <w:r>
      <w:fldChar w:fldCharType="begin"/>
    </w:r>
    <w:r>
      <w:rPr>
        <w:rStyle w:val="55"/>
      </w:rPr>
      <w:instrText xml:space="preserve">PAGE  </w:instrText>
    </w:r>
    <w:r>
      <w:fldChar w:fldCharType="separate"/>
    </w:r>
    <w:r>
      <w:rPr>
        <w:rStyle w:val="55"/>
      </w:rPr>
      <w:t>49</w:t>
    </w:r>
    <w:r>
      <w:fldChar w:fldCharType="end"/>
    </w:r>
  </w:p>
  <w:p>
    <w:pPr>
      <w:pStyle w:val="35"/>
      <w:ind w:right="360"/>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pPr>
      <w:pStyle w:val="35"/>
      <w:ind w:right="360"/>
    </w:pP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90"/>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00000003"/>
    <w:multiLevelType w:val="multilevel"/>
    <w:tmpl w:val="00000003"/>
    <w:lvl w:ilvl="0" w:tentative="0">
      <w:start w:val="1"/>
      <w:numFmt w:val="bullet"/>
      <w:pStyle w:val="36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24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8DC24F3"/>
    <w:multiLevelType w:val="singleLevel"/>
    <w:tmpl w:val="08DC24F3"/>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ess">
    <w15:presenceInfo w15:providerId="WPS Office" w15:userId="4165273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ZTM0YjdlNDk0Y2IzODRlNDkyOTA0OWNjMzFiNjcifQ=="/>
  </w:docVars>
  <w:rsids>
    <w:rsidRoot w:val="00172A27"/>
    <w:rsid w:val="000000D7"/>
    <w:rsid w:val="000008D7"/>
    <w:rsid w:val="00000982"/>
    <w:rsid w:val="00001012"/>
    <w:rsid w:val="00002483"/>
    <w:rsid w:val="00002CF8"/>
    <w:rsid w:val="000033E8"/>
    <w:rsid w:val="00003E16"/>
    <w:rsid w:val="00004E71"/>
    <w:rsid w:val="00005739"/>
    <w:rsid w:val="00005CFF"/>
    <w:rsid w:val="00005DEE"/>
    <w:rsid w:val="00005F91"/>
    <w:rsid w:val="00006B0F"/>
    <w:rsid w:val="00007873"/>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6AD"/>
    <w:rsid w:val="00050BC4"/>
    <w:rsid w:val="000550FF"/>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CF8"/>
    <w:rsid w:val="00090EBE"/>
    <w:rsid w:val="0009159F"/>
    <w:rsid w:val="00091CF5"/>
    <w:rsid w:val="0009253B"/>
    <w:rsid w:val="000926D9"/>
    <w:rsid w:val="000930D4"/>
    <w:rsid w:val="000933E2"/>
    <w:rsid w:val="0009341D"/>
    <w:rsid w:val="00094A6B"/>
    <w:rsid w:val="0009696A"/>
    <w:rsid w:val="00097A26"/>
    <w:rsid w:val="000A0580"/>
    <w:rsid w:val="000A0F94"/>
    <w:rsid w:val="000A4448"/>
    <w:rsid w:val="000A47A9"/>
    <w:rsid w:val="000A6163"/>
    <w:rsid w:val="000A6CA9"/>
    <w:rsid w:val="000A75AC"/>
    <w:rsid w:val="000A7940"/>
    <w:rsid w:val="000B036D"/>
    <w:rsid w:val="000B0C94"/>
    <w:rsid w:val="000B14E8"/>
    <w:rsid w:val="000B24FD"/>
    <w:rsid w:val="000B41B1"/>
    <w:rsid w:val="000B490E"/>
    <w:rsid w:val="000B4C85"/>
    <w:rsid w:val="000B4EAE"/>
    <w:rsid w:val="000B515B"/>
    <w:rsid w:val="000B6D7C"/>
    <w:rsid w:val="000C0C00"/>
    <w:rsid w:val="000C0D42"/>
    <w:rsid w:val="000C2016"/>
    <w:rsid w:val="000C3CA7"/>
    <w:rsid w:val="000C467E"/>
    <w:rsid w:val="000C66EB"/>
    <w:rsid w:val="000C7836"/>
    <w:rsid w:val="000C7ED0"/>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0E9C"/>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699B"/>
    <w:rsid w:val="00117359"/>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729"/>
    <w:rsid w:val="0013093E"/>
    <w:rsid w:val="00130F26"/>
    <w:rsid w:val="001313B7"/>
    <w:rsid w:val="001323AE"/>
    <w:rsid w:val="00134473"/>
    <w:rsid w:val="0013482F"/>
    <w:rsid w:val="00135014"/>
    <w:rsid w:val="0013571D"/>
    <w:rsid w:val="0013579A"/>
    <w:rsid w:val="00135814"/>
    <w:rsid w:val="00135B82"/>
    <w:rsid w:val="00136381"/>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27"/>
    <w:rsid w:val="00172A4C"/>
    <w:rsid w:val="00174A28"/>
    <w:rsid w:val="0017669A"/>
    <w:rsid w:val="001770B2"/>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8BA"/>
    <w:rsid w:val="001C2997"/>
    <w:rsid w:val="001C2A56"/>
    <w:rsid w:val="001C3298"/>
    <w:rsid w:val="001C5E5D"/>
    <w:rsid w:val="001C5F4F"/>
    <w:rsid w:val="001C710B"/>
    <w:rsid w:val="001D14D8"/>
    <w:rsid w:val="001D1795"/>
    <w:rsid w:val="001D25F4"/>
    <w:rsid w:val="001D27ED"/>
    <w:rsid w:val="001D3780"/>
    <w:rsid w:val="001D4771"/>
    <w:rsid w:val="001D49BC"/>
    <w:rsid w:val="001D4C93"/>
    <w:rsid w:val="001D5237"/>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0D14"/>
    <w:rsid w:val="0020128B"/>
    <w:rsid w:val="00201789"/>
    <w:rsid w:val="00201F09"/>
    <w:rsid w:val="00202F5D"/>
    <w:rsid w:val="00203374"/>
    <w:rsid w:val="00203987"/>
    <w:rsid w:val="002048B3"/>
    <w:rsid w:val="0020547F"/>
    <w:rsid w:val="002056ED"/>
    <w:rsid w:val="00205E8B"/>
    <w:rsid w:val="00206BD1"/>
    <w:rsid w:val="002073FD"/>
    <w:rsid w:val="0021041B"/>
    <w:rsid w:val="00210F5C"/>
    <w:rsid w:val="002115C9"/>
    <w:rsid w:val="00211E99"/>
    <w:rsid w:val="00212D31"/>
    <w:rsid w:val="00213376"/>
    <w:rsid w:val="002140DF"/>
    <w:rsid w:val="002150EF"/>
    <w:rsid w:val="002158A3"/>
    <w:rsid w:val="0021593D"/>
    <w:rsid w:val="00216145"/>
    <w:rsid w:val="00216B81"/>
    <w:rsid w:val="002201D6"/>
    <w:rsid w:val="00222CC7"/>
    <w:rsid w:val="00224AC6"/>
    <w:rsid w:val="00224F0F"/>
    <w:rsid w:val="00225F3C"/>
    <w:rsid w:val="00226696"/>
    <w:rsid w:val="0022719D"/>
    <w:rsid w:val="00230118"/>
    <w:rsid w:val="00230405"/>
    <w:rsid w:val="00231102"/>
    <w:rsid w:val="00231955"/>
    <w:rsid w:val="00231BE9"/>
    <w:rsid w:val="00232BC3"/>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D56"/>
    <w:rsid w:val="00267E1E"/>
    <w:rsid w:val="00267E9D"/>
    <w:rsid w:val="002703F5"/>
    <w:rsid w:val="002704A0"/>
    <w:rsid w:val="00270AF3"/>
    <w:rsid w:val="00271033"/>
    <w:rsid w:val="00271842"/>
    <w:rsid w:val="0027225B"/>
    <w:rsid w:val="002732F3"/>
    <w:rsid w:val="00273551"/>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13A2"/>
    <w:rsid w:val="002A17B3"/>
    <w:rsid w:val="002A20AE"/>
    <w:rsid w:val="002A3510"/>
    <w:rsid w:val="002A42AF"/>
    <w:rsid w:val="002A49B2"/>
    <w:rsid w:val="002A6BEB"/>
    <w:rsid w:val="002A6CA8"/>
    <w:rsid w:val="002A7012"/>
    <w:rsid w:val="002A73EB"/>
    <w:rsid w:val="002B1021"/>
    <w:rsid w:val="002B1CC8"/>
    <w:rsid w:val="002B28C1"/>
    <w:rsid w:val="002B2A04"/>
    <w:rsid w:val="002B372A"/>
    <w:rsid w:val="002B3C74"/>
    <w:rsid w:val="002B3DEC"/>
    <w:rsid w:val="002B4C13"/>
    <w:rsid w:val="002B4F74"/>
    <w:rsid w:val="002B519C"/>
    <w:rsid w:val="002B51A0"/>
    <w:rsid w:val="002B5512"/>
    <w:rsid w:val="002B5D48"/>
    <w:rsid w:val="002B6A29"/>
    <w:rsid w:val="002B6B73"/>
    <w:rsid w:val="002B771D"/>
    <w:rsid w:val="002B7E49"/>
    <w:rsid w:val="002B7E99"/>
    <w:rsid w:val="002C13D2"/>
    <w:rsid w:val="002C1617"/>
    <w:rsid w:val="002C225E"/>
    <w:rsid w:val="002C22ED"/>
    <w:rsid w:val="002C245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FB0"/>
    <w:rsid w:val="002F0145"/>
    <w:rsid w:val="002F12EA"/>
    <w:rsid w:val="002F1A1A"/>
    <w:rsid w:val="002F1B2E"/>
    <w:rsid w:val="002F2196"/>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40A9"/>
    <w:rsid w:val="0030519A"/>
    <w:rsid w:val="003053BE"/>
    <w:rsid w:val="00306069"/>
    <w:rsid w:val="003067E9"/>
    <w:rsid w:val="00306B17"/>
    <w:rsid w:val="00306E05"/>
    <w:rsid w:val="00312195"/>
    <w:rsid w:val="0031241C"/>
    <w:rsid w:val="00312670"/>
    <w:rsid w:val="00312D66"/>
    <w:rsid w:val="003133DD"/>
    <w:rsid w:val="00313F64"/>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821"/>
    <w:rsid w:val="003508EA"/>
    <w:rsid w:val="00351193"/>
    <w:rsid w:val="00351E50"/>
    <w:rsid w:val="00351F10"/>
    <w:rsid w:val="0035289E"/>
    <w:rsid w:val="00352E16"/>
    <w:rsid w:val="00352EF4"/>
    <w:rsid w:val="003530A6"/>
    <w:rsid w:val="0035438E"/>
    <w:rsid w:val="00354704"/>
    <w:rsid w:val="00357199"/>
    <w:rsid w:val="0036004B"/>
    <w:rsid w:val="00361EE0"/>
    <w:rsid w:val="003625F1"/>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2AE9"/>
    <w:rsid w:val="003731AB"/>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C00"/>
    <w:rsid w:val="00390F53"/>
    <w:rsid w:val="003A07AE"/>
    <w:rsid w:val="003A0C5F"/>
    <w:rsid w:val="003A0E0F"/>
    <w:rsid w:val="003A16DC"/>
    <w:rsid w:val="003A1DF6"/>
    <w:rsid w:val="003A36F5"/>
    <w:rsid w:val="003A4078"/>
    <w:rsid w:val="003A5A64"/>
    <w:rsid w:val="003A6107"/>
    <w:rsid w:val="003A6363"/>
    <w:rsid w:val="003A6A60"/>
    <w:rsid w:val="003A7FDF"/>
    <w:rsid w:val="003B00AB"/>
    <w:rsid w:val="003B0824"/>
    <w:rsid w:val="003B1627"/>
    <w:rsid w:val="003B5048"/>
    <w:rsid w:val="003B7350"/>
    <w:rsid w:val="003C03BE"/>
    <w:rsid w:val="003C1A76"/>
    <w:rsid w:val="003C2B8C"/>
    <w:rsid w:val="003C3186"/>
    <w:rsid w:val="003C3233"/>
    <w:rsid w:val="003C35DD"/>
    <w:rsid w:val="003C4BD9"/>
    <w:rsid w:val="003C4EF1"/>
    <w:rsid w:val="003D0187"/>
    <w:rsid w:val="003D0193"/>
    <w:rsid w:val="003D03F0"/>
    <w:rsid w:val="003D0640"/>
    <w:rsid w:val="003D0874"/>
    <w:rsid w:val="003D09B1"/>
    <w:rsid w:val="003D0A44"/>
    <w:rsid w:val="003D0C77"/>
    <w:rsid w:val="003D0F62"/>
    <w:rsid w:val="003D3178"/>
    <w:rsid w:val="003D337E"/>
    <w:rsid w:val="003D46BC"/>
    <w:rsid w:val="003D5315"/>
    <w:rsid w:val="003D5AD6"/>
    <w:rsid w:val="003D5F19"/>
    <w:rsid w:val="003D6A6D"/>
    <w:rsid w:val="003D6D48"/>
    <w:rsid w:val="003D7A34"/>
    <w:rsid w:val="003E20B2"/>
    <w:rsid w:val="003E24A2"/>
    <w:rsid w:val="003E32E6"/>
    <w:rsid w:val="003E3D48"/>
    <w:rsid w:val="003E5158"/>
    <w:rsid w:val="003E588C"/>
    <w:rsid w:val="003E5F5C"/>
    <w:rsid w:val="003E787F"/>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0B5"/>
    <w:rsid w:val="00412585"/>
    <w:rsid w:val="0041440F"/>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4065"/>
    <w:rsid w:val="004540C3"/>
    <w:rsid w:val="0045413A"/>
    <w:rsid w:val="00454A07"/>
    <w:rsid w:val="00455AC8"/>
    <w:rsid w:val="00456565"/>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A62"/>
    <w:rsid w:val="004B5311"/>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B50"/>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06A4D"/>
    <w:rsid w:val="0051056C"/>
    <w:rsid w:val="005112FE"/>
    <w:rsid w:val="005139EC"/>
    <w:rsid w:val="00513F7B"/>
    <w:rsid w:val="00515A94"/>
    <w:rsid w:val="0051671C"/>
    <w:rsid w:val="00517BEE"/>
    <w:rsid w:val="00521D0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4489"/>
    <w:rsid w:val="0055223C"/>
    <w:rsid w:val="005524C8"/>
    <w:rsid w:val="0055278D"/>
    <w:rsid w:val="005533F9"/>
    <w:rsid w:val="00553435"/>
    <w:rsid w:val="005544AB"/>
    <w:rsid w:val="0055479C"/>
    <w:rsid w:val="005559C3"/>
    <w:rsid w:val="00556BA3"/>
    <w:rsid w:val="00561489"/>
    <w:rsid w:val="0056240C"/>
    <w:rsid w:val="00563086"/>
    <w:rsid w:val="0056335F"/>
    <w:rsid w:val="005636CB"/>
    <w:rsid w:val="005649AD"/>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4029"/>
    <w:rsid w:val="005844B0"/>
    <w:rsid w:val="00584E81"/>
    <w:rsid w:val="0058513A"/>
    <w:rsid w:val="005867DA"/>
    <w:rsid w:val="00587090"/>
    <w:rsid w:val="00587E98"/>
    <w:rsid w:val="00590DC6"/>
    <w:rsid w:val="005935DB"/>
    <w:rsid w:val="0059448D"/>
    <w:rsid w:val="00595922"/>
    <w:rsid w:val="00596E6D"/>
    <w:rsid w:val="005A0057"/>
    <w:rsid w:val="005A0344"/>
    <w:rsid w:val="005A0AB9"/>
    <w:rsid w:val="005A1A5E"/>
    <w:rsid w:val="005A237B"/>
    <w:rsid w:val="005A27D8"/>
    <w:rsid w:val="005A2BA2"/>
    <w:rsid w:val="005A3E34"/>
    <w:rsid w:val="005A464E"/>
    <w:rsid w:val="005A4AAF"/>
    <w:rsid w:val="005A540F"/>
    <w:rsid w:val="005A5662"/>
    <w:rsid w:val="005A674B"/>
    <w:rsid w:val="005A6BD3"/>
    <w:rsid w:val="005A6D1C"/>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A7D"/>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D90"/>
    <w:rsid w:val="00602898"/>
    <w:rsid w:val="00602EFE"/>
    <w:rsid w:val="006041D0"/>
    <w:rsid w:val="00604364"/>
    <w:rsid w:val="0060471A"/>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CE5"/>
    <w:rsid w:val="00627F93"/>
    <w:rsid w:val="00630666"/>
    <w:rsid w:val="00630711"/>
    <w:rsid w:val="00630D39"/>
    <w:rsid w:val="00631751"/>
    <w:rsid w:val="0063287B"/>
    <w:rsid w:val="00632901"/>
    <w:rsid w:val="00632944"/>
    <w:rsid w:val="00633341"/>
    <w:rsid w:val="006342C2"/>
    <w:rsid w:val="00635113"/>
    <w:rsid w:val="006354F7"/>
    <w:rsid w:val="00636C8F"/>
    <w:rsid w:val="006371D0"/>
    <w:rsid w:val="006375BA"/>
    <w:rsid w:val="00641D07"/>
    <w:rsid w:val="00643660"/>
    <w:rsid w:val="0064443E"/>
    <w:rsid w:val="00644991"/>
    <w:rsid w:val="00645148"/>
    <w:rsid w:val="006452B0"/>
    <w:rsid w:val="00646C90"/>
    <w:rsid w:val="006473A5"/>
    <w:rsid w:val="00647FCD"/>
    <w:rsid w:val="006514C9"/>
    <w:rsid w:val="00652B8D"/>
    <w:rsid w:val="00653F3F"/>
    <w:rsid w:val="0065473B"/>
    <w:rsid w:val="006549EF"/>
    <w:rsid w:val="00654A8A"/>
    <w:rsid w:val="00656071"/>
    <w:rsid w:val="006561AA"/>
    <w:rsid w:val="0065671E"/>
    <w:rsid w:val="00657814"/>
    <w:rsid w:val="0066038A"/>
    <w:rsid w:val="00660D0C"/>
    <w:rsid w:val="00661232"/>
    <w:rsid w:val="00661575"/>
    <w:rsid w:val="0066160E"/>
    <w:rsid w:val="006623D3"/>
    <w:rsid w:val="0066343A"/>
    <w:rsid w:val="00663904"/>
    <w:rsid w:val="0066429D"/>
    <w:rsid w:val="00664962"/>
    <w:rsid w:val="00664B50"/>
    <w:rsid w:val="006658E7"/>
    <w:rsid w:val="00665F27"/>
    <w:rsid w:val="006665BD"/>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5383"/>
    <w:rsid w:val="00696216"/>
    <w:rsid w:val="00696638"/>
    <w:rsid w:val="006967BC"/>
    <w:rsid w:val="00697919"/>
    <w:rsid w:val="00697EBE"/>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5DEF"/>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E26"/>
    <w:rsid w:val="006E40D0"/>
    <w:rsid w:val="006E48C8"/>
    <w:rsid w:val="006E77FD"/>
    <w:rsid w:val="006E7B9B"/>
    <w:rsid w:val="006F2A3F"/>
    <w:rsid w:val="006F2C39"/>
    <w:rsid w:val="006F3A07"/>
    <w:rsid w:val="006F456A"/>
    <w:rsid w:val="006F46A2"/>
    <w:rsid w:val="006F472E"/>
    <w:rsid w:val="006F4EAE"/>
    <w:rsid w:val="006F621C"/>
    <w:rsid w:val="006F6602"/>
    <w:rsid w:val="00701CCF"/>
    <w:rsid w:val="00701F11"/>
    <w:rsid w:val="00703865"/>
    <w:rsid w:val="007045B0"/>
    <w:rsid w:val="0070579E"/>
    <w:rsid w:val="007070AE"/>
    <w:rsid w:val="00707799"/>
    <w:rsid w:val="00707CD1"/>
    <w:rsid w:val="0071017B"/>
    <w:rsid w:val="00711528"/>
    <w:rsid w:val="0071300A"/>
    <w:rsid w:val="00713D60"/>
    <w:rsid w:val="00713E80"/>
    <w:rsid w:val="0071412E"/>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61C3"/>
    <w:rsid w:val="00737B27"/>
    <w:rsid w:val="00740FC4"/>
    <w:rsid w:val="00741813"/>
    <w:rsid w:val="00743045"/>
    <w:rsid w:val="007436D9"/>
    <w:rsid w:val="00744767"/>
    <w:rsid w:val="00745231"/>
    <w:rsid w:val="00745B75"/>
    <w:rsid w:val="00747A4A"/>
    <w:rsid w:val="00747E60"/>
    <w:rsid w:val="00750121"/>
    <w:rsid w:val="00751A44"/>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5B1C"/>
    <w:rsid w:val="00796C11"/>
    <w:rsid w:val="007A0F80"/>
    <w:rsid w:val="007A1608"/>
    <w:rsid w:val="007A207A"/>
    <w:rsid w:val="007A23EF"/>
    <w:rsid w:val="007A3633"/>
    <w:rsid w:val="007A367C"/>
    <w:rsid w:val="007A39C8"/>
    <w:rsid w:val="007A3A4C"/>
    <w:rsid w:val="007A5825"/>
    <w:rsid w:val="007A60F7"/>
    <w:rsid w:val="007A6B44"/>
    <w:rsid w:val="007A715E"/>
    <w:rsid w:val="007B0B97"/>
    <w:rsid w:val="007B0C07"/>
    <w:rsid w:val="007B199B"/>
    <w:rsid w:val="007B1E68"/>
    <w:rsid w:val="007B2989"/>
    <w:rsid w:val="007B2E5E"/>
    <w:rsid w:val="007B3071"/>
    <w:rsid w:val="007B331B"/>
    <w:rsid w:val="007B4400"/>
    <w:rsid w:val="007B4B7A"/>
    <w:rsid w:val="007B51E5"/>
    <w:rsid w:val="007B5287"/>
    <w:rsid w:val="007B5408"/>
    <w:rsid w:val="007B5BBE"/>
    <w:rsid w:val="007B7083"/>
    <w:rsid w:val="007B7ED0"/>
    <w:rsid w:val="007C2509"/>
    <w:rsid w:val="007C2943"/>
    <w:rsid w:val="007C43A1"/>
    <w:rsid w:val="007C4AC6"/>
    <w:rsid w:val="007C5229"/>
    <w:rsid w:val="007C58FB"/>
    <w:rsid w:val="007C6175"/>
    <w:rsid w:val="007C697B"/>
    <w:rsid w:val="007D12F8"/>
    <w:rsid w:val="007D19D1"/>
    <w:rsid w:val="007D1EA4"/>
    <w:rsid w:val="007D247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1B98"/>
    <w:rsid w:val="007F29F7"/>
    <w:rsid w:val="007F2A93"/>
    <w:rsid w:val="007F3045"/>
    <w:rsid w:val="007F37A9"/>
    <w:rsid w:val="007F59E0"/>
    <w:rsid w:val="007F68EE"/>
    <w:rsid w:val="007F7320"/>
    <w:rsid w:val="00802FFC"/>
    <w:rsid w:val="00803231"/>
    <w:rsid w:val="008046D0"/>
    <w:rsid w:val="008049BF"/>
    <w:rsid w:val="00804C4E"/>
    <w:rsid w:val="0080521F"/>
    <w:rsid w:val="008059B7"/>
    <w:rsid w:val="00805A9E"/>
    <w:rsid w:val="00806541"/>
    <w:rsid w:val="00810171"/>
    <w:rsid w:val="0081067F"/>
    <w:rsid w:val="00810F36"/>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4066"/>
    <w:rsid w:val="00824570"/>
    <w:rsid w:val="008246B8"/>
    <w:rsid w:val="008260AE"/>
    <w:rsid w:val="008275C3"/>
    <w:rsid w:val="00827FBC"/>
    <w:rsid w:val="00830859"/>
    <w:rsid w:val="008312D5"/>
    <w:rsid w:val="00832789"/>
    <w:rsid w:val="00833191"/>
    <w:rsid w:val="00834373"/>
    <w:rsid w:val="00834BF2"/>
    <w:rsid w:val="00840E23"/>
    <w:rsid w:val="00841512"/>
    <w:rsid w:val="0084329B"/>
    <w:rsid w:val="008435F2"/>
    <w:rsid w:val="008439CA"/>
    <w:rsid w:val="00843C6C"/>
    <w:rsid w:val="00844647"/>
    <w:rsid w:val="00845A54"/>
    <w:rsid w:val="00845F11"/>
    <w:rsid w:val="0084670F"/>
    <w:rsid w:val="00846EB2"/>
    <w:rsid w:val="00847501"/>
    <w:rsid w:val="008503F9"/>
    <w:rsid w:val="008504A8"/>
    <w:rsid w:val="008519D7"/>
    <w:rsid w:val="00852252"/>
    <w:rsid w:val="00852850"/>
    <w:rsid w:val="00854EC9"/>
    <w:rsid w:val="00855720"/>
    <w:rsid w:val="00855E25"/>
    <w:rsid w:val="00855F46"/>
    <w:rsid w:val="00856092"/>
    <w:rsid w:val="00856548"/>
    <w:rsid w:val="00856673"/>
    <w:rsid w:val="00857617"/>
    <w:rsid w:val="00860135"/>
    <w:rsid w:val="008601A7"/>
    <w:rsid w:val="008605B3"/>
    <w:rsid w:val="008610CE"/>
    <w:rsid w:val="00861461"/>
    <w:rsid w:val="00861B68"/>
    <w:rsid w:val="00861D30"/>
    <w:rsid w:val="00862432"/>
    <w:rsid w:val="00862F66"/>
    <w:rsid w:val="008630D7"/>
    <w:rsid w:val="008646C4"/>
    <w:rsid w:val="00864CC0"/>
    <w:rsid w:val="00865EA0"/>
    <w:rsid w:val="0087021D"/>
    <w:rsid w:val="008702BD"/>
    <w:rsid w:val="00870792"/>
    <w:rsid w:val="00870E39"/>
    <w:rsid w:val="00873C2C"/>
    <w:rsid w:val="00874874"/>
    <w:rsid w:val="00875877"/>
    <w:rsid w:val="0087713D"/>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D8"/>
    <w:rsid w:val="008A49B1"/>
    <w:rsid w:val="008A6E6A"/>
    <w:rsid w:val="008A704C"/>
    <w:rsid w:val="008A7E18"/>
    <w:rsid w:val="008B127F"/>
    <w:rsid w:val="008B21E2"/>
    <w:rsid w:val="008B40EA"/>
    <w:rsid w:val="008B41E3"/>
    <w:rsid w:val="008B4684"/>
    <w:rsid w:val="008B4939"/>
    <w:rsid w:val="008B5CBC"/>
    <w:rsid w:val="008B6461"/>
    <w:rsid w:val="008B74A1"/>
    <w:rsid w:val="008B7E22"/>
    <w:rsid w:val="008C0FDA"/>
    <w:rsid w:val="008C1987"/>
    <w:rsid w:val="008C251B"/>
    <w:rsid w:val="008C2D9F"/>
    <w:rsid w:val="008C3109"/>
    <w:rsid w:val="008C3A00"/>
    <w:rsid w:val="008C46EC"/>
    <w:rsid w:val="008C6B14"/>
    <w:rsid w:val="008C6E46"/>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17C"/>
    <w:rsid w:val="008F03E1"/>
    <w:rsid w:val="008F0855"/>
    <w:rsid w:val="008F1670"/>
    <w:rsid w:val="008F16F8"/>
    <w:rsid w:val="008F18E9"/>
    <w:rsid w:val="008F22DC"/>
    <w:rsid w:val="008F28CC"/>
    <w:rsid w:val="008F2B02"/>
    <w:rsid w:val="008F3E1D"/>
    <w:rsid w:val="008F4366"/>
    <w:rsid w:val="008F62A5"/>
    <w:rsid w:val="008F6501"/>
    <w:rsid w:val="008F7302"/>
    <w:rsid w:val="008F783E"/>
    <w:rsid w:val="008F7BC8"/>
    <w:rsid w:val="00900256"/>
    <w:rsid w:val="00900273"/>
    <w:rsid w:val="00900DF9"/>
    <w:rsid w:val="009018F4"/>
    <w:rsid w:val="00902A0E"/>
    <w:rsid w:val="009032CD"/>
    <w:rsid w:val="00903390"/>
    <w:rsid w:val="00905BDA"/>
    <w:rsid w:val="00906893"/>
    <w:rsid w:val="0090701B"/>
    <w:rsid w:val="00907215"/>
    <w:rsid w:val="00907547"/>
    <w:rsid w:val="009077FE"/>
    <w:rsid w:val="00910496"/>
    <w:rsid w:val="009118DD"/>
    <w:rsid w:val="00913C06"/>
    <w:rsid w:val="00915712"/>
    <w:rsid w:val="009162CA"/>
    <w:rsid w:val="00916387"/>
    <w:rsid w:val="00916F76"/>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4B76"/>
    <w:rsid w:val="00944F82"/>
    <w:rsid w:val="00946334"/>
    <w:rsid w:val="00946850"/>
    <w:rsid w:val="00946EE7"/>
    <w:rsid w:val="0094738E"/>
    <w:rsid w:val="00950D3C"/>
    <w:rsid w:val="00950EA3"/>
    <w:rsid w:val="00951AFA"/>
    <w:rsid w:val="00952822"/>
    <w:rsid w:val="0095350E"/>
    <w:rsid w:val="009538B5"/>
    <w:rsid w:val="00953A33"/>
    <w:rsid w:val="00954128"/>
    <w:rsid w:val="00954827"/>
    <w:rsid w:val="00955819"/>
    <w:rsid w:val="0095635E"/>
    <w:rsid w:val="009573F5"/>
    <w:rsid w:val="00957F39"/>
    <w:rsid w:val="00960993"/>
    <w:rsid w:val="0096127B"/>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9BD"/>
    <w:rsid w:val="00967F47"/>
    <w:rsid w:val="00970C87"/>
    <w:rsid w:val="009711AC"/>
    <w:rsid w:val="009713C7"/>
    <w:rsid w:val="009717DF"/>
    <w:rsid w:val="0097218E"/>
    <w:rsid w:val="00972BC6"/>
    <w:rsid w:val="00973A0E"/>
    <w:rsid w:val="00973F54"/>
    <w:rsid w:val="0097692E"/>
    <w:rsid w:val="00977C10"/>
    <w:rsid w:val="00980A45"/>
    <w:rsid w:val="009816E0"/>
    <w:rsid w:val="00981FDA"/>
    <w:rsid w:val="00982289"/>
    <w:rsid w:val="009824C4"/>
    <w:rsid w:val="009827D9"/>
    <w:rsid w:val="00982A7A"/>
    <w:rsid w:val="009833CE"/>
    <w:rsid w:val="00983759"/>
    <w:rsid w:val="009841E5"/>
    <w:rsid w:val="009846B3"/>
    <w:rsid w:val="00984EF9"/>
    <w:rsid w:val="0098573D"/>
    <w:rsid w:val="00985D38"/>
    <w:rsid w:val="00985DA0"/>
    <w:rsid w:val="00986F96"/>
    <w:rsid w:val="009907D6"/>
    <w:rsid w:val="009909D1"/>
    <w:rsid w:val="00991E77"/>
    <w:rsid w:val="00992441"/>
    <w:rsid w:val="00993BCB"/>
    <w:rsid w:val="009943A5"/>
    <w:rsid w:val="00994B29"/>
    <w:rsid w:val="009950E4"/>
    <w:rsid w:val="00995DE8"/>
    <w:rsid w:val="00996A7C"/>
    <w:rsid w:val="00996CD0"/>
    <w:rsid w:val="00997A38"/>
    <w:rsid w:val="00997B54"/>
    <w:rsid w:val="009A01D6"/>
    <w:rsid w:val="009A0C0D"/>
    <w:rsid w:val="009A1997"/>
    <w:rsid w:val="009A1E61"/>
    <w:rsid w:val="009A25BB"/>
    <w:rsid w:val="009A2B42"/>
    <w:rsid w:val="009A47F8"/>
    <w:rsid w:val="009A4AAD"/>
    <w:rsid w:val="009A754A"/>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4760"/>
    <w:rsid w:val="009C4AD7"/>
    <w:rsid w:val="009C6681"/>
    <w:rsid w:val="009C6B07"/>
    <w:rsid w:val="009C6D60"/>
    <w:rsid w:val="009C7001"/>
    <w:rsid w:val="009C726D"/>
    <w:rsid w:val="009C7B86"/>
    <w:rsid w:val="009C7F85"/>
    <w:rsid w:val="009D0AE8"/>
    <w:rsid w:val="009D1011"/>
    <w:rsid w:val="009D198E"/>
    <w:rsid w:val="009D4743"/>
    <w:rsid w:val="009D584D"/>
    <w:rsid w:val="009D60B5"/>
    <w:rsid w:val="009D6CCD"/>
    <w:rsid w:val="009D764A"/>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5C64"/>
    <w:rsid w:val="009F725E"/>
    <w:rsid w:val="009F7582"/>
    <w:rsid w:val="00A009D6"/>
    <w:rsid w:val="00A00A97"/>
    <w:rsid w:val="00A00DF6"/>
    <w:rsid w:val="00A01DB4"/>
    <w:rsid w:val="00A01DE9"/>
    <w:rsid w:val="00A03F5B"/>
    <w:rsid w:val="00A0472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76E"/>
    <w:rsid w:val="00A26BE8"/>
    <w:rsid w:val="00A27081"/>
    <w:rsid w:val="00A279E0"/>
    <w:rsid w:val="00A27EB6"/>
    <w:rsid w:val="00A27FC6"/>
    <w:rsid w:val="00A32A74"/>
    <w:rsid w:val="00A33226"/>
    <w:rsid w:val="00A33B35"/>
    <w:rsid w:val="00A3624D"/>
    <w:rsid w:val="00A362B4"/>
    <w:rsid w:val="00A367BE"/>
    <w:rsid w:val="00A4029A"/>
    <w:rsid w:val="00A40D39"/>
    <w:rsid w:val="00A442A0"/>
    <w:rsid w:val="00A44926"/>
    <w:rsid w:val="00A44B96"/>
    <w:rsid w:val="00A457B6"/>
    <w:rsid w:val="00A45AAB"/>
    <w:rsid w:val="00A46433"/>
    <w:rsid w:val="00A51199"/>
    <w:rsid w:val="00A5198D"/>
    <w:rsid w:val="00A521C9"/>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9EB"/>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EB2"/>
    <w:rsid w:val="00A74F0C"/>
    <w:rsid w:val="00A757CD"/>
    <w:rsid w:val="00A75CCA"/>
    <w:rsid w:val="00A7606B"/>
    <w:rsid w:val="00A7645E"/>
    <w:rsid w:val="00A767BF"/>
    <w:rsid w:val="00A77A50"/>
    <w:rsid w:val="00A818AC"/>
    <w:rsid w:val="00A81CFD"/>
    <w:rsid w:val="00A826E5"/>
    <w:rsid w:val="00A8272E"/>
    <w:rsid w:val="00A838FF"/>
    <w:rsid w:val="00A83BE0"/>
    <w:rsid w:val="00A84DFC"/>
    <w:rsid w:val="00A862FA"/>
    <w:rsid w:val="00A87A07"/>
    <w:rsid w:val="00A9085C"/>
    <w:rsid w:val="00A91762"/>
    <w:rsid w:val="00A918FA"/>
    <w:rsid w:val="00A9227A"/>
    <w:rsid w:val="00A9277C"/>
    <w:rsid w:val="00A9281D"/>
    <w:rsid w:val="00A94028"/>
    <w:rsid w:val="00A9477F"/>
    <w:rsid w:val="00A94B20"/>
    <w:rsid w:val="00A94E89"/>
    <w:rsid w:val="00A95425"/>
    <w:rsid w:val="00A976D4"/>
    <w:rsid w:val="00A979A7"/>
    <w:rsid w:val="00AA03BB"/>
    <w:rsid w:val="00AA0420"/>
    <w:rsid w:val="00AA0679"/>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34F8"/>
    <w:rsid w:val="00AB44E7"/>
    <w:rsid w:val="00AB49E8"/>
    <w:rsid w:val="00AB4BB8"/>
    <w:rsid w:val="00AB4F22"/>
    <w:rsid w:val="00AB51D1"/>
    <w:rsid w:val="00AB5AB3"/>
    <w:rsid w:val="00AB6396"/>
    <w:rsid w:val="00AB643F"/>
    <w:rsid w:val="00AB6559"/>
    <w:rsid w:val="00AB6E0B"/>
    <w:rsid w:val="00AB7244"/>
    <w:rsid w:val="00AB7309"/>
    <w:rsid w:val="00AB7328"/>
    <w:rsid w:val="00AC0ACB"/>
    <w:rsid w:val="00AC2264"/>
    <w:rsid w:val="00AC3432"/>
    <w:rsid w:val="00AC47FB"/>
    <w:rsid w:val="00AC4A07"/>
    <w:rsid w:val="00AC6706"/>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5511"/>
    <w:rsid w:val="00AF6198"/>
    <w:rsid w:val="00AF6246"/>
    <w:rsid w:val="00B00353"/>
    <w:rsid w:val="00B011E8"/>
    <w:rsid w:val="00B029AC"/>
    <w:rsid w:val="00B03C52"/>
    <w:rsid w:val="00B050DE"/>
    <w:rsid w:val="00B0522C"/>
    <w:rsid w:val="00B0552C"/>
    <w:rsid w:val="00B056EF"/>
    <w:rsid w:val="00B0653E"/>
    <w:rsid w:val="00B069BF"/>
    <w:rsid w:val="00B07748"/>
    <w:rsid w:val="00B07BEF"/>
    <w:rsid w:val="00B10139"/>
    <w:rsid w:val="00B101C2"/>
    <w:rsid w:val="00B11671"/>
    <w:rsid w:val="00B11E6F"/>
    <w:rsid w:val="00B13235"/>
    <w:rsid w:val="00B134BA"/>
    <w:rsid w:val="00B136F5"/>
    <w:rsid w:val="00B1370E"/>
    <w:rsid w:val="00B1457E"/>
    <w:rsid w:val="00B14F1D"/>
    <w:rsid w:val="00B15954"/>
    <w:rsid w:val="00B15B1A"/>
    <w:rsid w:val="00B16DB1"/>
    <w:rsid w:val="00B20719"/>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1749"/>
    <w:rsid w:val="00B41A87"/>
    <w:rsid w:val="00B41D1B"/>
    <w:rsid w:val="00B41E3A"/>
    <w:rsid w:val="00B42386"/>
    <w:rsid w:val="00B43793"/>
    <w:rsid w:val="00B43FF0"/>
    <w:rsid w:val="00B44771"/>
    <w:rsid w:val="00B44BF5"/>
    <w:rsid w:val="00B45D84"/>
    <w:rsid w:val="00B465A5"/>
    <w:rsid w:val="00B46BF6"/>
    <w:rsid w:val="00B46C3D"/>
    <w:rsid w:val="00B474C2"/>
    <w:rsid w:val="00B476D6"/>
    <w:rsid w:val="00B5039A"/>
    <w:rsid w:val="00B51186"/>
    <w:rsid w:val="00B523A1"/>
    <w:rsid w:val="00B5307A"/>
    <w:rsid w:val="00B550F5"/>
    <w:rsid w:val="00B5568C"/>
    <w:rsid w:val="00B56D9F"/>
    <w:rsid w:val="00B570DB"/>
    <w:rsid w:val="00B57274"/>
    <w:rsid w:val="00B57704"/>
    <w:rsid w:val="00B609C1"/>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17"/>
    <w:rsid w:val="00B80A62"/>
    <w:rsid w:val="00B811E6"/>
    <w:rsid w:val="00B8344E"/>
    <w:rsid w:val="00B8423A"/>
    <w:rsid w:val="00B850D6"/>
    <w:rsid w:val="00B85BC4"/>
    <w:rsid w:val="00B85F69"/>
    <w:rsid w:val="00B864B4"/>
    <w:rsid w:val="00B90521"/>
    <w:rsid w:val="00B907C2"/>
    <w:rsid w:val="00B92497"/>
    <w:rsid w:val="00B92CE1"/>
    <w:rsid w:val="00B9311E"/>
    <w:rsid w:val="00B942DA"/>
    <w:rsid w:val="00BA0203"/>
    <w:rsid w:val="00BA02E0"/>
    <w:rsid w:val="00BA062E"/>
    <w:rsid w:val="00BA0B26"/>
    <w:rsid w:val="00BA1350"/>
    <w:rsid w:val="00BA142F"/>
    <w:rsid w:val="00BA2A4E"/>
    <w:rsid w:val="00BA2EA7"/>
    <w:rsid w:val="00BA301A"/>
    <w:rsid w:val="00BA3385"/>
    <w:rsid w:val="00BA5096"/>
    <w:rsid w:val="00BA564A"/>
    <w:rsid w:val="00BA5CE6"/>
    <w:rsid w:val="00BA6098"/>
    <w:rsid w:val="00BA63DA"/>
    <w:rsid w:val="00BA7123"/>
    <w:rsid w:val="00BA7145"/>
    <w:rsid w:val="00BA7C15"/>
    <w:rsid w:val="00BB11F8"/>
    <w:rsid w:val="00BB1959"/>
    <w:rsid w:val="00BB1F53"/>
    <w:rsid w:val="00BB3284"/>
    <w:rsid w:val="00BB33D6"/>
    <w:rsid w:val="00BB40BB"/>
    <w:rsid w:val="00BB4C45"/>
    <w:rsid w:val="00BB5D6E"/>
    <w:rsid w:val="00BB5D88"/>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620"/>
    <w:rsid w:val="00BD29CE"/>
    <w:rsid w:val="00BD59A2"/>
    <w:rsid w:val="00BD63F9"/>
    <w:rsid w:val="00BD6503"/>
    <w:rsid w:val="00BD7989"/>
    <w:rsid w:val="00BD7FB4"/>
    <w:rsid w:val="00BE1276"/>
    <w:rsid w:val="00BE1638"/>
    <w:rsid w:val="00BE1EE3"/>
    <w:rsid w:val="00BE2BCC"/>
    <w:rsid w:val="00BE3AB9"/>
    <w:rsid w:val="00BE4600"/>
    <w:rsid w:val="00BE479C"/>
    <w:rsid w:val="00BE538E"/>
    <w:rsid w:val="00BE59E5"/>
    <w:rsid w:val="00BE616A"/>
    <w:rsid w:val="00BE738B"/>
    <w:rsid w:val="00BE74B9"/>
    <w:rsid w:val="00BE7B8C"/>
    <w:rsid w:val="00BF054B"/>
    <w:rsid w:val="00BF08E1"/>
    <w:rsid w:val="00BF0B01"/>
    <w:rsid w:val="00BF2369"/>
    <w:rsid w:val="00BF3F5C"/>
    <w:rsid w:val="00BF3FC9"/>
    <w:rsid w:val="00BF4803"/>
    <w:rsid w:val="00BF70D9"/>
    <w:rsid w:val="00C01B42"/>
    <w:rsid w:val="00C01DA4"/>
    <w:rsid w:val="00C023B7"/>
    <w:rsid w:val="00C03C15"/>
    <w:rsid w:val="00C03FD9"/>
    <w:rsid w:val="00C066DE"/>
    <w:rsid w:val="00C06E4F"/>
    <w:rsid w:val="00C07E4D"/>
    <w:rsid w:val="00C10C84"/>
    <w:rsid w:val="00C11A42"/>
    <w:rsid w:val="00C125EC"/>
    <w:rsid w:val="00C13BB6"/>
    <w:rsid w:val="00C13E33"/>
    <w:rsid w:val="00C1509D"/>
    <w:rsid w:val="00C150C0"/>
    <w:rsid w:val="00C16464"/>
    <w:rsid w:val="00C16B0C"/>
    <w:rsid w:val="00C175ED"/>
    <w:rsid w:val="00C219A6"/>
    <w:rsid w:val="00C220D7"/>
    <w:rsid w:val="00C22527"/>
    <w:rsid w:val="00C22B15"/>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455"/>
    <w:rsid w:val="00C34679"/>
    <w:rsid w:val="00C35259"/>
    <w:rsid w:val="00C3539C"/>
    <w:rsid w:val="00C3557F"/>
    <w:rsid w:val="00C360D3"/>
    <w:rsid w:val="00C3764D"/>
    <w:rsid w:val="00C37910"/>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41"/>
    <w:rsid w:val="00C51994"/>
    <w:rsid w:val="00C524A5"/>
    <w:rsid w:val="00C52B6C"/>
    <w:rsid w:val="00C52EA5"/>
    <w:rsid w:val="00C52EF6"/>
    <w:rsid w:val="00C53192"/>
    <w:rsid w:val="00C54555"/>
    <w:rsid w:val="00C5500C"/>
    <w:rsid w:val="00C55D1C"/>
    <w:rsid w:val="00C56D87"/>
    <w:rsid w:val="00C571D0"/>
    <w:rsid w:val="00C57AEF"/>
    <w:rsid w:val="00C57C63"/>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B03BA"/>
    <w:rsid w:val="00CB19F2"/>
    <w:rsid w:val="00CB2030"/>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808"/>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478A8"/>
    <w:rsid w:val="00D50F12"/>
    <w:rsid w:val="00D51526"/>
    <w:rsid w:val="00D51F7D"/>
    <w:rsid w:val="00D5240D"/>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0AB5"/>
    <w:rsid w:val="00D82AE8"/>
    <w:rsid w:val="00D85BE9"/>
    <w:rsid w:val="00D85F6A"/>
    <w:rsid w:val="00D86652"/>
    <w:rsid w:val="00D86CFB"/>
    <w:rsid w:val="00D876A4"/>
    <w:rsid w:val="00D90262"/>
    <w:rsid w:val="00D90F59"/>
    <w:rsid w:val="00D914C3"/>
    <w:rsid w:val="00D91698"/>
    <w:rsid w:val="00D91DB4"/>
    <w:rsid w:val="00D92150"/>
    <w:rsid w:val="00D9236D"/>
    <w:rsid w:val="00D94C12"/>
    <w:rsid w:val="00D9696C"/>
    <w:rsid w:val="00D97249"/>
    <w:rsid w:val="00D9775F"/>
    <w:rsid w:val="00DA09E5"/>
    <w:rsid w:val="00DA2625"/>
    <w:rsid w:val="00DA32F7"/>
    <w:rsid w:val="00DA44E7"/>
    <w:rsid w:val="00DA5246"/>
    <w:rsid w:val="00DA5904"/>
    <w:rsid w:val="00DA5911"/>
    <w:rsid w:val="00DA6462"/>
    <w:rsid w:val="00DA659F"/>
    <w:rsid w:val="00DA6D8D"/>
    <w:rsid w:val="00DA7E59"/>
    <w:rsid w:val="00DB07EB"/>
    <w:rsid w:val="00DB0AD8"/>
    <w:rsid w:val="00DB1161"/>
    <w:rsid w:val="00DB2062"/>
    <w:rsid w:val="00DB5321"/>
    <w:rsid w:val="00DB5AC0"/>
    <w:rsid w:val="00DB608F"/>
    <w:rsid w:val="00DB7183"/>
    <w:rsid w:val="00DB776B"/>
    <w:rsid w:val="00DC03CD"/>
    <w:rsid w:val="00DC1125"/>
    <w:rsid w:val="00DC1CDA"/>
    <w:rsid w:val="00DC2493"/>
    <w:rsid w:val="00DC2BE1"/>
    <w:rsid w:val="00DC2C88"/>
    <w:rsid w:val="00DC3D91"/>
    <w:rsid w:val="00DC400E"/>
    <w:rsid w:val="00DC4DF9"/>
    <w:rsid w:val="00DC553F"/>
    <w:rsid w:val="00DC65EE"/>
    <w:rsid w:val="00DC750E"/>
    <w:rsid w:val="00DD0D15"/>
    <w:rsid w:val="00DD18CE"/>
    <w:rsid w:val="00DD24EE"/>
    <w:rsid w:val="00DD3779"/>
    <w:rsid w:val="00DD40A0"/>
    <w:rsid w:val="00DD642F"/>
    <w:rsid w:val="00DD6BE7"/>
    <w:rsid w:val="00DD6F90"/>
    <w:rsid w:val="00DD7805"/>
    <w:rsid w:val="00DE0112"/>
    <w:rsid w:val="00DE149B"/>
    <w:rsid w:val="00DE2935"/>
    <w:rsid w:val="00DE2E28"/>
    <w:rsid w:val="00DE407F"/>
    <w:rsid w:val="00DE5238"/>
    <w:rsid w:val="00DE58E8"/>
    <w:rsid w:val="00DE6658"/>
    <w:rsid w:val="00DE6882"/>
    <w:rsid w:val="00DE6F54"/>
    <w:rsid w:val="00DF0D83"/>
    <w:rsid w:val="00DF1164"/>
    <w:rsid w:val="00DF1346"/>
    <w:rsid w:val="00DF1451"/>
    <w:rsid w:val="00DF15CD"/>
    <w:rsid w:val="00DF20F5"/>
    <w:rsid w:val="00DF42B1"/>
    <w:rsid w:val="00DF46AF"/>
    <w:rsid w:val="00DF4F98"/>
    <w:rsid w:val="00DF76D9"/>
    <w:rsid w:val="00E00AB6"/>
    <w:rsid w:val="00E00ADC"/>
    <w:rsid w:val="00E01F3B"/>
    <w:rsid w:val="00E025C6"/>
    <w:rsid w:val="00E03DF2"/>
    <w:rsid w:val="00E05C15"/>
    <w:rsid w:val="00E06ECF"/>
    <w:rsid w:val="00E1197D"/>
    <w:rsid w:val="00E12254"/>
    <w:rsid w:val="00E1241D"/>
    <w:rsid w:val="00E12669"/>
    <w:rsid w:val="00E127EB"/>
    <w:rsid w:val="00E133D4"/>
    <w:rsid w:val="00E13741"/>
    <w:rsid w:val="00E16278"/>
    <w:rsid w:val="00E202CE"/>
    <w:rsid w:val="00E20FFA"/>
    <w:rsid w:val="00E21BE4"/>
    <w:rsid w:val="00E22D89"/>
    <w:rsid w:val="00E22ED8"/>
    <w:rsid w:val="00E234C8"/>
    <w:rsid w:val="00E23C30"/>
    <w:rsid w:val="00E247E1"/>
    <w:rsid w:val="00E24882"/>
    <w:rsid w:val="00E250D5"/>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6CF9"/>
    <w:rsid w:val="00E77D9E"/>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263A"/>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4BC5"/>
    <w:rsid w:val="00EF5D7B"/>
    <w:rsid w:val="00EF6038"/>
    <w:rsid w:val="00EF68E9"/>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20D4"/>
    <w:rsid w:val="00F12C52"/>
    <w:rsid w:val="00F142C7"/>
    <w:rsid w:val="00F14608"/>
    <w:rsid w:val="00F14D35"/>
    <w:rsid w:val="00F1566B"/>
    <w:rsid w:val="00F16151"/>
    <w:rsid w:val="00F164A8"/>
    <w:rsid w:val="00F1699F"/>
    <w:rsid w:val="00F2154B"/>
    <w:rsid w:val="00F21954"/>
    <w:rsid w:val="00F241E6"/>
    <w:rsid w:val="00F257D7"/>
    <w:rsid w:val="00F266ED"/>
    <w:rsid w:val="00F26960"/>
    <w:rsid w:val="00F26AFA"/>
    <w:rsid w:val="00F27C36"/>
    <w:rsid w:val="00F30869"/>
    <w:rsid w:val="00F3298D"/>
    <w:rsid w:val="00F32FAA"/>
    <w:rsid w:val="00F34742"/>
    <w:rsid w:val="00F3512E"/>
    <w:rsid w:val="00F35B78"/>
    <w:rsid w:val="00F36029"/>
    <w:rsid w:val="00F36930"/>
    <w:rsid w:val="00F36D80"/>
    <w:rsid w:val="00F36E5C"/>
    <w:rsid w:val="00F37238"/>
    <w:rsid w:val="00F3731A"/>
    <w:rsid w:val="00F37F36"/>
    <w:rsid w:val="00F404D4"/>
    <w:rsid w:val="00F4141A"/>
    <w:rsid w:val="00F41B71"/>
    <w:rsid w:val="00F42601"/>
    <w:rsid w:val="00F44947"/>
    <w:rsid w:val="00F44ED5"/>
    <w:rsid w:val="00F4618A"/>
    <w:rsid w:val="00F46F9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218"/>
    <w:rsid w:val="00F63F39"/>
    <w:rsid w:val="00F642BF"/>
    <w:rsid w:val="00F64887"/>
    <w:rsid w:val="00F66E3B"/>
    <w:rsid w:val="00F67762"/>
    <w:rsid w:val="00F7156A"/>
    <w:rsid w:val="00F71AF7"/>
    <w:rsid w:val="00F7394A"/>
    <w:rsid w:val="00F73ED6"/>
    <w:rsid w:val="00F741FD"/>
    <w:rsid w:val="00F74EF8"/>
    <w:rsid w:val="00F756EF"/>
    <w:rsid w:val="00F75C9C"/>
    <w:rsid w:val="00F75D24"/>
    <w:rsid w:val="00F766DC"/>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35"/>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A7E56"/>
    <w:rsid w:val="00FB168B"/>
    <w:rsid w:val="00FB419E"/>
    <w:rsid w:val="00FB4AB6"/>
    <w:rsid w:val="00FB5891"/>
    <w:rsid w:val="00FB5D60"/>
    <w:rsid w:val="00FB5E0A"/>
    <w:rsid w:val="00FB611D"/>
    <w:rsid w:val="00FB7BEB"/>
    <w:rsid w:val="00FC00BE"/>
    <w:rsid w:val="00FC0A44"/>
    <w:rsid w:val="00FC13E5"/>
    <w:rsid w:val="00FC1C68"/>
    <w:rsid w:val="00FC1D60"/>
    <w:rsid w:val="00FC2509"/>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D751D"/>
    <w:rsid w:val="00FE1109"/>
    <w:rsid w:val="00FE256A"/>
    <w:rsid w:val="00FE3DA6"/>
    <w:rsid w:val="00FE4209"/>
    <w:rsid w:val="00FE4298"/>
    <w:rsid w:val="00FE5994"/>
    <w:rsid w:val="00FE5D6B"/>
    <w:rsid w:val="00FE61AD"/>
    <w:rsid w:val="00FE65F5"/>
    <w:rsid w:val="00FE7086"/>
    <w:rsid w:val="00FE74A7"/>
    <w:rsid w:val="00FF1458"/>
    <w:rsid w:val="00FF14B0"/>
    <w:rsid w:val="00FF251D"/>
    <w:rsid w:val="00FF39B0"/>
    <w:rsid w:val="00FF3ABA"/>
    <w:rsid w:val="00FF44EB"/>
    <w:rsid w:val="00FF46A9"/>
    <w:rsid w:val="00FF54FF"/>
    <w:rsid w:val="00FF6EF2"/>
    <w:rsid w:val="00FF76CF"/>
    <w:rsid w:val="00FF78FC"/>
    <w:rsid w:val="017551EE"/>
    <w:rsid w:val="01A819DB"/>
    <w:rsid w:val="02BA5FFE"/>
    <w:rsid w:val="03FF6272"/>
    <w:rsid w:val="057A17B3"/>
    <w:rsid w:val="05A94843"/>
    <w:rsid w:val="05F132AE"/>
    <w:rsid w:val="064754E9"/>
    <w:rsid w:val="06C518E9"/>
    <w:rsid w:val="07341146"/>
    <w:rsid w:val="081A0E00"/>
    <w:rsid w:val="08406FFD"/>
    <w:rsid w:val="08D215FC"/>
    <w:rsid w:val="09041F23"/>
    <w:rsid w:val="0AF92FFD"/>
    <w:rsid w:val="0B151483"/>
    <w:rsid w:val="0B2509F6"/>
    <w:rsid w:val="0BD01318"/>
    <w:rsid w:val="0C2C32DA"/>
    <w:rsid w:val="0C4E2658"/>
    <w:rsid w:val="0EAB3CCD"/>
    <w:rsid w:val="0EE439AB"/>
    <w:rsid w:val="0F2776D5"/>
    <w:rsid w:val="0FB155D7"/>
    <w:rsid w:val="101E5B5C"/>
    <w:rsid w:val="10221D7F"/>
    <w:rsid w:val="105A7CF8"/>
    <w:rsid w:val="108F05F4"/>
    <w:rsid w:val="10EB0324"/>
    <w:rsid w:val="10EC57E6"/>
    <w:rsid w:val="11E5626B"/>
    <w:rsid w:val="127D56D3"/>
    <w:rsid w:val="13734AC8"/>
    <w:rsid w:val="139E738B"/>
    <w:rsid w:val="13E16B2F"/>
    <w:rsid w:val="14935B7E"/>
    <w:rsid w:val="152564B7"/>
    <w:rsid w:val="155B7D1A"/>
    <w:rsid w:val="16257519"/>
    <w:rsid w:val="17520233"/>
    <w:rsid w:val="17AE3C6A"/>
    <w:rsid w:val="17E51656"/>
    <w:rsid w:val="181D2B9D"/>
    <w:rsid w:val="18B711F4"/>
    <w:rsid w:val="1A0D25AF"/>
    <w:rsid w:val="1A171C85"/>
    <w:rsid w:val="1A2E39AE"/>
    <w:rsid w:val="1A4F6DAA"/>
    <w:rsid w:val="1AA32570"/>
    <w:rsid w:val="1B581B76"/>
    <w:rsid w:val="1BB13D28"/>
    <w:rsid w:val="1C551074"/>
    <w:rsid w:val="1CD35E9B"/>
    <w:rsid w:val="1D7F002D"/>
    <w:rsid w:val="1D935D50"/>
    <w:rsid w:val="1DCA09C2"/>
    <w:rsid w:val="1E58492F"/>
    <w:rsid w:val="1E5F6569"/>
    <w:rsid w:val="1EDF44F4"/>
    <w:rsid w:val="1F5E479D"/>
    <w:rsid w:val="1FEB076F"/>
    <w:rsid w:val="20B224FC"/>
    <w:rsid w:val="22904F3D"/>
    <w:rsid w:val="22AB790B"/>
    <w:rsid w:val="22DC1A44"/>
    <w:rsid w:val="22E65BCC"/>
    <w:rsid w:val="238C5C8C"/>
    <w:rsid w:val="24612AB0"/>
    <w:rsid w:val="25485BB9"/>
    <w:rsid w:val="25627E42"/>
    <w:rsid w:val="25973F8F"/>
    <w:rsid w:val="26970113"/>
    <w:rsid w:val="27820850"/>
    <w:rsid w:val="27A81D80"/>
    <w:rsid w:val="27FA0D7D"/>
    <w:rsid w:val="28100029"/>
    <w:rsid w:val="283F41D5"/>
    <w:rsid w:val="28BD7194"/>
    <w:rsid w:val="28E76FDC"/>
    <w:rsid w:val="296A19BB"/>
    <w:rsid w:val="29DA08EE"/>
    <w:rsid w:val="29DB01C2"/>
    <w:rsid w:val="29E503DA"/>
    <w:rsid w:val="2A0140CD"/>
    <w:rsid w:val="2A033781"/>
    <w:rsid w:val="2A777809"/>
    <w:rsid w:val="2A7D7F8A"/>
    <w:rsid w:val="2A81520E"/>
    <w:rsid w:val="2B376D5B"/>
    <w:rsid w:val="2C182496"/>
    <w:rsid w:val="2CD80964"/>
    <w:rsid w:val="2CE13D42"/>
    <w:rsid w:val="2D7E5A35"/>
    <w:rsid w:val="2E2C36E3"/>
    <w:rsid w:val="2F33417F"/>
    <w:rsid w:val="2F3407C1"/>
    <w:rsid w:val="2FDB76AE"/>
    <w:rsid w:val="30110B1C"/>
    <w:rsid w:val="303C48DD"/>
    <w:rsid w:val="31591327"/>
    <w:rsid w:val="32266DDE"/>
    <w:rsid w:val="327F2033"/>
    <w:rsid w:val="32CC2D9E"/>
    <w:rsid w:val="33A45AC9"/>
    <w:rsid w:val="33EB2DC4"/>
    <w:rsid w:val="35605EF6"/>
    <w:rsid w:val="35AD5109"/>
    <w:rsid w:val="360C62D3"/>
    <w:rsid w:val="36B722FE"/>
    <w:rsid w:val="36E80182"/>
    <w:rsid w:val="378D4986"/>
    <w:rsid w:val="38AE3672"/>
    <w:rsid w:val="38DD5D05"/>
    <w:rsid w:val="39AC0688"/>
    <w:rsid w:val="3A67294A"/>
    <w:rsid w:val="3A7B57D6"/>
    <w:rsid w:val="3B0F1E8B"/>
    <w:rsid w:val="3B3C5342"/>
    <w:rsid w:val="3B81506E"/>
    <w:rsid w:val="3BFF5F92"/>
    <w:rsid w:val="3C0C428A"/>
    <w:rsid w:val="3D103A6D"/>
    <w:rsid w:val="3DB655C0"/>
    <w:rsid w:val="3F9410E8"/>
    <w:rsid w:val="3F9603FC"/>
    <w:rsid w:val="405E2CDC"/>
    <w:rsid w:val="41A25D3E"/>
    <w:rsid w:val="422D3BA9"/>
    <w:rsid w:val="42367955"/>
    <w:rsid w:val="42BB13ED"/>
    <w:rsid w:val="42CD3359"/>
    <w:rsid w:val="42F535F3"/>
    <w:rsid w:val="42FD6B7E"/>
    <w:rsid w:val="433429C6"/>
    <w:rsid w:val="43AF2471"/>
    <w:rsid w:val="451E392D"/>
    <w:rsid w:val="45752CFC"/>
    <w:rsid w:val="45DB35CC"/>
    <w:rsid w:val="4605689B"/>
    <w:rsid w:val="46086E77"/>
    <w:rsid w:val="46412B20"/>
    <w:rsid w:val="467779B3"/>
    <w:rsid w:val="467F21AA"/>
    <w:rsid w:val="472676A2"/>
    <w:rsid w:val="48E854A5"/>
    <w:rsid w:val="491F2D2B"/>
    <w:rsid w:val="49DF4BAD"/>
    <w:rsid w:val="4A98367F"/>
    <w:rsid w:val="4C6D47D1"/>
    <w:rsid w:val="4DE4148C"/>
    <w:rsid w:val="4EFD5288"/>
    <w:rsid w:val="50DF0465"/>
    <w:rsid w:val="50FA2CEF"/>
    <w:rsid w:val="52292F71"/>
    <w:rsid w:val="529674E9"/>
    <w:rsid w:val="529C5901"/>
    <w:rsid w:val="5358625C"/>
    <w:rsid w:val="53587EBF"/>
    <w:rsid w:val="53AF3E86"/>
    <w:rsid w:val="53C25DCC"/>
    <w:rsid w:val="5423620A"/>
    <w:rsid w:val="54385CE4"/>
    <w:rsid w:val="55812D9D"/>
    <w:rsid w:val="564A442F"/>
    <w:rsid w:val="56637B48"/>
    <w:rsid w:val="566D197A"/>
    <w:rsid w:val="56B04287"/>
    <w:rsid w:val="56E86247"/>
    <w:rsid w:val="57C6377C"/>
    <w:rsid w:val="581E3DE2"/>
    <w:rsid w:val="58296622"/>
    <w:rsid w:val="58E42340"/>
    <w:rsid w:val="59561AE4"/>
    <w:rsid w:val="5981290A"/>
    <w:rsid w:val="59E17BDA"/>
    <w:rsid w:val="59F566A9"/>
    <w:rsid w:val="59FF3E39"/>
    <w:rsid w:val="5AAC3332"/>
    <w:rsid w:val="5C630AC7"/>
    <w:rsid w:val="5C8D6B99"/>
    <w:rsid w:val="5C981DBF"/>
    <w:rsid w:val="5C9F209F"/>
    <w:rsid w:val="5F131888"/>
    <w:rsid w:val="60C874D3"/>
    <w:rsid w:val="61F84B2E"/>
    <w:rsid w:val="625E4788"/>
    <w:rsid w:val="62AE4F84"/>
    <w:rsid w:val="62C25536"/>
    <w:rsid w:val="6398086E"/>
    <w:rsid w:val="63AD6894"/>
    <w:rsid w:val="63DA179A"/>
    <w:rsid w:val="63DF0DA7"/>
    <w:rsid w:val="63FD6D48"/>
    <w:rsid w:val="640D306A"/>
    <w:rsid w:val="64E536C8"/>
    <w:rsid w:val="64F7641F"/>
    <w:rsid w:val="65281A09"/>
    <w:rsid w:val="65450633"/>
    <w:rsid w:val="65876FD5"/>
    <w:rsid w:val="65BF6F8A"/>
    <w:rsid w:val="672B359B"/>
    <w:rsid w:val="69C77840"/>
    <w:rsid w:val="6A317CCE"/>
    <w:rsid w:val="6A797C7E"/>
    <w:rsid w:val="6B9B5451"/>
    <w:rsid w:val="6BF47849"/>
    <w:rsid w:val="6C833BE9"/>
    <w:rsid w:val="6D83764B"/>
    <w:rsid w:val="70530BB4"/>
    <w:rsid w:val="709D085A"/>
    <w:rsid w:val="70A266F9"/>
    <w:rsid w:val="71827242"/>
    <w:rsid w:val="720A0C12"/>
    <w:rsid w:val="72685A78"/>
    <w:rsid w:val="72A51148"/>
    <w:rsid w:val="74A964C0"/>
    <w:rsid w:val="75412D70"/>
    <w:rsid w:val="754E2671"/>
    <w:rsid w:val="755060BC"/>
    <w:rsid w:val="75701976"/>
    <w:rsid w:val="75CA0DE4"/>
    <w:rsid w:val="75DF2C54"/>
    <w:rsid w:val="75F4035E"/>
    <w:rsid w:val="76897EF9"/>
    <w:rsid w:val="770C2D36"/>
    <w:rsid w:val="77142C7F"/>
    <w:rsid w:val="777059BB"/>
    <w:rsid w:val="77AB0A92"/>
    <w:rsid w:val="77C7654C"/>
    <w:rsid w:val="78C07865"/>
    <w:rsid w:val="78D3280C"/>
    <w:rsid w:val="79B02EFD"/>
    <w:rsid w:val="7A3D22CE"/>
    <w:rsid w:val="7AD22127"/>
    <w:rsid w:val="7B056808"/>
    <w:rsid w:val="7C5C028F"/>
    <w:rsid w:val="7CBB3388"/>
    <w:rsid w:val="7D3D3F06"/>
    <w:rsid w:val="7D44147C"/>
    <w:rsid w:val="7D935CBD"/>
    <w:rsid w:val="7DF60F6D"/>
    <w:rsid w:val="7E3E01FA"/>
    <w:rsid w:val="7E99299F"/>
    <w:rsid w:val="7F21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1"/>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172"/>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49"/>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21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114"/>
    <w:qFormat/>
    <w:uiPriority w:val="0"/>
    <w:pPr>
      <w:keepNext/>
      <w:keepLines/>
      <w:spacing w:before="240" w:after="64" w:line="320" w:lineRule="auto"/>
      <w:outlineLvl w:val="6"/>
    </w:pPr>
    <w:rPr>
      <w:b/>
      <w:bCs/>
      <w:kern w:val="0"/>
      <w:sz w:val="24"/>
    </w:rPr>
  </w:style>
  <w:style w:type="paragraph" w:styleId="9">
    <w:name w:val="heading 8"/>
    <w:basedOn w:val="1"/>
    <w:next w:val="1"/>
    <w:link w:val="143"/>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90"/>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13"/>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38"/>
    <w:qFormat/>
    <w:uiPriority w:val="99"/>
    <w:pPr>
      <w:shd w:val="clear" w:color="auto" w:fill="000080"/>
    </w:pPr>
    <w:rPr>
      <w:kern w:val="0"/>
      <w:sz w:val="20"/>
    </w:rPr>
  </w:style>
  <w:style w:type="paragraph" w:styleId="17">
    <w:name w:val="toa heading"/>
    <w:basedOn w:val="1"/>
    <w:next w:val="1"/>
    <w:link w:val="168"/>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65"/>
    <w:qFormat/>
    <w:uiPriority w:val="0"/>
    <w:pPr>
      <w:jc w:val="left"/>
    </w:pPr>
    <w:rPr>
      <w:kern w:val="0"/>
      <w:sz w:val="20"/>
    </w:rPr>
  </w:style>
  <w:style w:type="paragraph" w:styleId="19">
    <w:name w:val="Body Text 3"/>
    <w:basedOn w:val="1"/>
    <w:link w:val="108"/>
    <w:qFormat/>
    <w:uiPriority w:val="0"/>
    <w:pPr>
      <w:snapToGrid w:val="0"/>
      <w:spacing w:before="50" w:after="50"/>
    </w:pPr>
    <w:rPr>
      <w:rFonts w:hAnsi="宋体" w:eastAsia="仿宋_GB2312"/>
      <w:b/>
      <w:bCs/>
      <w:kern w:val="0"/>
      <w:sz w:val="24"/>
      <w:szCs w:val="20"/>
    </w:rPr>
  </w:style>
  <w:style w:type="paragraph" w:styleId="20">
    <w:name w:val="Body Text"/>
    <w:basedOn w:val="1"/>
    <w:next w:val="1"/>
    <w:link w:val="116"/>
    <w:qFormat/>
    <w:uiPriority w:val="0"/>
    <w:pPr>
      <w:spacing w:after="120"/>
    </w:pPr>
    <w:rPr>
      <w:kern w:val="0"/>
      <w:sz w:val="28"/>
    </w:rPr>
  </w:style>
  <w:style w:type="paragraph" w:styleId="21">
    <w:name w:val="Body Text Indent"/>
    <w:basedOn w:val="1"/>
    <w:next w:val="22"/>
    <w:link w:val="187"/>
    <w:qFormat/>
    <w:uiPriority w:val="0"/>
    <w:pPr>
      <w:spacing w:line="200" w:lineRule="exact"/>
      <w:ind w:firstLine="301"/>
    </w:pPr>
    <w:rPr>
      <w:rFonts w:ascii="宋体" w:hAnsi="Courier New"/>
      <w:spacing w:val="-4"/>
      <w:kern w:val="0"/>
      <w:sz w:val="18"/>
      <w:szCs w:val="20"/>
    </w:rPr>
  </w:style>
  <w:style w:type="paragraph" w:styleId="22">
    <w:name w:val="Body Text First Indent 2"/>
    <w:basedOn w:val="21"/>
    <w:qFormat/>
    <w:uiPriority w:val="0"/>
    <w:pPr>
      <w:spacing w:after="120" w:line="240" w:lineRule="auto"/>
      <w:ind w:left="420" w:leftChars="200"/>
    </w:pPr>
    <w:rPr>
      <w:rFonts w:ascii="Calibri" w:hAnsi="Calibri"/>
      <w:kern w:val="2"/>
      <w:sz w:val="21"/>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27">
    <w:name w:val="index 4"/>
    <w:basedOn w:val="1"/>
    <w:next w:val="1"/>
    <w:semiHidden/>
    <w:qFormat/>
    <w:uiPriority w:val="0"/>
    <w:pPr>
      <w:ind w:left="600" w:leftChars="600"/>
    </w:p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next w:val="31"/>
    <w:link w:val="175"/>
    <w:qFormat/>
    <w:uiPriority w:val="0"/>
    <w:pPr>
      <w:spacing w:beforeLines="50" w:afterLines="50" w:line="400" w:lineRule="exact"/>
    </w:pPr>
    <w:rPr>
      <w:rFonts w:ascii="宋体" w:hAnsi="Courier New"/>
      <w:kern w:val="0"/>
      <w:sz w:val="24"/>
    </w:rPr>
  </w:style>
  <w:style w:type="paragraph" w:styleId="31">
    <w:name w:val="Date"/>
    <w:basedOn w:val="1"/>
    <w:next w:val="1"/>
    <w:link w:val="171"/>
    <w:qFormat/>
    <w:uiPriority w:val="0"/>
    <w:pPr>
      <w:ind w:left="2500" w:leftChars="2500"/>
    </w:pPr>
    <w:rPr>
      <w:rFonts w:eastAsia="楷体_GB2312"/>
      <w:kern w:val="0"/>
      <w:sz w:val="32"/>
      <w:szCs w:val="20"/>
    </w:rPr>
  </w:style>
  <w:style w:type="paragraph" w:styleId="32">
    <w:name w:val="toc 8"/>
    <w:basedOn w:val="1"/>
    <w:next w:val="1"/>
    <w:unhideWhenUsed/>
    <w:qFormat/>
    <w:uiPriority w:val="39"/>
    <w:pPr>
      <w:ind w:left="2940" w:leftChars="1400"/>
    </w:pPr>
    <w:rPr>
      <w:rFonts w:ascii="Calibri" w:hAnsi="Calibri"/>
      <w:szCs w:val="22"/>
    </w:rPr>
  </w:style>
  <w:style w:type="paragraph" w:styleId="33">
    <w:name w:val="Body Text Indent 2"/>
    <w:basedOn w:val="1"/>
    <w:link w:val="181"/>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133"/>
    <w:qFormat/>
    <w:uiPriority w:val="99"/>
    <w:rPr>
      <w:kern w:val="0"/>
      <w:sz w:val="18"/>
      <w:szCs w:val="18"/>
    </w:rPr>
  </w:style>
  <w:style w:type="paragraph" w:styleId="35">
    <w:name w:val="footer"/>
    <w:basedOn w:val="1"/>
    <w:link w:val="170"/>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20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toc 6"/>
    <w:basedOn w:val="1"/>
    <w:next w:val="1"/>
    <w:unhideWhenUsed/>
    <w:qFormat/>
    <w:uiPriority w:val="39"/>
    <w:pPr>
      <w:ind w:left="2100" w:leftChars="1000"/>
    </w:pPr>
    <w:rPr>
      <w:rFonts w:ascii="Calibri" w:hAnsi="Calibri"/>
      <w:szCs w:val="22"/>
    </w:rPr>
  </w:style>
  <w:style w:type="paragraph" w:styleId="41">
    <w:name w:val="Body Text Indent 3"/>
    <w:basedOn w:val="1"/>
    <w:link w:val="90"/>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213"/>
    <w:qFormat/>
    <w:uiPriority w:val="99"/>
    <w:pPr>
      <w:widowControl/>
      <w:snapToGrid w:val="0"/>
      <w:spacing w:before="50" w:afterLines="50" w:line="400" w:lineRule="exact"/>
      <w:jc w:val="left"/>
    </w:pPr>
    <w:rPr>
      <w:rFonts w:ascii="宋体" w:hAnsi="宋体"/>
      <w:color w:val="000000"/>
      <w:kern w:val="0"/>
      <w:sz w:val="24"/>
    </w:rPr>
  </w:style>
  <w:style w:type="paragraph" w:styleId="46">
    <w:name w:val="Normal (Web)"/>
    <w:basedOn w:val="1"/>
    <w:link w:val="73"/>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360" w:lineRule="auto"/>
      <w:jc w:val="center"/>
    </w:pPr>
    <w:rPr>
      <w:rFonts w:ascii="宋体" w:hAnsi="宋体"/>
      <w:bCs/>
    </w:rPr>
  </w:style>
  <w:style w:type="paragraph" w:styleId="48">
    <w:name w:val="Title"/>
    <w:basedOn w:val="1"/>
    <w:next w:val="1"/>
    <w:link w:val="132"/>
    <w:qFormat/>
    <w:uiPriority w:val="0"/>
    <w:pPr>
      <w:spacing w:before="240" w:after="60"/>
      <w:jc w:val="center"/>
      <w:outlineLvl w:val="0"/>
    </w:pPr>
    <w:rPr>
      <w:rFonts w:ascii="Cambria" w:hAnsi="Cambria"/>
      <w:b/>
      <w:bCs/>
      <w:kern w:val="0"/>
      <w:sz w:val="32"/>
      <w:szCs w:val="32"/>
    </w:rPr>
  </w:style>
  <w:style w:type="paragraph" w:styleId="49">
    <w:name w:val="annotation subject"/>
    <w:basedOn w:val="18"/>
    <w:next w:val="18"/>
    <w:link w:val="234"/>
    <w:qFormat/>
    <w:uiPriority w:val="99"/>
    <w:rPr>
      <w:b/>
      <w:bCs/>
    </w:rPr>
  </w:style>
  <w:style w:type="paragraph" w:styleId="50">
    <w:name w:val="Body Text First Indent"/>
    <w:basedOn w:val="20"/>
    <w:next w:val="40"/>
    <w:link w:val="160"/>
    <w:qFormat/>
    <w:uiPriority w:val="0"/>
    <w:pPr>
      <w:spacing w:beforeLines="50" w:afterLines="50" w:line="360" w:lineRule="auto"/>
      <w:ind w:firstLine="480" w:firstLineChars="200"/>
    </w:pPr>
    <w:rPr>
      <w:sz w:val="24"/>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color w:val="000000"/>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Emphasis"/>
    <w:qFormat/>
    <w:uiPriority w:val="0"/>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1 字符"/>
    <w:qFormat/>
    <w:uiPriority w:val="9"/>
    <w:rPr>
      <w:b/>
      <w:bCs/>
      <w:kern w:val="44"/>
      <w:sz w:val="30"/>
      <w:szCs w:val="44"/>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H2 Char"/>
    <w:qFormat/>
    <w:uiPriority w:val="0"/>
    <w:rPr>
      <w:rFonts w:ascii="Cambria" w:hAnsi="Cambria" w:eastAsia="宋体" w:cs="Times New Roman"/>
      <w:b/>
      <w:bCs/>
      <w:sz w:val="32"/>
      <w:szCs w:val="32"/>
    </w:rPr>
  </w:style>
  <w:style w:type="character" w:customStyle="1" w:styleId="63">
    <w:name w:val="* table text Char"/>
    <w:link w:val="64"/>
    <w:qFormat/>
    <w:locked/>
    <w:uiPriority w:val="0"/>
    <w:rPr>
      <w:rFonts w:ascii="Arial" w:hAnsi="Arial" w:eastAsia="宋体"/>
      <w:color w:val="333333"/>
      <w:sz w:val="18"/>
      <w:szCs w:val="18"/>
      <w:lang w:bidi="ar-SA"/>
    </w:rPr>
  </w:style>
  <w:style w:type="paragraph" w:customStyle="1" w:styleId="64">
    <w:name w:val="* table text"/>
    <w:basedOn w:val="1"/>
    <w:link w:val="63"/>
    <w:qFormat/>
    <w:uiPriority w:val="0"/>
    <w:pPr>
      <w:widowControl/>
    </w:pPr>
    <w:rPr>
      <w:rFonts w:ascii="Arial" w:hAnsi="Arial"/>
      <w:color w:val="333333"/>
      <w:kern w:val="0"/>
      <w:sz w:val="18"/>
      <w:szCs w:val="18"/>
    </w:rPr>
  </w:style>
  <w:style w:type="character" w:customStyle="1" w:styleId="65">
    <w:name w:val="批注文字 Char"/>
    <w:link w:val="18"/>
    <w:qFormat/>
    <w:uiPriority w:val="0"/>
    <w:rPr>
      <w:szCs w:val="24"/>
    </w:rPr>
  </w:style>
  <w:style w:type="character" w:customStyle="1" w:styleId="66">
    <w:name w:val="Char Char12"/>
    <w:qFormat/>
    <w:uiPriority w:val="0"/>
    <w:rPr>
      <w:rFonts w:ascii="仿宋_GB2312" w:hAnsi="宋体" w:eastAsia="仿宋_GB2312"/>
      <w:color w:val="000000"/>
      <w:kern w:val="2"/>
      <w:sz w:val="24"/>
      <w:szCs w:val="24"/>
    </w:rPr>
  </w:style>
  <w:style w:type="character" w:customStyle="1" w:styleId="67">
    <w:name w:val="Char Char23"/>
    <w:qFormat/>
    <w:uiPriority w:val="0"/>
    <w:rPr>
      <w:b/>
      <w:bCs/>
      <w:kern w:val="2"/>
      <w:sz w:val="28"/>
      <w:szCs w:val="28"/>
    </w:rPr>
  </w:style>
  <w:style w:type="character" w:customStyle="1" w:styleId="68">
    <w:name w:val="Char Char27"/>
    <w:qFormat/>
    <w:uiPriority w:val="0"/>
    <w:rPr>
      <w:b/>
      <w:bCs/>
      <w:kern w:val="44"/>
      <w:sz w:val="44"/>
      <w:szCs w:val="44"/>
    </w:rPr>
  </w:style>
  <w:style w:type="character" w:customStyle="1" w:styleId="69">
    <w:name w:val="Char Char1111"/>
    <w:qFormat/>
    <w:uiPriority w:val="0"/>
    <w:rPr>
      <w:kern w:val="2"/>
      <w:sz w:val="28"/>
      <w:szCs w:val="24"/>
    </w:rPr>
  </w:style>
  <w:style w:type="character" w:customStyle="1" w:styleId="70">
    <w:name w:val="正文文本 字符"/>
    <w:qFormat/>
    <w:uiPriority w:val="0"/>
    <w:rPr>
      <w:rFonts w:ascii="Times New Roman" w:hAnsi="Times New Roman" w:eastAsia="宋体" w:cs="Times New Roman"/>
      <w:kern w:val="0"/>
      <w:sz w:val="28"/>
      <w:szCs w:val="24"/>
    </w:rPr>
  </w:style>
  <w:style w:type="character" w:customStyle="1" w:styleId="71">
    <w:name w:val="无格式标题 Char"/>
    <w:link w:val="72"/>
    <w:qFormat/>
    <w:uiPriority w:val="0"/>
    <w:rPr>
      <w:rFonts w:ascii="微软雅黑" w:hAnsi="微软雅黑" w:eastAsia="微软雅黑"/>
      <w:b/>
      <w:szCs w:val="24"/>
      <w:lang w:bidi="ar-SA"/>
    </w:rPr>
  </w:style>
  <w:style w:type="paragraph" w:customStyle="1" w:styleId="72">
    <w:name w:val="无格式标题"/>
    <w:basedOn w:val="1"/>
    <w:link w:val="71"/>
    <w:qFormat/>
    <w:uiPriority w:val="0"/>
    <w:pPr>
      <w:spacing w:line="360" w:lineRule="auto"/>
    </w:pPr>
    <w:rPr>
      <w:rFonts w:ascii="微软雅黑" w:hAnsi="微软雅黑" w:eastAsia="微软雅黑"/>
      <w:b/>
      <w:kern w:val="0"/>
      <w:sz w:val="20"/>
    </w:rPr>
  </w:style>
  <w:style w:type="character" w:customStyle="1" w:styleId="73">
    <w:name w:val="普通(网站) Char"/>
    <w:link w:val="46"/>
    <w:qFormat/>
    <w:uiPriority w:val="0"/>
    <w:rPr>
      <w:rFonts w:ascii="宋体" w:hAnsi="宋体"/>
      <w:sz w:val="24"/>
      <w:szCs w:val="24"/>
    </w:rPr>
  </w:style>
  <w:style w:type="character" w:customStyle="1" w:styleId="74">
    <w:name w:val="标题 3 Char1"/>
    <w:qFormat/>
    <w:uiPriority w:val="0"/>
    <w:rPr>
      <w:rFonts w:ascii="Times New Roman" w:hAnsi="Times New Roman" w:eastAsia="宋体" w:cs="Times New Roman"/>
      <w:b/>
      <w:bCs/>
      <w:sz w:val="32"/>
      <w:szCs w:val="32"/>
    </w:rPr>
  </w:style>
  <w:style w:type="character" w:customStyle="1" w:styleId="75">
    <w:name w:val="Heading 9 Char"/>
    <w:semiHidden/>
    <w:qFormat/>
    <w:locked/>
    <w:uiPriority w:val="0"/>
    <w:rPr>
      <w:rFonts w:ascii="Cambria" w:hAnsi="Cambria" w:eastAsia="宋体" w:cs="Times New Roman"/>
      <w:kern w:val="0"/>
      <w:sz w:val="21"/>
      <w:szCs w:val="21"/>
    </w:rPr>
  </w:style>
  <w:style w:type="character" w:customStyle="1" w:styleId="76">
    <w:name w:val="中等深浅网格 2 字符"/>
    <w:link w:val="77"/>
    <w:qFormat/>
    <w:uiPriority w:val="1"/>
    <w:rPr>
      <w:kern w:val="2"/>
      <w:sz w:val="21"/>
      <w:szCs w:val="24"/>
      <w:lang w:val="en-US" w:eastAsia="zh-CN" w:bidi="ar-SA"/>
    </w:rPr>
  </w:style>
  <w:style w:type="paragraph" w:customStyle="1" w:styleId="77">
    <w:name w:val="中等深浅网格 21"/>
    <w:link w:val="7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段落文本 Char"/>
    <w:link w:val="79"/>
    <w:qFormat/>
    <w:uiPriority w:val="0"/>
    <w:rPr>
      <w:rFonts w:eastAsia="宋体"/>
      <w:szCs w:val="21"/>
      <w:lang w:bidi="ar-SA"/>
    </w:rPr>
  </w:style>
  <w:style w:type="paragraph" w:customStyle="1" w:styleId="79">
    <w:name w:val="段落文本"/>
    <w:basedOn w:val="1"/>
    <w:link w:val="78"/>
    <w:qFormat/>
    <w:uiPriority w:val="0"/>
    <w:pPr>
      <w:spacing w:line="360" w:lineRule="auto"/>
      <w:ind w:firstLine="420"/>
    </w:pPr>
    <w:rPr>
      <w:kern w:val="0"/>
      <w:sz w:val="20"/>
      <w:szCs w:val="21"/>
    </w:rPr>
  </w:style>
  <w:style w:type="character" w:customStyle="1" w:styleId="80">
    <w:name w:val="批注文字 Char1"/>
    <w:semiHidden/>
    <w:qFormat/>
    <w:uiPriority w:val="99"/>
    <w:rPr>
      <w:rFonts w:ascii="Times New Roman" w:hAnsi="Times New Roman" w:eastAsia="宋体" w:cs="Times New Roman"/>
      <w:szCs w:val="24"/>
    </w:rPr>
  </w:style>
  <w:style w:type="character" w:customStyle="1" w:styleId="81">
    <w:name w:val="￥正文 Char Char"/>
    <w:qFormat/>
    <w:uiPriority w:val="0"/>
    <w:rPr>
      <w:rFonts w:ascii="Calibri" w:hAnsi="Calibri"/>
      <w:sz w:val="24"/>
    </w:rPr>
  </w:style>
  <w:style w:type="character" w:customStyle="1" w:styleId="82">
    <w:name w:val="Char Char5"/>
    <w:qFormat/>
    <w:uiPriority w:val="0"/>
    <w:rPr>
      <w:rFonts w:ascii="宋体" w:hAnsi="宋体"/>
      <w:sz w:val="24"/>
      <w:szCs w:val="24"/>
    </w:rPr>
  </w:style>
  <w:style w:type="character" w:customStyle="1" w:styleId="83">
    <w:name w:val="Heading 3 Char"/>
    <w:semiHidden/>
    <w:qFormat/>
    <w:locked/>
    <w:uiPriority w:val="0"/>
    <w:rPr>
      <w:rFonts w:cs="Times New Roman"/>
      <w:b/>
      <w:bCs/>
      <w:kern w:val="0"/>
      <w:sz w:val="32"/>
      <w:szCs w:val="32"/>
    </w:rPr>
  </w:style>
  <w:style w:type="character" w:customStyle="1" w:styleId="84">
    <w:name w:val="Char Char21"/>
    <w:qFormat/>
    <w:uiPriority w:val="0"/>
    <w:rPr>
      <w:b/>
      <w:bCs/>
      <w:kern w:val="2"/>
      <w:sz w:val="24"/>
      <w:szCs w:val="24"/>
    </w:rPr>
  </w:style>
  <w:style w:type="character" w:customStyle="1" w:styleId="85">
    <w:name w:val="正文样式 Char"/>
    <w:link w:val="86"/>
    <w:qFormat/>
    <w:uiPriority w:val="0"/>
    <w:rPr>
      <w:rFonts w:ascii="宋体" w:hAnsi="Calibri" w:eastAsia="宋体" w:cs="宋体"/>
      <w:sz w:val="24"/>
      <w:szCs w:val="24"/>
      <w:lang w:val="zh-CN" w:eastAsia="en-US" w:bidi="he-IL"/>
    </w:rPr>
  </w:style>
  <w:style w:type="paragraph" w:customStyle="1" w:styleId="86">
    <w:name w:val="正文样式"/>
    <w:basedOn w:val="1"/>
    <w:link w:val="8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87">
    <w:name w:val="Heading 8 Char"/>
    <w:semiHidden/>
    <w:qFormat/>
    <w:locked/>
    <w:uiPriority w:val="0"/>
    <w:rPr>
      <w:rFonts w:ascii="Cambria" w:hAnsi="Cambria" w:eastAsia="宋体" w:cs="Times New Roman"/>
      <w:kern w:val="0"/>
      <w:sz w:val="24"/>
      <w:szCs w:val="24"/>
    </w:rPr>
  </w:style>
  <w:style w:type="character" w:customStyle="1" w:styleId="88">
    <w:name w:val="内容文本 Char"/>
    <w:link w:val="89"/>
    <w:qFormat/>
    <w:uiPriority w:val="0"/>
    <w:rPr>
      <w:rFonts w:ascii="宋体" w:hAnsi="宋体" w:eastAsia="宋体"/>
      <w:kern w:val="2"/>
      <w:sz w:val="24"/>
      <w:szCs w:val="24"/>
      <w:lang w:bidi="ar-SA"/>
    </w:rPr>
  </w:style>
  <w:style w:type="paragraph" w:customStyle="1" w:styleId="89">
    <w:name w:val="内容文本"/>
    <w:basedOn w:val="1"/>
    <w:link w:val="88"/>
    <w:qFormat/>
    <w:uiPriority w:val="0"/>
    <w:pPr>
      <w:spacing w:line="360" w:lineRule="auto"/>
      <w:ind w:firstLine="480" w:firstLineChars="200"/>
    </w:pPr>
    <w:rPr>
      <w:rFonts w:ascii="宋体" w:hAnsi="宋体"/>
      <w:sz w:val="24"/>
    </w:rPr>
  </w:style>
  <w:style w:type="character" w:customStyle="1" w:styleId="90">
    <w:name w:val="正文文本缩进 3 Char"/>
    <w:link w:val="41"/>
    <w:qFormat/>
    <w:uiPriority w:val="0"/>
    <w:rPr>
      <w:rFonts w:ascii="仿宋_GB2312" w:hAnsi="宋体" w:eastAsia="仿宋_GB2312"/>
      <w:color w:val="000000"/>
      <w:sz w:val="24"/>
      <w:szCs w:val="24"/>
    </w:rPr>
  </w:style>
  <w:style w:type="character" w:customStyle="1" w:styleId="91">
    <w:name w:val="Char Char3"/>
    <w:qFormat/>
    <w:uiPriority w:val="0"/>
    <w:rPr>
      <w:kern w:val="2"/>
      <w:sz w:val="24"/>
      <w:szCs w:val="24"/>
    </w:rPr>
  </w:style>
  <w:style w:type="character" w:customStyle="1" w:styleId="92">
    <w:name w:val="Char Char8"/>
    <w:qFormat/>
    <w:uiPriority w:val="0"/>
    <w:rPr>
      <w:rFonts w:eastAsia="楷体_GB2312"/>
      <w:kern w:val="2"/>
      <w:sz w:val="32"/>
    </w:rPr>
  </w:style>
  <w:style w:type="character" w:customStyle="1" w:styleId="93">
    <w:name w:val="Char Char18"/>
    <w:qFormat/>
    <w:uiPriority w:val="0"/>
    <w:rPr>
      <w:rFonts w:eastAsia="黑体"/>
      <w:sz w:val="18"/>
      <w:szCs w:val="18"/>
    </w:rPr>
  </w:style>
  <w:style w:type="character" w:customStyle="1" w:styleId="94">
    <w:name w:val="h Char"/>
    <w:qFormat/>
    <w:uiPriority w:val="0"/>
    <w:rPr>
      <w:rFonts w:ascii="Times New Roman" w:hAnsi="Times New Roman" w:eastAsia="宋体" w:cs="Times New Roman"/>
      <w:sz w:val="18"/>
      <w:szCs w:val="18"/>
    </w:rPr>
  </w:style>
  <w:style w:type="character" w:customStyle="1" w:styleId="95">
    <w:name w:val="Heading 4 Char"/>
    <w:qFormat/>
    <w:locked/>
    <w:uiPriority w:val="0"/>
    <w:rPr>
      <w:rFonts w:cs="Times New Roman"/>
      <w:b/>
      <w:sz w:val="21"/>
    </w:rPr>
  </w:style>
  <w:style w:type="character" w:customStyle="1" w:styleId="96">
    <w:name w:val="zhenwen14"/>
    <w:qFormat/>
    <w:uiPriority w:val="0"/>
    <w:rPr>
      <w:color w:val="085994"/>
      <w:sz w:val="18"/>
      <w:szCs w:val="18"/>
    </w:rPr>
  </w:style>
  <w:style w:type="character" w:customStyle="1" w:styleId="97">
    <w:name w:val="中等深浅网格 1 - 强调文字颜色 2 Char"/>
    <w:link w:val="98"/>
    <w:qFormat/>
    <w:uiPriority w:val="0"/>
    <w:rPr>
      <w:rFonts w:ascii="Calibri" w:hAnsi="Calibri" w:eastAsia="宋体"/>
      <w:sz w:val="24"/>
      <w:lang w:bidi="ar-SA"/>
    </w:rPr>
  </w:style>
  <w:style w:type="paragraph" w:customStyle="1" w:styleId="98">
    <w:name w:val="中等深浅网格 1 - 强调文字颜色 21"/>
    <w:basedOn w:val="1"/>
    <w:link w:val="97"/>
    <w:qFormat/>
    <w:uiPriority w:val="0"/>
    <w:pPr>
      <w:spacing w:line="360" w:lineRule="auto"/>
      <w:ind w:firstLine="420" w:firstLineChars="200"/>
    </w:pPr>
    <w:rPr>
      <w:rFonts w:ascii="Calibri" w:hAnsi="Calibri"/>
      <w:kern w:val="0"/>
      <w:sz w:val="24"/>
      <w:szCs w:val="20"/>
    </w:rPr>
  </w:style>
  <w:style w:type="character" w:customStyle="1" w:styleId="99">
    <w:name w:val="标题 4 Char"/>
    <w:link w:val="5"/>
    <w:qFormat/>
    <w:uiPriority w:val="0"/>
    <w:rPr>
      <w:rFonts w:ascii="Arial" w:hAnsi="Arial" w:eastAsia="黑体" w:cs="Times New Roman"/>
      <w:b/>
      <w:bCs/>
      <w:kern w:val="0"/>
      <w:sz w:val="28"/>
      <w:szCs w:val="28"/>
    </w:rPr>
  </w:style>
  <w:style w:type="character" w:customStyle="1" w:styleId="100">
    <w:name w:val="Char Char2"/>
    <w:qFormat/>
    <w:uiPriority w:val="0"/>
    <w:rPr>
      <w:rFonts w:ascii="宋体" w:hAnsi="宋体"/>
      <w:color w:val="000000"/>
      <w:kern w:val="2"/>
      <w:sz w:val="24"/>
      <w:szCs w:val="24"/>
    </w:rPr>
  </w:style>
  <w:style w:type="character" w:customStyle="1" w:styleId="101">
    <w:name w:val="Char Char24"/>
    <w:qFormat/>
    <w:uiPriority w:val="0"/>
    <w:rPr>
      <w:rFonts w:ascii="Arial" w:hAnsi="Arial" w:eastAsia="黑体"/>
      <w:b/>
      <w:bCs/>
      <w:kern w:val="2"/>
      <w:sz w:val="28"/>
      <w:szCs w:val="28"/>
    </w:rPr>
  </w:style>
  <w:style w:type="character" w:customStyle="1" w:styleId="102">
    <w:name w:val="样式 (中文) 放宋 小四号"/>
    <w:qFormat/>
    <w:uiPriority w:val="0"/>
    <w:rPr>
      <w:rFonts w:eastAsia="仿宋_GB2312"/>
      <w:sz w:val="24"/>
    </w:rPr>
  </w:style>
  <w:style w:type="character" w:customStyle="1" w:styleId="103">
    <w:name w:val="日期 Char1"/>
    <w:semiHidden/>
    <w:qFormat/>
    <w:uiPriority w:val="99"/>
    <w:rPr>
      <w:rFonts w:ascii="Times New Roman" w:hAnsi="Times New Roman" w:eastAsia="宋体" w:cs="Times New Roman"/>
      <w:szCs w:val="24"/>
    </w:rPr>
  </w:style>
  <w:style w:type="character" w:customStyle="1" w:styleId="104">
    <w:name w:val="font31"/>
    <w:qFormat/>
    <w:uiPriority w:val="0"/>
    <w:rPr>
      <w:rFonts w:hint="default" w:ascii="Times New Roman" w:hAnsi="Times New Roman" w:cs="Times New Roman"/>
      <w:color w:val="000000"/>
      <w:sz w:val="20"/>
      <w:szCs w:val="20"/>
      <w:u w:val="none"/>
    </w:rPr>
  </w:style>
  <w:style w:type="character" w:customStyle="1" w:styleId="105">
    <w:name w:val="样式 加粗"/>
    <w:qFormat/>
    <w:uiPriority w:val="0"/>
    <w:rPr>
      <w:rFonts w:eastAsia="仿宋_GB2312"/>
      <w:b/>
      <w:bCs/>
      <w:sz w:val="24"/>
    </w:rPr>
  </w:style>
  <w:style w:type="character" w:customStyle="1" w:styleId="106">
    <w:name w:val="常规 Char"/>
    <w:link w:val="107"/>
    <w:qFormat/>
    <w:uiPriority w:val="0"/>
    <w:rPr>
      <w:rFonts w:eastAsia="宋体"/>
      <w:szCs w:val="21"/>
      <w:lang w:bidi="ar-SA"/>
    </w:rPr>
  </w:style>
  <w:style w:type="paragraph" w:customStyle="1" w:styleId="107">
    <w:name w:val="常规"/>
    <w:basedOn w:val="1"/>
    <w:link w:val="106"/>
    <w:qFormat/>
    <w:uiPriority w:val="0"/>
    <w:pPr>
      <w:spacing w:beforeLines="100" w:afterLines="100"/>
      <w:ind w:left="1134"/>
    </w:pPr>
    <w:rPr>
      <w:kern w:val="0"/>
      <w:sz w:val="20"/>
      <w:szCs w:val="21"/>
    </w:rPr>
  </w:style>
  <w:style w:type="character" w:customStyle="1" w:styleId="108">
    <w:name w:val="正文文本 3 Char"/>
    <w:link w:val="19"/>
    <w:qFormat/>
    <w:uiPriority w:val="0"/>
    <w:rPr>
      <w:rFonts w:hAnsi="宋体" w:eastAsia="仿宋_GB2312"/>
      <w:b/>
      <w:bCs/>
      <w:sz w:val="24"/>
    </w:rPr>
  </w:style>
  <w:style w:type="character" w:customStyle="1" w:styleId="109">
    <w:name w:val="普通 (Web) Char1"/>
    <w:qFormat/>
    <w:locked/>
    <w:uiPriority w:val="0"/>
    <w:rPr>
      <w:rFonts w:ascii="宋体" w:hAnsi="宋体" w:eastAsia="宋体"/>
      <w:sz w:val="24"/>
      <w:szCs w:val="24"/>
      <w:lang w:val="en-US" w:eastAsia="zh-CN" w:bidi="ar-SA"/>
    </w:rPr>
  </w:style>
  <w:style w:type="character" w:customStyle="1" w:styleId="110">
    <w:name w:val="Heading 2 Char"/>
    <w:semiHidden/>
    <w:qFormat/>
    <w:locked/>
    <w:uiPriority w:val="0"/>
    <w:rPr>
      <w:rFonts w:ascii="Cambria" w:hAnsi="Cambria" w:eastAsia="宋体" w:cs="Times New Roman"/>
      <w:b/>
      <w:bCs/>
      <w:kern w:val="0"/>
      <w:sz w:val="32"/>
      <w:szCs w:val="32"/>
    </w:rPr>
  </w:style>
  <w:style w:type="character" w:customStyle="1" w:styleId="111">
    <w:name w:val="Body Text Char"/>
    <w:semiHidden/>
    <w:qFormat/>
    <w:locked/>
    <w:uiPriority w:val="0"/>
    <w:rPr>
      <w:rFonts w:cs="Times New Roman"/>
      <w:kern w:val="0"/>
      <w:sz w:val="21"/>
      <w:szCs w:val="21"/>
    </w:rPr>
  </w:style>
  <w:style w:type="character" w:customStyle="1" w:styleId="112">
    <w:name w:val="正文首行缩进1 Char"/>
    <w:qFormat/>
    <w:uiPriority w:val="0"/>
    <w:rPr>
      <w:rFonts w:ascii="Arial" w:hAnsi="Arial" w:eastAsia="宋体"/>
      <w:sz w:val="24"/>
      <w:szCs w:val="21"/>
      <w:lang w:bidi="ar-SA"/>
    </w:rPr>
  </w:style>
  <w:style w:type="character" w:customStyle="1" w:styleId="113">
    <w:name w:val="正文缩进 Char"/>
    <w:link w:val="13"/>
    <w:qFormat/>
    <w:uiPriority w:val="0"/>
    <w:rPr>
      <w:rFonts w:eastAsia="宋体"/>
    </w:rPr>
  </w:style>
  <w:style w:type="character" w:customStyle="1" w:styleId="114">
    <w:name w:val="标题 7 Char"/>
    <w:link w:val="8"/>
    <w:qFormat/>
    <w:uiPriority w:val="0"/>
    <w:rPr>
      <w:rFonts w:ascii="Times New Roman" w:hAnsi="Times New Roman" w:eastAsia="宋体" w:cs="Times New Roman"/>
      <w:b/>
      <w:bCs/>
      <w:kern w:val="0"/>
      <w:sz w:val="24"/>
      <w:szCs w:val="24"/>
    </w:rPr>
  </w:style>
  <w:style w:type="character" w:customStyle="1" w:styleId="115">
    <w:name w:val="Char Char6"/>
    <w:qFormat/>
    <w:uiPriority w:val="0"/>
    <w:rPr>
      <w:rFonts w:ascii="Cambria" w:hAnsi="Cambria"/>
      <w:b/>
      <w:bCs/>
      <w:kern w:val="2"/>
      <w:sz w:val="32"/>
      <w:szCs w:val="32"/>
    </w:rPr>
  </w:style>
  <w:style w:type="character" w:customStyle="1" w:styleId="116">
    <w:name w:val="正文文本 Char1"/>
    <w:link w:val="20"/>
    <w:qFormat/>
    <w:uiPriority w:val="0"/>
    <w:rPr>
      <w:rFonts w:ascii="Times New Roman" w:hAnsi="Times New Roman" w:eastAsia="宋体" w:cs="Times New Roman"/>
      <w:kern w:val="0"/>
      <w:sz w:val="28"/>
      <w:szCs w:val="24"/>
    </w:rPr>
  </w:style>
  <w:style w:type="character" w:customStyle="1" w:styleId="117">
    <w:name w:val="style171"/>
    <w:qFormat/>
    <w:uiPriority w:val="0"/>
    <w:rPr>
      <w:sz w:val="20"/>
      <w:szCs w:val="20"/>
    </w:rPr>
  </w:style>
  <w:style w:type="character" w:customStyle="1" w:styleId="118">
    <w:name w:val="标题 1 Char"/>
    <w:link w:val="2"/>
    <w:qFormat/>
    <w:uiPriority w:val="9"/>
    <w:rPr>
      <w:rFonts w:ascii="Times New Roman" w:hAnsi="Times New Roman" w:eastAsia="宋体" w:cs="Times New Roman"/>
      <w:b/>
      <w:bCs/>
      <w:kern w:val="44"/>
      <w:sz w:val="44"/>
      <w:szCs w:val="44"/>
    </w:rPr>
  </w:style>
  <w:style w:type="character" w:customStyle="1" w:styleId="119">
    <w:name w:val="newscontent1"/>
    <w:qFormat/>
    <w:uiPriority w:val="0"/>
    <w:rPr>
      <w:rFonts w:hint="default" w:ascii="Verdana" w:hAnsi="Verdana"/>
      <w:color w:val="333333"/>
      <w:sz w:val="18"/>
      <w:szCs w:val="18"/>
    </w:rPr>
  </w:style>
  <w:style w:type="character" w:customStyle="1" w:styleId="120">
    <w:name w:val="H1 Char"/>
    <w:qFormat/>
    <w:uiPriority w:val="0"/>
    <w:rPr>
      <w:rFonts w:ascii="Times New Roman" w:hAnsi="Times New Roman" w:eastAsia="宋体" w:cs="Times New Roman"/>
      <w:b/>
      <w:bCs/>
      <w:kern w:val="44"/>
      <w:sz w:val="44"/>
      <w:szCs w:val="44"/>
    </w:rPr>
  </w:style>
  <w:style w:type="character" w:customStyle="1" w:styleId="121">
    <w:name w:val="标题 2 Char"/>
    <w:link w:val="3"/>
    <w:qFormat/>
    <w:uiPriority w:val="9"/>
    <w:rPr>
      <w:rFonts w:ascii="Arial" w:hAnsi="Arial" w:eastAsia="黑体" w:cs="Times New Roman"/>
      <w:b/>
      <w:bCs/>
      <w:kern w:val="0"/>
      <w:sz w:val="32"/>
      <w:szCs w:val="32"/>
    </w:rPr>
  </w:style>
  <w:style w:type="character" w:customStyle="1" w:styleId="122">
    <w:name w:val="style211"/>
    <w:qFormat/>
    <w:uiPriority w:val="0"/>
    <w:rPr>
      <w:color w:val="0000FF"/>
    </w:rPr>
  </w:style>
  <w:style w:type="character" w:customStyle="1" w:styleId="123">
    <w:name w:val="con-all2"/>
    <w:qFormat/>
    <w:uiPriority w:val="0"/>
  </w:style>
  <w:style w:type="character" w:customStyle="1" w:styleId="124">
    <w:name w:val="!标题3 Ctrl+3 Char"/>
    <w:link w:val="125"/>
    <w:qFormat/>
    <w:locked/>
    <w:uiPriority w:val="0"/>
    <w:rPr>
      <w:rFonts w:ascii="Arial" w:hAnsi="Arial" w:eastAsia="黑体"/>
      <w:b/>
      <w:kern w:val="2"/>
      <w:sz w:val="32"/>
      <w:szCs w:val="32"/>
    </w:rPr>
  </w:style>
  <w:style w:type="paragraph" w:customStyle="1" w:styleId="125">
    <w:name w:val="!标题3 Ctrl+3"/>
    <w:basedOn w:val="4"/>
    <w:next w:val="1"/>
    <w:link w:val="124"/>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26">
    <w:name w:val="font61"/>
    <w:qFormat/>
    <w:uiPriority w:val="0"/>
    <w:rPr>
      <w:rFonts w:hint="eastAsia" w:ascii="宋体" w:hAnsi="宋体" w:eastAsia="宋体" w:cs="宋体"/>
      <w:color w:val="000000"/>
      <w:sz w:val="24"/>
      <w:szCs w:val="24"/>
      <w:u w:val="none"/>
    </w:rPr>
  </w:style>
  <w:style w:type="character" w:customStyle="1" w:styleId="127">
    <w:name w:val="正文文本缩进 Char1"/>
    <w:semiHidden/>
    <w:qFormat/>
    <w:uiPriority w:val="99"/>
    <w:rPr>
      <w:rFonts w:ascii="Times New Roman" w:hAnsi="Times New Roman" w:eastAsia="宋体" w:cs="Times New Roman"/>
      <w:szCs w:val="24"/>
    </w:rPr>
  </w:style>
  <w:style w:type="character" w:customStyle="1" w:styleId="128">
    <w:name w:val="Char Char25"/>
    <w:qFormat/>
    <w:uiPriority w:val="0"/>
    <w:rPr>
      <w:rFonts w:eastAsia="楷体_GB2312"/>
      <w:b/>
      <w:bCs/>
      <w:kern w:val="2"/>
      <w:sz w:val="32"/>
      <w:szCs w:val="32"/>
    </w:rPr>
  </w:style>
  <w:style w:type="character" w:customStyle="1" w:styleId="129">
    <w:name w:val="Char Char14"/>
    <w:qFormat/>
    <w:uiPriority w:val="0"/>
    <w:rPr>
      <w:kern w:val="2"/>
      <w:sz w:val="18"/>
      <w:szCs w:val="18"/>
    </w:rPr>
  </w:style>
  <w:style w:type="character" w:customStyle="1" w:styleId="130">
    <w:name w:val="unnamed21"/>
    <w:qFormat/>
    <w:uiPriority w:val="0"/>
    <w:rPr>
      <w:b/>
      <w:bCs/>
      <w:spacing w:val="330"/>
      <w:sz w:val="21"/>
      <w:szCs w:val="21"/>
    </w:rPr>
  </w:style>
  <w:style w:type="character" w:customStyle="1" w:styleId="131">
    <w:name w:val="body1"/>
    <w:qFormat/>
    <w:uiPriority w:val="0"/>
    <w:rPr>
      <w:rFonts w:hint="default"/>
      <w:sz w:val="18"/>
    </w:rPr>
  </w:style>
  <w:style w:type="character" w:customStyle="1" w:styleId="132">
    <w:name w:val="标题 Char"/>
    <w:link w:val="48"/>
    <w:qFormat/>
    <w:uiPriority w:val="0"/>
    <w:rPr>
      <w:rFonts w:ascii="Cambria" w:hAnsi="Cambria"/>
      <w:b/>
      <w:bCs/>
      <w:sz w:val="32"/>
      <w:szCs w:val="32"/>
    </w:rPr>
  </w:style>
  <w:style w:type="character" w:customStyle="1" w:styleId="133">
    <w:name w:val="批注框文本 Char"/>
    <w:link w:val="34"/>
    <w:qFormat/>
    <w:uiPriority w:val="99"/>
    <w:rPr>
      <w:sz w:val="18"/>
      <w:szCs w:val="18"/>
    </w:rPr>
  </w:style>
  <w:style w:type="character" w:customStyle="1" w:styleId="134">
    <w:name w:val="表格文本 Char Char"/>
    <w:link w:val="135"/>
    <w:qFormat/>
    <w:uiPriority w:val="0"/>
    <w:rPr>
      <w:rFonts w:ascii="Arial" w:hAnsi="Arial"/>
      <w:kern w:val="2"/>
      <w:sz w:val="21"/>
      <w:szCs w:val="21"/>
      <w:lang w:val="en-US" w:eastAsia="zh-CN" w:bidi="ar-SA"/>
    </w:rPr>
  </w:style>
  <w:style w:type="paragraph" w:customStyle="1" w:styleId="135">
    <w:name w:val="表格文本 Char"/>
    <w:link w:val="134"/>
    <w:qFormat/>
    <w:uiPriority w:val="0"/>
    <w:pPr>
      <w:tabs>
        <w:tab w:val="decimal" w:pos="0"/>
      </w:tabs>
    </w:pPr>
    <w:rPr>
      <w:rFonts w:ascii="Arial" w:hAnsi="Arial" w:eastAsia="宋体" w:cs="Times New Roman"/>
      <w:kern w:val="2"/>
      <w:sz w:val="21"/>
      <w:szCs w:val="21"/>
      <w:lang w:val="en-US" w:eastAsia="zh-CN" w:bidi="ar-SA"/>
    </w:rPr>
  </w:style>
  <w:style w:type="character" w:customStyle="1" w:styleId="136">
    <w:name w:val="批注主题 Char1"/>
    <w:semiHidden/>
    <w:qFormat/>
    <w:uiPriority w:val="99"/>
    <w:rPr>
      <w:rFonts w:ascii="Times New Roman" w:hAnsi="Times New Roman" w:eastAsia="宋体" w:cs="Times New Roman"/>
      <w:b/>
      <w:bCs/>
      <w:szCs w:val="24"/>
    </w:rPr>
  </w:style>
  <w:style w:type="character" w:customStyle="1" w:styleId="137">
    <w:name w:val="页脚 Char1"/>
    <w:semiHidden/>
    <w:qFormat/>
    <w:uiPriority w:val="99"/>
    <w:rPr>
      <w:rFonts w:ascii="Times New Roman" w:hAnsi="Times New Roman" w:eastAsia="宋体" w:cs="Times New Roman"/>
      <w:sz w:val="18"/>
      <w:szCs w:val="18"/>
    </w:rPr>
  </w:style>
  <w:style w:type="character" w:customStyle="1" w:styleId="138">
    <w:name w:val="文档结构图 Char"/>
    <w:link w:val="16"/>
    <w:qFormat/>
    <w:uiPriority w:val="99"/>
    <w:rPr>
      <w:szCs w:val="24"/>
      <w:shd w:val="clear" w:color="auto" w:fill="000080"/>
    </w:rPr>
  </w:style>
  <w:style w:type="character" w:customStyle="1" w:styleId="139">
    <w:name w:val="Heading 5 Char"/>
    <w:semiHidden/>
    <w:qFormat/>
    <w:locked/>
    <w:uiPriority w:val="0"/>
    <w:rPr>
      <w:rFonts w:cs="Times New Roman"/>
      <w:b/>
      <w:bCs/>
      <w:kern w:val="0"/>
      <w:sz w:val="28"/>
      <w:szCs w:val="28"/>
    </w:rPr>
  </w:style>
  <w:style w:type="character" w:customStyle="1" w:styleId="140">
    <w:name w:val="Char Char26"/>
    <w:qFormat/>
    <w:uiPriority w:val="0"/>
    <w:rPr>
      <w:rFonts w:ascii="Arial" w:hAnsi="Arial" w:eastAsia="黑体"/>
      <w:b/>
      <w:bCs/>
      <w:kern w:val="2"/>
      <w:sz w:val="32"/>
      <w:szCs w:val="32"/>
    </w:rPr>
  </w:style>
  <w:style w:type="character" w:customStyle="1" w:styleId="141">
    <w:name w:val="正文文本 2 Char1"/>
    <w:semiHidden/>
    <w:qFormat/>
    <w:uiPriority w:val="99"/>
    <w:rPr>
      <w:rFonts w:ascii="Times New Roman" w:hAnsi="Times New Roman" w:eastAsia="宋体" w:cs="Times New Roman"/>
      <w:szCs w:val="24"/>
    </w:rPr>
  </w:style>
  <w:style w:type="character" w:customStyle="1" w:styleId="142">
    <w:name w:val="font41"/>
    <w:qFormat/>
    <w:uiPriority w:val="0"/>
    <w:rPr>
      <w:rFonts w:hint="eastAsia" w:ascii="宋体" w:hAnsi="宋体" w:eastAsia="宋体" w:cs="宋体"/>
      <w:color w:val="000000"/>
      <w:sz w:val="20"/>
      <w:szCs w:val="20"/>
      <w:u w:val="none"/>
    </w:rPr>
  </w:style>
  <w:style w:type="character" w:customStyle="1" w:styleId="143">
    <w:name w:val="标题 8 Char"/>
    <w:link w:val="9"/>
    <w:qFormat/>
    <w:uiPriority w:val="0"/>
    <w:rPr>
      <w:rFonts w:ascii="Arial" w:hAnsi="Arial" w:eastAsia="黑体" w:cs="Times New Roman"/>
      <w:kern w:val="0"/>
      <w:sz w:val="24"/>
      <w:szCs w:val="24"/>
    </w:rPr>
  </w:style>
  <w:style w:type="character" w:customStyle="1" w:styleId="144">
    <w:name w:val="BOD 4 Char Char"/>
    <w:qFormat/>
    <w:uiPriority w:val="0"/>
    <w:rPr>
      <w:rFonts w:ascii="Arial" w:hAnsi="Arial" w:eastAsia="黑体" w:cs="Times New Roman"/>
      <w:b/>
      <w:bCs/>
      <w:sz w:val="24"/>
      <w:szCs w:val="24"/>
    </w:rPr>
  </w:style>
  <w:style w:type="character" w:customStyle="1" w:styleId="145">
    <w:name w:val="Heading 1 Char"/>
    <w:qFormat/>
    <w:locked/>
    <w:uiPriority w:val="0"/>
    <w:rPr>
      <w:rFonts w:cs="Times New Roman"/>
      <w:b/>
      <w:bCs/>
      <w:kern w:val="44"/>
      <w:sz w:val="44"/>
      <w:szCs w:val="44"/>
    </w:rPr>
  </w:style>
  <w:style w:type="character" w:customStyle="1" w:styleId="146">
    <w:name w:val="txt1"/>
    <w:qFormat/>
    <w:uiPriority w:val="0"/>
    <w:rPr>
      <w:rFonts w:hint="default" w:ascii="ˎ̥" w:hAnsi="ˎ̥"/>
      <w:sz w:val="18"/>
      <w:szCs w:val="18"/>
    </w:rPr>
  </w:style>
  <w:style w:type="character" w:customStyle="1" w:styleId="147">
    <w:name w:val="Plain Text Char"/>
    <w:semiHidden/>
    <w:qFormat/>
    <w:locked/>
    <w:uiPriority w:val="0"/>
    <w:rPr>
      <w:rFonts w:ascii="宋体" w:hAnsi="Courier New" w:cs="Courier New"/>
      <w:kern w:val="0"/>
      <w:sz w:val="21"/>
      <w:szCs w:val="21"/>
    </w:rPr>
  </w:style>
  <w:style w:type="character" w:customStyle="1" w:styleId="148">
    <w:name w:val="Char Char1"/>
    <w:qFormat/>
    <w:uiPriority w:val="0"/>
    <w:rPr>
      <w:kern w:val="2"/>
      <w:sz w:val="21"/>
      <w:szCs w:val="24"/>
    </w:rPr>
  </w:style>
  <w:style w:type="character" w:customStyle="1" w:styleId="149">
    <w:name w:val="标题 5 Char"/>
    <w:link w:val="6"/>
    <w:qFormat/>
    <w:uiPriority w:val="9"/>
    <w:rPr>
      <w:rFonts w:ascii="Times New Roman" w:hAnsi="Times New Roman" w:eastAsia="宋体" w:cs="Times New Roman"/>
      <w:b/>
      <w:bCs/>
      <w:kern w:val="0"/>
      <w:sz w:val="28"/>
      <w:szCs w:val="28"/>
    </w:rPr>
  </w:style>
  <w:style w:type="character" w:customStyle="1" w:styleId="150">
    <w:name w:val="￥正文 Char"/>
    <w:link w:val="151"/>
    <w:qFormat/>
    <w:uiPriority w:val="0"/>
    <w:rPr>
      <w:rFonts w:ascii="Calibri" w:hAnsi="Calibri" w:eastAsia="宋体"/>
      <w:sz w:val="24"/>
      <w:lang w:bidi="ar-SA"/>
    </w:rPr>
  </w:style>
  <w:style w:type="paragraph" w:customStyle="1" w:styleId="151">
    <w:name w:val="￥正文"/>
    <w:basedOn w:val="1"/>
    <w:link w:val="150"/>
    <w:qFormat/>
    <w:uiPriority w:val="0"/>
    <w:pPr>
      <w:spacing w:line="360" w:lineRule="auto"/>
      <w:ind w:firstLine="200" w:firstLineChars="200"/>
    </w:pPr>
    <w:rPr>
      <w:rFonts w:ascii="Calibri" w:hAnsi="Calibri"/>
      <w:kern w:val="0"/>
      <w:sz w:val="24"/>
      <w:szCs w:val="20"/>
    </w:rPr>
  </w:style>
  <w:style w:type="character" w:customStyle="1" w:styleId="152">
    <w:name w:val="Char Char22"/>
    <w:qFormat/>
    <w:uiPriority w:val="0"/>
    <w:rPr>
      <w:rFonts w:ascii="Arial" w:hAnsi="Arial" w:eastAsia="黑体"/>
      <w:b/>
      <w:bCs/>
      <w:kern w:val="2"/>
      <w:sz w:val="24"/>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Char Char20"/>
    <w:qFormat/>
    <w:uiPriority w:val="0"/>
    <w:rPr>
      <w:rFonts w:ascii="Arial" w:hAnsi="Arial" w:eastAsia="黑体"/>
      <w:kern w:val="2"/>
      <w:sz w:val="24"/>
      <w:szCs w:val="24"/>
    </w:rPr>
  </w:style>
  <w:style w:type="character" w:customStyle="1" w:styleId="155">
    <w:name w:val="wj1"/>
    <w:qFormat/>
    <w:uiPriority w:val="0"/>
    <w:rPr>
      <w:color w:val="000000"/>
      <w:sz w:val="18"/>
      <w:szCs w:val="18"/>
      <w:u w:val="none"/>
    </w:rPr>
  </w:style>
  <w:style w:type="character" w:customStyle="1" w:styleId="156">
    <w:name w:val="font91"/>
    <w:qFormat/>
    <w:uiPriority w:val="0"/>
    <w:rPr>
      <w:rFonts w:hint="default" w:ascii="Arial" w:hAnsi="Arial" w:cs="Arial"/>
      <w:b/>
      <w:color w:val="auto"/>
      <w:sz w:val="20"/>
      <w:szCs w:val="20"/>
      <w:u w:val="none"/>
    </w:rPr>
  </w:style>
  <w:style w:type="character" w:customStyle="1" w:styleId="157">
    <w:name w:val="Char Char17"/>
    <w:qFormat/>
    <w:uiPriority w:val="0"/>
    <w:rPr>
      <w:rFonts w:ascii="仿宋_GB2312" w:hAnsi="宋体" w:cs="Arial"/>
      <w:b/>
      <w:bCs/>
      <w:color w:val="000000"/>
      <w:kern w:val="2"/>
      <w:sz w:val="24"/>
      <w:szCs w:val="24"/>
    </w:rPr>
  </w:style>
  <w:style w:type="character" w:customStyle="1" w:styleId="158">
    <w:name w:val="font11"/>
    <w:qFormat/>
    <w:uiPriority w:val="0"/>
    <w:rPr>
      <w:rFonts w:hint="default" w:ascii="Times New Roman" w:hAnsi="Times New Roman" w:cs="Times New Roman"/>
      <w:color w:val="000000"/>
      <w:sz w:val="20"/>
      <w:szCs w:val="20"/>
      <w:u w:val="none"/>
    </w:rPr>
  </w:style>
  <w:style w:type="character" w:customStyle="1" w:styleId="159">
    <w:name w:val="Normal Indent Char"/>
    <w:qFormat/>
    <w:locked/>
    <w:uiPriority w:val="0"/>
    <w:rPr>
      <w:sz w:val="20"/>
    </w:rPr>
  </w:style>
  <w:style w:type="character" w:customStyle="1" w:styleId="160">
    <w:name w:val="正文首行缩进 Char"/>
    <w:link w:val="50"/>
    <w:qFormat/>
    <w:uiPriority w:val="0"/>
    <w:rPr>
      <w:sz w:val="24"/>
      <w:szCs w:val="24"/>
    </w:rPr>
  </w:style>
  <w:style w:type="character" w:customStyle="1" w:styleId="161">
    <w:name w:val="正文文本 3 Char1"/>
    <w:semiHidden/>
    <w:qFormat/>
    <w:uiPriority w:val="99"/>
    <w:rPr>
      <w:rFonts w:ascii="Times New Roman" w:hAnsi="Times New Roman" w:eastAsia="宋体" w:cs="Times New Roman"/>
      <w:sz w:val="16"/>
      <w:szCs w:val="16"/>
    </w:rPr>
  </w:style>
  <w:style w:type="character" w:customStyle="1" w:styleId="162">
    <w:name w:val="表正文 Char"/>
    <w:qFormat/>
    <w:uiPriority w:val="0"/>
    <w:rPr>
      <w:rFonts w:ascii="Times New Roman" w:hAnsi="Times New Roman" w:eastAsia="宋体" w:cs="Times New Roman"/>
      <w:szCs w:val="24"/>
    </w:rPr>
  </w:style>
  <w:style w:type="character" w:customStyle="1" w:styleId="163">
    <w:name w:val="Header Char"/>
    <w:qFormat/>
    <w:locked/>
    <w:uiPriority w:val="0"/>
    <w:rPr>
      <w:rFonts w:ascii="Calibri" w:hAnsi="Calibri" w:eastAsia="宋体" w:cs="Times New Roman"/>
      <w:sz w:val="18"/>
      <w:szCs w:val="18"/>
    </w:rPr>
  </w:style>
  <w:style w:type="character" w:customStyle="1" w:styleId="164">
    <w:name w:val="cn1"/>
    <w:qFormat/>
    <w:uiPriority w:val="0"/>
  </w:style>
  <w:style w:type="character" w:customStyle="1" w:styleId="165">
    <w:name w:val="样式7 Char"/>
    <w:qFormat/>
    <w:uiPriority w:val="0"/>
    <w:rPr>
      <w:rFonts w:eastAsia="宋体" w:cs="宋体"/>
      <w:kern w:val="2"/>
      <w:sz w:val="24"/>
      <w:szCs w:val="24"/>
      <w:lang w:val="en-US" w:eastAsia="zh-CN" w:bidi="ar-SA"/>
    </w:rPr>
  </w:style>
  <w:style w:type="character" w:customStyle="1" w:styleId="166">
    <w:name w:val="彩色列表 - 强调文字颜色 1 Char"/>
    <w:link w:val="167"/>
    <w:qFormat/>
    <w:uiPriority w:val="0"/>
    <w:rPr>
      <w:rFonts w:ascii="微软雅黑" w:hAnsi="微软雅黑" w:eastAsia="微软雅黑" w:cs="宋体"/>
      <w:kern w:val="2"/>
      <w:sz w:val="24"/>
      <w:szCs w:val="21"/>
      <w:lang w:val="en-US" w:eastAsia="zh-CN" w:bidi="ar-SA"/>
    </w:rPr>
  </w:style>
  <w:style w:type="paragraph" w:customStyle="1" w:styleId="167">
    <w:name w:val="列出段落2"/>
    <w:basedOn w:val="1"/>
    <w:link w:val="166"/>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68">
    <w:name w:val="引文目录标题 Char"/>
    <w:link w:val="17"/>
    <w:qFormat/>
    <w:uiPriority w:val="0"/>
    <w:rPr>
      <w:rFonts w:ascii="Arial" w:hAnsi="Arial" w:eastAsia="宋体" w:cs="Times New Roman"/>
      <w:kern w:val="0"/>
      <w:sz w:val="24"/>
      <w:szCs w:val="20"/>
    </w:rPr>
  </w:style>
  <w:style w:type="character" w:customStyle="1" w:styleId="169">
    <w:name w:val="Char Char13"/>
    <w:qFormat/>
    <w:uiPriority w:val="0"/>
    <w:rPr>
      <w:b/>
      <w:bCs/>
      <w:kern w:val="2"/>
      <w:sz w:val="21"/>
      <w:szCs w:val="24"/>
    </w:rPr>
  </w:style>
  <w:style w:type="character" w:customStyle="1" w:styleId="170">
    <w:name w:val="页脚 Char2"/>
    <w:link w:val="35"/>
    <w:qFormat/>
    <w:uiPriority w:val="99"/>
    <w:rPr>
      <w:rFonts w:eastAsia="黑体"/>
      <w:sz w:val="18"/>
      <w:szCs w:val="18"/>
    </w:rPr>
  </w:style>
  <w:style w:type="character" w:customStyle="1" w:styleId="171">
    <w:name w:val="日期 Char"/>
    <w:link w:val="31"/>
    <w:qFormat/>
    <w:uiPriority w:val="0"/>
    <w:rPr>
      <w:rFonts w:eastAsia="楷体_GB2312"/>
      <w:sz w:val="32"/>
    </w:rPr>
  </w:style>
  <w:style w:type="character" w:customStyle="1" w:styleId="172">
    <w:name w:val="标题 3 Char"/>
    <w:link w:val="4"/>
    <w:qFormat/>
    <w:uiPriority w:val="0"/>
    <w:rPr>
      <w:rFonts w:ascii="Times New Roman" w:hAnsi="Times New Roman" w:eastAsia="楷体_GB2312" w:cs="Times New Roman"/>
      <w:b/>
      <w:bCs/>
      <w:kern w:val="0"/>
      <w:sz w:val="32"/>
      <w:szCs w:val="32"/>
    </w:rPr>
  </w:style>
  <w:style w:type="character" w:customStyle="1" w:styleId="173">
    <w:name w:val="纯文本 Char2"/>
    <w:semiHidden/>
    <w:qFormat/>
    <w:uiPriority w:val="99"/>
    <w:rPr>
      <w:rFonts w:ascii="宋体" w:hAnsi="Courier New" w:eastAsia="宋体" w:cs="Courier New"/>
      <w:szCs w:val="21"/>
    </w:rPr>
  </w:style>
  <w:style w:type="character" w:customStyle="1" w:styleId="174">
    <w:name w:val="Char Char10"/>
    <w:qFormat/>
    <w:uiPriority w:val="0"/>
    <w:rPr>
      <w:kern w:val="2"/>
      <w:sz w:val="21"/>
      <w:szCs w:val="24"/>
      <w:shd w:val="clear" w:color="auto" w:fill="000080"/>
    </w:rPr>
  </w:style>
  <w:style w:type="character" w:customStyle="1" w:styleId="175">
    <w:name w:val="纯文本 Char"/>
    <w:link w:val="30"/>
    <w:qFormat/>
    <w:uiPriority w:val="0"/>
    <w:rPr>
      <w:rFonts w:ascii="宋体" w:hAnsi="Courier New" w:eastAsia="宋体"/>
      <w:sz w:val="24"/>
      <w:szCs w:val="24"/>
    </w:rPr>
  </w:style>
  <w:style w:type="character" w:customStyle="1" w:styleId="176">
    <w:name w:val="未处理的提及"/>
    <w:unhideWhenUsed/>
    <w:qFormat/>
    <w:uiPriority w:val="99"/>
    <w:rPr>
      <w:color w:val="605E5C"/>
      <w:shd w:val="clear" w:color="auto" w:fill="E1DFDD"/>
    </w:rPr>
  </w:style>
  <w:style w:type="character" w:customStyle="1" w:styleId="177">
    <w:name w:val="普通段落 Char"/>
    <w:link w:val="178"/>
    <w:qFormat/>
    <w:uiPriority w:val="0"/>
    <w:rPr>
      <w:rFonts w:ascii="Arial" w:hAnsi="Arial" w:eastAsia="宋体"/>
      <w:lang w:bidi="ar-SA"/>
    </w:rPr>
  </w:style>
  <w:style w:type="paragraph" w:customStyle="1" w:styleId="178">
    <w:name w:val="普通段落"/>
    <w:basedOn w:val="1"/>
    <w:link w:val="177"/>
    <w:qFormat/>
    <w:uiPriority w:val="0"/>
    <w:pPr>
      <w:spacing w:after="240" w:line="276" w:lineRule="auto"/>
    </w:pPr>
    <w:rPr>
      <w:rFonts w:ascii="Arial" w:hAnsi="Arial"/>
      <w:kern w:val="0"/>
      <w:sz w:val="20"/>
      <w:szCs w:val="20"/>
    </w:rPr>
  </w:style>
  <w:style w:type="character" w:customStyle="1" w:styleId="179">
    <w:name w:val="纯文本 Char1"/>
    <w:qFormat/>
    <w:uiPriority w:val="0"/>
    <w:rPr>
      <w:rFonts w:ascii="宋体" w:hAnsi="Courier New" w:eastAsia="宋体"/>
      <w:kern w:val="2"/>
      <w:sz w:val="24"/>
      <w:szCs w:val="24"/>
      <w:lang w:val="en-US" w:eastAsia="zh-CN" w:bidi="ar-SA"/>
    </w:rPr>
  </w:style>
  <w:style w:type="character" w:customStyle="1" w:styleId="180">
    <w:name w:val="页脚 Char"/>
    <w:qFormat/>
    <w:uiPriority w:val="99"/>
    <w:rPr>
      <w:rFonts w:eastAsia="Calibri"/>
      <w:sz w:val="21"/>
    </w:rPr>
  </w:style>
  <w:style w:type="character" w:customStyle="1" w:styleId="181">
    <w:name w:val="正文文本缩进 2 Char"/>
    <w:link w:val="33"/>
    <w:qFormat/>
    <w:uiPriority w:val="0"/>
    <w:rPr>
      <w:rFonts w:ascii="仿宋_GB2312" w:hAnsi="宋体" w:cs="Arial"/>
      <w:b/>
      <w:bCs/>
      <w:color w:val="000000"/>
      <w:sz w:val="24"/>
      <w:szCs w:val="24"/>
    </w:rPr>
  </w:style>
  <w:style w:type="character" w:customStyle="1" w:styleId="182">
    <w:name w:val="正文文字缩进4字符 Char"/>
    <w:qFormat/>
    <w:uiPriority w:val="0"/>
    <w:rPr>
      <w:rFonts w:ascii="Times New Roman" w:hAnsi="Times New Roman" w:eastAsia="宋体" w:cs="Times New Roman"/>
      <w:sz w:val="24"/>
      <w:szCs w:val="24"/>
    </w:rPr>
  </w:style>
  <w:style w:type="character" w:customStyle="1" w:styleId="183">
    <w:name w:val="正文文本缩进 字符"/>
    <w:qFormat/>
    <w:uiPriority w:val="0"/>
    <w:rPr>
      <w:rFonts w:ascii="宋体" w:hAnsi="Courier New"/>
      <w:spacing w:val="-4"/>
      <w:sz w:val="18"/>
    </w:rPr>
  </w:style>
  <w:style w:type="character" w:customStyle="1" w:styleId="184">
    <w:name w:val="Heading 3 - old Char"/>
    <w:qFormat/>
    <w:uiPriority w:val="0"/>
    <w:rPr>
      <w:rFonts w:ascii="Times New Roman" w:hAnsi="Times New Roman" w:eastAsia="宋体" w:cs="Times New Roman"/>
      <w:b/>
      <w:bCs/>
      <w:sz w:val="32"/>
      <w:szCs w:val="32"/>
    </w:rPr>
  </w:style>
  <w:style w:type="character" w:customStyle="1" w:styleId="185">
    <w:name w:val="H4 Char"/>
    <w:qFormat/>
    <w:uiPriority w:val="0"/>
    <w:rPr>
      <w:rFonts w:ascii="Arial" w:hAnsi="Arial" w:eastAsia="黑体" w:cs="Times New Roman"/>
      <w:b/>
      <w:bCs/>
      <w:sz w:val="28"/>
      <w:szCs w:val="28"/>
    </w:rPr>
  </w:style>
  <w:style w:type="character" w:customStyle="1" w:styleId="186">
    <w:name w:val="纯文本 字符"/>
    <w:qFormat/>
    <w:uiPriority w:val="0"/>
    <w:rPr>
      <w:rFonts w:ascii="宋体" w:hAnsi="Courier New"/>
      <w:sz w:val="24"/>
      <w:szCs w:val="24"/>
    </w:rPr>
  </w:style>
  <w:style w:type="character" w:customStyle="1" w:styleId="187">
    <w:name w:val="正文文本缩进 Char"/>
    <w:link w:val="21"/>
    <w:qFormat/>
    <w:uiPriority w:val="0"/>
    <w:rPr>
      <w:rFonts w:ascii="宋体" w:hAnsi="Courier New"/>
      <w:spacing w:val="-4"/>
      <w:sz w:val="18"/>
    </w:rPr>
  </w:style>
  <w:style w:type="character" w:customStyle="1" w:styleId="188">
    <w:name w:val="Char Char15"/>
    <w:qFormat/>
    <w:uiPriority w:val="0"/>
    <w:rPr>
      <w:rFonts w:hAnsi="宋体" w:eastAsia="仿宋_GB2312"/>
      <w:b/>
      <w:bCs/>
      <w:kern w:val="2"/>
      <w:sz w:val="24"/>
    </w:rPr>
  </w:style>
  <w:style w:type="character" w:customStyle="1" w:styleId="189">
    <w:name w:val="Footer Char"/>
    <w:qFormat/>
    <w:locked/>
    <w:uiPriority w:val="0"/>
    <w:rPr>
      <w:rFonts w:ascii="Calibri" w:hAnsi="Calibri" w:eastAsia="宋体" w:cs="Times New Roman"/>
      <w:sz w:val="18"/>
      <w:szCs w:val="18"/>
    </w:rPr>
  </w:style>
  <w:style w:type="character" w:customStyle="1" w:styleId="190">
    <w:name w:val="标题 9 Char"/>
    <w:link w:val="10"/>
    <w:qFormat/>
    <w:uiPriority w:val="0"/>
    <w:rPr>
      <w:rFonts w:ascii="Arial" w:hAnsi="Arial" w:eastAsia="黑体" w:cs="Times New Roman"/>
      <w:kern w:val="0"/>
      <w:sz w:val="20"/>
      <w:szCs w:val="21"/>
    </w:rPr>
  </w:style>
  <w:style w:type="character" w:customStyle="1" w:styleId="191">
    <w:name w:val="def正文 Char Char"/>
    <w:link w:val="192"/>
    <w:qFormat/>
    <w:uiPriority w:val="0"/>
    <w:rPr>
      <w:sz w:val="24"/>
      <w:szCs w:val="24"/>
    </w:rPr>
  </w:style>
  <w:style w:type="paragraph" w:customStyle="1" w:styleId="192">
    <w:name w:val="def正文"/>
    <w:basedOn w:val="20"/>
    <w:link w:val="191"/>
    <w:qFormat/>
    <w:uiPriority w:val="0"/>
    <w:pPr>
      <w:widowControl/>
      <w:spacing w:after="0" w:line="360" w:lineRule="auto"/>
      <w:ind w:firstLine="510"/>
      <w:jc w:val="left"/>
    </w:pPr>
    <w:rPr>
      <w:sz w:val="24"/>
    </w:rPr>
  </w:style>
  <w:style w:type="character" w:customStyle="1" w:styleId="193">
    <w:name w:val="font51"/>
    <w:qFormat/>
    <w:uiPriority w:val="0"/>
    <w:rPr>
      <w:rFonts w:hint="eastAsia" w:ascii="宋体" w:hAnsi="宋体" w:eastAsia="宋体" w:cs="宋体"/>
      <w:color w:val="auto"/>
      <w:sz w:val="18"/>
      <w:szCs w:val="18"/>
      <w:u w:val="none"/>
    </w:rPr>
  </w:style>
  <w:style w:type="character" w:customStyle="1" w:styleId="194">
    <w:name w:val="普通文字 Char Char"/>
    <w:qFormat/>
    <w:uiPriority w:val="0"/>
    <w:rPr>
      <w:rFonts w:ascii="宋体" w:hAnsi="Courier New" w:eastAsia="宋体" w:cs="Times New Roman"/>
      <w:szCs w:val="20"/>
    </w:rPr>
  </w:style>
  <w:style w:type="character" w:customStyle="1" w:styleId="195">
    <w:name w:val="正文文本 Char"/>
    <w:qFormat/>
    <w:uiPriority w:val="0"/>
    <w:rPr>
      <w:rFonts w:ascii="Times New Roman" w:hAnsi="Times New Roman" w:eastAsia="宋体" w:cs="Times New Roman"/>
      <w:szCs w:val="24"/>
    </w:rPr>
  </w:style>
  <w:style w:type="character" w:customStyle="1" w:styleId="196">
    <w:name w:val="3zw"/>
    <w:qFormat/>
    <w:uiPriority w:val="0"/>
  </w:style>
  <w:style w:type="character" w:customStyle="1" w:styleId="197">
    <w:name w:val="font71"/>
    <w:qFormat/>
    <w:uiPriority w:val="0"/>
    <w:rPr>
      <w:rFonts w:hint="default" w:ascii="Arial" w:hAnsi="Arial" w:cs="Arial"/>
      <w:color w:val="auto"/>
      <w:sz w:val="20"/>
      <w:szCs w:val="20"/>
      <w:u w:val="none"/>
    </w:rPr>
  </w:style>
  <w:style w:type="character" w:customStyle="1" w:styleId="198">
    <w:name w:val="标题 Char1"/>
    <w:qFormat/>
    <w:uiPriority w:val="10"/>
    <w:rPr>
      <w:rFonts w:ascii="Cambria" w:hAnsi="Cambria" w:eastAsia="宋体" w:cs="Times New Roman"/>
      <w:b/>
      <w:bCs/>
      <w:sz w:val="32"/>
      <w:szCs w:val="32"/>
    </w:rPr>
  </w:style>
  <w:style w:type="character" w:customStyle="1" w:styleId="199">
    <w:name w:val="标书正文格式 Char"/>
    <w:link w:val="200"/>
    <w:qFormat/>
    <w:uiPriority w:val="0"/>
    <w:rPr>
      <w:rFonts w:eastAsia="楷体_GB2312"/>
      <w:kern w:val="2"/>
      <w:sz w:val="24"/>
      <w:szCs w:val="24"/>
      <w:lang w:val="en-US" w:eastAsia="zh-CN" w:bidi="ar-SA"/>
    </w:rPr>
  </w:style>
  <w:style w:type="paragraph" w:customStyle="1" w:styleId="200">
    <w:name w:val="标书正文格式"/>
    <w:link w:val="19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201">
    <w:name w:val="正文缩进 字符"/>
    <w:qFormat/>
    <w:uiPriority w:val="0"/>
    <w:rPr>
      <w:rFonts w:eastAsia="宋体"/>
    </w:rPr>
  </w:style>
  <w:style w:type="character" w:customStyle="1" w:styleId="202">
    <w:name w:val="A7"/>
    <w:qFormat/>
    <w:uiPriority w:val="0"/>
    <w:rPr>
      <w:rFonts w:ascii="HelveticaNeueLT Std Lt" w:eastAsia="HelveticaNeueLT Std Lt" w:cs="HelveticaNeueLT Std Lt"/>
      <w:color w:val="000000"/>
      <w:sz w:val="20"/>
      <w:szCs w:val="20"/>
    </w:rPr>
  </w:style>
  <w:style w:type="character" w:customStyle="1" w:styleId="203">
    <w:name w:val="Balloon Text Char"/>
    <w:qFormat/>
    <w:locked/>
    <w:uiPriority w:val="0"/>
    <w:rPr>
      <w:rFonts w:cs="Times New Roman"/>
      <w:sz w:val="18"/>
      <w:szCs w:val="18"/>
    </w:rPr>
  </w:style>
  <w:style w:type="character" w:customStyle="1" w:styleId="204">
    <w:name w:val="页眉 Char"/>
    <w:link w:val="36"/>
    <w:qFormat/>
    <w:uiPriority w:val="99"/>
    <w:rPr>
      <w:rFonts w:eastAsia="仿宋_GB2312"/>
      <w:sz w:val="18"/>
    </w:rPr>
  </w:style>
  <w:style w:type="character" w:customStyle="1" w:styleId="205">
    <w:name w:val="批注框文本 Char1"/>
    <w:semiHidden/>
    <w:qFormat/>
    <w:uiPriority w:val="99"/>
    <w:rPr>
      <w:rFonts w:ascii="Times New Roman" w:hAnsi="Times New Roman" w:eastAsia="宋体" w:cs="Times New Roman"/>
      <w:sz w:val="18"/>
      <w:szCs w:val="18"/>
    </w:rPr>
  </w:style>
  <w:style w:type="character" w:customStyle="1" w:styleId="206">
    <w:name w:val="彩色列表 - 着色 1 字符"/>
    <w:link w:val="207"/>
    <w:qFormat/>
    <w:locked/>
    <w:uiPriority w:val="34"/>
    <w:rPr>
      <w:rFonts w:ascii="Times New Roman" w:hAnsi="Times New Roman"/>
      <w:kern w:val="2"/>
      <w:sz w:val="21"/>
      <w:szCs w:val="24"/>
    </w:rPr>
  </w:style>
  <w:style w:type="paragraph" w:customStyle="1" w:styleId="207">
    <w:name w:val="彩色列表 - 着色 11"/>
    <w:basedOn w:val="1"/>
    <w:link w:val="206"/>
    <w:qFormat/>
    <w:uiPriority w:val="34"/>
    <w:pPr>
      <w:ind w:firstLine="420" w:firstLineChars="200"/>
    </w:pPr>
  </w:style>
  <w:style w:type="character" w:customStyle="1" w:styleId="208">
    <w:name w:val="正文文本缩进 2 Char1"/>
    <w:semiHidden/>
    <w:qFormat/>
    <w:uiPriority w:val="99"/>
    <w:rPr>
      <w:rFonts w:ascii="Times New Roman" w:hAnsi="Times New Roman" w:eastAsia="宋体" w:cs="Times New Roman"/>
      <w:szCs w:val="24"/>
    </w:rPr>
  </w:style>
  <w:style w:type="character" w:customStyle="1" w:styleId="209">
    <w:name w:val="普通 (Web) Char"/>
    <w:qFormat/>
    <w:uiPriority w:val="0"/>
    <w:rPr>
      <w:rFonts w:ascii="宋体" w:hAnsi="宋体" w:eastAsia="宋体" w:cs="Times New Roman"/>
      <w:kern w:val="0"/>
      <w:sz w:val="24"/>
      <w:szCs w:val="24"/>
    </w:rPr>
  </w:style>
  <w:style w:type="character" w:customStyle="1" w:styleId="210">
    <w:name w:val="标题 6 Char"/>
    <w:link w:val="7"/>
    <w:qFormat/>
    <w:uiPriority w:val="0"/>
    <w:rPr>
      <w:rFonts w:ascii="Arial" w:hAnsi="Arial" w:eastAsia="黑体" w:cs="Times New Roman"/>
      <w:b/>
      <w:bCs/>
      <w:kern w:val="0"/>
      <w:sz w:val="24"/>
      <w:szCs w:val="24"/>
    </w:rPr>
  </w:style>
  <w:style w:type="character" w:customStyle="1" w:styleId="211">
    <w:name w:val="纯文本 Char3"/>
    <w:qFormat/>
    <w:uiPriority w:val="0"/>
    <w:rPr>
      <w:rFonts w:ascii="宋体" w:hAnsi="Courier New" w:eastAsia="宋体"/>
      <w:sz w:val="24"/>
      <w:szCs w:val="24"/>
    </w:rPr>
  </w:style>
  <w:style w:type="character" w:customStyle="1" w:styleId="212">
    <w:name w:val="正文首行缩进 Char1"/>
    <w:semiHidden/>
    <w:qFormat/>
    <w:uiPriority w:val="99"/>
    <w:rPr>
      <w:rFonts w:ascii="Times New Roman" w:hAnsi="Times New Roman" w:eastAsia="宋体" w:cs="Times New Roman"/>
      <w:szCs w:val="24"/>
    </w:rPr>
  </w:style>
  <w:style w:type="character" w:customStyle="1" w:styleId="213">
    <w:name w:val="正文文本 2 Char"/>
    <w:link w:val="45"/>
    <w:qFormat/>
    <w:uiPriority w:val="99"/>
    <w:rPr>
      <w:rFonts w:ascii="宋体" w:hAnsi="宋体"/>
      <w:color w:val="000000"/>
      <w:sz w:val="24"/>
      <w:szCs w:val="24"/>
    </w:rPr>
  </w:style>
  <w:style w:type="character" w:customStyle="1" w:styleId="214">
    <w:name w:val="style551"/>
    <w:qFormat/>
    <w:uiPriority w:val="0"/>
    <w:rPr>
      <w:rFonts w:hint="default" w:ascii="Arial" w:hAnsi="Arial" w:cs="Arial"/>
      <w:color w:val="333333"/>
      <w:sz w:val="18"/>
      <w:szCs w:val="18"/>
    </w:rPr>
  </w:style>
  <w:style w:type="character" w:customStyle="1" w:styleId="215">
    <w:name w:val="文章正文 Char Char"/>
    <w:link w:val="216"/>
    <w:qFormat/>
    <w:uiPriority w:val="0"/>
    <w:rPr>
      <w:rFonts w:ascii="宋体" w:hAnsi="宋体"/>
      <w:sz w:val="24"/>
      <w:szCs w:val="24"/>
    </w:rPr>
  </w:style>
  <w:style w:type="paragraph" w:customStyle="1" w:styleId="216">
    <w:name w:val="文章正文"/>
    <w:basedOn w:val="1"/>
    <w:link w:val="215"/>
    <w:qFormat/>
    <w:uiPriority w:val="0"/>
    <w:pPr>
      <w:spacing w:line="360" w:lineRule="auto"/>
      <w:ind w:firstLine="200" w:firstLineChars="200"/>
      <w:jc w:val="left"/>
    </w:pPr>
    <w:rPr>
      <w:rFonts w:ascii="宋体" w:hAnsi="宋体"/>
      <w:kern w:val="0"/>
      <w:sz w:val="24"/>
    </w:rPr>
  </w:style>
  <w:style w:type="character" w:customStyle="1" w:styleId="217">
    <w:name w:val="font81"/>
    <w:qFormat/>
    <w:uiPriority w:val="0"/>
    <w:rPr>
      <w:rFonts w:hint="eastAsia" w:ascii="宋体" w:hAnsi="宋体" w:eastAsia="宋体" w:cs="宋体"/>
      <w:color w:val="000000"/>
      <w:sz w:val="20"/>
      <w:szCs w:val="20"/>
      <w:u w:val="none"/>
      <w:vertAlign w:val="superscript"/>
    </w:rPr>
  </w:style>
  <w:style w:type="character" w:customStyle="1" w:styleId="218">
    <w:name w:val="Body Text Indent 3 Char"/>
    <w:qFormat/>
    <w:locked/>
    <w:uiPriority w:val="0"/>
    <w:rPr>
      <w:rFonts w:cs="Times New Roman"/>
      <w:kern w:val="2"/>
      <w:sz w:val="16"/>
      <w:szCs w:val="16"/>
    </w:rPr>
  </w:style>
  <w:style w:type="character" w:customStyle="1" w:styleId="219">
    <w:name w:val="Char Char16"/>
    <w:qFormat/>
    <w:uiPriority w:val="0"/>
    <w:rPr>
      <w:rFonts w:ascii="宋体" w:hAnsi="Courier New"/>
      <w:spacing w:val="-4"/>
      <w:kern w:val="2"/>
      <w:sz w:val="18"/>
    </w:rPr>
  </w:style>
  <w:style w:type="character" w:customStyle="1" w:styleId="220">
    <w:name w:val="Char Char4"/>
    <w:qFormat/>
    <w:uiPriority w:val="0"/>
    <w:rPr>
      <w:rFonts w:ascii="宋体" w:hAnsi="Courier New" w:eastAsia="宋体"/>
      <w:kern w:val="2"/>
      <w:sz w:val="24"/>
      <w:szCs w:val="24"/>
      <w:lang w:val="en-US" w:eastAsia="zh-CN" w:bidi="ar-SA"/>
    </w:rPr>
  </w:style>
  <w:style w:type="character" w:customStyle="1" w:styleId="221">
    <w:name w:val="正文文本缩进 3 Char1"/>
    <w:semiHidden/>
    <w:qFormat/>
    <w:uiPriority w:val="99"/>
    <w:rPr>
      <w:rFonts w:ascii="Times New Roman" w:hAnsi="Times New Roman" w:eastAsia="宋体" w:cs="Times New Roman"/>
      <w:sz w:val="16"/>
      <w:szCs w:val="16"/>
    </w:rPr>
  </w:style>
  <w:style w:type="character" w:customStyle="1" w:styleId="222">
    <w:name w:val="Char Char7"/>
    <w:qFormat/>
    <w:uiPriority w:val="0"/>
    <w:rPr>
      <w:rFonts w:eastAsia="宋体"/>
      <w:kern w:val="2"/>
      <w:sz w:val="21"/>
      <w:lang w:val="en-US" w:eastAsia="zh-CN" w:bidi="ar-SA"/>
    </w:rPr>
  </w:style>
  <w:style w:type="character" w:customStyle="1" w:styleId="223">
    <w:name w:val="A正文 Char"/>
    <w:link w:val="224"/>
    <w:qFormat/>
    <w:uiPriority w:val="0"/>
    <w:rPr>
      <w:szCs w:val="24"/>
    </w:rPr>
  </w:style>
  <w:style w:type="paragraph" w:customStyle="1" w:styleId="224">
    <w:name w:val="A正文"/>
    <w:basedOn w:val="1"/>
    <w:link w:val="223"/>
    <w:qFormat/>
    <w:uiPriority w:val="0"/>
    <w:pPr>
      <w:spacing w:line="360" w:lineRule="auto"/>
      <w:ind w:firstLine="200" w:firstLineChars="200"/>
    </w:pPr>
    <w:rPr>
      <w:kern w:val="0"/>
      <w:sz w:val="20"/>
    </w:rPr>
  </w:style>
  <w:style w:type="character" w:customStyle="1" w:styleId="225">
    <w:name w:val="正文1 Char Char"/>
    <w:link w:val="226"/>
    <w:qFormat/>
    <w:uiPriority w:val="0"/>
    <w:rPr>
      <w:rFonts w:ascii="宋体" w:hAnsi="宋体" w:eastAsia="宋体"/>
      <w:color w:val="000000"/>
      <w:sz w:val="24"/>
    </w:rPr>
  </w:style>
  <w:style w:type="paragraph" w:customStyle="1" w:styleId="226">
    <w:name w:val="正文1"/>
    <w:basedOn w:val="1"/>
    <w:link w:val="225"/>
    <w:qFormat/>
    <w:uiPriority w:val="0"/>
    <w:pPr>
      <w:spacing w:line="360" w:lineRule="auto"/>
      <w:ind w:firstLine="200" w:firstLineChars="200"/>
      <w:jc w:val="left"/>
    </w:pPr>
    <w:rPr>
      <w:rFonts w:ascii="宋体" w:hAnsi="宋体"/>
      <w:color w:val="000000"/>
      <w:kern w:val="0"/>
      <w:sz w:val="24"/>
      <w:szCs w:val="20"/>
    </w:rPr>
  </w:style>
  <w:style w:type="character" w:customStyle="1" w:styleId="227">
    <w:name w:val="Char Char111"/>
    <w:qFormat/>
    <w:uiPriority w:val="0"/>
    <w:rPr>
      <w:kern w:val="2"/>
      <w:sz w:val="28"/>
      <w:szCs w:val="24"/>
    </w:rPr>
  </w:style>
  <w:style w:type="character" w:customStyle="1" w:styleId="228">
    <w:name w:val="粘贴正文 Char"/>
    <w:link w:val="229"/>
    <w:qFormat/>
    <w:uiPriority w:val="0"/>
    <w:rPr>
      <w:kern w:val="2"/>
      <w:sz w:val="24"/>
      <w:szCs w:val="21"/>
      <w:lang w:val="en-US" w:eastAsia="zh-CN" w:bidi="ar-SA"/>
    </w:rPr>
  </w:style>
  <w:style w:type="paragraph" w:customStyle="1" w:styleId="229">
    <w:name w:val="粘贴正文"/>
    <w:link w:val="22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30">
    <w:name w:val="缺省文本 Char"/>
    <w:link w:val="231"/>
    <w:qFormat/>
    <w:uiPriority w:val="0"/>
    <w:rPr>
      <w:rFonts w:ascii="Arial" w:hAnsi="Arial"/>
      <w:szCs w:val="21"/>
    </w:rPr>
  </w:style>
  <w:style w:type="paragraph" w:customStyle="1" w:styleId="231">
    <w:name w:val="缺省文本"/>
    <w:basedOn w:val="1"/>
    <w:link w:val="230"/>
    <w:qFormat/>
    <w:uiPriority w:val="0"/>
    <w:pPr>
      <w:autoSpaceDE w:val="0"/>
      <w:autoSpaceDN w:val="0"/>
      <w:adjustRightInd w:val="0"/>
      <w:spacing w:line="360" w:lineRule="auto"/>
      <w:jc w:val="left"/>
    </w:pPr>
    <w:rPr>
      <w:rFonts w:ascii="Arial" w:hAnsi="Arial"/>
      <w:kern w:val="0"/>
      <w:sz w:val="20"/>
      <w:szCs w:val="21"/>
    </w:rPr>
  </w:style>
  <w:style w:type="character" w:customStyle="1" w:styleId="232">
    <w:name w:val="Heading 7 Char"/>
    <w:semiHidden/>
    <w:qFormat/>
    <w:locked/>
    <w:uiPriority w:val="0"/>
    <w:rPr>
      <w:rFonts w:cs="Times New Roman"/>
      <w:b/>
      <w:bCs/>
      <w:kern w:val="0"/>
      <w:sz w:val="24"/>
      <w:szCs w:val="24"/>
    </w:rPr>
  </w:style>
  <w:style w:type="character" w:customStyle="1" w:styleId="233">
    <w:name w:val="font21"/>
    <w:qFormat/>
    <w:uiPriority w:val="0"/>
    <w:rPr>
      <w:rFonts w:hint="eastAsia" w:ascii="宋体" w:hAnsi="宋体" w:eastAsia="宋体" w:cs="宋体"/>
      <w:color w:val="000000"/>
      <w:sz w:val="20"/>
      <w:szCs w:val="20"/>
      <w:u w:val="none"/>
    </w:rPr>
  </w:style>
  <w:style w:type="character" w:customStyle="1" w:styleId="234">
    <w:name w:val="批注主题 Char"/>
    <w:link w:val="49"/>
    <w:qFormat/>
    <w:uiPriority w:val="99"/>
    <w:rPr>
      <w:b/>
      <w:bCs/>
      <w:szCs w:val="24"/>
    </w:rPr>
  </w:style>
  <w:style w:type="character" w:customStyle="1" w:styleId="235">
    <w:name w:val="文档结构图 Char1"/>
    <w:semiHidden/>
    <w:qFormat/>
    <w:uiPriority w:val="99"/>
    <w:rPr>
      <w:rFonts w:ascii="宋体" w:hAnsi="Times New Roman" w:eastAsia="宋体" w:cs="Times New Roman"/>
      <w:sz w:val="18"/>
      <w:szCs w:val="18"/>
    </w:rPr>
  </w:style>
  <w:style w:type="character" w:customStyle="1" w:styleId="236">
    <w:name w:val="纯文本 字符1"/>
    <w:semiHidden/>
    <w:qFormat/>
    <w:locked/>
    <w:uiPriority w:val="0"/>
    <w:rPr>
      <w:rFonts w:ascii="宋体" w:hAnsi="Courier New"/>
      <w:sz w:val="24"/>
      <w:szCs w:val="24"/>
    </w:rPr>
  </w:style>
  <w:style w:type="character" w:customStyle="1" w:styleId="237">
    <w:name w:val="Char Char19"/>
    <w:qFormat/>
    <w:uiPriority w:val="0"/>
    <w:rPr>
      <w:rFonts w:ascii="Arial" w:hAnsi="Arial" w:eastAsia="黑体"/>
      <w:kern w:val="2"/>
      <w:sz w:val="21"/>
      <w:szCs w:val="21"/>
    </w:rPr>
  </w:style>
  <w:style w:type="character" w:customStyle="1" w:styleId="238">
    <w:name w:val="Item List Char"/>
    <w:link w:val="239"/>
    <w:qFormat/>
    <w:uiPriority w:val="0"/>
    <w:rPr>
      <w:rFonts w:cs="Arial"/>
      <w:kern w:val="2"/>
      <w:sz w:val="21"/>
      <w:szCs w:val="21"/>
      <w:lang w:val="en-US" w:eastAsia="zh-CN" w:bidi="ar-SA"/>
    </w:rPr>
  </w:style>
  <w:style w:type="paragraph" w:customStyle="1" w:styleId="239">
    <w:name w:val="Item List"/>
    <w:link w:val="238"/>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40">
    <w:name w:val="Char Char9"/>
    <w:qFormat/>
    <w:uiPriority w:val="0"/>
    <w:rPr>
      <w:rFonts w:eastAsia="仿宋_GB2312"/>
      <w:kern w:val="2"/>
      <w:sz w:val="18"/>
    </w:rPr>
  </w:style>
  <w:style w:type="character" w:customStyle="1" w:styleId="241">
    <w:name w:val="Heading 6 Char"/>
    <w:semiHidden/>
    <w:qFormat/>
    <w:locked/>
    <w:uiPriority w:val="0"/>
    <w:rPr>
      <w:rFonts w:ascii="Cambria" w:hAnsi="Cambria" w:eastAsia="宋体" w:cs="Times New Roman"/>
      <w:b/>
      <w:bCs/>
      <w:kern w:val="0"/>
      <w:sz w:val="24"/>
      <w:szCs w:val="24"/>
    </w:rPr>
  </w:style>
  <w:style w:type="paragraph" w:customStyle="1" w:styleId="24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Item Step"/>
    <w:basedOn w:val="1"/>
    <w:qFormat/>
    <w:uiPriority w:val="0"/>
    <w:pPr>
      <w:widowControl/>
      <w:numPr>
        <w:ilvl w:val="0"/>
        <w:numId w:val="1"/>
      </w:numPr>
      <w:spacing w:afterLines="50"/>
      <w:jc w:val="left"/>
    </w:pPr>
  </w:style>
  <w:style w:type="paragraph" w:customStyle="1" w:styleId="245">
    <w:name w:val="Char11"/>
    <w:basedOn w:val="1"/>
    <w:qFormat/>
    <w:uiPriority w:val="0"/>
    <w:rPr>
      <w:rFonts w:ascii="仿宋_GB2312" w:hAnsi="宋体" w:eastAsia="仿宋_GB2312" w:cs="宋体"/>
      <w:b/>
      <w:sz w:val="32"/>
      <w:szCs w:val="32"/>
    </w:rPr>
  </w:style>
  <w:style w:type="paragraph" w:customStyle="1" w:styleId="24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7">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48">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49">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50">
    <w:name w:val="Block"/>
    <w:basedOn w:val="1"/>
    <w:next w:val="107"/>
    <w:qFormat/>
    <w:uiPriority w:val="0"/>
    <w:pPr>
      <w:tabs>
        <w:tab w:val="left" w:pos="0"/>
      </w:tabs>
    </w:pPr>
    <w:rPr>
      <w:rFonts w:ascii="Arial" w:hAnsi="Arial" w:eastAsia="楷体_GB2312"/>
      <w:color w:val="000080"/>
      <w:sz w:val="28"/>
      <w:szCs w:val="28"/>
    </w:rPr>
  </w:style>
  <w:style w:type="paragraph" w:customStyle="1" w:styleId="251">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5">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56">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257">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5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9">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6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1">
    <w:name w:val="正文首行缩进2字"/>
    <w:basedOn w:val="1"/>
    <w:qFormat/>
    <w:uiPriority w:val="0"/>
    <w:pPr>
      <w:spacing w:line="360" w:lineRule="auto"/>
      <w:ind w:firstLine="412" w:firstLineChars="196"/>
    </w:pPr>
    <w:rPr>
      <w:rFonts w:ascii="宋体" w:hAnsi="宋体"/>
      <w:kern w:val="0"/>
      <w:szCs w:val="21"/>
    </w:rPr>
  </w:style>
  <w:style w:type="paragraph" w:customStyle="1" w:styleId="262">
    <w:name w:val="列出段落1"/>
    <w:basedOn w:val="1"/>
    <w:qFormat/>
    <w:uiPriority w:val="34"/>
    <w:pPr>
      <w:ind w:firstLine="420" w:firstLineChars="200"/>
    </w:pPr>
  </w:style>
  <w:style w:type="paragraph" w:customStyle="1" w:styleId="2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4">
    <w:name w:val="列出段落11"/>
    <w:basedOn w:val="1"/>
    <w:qFormat/>
    <w:uiPriority w:val="0"/>
    <w:pPr>
      <w:spacing w:line="360" w:lineRule="auto"/>
      <w:ind w:firstLine="420" w:firstLineChars="200"/>
    </w:pPr>
    <w:rPr>
      <w:rFonts w:ascii="宋体" w:hAnsi="宋体"/>
      <w:sz w:val="24"/>
    </w:rPr>
  </w:style>
  <w:style w:type="paragraph" w:customStyle="1" w:styleId="26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简单回函地址"/>
    <w:basedOn w:val="1"/>
    <w:qFormat/>
    <w:uiPriority w:val="0"/>
    <w:rPr>
      <w:szCs w:val="20"/>
    </w:rPr>
  </w:style>
  <w:style w:type="paragraph" w:customStyle="1" w:styleId="269">
    <w:name w:val="样式23"/>
    <w:basedOn w:val="270"/>
    <w:qFormat/>
    <w:uiPriority w:val="0"/>
    <w:pPr>
      <w:tabs>
        <w:tab w:val="left" w:pos="420"/>
      </w:tabs>
      <w:adjustRightInd w:val="0"/>
      <w:snapToGrid w:val="0"/>
      <w:spacing w:after="0" w:line="240" w:lineRule="auto"/>
    </w:pPr>
    <w:rPr>
      <w:szCs w:val="20"/>
    </w:rPr>
  </w:style>
  <w:style w:type="paragraph" w:customStyle="1" w:styleId="270">
    <w:name w:val="小点说明"/>
    <w:basedOn w:val="1"/>
    <w:qFormat/>
    <w:uiPriority w:val="0"/>
    <w:pPr>
      <w:tabs>
        <w:tab w:val="left" w:pos="420"/>
      </w:tabs>
      <w:spacing w:after="80" w:line="360" w:lineRule="auto"/>
      <w:ind w:left="420" w:hanging="420"/>
    </w:pPr>
    <w:rPr>
      <w:sz w:val="24"/>
    </w:rPr>
  </w:style>
  <w:style w:type="paragraph" w:customStyle="1" w:styleId="271">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7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3">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首行缩进"/>
    <w:basedOn w:val="1"/>
    <w:qFormat/>
    <w:uiPriority w:val="0"/>
    <w:pPr>
      <w:spacing w:line="360" w:lineRule="auto"/>
      <w:ind w:firstLine="720"/>
    </w:pPr>
    <w:rPr>
      <w:szCs w:val="21"/>
    </w:rPr>
  </w:style>
  <w:style w:type="paragraph" w:customStyle="1" w:styleId="277">
    <w:name w:val="正文段"/>
    <w:basedOn w:val="1"/>
    <w:qFormat/>
    <w:uiPriority w:val="0"/>
    <w:pPr>
      <w:widowControl/>
      <w:snapToGrid w:val="0"/>
      <w:spacing w:afterLines="50"/>
      <w:ind w:firstLine="200" w:firstLineChars="200"/>
    </w:pPr>
    <w:rPr>
      <w:kern w:val="0"/>
      <w:sz w:val="24"/>
      <w:szCs w:val="20"/>
    </w:rPr>
  </w:style>
  <w:style w:type="paragraph" w:customStyle="1" w:styleId="278">
    <w:name w:val="样式 A正文 + 首行缩进:  0 字符"/>
    <w:basedOn w:val="224"/>
    <w:qFormat/>
    <w:uiPriority w:val="0"/>
    <w:pPr>
      <w:spacing w:line="240" w:lineRule="auto"/>
      <w:ind w:firstLine="0" w:firstLineChars="0"/>
    </w:pPr>
    <w:rPr>
      <w:rFonts w:cs="宋体"/>
      <w:szCs w:val="20"/>
    </w:rPr>
  </w:style>
  <w:style w:type="paragraph" w:customStyle="1" w:styleId="279">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80">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1">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3">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4">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5">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6">
    <w:name w:val="二级编号"/>
    <w:basedOn w:val="1"/>
    <w:qFormat/>
    <w:uiPriority w:val="0"/>
    <w:pPr>
      <w:tabs>
        <w:tab w:val="left" w:pos="851"/>
      </w:tabs>
      <w:spacing w:line="360" w:lineRule="auto"/>
      <w:jc w:val="left"/>
    </w:pPr>
    <w:rPr>
      <w:rFonts w:cs="宋体"/>
      <w:sz w:val="24"/>
      <w:szCs w:val="20"/>
    </w:rPr>
  </w:style>
  <w:style w:type="paragraph" w:customStyle="1" w:styleId="2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9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1">
    <w:name w:val="p0"/>
    <w:basedOn w:val="1"/>
    <w:qFormat/>
    <w:uiPriority w:val="0"/>
    <w:pPr>
      <w:widowControl/>
      <w:jc w:val="left"/>
    </w:pPr>
    <w:rPr>
      <w:rFonts w:ascii="宋体" w:hAnsi="宋体"/>
      <w:kern w:val="0"/>
      <w:sz w:val="20"/>
      <w:szCs w:val="20"/>
    </w:rPr>
  </w:style>
  <w:style w:type="paragraph" w:customStyle="1" w:styleId="292">
    <w:name w:val="Char Char"/>
    <w:basedOn w:val="1"/>
    <w:qFormat/>
    <w:uiPriority w:val="0"/>
    <w:pPr>
      <w:jc w:val="center"/>
    </w:pPr>
    <w:rPr>
      <w:rFonts w:ascii="仿宋_GB2312" w:eastAsia="仿宋_GB2312"/>
      <w:b/>
      <w:kern w:val="0"/>
      <w:sz w:val="32"/>
      <w:szCs w:val="32"/>
      <w:lang w:val="en-GB"/>
    </w:rPr>
  </w:style>
  <w:style w:type="paragraph" w:customStyle="1" w:styleId="29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9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96">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7">
    <w:name w:val="p16"/>
    <w:basedOn w:val="1"/>
    <w:qFormat/>
    <w:uiPriority w:val="0"/>
    <w:pPr>
      <w:widowControl/>
    </w:pPr>
    <w:rPr>
      <w:rFonts w:ascii="Arial" w:hAnsi="Arial" w:cs="Arial"/>
      <w:color w:val="333333"/>
      <w:kern w:val="0"/>
      <w:sz w:val="18"/>
      <w:szCs w:val="18"/>
    </w:rPr>
  </w:style>
  <w:style w:type="paragraph" w:customStyle="1" w:styleId="29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0">
    <w:name w:val="默认段落字体 Para Char Char Char Char Char Char Char Char Char1 Char Char Char Char"/>
    <w:basedOn w:val="1"/>
    <w:qFormat/>
    <w:uiPriority w:val="0"/>
    <w:rPr>
      <w:rFonts w:ascii="Tahoma" w:hAnsi="Tahoma"/>
      <w:sz w:val="24"/>
      <w:szCs w:val="20"/>
    </w:rPr>
  </w:style>
  <w:style w:type="paragraph" w:customStyle="1" w:styleId="301">
    <w:name w:val="样式26"/>
    <w:basedOn w:val="302"/>
    <w:qFormat/>
    <w:uiPriority w:val="0"/>
    <w:pPr>
      <w:tabs>
        <w:tab w:val="left" w:pos="180"/>
        <w:tab w:val="left" w:pos="1580"/>
      </w:tabs>
      <w:ind w:left="1603" w:hanging="363"/>
    </w:pPr>
  </w:style>
  <w:style w:type="paragraph" w:customStyle="1" w:styleId="302">
    <w:name w:val="样式25"/>
    <w:basedOn w:val="1"/>
    <w:qFormat/>
    <w:uiPriority w:val="0"/>
    <w:pPr>
      <w:tabs>
        <w:tab w:val="left" w:pos="180"/>
      </w:tabs>
      <w:ind w:left="1260" w:hanging="720"/>
    </w:pPr>
    <w:rPr>
      <w:sz w:val="24"/>
      <w:szCs w:val="20"/>
    </w:rPr>
  </w:style>
  <w:style w:type="paragraph" w:customStyle="1" w:styleId="303">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04">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05">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7">
    <w:name w:val="Char Char Char Char Char Char"/>
    <w:basedOn w:val="1"/>
    <w:qFormat/>
    <w:uiPriority w:val="0"/>
    <w:pPr>
      <w:ind w:firstLine="200" w:firstLineChars="200"/>
    </w:pPr>
    <w:rPr>
      <w:szCs w:val="20"/>
    </w:rPr>
  </w:style>
  <w:style w:type="paragraph" w:customStyle="1" w:styleId="308">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0">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3">
    <w:name w:val="样式 正文缩进 + 首行缩进:  2 字符"/>
    <w:basedOn w:val="13"/>
    <w:qFormat/>
    <w:uiPriority w:val="0"/>
    <w:pPr>
      <w:spacing w:after="80" w:line="360" w:lineRule="auto"/>
      <w:ind w:firstLine="480" w:firstLineChars="200"/>
    </w:pPr>
    <w:rPr>
      <w:sz w:val="24"/>
    </w:rPr>
  </w:style>
  <w:style w:type="paragraph" w:customStyle="1" w:styleId="314">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15">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31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9">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2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27">
    <w:name w:val="Char"/>
    <w:basedOn w:val="1"/>
    <w:qFormat/>
    <w:uiPriority w:val="0"/>
    <w:rPr>
      <w:rFonts w:ascii="仿宋_GB2312" w:eastAsia="仿宋_GB2312"/>
      <w:b/>
      <w:sz w:val="32"/>
      <w:szCs w:val="32"/>
    </w:rPr>
  </w:style>
  <w:style w:type="paragraph" w:customStyle="1" w:styleId="3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2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30">
    <w:name w:val="标题1"/>
    <w:basedOn w:val="2"/>
    <w:next w:val="1"/>
    <w:qFormat/>
    <w:uiPriority w:val="0"/>
    <w:pPr>
      <w:spacing w:before="0" w:after="0" w:line="360" w:lineRule="auto"/>
      <w:jc w:val="left"/>
    </w:pPr>
    <w:rPr>
      <w:rFonts w:ascii="华文中宋" w:hAnsi="华文中宋" w:eastAsia="华文中宋"/>
      <w:szCs w:val="36"/>
    </w:rPr>
  </w:style>
  <w:style w:type="paragraph" w:customStyle="1" w:styleId="331">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32">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3">
    <w:name w:val="Figure"/>
    <w:basedOn w:val="1"/>
    <w:next w:val="334"/>
    <w:qFormat/>
    <w:uiPriority w:val="0"/>
    <w:pPr>
      <w:keepNext/>
      <w:keepLines/>
      <w:ind w:left="1134"/>
      <w:jc w:val="center"/>
    </w:pPr>
  </w:style>
  <w:style w:type="paragraph" w:customStyle="1" w:styleId="334">
    <w:name w:val="Figure Description"/>
    <w:basedOn w:val="333"/>
    <w:next w:val="107"/>
    <w:qFormat/>
    <w:uiPriority w:val="0"/>
    <w:pPr>
      <w:tabs>
        <w:tab w:val="left" w:pos="680"/>
      </w:tabs>
      <w:spacing w:afterLines="100"/>
    </w:pPr>
    <w:rPr>
      <w:sz w:val="18"/>
    </w:rPr>
  </w:style>
  <w:style w:type="paragraph" w:customStyle="1" w:styleId="33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3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38">
    <w:name w:val="p19"/>
    <w:basedOn w:val="1"/>
    <w:qFormat/>
    <w:uiPriority w:val="0"/>
    <w:pPr>
      <w:widowControl/>
      <w:spacing w:beforeLines="100" w:afterLines="100"/>
      <w:ind w:left="1134"/>
    </w:pPr>
    <w:rPr>
      <w:kern w:val="0"/>
      <w:szCs w:val="21"/>
    </w:rPr>
  </w:style>
  <w:style w:type="paragraph" w:customStyle="1" w:styleId="339">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2">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4">
    <w:name w:val="Char Char11"/>
    <w:basedOn w:val="1"/>
    <w:qFormat/>
    <w:uiPriority w:val="0"/>
    <w:pPr>
      <w:widowControl/>
      <w:jc w:val="left"/>
    </w:pPr>
    <w:rPr>
      <w:sz w:val="36"/>
    </w:rPr>
  </w:style>
  <w:style w:type="paragraph" w:customStyle="1" w:styleId="34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4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正文符号1"/>
    <w:basedOn w:val="261"/>
    <w:qFormat/>
    <w:uiPriority w:val="0"/>
    <w:pPr>
      <w:tabs>
        <w:tab w:val="left" w:pos="1080"/>
      </w:tabs>
      <w:ind w:left="1134" w:firstLine="0" w:firstLineChars="0"/>
    </w:pPr>
  </w:style>
  <w:style w:type="paragraph" w:customStyle="1" w:styleId="34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49">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4">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55">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56">
    <w:name w:val="图片"/>
    <w:basedOn w:val="1"/>
    <w:next w:val="1"/>
    <w:qFormat/>
    <w:uiPriority w:val="0"/>
    <w:pPr>
      <w:jc w:val="center"/>
    </w:pPr>
  </w:style>
  <w:style w:type="paragraph" w:customStyle="1" w:styleId="357">
    <w:name w:val="Item Step in Table"/>
    <w:basedOn w:val="1"/>
    <w:qFormat/>
    <w:uiPriority w:val="0"/>
    <w:pPr>
      <w:tabs>
        <w:tab w:val="left" w:pos="420"/>
      </w:tabs>
      <w:ind w:left="420" w:hanging="420"/>
      <w:jc w:val="left"/>
    </w:pPr>
  </w:style>
  <w:style w:type="paragraph" w:customStyle="1" w:styleId="358">
    <w:name w:val="默认段落字体 Para Char"/>
    <w:basedOn w:val="1"/>
    <w:qFormat/>
    <w:uiPriority w:val="0"/>
    <w:rPr>
      <w:szCs w:val="20"/>
    </w:rPr>
  </w:style>
  <w:style w:type="paragraph" w:customStyle="1" w:styleId="35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6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5"/>
    <w:qFormat/>
    <w:uiPriority w:val="0"/>
    <w:rPr>
      <w:rFonts w:ascii="Times New Roman" w:hAnsi="Times New Roman" w:eastAsia="宋体" w:cs="Times New Roman"/>
      <w:kern w:val="2"/>
      <w:sz w:val="21"/>
      <w:szCs w:val="22"/>
      <w:lang w:val="en-US" w:eastAsia="zh-CN" w:bidi="ar-SA"/>
    </w:rPr>
  </w:style>
  <w:style w:type="paragraph" w:customStyle="1" w:styleId="36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3">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4">
    <w:name w:val="Char111"/>
    <w:basedOn w:val="1"/>
    <w:qFormat/>
    <w:uiPriority w:val="0"/>
    <w:rPr>
      <w:rFonts w:ascii="仿宋_GB2312" w:hAnsi="宋体" w:eastAsia="仿宋_GB2312" w:cs="宋体"/>
      <w:b/>
      <w:sz w:val="32"/>
      <w:szCs w:val="32"/>
    </w:rPr>
  </w:style>
  <w:style w:type="paragraph" w:customStyle="1" w:styleId="365">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66">
    <w:name w:val="Item List in Table"/>
    <w:basedOn w:val="1"/>
    <w:qFormat/>
    <w:uiPriority w:val="0"/>
    <w:pPr>
      <w:numPr>
        <w:ilvl w:val="0"/>
        <w:numId w:val="2"/>
      </w:numPr>
      <w:jc w:val="left"/>
    </w:pPr>
  </w:style>
  <w:style w:type="paragraph" w:customStyle="1" w:styleId="367">
    <w:name w:val="Table Heading"/>
    <w:basedOn w:val="1"/>
    <w:qFormat/>
    <w:uiPriority w:val="0"/>
    <w:pPr>
      <w:jc w:val="center"/>
    </w:pPr>
    <w:rPr>
      <w:rFonts w:ascii="Arial" w:hAnsi="Arial" w:eastAsia="黑体"/>
      <w:b/>
    </w:rPr>
  </w:style>
  <w:style w:type="paragraph" w:customStyle="1" w:styleId="368">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69">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70">
    <w:name w:val="_Style 3"/>
    <w:basedOn w:val="1"/>
    <w:qFormat/>
    <w:uiPriority w:val="34"/>
    <w:pPr>
      <w:spacing w:line="360" w:lineRule="auto"/>
      <w:ind w:firstLine="420" w:firstLineChars="200"/>
    </w:pPr>
    <w:rPr>
      <w:rFonts w:ascii="Calibri" w:hAnsi="Calibri"/>
      <w:szCs w:val="22"/>
    </w:rPr>
  </w:style>
  <w:style w:type="paragraph" w:customStyle="1" w:styleId="3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3">
    <w:name w:val="Table Text"/>
    <w:basedOn w:val="1"/>
    <w:qFormat/>
    <w:uiPriority w:val="0"/>
    <w:rPr>
      <w:sz w:val="18"/>
    </w:rPr>
  </w:style>
  <w:style w:type="paragraph" w:customStyle="1" w:styleId="374">
    <w:name w:val="次小点说明"/>
    <w:basedOn w:val="13"/>
    <w:qFormat/>
    <w:uiPriority w:val="0"/>
    <w:pPr>
      <w:tabs>
        <w:tab w:val="left" w:pos="720"/>
      </w:tabs>
      <w:spacing w:line="360" w:lineRule="auto"/>
      <w:ind w:left="777" w:hanging="417"/>
    </w:pPr>
    <w:rPr>
      <w:sz w:val="24"/>
    </w:rPr>
  </w:style>
  <w:style w:type="paragraph" w:customStyle="1" w:styleId="37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6">
    <w:name w:val="此正文"/>
    <w:basedOn w:val="1"/>
    <w:qFormat/>
    <w:uiPriority w:val="0"/>
    <w:pPr>
      <w:spacing w:line="360" w:lineRule="auto"/>
      <w:ind w:firstLine="200" w:firstLineChars="200"/>
    </w:pPr>
    <w:rPr>
      <w:sz w:val="24"/>
    </w:rPr>
  </w:style>
  <w:style w:type="paragraph" w:customStyle="1" w:styleId="377">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7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81">
    <w:name w:val="项目正文"/>
    <w:basedOn w:val="1"/>
    <w:qFormat/>
    <w:uiPriority w:val="0"/>
    <w:pPr>
      <w:ind w:left="420" w:hanging="420"/>
    </w:pPr>
    <w:rPr>
      <w:sz w:val="28"/>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85">
    <w:name w:val="段落正文 Char Char"/>
    <w:basedOn w:val="1"/>
    <w:qFormat/>
    <w:uiPriority w:val="0"/>
    <w:pPr>
      <w:spacing w:line="360" w:lineRule="auto"/>
      <w:ind w:firstLine="461" w:firstLineChars="192"/>
    </w:pPr>
    <w:rPr>
      <w:rFonts w:ascii="宋体" w:hAnsi="宋体"/>
      <w:sz w:val="24"/>
    </w:rPr>
  </w:style>
  <w:style w:type="paragraph" w:customStyle="1" w:styleId="38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7">
    <w:name w:val="p18"/>
    <w:basedOn w:val="1"/>
    <w:qFormat/>
    <w:uiPriority w:val="0"/>
    <w:pPr>
      <w:widowControl/>
      <w:spacing w:afterLines="100"/>
      <w:ind w:left="1134"/>
      <w:jc w:val="center"/>
    </w:pPr>
    <w:rPr>
      <w:kern w:val="0"/>
      <w:sz w:val="18"/>
      <w:szCs w:val="18"/>
    </w:rPr>
  </w:style>
  <w:style w:type="paragraph" w:customStyle="1" w:styleId="3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8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90">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91">
    <w:name w:val="Char2"/>
    <w:basedOn w:val="1"/>
    <w:qFormat/>
    <w:uiPriority w:val="0"/>
    <w:pPr>
      <w:spacing w:line="240" w:lineRule="atLeast"/>
      <w:ind w:left="420" w:firstLine="420"/>
    </w:pPr>
  </w:style>
  <w:style w:type="paragraph" w:customStyle="1" w:styleId="39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table" w:customStyle="1" w:styleId="393">
    <w:name w:val="网格型1"/>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4">
    <w:name w:val="NormalCharacter"/>
    <w:semiHidden/>
    <w:qFormat/>
    <w:uiPriority w:val="0"/>
    <w:rPr>
      <w:kern w:val="2"/>
      <w:sz w:val="21"/>
      <w:szCs w:val="24"/>
      <w:lang w:val="en-US" w:eastAsia="zh-CN" w:bidi="ar-SA"/>
    </w:rPr>
  </w:style>
  <w:style w:type="paragraph" w:customStyle="1" w:styleId="395">
    <w:name w:val="章正文"/>
    <w:basedOn w:val="1"/>
    <w:qFormat/>
    <w:uiPriority w:val="0"/>
    <w:pPr>
      <w:spacing w:beforeLines="50" w:after="120" w:line="300" w:lineRule="auto"/>
      <w:ind w:firstLine="480"/>
    </w:pPr>
    <w:rPr>
      <w:rFonts w:ascii="Helvetica" w:hAnsi="Helvetica"/>
      <w:kern w:val="0"/>
      <w:sz w:val="24"/>
    </w:rPr>
  </w:style>
  <w:style w:type="character" w:customStyle="1" w:styleId="396">
    <w:name w:val="word14"/>
    <w:qFormat/>
    <w:uiPriority w:val="0"/>
  </w:style>
  <w:style w:type="character" w:customStyle="1" w:styleId="397">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25645</Words>
  <Characters>26857</Characters>
  <Lines>217</Lines>
  <Paragraphs>61</Paragraphs>
  <TotalTime>34</TotalTime>
  <ScaleCrop>false</ScaleCrop>
  <LinksUpToDate>false</LinksUpToDate>
  <CharactersWithSpaces>28105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2020-10-07T05:12:00Z</dcterms:created>
  <dc:creator>Sky123.Org</dc:creator>
  <cp:lastModifiedBy>WPS_1503645033</cp:lastModifiedBy>
  <cp:lastPrinted>2023-11-10T01:58:00Z</cp:lastPrinted>
  <dcterms:modified xsi:type="dcterms:W3CDTF">2024-06-25T08:38:01Z</dcterms:modified>
  <dc:title>临海市政府采购</dc:title>
  <cp:revision>884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F3ACF3480CD540879F0065DB9A010796_13</vt:lpwstr>
  </property>
</Properties>
</file>